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9779F">
      <w:pPr>
        <w:pStyle w:val="24"/>
        <w:spacing w:line="760" w:lineRule="exact"/>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阿图什市某单位信息化设备采购项目</w:t>
      </w:r>
    </w:p>
    <w:p w14:paraId="71A3CA30">
      <w:pPr>
        <w:pStyle w:val="24"/>
        <w:spacing w:line="760" w:lineRule="exact"/>
        <w:jc w:val="center"/>
        <w:rPr>
          <w:rFonts w:hint="eastAsia" w:ascii="仿宋" w:hAnsi="仿宋" w:eastAsia="仿宋" w:cs="仿宋"/>
          <w:b/>
          <w:color w:val="auto"/>
          <w:sz w:val="32"/>
          <w:szCs w:val="32"/>
          <w:lang w:val="en-US" w:eastAsia="zh-CN"/>
        </w:rPr>
      </w:pPr>
      <w:r>
        <w:rPr>
          <w:rFonts w:hint="eastAsia" w:ascii="仿宋" w:hAnsi="仿宋" w:eastAsia="仿宋" w:cs="仿宋"/>
          <w:b/>
          <w:bCs/>
          <w:color w:val="auto"/>
          <w:sz w:val="32"/>
          <w:szCs w:val="32"/>
        </w:rPr>
        <w:t>项目编号：</w:t>
      </w:r>
      <w:r>
        <w:rPr>
          <w:rFonts w:hint="eastAsia" w:ascii="仿宋" w:hAnsi="仿宋" w:eastAsia="仿宋" w:cs="仿宋"/>
          <w:b/>
          <w:bCs/>
          <w:color w:val="auto"/>
          <w:sz w:val="32"/>
          <w:szCs w:val="32"/>
          <w:lang w:eastAsia="zh-CN"/>
        </w:rPr>
        <w:t>ATSCG-2025052</w:t>
      </w:r>
    </w:p>
    <w:p w14:paraId="172B7760">
      <w:pPr>
        <w:pStyle w:val="24"/>
        <w:spacing w:line="760" w:lineRule="exact"/>
        <w:rPr>
          <w:rFonts w:ascii="仿宋" w:hAnsi="仿宋" w:eastAsia="仿宋" w:cs="仿宋"/>
          <w:color w:val="auto"/>
        </w:rPr>
      </w:pPr>
    </w:p>
    <w:p w14:paraId="1BC05169">
      <w:pPr>
        <w:pStyle w:val="24"/>
        <w:rPr>
          <w:rFonts w:ascii="仿宋" w:hAnsi="仿宋" w:eastAsia="仿宋" w:cs="仿宋"/>
          <w:color w:val="auto"/>
        </w:rPr>
      </w:pPr>
    </w:p>
    <w:p w14:paraId="3F3798B5">
      <w:pPr>
        <w:pStyle w:val="24"/>
        <w:jc w:val="center"/>
        <w:rPr>
          <w:rFonts w:hint="eastAsia" w:ascii="仿宋" w:hAnsi="仿宋" w:eastAsia="仿宋" w:cs="仿宋"/>
          <w:b/>
          <w:bCs/>
          <w:color w:val="auto"/>
          <w:sz w:val="96"/>
          <w:szCs w:val="96"/>
          <w:lang w:eastAsia="zh-CN"/>
        </w:rPr>
      </w:pPr>
      <w:r>
        <w:rPr>
          <w:rFonts w:hint="eastAsia" w:ascii="仿宋" w:hAnsi="仿宋" w:eastAsia="仿宋" w:cs="仿宋"/>
          <w:b/>
          <w:color w:val="auto"/>
          <w:sz w:val="96"/>
          <w:szCs w:val="96"/>
          <w:lang w:eastAsia="zh-CN"/>
        </w:rPr>
        <w:t>谈</w:t>
      </w:r>
    </w:p>
    <w:p w14:paraId="108AFC79">
      <w:pPr>
        <w:pStyle w:val="24"/>
        <w:jc w:val="center"/>
        <w:rPr>
          <w:rFonts w:hint="eastAsia" w:ascii="仿宋" w:hAnsi="仿宋" w:eastAsia="仿宋" w:cs="仿宋"/>
          <w:b/>
          <w:bCs/>
          <w:color w:val="auto"/>
          <w:sz w:val="96"/>
          <w:szCs w:val="96"/>
          <w:lang w:eastAsia="zh-CN"/>
        </w:rPr>
      </w:pPr>
      <w:r>
        <w:rPr>
          <w:rFonts w:hint="eastAsia" w:ascii="仿宋" w:hAnsi="仿宋" w:eastAsia="仿宋" w:cs="仿宋"/>
          <w:b/>
          <w:bCs/>
          <w:color w:val="auto"/>
          <w:sz w:val="96"/>
          <w:szCs w:val="96"/>
          <w:lang w:eastAsia="zh-CN"/>
        </w:rPr>
        <w:t>判</w:t>
      </w:r>
    </w:p>
    <w:p w14:paraId="25322556">
      <w:pPr>
        <w:pStyle w:val="24"/>
        <w:jc w:val="center"/>
        <w:rPr>
          <w:rFonts w:ascii="仿宋" w:hAnsi="仿宋" w:eastAsia="仿宋" w:cs="仿宋"/>
          <w:b/>
          <w:bCs/>
          <w:color w:val="auto"/>
          <w:sz w:val="96"/>
          <w:szCs w:val="96"/>
        </w:rPr>
      </w:pPr>
      <w:r>
        <w:rPr>
          <w:rFonts w:hint="eastAsia" w:ascii="仿宋" w:hAnsi="仿宋" w:eastAsia="仿宋" w:cs="仿宋"/>
          <w:b/>
          <w:bCs/>
          <w:color w:val="auto"/>
          <w:sz w:val="96"/>
          <w:szCs w:val="96"/>
        </w:rPr>
        <w:t>文</w:t>
      </w:r>
    </w:p>
    <w:p w14:paraId="5F367E76">
      <w:pPr>
        <w:pStyle w:val="24"/>
        <w:jc w:val="center"/>
        <w:rPr>
          <w:rFonts w:ascii="仿宋" w:hAnsi="仿宋" w:eastAsia="仿宋" w:cs="仿宋"/>
          <w:color w:val="auto"/>
          <w:sz w:val="84"/>
          <w:szCs w:val="84"/>
        </w:rPr>
      </w:pPr>
      <w:r>
        <w:rPr>
          <w:rFonts w:hint="eastAsia" w:ascii="仿宋" w:hAnsi="仿宋" w:eastAsia="仿宋" w:cs="仿宋"/>
          <w:b/>
          <w:bCs/>
          <w:color w:val="auto"/>
          <w:sz w:val="96"/>
          <w:szCs w:val="96"/>
        </w:rPr>
        <w:t>件</w:t>
      </w:r>
    </w:p>
    <w:p w14:paraId="160EA89D">
      <w:pPr>
        <w:pStyle w:val="24"/>
        <w:rPr>
          <w:rFonts w:ascii="仿宋" w:hAnsi="仿宋" w:eastAsia="仿宋" w:cs="仿宋"/>
          <w:color w:val="auto"/>
        </w:rPr>
      </w:pPr>
    </w:p>
    <w:p w14:paraId="64CE491E">
      <w:pPr>
        <w:pStyle w:val="24"/>
        <w:rPr>
          <w:rFonts w:ascii="仿宋" w:hAnsi="仿宋" w:eastAsia="仿宋" w:cs="仿宋"/>
          <w:color w:val="auto"/>
        </w:rPr>
      </w:pPr>
    </w:p>
    <w:p w14:paraId="6ADF2665">
      <w:pPr>
        <w:spacing w:line="70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采购单位：</w:t>
      </w:r>
      <w:r>
        <w:rPr>
          <w:rFonts w:hint="eastAsia" w:ascii="仿宋" w:hAnsi="仿宋" w:eastAsia="仿宋" w:cs="仿宋"/>
          <w:color w:val="auto"/>
          <w:sz w:val="32"/>
          <w:szCs w:val="32"/>
          <w:lang w:eastAsia="zh-CN"/>
        </w:rPr>
        <w:t>阿图什市某单位</w:t>
      </w:r>
    </w:p>
    <w:p w14:paraId="7E994479">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联 系 人：龚先生</w:t>
      </w:r>
    </w:p>
    <w:p w14:paraId="48736DAA">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15160869238</w:t>
      </w:r>
    </w:p>
    <w:p w14:paraId="5A410E6C">
      <w:pPr>
        <w:spacing w:line="700" w:lineRule="exact"/>
        <w:rPr>
          <w:rFonts w:ascii="仿宋" w:hAnsi="仿宋" w:eastAsia="仿宋" w:cs="仿宋"/>
          <w:color w:val="auto"/>
          <w:sz w:val="32"/>
          <w:szCs w:val="32"/>
        </w:rPr>
      </w:pPr>
      <w:r>
        <w:rPr>
          <w:rFonts w:hint="eastAsia" w:ascii="仿宋" w:hAnsi="仿宋" w:eastAsia="仿宋" w:cs="仿宋"/>
          <w:color w:val="auto"/>
          <w:sz w:val="32"/>
          <w:szCs w:val="32"/>
        </w:rPr>
        <w:t>代理机构：</w:t>
      </w:r>
      <w:r>
        <w:rPr>
          <w:rFonts w:hint="eastAsia" w:ascii="仿宋" w:hAnsi="仿宋" w:eastAsia="仿宋" w:cs="仿宋"/>
          <w:color w:val="auto"/>
          <w:sz w:val="32"/>
          <w:szCs w:val="32"/>
          <w:lang w:eastAsia="zh-CN"/>
        </w:rPr>
        <w:t>中科建疆工程管理有限公司</w:t>
      </w:r>
    </w:p>
    <w:p w14:paraId="61505C9F">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rPr>
        <w:t>联 系 人：</w:t>
      </w:r>
      <w:r>
        <w:rPr>
          <w:rFonts w:hint="eastAsia" w:ascii="仿宋" w:hAnsi="仿宋" w:eastAsia="仿宋" w:cs="仿宋"/>
          <w:color w:val="auto"/>
          <w:sz w:val="32"/>
          <w:szCs w:val="32"/>
          <w:lang w:eastAsia="zh-CN"/>
        </w:rPr>
        <w:t>邓女士</w:t>
      </w:r>
    </w:p>
    <w:p w14:paraId="19F5544F">
      <w:pPr>
        <w:spacing w:line="7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联系电话: 13364782532</w:t>
      </w:r>
    </w:p>
    <w:p w14:paraId="16864FD7">
      <w:pPr>
        <w:jc w:val="center"/>
        <w:rPr>
          <w:rFonts w:ascii="仿宋" w:hAnsi="仿宋" w:eastAsia="仿宋" w:cs="仿宋"/>
          <w:b/>
          <w:color w:val="auto"/>
          <w:sz w:val="36"/>
          <w:szCs w:val="36"/>
        </w:rPr>
      </w:pPr>
    </w:p>
    <w:p w14:paraId="50C0EB77">
      <w:pPr>
        <w:jc w:val="center"/>
        <w:rPr>
          <w:rFonts w:hint="eastAsia" w:ascii="仿宋" w:hAnsi="仿宋" w:eastAsia="仿宋" w:cs="仿宋"/>
          <w:b/>
          <w:color w:val="auto"/>
          <w:sz w:val="36"/>
          <w:szCs w:val="36"/>
        </w:rPr>
      </w:pPr>
    </w:p>
    <w:p w14:paraId="0F2D0FB8">
      <w:pPr>
        <w:jc w:val="center"/>
        <w:rPr>
          <w:rFonts w:ascii="仿宋" w:hAnsi="仿宋" w:eastAsia="仿宋" w:cs="仿宋"/>
          <w:b/>
          <w:color w:val="auto"/>
          <w:sz w:val="36"/>
          <w:szCs w:val="36"/>
        </w:rPr>
      </w:pPr>
      <w:r>
        <w:rPr>
          <w:rFonts w:hint="eastAsia" w:ascii="仿宋" w:hAnsi="仿宋" w:eastAsia="仿宋" w:cs="仿宋"/>
          <w:b/>
          <w:color w:val="auto"/>
          <w:sz w:val="36"/>
          <w:szCs w:val="36"/>
        </w:rPr>
        <w:t>招投标监督管理机构备案登记栏</w:t>
      </w:r>
    </w:p>
    <w:tbl>
      <w:tblPr>
        <w:tblStyle w:val="19"/>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6"/>
      </w:tblGrid>
      <w:tr w14:paraId="2589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8826" w:type="dxa"/>
          </w:tcPr>
          <w:p w14:paraId="12A411DD">
            <w:pPr>
              <w:spacing w:line="500" w:lineRule="exact"/>
              <w:jc w:val="both"/>
              <w:rPr>
                <w:rFonts w:ascii="仿宋" w:hAnsi="仿宋" w:eastAsia="仿宋" w:cs="仿宋"/>
                <w:color w:val="auto"/>
              </w:rPr>
            </w:pPr>
          </w:p>
          <w:p w14:paraId="5B4FC860">
            <w:pPr>
              <w:spacing w:line="500" w:lineRule="exact"/>
              <w:jc w:val="both"/>
              <w:rPr>
                <w:rFonts w:ascii="仿宋" w:hAnsi="仿宋" w:eastAsia="仿宋" w:cs="仿宋"/>
                <w:color w:val="auto"/>
              </w:rPr>
            </w:pPr>
          </w:p>
          <w:p w14:paraId="39DF5E5A">
            <w:pPr>
              <w:spacing w:line="500" w:lineRule="exact"/>
              <w:jc w:val="both"/>
              <w:rPr>
                <w:rFonts w:ascii="仿宋" w:hAnsi="仿宋" w:eastAsia="仿宋" w:cs="仿宋"/>
                <w:color w:val="auto"/>
                <w:w w:val="95"/>
                <w:sz w:val="28"/>
                <w:szCs w:val="28"/>
                <w:lang w:eastAsia="zh-CN"/>
              </w:rPr>
            </w:pPr>
            <w:r>
              <w:rPr>
                <w:rFonts w:hint="eastAsia" w:ascii="仿宋" w:hAnsi="仿宋" w:eastAsia="仿宋" w:cs="仿宋"/>
                <w:color w:val="auto"/>
                <w:sz w:val="28"/>
                <w:szCs w:val="28"/>
              </w:rPr>
              <w:t>采购单位：</w:t>
            </w:r>
            <w:r>
              <w:rPr>
                <w:rFonts w:hint="eastAsia" w:ascii="仿宋" w:hAnsi="仿宋" w:eastAsia="仿宋" w:cs="仿宋"/>
                <w:color w:val="auto"/>
                <w:sz w:val="28"/>
                <w:szCs w:val="28"/>
                <w:lang w:eastAsia="zh-CN"/>
              </w:rPr>
              <w:t>阿图什市某单位</w:t>
            </w:r>
            <w:r>
              <w:rPr>
                <w:rFonts w:hint="eastAsia" w:ascii="仿宋" w:hAnsi="仿宋" w:eastAsia="仿宋" w:cs="仿宋"/>
                <w:color w:val="auto"/>
                <w:sz w:val="28"/>
                <w:szCs w:val="28"/>
              </w:rPr>
              <w:t> </w:t>
            </w:r>
            <w:r>
              <w:rPr>
                <w:rFonts w:hint="eastAsia" w:ascii="仿宋" w:hAnsi="仿宋" w:eastAsia="仿宋" w:cs="仿宋"/>
                <w:color w:val="auto"/>
                <w:w w:val="95"/>
                <w:sz w:val="28"/>
                <w:szCs w:val="28"/>
                <w:lang w:eastAsia="zh-CN"/>
              </w:rPr>
              <w:t>（盖章）</w:t>
            </w:r>
          </w:p>
          <w:p w14:paraId="5D067BDE">
            <w:pPr>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p>
          <w:p w14:paraId="6044D530">
            <w:pPr>
              <w:spacing w:line="500" w:lineRule="exact"/>
              <w:jc w:val="both"/>
              <w:rPr>
                <w:rFonts w:ascii="仿宋" w:hAnsi="仿宋" w:eastAsia="仿宋" w:cs="仿宋"/>
                <w:color w:val="auto"/>
                <w:sz w:val="32"/>
                <w:szCs w:val="32"/>
              </w:rPr>
            </w:pPr>
          </w:p>
          <w:p w14:paraId="153FBAEF">
            <w:pPr>
              <w:spacing w:line="500" w:lineRule="exact"/>
              <w:jc w:val="both"/>
              <w:rPr>
                <w:rFonts w:ascii="仿宋" w:hAnsi="仿宋" w:eastAsia="仿宋" w:cs="仿宋"/>
                <w:color w:val="auto"/>
                <w:sz w:val="32"/>
                <w:szCs w:val="32"/>
              </w:rPr>
            </w:pPr>
          </w:p>
          <w:p w14:paraId="54F63466">
            <w:pPr>
              <w:spacing w:line="500" w:lineRule="exact"/>
              <w:ind w:left="3554" w:hanging="3553" w:hangingChars="1100"/>
              <w:jc w:val="both"/>
              <w:rPr>
                <w:rFonts w:ascii="仿宋" w:hAnsi="仿宋" w:eastAsia="仿宋" w:cs="仿宋"/>
                <w:color w:val="auto"/>
                <w:sz w:val="32"/>
                <w:szCs w:val="32"/>
              </w:rPr>
            </w:pPr>
          </w:p>
          <w:p w14:paraId="0C48A555">
            <w:pPr>
              <w:spacing w:line="500" w:lineRule="exact"/>
              <w:ind w:left="3554" w:hanging="3113" w:hangingChars="1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采购项目名称：</w:t>
            </w:r>
            <w:r>
              <w:rPr>
                <w:rFonts w:hint="eastAsia" w:ascii="仿宋" w:hAnsi="仿宋" w:eastAsia="仿宋" w:cs="仿宋"/>
                <w:color w:val="auto"/>
                <w:sz w:val="28"/>
                <w:szCs w:val="28"/>
                <w:lang w:eastAsia="zh-CN"/>
              </w:rPr>
              <w:t>阿图什市某单位信息化设备采购项目</w:t>
            </w:r>
          </w:p>
          <w:p w14:paraId="47FA82CE">
            <w:pPr>
              <w:spacing w:line="500" w:lineRule="exact"/>
              <w:ind w:left="3554" w:hanging="3553" w:hangingChars="1100"/>
              <w:jc w:val="both"/>
              <w:rPr>
                <w:rFonts w:ascii="仿宋" w:hAnsi="仿宋" w:eastAsia="仿宋" w:cs="仿宋"/>
                <w:color w:val="auto"/>
                <w:sz w:val="32"/>
                <w:szCs w:val="32"/>
                <w:lang w:eastAsia="zh-CN"/>
              </w:rPr>
            </w:pPr>
          </w:p>
          <w:p w14:paraId="2F62A725">
            <w:pPr>
              <w:pStyle w:val="4"/>
              <w:spacing w:line="500" w:lineRule="exact"/>
              <w:jc w:val="both"/>
              <w:outlineLvl w:val="2"/>
              <w:rPr>
                <w:rFonts w:ascii="仿宋" w:hAnsi="仿宋" w:eastAsia="仿宋" w:cs="仿宋"/>
                <w:color w:val="auto"/>
              </w:rPr>
            </w:pPr>
          </w:p>
          <w:p w14:paraId="116B29A0">
            <w:pPr>
              <w:spacing w:line="500" w:lineRule="exact"/>
              <w:jc w:val="both"/>
              <w:rPr>
                <w:rFonts w:ascii="仿宋" w:hAnsi="仿宋" w:eastAsia="仿宋" w:cs="仿宋"/>
                <w:color w:val="auto"/>
                <w:sz w:val="32"/>
                <w:szCs w:val="32"/>
              </w:rPr>
            </w:pPr>
          </w:p>
          <w:p w14:paraId="5A5AEF9C">
            <w:pPr>
              <w:spacing w:line="500" w:lineRule="exact"/>
              <w:jc w:val="both"/>
              <w:rPr>
                <w:rFonts w:ascii="仿宋" w:hAnsi="仿宋" w:eastAsia="仿宋" w:cs="仿宋"/>
                <w:color w:val="auto"/>
                <w:sz w:val="32"/>
                <w:szCs w:val="32"/>
              </w:rPr>
            </w:pPr>
          </w:p>
          <w:p w14:paraId="5707AAA4">
            <w:pPr>
              <w:spacing w:line="500" w:lineRule="exact"/>
              <w:jc w:val="both"/>
              <w:rPr>
                <w:rFonts w:ascii="仿宋" w:hAnsi="仿宋" w:eastAsia="仿宋" w:cs="仿宋"/>
                <w:color w:val="auto"/>
                <w:sz w:val="32"/>
                <w:szCs w:val="32"/>
              </w:rPr>
            </w:pPr>
          </w:p>
          <w:p w14:paraId="052C4616">
            <w:pPr>
              <w:shd w:val="clear" w:color="040000" w:fill="auto"/>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rPr>
              <w:t>代理机构：</w:t>
            </w:r>
            <w:r>
              <w:rPr>
                <w:rFonts w:hint="eastAsia" w:ascii="仿宋" w:hAnsi="仿宋" w:eastAsia="仿宋" w:cs="仿宋"/>
                <w:color w:val="auto"/>
                <w:sz w:val="32"/>
                <w:szCs w:val="32"/>
                <w:lang w:eastAsia="zh-CN"/>
              </w:rPr>
              <w:t>中科建疆工程管理有限公司（盖章）</w:t>
            </w:r>
          </w:p>
          <w:p w14:paraId="74C966B3">
            <w:pPr>
              <w:pStyle w:val="4"/>
              <w:jc w:val="center"/>
              <w:outlineLvl w:val="2"/>
              <w:rPr>
                <w:rFonts w:ascii="仿宋" w:hAnsi="仿宋" w:eastAsia="仿宋" w:cs="仿宋"/>
                <w:color w:val="auto"/>
              </w:rPr>
            </w:pPr>
          </w:p>
          <w:p w14:paraId="544F00D9">
            <w:pPr>
              <w:pStyle w:val="4"/>
              <w:jc w:val="center"/>
              <w:outlineLvl w:val="2"/>
              <w:rPr>
                <w:rFonts w:ascii="仿宋" w:hAnsi="仿宋" w:eastAsia="仿宋" w:cs="仿宋"/>
                <w:color w:val="auto"/>
              </w:rPr>
            </w:pPr>
          </w:p>
          <w:p w14:paraId="776FA4AD">
            <w:pPr>
              <w:autoSpaceDE w:val="0"/>
              <w:autoSpaceDN w:val="0"/>
              <w:adjustRightInd w:val="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本采购</w:t>
            </w:r>
            <w:r>
              <w:rPr>
                <w:rFonts w:hint="eastAsia" w:ascii="仿宋" w:hAnsi="仿宋" w:eastAsia="仿宋" w:cs="仿宋"/>
                <w:b/>
                <w:color w:val="auto"/>
                <w:kern w:val="0"/>
                <w:sz w:val="32"/>
                <w:szCs w:val="32"/>
                <w:lang w:val="en-US" w:eastAsia="zh-CN"/>
              </w:rPr>
              <w:t>谈判文件</w:t>
            </w:r>
            <w:r>
              <w:rPr>
                <w:rFonts w:hint="eastAsia" w:ascii="仿宋" w:hAnsi="仿宋" w:eastAsia="仿宋" w:cs="仿宋"/>
                <w:b/>
                <w:color w:val="auto"/>
                <w:kern w:val="0"/>
                <w:sz w:val="32"/>
                <w:szCs w:val="32"/>
              </w:rPr>
              <w:t>已报备</w:t>
            </w:r>
          </w:p>
          <w:p w14:paraId="03506531">
            <w:pPr>
              <w:pStyle w:val="4"/>
              <w:jc w:val="both"/>
              <w:outlineLvl w:val="2"/>
              <w:rPr>
                <w:rFonts w:ascii="仿宋" w:hAnsi="仿宋" w:eastAsia="仿宋" w:cs="仿宋"/>
                <w:color w:val="auto"/>
              </w:rPr>
            </w:pPr>
          </w:p>
        </w:tc>
      </w:tr>
    </w:tbl>
    <w:p w14:paraId="59FE9B0C">
      <w:pPr>
        <w:spacing w:line="240" w:lineRule="exact"/>
        <w:rPr>
          <w:rFonts w:ascii="仿宋" w:hAnsi="仿宋" w:eastAsia="仿宋" w:cs="仿宋"/>
          <w:color w:val="auto"/>
          <w:sz w:val="44"/>
          <w:szCs w:val="44"/>
        </w:rPr>
      </w:pPr>
    </w:p>
    <w:p w14:paraId="0890BCD2">
      <w:pPr>
        <w:spacing w:line="240" w:lineRule="exact"/>
        <w:rPr>
          <w:rFonts w:ascii="仿宋" w:hAnsi="仿宋" w:eastAsia="仿宋" w:cs="仿宋"/>
          <w:color w:val="auto"/>
          <w:sz w:val="44"/>
          <w:szCs w:val="44"/>
        </w:rPr>
      </w:pPr>
    </w:p>
    <w:p w14:paraId="2B1FD544">
      <w:pPr>
        <w:pStyle w:val="25"/>
        <w:spacing w:before="0" w:line="360" w:lineRule="auto"/>
        <w:jc w:val="center"/>
        <w:rPr>
          <w:rFonts w:ascii="仿宋" w:hAnsi="仿宋" w:eastAsia="仿宋" w:cs="仿宋"/>
          <w:color w:val="auto"/>
          <w:sz w:val="44"/>
          <w:szCs w:val="44"/>
          <w:lang w:val="zh-CN"/>
        </w:rPr>
        <w:sectPr>
          <w:footerReference r:id="rId3" w:type="default"/>
          <w:pgSz w:w="11905" w:h="16838"/>
          <w:pgMar w:top="1440" w:right="1417" w:bottom="1440" w:left="1417" w:header="850" w:footer="992" w:gutter="0"/>
          <w:cols w:space="720" w:num="1"/>
          <w:docGrid w:type="linesAndChars" w:linePitch="325" w:charSpace="635"/>
        </w:sectPr>
      </w:pPr>
    </w:p>
    <w:p w14:paraId="172F12CE">
      <w:pPr>
        <w:rPr>
          <w:rFonts w:ascii="仿宋" w:hAnsi="仿宋" w:eastAsia="仿宋" w:cs="仿宋"/>
          <w:color w:val="auto"/>
          <w:lang w:val="zh-CN"/>
        </w:rPr>
      </w:pPr>
    </w:p>
    <w:p w14:paraId="5BDCF1A6">
      <w:pPr>
        <w:pStyle w:val="25"/>
        <w:spacing w:before="0" w:line="360" w:lineRule="auto"/>
        <w:jc w:val="center"/>
        <w:rPr>
          <w:rFonts w:ascii="仿宋" w:hAnsi="仿宋" w:eastAsia="仿宋" w:cs="仿宋"/>
          <w:color w:val="auto"/>
          <w:sz w:val="44"/>
          <w:szCs w:val="44"/>
          <w:lang w:val="zh-CN"/>
        </w:rPr>
      </w:pPr>
    </w:p>
    <w:p w14:paraId="3F7067CD">
      <w:pPr>
        <w:pStyle w:val="25"/>
        <w:spacing w:before="0" w:line="360" w:lineRule="auto"/>
        <w:jc w:val="center"/>
        <w:rPr>
          <w:rFonts w:ascii="仿宋" w:hAnsi="仿宋" w:eastAsia="仿宋" w:cs="仿宋"/>
          <w:color w:val="auto"/>
          <w:sz w:val="44"/>
          <w:szCs w:val="44"/>
          <w:lang w:val="zh-CN"/>
        </w:rPr>
      </w:pPr>
      <w:r>
        <w:rPr>
          <w:rFonts w:hint="eastAsia" w:ascii="仿宋" w:hAnsi="仿宋" w:eastAsia="仿宋" w:cs="仿宋"/>
          <w:color w:val="auto"/>
          <w:sz w:val="44"/>
          <w:szCs w:val="44"/>
          <w:lang w:val="zh-CN"/>
        </w:rPr>
        <w:t>目    录</w:t>
      </w:r>
    </w:p>
    <w:p w14:paraId="0B1E7A17">
      <w:pPr>
        <w:rPr>
          <w:rFonts w:ascii="仿宋" w:hAnsi="仿宋" w:eastAsia="仿宋" w:cs="仿宋"/>
          <w:color w:val="auto"/>
          <w:sz w:val="30"/>
          <w:szCs w:val="30"/>
          <w:lang w:val="zh-CN"/>
        </w:rPr>
      </w:pPr>
    </w:p>
    <w:p w14:paraId="5F19352E">
      <w:pPr>
        <w:spacing w:line="360" w:lineRule="auto"/>
        <w:rPr>
          <w:rFonts w:ascii="仿宋" w:hAnsi="仿宋" w:eastAsia="仿宋" w:cs="仿宋"/>
          <w:color w:val="auto"/>
          <w:sz w:val="30"/>
          <w:szCs w:val="30"/>
        </w:rPr>
      </w:pPr>
    </w:p>
    <w:p w14:paraId="3EEA5B08">
      <w:pPr>
        <w:widowControl/>
        <w:rPr>
          <w:rFonts w:ascii="仿宋" w:hAnsi="仿宋" w:eastAsia="仿宋" w:cs="仿宋"/>
          <w:color w:val="auto"/>
          <w:sz w:val="30"/>
          <w:szCs w:val="30"/>
        </w:rPr>
      </w:pPr>
    </w:p>
    <w:p w14:paraId="3D71AC61">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第一部分      竞争性</w:t>
      </w:r>
      <w:r>
        <w:rPr>
          <w:rFonts w:hint="eastAsia" w:ascii="仿宋" w:hAnsi="仿宋" w:eastAsia="仿宋" w:cs="仿宋"/>
          <w:b/>
          <w:color w:val="auto"/>
          <w:sz w:val="30"/>
          <w:szCs w:val="30"/>
          <w:lang w:eastAsia="zh-CN"/>
        </w:rPr>
        <w:t>谈判</w:t>
      </w:r>
      <w:r>
        <w:rPr>
          <w:rFonts w:hint="eastAsia" w:ascii="仿宋" w:hAnsi="仿宋" w:eastAsia="仿宋" w:cs="仿宋"/>
          <w:b/>
          <w:color w:val="auto"/>
          <w:sz w:val="30"/>
          <w:szCs w:val="30"/>
        </w:rPr>
        <w:t>公告</w:t>
      </w:r>
    </w:p>
    <w:p w14:paraId="4834BAB9">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第二部分      供应商须知</w:t>
      </w:r>
    </w:p>
    <w:p w14:paraId="37945D8F">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 xml:space="preserve">第三部分      </w:t>
      </w:r>
      <w:r>
        <w:rPr>
          <w:rFonts w:hint="eastAsia" w:ascii="仿宋" w:hAnsi="仿宋" w:eastAsia="仿宋" w:cs="仿宋"/>
          <w:b/>
          <w:color w:val="auto"/>
          <w:sz w:val="30"/>
          <w:szCs w:val="30"/>
          <w:lang w:eastAsia="zh-CN"/>
        </w:rPr>
        <w:t>技术要</w:t>
      </w:r>
      <w:r>
        <w:rPr>
          <w:rFonts w:hint="eastAsia" w:ascii="仿宋" w:hAnsi="仿宋" w:eastAsia="仿宋" w:cs="仿宋"/>
          <w:b/>
          <w:color w:val="auto"/>
          <w:sz w:val="30"/>
          <w:szCs w:val="30"/>
        </w:rPr>
        <w:t>求</w:t>
      </w:r>
    </w:p>
    <w:p w14:paraId="6D20101C">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第四部分      合同文本（参考）</w:t>
      </w:r>
    </w:p>
    <w:p w14:paraId="10509908">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第五部分      响应文件格式</w:t>
      </w:r>
    </w:p>
    <w:p w14:paraId="2F911598">
      <w:pPr>
        <w:pStyle w:val="7"/>
        <w:numPr>
          <w:ilvl w:val="0"/>
          <w:numId w:val="0"/>
        </w:numPr>
        <w:tabs>
          <w:tab w:val="clear" w:pos="780"/>
        </w:tabs>
        <w:rPr>
          <w:rFonts w:ascii="仿宋" w:hAnsi="仿宋" w:eastAsia="仿宋" w:cs="仿宋"/>
          <w:color w:val="auto"/>
        </w:rPr>
      </w:pPr>
    </w:p>
    <w:p w14:paraId="64B596C4">
      <w:pPr>
        <w:rPr>
          <w:rFonts w:ascii="仿宋" w:hAnsi="仿宋" w:eastAsia="仿宋" w:cs="仿宋"/>
          <w:color w:val="auto"/>
        </w:rPr>
      </w:pPr>
    </w:p>
    <w:p w14:paraId="0A88400C">
      <w:pPr>
        <w:pStyle w:val="4"/>
        <w:rPr>
          <w:rFonts w:ascii="仿宋" w:hAnsi="仿宋" w:eastAsia="仿宋" w:cs="仿宋"/>
          <w:color w:val="auto"/>
          <w:lang w:eastAsia="zh-CN"/>
        </w:rPr>
      </w:pPr>
    </w:p>
    <w:p w14:paraId="6E1EC26B">
      <w:pPr>
        <w:rPr>
          <w:rFonts w:ascii="仿宋" w:hAnsi="仿宋" w:eastAsia="仿宋" w:cs="仿宋"/>
          <w:color w:val="auto"/>
        </w:rPr>
      </w:pPr>
    </w:p>
    <w:p w14:paraId="72171BC4">
      <w:pPr>
        <w:rPr>
          <w:rFonts w:ascii="仿宋" w:hAnsi="仿宋" w:eastAsia="仿宋" w:cs="仿宋"/>
          <w:color w:val="auto"/>
        </w:rPr>
      </w:pPr>
    </w:p>
    <w:p w14:paraId="56F4A7C9">
      <w:pPr>
        <w:pStyle w:val="4"/>
        <w:rPr>
          <w:rFonts w:ascii="仿宋" w:hAnsi="仿宋" w:eastAsia="仿宋" w:cs="仿宋"/>
          <w:color w:val="auto"/>
        </w:rPr>
      </w:pPr>
    </w:p>
    <w:p w14:paraId="68816A09">
      <w:pPr>
        <w:rPr>
          <w:rFonts w:ascii="仿宋" w:hAnsi="仿宋" w:eastAsia="仿宋" w:cs="仿宋"/>
          <w:color w:val="auto"/>
        </w:rPr>
      </w:pPr>
    </w:p>
    <w:p w14:paraId="1390B3D8">
      <w:pPr>
        <w:pStyle w:val="4"/>
        <w:rPr>
          <w:rFonts w:ascii="仿宋" w:hAnsi="仿宋" w:eastAsia="仿宋" w:cs="仿宋"/>
          <w:color w:val="auto"/>
        </w:rPr>
      </w:pPr>
    </w:p>
    <w:p w14:paraId="20E0A7C9">
      <w:pPr>
        <w:rPr>
          <w:rFonts w:ascii="仿宋" w:hAnsi="仿宋" w:eastAsia="仿宋" w:cs="仿宋"/>
          <w:color w:val="auto"/>
        </w:rPr>
      </w:pPr>
    </w:p>
    <w:p w14:paraId="2F87244B">
      <w:pPr>
        <w:pStyle w:val="26"/>
        <w:keepNext/>
        <w:keepLines/>
        <w:pageBreakBefore w:val="0"/>
        <w:widowControl w:val="0"/>
        <w:numPr>
          <w:ilvl w:val="0"/>
          <w:numId w:val="0"/>
        </w:numPr>
        <w:kinsoku/>
        <w:wordWrap/>
        <w:overflowPunct/>
        <w:topLinePunct w:val="0"/>
        <w:autoSpaceDE/>
        <w:autoSpaceDN/>
        <w:bidi w:val="0"/>
        <w:adjustRightInd/>
        <w:snapToGrid/>
        <w:spacing w:before="120" w:after="300" w:line="440" w:lineRule="exact"/>
        <w:jc w:val="center"/>
        <w:textAlignment w:val="auto"/>
        <w:rPr>
          <w:rFonts w:hint="eastAsia" w:ascii="仿宋" w:hAnsi="仿宋" w:eastAsia="仿宋" w:cs="仿宋"/>
          <w:b/>
          <w:bCs/>
          <w:color w:val="auto"/>
          <w:lang w:eastAsia="zh-CN"/>
        </w:rPr>
      </w:pPr>
    </w:p>
    <w:p w14:paraId="1F187E7F">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4330D4DD">
      <w:pPr>
        <w:pStyle w:val="26"/>
        <w:keepNext/>
        <w:keepLines/>
        <w:pageBreakBefore w:val="0"/>
        <w:widowControl w:val="0"/>
        <w:numPr>
          <w:ilvl w:val="0"/>
          <w:numId w:val="0"/>
        </w:numPr>
        <w:kinsoku/>
        <w:wordWrap/>
        <w:overflowPunct/>
        <w:topLinePunct w:val="0"/>
        <w:autoSpaceDE/>
        <w:autoSpaceDN/>
        <w:bidi w:val="0"/>
        <w:adjustRightInd/>
        <w:snapToGrid/>
        <w:spacing w:before="120" w:after="300" w:line="440" w:lineRule="exact"/>
        <w:jc w:val="center"/>
        <w:textAlignment w:val="auto"/>
        <w:rPr>
          <w:rFonts w:hint="eastAsia" w:ascii="仿宋" w:hAnsi="仿宋" w:eastAsia="仿宋" w:cs="仿宋"/>
          <w:b/>
          <w:bCs/>
          <w:color w:val="auto"/>
          <w:lang w:eastAsia="zh-CN"/>
        </w:rPr>
      </w:pPr>
      <w:r>
        <w:rPr>
          <w:rFonts w:hint="eastAsia" w:ascii="仿宋" w:hAnsi="仿宋" w:eastAsia="仿宋" w:cs="仿宋"/>
          <w:b/>
          <w:bCs/>
          <w:color w:val="auto"/>
          <w:lang w:eastAsia="zh-CN"/>
        </w:rPr>
        <w:t>第一部分</w:t>
      </w:r>
      <w:r>
        <w:rPr>
          <w:rFonts w:hint="eastAsia" w:ascii="仿宋" w:hAnsi="仿宋" w:eastAsia="仿宋" w:cs="仿宋"/>
          <w:b/>
          <w:bCs/>
          <w:color w:val="auto"/>
          <w:lang w:val="en-US" w:eastAsia="zh-CN"/>
        </w:rPr>
        <w:t xml:space="preserve"> </w:t>
      </w:r>
      <w:r>
        <w:rPr>
          <w:rFonts w:hint="eastAsia" w:ascii="仿宋" w:hAnsi="仿宋" w:eastAsia="仿宋" w:cs="仿宋"/>
          <w:b/>
          <w:bCs/>
          <w:color w:val="auto"/>
          <w:lang w:eastAsia="zh-CN"/>
        </w:rPr>
        <w:t>竞争性谈判公告</w:t>
      </w:r>
      <w:bookmarkStart w:id="0" w:name="_Toc35393789"/>
      <w:bookmarkStart w:id="1" w:name="_Toc28359001"/>
    </w:p>
    <w:bookmarkEnd w:id="0"/>
    <w:bookmarkEnd w:id="1"/>
    <w:p w14:paraId="5DA11953">
      <w:pPr>
        <w:pStyle w:val="23"/>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baseline"/>
        <w:rPr>
          <w:rFonts w:hint="eastAsia" w:ascii="仿宋" w:hAnsi="仿宋" w:eastAsia="仿宋" w:cs="仿宋"/>
          <w:b/>
          <w:color w:val="000000"/>
          <w:sz w:val="28"/>
          <w:szCs w:val="28"/>
          <w:shd w:val="clear" w:color="auto" w:fill="FFFFFF"/>
          <w:lang w:eastAsia="zh-CN"/>
        </w:rPr>
      </w:pPr>
      <w:r>
        <w:rPr>
          <w:rFonts w:hint="eastAsia" w:ascii="仿宋" w:hAnsi="仿宋" w:eastAsia="仿宋" w:cs="仿宋"/>
          <w:b/>
          <w:color w:val="000000"/>
          <w:sz w:val="28"/>
          <w:szCs w:val="28"/>
          <w:shd w:val="clear" w:color="auto" w:fill="FFFFFF"/>
          <w:lang w:eastAsia="zh-CN"/>
        </w:rPr>
        <w:t>阿图什市某单位信息化设备采购项目竞争性谈判公告</w:t>
      </w:r>
    </w:p>
    <w:p w14:paraId="747F75C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textAlignment w:val="auto"/>
        <w:rPr>
          <w:rFonts w:ascii="仿宋" w:hAnsi="仿宋" w:eastAsia="仿宋" w:cs="仿宋"/>
          <w:color w:val="000000"/>
          <w:sz w:val="24"/>
          <w:szCs w:val="24"/>
        </w:rPr>
      </w:pPr>
      <w:r>
        <w:rPr>
          <w:rFonts w:hint="eastAsia" w:ascii="仿宋" w:hAnsi="仿宋" w:eastAsia="仿宋" w:cs="仿宋"/>
          <w:color w:val="000000"/>
          <w:sz w:val="24"/>
          <w:szCs w:val="24"/>
        </w:rPr>
        <w:t>项目概况</w:t>
      </w:r>
    </w:p>
    <w:p w14:paraId="27F7AF8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 xml:space="preserve"> 阿图什市某单位信息化设备采购项目</w:t>
      </w:r>
      <w:r>
        <w:rPr>
          <w:rFonts w:hint="eastAsia" w:ascii="仿宋" w:hAnsi="仿宋" w:eastAsia="仿宋" w:cs="仿宋"/>
          <w:b w:val="0"/>
          <w:bCs w:val="0"/>
          <w:i w:val="0"/>
          <w:iCs w:val="0"/>
          <w:caps w:val="0"/>
          <w:color w:val="auto"/>
          <w:spacing w:val="0"/>
          <w:sz w:val="24"/>
          <w:szCs w:val="24"/>
          <w:highlight w:val="none"/>
          <w:lang w:eastAsia="zh-CN"/>
        </w:rPr>
        <w:t>的潜在投标人应在政采云平台线上获取采购文件，并于</w:t>
      </w:r>
      <w:r>
        <w:rPr>
          <w:rFonts w:hint="eastAsia" w:ascii="仿宋" w:hAnsi="仿宋" w:eastAsia="仿宋" w:cs="仿宋"/>
          <w:b w:val="0"/>
          <w:bCs w:val="0"/>
          <w:i w:val="0"/>
          <w:iCs w:val="0"/>
          <w:caps w:val="0"/>
          <w:color w:val="auto"/>
          <w:spacing w:val="0"/>
          <w:sz w:val="24"/>
          <w:szCs w:val="24"/>
          <w:highlight w:val="none"/>
          <w:u w:val="single"/>
          <w:lang w:eastAsia="zh-CN"/>
        </w:rPr>
        <w:t>202</w:t>
      </w:r>
      <w:r>
        <w:rPr>
          <w:rFonts w:hint="eastAsia" w:ascii="仿宋" w:hAnsi="仿宋" w:eastAsia="仿宋" w:cs="仿宋"/>
          <w:b w:val="0"/>
          <w:bCs w:val="0"/>
          <w:i w:val="0"/>
          <w:iCs w:val="0"/>
          <w:caps w:val="0"/>
          <w:color w:val="auto"/>
          <w:spacing w:val="0"/>
          <w:sz w:val="24"/>
          <w:szCs w:val="24"/>
          <w:highlight w:val="none"/>
          <w:u w:val="single"/>
          <w:lang w:val="en-US" w:eastAsia="zh-CN"/>
        </w:rPr>
        <w:t>5</w:t>
      </w:r>
      <w:r>
        <w:rPr>
          <w:rFonts w:hint="eastAsia" w:ascii="仿宋" w:hAnsi="仿宋" w:eastAsia="仿宋" w:cs="仿宋"/>
          <w:b w:val="0"/>
          <w:bCs w:val="0"/>
          <w:i w:val="0"/>
          <w:iCs w:val="0"/>
          <w:caps w:val="0"/>
          <w:color w:val="auto"/>
          <w:spacing w:val="0"/>
          <w:sz w:val="24"/>
          <w:szCs w:val="24"/>
          <w:highlight w:val="none"/>
          <w:u w:val="single"/>
          <w:lang w:eastAsia="zh-CN"/>
        </w:rPr>
        <w:t>年</w:t>
      </w:r>
      <w:r>
        <w:rPr>
          <w:rFonts w:hint="eastAsia" w:ascii="仿宋" w:hAnsi="仿宋" w:eastAsia="仿宋" w:cs="仿宋"/>
          <w:b w:val="0"/>
          <w:bCs w:val="0"/>
          <w:i w:val="0"/>
          <w:iCs w:val="0"/>
          <w:caps w:val="0"/>
          <w:color w:val="auto"/>
          <w:spacing w:val="0"/>
          <w:sz w:val="24"/>
          <w:szCs w:val="24"/>
          <w:highlight w:val="none"/>
          <w:u w:val="single"/>
          <w:lang w:val="en-US" w:eastAsia="zh-CN"/>
        </w:rPr>
        <w:t>07</w:t>
      </w:r>
      <w:r>
        <w:rPr>
          <w:rFonts w:hint="eastAsia" w:ascii="仿宋" w:hAnsi="仿宋" w:eastAsia="仿宋" w:cs="仿宋"/>
          <w:b w:val="0"/>
          <w:bCs w:val="0"/>
          <w:i w:val="0"/>
          <w:iCs w:val="0"/>
          <w:caps w:val="0"/>
          <w:color w:val="auto"/>
          <w:spacing w:val="0"/>
          <w:sz w:val="24"/>
          <w:szCs w:val="24"/>
          <w:highlight w:val="none"/>
          <w:u w:val="single"/>
          <w:lang w:eastAsia="zh-CN"/>
        </w:rPr>
        <w:t>月</w:t>
      </w:r>
      <w:r>
        <w:rPr>
          <w:rFonts w:hint="eastAsia" w:ascii="仿宋" w:hAnsi="仿宋" w:eastAsia="仿宋" w:cs="仿宋"/>
          <w:b w:val="0"/>
          <w:bCs w:val="0"/>
          <w:i w:val="0"/>
          <w:iCs w:val="0"/>
          <w:caps w:val="0"/>
          <w:color w:val="auto"/>
          <w:spacing w:val="0"/>
          <w:sz w:val="24"/>
          <w:szCs w:val="24"/>
          <w:highlight w:val="none"/>
          <w:u w:val="single"/>
          <w:lang w:val="en-US" w:eastAsia="zh-CN"/>
        </w:rPr>
        <w:t>07</w:t>
      </w:r>
      <w:r>
        <w:rPr>
          <w:rFonts w:hint="eastAsia" w:ascii="仿宋" w:hAnsi="仿宋" w:eastAsia="仿宋" w:cs="仿宋"/>
          <w:b w:val="0"/>
          <w:bCs w:val="0"/>
          <w:i w:val="0"/>
          <w:iCs w:val="0"/>
          <w:caps w:val="0"/>
          <w:color w:val="auto"/>
          <w:spacing w:val="0"/>
          <w:sz w:val="24"/>
          <w:szCs w:val="24"/>
          <w:highlight w:val="none"/>
          <w:u w:val="single"/>
          <w:lang w:eastAsia="zh-CN"/>
        </w:rPr>
        <w:t>日 10:</w:t>
      </w:r>
      <w:r>
        <w:rPr>
          <w:rFonts w:hint="eastAsia" w:ascii="仿宋" w:hAnsi="仿宋" w:eastAsia="仿宋" w:cs="仿宋"/>
          <w:b w:val="0"/>
          <w:bCs w:val="0"/>
          <w:i w:val="0"/>
          <w:iCs w:val="0"/>
          <w:caps w:val="0"/>
          <w:color w:val="auto"/>
          <w:spacing w:val="0"/>
          <w:sz w:val="24"/>
          <w:szCs w:val="24"/>
          <w:highlight w:val="none"/>
          <w:u w:val="single"/>
          <w:lang w:val="en-US" w:eastAsia="zh-CN"/>
        </w:rPr>
        <w:t>15</w:t>
      </w:r>
      <w:r>
        <w:rPr>
          <w:rFonts w:hint="eastAsia" w:ascii="仿宋" w:hAnsi="仿宋" w:eastAsia="仿宋" w:cs="仿宋"/>
          <w:b w:val="0"/>
          <w:bCs w:val="0"/>
          <w:i w:val="0"/>
          <w:iCs w:val="0"/>
          <w:caps w:val="0"/>
          <w:color w:val="auto"/>
          <w:spacing w:val="0"/>
          <w:sz w:val="24"/>
          <w:szCs w:val="24"/>
          <w:highlight w:val="none"/>
          <w:lang w:eastAsia="zh-CN"/>
        </w:rPr>
        <w:t>（北京时间）前提交响应文件。</w:t>
      </w:r>
    </w:p>
    <w:p w14:paraId="25F7ECC9">
      <w:pPr>
        <w:pStyle w:val="3"/>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val="0"/>
          <w:color w:val="000000"/>
          <w:sz w:val="24"/>
          <w:szCs w:val="24"/>
        </w:rPr>
      </w:pPr>
      <w:bookmarkStart w:id="2" w:name="_Toc28359079"/>
      <w:bookmarkStart w:id="3" w:name="_Toc35393621"/>
      <w:bookmarkStart w:id="4" w:name="_Toc35393790"/>
      <w:bookmarkStart w:id="5" w:name="_Toc28359002"/>
      <w:bookmarkStart w:id="6" w:name="_Hlk24379207"/>
      <w:r>
        <w:rPr>
          <w:rFonts w:hint="eastAsia" w:ascii="仿宋" w:hAnsi="仿宋" w:eastAsia="仿宋" w:cs="仿宋"/>
          <w:b w:val="0"/>
          <w:color w:val="000000"/>
          <w:sz w:val="24"/>
          <w:szCs w:val="24"/>
        </w:rPr>
        <w:t>一、项目基本情况</w:t>
      </w:r>
      <w:bookmarkEnd w:id="2"/>
      <w:bookmarkEnd w:id="3"/>
      <w:bookmarkEnd w:id="4"/>
      <w:bookmarkEnd w:id="5"/>
    </w:p>
    <w:bookmarkEnd w:id="6"/>
    <w:p w14:paraId="28916E1D">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项目编号：</w:t>
      </w:r>
      <w:r>
        <w:rPr>
          <w:rFonts w:hint="eastAsia" w:ascii="仿宋" w:hAnsi="仿宋" w:eastAsia="仿宋" w:cs="仿宋"/>
          <w:color w:val="auto"/>
          <w:sz w:val="24"/>
          <w:szCs w:val="24"/>
          <w:lang w:val="en-US" w:eastAsia="zh-CN"/>
        </w:rPr>
        <w:t>ATSCG-2025052</w:t>
      </w:r>
    </w:p>
    <w:p w14:paraId="6B61124E">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项目名称：</w:t>
      </w:r>
      <w:r>
        <w:rPr>
          <w:rFonts w:hint="eastAsia" w:ascii="仿宋" w:hAnsi="仿宋" w:eastAsia="仿宋" w:cs="仿宋"/>
          <w:color w:val="000000"/>
          <w:sz w:val="24"/>
          <w:szCs w:val="24"/>
          <w:lang w:eastAsia="zh-CN"/>
        </w:rPr>
        <w:t>阿图什市某单位信息化设备采购项目</w:t>
      </w:r>
    </w:p>
    <w:p w14:paraId="35604E64">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采购方式：竞争性谈判</w:t>
      </w:r>
    </w:p>
    <w:p w14:paraId="4E699297">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预算金额</w:t>
      </w:r>
      <w:r>
        <w:rPr>
          <w:rFonts w:hint="eastAsia" w:ascii="仿宋" w:hAnsi="仿宋" w:eastAsia="仿宋" w:cs="仿宋"/>
          <w:color w:val="000000"/>
          <w:sz w:val="24"/>
          <w:szCs w:val="24"/>
          <w:lang w:eastAsia="zh-CN"/>
        </w:rPr>
        <w:t>（元）</w:t>
      </w:r>
      <w:r>
        <w:rPr>
          <w:rFonts w:hint="eastAsia" w:ascii="仿宋" w:hAnsi="仿宋" w:eastAsia="仿宋" w:cs="仿宋"/>
          <w:color w:val="000000"/>
          <w:sz w:val="24"/>
          <w:szCs w:val="24"/>
          <w:lang w:val="en-US" w:eastAsia="zh-CN"/>
        </w:rPr>
        <w:t>:1200000.00</w:t>
      </w:r>
    </w:p>
    <w:p w14:paraId="136B9FED">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kern w:val="2"/>
          <w:sz w:val="24"/>
          <w:szCs w:val="24"/>
          <w:lang w:eastAsia="zh-CN" w:bidi="ar-SA"/>
        </w:rPr>
        <w:t>最高限价（元）：</w:t>
      </w:r>
      <w:r>
        <w:rPr>
          <w:rFonts w:hint="eastAsia" w:ascii="仿宋" w:hAnsi="仿宋" w:eastAsia="仿宋" w:cs="仿宋"/>
          <w:color w:val="000000"/>
          <w:sz w:val="24"/>
          <w:szCs w:val="24"/>
          <w:lang w:val="en-US" w:eastAsia="zh-CN"/>
        </w:rPr>
        <w:t>1200000.00</w:t>
      </w:r>
    </w:p>
    <w:p w14:paraId="10267D2B">
      <w:pPr>
        <w:pageBreakBefore w:val="0"/>
        <w:widowControl w:val="0"/>
        <w:kinsoku/>
        <w:wordWrap/>
        <w:overflowPunct/>
        <w:topLinePunct w:val="0"/>
        <w:autoSpaceDE/>
        <w:autoSpaceDN/>
        <w:bidi w:val="0"/>
        <w:adjustRightInd/>
        <w:snapToGrid/>
        <w:spacing w:line="360" w:lineRule="auto"/>
        <w:ind w:firstLine="490" w:firstLineChars="200"/>
        <w:textAlignment w:val="auto"/>
        <w:rPr>
          <w:color w:val="000000"/>
          <w:sz w:val="24"/>
          <w:szCs w:val="24"/>
          <w:lang w:eastAsia="zh-CN"/>
        </w:rPr>
      </w:pPr>
      <w:r>
        <w:rPr>
          <w:rFonts w:hint="eastAsia" w:ascii="仿宋" w:hAnsi="仿宋" w:eastAsia="仿宋" w:cs="仿宋"/>
          <w:color w:val="000000"/>
          <w:kern w:val="2"/>
          <w:sz w:val="24"/>
          <w:szCs w:val="24"/>
          <w:lang w:eastAsia="zh-CN" w:bidi="ar-SA"/>
        </w:rPr>
        <w:t>采购需求：</w:t>
      </w:r>
    </w:p>
    <w:p w14:paraId="119E0646">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rPr>
      </w:pPr>
      <w:r>
        <w:rPr>
          <w:rFonts w:hint="eastAsia" w:ascii="仿宋" w:hAnsi="仿宋" w:eastAsia="仿宋" w:cs="仿宋"/>
          <w:color w:val="000000"/>
          <w:sz w:val="24"/>
          <w:szCs w:val="24"/>
        </w:rPr>
        <w:t>标项名称：</w:t>
      </w:r>
      <w:r>
        <w:rPr>
          <w:rFonts w:hint="eastAsia" w:ascii="仿宋" w:hAnsi="仿宋" w:eastAsia="仿宋" w:cs="仿宋"/>
          <w:color w:val="000000"/>
          <w:sz w:val="24"/>
          <w:szCs w:val="24"/>
          <w:lang w:eastAsia="zh-CN"/>
        </w:rPr>
        <w:t>阿图什市某单位信息化设备采购项目</w:t>
      </w:r>
    </w:p>
    <w:p w14:paraId="2D7D1E9E">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rPr>
      </w:pPr>
      <w:r>
        <w:rPr>
          <w:rFonts w:hint="eastAsia" w:ascii="仿宋" w:hAnsi="仿宋" w:eastAsia="仿宋" w:cs="仿宋"/>
          <w:color w:val="000000"/>
          <w:sz w:val="24"/>
          <w:szCs w:val="24"/>
          <w:lang w:eastAsia="zh-CN"/>
        </w:rPr>
        <w:t>数量：</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   </w:t>
      </w:r>
    </w:p>
    <w:p w14:paraId="3CC3B62B">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预算金额（元）：</w:t>
      </w:r>
      <w:r>
        <w:rPr>
          <w:rFonts w:hint="eastAsia" w:ascii="仿宋" w:hAnsi="仿宋" w:eastAsia="仿宋" w:cs="仿宋"/>
          <w:color w:val="000000"/>
          <w:sz w:val="24"/>
          <w:szCs w:val="24"/>
          <w:lang w:val="en-US" w:eastAsia="zh-CN"/>
        </w:rPr>
        <w:t>1200000.00</w:t>
      </w:r>
    </w:p>
    <w:p w14:paraId="650063DA">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单位：批</w:t>
      </w:r>
    </w:p>
    <w:p w14:paraId="50465B2B">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简要规格描述或项目基本概况介绍、用途：信息化设备采购及安装。（具体内容详见谈判文件采购清单)</w:t>
      </w:r>
    </w:p>
    <w:p w14:paraId="58098A53">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备注：</w:t>
      </w:r>
    </w:p>
    <w:p w14:paraId="33B8DD55">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rPr>
        <w:t>合同履约期限：</w:t>
      </w:r>
      <w:r>
        <w:rPr>
          <w:rFonts w:hint="eastAsia" w:ascii="仿宋" w:hAnsi="仿宋" w:eastAsia="仿宋" w:cs="仿宋"/>
          <w:b w:val="0"/>
          <w:bCs w:val="0"/>
          <w:color w:val="auto"/>
          <w:sz w:val="24"/>
          <w:szCs w:val="24"/>
          <w:highlight w:val="none"/>
          <w:lang w:eastAsia="zh-CN"/>
        </w:rPr>
        <w:t xml:space="preserve">甲乙双方签订合同后 </w:t>
      </w: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lang w:eastAsia="zh-CN"/>
        </w:rPr>
        <w:t>日内完成供货及安装并验收合格。</w:t>
      </w:r>
      <w:r>
        <w:rPr>
          <w:rFonts w:hint="eastAsia" w:ascii="仿宋" w:hAnsi="仿宋" w:eastAsia="仿宋" w:cs="仿宋"/>
          <w:color w:val="000000"/>
          <w:sz w:val="24"/>
          <w:szCs w:val="24"/>
          <w:highlight w:val="none"/>
        </w:rPr>
        <w:t>（具体以甲乙双方签订合同为准）</w:t>
      </w:r>
    </w:p>
    <w:p w14:paraId="46594C39">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rPr>
      </w:pPr>
      <w:r>
        <w:rPr>
          <w:rFonts w:hint="eastAsia" w:ascii="仿宋" w:hAnsi="仿宋" w:eastAsia="仿宋" w:cs="仿宋"/>
          <w:color w:val="000000"/>
          <w:sz w:val="24"/>
          <w:szCs w:val="24"/>
        </w:rPr>
        <w:t>本项目</w:t>
      </w:r>
      <w:r>
        <w:rPr>
          <w:rFonts w:hint="eastAsia" w:ascii="仿宋" w:hAnsi="仿宋" w:eastAsia="仿宋" w:cs="仿宋"/>
          <w:color w:val="000000"/>
          <w:sz w:val="24"/>
          <w:szCs w:val="24"/>
          <w:lang w:eastAsia="zh-CN"/>
        </w:rPr>
        <w:t>不</w:t>
      </w:r>
      <w:r>
        <w:rPr>
          <w:rFonts w:hint="eastAsia" w:ascii="仿宋" w:hAnsi="仿宋" w:eastAsia="仿宋" w:cs="仿宋"/>
          <w:color w:val="000000"/>
          <w:sz w:val="24"/>
          <w:szCs w:val="24"/>
        </w:rPr>
        <w:t>接受联合体投标。</w:t>
      </w:r>
    </w:p>
    <w:p w14:paraId="2DAFB233">
      <w:pPr>
        <w:pStyle w:val="3"/>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ascii="仿宋" w:hAnsi="仿宋" w:eastAsia="仿宋" w:cs="仿宋"/>
          <w:color w:val="000000"/>
          <w:sz w:val="24"/>
          <w:szCs w:val="24"/>
        </w:rPr>
      </w:pPr>
      <w:bookmarkStart w:id="7" w:name="_Toc35393622"/>
      <w:bookmarkStart w:id="8" w:name="_Toc28359080"/>
      <w:bookmarkStart w:id="9" w:name="_Toc28359003"/>
      <w:bookmarkStart w:id="10" w:name="_Toc35393791"/>
      <w:r>
        <w:rPr>
          <w:rFonts w:hint="eastAsia" w:ascii="仿宋" w:hAnsi="仿宋" w:eastAsia="仿宋" w:cs="仿宋"/>
          <w:color w:val="000000"/>
          <w:sz w:val="24"/>
          <w:szCs w:val="24"/>
        </w:rPr>
        <w:t>申请人的资格要求：</w:t>
      </w:r>
      <w:bookmarkEnd w:id="7"/>
      <w:bookmarkEnd w:id="8"/>
      <w:bookmarkEnd w:id="9"/>
      <w:bookmarkEnd w:id="10"/>
    </w:p>
    <w:p w14:paraId="3064CF94">
      <w:pPr>
        <w:pageBreakBefore w:val="0"/>
        <w:widowControl w:val="0"/>
        <w:kinsoku/>
        <w:wordWrap/>
        <w:overflowPunct/>
        <w:topLinePunct w:val="0"/>
        <w:autoSpaceDE/>
        <w:autoSpaceDN/>
        <w:bidi w:val="0"/>
        <w:adjustRightInd/>
        <w:snapToGrid/>
        <w:spacing w:line="360" w:lineRule="auto"/>
        <w:ind w:firstLine="245" w:firstLineChars="1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 xml:space="preserve"> 1.满足《中华人民共和国政府采购法》第二十二条规定；</w:t>
      </w:r>
    </w:p>
    <w:p w14:paraId="31321476">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 xml:space="preserve">  2.落实政府采购政策需满足的资格要求：</w:t>
      </w:r>
      <w:r>
        <w:rPr>
          <w:rFonts w:hint="eastAsia" w:ascii="仿宋" w:hAnsi="仿宋" w:eastAsia="仿宋" w:cs="仿宋"/>
          <w:color w:val="0000FF"/>
          <w:sz w:val="24"/>
          <w:szCs w:val="24"/>
          <w:lang w:eastAsia="zh-CN"/>
        </w:rPr>
        <w:t>为非专门面向中小企业，根据《政府采购促进中小企业发展管理办法》（财库【2020】46号）及（财库[2022]19号）的规定，评标时将给予此类企业进行价格扣除10%的优惠，用优惠后的价格参与评审。</w:t>
      </w:r>
      <w:r>
        <w:rPr>
          <w:rFonts w:hint="eastAsia" w:ascii="仿宋" w:hAnsi="仿宋" w:eastAsia="仿宋" w:cs="仿宋"/>
          <w:color w:val="000000"/>
          <w:sz w:val="24"/>
          <w:szCs w:val="24"/>
          <w:lang w:eastAsia="zh-CN"/>
        </w:rPr>
        <w:t> </w:t>
      </w:r>
      <w:bookmarkStart w:id="75" w:name="_GoBack"/>
      <w:bookmarkEnd w:id="75"/>
    </w:p>
    <w:p w14:paraId="31F02DC4">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 xml:space="preserve">  3.本项目的特定资格要求：</w:t>
      </w:r>
      <w:bookmarkStart w:id="11" w:name="_Toc35393623"/>
      <w:bookmarkStart w:id="12" w:name="_Toc28359004"/>
      <w:bookmarkStart w:id="13" w:name="_Toc35393792"/>
      <w:bookmarkStart w:id="14" w:name="_Toc28359081"/>
    </w:p>
    <w:p w14:paraId="411E6E07">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（1）具备三证合一营业执照副本；</w:t>
      </w:r>
      <w:r>
        <w:rPr>
          <w:rFonts w:hint="eastAsia" w:ascii="仿宋" w:hAnsi="仿宋" w:eastAsia="仿宋" w:cs="仿宋"/>
          <w:b w:val="0"/>
          <w:bCs/>
          <w:color w:val="000000"/>
          <w:sz w:val="24"/>
          <w:szCs w:val="24"/>
        </w:rPr>
        <w:tab/>
      </w:r>
    </w:p>
    <w:p w14:paraId="4EA0AD08">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（2）法定代表人投标需提供法定代表人资格证明书，委托代理人投标需提供法定代表人授权委托书；</w:t>
      </w:r>
    </w:p>
    <w:p w14:paraId="7C05569F">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（3）投标企业须提供投标人（被授权在职人员）近6个月内任意一个月有效的社保证明；</w:t>
      </w:r>
    </w:p>
    <w:p w14:paraId="2A2E8ECD">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rPr>
        <w:t>（4）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val="0"/>
          <w:bCs/>
          <w:color w:val="000000"/>
          <w:sz w:val="24"/>
          <w:szCs w:val="24"/>
          <w:lang w:eastAsia="zh-CN"/>
        </w:rPr>
        <w:t>。</w:t>
      </w:r>
    </w:p>
    <w:p w14:paraId="7F831F40">
      <w:pPr>
        <w:pStyle w:val="22"/>
        <w:ind w:left="0" w:leftChars="0" w:firstLine="245" w:firstLineChars="100"/>
        <w:rPr>
          <w:rFonts w:hint="eastAsia"/>
          <w:lang w:eastAsia="zh-CN"/>
        </w:rPr>
      </w:pP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5</w:t>
      </w:r>
      <w:r>
        <w:rPr>
          <w:rFonts w:hint="eastAsia" w:ascii="仿宋" w:hAnsi="仿宋" w:eastAsia="仿宋" w:cs="仿宋"/>
          <w:b w:val="0"/>
          <w:bCs/>
          <w:color w:val="000000"/>
          <w:sz w:val="24"/>
          <w:szCs w:val="24"/>
          <w:lang w:eastAsia="zh-CN"/>
        </w:rPr>
        <w:t>）</w:t>
      </w:r>
      <w:r>
        <w:rPr>
          <w:rFonts w:ascii="仿宋" w:hAnsi="仿宋" w:eastAsia="仿宋" w:cs="仿宋"/>
          <w:i w:val="0"/>
          <w:iCs w:val="0"/>
          <w:caps w:val="0"/>
          <w:color w:val="000000"/>
          <w:spacing w:val="0"/>
          <w:sz w:val="27"/>
          <w:szCs w:val="27"/>
        </w:rPr>
        <w:t>提供反商业贿赂承诺书（自拟）</w:t>
      </w:r>
    </w:p>
    <w:p w14:paraId="797A949A">
      <w:pPr>
        <w:pStyle w:val="3"/>
        <w:keepNext/>
        <w:keepLines/>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rPr>
        <w:t>三、</w:t>
      </w:r>
      <w:bookmarkEnd w:id="11"/>
      <w:bookmarkEnd w:id="12"/>
      <w:bookmarkEnd w:id="13"/>
      <w:bookmarkEnd w:id="14"/>
      <w:r>
        <w:rPr>
          <w:rFonts w:hint="eastAsia" w:ascii="仿宋" w:hAnsi="仿宋" w:eastAsia="仿宋" w:cs="仿宋"/>
          <w:color w:val="000000"/>
          <w:sz w:val="24"/>
          <w:szCs w:val="24"/>
        </w:rPr>
        <w:t>获取采购文件</w:t>
      </w:r>
    </w:p>
    <w:p w14:paraId="03DA2BEC">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时间：</w:t>
      </w:r>
      <w:r>
        <w:rPr>
          <w:rFonts w:hint="eastAsia" w:ascii="仿宋" w:hAnsi="仿宋" w:eastAsia="仿宋" w:cs="仿宋"/>
          <w:color w:val="0000FF"/>
          <w:sz w:val="24"/>
          <w:szCs w:val="24"/>
          <w:lang w:eastAsia="zh-CN"/>
        </w:rPr>
        <w:t>202</w:t>
      </w:r>
      <w:r>
        <w:rPr>
          <w:rFonts w:hint="eastAsia" w:ascii="仿宋" w:hAnsi="仿宋" w:eastAsia="仿宋" w:cs="仿宋"/>
          <w:color w:val="0000FF"/>
          <w:sz w:val="24"/>
          <w:szCs w:val="24"/>
          <w:lang w:val="en-US" w:eastAsia="zh-CN"/>
        </w:rPr>
        <w:t>5</w:t>
      </w:r>
      <w:r>
        <w:rPr>
          <w:rFonts w:hint="eastAsia" w:ascii="仿宋" w:hAnsi="仿宋" w:eastAsia="仿宋" w:cs="仿宋"/>
          <w:color w:val="0000FF"/>
          <w:sz w:val="24"/>
          <w:szCs w:val="24"/>
          <w:lang w:eastAsia="zh-CN"/>
        </w:rPr>
        <w:t>年</w:t>
      </w:r>
      <w:r>
        <w:rPr>
          <w:rFonts w:hint="eastAsia" w:ascii="仿宋" w:hAnsi="仿宋" w:eastAsia="仿宋" w:cs="仿宋"/>
          <w:color w:val="0000FF"/>
          <w:sz w:val="24"/>
          <w:szCs w:val="24"/>
          <w:lang w:val="en-US" w:eastAsia="zh-CN"/>
        </w:rPr>
        <w:t>6</w:t>
      </w:r>
      <w:r>
        <w:rPr>
          <w:rFonts w:hint="eastAsia" w:ascii="仿宋" w:hAnsi="仿宋" w:eastAsia="仿宋" w:cs="仿宋"/>
          <w:color w:val="0000FF"/>
          <w:sz w:val="24"/>
          <w:szCs w:val="24"/>
          <w:lang w:eastAsia="zh-CN"/>
        </w:rPr>
        <w:t>月</w:t>
      </w:r>
      <w:r>
        <w:rPr>
          <w:rFonts w:hint="eastAsia" w:ascii="仿宋" w:hAnsi="仿宋" w:eastAsia="仿宋" w:cs="仿宋"/>
          <w:color w:val="0000FF"/>
          <w:sz w:val="24"/>
          <w:szCs w:val="24"/>
          <w:lang w:val="en-US" w:eastAsia="zh-CN"/>
        </w:rPr>
        <w:t>27</w:t>
      </w:r>
      <w:r>
        <w:rPr>
          <w:rFonts w:hint="eastAsia" w:ascii="仿宋" w:hAnsi="仿宋" w:eastAsia="仿宋" w:cs="仿宋"/>
          <w:color w:val="0000FF"/>
          <w:sz w:val="24"/>
          <w:szCs w:val="24"/>
          <w:lang w:eastAsia="zh-CN"/>
        </w:rPr>
        <w:t>日至202</w:t>
      </w:r>
      <w:r>
        <w:rPr>
          <w:rFonts w:hint="eastAsia" w:ascii="仿宋" w:hAnsi="仿宋" w:eastAsia="仿宋" w:cs="仿宋"/>
          <w:color w:val="0000FF"/>
          <w:sz w:val="24"/>
          <w:szCs w:val="24"/>
          <w:lang w:val="en-US" w:eastAsia="zh-CN"/>
        </w:rPr>
        <w:t>5</w:t>
      </w:r>
      <w:r>
        <w:rPr>
          <w:rFonts w:hint="eastAsia" w:ascii="仿宋" w:hAnsi="仿宋" w:eastAsia="仿宋" w:cs="仿宋"/>
          <w:color w:val="0000FF"/>
          <w:sz w:val="24"/>
          <w:szCs w:val="24"/>
          <w:lang w:eastAsia="zh-CN"/>
        </w:rPr>
        <w:t>年</w:t>
      </w:r>
      <w:r>
        <w:rPr>
          <w:rFonts w:hint="eastAsia" w:ascii="仿宋" w:hAnsi="仿宋" w:eastAsia="仿宋" w:cs="仿宋"/>
          <w:color w:val="0000FF"/>
          <w:sz w:val="24"/>
          <w:szCs w:val="24"/>
          <w:lang w:val="en-US" w:eastAsia="zh-CN"/>
        </w:rPr>
        <w:t>7</w:t>
      </w:r>
      <w:r>
        <w:rPr>
          <w:rFonts w:hint="eastAsia" w:ascii="仿宋" w:hAnsi="仿宋" w:eastAsia="仿宋" w:cs="仿宋"/>
          <w:color w:val="0000FF"/>
          <w:sz w:val="24"/>
          <w:szCs w:val="24"/>
          <w:lang w:eastAsia="zh-CN"/>
        </w:rPr>
        <w:t>月</w:t>
      </w:r>
      <w:r>
        <w:rPr>
          <w:rFonts w:hint="eastAsia" w:ascii="仿宋" w:hAnsi="仿宋" w:eastAsia="仿宋" w:cs="仿宋"/>
          <w:color w:val="0000FF"/>
          <w:sz w:val="24"/>
          <w:szCs w:val="24"/>
          <w:lang w:val="en-US" w:eastAsia="zh-CN"/>
        </w:rPr>
        <w:t>3</w:t>
      </w:r>
      <w:r>
        <w:rPr>
          <w:rFonts w:hint="eastAsia" w:ascii="仿宋" w:hAnsi="仿宋" w:eastAsia="仿宋" w:cs="仿宋"/>
          <w:color w:val="0000FF"/>
          <w:sz w:val="24"/>
          <w:szCs w:val="24"/>
          <w:lang w:eastAsia="zh-CN"/>
        </w:rPr>
        <w:t>日</w:t>
      </w:r>
      <w:r>
        <w:rPr>
          <w:rFonts w:hint="eastAsia" w:ascii="仿宋" w:hAnsi="仿宋" w:eastAsia="仿宋" w:cs="仿宋"/>
          <w:color w:val="000000"/>
          <w:sz w:val="24"/>
          <w:szCs w:val="24"/>
          <w:lang w:eastAsia="zh-CN"/>
        </w:rPr>
        <w:t>，每天上午10:00至</w:t>
      </w:r>
      <w:r>
        <w:rPr>
          <w:rFonts w:hint="eastAsia" w:ascii="仿宋" w:hAnsi="仿宋" w:eastAsia="仿宋" w:cs="仿宋"/>
          <w:color w:val="000000"/>
          <w:sz w:val="24"/>
          <w:szCs w:val="24"/>
          <w:lang w:val="en-US" w:eastAsia="zh-CN"/>
        </w:rPr>
        <w:t>14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00</w:t>
      </w:r>
      <w:r>
        <w:rPr>
          <w:rFonts w:hint="eastAsia" w:ascii="仿宋" w:hAnsi="仿宋" w:eastAsia="仿宋" w:cs="仿宋"/>
          <w:color w:val="000000"/>
          <w:sz w:val="24"/>
          <w:szCs w:val="24"/>
          <w:lang w:eastAsia="zh-CN"/>
        </w:rPr>
        <w:t>，下午16:</w:t>
      </w:r>
      <w:r>
        <w:rPr>
          <w:rFonts w:hint="eastAsia" w:ascii="仿宋" w:hAnsi="仿宋" w:eastAsia="仿宋" w:cs="仿宋"/>
          <w:color w:val="000000"/>
          <w:sz w:val="24"/>
          <w:szCs w:val="24"/>
          <w:lang w:val="en-US" w:eastAsia="zh-CN"/>
        </w:rPr>
        <w:t>00</w:t>
      </w:r>
      <w:r>
        <w:rPr>
          <w:rFonts w:hint="eastAsia" w:ascii="仿宋" w:hAnsi="仿宋" w:eastAsia="仿宋" w:cs="仿宋"/>
          <w:color w:val="000000"/>
          <w:sz w:val="24"/>
          <w:szCs w:val="24"/>
          <w:lang w:eastAsia="zh-CN"/>
        </w:rPr>
        <w:t>至</w:t>
      </w: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00</w:t>
      </w:r>
      <w:r>
        <w:rPr>
          <w:rFonts w:hint="eastAsia" w:ascii="仿宋" w:hAnsi="仿宋" w:eastAsia="仿宋" w:cs="仿宋"/>
          <w:color w:val="000000"/>
          <w:sz w:val="24"/>
          <w:szCs w:val="24"/>
          <w:lang w:eastAsia="zh-CN"/>
        </w:rPr>
        <w:t>（北京时间，节假日除外）</w:t>
      </w:r>
    </w:p>
    <w:p w14:paraId="0F089A09">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bookmarkStart w:id="15" w:name="_Toc28359005"/>
      <w:bookmarkStart w:id="16" w:name="_Toc28359082"/>
      <w:bookmarkStart w:id="17" w:name="_Toc35393624"/>
      <w:bookmarkStart w:id="18" w:name="_Toc35393793"/>
      <w:r>
        <w:rPr>
          <w:rFonts w:hint="eastAsia" w:ascii="仿宋" w:hAnsi="仿宋" w:eastAsia="仿宋" w:cs="仿宋"/>
          <w:color w:val="000000"/>
          <w:sz w:val="24"/>
          <w:szCs w:val="24"/>
          <w:lang w:eastAsia="zh-CN"/>
        </w:rPr>
        <w:t>地点：政采云平台线上</w:t>
      </w:r>
    </w:p>
    <w:p w14:paraId="27EC011F">
      <w:pPr>
        <w:pageBreakBefore w:val="0"/>
        <w:widowControl w:val="0"/>
        <w:tabs>
          <w:tab w:val="left" w:pos="366"/>
        </w:tabs>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方式：供应商登录政采云平台https://www.zcygov.cn/在线申请获取采购文件（进入“项目采购”应用，在获取采购文件菜单中选择项目，申请获取采购文件）</w:t>
      </w:r>
    </w:p>
    <w:p w14:paraId="09006675">
      <w:pPr>
        <w:pageBreakBefore w:val="0"/>
        <w:widowControl w:val="0"/>
        <w:tabs>
          <w:tab w:val="left" w:pos="366"/>
        </w:tabs>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售价（元）：0</w:t>
      </w:r>
    </w:p>
    <w:p w14:paraId="5B9B8D99">
      <w:pPr>
        <w:pStyle w:val="3"/>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四、</w:t>
      </w:r>
      <w:bookmarkEnd w:id="15"/>
      <w:bookmarkEnd w:id="16"/>
      <w:bookmarkEnd w:id="17"/>
      <w:bookmarkEnd w:id="18"/>
      <w:r>
        <w:rPr>
          <w:rFonts w:hint="eastAsia" w:ascii="仿宋" w:hAnsi="仿宋" w:eastAsia="仿宋" w:cs="仿宋"/>
          <w:color w:val="000000"/>
          <w:sz w:val="24"/>
          <w:szCs w:val="24"/>
        </w:rPr>
        <w:t xml:space="preserve">响应文件提交 </w:t>
      </w:r>
    </w:p>
    <w:p w14:paraId="56689845">
      <w:pPr>
        <w:pStyle w:val="3"/>
        <w:keepNext/>
        <w:keepLines/>
        <w:pageBreakBefore w:val="0"/>
        <w:widowControl w:val="0"/>
        <w:kinsoku/>
        <w:wordWrap/>
        <w:overflowPunct/>
        <w:topLinePunct w:val="0"/>
        <w:autoSpaceDE/>
        <w:autoSpaceDN/>
        <w:bidi w:val="0"/>
        <w:adjustRightInd/>
        <w:snapToGrid/>
        <w:spacing w:line="360" w:lineRule="auto"/>
        <w:ind w:firstLine="490" w:firstLineChars="200"/>
        <w:jc w:val="left"/>
        <w:textAlignment w:val="auto"/>
        <w:rPr>
          <w:rFonts w:hint="eastAsia" w:ascii="仿宋" w:hAnsi="仿宋" w:eastAsia="仿宋" w:cs="仿宋"/>
          <w:b w:val="0"/>
          <w:bCs w:val="0"/>
          <w:color w:val="000000"/>
          <w:sz w:val="24"/>
          <w:szCs w:val="24"/>
          <w:lang w:val="en-US" w:eastAsia="zh-CN" w:bidi="en-US"/>
        </w:rPr>
      </w:pPr>
      <w:r>
        <w:rPr>
          <w:rFonts w:hint="eastAsia" w:ascii="仿宋" w:hAnsi="仿宋" w:eastAsia="仿宋" w:cs="仿宋"/>
          <w:b w:val="0"/>
          <w:bCs w:val="0"/>
          <w:color w:val="000000"/>
          <w:sz w:val="24"/>
          <w:szCs w:val="24"/>
          <w:lang w:val="en-US" w:eastAsia="zh-CN" w:bidi="en-US"/>
        </w:rPr>
        <w:t>截止时间：</w:t>
      </w:r>
      <w:r>
        <w:rPr>
          <w:rFonts w:hint="eastAsia" w:ascii="仿宋" w:hAnsi="仿宋" w:eastAsia="仿宋" w:cs="仿宋"/>
          <w:b w:val="0"/>
          <w:bCs w:val="0"/>
          <w:color w:val="auto"/>
          <w:sz w:val="24"/>
          <w:szCs w:val="24"/>
          <w:lang w:val="en-US" w:eastAsia="zh-CN" w:bidi="en-US"/>
        </w:rPr>
        <w:t>2025年07月07日 10:15（北京时间）</w:t>
      </w:r>
    </w:p>
    <w:p w14:paraId="6C305706">
      <w:pPr>
        <w:pStyle w:val="3"/>
        <w:keepNext/>
        <w:keepLines/>
        <w:pageBreakBefore w:val="0"/>
        <w:widowControl w:val="0"/>
        <w:kinsoku/>
        <w:wordWrap/>
        <w:overflowPunct/>
        <w:topLinePunct w:val="0"/>
        <w:autoSpaceDE/>
        <w:autoSpaceDN/>
        <w:bidi w:val="0"/>
        <w:adjustRightInd/>
        <w:snapToGrid/>
        <w:spacing w:line="360" w:lineRule="auto"/>
        <w:ind w:firstLine="490" w:firstLineChars="200"/>
        <w:jc w:val="left"/>
        <w:textAlignment w:val="auto"/>
        <w:rPr>
          <w:rFonts w:hint="eastAsia" w:ascii="仿宋" w:hAnsi="仿宋" w:eastAsia="仿宋" w:cs="仿宋"/>
          <w:b w:val="0"/>
          <w:bCs w:val="0"/>
          <w:color w:val="000000"/>
          <w:sz w:val="24"/>
          <w:szCs w:val="24"/>
          <w:lang w:val="en-US" w:eastAsia="zh-CN" w:bidi="en-US"/>
        </w:rPr>
      </w:pPr>
      <w:r>
        <w:rPr>
          <w:rFonts w:hint="eastAsia" w:ascii="仿宋" w:hAnsi="仿宋" w:eastAsia="仿宋" w:cs="仿宋"/>
          <w:b w:val="0"/>
          <w:bCs w:val="0"/>
          <w:color w:val="000000"/>
          <w:sz w:val="24"/>
          <w:szCs w:val="24"/>
          <w:lang w:val="en-US" w:eastAsia="zh-CN" w:bidi="en-US"/>
        </w:rPr>
        <w:t>投标地点：政府采购云平台（www.zcygov.cn）供应商应于递交响应文件截止时间之前将电子响应文件上传到“政采云”平台。</w:t>
      </w:r>
    </w:p>
    <w:p w14:paraId="374341A1">
      <w:pPr>
        <w:pStyle w:val="3"/>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五、响应文件开启</w:t>
      </w:r>
    </w:p>
    <w:p w14:paraId="6C854F40">
      <w:pPr>
        <w:pStyle w:val="3"/>
        <w:keepNext/>
        <w:keepLines/>
        <w:pageBreakBefore w:val="0"/>
        <w:widowControl w:val="0"/>
        <w:kinsoku/>
        <w:wordWrap/>
        <w:overflowPunct/>
        <w:topLinePunct w:val="0"/>
        <w:autoSpaceDE/>
        <w:autoSpaceDN/>
        <w:bidi w:val="0"/>
        <w:adjustRightInd/>
        <w:snapToGrid/>
        <w:spacing w:line="360" w:lineRule="auto"/>
        <w:ind w:firstLine="490" w:firstLineChars="200"/>
        <w:jc w:val="left"/>
        <w:textAlignment w:val="auto"/>
        <w:rPr>
          <w:rFonts w:hint="eastAsia" w:ascii="仿宋" w:hAnsi="仿宋" w:eastAsia="仿宋" w:cs="仿宋"/>
          <w:b w:val="0"/>
          <w:bCs w:val="0"/>
          <w:color w:val="000000"/>
          <w:sz w:val="24"/>
          <w:szCs w:val="24"/>
          <w:lang w:val="en-US" w:eastAsia="zh-CN" w:bidi="en-US"/>
        </w:rPr>
      </w:pPr>
      <w:r>
        <w:rPr>
          <w:rFonts w:hint="eastAsia" w:ascii="仿宋" w:hAnsi="仿宋" w:eastAsia="仿宋" w:cs="仿宋"/>
          <w:b w:val="0"/>
          <w:bCs w:val="0"/>
          <w:color w:val="000000"/>
          <w:sz w:val="24"/>
          <w:szCs w:val="24"/>
          <w:lang w:val="en-US" w:eastAsia="zh-CN" w:bidi="en-US"/>
        </w:rPr>
        <w:t>开启时间：</w:t>
      </w:r>
      <w:r>
        <w:rPr>
          <w:rFonts w:hint="eastAsia" w:ascii="仿宋" w:hAnsi="仿宋" w:eastAsia="仿宋" w:cs="仿宋"/>
          <w:b w:val="0"/>
          <w:bCs w:val="0"/>
          <w:color w:val="auto"/>
          <w:sz w:val="24"/>
          <w:szCs w:val="24"/>
          <w:lang w:val="en-US" w:eastAsia="zh-CN" w:bidi="en-US"/>
        </w:rPr>
        <w:t>2025年07 月07日 10：15（北京时间）</w:t>
      </w:r>
    </w:p>
    <w:p w14:paraId="01E34899">
      <w:pPr>
        <w:pStyle w:val="3"/>
        <w:keepNext/>
        <w:keepLines/>
        <w:pageBreakBefore w:val="0"/>
        <w:widowControl w:val="0"/>
        <w:kinsoku/>
        <w:wordWrap/>
        <w:overflowPunct/>
        <w:topLinePunct w:val="0"/>
        <w:autoSpaceDE/>
        <w:autoSpaceDN/>
        <w:bidi w:val="0"/>
        <w:adjustRightInd/>
        <w:snapToGrid/>
        <w:spacing w:line="360" w:lineRule="auto"/>
        <w:ind w:firstLine="490" w:firstLineChars="200"/>
        <w:jc w:val="left"/>
        <w:textAlignment w:val="auto"/>
        <w:rPr>
          <w:rFonts w:hint="eastAsia" w:ascii="仿宋" w:hAnsi="仿宋" w:eastAsia="仿宋" w:cs="仿宋"/>
          <w:b w:val="0"/>
          <w:bCs w:val="0"/>
          <w:color w:val="000000"/>
          <w:sz w:val="24"/>
          <w:szCs w:val="24"/>
          <w:lang w:val="en-US" w:eastAsia="zh-CN" w:bidi="en-US"/>
        </w:rPr>
      </w:pPr>
      <w:r>
        <w:rPr>
          <w:rFonts w:hint="eastAsia" w:ascii="仿宋" w:hAnsi="仿宋" w:eastAsia="仿宋" w:cs="仿宋"/>
          <w:b w:val="0"/>
          <w:bCs w:val="0"/>
          <w:color w:val="000000"/>
          <w:sz w:val="24"/>
          <w:szCs w:val="24"/>
          <w:lang w:val="en-US" w:eastAsia="zh-CN" w:bidi="en-US"/>
        </w:rPr>
        <w:t>地    点：</w:t>
      </w:r>
      <w:bookmarkStart w:id="19" w:name="_Toc28359084"/>
      <w:bookmarkStart w:id="20" w:name="_Toc35393625"/>
      <w:bookmarkStart w:id="21" w:name="_Toc28359007"/>
      <w:bookmarkStart w:id="22" w:name="_Toc35393794"/>
      <w:r>
        <w:rPr>
          <w:rFonts w:hint="eastAsia" w:ascii="仿宋" w:hAnsi="仿宋" w:eastAsia="仿宋" w:cs="仿宋"/>
          <w:b w:val="0"/>
          <w:bCs w:val="0"/>
          <w:color w:val="000000"/>
          <w:sz w:val="24"/>
          <w:szCs w:val="24"/>
          <w:lang w:val="en-US" w:eastAsia="zh-CN" w:bidi="en-US"/>
        </w:rPr>
        <w:t>投标人登录政采云平台https://www.zcygov.cn/，进入“项目采购-开标评标-右边选择对应项目点击“进入项目”进入开标大厅。</w:t>
      </w:r>
    </w:p>
    <w:p w14:paraId="66BF4736">
      <w:pPr>
        <w:pStyle w:val="3"/>
        <w:keepNext/>
        <w:keepLines/>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color w:val="000000"/>
          <w:sz w:val="24"/>
          <w:szCs w:val="24"/>
        </w:rPr>
      </w:pPr>
      <w:r>
        <w:rPr>
          <w:rFonts w:hint="eastAsia" w:ascii="仿宋" w:hAnsi="仿宋" w:eastAsia="仿宋" w:cs="仿宋"/>
          <w:color w:val="000000"/>
          <w:sz w:val="24"/>
          <w:szCs w:val="24"/>
          <w:lang w:eastAsia="zh-CN"/>
        </w:rPr>
        <w:t>六</w:t>
      </w:r>
      <w:r>
        <w:rPr>
          <w:rFonts w:hint="eastAsia" w:ascii="仿宋" w:hAnsi="仿宋" w:eastAsia="仿宋" w:cs="仿宋"/>
          <w:color w:val="000000"/>
          <w:sz w:val="24"/>
          <w:szCs w:val="24"/>
        </w:rPr>
        <w:t>、公告期限</w:t>
      </w:r>
      <w:bookmarkEnd w:id="19"/>
      <w:bookmarkEnd w:id="20"/>
      <w:bookmarkEnd w:id="21"/>
      <w:bookmarkEnd w:id="22"/>
    </w:p>
    <w:p w14:paraId="15F7CCE3">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自本公告发布之日起</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个工作日</w:t>
      </w:r>
    </w:p>
    <w:p w14:paraId="33AC5CC4">
      <w:pPr>
        <w:pStyle w:val="3"/>
        <w:keepNext/>
        <w:keepLines/>
        <w:pageBreakBefore w:val="0"/>
        <w:widowControl w:val="0"/>
        <w:kinsoku/>
        <w:wordWrap/>
        <w:overflowPunct/>
        <w:topLinePunct w:val="0"/>
        <w:autoSpaceDE/>
        <w:autoSpaceDN/>
        <w:bidi w:val="0"/>
        <w:adjustRightInd/>
        <w:snapToGrid/>
        <w:spacing w:line="360" w:lineRule="auto"/>
        <w:ind w:right="-926" w:rightChars="-378"/>
        <w:jc w:val="left"/>
        <w:textAlignment w:val="auto"/>
        <w:rPr>
          <w:rFonts w:ascii="仿宋" w:hAnsi="仿宋" w:eastAsia="仿宋" w:cs="仿宋"/>
          <w:color w:val="000000"/>
          <w:sz w:val="24"/>
          <w:szCs w:val="24"/>
        </w:rPr>
      </w:pPr>
      <w:bookmarkStart w:id="23" w:name="_Toc35393795"/>
      <w:bookmarkStart w:id="24" w:name="_Toc35393626"/>
      <w:r>
        <w:rPr>
          <w:rFonts w:hint="eastAsia" w:ascii="仿宋" w:hAnsi="仿宋" w:eastAsia="仿宋" w:cs="仿宋"/>
          <w:color w:val="000000"/>
          <w:sz w:val="24"/>
          <w:szCs w:val="24"/>
          <w:lang w:eastAsia="zh-CN"/>
        </w:rPr>
        <w:t>七、</w:t>
      </w:r>
      <w:r>
        <w:rPr>
          <w:rFonts w:hint="eastAsia" w:ascii="仿宋" w:hAnsi="仿宋" w:eastAsia="仿宋" w:cs="仿宋"/>
          <w:color w:val="000000"/>
          <w:sz w:val="24"/>
          <w:szCs w:val="24"/>
        </w:rPr>
        <w:t>其他补充事宜</w:t>
      </w:r>
      <w:bookmarkEnd w:id="23"/>
      <w:bookmarkEnd w:id="24"/>
      <w:bookmarkStart w:id="25" w:name="_Toc35393627"/>
      <w:bookmarkStart w:id="26" w:name="_Toc28359085"/>
      <w:bookmarkStart w:id="27" w:name="_Toc28359008"/>
      <w:bookmarkStart w:id="28" w:name="_Toc35393796"/>
    </w:p>
    <w:p w14:paraId="695513EC">
      <w:pPr>
        <w:pStyle w:val="15"/>
        <w:keepNext w:val="0"/>
        <w:keepLines w:val="0"/>
        <w:pageBreakBefore w:val="0"/>
        <w:widowControl/>
        <w:kinsoku/>
        <w:wordWrap/>
        <w:overflowPunct/>
        <w:topLinePunct w:val="0"/>
        <w:autoSpaceDE/>
        <w:autoSpaceDN/>
        <w:bidi w:val="0"/>
        <w:adjustRightInd/>
        <w:snapToGrid/>
        <w:spacing w:before="255" w:beforeAutospacing="0" w:after="255" w:afterAutospacing="0" w:line="360" w:lineRule="auto"/>
        <w:jc w:val="both"/>
        <w:textAlignment w:val="auto"/>
        <w:rPr>
          <w:rFonts w:hint="eastAsia" w:ascii="仿宋" w:hAnsi="仿宋" w:eastAsia="仿宋" w:cs="仿宋"/>
          <w:color w:val="000000"/>
          <w:sz w:val="24"/>
          <w:szCs w:val="24"/>
          <w:lang w:eastAsia="zh-CN"/>
        </w:rPr>
      </w:pPr>
      <w:r>
        <w:rPr>
          <w:rFonts w:ascii="仿宋" w:hAnsi="仿宋" w:eastAsia="仿宋" w:cs="仿宋"/>
          <w:color w:val="000000"/>
          <w:sz w:val="24"/>
          <w:szCs w:val="24"/>
        </w:rPr>
        <w:t>1.本项目采用全流程不见面电子开评标，投标供应商需要使用CA加密设备，供应商可通过新疆数字证书认证中心官网（https://www.xjca.com.cn/）或下载“新疆政务通”APP自行进行申领。</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2.本项目实行网上投标，采用加密电子</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(供应商须使用CA加密设备通过政采云电子投标客户端制作</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)。若供应商参与投标，自行承担投标一切费用。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4.供应商将政采云电子交易客户端下载、安装完成后，可通过账号密码或CA登录客户端进行</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制作。在使用政采云投标客户端时，建议使用WIN7+64位及以上操作系统。客户端请至新疆政府采购网（http://www.ccgp-xinjiang.gov.cn/）下载专区查看，如有问题可拨打政采云客户服务热线95763进行咨询。</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5.供应商在开标时须使用制作加密电子</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所使用的CA锁及电脑，电脑须提前配置好浏览器（建议使用谷歌浏览器），以便开标时解锁。</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二十群：35547618、二十一群：44303812，钉钉工具软件具有回放功能，直播培训结束后可在钉钉群中回放观看学习。</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7.为了保证开评标顺利进行，政采云线上开标功能完全实现，供应商开标所使用的电脑设备须具有视频及语音功能</w:t>
      </w:r>
      <w:r>
        <w:rPr>
          <w:rFonts w:hint="eastAsia" w:ascii="仿宋" w:hAnsi="仿宋" w:eastAsia="仿宋" w:cs="仿宋"/>
          <w:color w:val="000000"/>
          <w:sz w:val="24"/>
          <w:szCs w:val="24"/>
          <w:lang w:eastAsia="zh-CN"/>
        </w:rPr>
        <w:t>。</w:t>
      </w:r>
    </w:p>
    <w:p w14:paraId="3ACFF796">
      <w:pPr>
        <w:pStyle w:val="15"/>
        <w:spacing w:before="0" w:beforeAutospacing="0" w:after="0" w:afterAutospacing="0" w:line="360" w:lineRule="auto"/>
        <w:jc w:val="both"/>
        <w:rPr>
          <w:rFonts w:ascii="仿宋" w:hAnsi="仿宋" w:eastAsia="仿宋" w:cs="仿宋"/>
          <w:b/>
          <w:bCs/>
          <w:color w:val="000000"/>
          <w:sz w:val="24"/>
          <w:szCs w:val="24"/>
        </w:rPr>
      </w:pPr>
      <w:r>
        <w:rPr>
          <w:rFonts w:hint="eastAsia" w:ascii="仿宋" w:hAnsi="仿宋" w:eastAsia="仿宋" w:cs="仿宋"/>
          <w:b/>
          <w:bCs/>
          <w:color w:val="000000"/>
          <w:sz w:val="24"/>
          <w:szCs w:val="24"/>
        </w:rPr>
        <w:t>特别提示：</w:t>
      </w:r>
    </w:p>
    <w:p w14:paraId="19D8E608">
      <w:pPr>
        <w:pStyle w:val="15"/>
        <w:spacing w:before="0" w:beforeAutospacing="0" w:after="0" w:afterAutospacing="0" w:line="360" w:lineRule="auto"/>
        <w:jc w:val="both"/>
        <w:rPr>
          <w:rFonts w:ascii="仿宋" w:hAnsi="仿宋" w:eastAsia="仿宋" w:cs="仿宋"/>
          <w:color w:val="000000"/>
          <w:sz w:val="24"/>
          <w:szCs w:val="24"/>
        </w:rPr>
      </w:pPr>
      <w:r>
        <w:rPr>
          <w:rFonts w:hint="eastAsia" w:ascii="仿宋" w:hAnsi="仿宋" w:eastAsia="仿宋" w:cs="仿宋"/>
          <w:color w:val="000000"/>
          <w:sz w:val="24"/>
          <w:szCs w:val="24"/>
        </w:rPr>
        <w:t>1、采购限额标准以上，200万元以下的货物和服务采购项目、400万元以下的工程采购项目，适宜由中小企业提供的，采购人应当专门面向中小企业采购。</w:t>
      </w:r>
    </w:p>
    <w:p w14:paraId="2E4F31F3">
      <w:pPr>
        <w:pStyle w:val="15"/>
        <w:spacing w:before="0" w:beforeAutospacing="0" w:after="0" w:afterAutospacing="0" w:line="360" w:lineRule="auto"/>
        <w:jc w:val="both"/>
        <w:rPr>
          <w:rFonts w:ascii="仿宋" w:hAnsi="仿宋" w:eastAsia="仿宋" w:cs="仿宋"/>
          <w:color w:val="000000"/>
          <w:sz w:val="24"/>
          <w:szCs w:val="24"/>
        </w:rPr>
      </w:pPr>
      <w:r>
        <w:rPr>
          <w:rFonts w:hint="eastAsia" w:ascii="仿宋" w:hAnsi="仿宋" w:eastAsia="仿宋" w:cs="仿宋"/>
          <w:color w:val="000000"/>
          <w:sz w:val="24"/>
          <w:szCs w:val="24"/>
        </w:rPr>
        <w:t>2、超过200万元的货物和服务采购项目，预留该部分采购项目预算总额的30%以上专门面向中小企业采购，其中预留给小微企业的比例不低于60%。</w:t>
      </w:r>
    </w:p>
    <w:p w14:paraId="2CAF2921">
      <w:pPr>
        <w:pStyle w:val="15"/>
        <w:spacing w:before="0" w:beforeAutospacing="0" w:after="0" w:afterAutospacing="0" w:line="360" w:lineRule="auto"/>
        <w:jc w:val="both"/>
        <w:rPr>
          <w:rFonts w:ascii="仿宋" w:hAnsi="仿宋" w:eastAsia="仿宋" w:cs="仿宋"/>
          <w:color w:val="000000"/>
          <w:sz w:val="24"/>
          <w:szCs w:val="24"/>
        </w:rPr>
      </w:pPr>
      <w:r>
        <w:rPr>
          <w:rFonts w:hint="eastAsia" w:ascii="仿宋" w:hAnsi="仿宋" w:eastAsia="仿宋" w:cs="仿宋"/>
          <w:color w:val="000000"/>
          <w:sz w:val="24"/>
          <w:szCs w:val="24"/>
        </w:rPr>
        <w:t>3、超过400万元的工程采购项目中适宜由中小企业提供的，预留该部分采购项目预算总额的40%以上专门面向中小企业采购，其中预留给小微企业的比例不低于60%。</w:t>
      </w:r>
    </w:p>
    <w:p w14:paraId="118349DF">
      <w:pPr>
        <w:pStyle w:val="15"/>
        <w:spacing w:before="0" w:beforeAutospacing="0" w:after="0" w:afterAutospacing="0" w:line="360" w:lineRule="auto"/>
        <w:jc w:val="both"/>
        <w:rPr>
          <w:rFonts w:ascii="仿宋" w:hAnsi="仿宋" w:eastAsia="仿宋" w:cs="仿宋"/>
          <w:color w:val="000000"/>
          <w:sz w:val="24"/>
          <w:szCs w:val="24"/>
        </w:rPr>
      </w:pPr>
      <w:r>
        <w:rPr>
          <w:rFonts w:hint="eastAsia" w:ascii="仿宋" w:hAnsi="仿宋" w:eastAsia="仿宋" w:cs="仿宋"/>
          <w:color w:val="000000"/>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05DAA88">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76E5B00">
      <w:pPr>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bCs w:val="0"/>
          <w:color w:val="000000"/>
          <w:sz w:val="24"/>
          <w:szCs w:val="24"/>
        </w:rPr>
      </w:pPr>
      <w:r>
        <w:rPr>
          <w:rFonts w:hint="eastAsia" w:ascii="仿宋" w:hAnsi="仿宋" w:eastAsia="仿宋" w:cs="仿宋"/>
          <w:b/>
          <w:bCs w:val="0"/>
          <w:color w:val="000000"/>
          <w:sz w:val="24"/>
          <w:szCs w:val="24"/>
          <w:lang w:eastAsia="zh-CN"/>
        </w:rPr>
        <w:t>八</w:t>
      </w:r>
      <w:r>
        <w:rPr>
          <w:rFonts w:hint="eastAsia" w:ascii="仿宋" w:hAnsi="仿宋" w:eastAsia="仿宋" w:cs="仿宋"/>
          <w:b/>
          <w:bCs w:val="0"/>
          <w:color w:val="000000"/>
          <w:sz w:val="24"/>
          <w:szCs w:val="24"/>
        </w:rPr>
        <w:t>、对本次招标提出询问，请按以下方式联系</w:t>
      </w:r>
      <w:bookmarkEnd w:id="25"/>
      <w:bookmarkEnd w:id="26"/>
      <w:bookmarkEnd w:id="27"/>
      <w:bookmarkEnd w:id="28"/>
    </w:p>
    <w:p w14:paraId="185095A0">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1.采购人信息</w:t>
      </w:r>
    </w:p>
    <w:p w14:paraId="22B71E3A">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名 称： </w:t>
      </w:r>
      <w:r>
        <w:rPr>
          <w:rFonts w:hint="eastAsia" w:ascii="仿宋" w:hAnsi="仿宋" w:eastAsia="仿宋" w:cs="仿宋"/>
          <w:i w:val="0"/>
          <w:iCs w:val="0"/>
          <w:caps w:val="0"/>
          <w:color w:val="auto"/>
          <w:spacing w:val="0"/>
          <w:sz w:val="24"/>
          <w:szCs w:val="24"/>
          <w:highlight w:val="none"/>
          <w:lang w:eastAsia="zh-CN"/>
        </w:rPr>
        <w:t>阿图什市某单位</w:t>
      </w:r>
    </w:p>
    <w:p w14:paraId="146B07EF">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地 址：阿图什市</w:t>
      </w:r>
    </w:p>
    <w:p w14:paraId="6FC36CBE">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联系方式：</w:t>
      </w:r>
      <w:r>
        <w:rPr>
          <w:rFonts w:hint="eastAsia" w:ascii="仿宋" w:hAnsi="仿宋" w:eastAsia="仿宋" w:cs="仿宋"/>
          <w:i w:val="0"/>
          <w:iCs w:val="0"/>
          <w:caps w:val="0"/>
          <w:color w:val="auto"/>
          <w:spacing w:val="0"/>
          <w:sz w:val="24"/>
          <w:szCs w:val="24"/>
          <w:highlight w:val="none"/>
          <w:lang w:val="en-US" w:eastAsia="zh-CN"/>
        </w:rPr>
        <w:t>15160869238</w:t>
      </w:r>
    </w:p>
    <w:p w14:paraId="42491290">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2.采购代理机构信息</w:t>
      </w:r>
    </w:p>
    <w:p w14:paraId="50757565">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名 称：中科建疆工程管理有限公司　　　　　　　　   　</w:t>
      </w:r>
    </w:p>
    <w:p w14:paraId="24ADB276">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地 址：新疆克州阿图什石榴籽餐厅3楼　  　</w:t>
      </w:r>
    </w:p>
    <w:p w14:paraId="406EE84C">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项目联系人：邓女士</w:t>
      </w:r>
    </w:p>
    <w:p w14:paraId="6F8A5C01">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电  话：13364782532</w:t>
      </w:r>
    </w:p>
    <w:p w14:paraId="1DFC555D">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7974181F">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36289D14">
      <w:pPr>
        <w:rPr>
          <w:rFonts w:hint="eastAsia" w:ascii="仿宋" w:hAnsi="仿宋" w:eastAsia="仿宋" w:cs="仿宋"/>
          <w:b/>
          <w:bCs/>
          <w:color w:val="auto"/>
          <w:sz w:val="36"/>
          <w:szCs w:val="36"/>
        </w:rPr>
      </w:pPr>
      <w:r>
        <w:rPr>
          <w:rFonts w:hint="eastAsia" w:ascii="仿宋" w:hAnsi="仿宋" w:eastAsia="仿宋" w:cs="仿宋"/>
          <w:b/>
          <w:bCs/>
          <w:color w:val="auto"/>
          <w:sz w:val="36"/>
          <w:szCs w:val="36"/>
        </w:rPr>
        <w:br w:type="page"/>
      </w:r>
    </w:p>
    <w:p w14:paraId="5039283C">
      <w:pPr>
        <w:pageBreakBefore w:val="0"/>
        <w:kinsoku/>
        <w:wordWrap/>
        <w:overflowPunct/>
        <w:topLinePunct w:val="0"/>
        <w:autoSpaceDE/>
        <w:autoSpaceDN/>
        <w:bidi w:val="0"/>
        <w:spacing w:line="440" w:lineRule="exact"/>
        <w:jc w:val="center"/>
        <w:rPr>
          <w:rFonts w:ascii="仿宋" w:hAnsi="仿宋" w:eastAsia="仿宋" w:cs="仿宋"/>
          <w:color w:val="auto"/>
          <w:sz w:val="36"/>
          <w:szCs w:val="36"/>
        </w:rPr>
      </w:pPr>
      <w:r>
        <w:rPr>
          <w:rFonts w:hint="eastAsia" w:ascii="仿宋" w:hAnsi="仿宋" w:eastAsia="仿宋" w:cs="仿宋"/>
          <w:b/>
          <w:bCs/>
          <w:color w:val="auto"/>
          <w:sz w:val="36"/>
          <w:szCs w:val="36"/>
        </w:rPr>
        <w:t>第二部分供应商须知</w:t>
      </w:r>
    </w:p>
    <w:p w14:paraId="1ADD8BEE">
      <w:pPr>
        <w:pStyle w:val="27"/>
        <w:spacing w:after="0"/>
        <w:jc w:val="center"/>
        <w:rPr>
          <w:rFonts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须知前附表</w:t>
      </w:r>
    </w:p>
    <w:tbl>
      <w:tblPr>
        <w:tblStyle w:val="18"/>
        <w:tblW w:w="9297" w:type="dxa"/>
        <w:jc w:val="center"/>
        <w:tblLayout w:type="fixed"/>
        <w:tblCellMar>
          <w:top w:w="0" w:type="dxa"/>
          <w:left w:w="108" w:type="dxa"/>
          <w:bottom w:w="0" w:type="dxa"/>
          <w:right w:w="108" w:type="dxa"/>
        </w:tblCellMar>
      </w:tblPr>
      <w:tblGrid>
        <w:gridCol w:w="784"/>
        <w:gridCol w:w="1992"/>
        <w:gridCol w:w="6521"/>
      </w:tblGrid>
      <w:tr w14:paraId="391DA7D9">
        <w:tblPrEx>
          <w:tblCellMar>
            <w:top w:w="0" w:type="dxa"/>
            <w:left w:w="108" w:type="dxa"/>
            <w:bottom w:w="0" w:type="dxa"/>
            <w:right w:w="108" w:type="dxa"/>
          </w:tblCellMar>
        </w:tblPrEx>
        <w:trPr>
          <w:trHeight w:val="54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B7C95FE">
            <w:pPr>
              <w:widowControl/>
              <w:spacing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序 号</w:t>
            </w:r>
          </w:p>
        </w:tc>
        <w:tc>
          <w:tcPr>
            <w:tcW w:w="1992" w:type="dxa"/>
            <w:tcBorders>
              <w:top w:val="single" w:color="auto" w:sz="4" w:space="0"/>
              <w:left w:val="single" w:color="auto" w:sz="4" w:space="0"/>
              <w:bottom w:val="single" w:color="auto" w:sz="4" w:space="0"/>
              <w:right w:val="single" w:color="auto" w:sz="4" w:space="0"/>
            </w:tcBorders>
            <w:vAlign w:val="center"/>
          </w:tcPr>
          <w:p w14:paraId="19413A65">
            <w:pPr>
              <w:widowControl/>
              <w:spacing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名  称</w:t>
            </w:r>
          </w:p>
        </w:tc>
        <w:tc>
          <w:tcPr>
            <w:tcW w:w="6521" w:type="dxa"/>
            <w:tcBorders>
              <w:top w:val="single" w:color="auto" w:sz="4" w:space="0"/>
              <w:left w:val="single" w:color="auto" w:sz="4" w:space="0"/>
              <w:bottom w:val="single" w:color="auto" w:sz="4" w:space="0"/>
              <w:right w:val="single" w:color="auto" w:sz="4" w:space="0"/>
            </w:tcBorders>
            <w:vAlign w:val="center"/>
          </w:tcPr>
          <w:p w14:paraId="6115D9BF">
            <w:pPr>
              <w:widowControl/>
              <w:spacing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编  列  内  容</w:t>
            </w:r>
          </w:p>
        </w:tc>
      </w:tr>
      <w:tr w14:paraId="7CFB865E">
        <w:tblPrEx>
          <w:tblCellMar>
            <w:top w:w="0" w:type="dxa"/>
            <w:left w:w="108" w:type="dxa"/>
            <w:bottom w:w="0" w:type="dxa"/>
            <w:right w:w="108" w:type="dxa"/>
          </w:tblCellMar>
        </w:tblPrEx>
        <w:trPr>
          <w:trHeight w:val="1907"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38321BB">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60F51637">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项目名称</w:t>
            </w:r>
          </w:p>
          <w:p w14:paraId="1404286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项目编号</w:t>
            </w:r>
          </w:p>
          <w:p w14:paraId="23F8E261">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采购内容</w:t>
            </w:r>
          </w:p>
          <w:p w14:paraId="277081A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供货期</w:t>
            </w:r>
          </w:p>
        </w:tc>
        <w:tc>
          <w:tcPr>
            <w:tcW w:w="6521" w:type="dxa"/>
            <w:tcBorders>
              <w:top w:val="single" w:color="auto" w:sz="4" w:space="0"/>
              <w:left w:val="single" w:color="auto" w:sz="4" w:space="0"/>
              <w:bottom w:val="single" w:color="auto" w:sz="4" w:space="0"/>
              <w:right w:val="single" w:color="auto" w:sz="4" w:space="0"/>
            </w:tcBorders>
            <w:vAlign w:val="center"/>
          </w:tcPr>
          <w:p w14:paraId="123DBAEE">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项目名称：阿图什市某单位信息化设备采购项目</w:t>
            </w:r>
          </w:p>
          <w:p w14:paraId="6A6D23F3">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项目编号：ATSCG-2025052</w:t>
            </w:r>
          </w:p>
          <w:p w14:paraId="4113C3E5">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采购内容：</w:t>
            </w:r>
            <w:r>
              <w:rPr>
                <w:rFonts w:hint="eastAsia" w:ascii="仿宋" w:hAnsi="仿宋" w:eastAsia="仿宋" w:cs="仿宋"/>
                <w:sz w:val="24"/>
                <w:szCs w:val="24"/>
                <w:lang w:eastAsia="zh-CN"/>
              </w:rPr>
              <w:t>信息化设备采购及安装。</w:t>
            </w:r>
            <w:r>
              <w:rPr>
                <w:rFonts w:hint="eastAsia" w:ascii="仿宋" w:hAnsi="仿宋" w:eastAsia="仿宋" w:cs="仿宋"/>
                <w:color w:val="auto"/>
                <w:sz w:val="24"/>
                <w:szCs w:val="24"/>
                <w:lang w:eastAsia="zh-CN"/>
              </w:rPr>
              <w:t>（具体内容详见谈判文件采购清单)</w:t>
            </w:r>
          </w:p>
          <w:p w14:paraId="4264DE39">
            <w:pPr>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供货期：</w:t>
            </w:r>
            <w:r>
              <w:rPr>
                <w:rFonts w:hint="eastAsia" w:ascii="仿宋" w:hAnsi="仿宋" w:eastAsia="仿宋" w:cs="仿宋"/>
                <w:b/>
                <w:bCs/>
                <w:color w:val="auto"/>
                <w:sz w:val="24"/>
                <w:szCs w:val="24"/>
                <w:highlight w:val="none"/>
                <w:lang w:eastAsia="zh-CN"/>
              </w:rPr>
              <w:t>甲乙双方签订合同后1</w:t>
            </w:r>
            <w:r>
              <w:rPr>
                <w:rFonts w:hint="eastAsia" w:ascii="仿宋" w:hAnsi="仿宋" w:eastAsia="仿宋" w:cs="仿宋"/>
                <w:b/>
                <w:bCs/>
                <w:color w:val="auto"/>
                <w:sz w:val="24"/>
                <w:szCs w:val="24"/>
                <w:highlight w:val="none"/>
                <w:lang w:val="en-US" w:eastAsia="zh-CN"/>
              </w:rPr>
              <w:t>0</w:t>
            </w:r>
            <w:r>
              <w:rPr>
                <w:rFonts w:hint="eastAsia" w:ascii="仿宋" w:hAnsi="仿宋" w:eastAsia="仿宋" w:cs="仿宋"/>
                <w:b/>
                <w:bCs/>
                <w:color w:val="auto"/>
                <w:sz w:val="24"/>
                <w:szCs w:val="24"/>
                <w:highlight w:val="none"/>
                <w:lang w:eastAsia="zh-CN"/>
              </w:rPr>
              <w:t>日内完成供货及安装并验收合格。</w:t>
            </w:r>
          </w:p>
        </w:tc>
      </w:tr>
      <w:tr w14:paraId="39182581">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653959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p>
        </w:tc>
        <w:tc>
          <w:tcPr>
            <w:tcW w:w="1992" w:type="dxa"/>
            <w:tcBorders>
              <w:top w:val="single" w:color="auto" w:sz="4" w:space="0"/>
              <w:left w:val="single" w:color="auto" w:sz="4" w:space="0"/>
              <w:bottom w:val="single" w:color="auto" w:sz="4" w:space="0"/>
              <w:right w:val="single" w:color="auto" w:sz="4" w:space="0"/>
            </w:tcBorders>
            <w:vAlign w:val="center"/>
          </w:tcPr>
          <w:p w14:paraId="41A2C899">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采购人信息</w:t>
            </w:r>
          </w:p>
        </w:tc>
        <w:tc>
          <w:tcPr>
            <w:tcW w:w="6521" w:type="dxa"/>
            <w:tcBorders>
              <w:top w:val="single" w:color="auto" w:sz="4" w:space="0"/>
              <w:left w:val="single" w:color="auto" w:sz="4" w:space="0"/>
              <w:bottom w:val="single" w:color="auto" w:sz="4" w:space="0"/>
              <w:right w:val="single" w:color="auto" w:sz="4" w:space="0"/>
            </w:tcBorders>
            <w:vAlign w:val="center"/>
          </w:tcPr>
          <w:p w14:paraId="116D8E5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名  称：</w:t>
            </w:r>
            <w:r>
              <w:rPr>
                <w:rFonts w:hint="eastAsia" w:ascii="仿宋" w:hAnsi="仿宋" w:eastAsia="仿宋" w:cs="仿宋"/>
                <w:i w:val="0"/>
                <w:iCs w:val="0"/>
                <w:caps w:val="0"/>
                <w:color w:val="auto"/>
                <w:spacing w:val="0"/>
                <w:sz w:val="24"/>
                <w:szCs w:val="24"/>
                <w:highlight w:val="none"/>
                <w:lang w:eastAsia="zh-CN"/>
              </w:rPr>
              <w:t>阿图什市某单位</w:t>
            </w:r>
          </w:p>
          <w:p w14:paraId="6ED00DE1">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联系人：龚先生      电  话：15160869238</w:t>
            </w:r>
          </w:p>
        </w:tc>
      </w:tr>
      <w:tr w14:paraId="15841001">
        <w:tblPrEx>
          <w:tblCellMar>
            <w:top w:w="0" w:type="dxa"/>
            <w:left w:w="108" w:type="dxa"/>
            <w:bottom w:w="0" w:type="dxa"/>
            <w:right w:w="108" w:type="dxa"/>
          </w:tblCellMar>
        </w:tblPrEx>
        <w:trPr>
          <w:trHeight w:val="87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049D3CC">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w:t>
            </w:r>
          </w:p>
        </w:tc>
        <w:tc>
          <w:tcPr>
            <w:tcW w:w="1992" w:type="dxa"/>
            <w:tcBorders>
              <w:top w:val="single" w:color="auto" w:sz="4" w:space="0"/>
              <w:left w:val="single" w:color="auto" w:sz="4" w:space="0"/>
              <w:bottom w:val="single" w:color="auto" w:sz="4" w:space="0"/>
              <w:right w:val="single" w:color="auto" w:sz="4" w:space="0"/>
            </w:tcBorders>
            <w:vAlign w:val="center"/>
          </w:tcPr>
          <w:p w14:paraId="5764A031">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采购代理机构</w:t>
            </w:r>
          </w:p>
        </w:tc>
        <w:tc>
          <w:tcPr>
            <w:tcW w:w="6521" w:type="dxa"/>
            <w:tcBorders>
              <w:top w:val="single" w:color="auto" w:sz="4" w:space="0"/>
              <w:left w:val="single" w:color="auto" w:sz="4" w:space="0"/>
              <w:bottom w:val="single" w:color="auto" w:sz="4" w:space="0"/>
              <w:right w:val="single" w:color="auto" w:sz="4" w:space="0"/>
            </w:tcBorders>
            <w:vAlign w:val="center"/>
          </w:tcPr>
          <w:p w14:paraId="014611B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名  称：中科建疆工程管理有限公司</w:t>
            </w:r>
          </w:p>
          <w:p w14:paraId="4EB3F5F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地  址：新疆克州阿图什石榴籽餐厅3楼</w:t>
            </w:r>
          </w:p>
          <w:p w14:paraId="72B6434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联系人：邓女士       电  话：13364782532</w:t>
            </w:r>
          </w:p>
        </w:tc>
      </w:tr>
      <w:tr w14:paraId="461BA075">
        <w:tblPrEx>
          <w:tblCellMar>
            <w:top w:w="0" w:type="dxa"/>
            <w:left w:w="108" w:type="dxa"/>
            <w:bottom w:w="0" w:type="dxa"/>
            <w:right w:w="108" w:type="dxa"/>
          </w:tblCellMar>
        </w:tblPrEx>
        <w:trPr>
          <w:trHeight w:val="14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D7AC3DC">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w:t>
            </w:r>
          </w:p>
        </w:tc>
        <w:tc>
          <w:tcPr>
            <w:tcW w:w="1992" w:type="dxa"/>
            <w:tcBorders>
              <w:top w:val="single" w:color="auto" w:sz="4" w:space="0"/>
              <w:left w:val="single" w:color="auto" w:sz="4" w:space="0"/>
              <w:bottom w:val="single" w:color="auto" w:sz="4" w:space="0"/>
              <w:right w:val="single" w:color="auto" w:sz="4" w:space="0"/>
            </w:tcBorders>
            <w:vAlign w:val="center"/>
          </w:tcPr>
          <w:p w14:paraId="5741B93A">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最终交货地点</w:t>
            </w:r>
          </w:p>
        </w:tc>
        <w:tc>
          <w:tcPr>
            <w:tcW w:w="6521" w:type="dxa"/>
            <w:tcBorders>
              <w:top w:val="single" w:color="auto" w:sz="4" w:space="0"/>
              <w:left w:val="single" w:color="auto" w:sz="4" w:space="0"/>
              <w:bottom w:val="single" w:color="auto" w:sz="4" w:space="0"/>
              <w:right w:val="single" w:color="auto" w:sz="4" w:space="0"/>
            </w:tcBorders>
            <w:vAlign w:val="center"/>
          </w:tcPr>
          <w:p w14:paraId="152A282D">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采购单位指定地点</w:t>
            </w:r>
          </w:p>
        </w:tc>
      </w:tr>
      <w:tr w14:paraId="25CC989D">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27F479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14:paraId="4BF20BEB">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资格要求</w:t>
            </w:r>
          </w:p>
        </w:tc>
        <w:tc>
          <w:tcPr>
            <w:tcW w:w="6521" w:type="dxa"/>
            <w:tcBorders>
              <w:top w:val="single" w:color="auto" w:sz="4" w:space="0"/>
              <w:left w:val="single" w:color="auto" w:sz="4" w:space="0"/>
              <w:bottom w:val="single" w:color="auto" w:sz="4" w:space="0"/>
              <w:right w:val="single" w:color="auto" w:sz="4" w:space="0"/>
            </w:tcBorders>
            <w:vAlign w:val="center"/>
          </w:tcPr>
          <w:p w14:paraId="45327F2E">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1.满足《中华人民共和国政府采购法》第二十二条规定；</w:t>
            </w:r>
          </w:p>
          <w:p w14:paraId="0D4AFAE5">
            <w:pPr>
              <w:spacing w:line="360" w:lineRule="auto"/>
              <w:rPr>
                <w:rFonts w:hint="eastAsia" w:ascii="仿宋" w:hAnsi="仿宋" w:eastAsia="仿宋" w:cs="仿宋"/>
                <w:color w:val="0000FF"/>
                <w:sz w:val="24"/>
                <w:szCs w:val="24"/>
                <w:lang w:eastAsia="zh-CN"/>
              </w:rPr>
            </w:pPr>
            <w:r>
              <w:rPr>
                <w:rFonts w:hint="eastAsia" w:ascii="仿宋" w:hAnsi="仿宋" w:eastAsia="仿宋" w:cs="仿宋"/>
                <w:color w:val="auto"/>
                <w:sz w:val="24"/>
                <w:szCs w:val="24"/>
                <w:lang w:eastAsia="zh-CN"/>
              </w:rPr>
              <w:t>2.落实政府采购政策需满足的资格要求：</w:t>
            </w:r>
            <w:r>
              <w:rPr>
                <w:rFonts w:hint="eastAsia" w:ascii="仿宋" w:hAnsi="仿宋" w:eastAsia="仿宋" w:cs="仿宋"/>
                <w:color w:val="0000FF"/>
                <w:sz w:val="24"/>
                <w:szCs w:val="24"/>
                <w:lang w:eastAsia="zh-CN"/>
              </w:rPr>
              <w:t>为非专门面向中小企业，根据《政府采购促进中小企业发展管理办法》（财库【2020】46号）及（财库[2022]19号）的规定，评标时将给予此类企业进行价格扣除10%的优惠，用优惠后的价格参与评审。 </w:t>
            </w:r>
          </w:p>
          <w:p w14:paraId="1CE971A0">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3.本项目的特定资格要求：</w:t>
            </w:r>
          </w:p>
          <w:p w14:paraId="28ED42DB">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（1）具备三证合一营业执照副本；</w:t>
            </w:r>
            <w:r>
              <w:rPr>
                <w:rFonts w:hint="eastAsia" w:ascii="仿宋" w:hAnsi="仿宋" w:eastAsia="仿宋" w:cs="仿宋"/>
                <w:color w:val="auto"/>
                <w:sz w:val="24"/>
                <w:szCs w:val="24"/>
                <w:lang w:val="en-US" w:eastAsia="zh-CN"/>
              </w:rPr>
              <w:tab/>
            </w:r>
          </w:p>
          <w:p w14:paraId="61BE435C">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（2）法定代表人投标需提供法定代表人资格证明书，委托代理人投标需提供法定代表人授权委托书；</w:t>
            </w:r>
          </w:p>
          <w:p w14:paraId="7CACA77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）投标企业须提供投标人（被授权在职人员）近6个月内任意一个月有效的社保证明；</w:t>
            </w:r>
          </w:p>
          <w:p w14:paraId="27B1ECF0">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43A730DA">
            <w:pPr>
              <w:pStyle w:val="22"/>
              <w:ind w:left="0" w:leftChars="0" w:firstLine="0" w:firstLineChars="0"/>
              <w:rPr>
                <w:rFonts w:hint="eastAsia" w:ascii="仿宋" w:hAnsi="仿宋" w:eastAsia="仿宋" w:cs="仿宋"/>
                <w:b w:val="0"/>
                <w:bCs/>
                <w:color w:val="auto"/>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b w:val="0"/>
                <w:bCs/>
                <w:color w:val="auto"/>
                <w:sz w:val="24"/>
                <w:szCs w:val="24"/>
                <w:lang w:val="en-US" w:eastAsia="zh-CN"/>
              </w:rPr>
              <w:t>提供反商业贿赂承诺书（自拟）</w:t>
            </w:r>
          </w:p>
          <w:p w14:paraId="08D76D37">
            <w:pPr>
              <w:pStyle w:val="22"/>
              <w:ind w:left="0" w:leftChars="0" w:firstLine="0" w:firstLineChars="0"/>
              <w:rPr>
                <w:rFonts w:hint="default" w:ascii="仿宋" w:hAnsi="仿宋" w:eastAsia="仿宋" w:cs="仿宋"/>
                <w:color w:val="auto"/>
                <w:sz w:val="24"/>
                <w:szCs w:val="24"/>
                <w:lang w:val="en-US" w:eastAsia="zh-CN"/>
              </w:rPr>
            </w:pPr>
            <w:r>
              <w:rPr>
                <w:rFonts w:hint="eastAsia" w:ascii="仿宋" w:hAnsi="仿宋" w:eastAsia="仿宋" w:cs="仿宋"/>
                <w:b w:val="0"/>
                <w:bCs/>
                <w:color w:val="auto"/>
                <w:sz w:val="24"/>
                <w:szCs w:val="24"/>
                <w:lang w:val="en-US" w:eastAsia="zh-CN"/>
              </w:rPr>
              <w:t>5.财务状况良好，具备2023年或2024年经会计事务所提供的有效地财务审计报告及财务报表；（不满1年的提供成立公司以来的财务审计报告）；投标人没有处于财产被接管、破产或其它关、停、并、转现象。</w:t>
            </w:r>
          </w:p>
          <w:p w14:paraId="041D4573">
            <w:pPr>
              <w:spacing w:line="360" w:lineRule="auto"/>
              <w:rPr>
                <w:rFonts w:hint="eastAsia"/>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.本项目不接受联合体投标。</w:t>
            </w:r>
          </w:p>
        </w:tc>
      </w:tr>
      <w:tr w14:paraId="004FBEEF">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4CA4A6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14:paraId="587A57E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资金来源</w:t>
            </w:r>
          </w:p>
        </w:tc>
        <w:tc>
          <w:tcPr>
            <w:tcW w:w="6521" w:type="dxa"/>
            <w:tcBorders>
              <w:top w:val="single" w:color="auto" w:sz="4" w:space="0"/>
              <w:left w:val="single" w:color="auto" w:sz="4" w:space="0"/>
              <w:bottom w:val="single" w:color="auto" w:sz="4" w:space="0"/>
              <w:right w:val="single" w:color="auto" w:sz="4" w:space="0"/>
            </w:tcBorders>
            <w:vAlign w:val="center"/>
          </w:tcPr>
          <w:p w14:paraId="63E0E4EB">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专项资金</w:t>
            </w:r>
          </w:p>
        </w:tc>
      </w:tr>
      <w:tr w14:paraId="0B6BCBF5">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6316A2F">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w:t>
            </w:r>
          </w:p>
        </w:tc>
        <w:tc>
          <w:tcPr>
            <w:tcW w:w="1992" w:type="dxa"/>
            <w:tcBorders>
              <w:top w:val="single" w:color="auto" w:sz="4" w:space="0"/>
              <w:left w:val="single" w:color="auto" w:sz="4" w:space="0"/>
              <w:bottom w:val="single" w:color="auto" w:sz="4" w:space="0"/>
              <w:right w:val="single" w:color="auto" w:sz="4" w:space="0"/>
            </w:tcBorders>
            <w:vAlign w:val="center"/>
          </w:tcPr>
          <w:p w14:paraId="217352B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招标方式</w:t>
            </w:r>
          </w:p>
        </w:tc>
        <w:tc>
          <w:tcPr>
            <w:tcW w:w="6521" w:type="dxa"/>
            <w:tcBorders>
              <w:top w:val="single" w:color="auto" w:sz="4" w:space="0"/>
              <w:left w:val="single" w:color="auto" w:sz="4" w:space="0"/>
              <w:bottom w:val="single" w:color="auto" w:sz="4" w:space="0"/>
              <w:right w:val="single" w:color="auto" w:sz="4" w:space="0"/>
            </w:tcBorders>
            <w:vAlign w:val="center"/>
          </w:tcPr>
          <w:p w14:paraId="5524F90D">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竞争性谈判(本项目采用网上电子招投标)  </w:t>
            </w:r>
          </w:p>
        </w:tc>
      </w:tr>
      <w:tr w14:paraId="67298688">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B2A2A0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8</w:t>
            </w:r>
          </w:p>
        </w:tc>
        <w:tc>
          <w:tcPr>
            <w:tcW w:w="1992" w:type="dxa"/>
            <w:tcBorders>
              <w:top w:val="single" w:color="auto" w:sz="4" w:space="0"/>
              <w:left w:val="single" w:color="auto" w:sz="4" w:space="0"/>
              <w:bottom w:val="single" w:color="auto" w:sz="4" w:space="0"/>
              <w:right w:val="single" w:color="auto" w:sz="4" w:space="0"/>
            </w:tcBorders>
            <w:vAlign w:val="center"/>
          </w:tcPr>
          <w:p w14:paraId="70ADF897">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供应商信用查询</w:t>
            </w:r>
          </w:p>
        </w:tc>
        <w:tc>
          <w:tcPr>
            <w:tcW w:w="6521" w:type="dxa"/>
            <w:tcBorders>
              <w:top w:val="single" w:color="auto" w:sz="4" w:space="0"/>
              <w:left w:val="single" w:color="auto" w:sz="4" w:space="0"/>
              <w:bottom w:val="single" w:color="auto" w:sz="4" w:space="0"/>
              <w:right w:val="single" w:color="auto" w:sz="4" w:space="0"/>
            </w:tcBorders>
            <w:vAlign w:val="center"/>
          </w:tcPr>
          <w:p w14:paraId="575BC6F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1、查询渠道：信用中国（网址：http://www.creditchina.gov.cn）、中国政府采购网(网址：http://www.ccgp.gov.cn）。</w:t>
            </w:r>
          </w:p>
          <w:p w14:paraId="5BF06EF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2、截止时点：开标后评标前。</w:t>
            </w:r>
          </w:p>
          <w:p w14:paraId="7FBBF49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3、信用信息查询记录和证据留存的具体方式：由采购组织机构在规定查询时间内打印信用信息查询记录并归入项目档案。</w:t>
            </w:r>
          </w:p>
          <w:p w14:paraId="6AA7A96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54361A4B">
        <w:tblPrEx>
          <w:tblCellMar>
            <w:top w:w="0" w:type="dxa"/>
            <w:left w:w="108" w:type="dxa"/>
            <w:bottom w:w="0" w:type="dxa"/>
            <w:right w:w="108" w:type="dxa"/>
          </w:tblCellMar>
        </w:tblPrEx>
        <w:trPr>
          <w:trHeight w:val="696"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361969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9</w:t>
            </w:r>
          </w:p>
        </w:tc>
        <w:tc>
          <w:tcPr>
            <w:tcW w:w="1992" w:type="dxa"/>
            <w:tcBorders>
              <w:top w:val="single" w:color="auto" w:sz="4" w:space="0"/>
              <w:left w:val="single" w:color="auto" w:sz="4" w:space="0"/>
              <w:bottom w:val="single" w:color="auto" w:sz="4" w:space="0"/>
              <w:right w:val="single" w:color="auto" w:sz="4" w:space="0"/>
            </w:tcBorders>
            <w:vAlign w:val="center"/>
          </w:tcPr>
          <w:p w14:paraId="747308C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是否接受联合体投标</w:t>
            </w:r>
          </w:p>
        </w:tc>
        <w:tc>
          <w:tcPr>
            <w:tcW w:w="6521" w:type="dxa"/>
            <w:tcBorders>
              <w:top w:val="single" w:color="auto" w:sz="4" w:space="0"/>
              <w:left w:val="single" w:color="auto" w:sz="4" w:space="0"/>
              <w:bottom w:val="single" w:color="auto" w:sz="4" w:space="0"/>
              <w:right w:val="single" w:color="auto" w:sz="4" w:space="0"/>
            </w:tcBorders>
            <w:vAlign w:val="center"/>
          </w:tcPr>
          <w:p w14:paraId="5E4499A9">
            <w:pPr>
              <w:spacing w:line="360" w:lineRule="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lang w:eastAsia="zh-CN"/>
              </w:rPr>
              <w:t>不接受</w:t>
            </w:r>
          </w:p>
          <w:p w14:paraId="567F05A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□接  受</w:t>
            </w:r>
          </w:p>
        </w:tc>
      </w:tr>
      <w:tr w14:paraId="5B6DD9EB">
        <w:tblPrEx>
          <w:tblCellMar>
            <w:top w:w="0" w:type="dxa"/>
            <w:left w:w="108" w:type="dxa"/>
            <w:bottom w:w="0" w:type="dxa"/>
            <w:right w:w="108" w:type="dxa"/>
          </w:tblCellMar>
        </w:tblPrEx>
        <w:trPr>
          <w:trHeight w:val="66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1BCA29">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992" w:type="dxa"/>
            <w:tcBorders>
              <w:top w:val="single" w:color="auto" w:sz="4" w:space="0"/>
              <w:left w:val="single" w:color="auto" w:sz="4" w:space="0"/>
              <w:bottom w:val="single" w:color="auto" w:sz="4" w:space="0"/>
              <w:right w:val="single" w:color="auto" w:sz="4" w:space="0"/>
            </w:tcBorders>
            <w:vAlign w:val="center"/>
          </w:tcPr>
          <w:p w14:paraId="33539B7F">
            <w:pPr>
              <w:spacing w:line="360" w:lineRule="auto"/>
              <w:jc w:val="center"/>
              <w:rPr>
                <w:rFonts w:hint="eastAsia" w:ascii="仿宋" w:hAnsi="仿宋" w:eastAsia="仿宋" w:cs="仿宋"/>
                <w:b/>
                <w:bCs/>
                <w:color w:val="auto"/>
                <w:sz w:val="24"/>
                <w:szCs w:val="24"/>
                <w:lang w:eastAsia="zh-CN"/>
              </w:rPr>
            </w:pPr>
            <w:r>
              <w:rPr>
                <w:rFonts w:hint="eastAsia" w:ascii="仿宋" w:hAnsi="仿宋" w:eastAsia="仿宋" w:cs="仿宋"/>
                <w:b w:val="0"/>
                <w:bCs w:val="0"/>
                <w:color w:val="auto"/>
                <w:sz w:val="24"/>
                <w:szCs w:val="24"/>
                <w:highlight w:val="none"/>
                <w:lang w:eastAsia="zh-CN"/>
              </w:rPr>
              <w:t>踏勘现场</w:t>
            </w:r>
          </w:p>
        </w:tc>
        <w:tc>
          <w:tcPr>
            <w:tcW w:w="6521" w:type="dxa"/>
            <w:tcBorders>
              <w:top w:val="single" w:color="auto" w:sz="4" w:space="0"/>
              <w:left w:val="single" w:color="auto" w:sz="4" w:space="0"/>
              <w:bottom w:val="single" w:color="auto" w:sz="4" w:space="0"/>
              <w:right w:val="single" w:color="auto" w:sz="4" w:space="0"/>
            </w:tcBorders>
            <w:vAlign w:val="center"/>
          </w:tcPr>
          <w:p w14:paraId="5FA1F963">
            <w:pPr>
              <w:spacing w:line="360" w:lineRule="auto"/>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☑不组织，</w:t>
            </w:r>
          </w:p>
          <w:p w14:paraId="60C4A36A">
            <w:pPr>
              <w:spacing w:line="360" w:lineRule="auto"/>
              <w:jc w:val="left"/>
              <w:rPr>
                <w:rFonts w:hint="eastAsia" w:ascii="仿宋" w:hAnsi="仿宋" w:eastAsia="仿宋" w:cs="仿宋"/>
                <w:b/>
                <w:bCs/>
                <w:color w:val="auto"/>
                <w:sz w:val="24"/>
                <w:szCs w:val="24"/>
                <w:lang w:eastAsia="zh-CN"/>
              </w:rPr>
            </w:pPr>
            <w:r>
              <w:rPr>
                <w:rFonts w:hint="eastAsia" w:ascii="仿宋" w:hAnsi="仿宋" w:eastAsia="仿宋" w:cs="仿宋"/>
                <w:b w:val="0"/>
                <w:bCs w:val="0"/>
                <w:color w:val="auto"/>
                <w:sz w:val="24"/>
                <w:szCs w:val="24"/>
                <w:lang w:eastAsia="zh-CN"/>
              </w:rPr>
              <w:t>□组织，投标人自行组织踏勘，踏勘现场时需于甲方联系。</w:t>
            </w:r>
          </w:p>
        </w:tc>
      </w:tr>
      <w:tr w14:paraId="1A087C5B">
        <w:tblPrEx>
          <w:tblCellMar>
            <w:top w:w="0" w:type="dxa"/>
            <w:left w:w="108" w:type="dxa"/>
            <w:bottom w:w="0" w:type="dxa"/>
            <w:right w:w="108" w:type="dxa"/>
          </w:tblCellMar>
        </w:tblPrEx>
        <w:trPr>
          <w:trHeight w:val="79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61A0C72">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7535651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投标截止时间 （开标时间）</w:t>
            </w:r>
          </w:p>
        </w:tc>
        <w:tc>
          <w:tcPr>
            <w:tcW w:w="6521" w:type="dxa"/>
            <w:tcBorders>
              <w:top w:val="single" w:color="auto" w:sz="4" w:space="0"/>
              <w:left w:val="single" w:color="auto" w:sz="4" w:space="0"/>
              <w:bottom w:val="single" w:color="auto" w:sz="4" w:space="0"/>
              <w:right w:val="single" w:color="auto" w:sz="4" w:space="0"/>
            </w:tcBorders>
            <w:vAlign w:val="center"/>
          </w:tcPr>
          <w:p w14:paraId="077A68EA">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截止时间：</w:t>
            </w:r>
            <w:r>
              <w:rPr>
                <w:rFonts w:hint="eastAsia" w:ascii="仿宋" w:hAnsi="仿宋" w:eastAsia="仿宋" w:cs="仿宋"/>
                <w:color w:val="0000FF"/>
                <w:sz w:val="24"/>
                <w:szCs w:val="24"/>
                <w:lang w:eastAsia="zh-CN"/>
              </w:rPr>
              <w:t>202</w:t>
            </w:r>
            <w:r>
              <w:rPr>
                <w:rFonts w:hint="eastAsia" w:ascii="仿宋" w:hAnsi="仿宋" w:eastAsia="仿宋" w:cs="仿宋"/>
                <w:color w:val="0000FF"/>
                <w:sz w:val="24"/>
                <w:szCs w:val="24"/>
                <w:lang w:val="en-US" w:eastAsia="zh-CN"/>
              </w:rPr>
              <w:t>5</w:t>
            </w:r>
            <w:r>
              <w:rPr>
                <w:rFonts w:hint="eastAsia" w:ascii="仿宋" w:hAnsi="仿宋" w:eastAsia="仿宋" w:cs="仿宋"/>
                <w:color w:val="0000FF"/>
                <w:sz w:val="24"/>
                <w:szCs w:val="24"/>
                <w:lang w:eastAsia="zh-CN"/>
              </w:rPr>
              <w:t>年</w:t>
            </w:r>
            <w:r>
              <w:rPr>
                <w:rFonts w:hint="eastAsia" w:ascii="仿宋" w:hAnsi="仿宋" w:eastAsia="仿宋" w:cs="仿宋"/>
                <w:color w:val="0000FF"/>
                <w:sz w:val="24"/>
                <w:szCs w:val="24"/>
                <w:lang w:val="en-US" w:eastAsia="zh-CN"/>
              </w:rPr>
              <w:t>07月07</w:t>
            </w:r>
            <w:r>
              <w:rPr>
                <w:rFonts w:hint="eastAsia" w:ascii="仿宋" w:hAnsi="仿宋" w:eastAsia="仿宋" w:cs="仿宋"/>
                <w:color w:val="0000FF"/>
                <w:sz w:val="24"/>
                <w:szCs w:val="24"/>
                <w:lang w:eastAsia="zh-CN"/>
              </w:rPr>
              <w:t>日上午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时</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eastAsia="zh-CN"/>
              </w:rPr>
              <w:t>分（北京时间）</w:t>
            </w:r>
          </w:p>
        </w:tc>
      </w:tr>
      <w:tr w14:paraId="7023D361">
        <w:tblPrEx>
          <w:tblCellMar>
            <w:top w:w="0" w:type="dxa"/>
            <w:left w:w="108" w:type="dxa"/>
            <w:bottom w:w="0" w:type="dxa"/>
            <w:right w:w="108" w:type="dxa"/>
          </w:tblCellMar>
        </w:tblPrEx>
        <w:trPr>
          <w:trHeight w:val="68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9297A1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2</w:t>
            </w:r>
          </w:p>
        </w:tc>
        <w:tc>
          <w:tcPr>
            <w:tcW w:w="1992" w:type="dxa"/>
            <w:tcBorders>
              <w:top w:val="single" w:color="auto" w:sz="4" w:space="0"/>
              <w:left w:val="single" w:color="auto" w:sz="4" w:space="0"/>
              <w:bottom w:val="single" w:color="auto" w:sz="4" w:space="0"/>
              <w:right w:val="single" w:color="auto" w:sz="4" w:space="0"/>
            </w:tcBorders>
            <w:vAlign w:val="center"/>
          </w:tcPr>
          <w:p w14:paraId="26740680">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投标有效期</w:t>
            </w:r>
          </w:p>
        </w:tc>
        <w:tc>
          <w:tcPr>
            <w:tcW w:w="6521" w:type="dxa"/>
            <w:tcBorders>
              <w:top w:val="single" w:color="auto" w:sz="4" w:space="0"/>
              <w:left w:val="single" w:color="auto" w:sz="4" w:space="0"/>
              <w:bottom w:val="single" w:color="auto" w:sz="4" w:space="0"/>
              <w:right w:val="single" w:color="auto" w:sz="4" w:space="0"/>
            </w:tcBorders>
            <w:vAlign w:val="center"/>
          </w:tcPr>
          <w:p w14:paraId="4F8EB31A">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投标有效期为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val="en-US" w:eastAsia="zh-CN"/>
              </w:rPr>
              <w:t>60</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日历天（从投标截止之日算起）。在此期限内，凡符合本谈判文件要求的响应文件均保持有效。</w:t>
            </w:r>
          </w:p>
        </w:tc>
      </w:tr>
      <w:tr w14:paraId="7687C77F">
        <w:tblPrEx>
          <w:tblCellMar>
            <w:top w:w="0" w:type="dxa"/>
            <w:left w:w="108" w:type="dxa"/>
            <w:bottom w:w="0" w:type="dxa"/>
            <w:right w:w="108" w:type="dxa"/>
          </w:tblCellMar>
        </w:tblPrEx>
        <w:trPr>
          <w:trHeight w:val="63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4BA5BC">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3</w:t>
            </w:r>
          </w:p>
        </w:tc>
        <w:tc>
          <w:tcPr>
            <w:tcW w:w="1992" w:type="dxa"/>
            <w:tcBorders>
              <w:top w:val="single" w:color="auto" w:sz="4" w:space="0"/>
              <w:left w:val="single" w:color="auto" w:sz="4" w:space="0"/>
              <w:bottom w:val="single" w:color="auto" w:sz="4" w:space="0"/>
              <w:right w:val="single" w:color="auto" w:sz="4" w:space="0"/>
            </w:tcBorders>
            <w:vAlign w:val="center"/>
          </w:tcPr>
          <w:p w14:paraId="0726E93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投标保证金</w:t>
            </w:r>
          </w:p>
        </w:tc>
        <w:tc>
          <w:tcPr>
            <w:tcW w:w="6521" w:type="dxa"/>
            <w:tcBorders>
              <w:top w:val="single" w:color="auto" w:sz="4" w:space="0"/>
              <w:left w:val="single" w:color="auto" w:sz="4" w:space="0"/>
              <w:bottom w:val="single" w:color="auto" w:sz="4" w:space="0"/>
              <w:right w:val="single" w:color="auto" w:sz="4" w:space="0"/>
            </w:tcBorders>
            <w:vAlign w:val="center"/>
          </w:tcPr>
          <w:p w14:paraId="7CB7342A">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一、投标保证金交纳要求：</w:t>
            </w:r>
          </w:p>
          <w:p w14:paraId="7557ED84">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投标保证金应当以支票、汇票、本票、网上银行支付等方式，优先推荐金融机构、担保机构出具的保函等非现金形式缴纳。</w:t>
            </w:r>
          </w:p>
          <w:p w14:paraId="7136D914">
            <w:pPr>
              <w:numPr>
                <w:ilvl w:val="0"/>
                <w:numId w:val="0"/>
              </w:numPr>
              <w:shd w:val="clear" w:color="auto" w:fill="auto"/>
              <w:spacing w:line="360" w:lineRule="auto"/>
              <w:jc w:val="left"/>
              <w:rPr>
                <w:rFonts w:hint="default" w:ascii="仿宋" w:hAnsi="仿宋" w:eastAsia="仿宋" w:cs="仿宋"/>
                <w:color w:val="auto"/>
                <w:lang w:val="en-US" w:eastAsia="zh-CN"/>
              </w:rPr>
            </w:pPr>
            <w:r>
              <w:rPr>
                <w:rFonts w:hint="eastAsia" w:ascii="仿宋" w:hAnsi="仿宋" w:eastAsia="仿宋" w:cs="仿宋"/>
                <w:color w:val="auto"/>
                <w:lang w:eastAsia="zh-CN"/>
              </w:rPr>
              <w:t>投标保证金金额</w:t>
            </w:r>
            <w:r>
              <w:rPr>
                <w:rFonts w:hint="eastAsia" w:ascii="仿宋" w:hAnsi="仿宋" w:eastAsia="仿宋" w:cs="仿宋"/>
                <w:color w:val="auto"/>
                <w:lang w:val="en-US" w:eastAsia="zh-CN"/>
              </w:rPr>
              <w:t>：15000.00元（壹万伍仟元整）</w:t>
            </w:r>
          </w:p>
          <w:p w14:paraId="0011A847">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14:paraId="29D22771">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2、其他特殊情况处理：有效投标保证金成功交纳后，截止开标时间，供应商无正当理由不参加该项目投标且不递交弃标函，投标保证金不予退还。</w:t>
            </w:r>
          </w:p>
          <w:p w14:paraId="77BD6E85">
            <w:pPr>
              <w:numPr>
                <w:ilvl w:val="0"/>
                <w:numId w:val="0"/>
              </w:numPr>
              <w:shd w:val="clear" w:color="auto" w:fill="auto"/>
              <w:spacing w:line="360" w:lineRule="auto"/>
              <w:jc w:val="left"/>
              <w:rPr>
                <w:rFonts w:hint="eastAsia" w:ascii="仿宋" w:hAnsi="仿宋" w:eastAsia="仿宋" w:cs="仿宋"/>
                <w:color w:val="0000FF"/>
                <w:lang w:val="en-US" w:eastAsia="zh-CN"/>
              </w:rPr>
            </w:pPr>
            <w:r>
              <w:rPr>
                <w:rFonts w:hint="eastAsia" w:ascii="仿宋" w:hAnsi="仿宋" w:eastAsia="仿宋" w:cs="仿宋"/>
                <w:color w:val="auto"/>
                <w:lang w:val="en-US" w:eastAsia="zh-CN"/>
              </w:rPr>
              <w:t> </w:t>
            </w:r>
            <w:r>
              <w:rPr>
                <w:rFonts w:hint="eastAsia" w:ascii="仿宋" w:hAnsi="仿宋" w:eastAsia="仿宋" w:cs="仿宋"/>
                <w:color w:val="0000FF"/>
                <w:lang w:val="en-US" w:eastAsia="zh-CN"/>
              </w:rPr>
              <w:t>户名：阿图什市政务服务和公共资源交易中心</w:t>
            </w:r>
          </w:p>
          <w:p w14:paraId="7FD2495D">
            <w:pPr>
              <w:numPr>
                <w:ilvl w:val="0"/>
                <w:numId w:val="0"/>
              </w:numPr>
              <w:shd w:val="clear" w:color="auto" w:fill="auto"/>
              <w:spacing w:line="360" w:lineRule="auto"/>
              <w:jc w:val="left"/>
              <w:rPr>
                <w:rFonts w:hint="eastAsia" w:ascii="仿宋" w:hAnsi="仿宋" w:eastAsia="仿宋" w:cs="仿宋"/>
                <w:color w:val="0000FF"/>
                <w:lang w:val="en-US" w:eastAsia="zh-CN"/>
              </w:rPr>
            </w:pPr>
            <w:r>
              <w:rPr>
                <w:rFonts w:hint="eastAsia" w:ascii="仿宋" w:hAnsi="仿宋" w:eastAsia="仿宋" w:cs="仿宋"/>
                <w:color w:val="0000FF"/>
                <w:lang w:val="en-US" w:eastAsia="zh-CN"/>
              </w:rPr>
              <w:t> 账号：30456301040005267</w:t>
            </w:r>
          </w:p>
          <w:p w14:paraId="0F4B5476">
            <w:pPr>
              <w:numPr>
                <w:ilvl w:val="0"/>
                <w:numId w:val="0"/>
              </w:numPr>
              <w:shd w:val="clear" w:color="auto" w:fill="auto"/>
              <w:spacing w:line="360" w:lineRule="auto"/>
              <w:jc w:val="left"/>
              <w:rPr>
                <w:rFonts w:hint="eastAsia" w:ascii="仿宋" w:hAnsi="仿宋" w:eastAsia="仿宋" w:cs="仿宋"/>
                <w:color w:val="0000FF"/>
                <w:lang w:val="en-US" w:eastAsia="zh-CN"/>
              </w:rPr>
            </w:pPr>
            <w:r>
              <w:rPr>
                <w:rFonts w:hint="eastAsia" w:ascii="仿宋" w:hAnsi="仿宋" w:eastAsia="仿宋" w:cs="仿宋"/>
                <w:color w:val="0000FF"/>
                <w:lang w:val="en-US" w:eastAsia="zh-CN"/>
              </w:rPr>
              <w:t> 行名：中国农业银行阿图什市天山分理处</w:t>
            </w:r>
          </w:p>
          <w:p w14:paraId="3338ADB2">
            <w:pPr>
              <w:numPr>
                <w:ilvl w:val="0"/>
                <w:numId w:val="0"/>
              </w:numPr>
              <w:shd w:val="clear" w:color="auto" w:fill="auto"/>
              <w:spacing w:line="360" w:lineRule="auto"/>
              <w:jc w:val="left"/>
              <w:rPr>
                <w:rFonts w:hint="eastAsia" w:ascii="仿宋" w:hAnsi="仿宋" w:eastAsia="仿宋" w:cs="仿宋"/>
                <w:color w:val="0000FF"/>
                <w:lang w:val="en-US" w:eastAsia="zh-CN"/>
              </w:rPr>
            </w:pPr>
            <w:r>
              <w:rPr>
                <w:rFonts w:hint="eastAsia" w:ascii="仿宋" w:hAnsi="仿宋" w:eastAsia="仿宋" w:cs="仿宋"/>
                <w:color w:val="0000FF"/>
                <w:lang w:val="en-US" w:eastAsia="zh-CN"/>
              </w:rPr>
              <w:t> 行号：103893045636</w:t>
            </w:r>
          </w:p>
          <w:p w14:paraId="61C848A2">
            <w:pPr>
              <w:numPr>
                <w:ilvl w:val="0"/>
                <w:numId w:val="0"/>
              </w:numPr>
              <w:shd w:val="clear" w:color="auto" w:fill="auto"/>
              <w:spacing w:line="360" w:lineRule="auto"/>
              <w:jc w:val="left"/>
              <w:rPr>
                <w:rFonts w:hint="eastAsia" w:ascii="仿宋" w:hAnsi="仿宋" w:eastAsia="仿宋" w:cs="仿宋"/>
                <w:color w:val="0000FF"/>
                <w:lang w:val="en-US" w:eastAsia="zh-CN"/>
              </w:rPr>
            </w:pPr>
            <w:r>
              <w:rPr>
                <w:rFonts w:hint="eastAsia" w:ascii="仿宋" w:hAnsi="仿宋" w:eastAsia="仿宋" w:cs="仿宋"/>
                <w:color w:val="0000FF"/>
                <w:lang w:val="en-US" w:eastAsia="zh-CN"/>
              </w:rPr>
              <w:t> 联系人：古女士</w:t>
            </w:r>
          </w:p>
          <w:p w14:paraId="3B97CD2A">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0000FF"/>
                <w:lang w:val="en-US" w:eastAsia="zh-CN"/>
              </w:rPr>
              <w:t xml:space="preserve"> 电话：0908-4222076 </w:t>
            </w:r>
            <w:r>
              <w:rPr>
                <w:rFonts w:hint="eastAsia" w:ascii="仿宋" w:hAnsi="仿宋" w:eastAsia="仿宋" w:cs="仿宋"/>
                <w:color w:val="auto"/>
                <w:lang w:val="en-US" w:eastAsia="zh-CN"/>
              </w:rPr>
              <w:t xml:space="preserve"> </w:t>
            </w:r>
          </w:p>
          <w:p w14:paraId="4687F354">
            <w:pPr>
              <w:spacing w:line="360" w:lineRule="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（备注：交易用途必须写清楚xx项目保证金）</w:t>
            </w:r>
          </w:p>
          <w:p w14:paraId="6B1BEE24">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二、申请退还投标保证金资料（招投标结束中标结果公示后）：</w:t>
            </w:r>
          </w:p>
          <w:p w14:paraId="1FEC5A8B">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1、投标企业：待开标完成后，未中标企业3</w:t>
            </w:r>
            <w:r>
              <w:rPr>
                <w:rFonts w:hint="eastAsia" w:ascii="仿宋" w:hAnsi="仿宋" w:eastAsia="仿宋" w:cs="仿宋"/>
                <w:color w:val="auto"/>
                <w:lang w:val="en-US" w:eastAsia="zh-CN"/>
              </w:rPr>
              <w:t>-5</w:t>
            </w:r>
            <w:r>
              <w:rPr>
                <w:rFonts w:hint="eastAsia" w:ascii="仿宋" w:hAnsi="仿宋" w:eastAsia="仿宋" w:cs="仿宋"/>
                <w:color w:val="auto"/>
                <w:lang w:eastAsia="zh-CN"/>
              </w:rPr>
              <w:t>个工作日内政资中心将收取的项目投标保证金按投标企业基本户退回。</w:t>
            </w:r>
          </w:p>
          <w:p w14:paraId="4F56E9F2">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2、中标企业：合同签订后携带打款凭证、中标通知书及合同（所有复印件需加盖鲜章）前往交易中心由财务人员核对后退还。</w:t>
            </w:r>
          </w:p>
          <w:p w14:paraId="4CE00FBC">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三、其他特殊情况处理：</w:t>
            </w:r>
          </w:p>
          <w:p w14:paraId="67E2523B">
            <w:pPr>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lang w:eastAsia="zh-CN"/>
              </w:rPr>
              <w:t>1、按照招标文件要求规定：投标企业无正当理由不参加该项目投标且在规定开标时间前不递交弃标函，投标保证金不予退还。</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color w:val="auto"/>
                <w:highlight w:val="none"/>
                <w:lang w:val="en-US" w:eastAsia="zh-CN"/>
              </w:rPr>
              <w:t xml:space="preserve"> </w:t>
            </w:r>
          </w:p>
        </w:tc>
      </w:tr>
      <w:tr w14:paraId="386B4EFB">
        <w:tblPrEx>
          <w:tblCellMar>
            <w:top w:w="0" w:type="dxa"/>
            <w:left w:w="108" w:type="dxa"/>
            <w:bottom w:w="0" w:type="dxa"/>
            <w:right w:w="108" w:type="dxa"/>
          </w:tblCellMar>
        </w:tblPrEx>
        <w:trPr>
          <w:trHeight w:val="90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F8C96C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4</w:t>
            </w:r>
          </w:p>
        </w:tc>
        <w:tc>
          <w:tcPr>
            <w:tcW w:w="1992" w:type="dxa"/>
            <w:tcBorders>
              <w:top w:val="single" w:color="auto" w:sz="4" w:space="0"/>
              <w:left w:val="single" w:color="auto" w:sz="4" w:space="0"/>
              <w:bottom w:val="single" w:color="auto" w:sz="4" w:space="0"/>
              <w:right w:val="single" w:color="auto" w:sz="4" w:space="0"/>
            </w:tcBorders>
            <w:vAlign w:val="center"/>
          </w:tcPr>
          <w:p w14:paraId="02941E1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是否允许递交备选  投标方案</w:t>
            </w:r>
          </w:p>
        </w:tc>
        <w:tc>
          <w:tcPr>
            <w:tcW w:w="6521" w:type="dxa"/>
            <w:tcBorders>
              <w:top w:val="single" w:color="auto" w:sz="4" w:space="0"/>
              <w:left w:val="single" w:color="auto" w:sz="4" w:space="0"/>
              <w:bottom w:val="single" w:color="auto" w:sz="4" w:space="0"/>
              <w:right w:val="single" w:color="auto" w:sz="4" w:space="0"/>
            </w:tcBorders>
            <w:vAlign w:val="center"/>
          </w:tcPr>
          <w:p w14:paraId="2613AD01">
            <w:pPr>
              <w:spacing w:line="360" w:lineRule="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lang w:eastAsia="zh-CN"/>
              </w:rPr>
              <w:t>不允许</w:t>
            </w:r>
          </w:p>
          <w:p w14:paraId="249E70F2">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□允  许</w:t>
            </w:r>
          </w:p>
        </w:tc>
      </w:tr>
      <w:tr w14:paraId="3C3E9EC8">
        <w:tblPrEx>
          <w:tblCellMar>
            <w:top w:w="0" w:type="dxa"/>
            <w:left w:w="108" w:type="dxa"/>
            <w:bottom w:w="0" w:type="dxa"/>
            <w:right w:w="108" w:type="dxa"/>
          </w:tblCellMar>
        </w:tblPrEx>
        <w:trPr>
          <w:trHeight w:val="288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840F48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14:paraId="52E013B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谈判文件领取</w:t>
            </w:r>
          </w:p>
        </w:tc>
        <w:tc>
          <w:tcPr>
            <w:tcW w:w="6521" w:type="dxa"/>
            <w:tcBorders>
              <w:top w:val="single" w:color="auto" w:sz="4" w:space="0"/>
              <w:left w:val="single" w:color="auto" w:sz="4" w:space="0"/>
              <w:bottom w:val="single" w:color="auto" w:sz="4" w:space="0"/>
              <w:right w:val="single" w:color="auto" w:sz="4" w:space="0"/>
            </w:tcBorders>
            <w:vAlign w:val="center"/>
          </w:tcPr>
          <w:p w14:paraId="47776B14">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时间：</w:t>
            </w:r>
            <w:r>
              <w:rPr>
                <w:rFonts w:hint="eastAsia" w:ascii="仿宋" w:hAnsi="仿宋" w:eastAsia="仿宋" w:cs="仿宋"/>
                <w:color w:val="0000FF"/>
                <w:sz w:val="24"/>
                <w:szCs w:val="24"/>
                <w:u w:val="none"/>
                <w:lang w:eastAsia="zh-CN"/>
              </w:rPr>
              <w:t>202</w:t>
            </w:r>
            <w:r>
              <w:rPr>
                <w:rFonts w:hint="eastAsia" w:ascii="仿宋" w:hAnsi="仿宋" w:eastAsia="仿宋" w:cs="仿宋"/>
                <w:color w:val="0000FF"/>
                <w:sz w:val="24"/>
                <w:szCs w:val="24"/>
                <w:u w:val="none"/>
                <w:lang w:val="en-US" w:eastAsia="zh-CN"/>
              </w:rPr>
              <w:t>5</w:t>
            </w:r>
            <w:r>
              <w:rPr>
                <w:rFonts w:hint="eastAsia" w:ascii="仿宋" w:hAnsi="仿宋" w:eastAsia="仿宋" w:cs="仿宋"/>
                <w:color w:val="0000FF"/>
                <w:sz w:val="24"/>
                <w:szCs w:val="24"/>
                <w:u w:val="none"/>
                <w:lang w:eastAsia="zh-CN"/>
              </w:rPr>
              <w:t>年</w:t>
            </w:r>
            <w:r>
              <w:rPr>
                <w:rFonts w:hint="eastAsia" w:ascii="仿宋" w:hAnsi="仿宋" w:eastAsia="仿宋" w:cs="仿宋"/>
                <w:color w:val="0000FF"/>
                <w:sz w:val="24"/>
                <w:szCs w:val="24"/>
                <w:u w:val="none"/>
                <w:lang w:val="en-US" w:eastAsia="zh-CN"/>
              </w:rPr>
              <w:t>6</w:t>
            </w:r>
            <w:r>
              <w:rPr>
                <w:rFonts w:hint="eastAsia" w:ascii="仿宋" w:hAnsi="仿宋" w:eastAsia="仿宋" w:cs="仿宋"/>
                <w:color w:val="0000FF"/>
                <w:sz w:val="24"/>
                <w:szCs w:val="24"/>
                <w:u w:val="none"/>
                <w:lang w:eastAsia="zh-CN"/>
              </w:rPr>
              <w:t>月</w:t>
            </w:r>
            <w:r>
              <w:rPr>
                <w:rFonts w:hint="eastAsia" w:ascii="仿宋" w:hAnsi="仿宋" w:eastAsia="仿宋" w:cs="仿宋"/>
                <w:color w:val="0000FF"/>
                <w:sz w:val="24"/>
                <w:szCs w:val="24"/>
                <w:u w:val="none"/>
                <w:lang w:val="en-US" w:eastAsia="zh-CN"/>
              </w:rPr>
              <w:t>27</w:t>
            </w:r>
            <w:r>
              <w:rPr>
                <w:rFonts w:hint="eastAsia" w:ascii="仿宋" w:hAnsi="仿宋" w:eastAsia="仿宋" w:cs="仿宋"/>
                <w:color w:val="0000FF"/>
                <w:sz w:val="24"/>
                <w:szCs w:val="24"/>
                <w:u w:val="none"/>
                <w:lang w:eastAsia="zh-CN"/>
              </w:rPr>
              <w:t>日至202</w:t>
            </w:r>
            <w:r>
              <w:rPr>
                <w:rFonts w:hint="eastAsia" w:ascii="仿宋" w:hAnsi="仿宋" w:eastAsia="仿宋" w:cs="仿宋"/>
                <w:color w:val="0000FF"/>
                <w:sz w:val="24"/>
                <w:szCs w:val="24"/>
                <w:u w:val="none"/>
                <w:lang w:val="en-US" w:eastAsia="zh-CN"/>
              </w:rPr>
              <w:t>5</w:t>
            </w:r>
            <w:r>
              <w:rPr>
                <w:rFonts w:hint="eastAsia" w:ascii="仿宋" w:hAnsi="仿宋" w:eastAsia="仿宋" w:cs="仿宋"/>
                <w:color w:val="0000FF"/>
                <w:sz w:val="24"/>
                <w:szCs w:val="24"/>
                <w:u w:val="none"/>
                <w:lang w:eastAsia="zh-CN"/>
              </w:rPr>
              <w:t>年</w:t>
            </w:r>
            <w:r>
              <w:rPr>
                <w:rFonts w:hint="eastAsia" w:ascii="仿宋" w:hAnsi="仿宋" w:eastAsia="仿宋" w:cs="仿宋"/>
                <w:color w:val="0000FF"/>
                <w:sz w:val="24"/>
                <w:szCs w:val="24"/>
                <w:u w:val="none"/>
                <w:lang w:val="en-US" w:eastAsia="zh-CN"/>
              </w:rPr>
              <w:t>7</w:t>
            </w:r>
            <w:r>
              <w:rPr>
                <w:rFonts w:hint="eastAsia" w:ascii="仿宋" w:hAnsi="仿宋" w:eastAsia="仿宋" w:cs="仿宋"/>
                <w:color w:val="0000FF"/>
                <w:sz w:val="24"/>
                <w:szCs w:val="24"/>
                <w:u w:val="none"/>
                <w:lang w:eastAsia="zh-CN"/>
              </w:rPr>
              <w:t>月</w:t>
            </w:r>
            <w:r>
              <w:rPr>
                <w:rFonts w:hint="eastAsia" w:ascii="仿宋" w:hAnsi="仿宋" w:eastAsia="仿宋" w:cs="仿宋"/>
                <w:color w:val="0000FF"/>
                <w:sz w:val="24"/>
                <w:szCs w:val="24"/>
                <w:u w:val="none"/>
                <w:lang w:val="en-US" w:eastAsia="zh-CN"/>
              </w:rPr>
              <w:t>3</w:t>
            </w:r>
            <w:r>
              <w:rPr>
                <w:rFonts w:hint="eastAsia" w:ascii="仿宋" w:hAnsi="仿宋" w:eastAsia="仿宋" w:cs="仿宋"/>
                <w:color w:val="0000FF"/>
                <w:sz w:val="24"/>
                <w:szCs w:val="24"/>
                <w:u w:val="none"/>
                <w:lang w:eastAsia="zh-CN"/>
              </w:rPr>
              <w:t>日</w:t>
            </w:r>
            <w:r>
              <w:rPr>
                <w:rFonts w:hint="eastAsia" w:ascii="仿宋" w:hAnsi="仿宋" w:eastAsia="仿宋" w:cs="仿宋"/>
                <w:color w:val="auto"/>
                <w:sz w:val="24"/>
                <w:szCs w:val="24"/>
                <w:u w:val="none"/>
                <w:lang w:eastAsia="zh-CN"/>
              </w:rPr>
              <w:t>，每天上午10:00至</w:t>
            </w:r>
            <w:r>
              <w:rPr>
                <w:rFonts w:hint="eastAsia" w:ascii="仿宋" w:hAnsi="仿宋" w:eastAsia="仿宋" w:cs="仿宋"/>
                <w:color w:val="auto"/>
                <w:sz w:val="24"/>
                <w:szCs w:val="24"/>
                <w:u w:val="none"/>
                <w:lang w:val="en-US" w:eastAsia="zh-CN"/>
              </w:rPr>
              <w:t>14</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00</w:t>
            </w:r>
            <w:r>
              <w:rPr>
                <w:rFonts w:hint="eastAsia" w:ascii="仿宋" w:hAnsi="仿宋" w:eastAsia="仿宋" w:cs="仿宋"/>
                <w:color w:val="auto"/>
                <w:sz w:val="24"/>
                <w:szCs w:val="24"/>
                <w:u w:val="none"/>
                <w:lang w:eastAsia="zh-CN"/>
              </w:rPr>
              <w:t>，下午16:</w:t>
            </w:r>
            <w:r>
              <w:rPr>
                <w:rFonts w:hint="eastAsia" w:ascii="仿宋" w:hAnsi="仿宋" w:eastAsia="仿宋" w:cs="仿宋"/>
                <w:color w:val="auto"/>
                <w:sz w:val="24"/>
                <w:szCs w:val="24"/>
                <w:u w:val="none"/>
                <w:lang w:val="en-US" w:eastAsia="zh-CN"/>
              </w:rPr>
              <w:t>00</w:t>
            </w:r>
            <w:r>
              <w:rPr>
                <w:rFonts w:hint="eastAsia" w:ascii="仿宋" w:hAnsi="仿宋" w:eastAsia="仿宋" w:cs="仿宋"/>
                <w:color w:val="auto"/>
                <w:sz w:val="24"/>
                <w:szCs w:val="24"/>
                <w:u w:val="none"/>
                <w:lang w:eastAsia="zh-CN"/>
              </w:rPr>
              <w:t>至</w:t>
            </w:r>
            <w:r>
              <w:rPr>
                <w:rFonts w:hint="eastAsia" w:ascii="仿宋" w:hAnsi="仿宋" w:eastAsia="仿宋" w:cs="仿宋"/>
                <w:color w:val="auto"/>
                <w:sz w:val="24"/>
                <w:szCs w:val="24"/>
                <w:u w:val="none"/>
                <w:lang w:val="en-US" w:eastAsia="zh-CN"/>
              </w:rPr>
              <w:t>20</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00</w:t>
            </w:r>
            <w:r>
              <w:rPr>
                <w:rFonts w:hint="eastAsia" w:ascii="仿宋" w:hAnsi="仿宋" w:eastAsia="仿宋" w:cs="仿宋"/>
                <w:color w:val="auto"/>
                <w:sz w:val="24"/>
                <w:szCs w:val="24"/>
                <w:lang w:eastAsia="zh-CN"/>
              </w:rPr>
              <w:t>（北京时间，节假日除外）</w:t>
            </w:r>
          </w:p>
          <w:p w14:paraId="24642414">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地点：政采云平台线上</w:t>
            </w:r>
          </w:p>
          <w:p w14:paraId="14DF4CCE">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方式：供应商登录政采云平台https://www.zcygov.cn/在线申请获取采购文件（进入“项目采购”应用，在获取采购文件菜单中选择项目，申请获取采购文件）</w:t>
            </w:r>
          </w:p>
        </w:tc>
      </w:tr>
      <w:tr w14:paraId="44DAB0BC">
        <w:tblPrEx>
          <w:tblCellMar>
            <w:top w:w="0" w:type="dxa"/>
            <w:left w:w="108" w:type="dxa"/>
            <w:bottom w:w="0" w:type="dxa"/>
            <w:right w:w="108" w:type="dxa"/>
          </w:tblCellMar>
        </w:tblPrEx>
        <w:trPr>
          <w:trHeight w:val="38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903D41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14:paraId="3D3BC2B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响应文件形式</w:t>
            </w:r>
          </w:p>
        </w:tc>
        <w:tc>
          <w:tcPr>
            <w:tcW w:w="6521" w:type="dxa"/>
            <w:tcBorders>
              <w:top w:val="single" w:color="auto" w:sz="4" w:space="0"/>
              <w:left w:val="single" w:color="auto" w:sz="4" w:space="0"/>
              <w:bottom w:val="single" w:color="auto" w:sz="4" w:space="0"/>
              <w:right w:val="single" w:color="auto" w:sz="4" w:space="0"/>
            </w:tcBorders>
            <w:vAlign w:val="center"/>
          </w:tcPr>
          <w:p w14:paraId="293095C9">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电子响应文件包括“电子加密响应文件”和“备份响应文件”，在响应文件编制完成后同时生成。</w:t>
            </w:r>
          </w:p>
          <w:p w14:paraId="1B38E91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1、“电子加密响应文件”是指通过“政采云电子交易客户端”完成响应文件编制后生成并加密的数据电文形式的响应文件。</w:t>
            </w:r>
          </w:p>
          <w:p w14:paraId="2D68DAC2">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2、“备份响应文件”是指与“电子加密响应文件”同时生成的数据电文形式的电子文件（备份标书，用于供应商标书解密异常时应急使用），其他方式编制的备份响应文件视为无效备份响应文件。</w:t>
            </w:r>
          </w:p>
        </w:tc>
      </w:tr>
      <w:tr w14:paraId="42EF5EF5">
        <w:tblPrEx>
          <w:tblCellMar>
            <w:top w:w="0" w:type="dxa"/>
            <w:left w:w="108" w:type="dxa"/>
            <w:bottom w:w="0" w:type="dxa"/>
            <w:right w:w="108" w:type="dxa"/>
          </w:tblCellMar>
        </w:tblPrEx>
        <w:trPr>
          <w:trHeight w:val="190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846CC72">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7</w:t>
            </w:r>
          </w:p>
        </w:tc>
        <w:tc>
          <w:tcPr>
            <w:tcW w:w="1992" w:type="dxa"/>
            <w:tcBorders>
              <w:top w:val="single" w:color="auto" w:sz="4" w:space="0"/>
              <w:left w:val="single" w:color="auto" w:sz="4" w:space="0"/>
              <w:bottom w:val="single" w:color="auto" w:sz="4" w:space="0"/>
              <w:right w:val="single" w:color="auto" w:sz="4" w:space="0"/>
            </w:tcBorders>
            <w:vAlign w:val="center"/>
          </w:tcPr>
          <w:p w14:paraId="5A08C7D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响应文件份数及要求</w:t>
            </w:r>
          </w:p>
        </w:tc>
        <w:tc>
          <w:tcPr>
            <w:tcW w:w="6521" w:type="dxa"/>
            <w:tcBorders>
              <w:top w:val="single" w:color="auto" w:sz="4" w:space="0"/>
              <w:left w:val="single" w:color="auto" w:sz="4" w:space="0"/>
              <w:bottom w:val="single" w:color="auto" w:sz="4" w:space="0"/>
              <w:right w:val="single" w:color="auto" w:sz="4" w:space="0"/>
            </w:tcBorders>
            <w:vAlign w:val="center"/>
          </w:tcPr>
          <w:p w14:paraId="1EB96E1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1、一份电子加密标书（“.jmbs”格式），一份备份标书文件（“.bfbs”格式）。</w:t>
            </w:r>
          </w:p>
          <w:p w14:paraId="7F3E8F1D">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2、每份电子响应文件应包括资格证明文件和商务及技术文件两部分。</w:t>
            </w:r>
          </w:p>
        </w:tc>
      </w:tr>
      <w:tr w14:paraId="170834AF">
        <w:tblPrEx>
          <w:tblCellMar>
            <w:top w:w="0" w:type="dxa"/>
            <w:left w:w="108" w:type="dxa"/>
            <w:bottom w:w="0" w:type="dxa"/>
            <w:right w:w="108" w:type="dxa"/>
          </w:tblCellMar>
        </w:tblPrEx>
        <w:trPr>
          <w:trHeight w:val="731" w:hRule="atLeast"/>
          <w:jc w:val="center"/>
        </w:trPr>
        <w:tc>
          <w:tcPr>
            <w:tcW w:w="784" w:type="dxa"/>
            <w:vMerge w:val="restart"/>
            <w:tcBorders>
              <w:top w:val="single" w:color="auto" w:sz="4" w:space="0"/>
              <w:left w:val="single" w:color="auto" w:sz="4" w:space="0"/>
              <w:right w:val="single" w:color="auto" w:sz="4" w:space="0"/>
            </w:tcBorders>
            <w:vAlign w:val="center"/>
          </w:tcPr>
          <w:p w14:paraId="727AF519">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8</w:t>
            </w:r>
          </w:p>
        </w:tc>
        <w:tc>
          <w:tcPr>
            <w:tcW w:w="1992" w:type="dxa"/>
            <w:vMerge w:val="restart"/>
            <w:tcBorders>
              <w:top w:val="single" w:color="auto" w:sz="4" w:space="0"/>
              <w:left w:val="single" w:color="auto" w:sz="4" w:space="0"/>
              <w:right w:val="single" w:color="auto" w:sz="4" w:space="0"/>
            </w:tcBorders>
            <w:vAlign w:val="center"/>
          </w:tcPr>
          <w:p w14:paraId="08E9FF51">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响应文件的上传和递交</w:t>
            </w:r>
          </w:p>
        </w:tc>
        <w:tc>
          <w:tcPr>
            <w:tcW w:w="6521" w:type="dxa"/>
            <w:tcBorders>
              <w:top w:val="single" w:color="auto" w:sz="4" w:space="0"/>
              <w:left w:val="single" w:color="auto" w:sz="4" w:space="0"/>
              <w:bottom w:val="single" w:color="auto" w:sz="4" w:space="0"/>
              <w:right w:val="single" w:color="auto" w:sz="4" w:space="0"/>
            </w:tcBorders>
            <w:vAlign w:val="center"/>
          </w:tcPr>
          <w:p w14:paraId="47B8CE0E">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1.电子加密响应文件：响应文件制作完成并生成加密标书，在投标截止时间前，供应商需将加密的响应文件上传至政采云平台，在开标时间开始后，待采购组织机构发出解密通知后30分钟内解密响应文件。</w:t>
            </w:r>
          </w:p>
          <w:p w14:paraId="6DED1982">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a.供应商未能在投标截止时间前成功上传电子加密响应文件的投标无效。</w:t>
            </w:r>
          </w:p>
          <w:p w14:paraId="060F3A7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b.供应商成功上传电子加密响应文件后，可自行打印响应文件接收回执。</w:t>
            </w:r>
          </w:p>
        </w:tc>
      </w:tr>
      <w:tr w14:paraId="74150C5E">
        <w:tblPrEx>
          <w:tblCellMar>
            <w:top w:w="0" w:type="dxa"/>
            <w:left w:w="108" w:type="dxa"/>
            <w:bottom w:w="0" w:type="dxa"/>
            <w:right w:w="108" w:type="dxa"/>
          </w:tblCellMar>
        </w:tblPrEx>
        <w:trPr>
          <w:trHeight w:val="731" w:hRule="atLeast"/>
          <w:jc w:val="center"/>
        </w:trPr>
        <w:tc>
          <w:tcPr>
            <w:tcW w:w="784" w:type="dxa"/>
            <w:vMerge w:val="continue"/>
            <w:tcBorders>
              <w:left w:val="single" w:color="auto" w:sz="4" w:space="0"/>
              <w:bottom w:val="single" w:color="auto" w:sz="4" w:space="0"/>
              <w:right w:val="single" w:color="auto" w:sz="4" w:space="0"/>
            </w:tcBorders>
            <w:vAlign w:val="center"/>
          </w:tcPr>
          <w:p w14:paraId="6E677FD7">
            <w:pPr>
              <w:spacing w:line="360" w:lineRule="auto"/>
              <w:jc w:val="center"/>
              <w:rPr>
                <w:rFonts w:ascii="仿宋" w:hAnsi="仿宋" w:eastAsia="仿宋" w:cs="仿宋"/>
                <w:color w:val="auto"/>
                <w:sz w:val="24"/>
                <w:szCs w:val="24"/>
                <w:lang w:eastAsia="zh-CN"/>
              </w:rPr>
            </w:pPr>
          </w:p>
        </w:tc>
        <w:tc>
          <w:tcPr>
            <w:tcW w:w="1992" w:type="dxa"/>
            <w:vMerge w:val="continue"/>
            <w:tcBorders>
              <w:left w:val="single" w:color="auto" w:sz="4" w:space="0"/>
              <w:bottom w:val="single" w:color="auto" w:sz="4" w:space="0"/>
              <w:right w:val="single" w:color="auto" w:sz="4" w:space="0"/>
            </w:tcBorders>
            <w:vAlign w:val="center"/>
          </w:tcPr>
          <w:p w14:paraId="1C65A0A0">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11D106F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2.备份响应文件：供应商在投标截止时间前将加密的响应文件上传至政府采购云平台，还可以在投标截止时间前以电子邮件方式提供备份响应文件1份（接收人邮箱：</w:t>
            </w:r>
            <w:r>
              <w:rPr>
                <w:rFonts w:hint="eastAsia" w:ascii="仿宋" w:hAnsi="仿宋" w:eastAsia="仿宋" w:cs="仿宋"/>
                <w:color w:val="auto"/>
                <w:sz w:val="24"/>
                <w:szCs w:val="24"/>
                <w:lang w:val="en-US" w:eastAsia="zh-CN"/>
              </w:rPr>
              <w:t>759733443</w:t>
            </w:r>
            <w:r>
              <w:rPr>
                <w:rFonts w:hint="eastAsia" w:ascii="仿宋" w:hAnsi="仿宋" w:eastAsia="仿宋" w:cs="仿宋"/>
                <w:color w:val="auto"/>
                <w:sz w:val="24"/>
                <w:szCs w:val="24"/>
                <w:lang w:eastAsia="zh-CN"/>
              </w:rPr>
              <w:t>@qq.com，接收人：邓女士，电话：13364782532），“备份响应文件”由供应商自愿提供，谈判文件 不作强制性要求；如不提供或未按要求提供的，当电子响应文件无法解密时，将导致无备份响应文件而失去投标资格。</w:t>
            </w:r>
          </w:p>
          <w:p w14:paraId="5360D26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a.备份响应文件提供要求：供应商可以将备份响应文件打包压缩并加密，压缩包命名为“XX单位备份响应文件”，加密密码由供应商自行保管；送达时间以采购代理机构实际接收时间为准。“备份响应文件”逾期或未按要求提供的视为未提供，建议供应商提前1日办理邮件提供事宜。</w:t>
            </w:r>
          </w:p>
          <w:p w14:paraId="07A53856">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b.通过“政府采购云平台”成功上传递交的“电子加密响应文件”已按时解密的，“备份响应文件”自动失效。投标截止时间前，投标供应商仅提供了“备份响应文件”而未将“电子加密响应文件”成功上传至“政府采购云平台”的，投标无效。</w:t>
            </w:r>
          </w:p>
        </w:tc>
      </w:tr>
      <w:tr w14:paraId="02B10A0F">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B405BD7">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9</w:t>
            </w:r>
          </w:p>
        </w:tc>
        <w:tc>
          <w:tcPr>
            <w:tcW w:w="1992" w:type="dxa"/>
            <w:tcBorders>
              <w:top w:val="single" w:color="auto" w:sz="4" w:space="0"/>
              <w:left w:val="single" w:color="auto" w:sz="4" w:space="0"/>
              <w:bottom w:val="single" w:color="auto" w:sz="4" w:space="0"/>
              <w:right w:val="single" w:color="auto" w:sz="4" w:space="0"/>
            </w:tcBorders>
            <w:vAlign w:val="center"/>
          </w:tcPr>
          <w:p w14:paraId="0CD4845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评标委员会的组建</w:t>
            </w:r>
          </w:p>
        </w:tc>
        <w:tc>
          <w:tcPr>
            <w:tcW w:w="6521" w:type="dxa"/>
            <w:tcBorders>
              <w:top w:val="single" w:color="auto" w:sz="4" w:space="0"/>
              <w:left w:val="single" w:color="auto" w:sz="4" w:space="0"/>
              <w:bottom w:val="single" w:color="auto" w:sz="4" w:space="0"/>
              <w:right w:val="single" w:color="auto" w:sz="4" w:space="0"/>
            </w:tcBorders>
            <w:vAlign w:val="center"/>
          </w:tcPr>
          <w:p w14:paraId="0D7362AE">
            <w:pPr>
              <w:spacing w:line="360" w:lineRule="auto"/>
              <w:rPr>
                <w:rFonts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评标委员会由招标人依法组建；</w:t>
            </w:r>
          </w:p>
          <w:p w14:paraId="0DD6FD32">
            <w:pPr>
              <w:spacing w:line="360" w:lineRule="auto"/>
              <w:rPr>
                <w:rFonts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评标专家确定方式：专家评委由招标人（采购代理机构）在开标前</w:t>
            </w:r>
            <w:r>
              <w:rPr>
                <w:rFonts w:hint="eastAsia" w:ascii="仿宋" w:hAnsi="仿宋" w:eastAsia="仿宋" w:cs="仿宋"/>
                <w:color w:val="auto"/>
                <w:sz w:val="24"/>
                <w:szCs w:val="24"/>
                <w:lang w:val="en-US" w:eastAsia="zh-CN"/>
              </w:rPr>
              <w:t>48小时内</w:t>
            </w:r>
            <w:r>
              <w:rPr>
                <w:rFonts w:hint="eastAsia" w:ascii="仿宋" w:hAnsi="仿宋" w:eastAsia="仿宋" w:cs="仿宋"/>
                <w:color w:val="auto"/>
                <w:sz w:val="24"/>
                <w:szCs w:val="24"/>
                <w:lang w:val="zh-CN" w:eastAsia="zh-CN"/>
              </w:rPr>
              <w:t>从政采云专家库中随机抽取。</w:t>
            </w:r>
          </w:p>
        </w:tc>
      </w:tr>
      <w:tr w14:paraId="488C1744">
        <w:tblPrEx>
          <w:tblCellMar>
            <w:top w:w="0" w:type="dxa"/>
            <w:left w:w="108" w:type="dxa"/>
            <w:bottom w:w="0" w:type="dxa"/>
            <w:right w:w="108" w:type="dxa"/>
          </w:tblCellMar>
        </w:tblPrEx>
        <w:trPr>
          <w:trHeight w:val="75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7C652F6">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1992" w:type="dxa"/>
            <w:tcBorders>
              <w:top w:val="single" w:color="auto" w:sz="4" w:space="0"/>
              <w:left w:val="single" w:color="auto" w:sz="4" w:space="0"/>
              <w:bottom w:val="single" w:color="auto" w:sz="4" w:space="0"/>
              <w:right w:val="single" w:color="auto" w:sz="4" w:space="0"/>
            </w:tcBorders>
            <w:vAlign w:val="center"/>
          </w:tcPr>
          <w:p w14:paraId="6DD3EFA2">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是否授权评标委员会确定中标候选人</w:t>
            </w:r>
          </w:p>
        </w:tc>
        <w:tc>
          <w:tcPr>
            <w:tcW w:w="6521" w:type="dxa"/>
            <w:tcBorders>
              <w:top w:val="single" w:color="auto" w:sz="4" w:space="0"/>
              <w:left w:val="single" w:color="auto" w:sz="4" w:space="0"/>
              <w:bottom w:val="single" w:color="auto" w:sz="4" w:space="0"/>
              <w:right w:val="single" w:color="auto" w:sz="4" w:space="0"/>
            </w:tcBorders>
            <w:vAlign w:val="center"/>
          </w:tcPr>
          <w:p w14:paraId="21FA91A6">
            <w:pPr>
              <w:spacing w:line="360" w:lineRule="auto"/>
              <w:rPr>
                <w:rFonts w:ascii="仿宋" w:hAnsi="仿宋" w:eastAsia="仿宋" w:cs="仿宋"/>
                <w:color w:val="auto"/>
                <w:sz w:val="24"/>
                <w:szCs w:val="24"/>
                <w:lang w:val="zh-CN" w:eastAsia="zh-CN"/>
              </w:rPr>
            </w:pPr>
            <w:r>
              <w:rPr>
                <w:rFonts w:hint="eastAsia" w:ascii="仿宋" w:hAnsi="仿宋" w:eastAsia="仿宋" w:cs="仿宋"/>
                <w:color w:val="auto"/>
                <w:sz w:val="24"/>
                <w:szCs w:val="24"/>
                <w:lang w:eastAsia="zh-CN"/>
              </w:rPr>
              <w:t>是，</w:t>
            </w:r>
            <w:r>
              <w:rPr>
                <w:rFonts w:hint="eastAsia" w:ascii="仿宋" w:hAnsi="仿宋" w:eastAsia="仿宋" w:cs="仿宋"/>
                <w:b w:val="0"/>
                <w:bCs w:val="0"/>
                <w:color w:val="auto"/>
                <w:sz w:val="24"/>
                <w:szCs w:val="24"/>
                <w:lang w:val="en-US" w:eastAsia="zh-CN"/>
              </w:rPr>
              <w:t>评标委员会推荐3名中标（成交）候选人。</w:t>
            </w:r>
          </w:p>
        </w:tc>
      </w:tr>
      <w:tr w14:paraId="4C466BA3">
        <w:tblPrEx>
          <w:tblCellMar>
            <w:top w:w="0" w:type="dxa"/>
            <w:left w:w="108" w:type="dxa"/>
            <w:bottom w:w="0" w:type="dxa"/>
            <w:right w:w="108" w:type="dxa"/>
          </w:tblCellMar>
        </w:tblPrEx>
        <w:trPr>
          <w:trHeight w:val="756"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ABD27A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0B56FF51">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递交响应文件地点</w:t>
            </w:r>
          </w:p>
        </w:tc>
        <w:tc>
          <w:tcPr>
            <w:tcW w:w="6521" w:type="dxa"/>
            <w:tcBorders>
              <w:top w:val="single" w:color="auto" w:sz="4" w:space="0"/>
              <w:left w:val="single" w:color="auto" w:sz="4" w:space="0"/>
              <w:bottom w:val="single" w:color="auto" w:sz="4" w:space="0"/>
              <w:right w:val="single" w:color="auto" w:sz="4" w:space="0"/>
            </w:tcBorders>
            <w:vAlign w:val="center"/>
          </w:tcPr>
          <w:p w14:paraId="567FA3EA">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截止时间：202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u w:val="none"/>
                <w:lang w:eastAsia="zh-CN"/>
              </w:rPr>
              <w:t>月</w:t>
            </w:r>
            <w:r>
              <w:rPr>
                <w:rFonts w:hint="eastAsia" w:ascii="仿宋" w:hAnsi="仿宋" w:eastAsia="仿宋" w:cs="仿宋"/>
                <w:color w:val="auto"/>
                <w:sz w:val="24"/>
                <w:szCs w:val="24"/>
                <w:u w:val="none"/>
                <w:lang w:val="en-US" w:eastAsia="zh-CN"/>
              </w:rPr>
              <w:t>7</w:t>
            </w:r>
            <w:r>
              <w:rPr>
                <w:rFonts w:hint="eastAsia" w:ascii="仿宋" w:hAnsi="仿宋" w:eastAsia="仿宋" w:cs="仿宋"/>
                <w:color w:val="auto"/>
                <w:sz w:val="24"/>
                <w:szCs w:val="24"/>
                <w:lang w:eastAsia="zh-CN"/>
              </w:rPr>
              <w:t>日上午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时</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eastAsia="zh-CN"/>
              </w:rPr>
              <w:t>分（北京时间）</w:t>
            </w:r>
          </w:p>
          <w:p w14:paraId="67C5412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投标地点：新疆政府采购云平台（www.zcygov.cn）</w:t>
            </w:r>
          </w:p>
        </w:tc>
      </w:tr>
      <w:tr w14:paraId="1187359A">
        <w:tblPrEx>
          <w:tblCellMar>
            <w:top w:w="0" w:type="dxa"/>
            <w:left w:w="108" w:type="dxa"/>
            <w:bottom w:w="0" w:type="dxa"/>
            <w:right w:w="108" w:type="dxa"/>
          </w:tblCellMar>
        </w:tblPrEx>
        <w:trPr>
          <w:trHeight w:val="710" w:hRule="atLeast"/>
          <w:jc w:val="center"/>
        </w:trPr>
        <w:tc>
          <w:tcPr>
            <w:tcW w:w="784" w:type="dxa"/>
            <w:tcBorders>
              <w:top w:val="single" w:color="auto" w:sz="4" w:space="0"/>
              <w:left w:val="single" w:color="auto" w:sz="4" w:space="0"/>
              <w:right w:val="single" w:color="auto" w:sz="4" w:space="0"/>
            </w:tcBorders>
            <w:vAlign w:val="center"/>
          </w:tcPr>
          <w:p w14:paraId="0EF5A2B9">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2</w:t>
            </w:r>
          </w:p>
        </w:tc>
        <w:tc>
          <w:tcPr>
            <w:tcW w:w="1992" w:type="dxa"/>
            <w:tcBorders>
              <w:top w:val="single" w:color="auto" w:sz="4" w:space="0"/>
              <w:left w:val="single" w:color="auto" w:sz="4" w:space="0"/>
              <w:right w:val="single" w:color="auto" w:sz="4" w:space="0"/>
            </w:tcBorders>
            <w:vAlign w:val="center"/>
          </w:tcPr>
          <w:p w14:paraId="4BD9531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开标时间和地点</w:t>
            </w:r>
          </w:p>
        </w:tc>
        <w:tc>
          <w:tcPr>
            <w:tcW w:w="6521" w:type="dxa"/>
            <w:tcBorders>
              <w:top w:val="single" w:color="auto" w:sz="4" w:space="0"/>
              <w:left w:val="single" w:color="auto" w:sz="4" w:space="0"/>
              <w:right w:val="single" w:color="auto" w:sz="4" w:space="0"/>
            </w:tcBorders>
            <w:vAlign w:val="center"/>
          </w:tcPr>
          <w:p w14:paraId="24FB005D">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开标时间：202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日上午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时</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eastAsia="zh-CN"/>
              </w:rPr>
              <w:t>分（北京时间）</w:t>
            </w:r>
          </w:p>
          <w:p w14:paraId="48ED522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开标地点：新疆政府采购云平台（www.zcygov.cn）         </w:t>
            </w:r>
          </w:p>
        </w:tc>
      </w:tr>
      <w:tr w14:paraId="1913D752">
        <w:tblPrEx>
          <w:tblCellMar>
            <w:top w:w="0" w:type="dxa"/>
            <w:left w:w="108" w:type="dxa"/>
            <w:bottom w:w="0" w:type="dxa"/>
            <w:right w:w="108" w:type="dxa"/>
          </w:tblCellMar>
        </w:tblPrEx>
        <w:trPr>
          <w:trHeight w:val="710" w:hRule="atLeast"/>
          <w:jc w:val="center"/>
        </w:trPr>
        <w:tc>
          <w:tcPr>
            <w:tcW w:w="784" w:type="dxa"/>
            <w:vMerge w:val="restart"/>
            <w:tcBorders>
              <w:top w:val="single" w:color="auto" w:sz="4" w:space="0"/>
              <w:left w:val="single" w:color="auto" w:sz="4" w:space="0"/>
              <w:right w:val="single" w:color="auto" w:sz="4" w:space="0"/>
            </w:tcBorders>
            <w:vAlign w:val="center"/>
          </w:tcPr>
          <w:p w14:paraId="25EE9B8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3</w:t>
            </w:r>
          </w:p>
        </w:tc>
        <w:tc>
          <w:tcPr>
            <w:tcW w:w="1992" w:type="dxa"/>
            <w:vMerge w:val="restart"/>
            <w:tcBorders>
              <w:top w:val="single" w:color="auto" w:sz="4" w:space="0"/>
              <w:left w:val="single" w:color="auto" w:sz="4" w:space="0"/>
              <w:right w:val="single" w:color="auto" w:sz="4" w:space="0"/>
            </w:tcBorders>
            <w:vAlign w:val="center"/>
          </w:tcPr>
          <w:p w14:paraId="39CC3D78">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重要说明</w:t>
            </w:r>
          </w:p>
        </w:tc>
        <w:tc>
          <w:tcPr>
            <w:tcW w:w="6521" w:type="dxa"/>
            <w:tcBorders>
              <w:top w:val="single" w:color="auto" w:sz="4" w:space="0"/>
              <w:left w:val="single" w:color="auto" w:sz="4" w:space="0"/>
              <w:right w:val="single" w:color="auto" w:sz="4" w:space="0"/>
            </w:tcBorders>
            <w:vAlign w:val="center"/>
          </w:tcPr>
          <w:p w14:paraId="7882916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1.本项目采用全流程不见面电子开评标，投标供应商需要使用CA加密设备，供应商可通过新疆数字证书认证中心官网（https://www.xjca.com.cn/）或下载“新疆政务通”APP自行进行申领。</w:t>
            </w:r>
          </w:p>
          <w:p w14:paraId="027BC464">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2.本项目实行网上投标，采用加密电子响应文件(供应商须使用CA加密设备通过政采云电子投标客户端制作响应文件)。若供应商参与投标，自行承担投标一切费用。</w:t>
            </w:r>
          </w:p>
          <w:p w14:paraId="2A197512">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3.各供应商在开标前应确保成为新疆维吾尔自治区政府采购网正式注册入库供应商，</w:t>
            </w:r>
            <w:r>
              <w:rPr>
                <w:rFonts w:hint="eastAsia" w:ascii="仿宋" w:hAnsi="仿宋" w:eastAsia="仿宋" w:cs="仿宋"/>
                <w:color w:val="auto"/>
                <w:sz w:val="24"/>
                <w:szCs w:val="24"/>
                <w:lang w:val="en-US" w:eastAsia="zh-CN"/>
              </w:rPr>
              <w:t>(已在政采云平台其他省份入驻的供应商无须重复注册），</w:t>
            </w:r>
            <w:r>
              <w:rPr>
                <w:rFonts w:hint="eastAsia" w:ascii="仿宋" w:hAnsi="仿宋" w:eastAsia="仿宋" w:cs="仿宋"/>
                <w:color w:val="auto"/>
                <w:sz w:val="24"/>
                <w:szCs w:val="24"/>
                <w:lang w:eastAsia="zh-CN"/>
              </w:rPr>
              <w:t>并完成CA数字证书申领。因未注册入库、未办理CA数字证书等原因造成无法投标或投标失败等后果由供应商自行承担。</w:t>
            </w:r>
          </w:p>
          <w:p w14:paraId="395485A6">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p>
          <w:p w14:paraId="22F2A701">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5.供应商在开标时须使用制作加密电子响应文件所使用的CA锁及电脑，电脑须提前配置好浏览器（建议使用谷歌浏览器），以便开标时解锁。</w:t>
            </w:r>
          </w:p>
          <w:p w14:paraId="04AE05A0">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0D00C75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7.为了保证开评标顺利进行，政采云线上开标功能完全实现，供应商开标所使用的电脑设备须具有视频及语音功能。</w:t>
            </w:r>
          </w:p>
        </w:tc>
      </w:tr>
      <w:tr w14:paraId="4F0DB3C6">
        <w:tblPrEx>
          <w:tblCellMar>
            <w:top w:w="0" w:type="dxa"/>
            <w:left w:w="108" w:type="dxa"/>
            <w:bottom w:w="0" w:type="dxa"/>
            <w:right w:w="108" w:type="dxa"/>
          </w:tblCellMar>
        </w:tblPrEx>
        <w:trPr>
          <w:trHeight w:val="710" w:hRule="atLeast"/>
          <w:jc w:val="center"/>
        </w:trPr>
        <w:tc>
          <w:tcPr>
            <w:tcW w:w="784" w:type="dxa"/>
            <w:vMerge w:val="continue"/>
            <w:tcBorders>
              <w:left w:val="single" w:color="auto" w:sz="4" w:space="0"/>
              <w:bottom w:val="single" w:color="auto" w:sz="4" w:space="0"/>
              <w:right w:val="single" w:color="auto" w:sz="4" w:space="0"/>
            </w:tcBorders>
            <w:vAlign w:val="center"/>
          </w:tcPr>
          <w:p w14:paraId="7743484A">
            <w:pPr>
              <w:spacing w:line="360" w:lineRule="auto"/>
              <w:rPr>
                <w:rFonts w:ascii="仿宋" w:hAnsi="仿宋" w:eastAsia="仿宋" w:cs="仿宋"/>
                <w:color w:val="auto"/>
                <w:sz w:val="24"/>
                <w:szCs w:val="24"/>
                <w:lang w:eastAsia="zh-CN"/>
              </w:rPr>
            </w:pPr>
          </w:p>
        </w:tc>
        <w:tc>
          <w:tcPr>
            <w:tcW w:w="1992" w:type="dxa"/>
            <w:vMerge w:val="continue"/>
            <w:tcBorders>
              <w:left w:val="single" w:color="auto" w:sz="4" w:space="0"/>
              <w:bottom w:val="single" w:color="auto" w:sz="4" w:space="0"/>
              <w:right w:val="single" w:color="auto" w:sz="4" w:space="0"/>
            </w:tcBorders>
            <w:vAlign w:val="center"/>
          </w:tcPr>
          <w:p w14:paraId="09D42EF2">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4662286B">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1、电子招投标情况说明：</w:t>
            </w:r>
          </w:p>
          <w:p w14:paraId="74995ACC">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（1）电子招投标：本项目以数据电文形式，依托“政府采购云平台（www.zcygov.cn）”进行招投标活动。</w:t>
            </w:r>
          </w:p>
          <w:p w14:paraId="03B9F7F5">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3E36B580">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（3）谈判文件的获取：使用账号登录或者短信验证码或者使用CA登录政采云平台；进入“项目采购”应用，在获取谈判文件 菜单中选择项目，获取谈判文件 。</w:t>
            </w:r>
          </w:p>
          <w:p w14:paraId="79837B61">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（4）响应文件的制作：在“政采云电子交易客户端”中完成“填写基本信息”、“导入响应文件”、“标书关联”、“标书检查”、“电子签名”、“生成电子标书”等操作。</w:t>
            </w:r>
          </w:p>
          <w:p w14:paraId="78D7D304">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（5）响应文件的传输递交：供应商在投标截止时间前将加密的响应文件上传至政府采购云平台，还可以在投标截止时间前以电子邮件方式提供备份响应文件1份（接收人邮箱：</w:t>
            </w:r>
            <w:r>
              <w:rPr>
                <w:rFonts w:hint="eastAsia" w:ascii="仿宋" w:hAnsi="仿宋" w:eastAsia="仿宋" w:cs="仿宋"/>
                <w:color w:val="auto"/>
                <w:sz w:val="24"/>
                <w:szCs w:val="24"/>
                <w:lang w:val="en-US" w:eastAsia="zh-CN"/>
              </w:rPr>
              <w:t>759733443</w:t>
            </w:r>
            <w:r>
              <w:rPr>
                <w:rFonts w:hint="eastAsia" w:ascii="仿宋" w:hAnsi="仿宋" w:eastAsia="仿宋" w:cs="仿宋"/>
                <w:color w:val="auto"/>
                <w:sz w:val="24"/>
                <w:szCs w:val="24"/>
                <w:lang w:eastAsia="zh-CN"/>
              </w:rPr>
              <w:t>@qq.com，接收人：邓女士，电话：13364782532），备份响应文件可以打包压缩并加密，压缩包命名为“XX单位备份响应文件”，加密密码由供应商自行保管（“备份响应文件”由供应商自愿提供，谈判文件 不作强制性要求；如不提供或未按要求提供的，当电子响应文件无法解密时，将导致无备份响应文件而失去投标资格）。</w:t>
            </w:r>
          </w:p>
          <w:p w14:paraId="2860CD65">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（6）响应文件的解密：供应商按照平台提示和谈判文件 的规定在半小时内完成在线解密。通过“政府采购云平台”上传递交的响应文件无法按时解密，投标供应商提供了备份响应文件的，以备份响应文件为依据，否则视为响应文件撤回。通过“政府采购云平台”上传递交的响应文件已按时解密的，备份响应文件自动失效。供应商仅提供备份响应文件，没有在电子交易平台传输递交响应文件的，投标无效。</w:t>
            </w:r>
          </w:p>
          <w:p w14:paraId="3389C52C">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（7）具体操作指南：详见政采云平台“服务中心-帮助文档-项目采购-操作流程-电子招投标-政府采购项目电子交易管理操作指南-供应商”。</w:t>
            </w:r>
          </w:p>
          <w:p w14:paraId="2A2F190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（8）供应商在进行上述操作时，如遇技术问题可登录政采云（https://</w:t>
            </w:r>
            <w:r>
              <w:rPr>
                <w:color w:val="auto"/>
                <w:sz w:val="24"/>
                <w:szCs w:val="24"/>
              </w:rPr>
              <w:fldChar w:fldCharType="begin"/>
            </w:r>
            <w:r>
              <w:rPr>
                <w:color w:val="auto"/>
                <w:sz w:val="24"/>
                <w:szCs w:val="24"/>
              </w:rPr>
              <w:instrText xml:space="preserve"> HYPERLINK "http://www.zcygov.cn/" \h </w:instrText>
            </w:r>
            <w:r>
              <w:rPr>
                <w:color w:val="auto"/>
                <w:sz w:val="24"/>
                <w:szCs w:val="24"/>
              </w:rPr>
              <w:fldChar w:fldCharType="separate"/>
            </w:r>
            <w:r>
              <w:rPr>
                <w:rFonts w:hint="eastAsia" w:ascii="仿宋" w:hAnsi="仿宋" w:eastAsia="仿宋" w:cs="仿宋"/>
                <w:color w:val="auto"/>
                <w:sz w:val="24"/>
                <w:szCs w:val="24"/>
                <w:lang w:eastAsia="zh-CN"/>
              </w:rPr>
              <w:t>www.zcygov.cn/</w:t>
            </w:r>
            <w:r>
              <w:rPr>
                <w:rFonts w:hint="eastAsia" w:ascii="仿宋" w:hAnsi="仿宋" w:eastAsia="仿宋" w:cs="仿宋"/>
                <w:color w:val="auto"/>
                <w:sz w:val="24"/>
                <w:szCs w:val="24"/>
                <w:lang w:eastAsia="zh-CN"/>
              </w:rPr>
              <w:fldChar w:fldCharType="end"/>
            </w:r>
            <w:r>
              <w:rPr>
                <w:rFonts w:hint="eastAsia" w:ascii="仿宋" w:hAnsi="仿宋" w:eastAsia="仿宋" w:cs="仿宋"/>
                <w:color w:val="auto"/>
                <w:sz w:val="24"/>
                <w:szCs w:val="24"/>
                <w:lang w:eastAsia="zh-CN"/>
              </w:rPr>
              <w:t>），点击右侧咨询小采，获取采小蜜智能服务管家帮助，或拨打政采云服务热线 95763 获取热线服务帮助。</w:t>
            </w:r>
          </w:p>
          <w:p w14:paraId="7B935CE3">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温馨提醒：供应商应提前上传，以便在上传时遇到技术问题，有充足的时间请教平台的技术人员。</w:t>
            </w:r>
          </w:p>
          <w:p w14:paraId="796FFE7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2、供应商认为谈判文件使自己的权益受到损害的，可以自收到谈判文件之日（谈判文件公告期限届满之前收到谈判文件的，以完成获取谈判文件 申请后下载谈判文件的时间为准）或者谈判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谈判文件 或逾期提出的不予受理、答复。</w:t>
            </w:r>
          </w:p>
        </w:tc>
      </w:tr>
      <w:tr w14:paraId="571E2671">
        <w:tblPrEx>
          <w:tblCellMar>
            <w:top w:w="0" w:type="dxa"/>
            <w:left w:w="108" w:type="dxa"/>
            <w:bottom w:w="0" w:type="dxa"/>
            <w:right w:w="108" w:type="dxa"/>
          </w:tblCellMar>
        </w:tblPrEx>
        <w:trPr>
          <w:trHeight w:val="71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318EC1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4</w:t>
            </w:r>
          </w:p>
        </w:tc>
        <w:tc>
          <w:tcPr>
            <w:tcW w:w="1992" w:type="dxa"/>
            <w:tcBorders>
              <w:top w:val="single" w:color="auto" w:sz="4" w:space="0"/>
              <w:left w:val="single" w:color="auto" w:sz="4" w:space="0"/>
              <w:bottom w:val="single" w:color="auto" w:sz="4" w:space="0"/>
              <w:right w:val="single" w:color="auto" w:sz="4" w:space="0"/>
            </w:tcBorders>
            <w:vAlign w:val="center"/>
          </w:tcPr>
          <w:p w14:paraId="2F1DC71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中标候选人公示媒介</w:t>
            </w:r>
          </w:p>
        </w:tc>
        <w:tc>
          <w:tcPr>
            <w:tcW w:w="6521" w:type="dxa"/>
            <w:tcBorders>
              <w:top w:val="single" w:color="auto" w:sz="4" w:space="0"/>
              <w:left w:val="single" w:color="auto" w:sz="4" w:space="0"/>
              <w:bottom w:val="single" w:color="auto" w:sz="4" w:space="0"/>
              <w:right w:val="single" w:color="auto" w:sz="4" w:space="0"/>
            </w:tcBorders>
            <w:vAlign w:val="center"/>
          </w:tcPr>
          <w:p w14:paraId="391ACA9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新疆政府采购网、克州公共资源交易中心网，公示期为一个工作日。</w:t>
            </w:r>
          </w:p>
        </w:tc>
      </w:tr>
      <w:tr w14:paraId="03D6811F">
        <w:tblPrEx>
          <w:tblCellMar>
            <w:top w:w="0" w:type="dxa"/>
            <w:left w:w="108" w:type="dxa"/>
            <w:bottom w:w="0" w:type="dxa"/>
            <w:right w:w="108" w:type="dxa"/>
          </w:tblCellMar>
        </w:tblPrEx>
        <w:trPr>
          <w:trHeight w:val="41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18C4E20">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5</w:t>
            </w: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4BF271AB">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招标代理服务费</w:t>
            </w:r>
          </w:p>
        </w:tc>
      </w:tr>
      <w:tr w14:paraId="6A6A1365">
        <w:tblPrEx>
          <w:tblCellMar>
            <w:top w:w="0" w:type="dxa"/>
            <w:left w:w="108" w:type="dxa"/>
            <w:bottom w:w="0" w:type="dxa"/>
            <w:right w:w="108" w:type="dxa"/>
          </w:tblCellMar>
        </w:tblPrEx>
        <w:trPr>
          <w:trHeight w:val="65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DC4FAF7">
            <w:pPr>
              <w:spacing w:line="360" w:lineRule="auto"/>
              <w:rPr>
                <w:rFonts w:ascii="仿宋" w:hAnsi="仿宋" w:eastAsia="仿宋" w:cs="仿宋"/>
                <w:color w:val="auto"/>
                <w:sz w:val="24"/>
                <w:szCs w:val="24"/>
                <w:lang w:eastAsia="zh-CN"/>
              </w:rPr>
            </w:pP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36F02AD5">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招标代理费根据《中华人民共和国招标投标法》、《中华人民共和国招标投标法实施条</w:t>
            </w:r>
            <w:r>
              <w:rPr>
                <w:rFonts w:hint="default" w:ascii="仿宋" w:hAnsi="仿宋" w:eastAsia="仿宋" w:cs="仿宋"/>
                <w:color w:val="auto"/>
                <w:lang w:val="en-US" w:eastAsia="zh-CN"/>
              </w:rPr>
              <w:t>例》</w:t>
            </w:r>
            <w:r>
              <w:rPr>
                <w:rFonts w:hint="eastAsia" w:ascii="仿宋" w:hAnsi="仿宋" w:eastAsia="仿宋" w:cs="仿宋"/>
                <w:color w:val="auto"/>
                <w:lang w:val="en-US" w:eastAsia="zh-CN"/>
              </w:rPr>
              <w:t>、</w:t>
            </w:r>
            <w:r>
              <w:rPr>
                <w:rFonts w:hint="default" w:ascii="仿宋" w:hAnsi="仿宋" w:eastAsia="仿宋" w:cs="仿宋"/>
                <w:color w:val="auto"/>
                <w:lang w:val="en-US" w:eastAsia="zh-CN"/>
              </w:rPr>
              <w:t>《国家发展改革委关于进一步放开建设项目专业服务价格的通知》（发改价格【2015】299 号）文件等规定收费基准价格计取。</w:t>
            </w:r>
          </w:p>
          <w:p w14:paraId="42FFF1BE">
            <w:pPr>
              <w:spacing w:line="360" w:lineRule="auto"/>
              <w:rPr>
                <w:rFonts w:ascii="仿宋" w:hAnsi="仿宋" w:eastAsia="仿宋" w:cs="仿宋"/>
                <w:color w:val="auto"/>
                <w:sz w:val="24"/>
                <w:szCs w:val="24"/>
                <w:lang w:eastAsia="zh-CN"/>
              </w:rPr>
            </w:pPr>
            <w:r>
              <w:rPr>
                <w:rFonts w:hint="default" w:ascii="仿宋" w:hAnsi="仿宋" w:eastAsia="仿宋" w:cs="仿宋"/>
                <w:color w:val="auto"/>
                <w:lang w:val="en-US" w:eastAsia="zh-CN"/>
              </w:rPr>
              <w:t>本项目招标代理费：</w:t>
            </w:r>
            <w:r>
              <w:rPr>
                <w:rFonts w:hint="eastAsia" w:ascii="仿宋" w:hAnsi="仿宋" w:eastAsia="仿宋" w:cs="仿宋"/>
                <w:color w:val="auto"/>
                <w:lang w:val="en-US" w:eastAsia="zh-CN"/>
              </w:rPr>
              <w:t xml:space="preserve"> 元;</w:t>
            </w:r>
            <w:r>
              <w:rPr>
                <w:rFonts w:hint="default" w:ascii="仿宋" w:hAnsi="仿宋" w:eastAsia="仿宋" w:cs="仿宋"/>
                <w:color w:val="auto"/>
                <w:lang w:val="en-US" w:eastAsia="zh-CN"/>
              </w:rPr>
              <w:t>招标代理费在中标通知书发放之日前由中标人缴纳。</w:t>
            </w:r>
          </w:p>
        </w:tc>
      </w:tr>
      <w:tr w14:paraId="1FE2FE41">
        <w:tblPrEx>
          <w:tblCellMar>
            <w:top w:w="0" w:type="dxa"/>
            <w:left w:w="108" w:type="dxa"/>
            <w:bottom w:w="0" w:type="dxa"/>
            <w:right w:w="108" w:type="dxa"/>
          </w:tblCellMar>
        </w:tblPrEx>
        <w:trPr>
          <w:trHeight w:val="8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E27440A">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6</w:t>
            </w: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4D01B5F9">
            <w:pPr>
              <w:spacing w:line="360" w:lineRule="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评标办法：本项目采用最低评标价法</w:t>
            </w:r>
          </w:p>
        </w:tc>
      </w:tr>
      <w:tr w14:paraId="12236FD9">
        <w:tblPrEx>
          <w:tblCellMar>
            <w:top w:w="0" w:type="dxa"/>
            <w:left w:w="108" w:type="dxa"/>
            <w:bottom w:w="0" w:type="dxa"/>
            <w:right w:w="108" w:type="dxa"/>
          </w:tblCellMar>
        </w:tblPrEx>
        <w:trPr>
          <w:trHeight w:val="8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783727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7</w:t>
            </w: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0F4B734C">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不管投标结果如何，投标人均应承担自己投标所需一切费用。</w:t>
            </w:r>
          </w:p>
        </w:tc>
      </w:tr>
      <w:tr w14:paraId="2127F185">
        <w:tblPrEx>
          <w:tblCellMar>
            <w:top w:w="0" w:type="dxa"/>
            <w:left w:w="108" w:type="dxa"/>
            <w:bottom w:w="0" w:type="dxa"/>
            <w:right w:w="108" w:type="dxa"/>
          </w:tblCellMar>
        </w:tblPrEx>
        <w:trPr>
          <w:trHeight w:val="8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2CAB3AA">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8</w:t>
            </w: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2AE044B8">
            <w:pPr>
              <w:spacing w:line="360" w:lineRule="auto"/>
              <w:rPr>
                <w:rFonts w:hint="default" w:ascii="仿宋" w:hAnsi="仿宋" w:eastAsia="仿宋" w:cs="仿宋"/>
                <w:color w:val="auto"/>
                <w:sz w:val="24"/>
                <w:szCs w:val="24"/>
                <w:lang w:val="en-US" w:eastAsia="zh-CN"/>
              </w:rPr>
            </w:pPr>
            <w:r>
              <w:rPr>
                <w:rFonts w:hint="eastAsia" w:ascii="仿宋" w:hAnsi="仿宋" w:eastAsia="仿宋" w:cs="仿宋"/>
                <w:b/>
                <w:bCs/>
                <w:color w:val="auto"/>
                <w:lang w:eastAsia="zh-CN"/>
              </w:rPr>
              <w:t>本次招标预算价：</w:t>
            </w:r>
            <w:r>
              <w:rPr>
                <w:rFonts w:hint="eastAsia" w:ascii="仿宋" w:hAnsi="仿宋" w:eastAsia="仿宋" w:cs="仿宋"/>
                <w:b/>
                <w:bCs/>
                <w:color w:val="auto"/>
                <w:lang w:val="en-US" w:eastAsia="zh-CN"/>
              </w:rPr>
              <w:t>1200000</w:t>
            </w:r>
            <w:r>
              <w:rPr>
                <w:rFonts w:hint="eastAsia" w:ascii="仿宋" w:hAnsi="仿宋" w:eastAsia="仿宋" w:cs="仿宋"/>
                <w:b/>
                <w:bCs/>
                <w:color w:val="auto"/>
                <w:lang w:eastAsia="zh-CN"/>
              </w:rPr>
              <w:t>.00元，投标总报价超过招标预算价的按废标处理。</w:t>
            </w:r>
          </w:p>
        </w:tc>
      </w:tr>
      <w:tr w14:paraId="6160899F">
        <w:tblPrEx>
          <w:tblCellMar>
            <w:top w:w="0" w:type="dxa"/>
            <w:left w:w="108" w:type="dxa"/>
            <w:bottom w:w="0" w:type="dxa"/>
            <w:right w:w="108" w:type="dxa"/>
          </w:tblCellMar>
        </w:tblPrEx>
        <w:trPr>
          <w:trHeight w:val="90" w:hRule="atLeast"/>
          <w:jc w:val="center"/>
        </w:trPr>
        <w:tc>
          <w:tcPr>
            <w:tcW w:w="784" w:type="dxa"/>
            <w:vMerge w:val="restart"/>
            <w:tcBorders>
              <w:top w:val="single" w:color="auto" w:sz="4" w:space="0"/>
              <w:left w:val="single" w:color="auto" w:sz="4" w:space="0"/>
              <w:right w:val="single" w:color="auto" w:sz="4" w:space="0"/>
            </w:tcBorders>
            <w:vAlign w:val="center"/>
          </w:tcPr>
          <w:p w14:paraId="6BC4FCB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9</w:t>
            </w:r>
          </w:p>
        </w:tc>
        <w:tc>
          <w:tcPr>
            <w:tcW w:w="1992" w:type="dxa"/>
            <w:vMerge w:val="restart"/>
            <w:tcBorders>
              <w:top w:val="single" w:color="auto" w:sz="4" w:space="0"/>
              <w:left w:val="single" w:color="auto" w:sz="4" w:space="0"/>
              <w:right w:val="single" w:color="auto" w:sz="4" w:space="0"/>
            </w:tcBorders>
            <w:vAlign w:val="center"/>
          </w:tcPr>
          <w:p w14:paraId="346A331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rPr>
              <w:t>中小微企业政策文件</w:t>
            </w:r>
          </w:p>
        </w:tc>
        <w:tc>
          <w:tcPr>
            <w:tcW w:w="6521" w:type="dxa"/>
            <w:tcBorders>
              <w:top w:val="single" w:color="auto" w:sz="4" w:space="0"/>
              <w:left w:val="single" w:color="auto" w:sz="4" w:space="0"/>
              <w:bottom w:val="single" w:color="auto" w:sz="4" w:space="0"/>
              <w:right w:val="single" w:color="auto" w:sz="4" w:space="0"/>
            </w:tcBorders>
            <w:vAlign w:val="center"/>
          </w:tcPr>
          <w:p w14:paraId="690CF8D8">
            <w:pPr>
              <w:numPr>
                <w:ilvl w:val="0"/>
                <w:numId w:val="3"/>
              </w:num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根据财政部、工业和信息化部关于印发《政府采购促进中小企业发展管理办法》的通知（财库[2020]46号）和（财库[2022]19号），</w:t>
            </w:r>
            <w:r>
              <w:rPr>
                <w:rFonts w:hint="eastAsia" w:ascii="仿宋" w:hAnsi="仿宋" w:eastAsia="仿宋" w:cs="仿宋"/>
                <w:b/>
                <w:bCs/>
                <w:color w:val="auto"/>
                <w:highlight w:val="none"/>
                <w:lang w:eastAsia="zh-CN"/>
              </w:rPr>
              <w:t>供应商所投产品的制造商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仿宋" w:hAnsi="仿宋" w:eastAsia="仿宋" w:cs="仿宋"/>
                <w:color w:val="auto"/>
                <w:highlight w:val="none"/>
                <w:lang w:eastAsia="zh-CN"/>
              </w:rPr>
              <w:t>。</w:t>
            </w:r>
          </w:p>
        </w:tc>
      </w:tr>
      <w:tr w14:paraId="78F59C41">
        <w:tblPrEx>
          <w:tblCellMar>
            <w:top w:w="0" w:type="dxa"/>
            <w:left w:w="108" w:type="dxa"/>
            <w:bottom w:w="0" w:type="dxa"/>
            <w:right w:w="108" w:type="dxa"/>
          </w:tblCellMar>
        </w:tblPrEx>
        <w:trPr>
          <w:trHeight w:val="84" w:hRule="atLeast"/>
          <w:jc w:val="center"/>
        </w:trPr>
        <w:tc>
          <w:tcPr>
            <w:tcW w:w="784" w:type="dxa"/>
            <w:vMerge w:val="continue"/>
            <w:tcBorders>
              <w:left w:val="single" w:color="auto" w:sz="4" w:space="0"/>
              <w:right w:val="single" w:color="auto" w:sz="4" w:space="0"/>
            </w:tcBorders>
            <w:vAlign w:val="center"/>
          </w:tcPr>
          <w:p w14:paraId="15D7599C">
            <w:pPr>
              <w:spacing w:line="360" w:lineRule="auto"/>
              <w:jc w:val="center"/>
              <w:rPr>
                <w:rFonts w:ascii="仿宋" w:hAnsi="仿宋" w:eastAsia="仿宋" w:cs="仿宋"/>
                <w:color w:val="auto"/>
                <w:sz w:val="24"/>
                <w:szCs w:val="24"/>
                <w:lang w:eastAsia="zh-CN"/>
              </w:rPr>
            </w:pPr>
          </w:p>
        </w:tc>
        <w:tc>
          <w:tcPr>
            <w:tcW w:w="1992" w:type="dxa"/>
            <w:vMerge w:val="continue"/>
            <w:tcBorders>
              <w:left w:val="single" w:color="auto" w:sz="4" w:space="0"/>
              <w:right w:val="single" w:color="auto" w:sz="4" w:space="0"/>
            </w:tcBorders>
            <w:vAlign w:val="center"/>
          </w:tcPr>
          <w:p w14:paraId="0924A1EE">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7FFF2B2B">
            <w:pPr>
              <w:spacing w:line="360" w:lineRule="auto"/>
              <w:rPr>
                <w:rFonts w:ascii="仿宋" w:hAnsi="仿宋" w:eastAsia="仿宋" w:cs="仿宋"/>
                <w:color w:val="auto"/>
                <w:sz w:val="24"/>
                <w:szCs w:val="24"/>
                <w:lang w:eastAsia="zh-CN"/>
              </w:rPr>
            </w:pPr>
            <w:r>
              <w:rPr>
                <w:rFonts w:hint="eastAsia" w:ascii="仿宋" w:hAnsi="仿宋" w:eastAsia="仿宋" w:cs="仿宋"/>
                <w:color w:val="auto"/>
                <w:highlight w:val="none"/>
                <w:lang w:eastAsia="zh-CN"/>
              </w:rPr>
              <w:t>（2）根据财政部、司令部《关于政府采购支持监狱企业发展有关问题》的通知财库[2014]68号，监狱企业参加本项目投标时，应当提供由省级以上监狱管理局、戒毒管理局（新疆生产建设兵团）出具的属于</w:t>
            </w:r>
            <w:r>
              <w:rPr>
                <w:rFonts w:hint="eastAsia" w:ascii="仿宋" w:hAnsi="仿宋" w:eastAsia="仿宋" w:cs="仿宋"/>
                <w:b w:val="0"/>
                <w:bCs w:val="0"/>
                <w:color w:val="auto"/>
                <w:highlight w:val="none"/>
                <w:lang w:eastAsia="zh-CN"/>
              </w:rPr>
              <w:t>监狱企业的证明文件。</w:t>
            </w:r>
            <w:r>
              <w:rPr>
                <w:rFonts w:hint="eastAsia" w:ascii="仿宋" w:hAnsi="仿宋" w:eastAsia="仿宋" w:cs="仿宋"/>
                <w:color w:val="auto"/>
                <w:highlight w:val="none"/>
                <w:lang w:eastAsia="zh-CN"/>
              </w:rPr>
              <w:t>监狱企业视同小型、微型企业。</w:t>
            </w:r>
          </w:p>
        </w:tc>
      </w:tr>
      <w:tr w14:paraId="7C057B93">
        <w:tblPrEx>
          <w:tblCellMar>
            <w:top w:w="0" w:type="dxa"/>
            <w:left w:w="108" w:type="dxa"/>
            <w:bottom w:w="0" w:type="dxa"/>
            <w:right w:w="108" w:type="dxa"/>
          </w:tblCellMar>
        </w:tblPrEx>
        <w:trPr>
          <w:trHeight w:val="84" w:hRule="atLeast"/>
          <w:jc w:val="center"/>
        </w:trPr>
        <w:tc>
          <w:tcPr>
            <w:tcW w:w="784" w:type="dxa"/>
            <w:vMerge w:val="continue"/>
            <w:tcBorders>
              <w:left w:val="single" w:color="auto" w:sz="4" w:space="0"/>
              <w:bottom w:val="single" w:color="auto" w:sz="4" w:space="0"/>
              <w:right w:val="single" w:color="auto" w:sz="4" w:space="0"/>
            </w:tcBorders>
            <w:vAlign w:val="center"/>
          </w:tcPr>
          <w:p w14:paraId="3ECAECAE">
            <w:pPr>
              <w:spacing w:line="360" w:lineRule="auto"/>
              <w:jc w:val="center"/>
              <w:rPr>
                <w:rFonts w:ascii="仿宋" w:hAnsi="仿宋" w:eastAsia="仿宋" w:cs="仿宋"/>
                <w:color w:val="auto"/>
                <w:sz w:val="24"/>
                <w:szCs w:val="24"/>
                <w:lang w:eastAsia="zh-CN"/>
              </w:rPr>
            </w:pPr>
          </w:p>
        </w:tc>
        <w:tc>
          <w:tcPr>
            <w:tcW w:w="1992" w:type="dxa"/>
            <w:vMerge w:val="continue"/>
            <w:tcBorders>
              <w:left w:val="single" w:color="auto" w:sz="4" w:space="0"/>
              <w:bottom w:val="single" w:color="auto" w:sz="4" w:space="0"/>
              <w:right w:val="single" w:color="auto" w:sz="4" w:space="0"/>
            </w:tcBorders>
            <w:vAlign w:val="center"/>
          </w:tcPr>
          <w:p w14:paraId="71A2C74D">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0382B9CD">
            <w:pPr>
              <w:spacing w:line="360" w:lineRule="auto"/>
              <w:rPr>
                <w:rFonts w:ascii="仿宋" w:hAnsi="仿宋" w:eastAsia="仿宋" w:cs="仿宋"/>
                <w:color w:val="auto"/>
                <w:sz w:val="24"/>
                <w:szCs w:val="24"/>
              </w:rPr>
            </w:pPr>
            <w:r>
              <w:rPr>
                <w:rFonts w:hint="eastAsia" w:ascii="仿宋" w:hAnsi="仿宋" w:eastAsia="仿宋" w:cs="仿宋"/>
                <w:color w:val="auto"/>
                <w:highlight w:val="none"/>
                <w:lang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14:paraId="44BC30E5">
        <w:tblPrEx>
          <w:tblCellMar>
            <w:top w:w="0" w:type="dxa"/>
            <w:left w:w="108" w:type="dxa"/>
            <w:bottom w:w="0" w:type="dxa"/>
            <w:right w:w="108" w:type="dxa"/>
          </w:tblCellMar>
        </w:tblPrEx>
        <w:trPr>
          <w:trHeight w:val="1285" w:hRule="atLeast"/>
          <w:jc w:val="center"/>
        </w:trPr>
        <w:tc>
          <w:tcPr>
            <w:tcW w:w="784" w:type="dxa"/>
            <w:vMerge w:val="continue"/>
            <w:tcBorders>
              <w:left w:val="single" w:color="auto" w:sz="4" w:space="0"/>
              <w:right w:val="single" w:color="auto" w:sz="4" w:space="0"/>
            </w:tcBorders>
            <w:vAlign w:val="center"/>
          </w:tcPr>
          <w:p w14:paraId="3A91DFBB">
            <w:pPr>
              <w:spacing w:line="360" w:lineRule="auto"/>
              <w:jc w:val="center"/>
              <w:rPr>
                <w:rFonts w:ascii="仿宋" w:hAnsi="仿宋" w:eastAsia="仿宋" w:cs="仿宋"/>
                <w:color w:val="auto"/>
                <w:sz w:val="24"/>
                <w:szCs w:val="24"/>
                <w:lang w:eastAsia="zh-CN"/>
              </w:rPr>
            </w:pPr>
          </w:p>
        </w:tc>
        <w:tc>
          <w:tcPr>
            <w:tcW w:w="1992" w:type="dxa"/>
            <w:vMerge w:val="restart"/>
            <w:tcBorders>
              <w:left w:val="single" w:color="auto" w:sz="4" w:space="0"/>
              <w:right w:val="single" w:color="auto" w:sz="4" w:space="0"/>
            </w:tcBorders>
            <w:vAlign w:val="center"/>
          </w:tcPr>
          <w:p w14:paraId="5B96C0CF">
            <w:pPr>
              <w:spacing w:line="360" w:lineRule="auto"/>
              <w:jc w:val="center"/>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中小微企业政策文件说明</w:t>
            </w:r>
          </w:p>
        </w:tc>
        <w:tc>
          <w:tcPr>
            <w:tcW w:w="6521" w:type="dxa"/>
            <w:tcBorders>
              <w:top w:val="single" w:color="auto" w:sz="4" w:space="0"/>
              <w:left w:val="single" w:color="auto" w:sz="4" w:space="0"/>
              <w:bottom w:val="single" w:color="auto" w:sz="4" w:space="0"/>
              <w:right w:val="single" w:color="auto" w:sz="4" w:space="0"/>
            </w:tcBorders>
            <w:vAlign w:val="center"/>
          </w:tcPr>
          <w:p w14:paraId="50AD8091">
            <w:pPr>
              <w:spacing w:line="360" w:lineRule="auto"/>
              <w:rPr>
                <w:rFonts w:hint="eastAsia" w:ascii="仿宋" w:hAnsi="仿宋" w:eastAsia="仿宋" w:cs="仿宋"/>
                <w:color w:val="0000FF"/>
                <w:sz w:val="24"/>
                <w:szCs w:val="24"/>
                <w:lang w:eastAsia="zh-CN"/>
              </w:rPr>
            </w:pPr>
            <w:r>
              <w:rPr>
                <w:rFonts w:hint="eastAsia" w:ascii="仿宋" w:hAnsi="仿宋" w:eastAsia="仿宋" w:cs="仿宋"/>
                <w:color w:val="0000FF"/>
                <w:lang w:eastAsia="zh-CN"/>
              </w:rPr>
              <w:t>（</w:t>
            </w:r>
            <w:r>
              <w:rPr>
                <w:rFonts w:hint="eastAsia" w:ascii="仿宋" w:hAnsi="仿宋" w:eastAsia="仿宋" w:cs="仿宋"/>
                <w:b/>
                <w:bCs/>
                <w:color w:val="0000FF"/>
                <w:lang w:eastAsia="zh-CN"/>
              </w:rPr>
              <w:t>1）支持中小企业发展：给予小型和微型企业产品的价格10%-20%的扣除，用扣除后的价格参与评审，</w:t>
            </w:r>
            <w:r>
              <w:rPr>
                <w:rFonts w:hint="eastAsia" w:ascii="仿宋" w:hAnsi="仿宋" w:eastAsia="仿宋" w:cs="仿宋"/>
                <w:b/>
                <w:bCs/>
                <w:color w:val="0000FF"/>
                <w:u w:val="single"/>
                <w:lang w:eastAsia="zh-CN"/>
              </w:rPr>
              <w:t>本项目具体扣除比例为10%</w:t>
            </w:r>
            <w:r>
              <w:rPr>
                <w:rFonts w:hint="eastAsia" w:ascii="仿宋" w:hAnsi="仿宋" w:eastAsia="仿宋" w:cs="仿宋"/>
                <w:color w:val="0000FF"/>
                <w:lang w:eastAsia="zh-CN"/>
              </w:rPr>
              <w:t>。用扣除后的价格参与评审。残疾人福利性单位视同小型、微型企业，享受同等价格扣除，但同时属于残疾人福利性单位和小微企业的，不重复价格扣除。</w:t>
            </w:r>
          </w:p>
        </w:tc>
      </w:tr>
      <w:tr w14:paraId="44F7BFE8">
        <w:tblPrEx>
          <w:tblCellMar>
            <w:top w:w="0" w:type="dxa"/>
            <w:left w:w="108" w:type="dxa"/>
            <w:bottom w:w="0" w:type="dxa"/>
            <w:right w:w="108" w:type="dxa"/>
          </w:tblCellMar>
        </w:tblPrEx>
        <w:trPr>
          <w:trHeight w:val="740" w:hRule="atLeast"/>
          <w:jc w:val="center"/>
        </w:trPr>
        <w:tc>
          <w:tcPr>
            <w:tcW w:w="784" w:type="dxa"/>
            <w:vMerge w:val="restart"/>
            <w:tcBorders>
              <w:left w:val="single" w:color="auto" w:sz="4" w:space="0"/>
              <w:right w:val="single" w:color="auto" w:sz="4" w:space="0"/>
            </w:tcBorders>
            <w:vAlign w:val="center"/>
          </w:tcPr>
          <w:p w14:paraId="6500CE60">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c>
          <w:tcPr>
            <w:tcW w:w="1992" w:type="dxa"/>
            <w:vMerge w:val="continue"/>
            <w:tcBorders>
              <w:left w:val="single" w:color="auto" w:sz="4" w:space="0"/>
              <w:right w:val="single" w:color="auto" w:sz="4" w:space="0"/>
            </w:tcBorders>
            <w:vAlign w:val="center"/>
          </w:tcPr>
          <w:p w14:paraId="4D8EE2F2">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20169632">
            <w:pPr>
              <w:spacing w:line="360" w:lineRule="auto"/>
              <w:rPr>
                <w:rFonts w:hint="eastAsia" w:ascii="仿宋" w:hAnsi="仿宋" w:eastAsia="仿宋" w:cs="仿宋"/>
                <w:b/>
                <w:bCs/>
                <w:color w:val="0000FF"/>
                <w:sz w:val="24"/>
                <w:szCs w:val="24"/>
              </w:rPr>
            </w:pPr>
            <w:r>
              <w:rPr>
                <w:rFonts w:hint="eastAsia" w:ascii="仿宋" w:hAnsi="仿宋" w:eastAsia="仿宋" w:cs="仿宋"/>
                <w:b/>
                <w:bCs/>
                <w:color w:val="0000FF"/>
                <w:lang w:eastAsia="zh-CN"/>
              </w:rPr>
              <w:t>（</w:t>
            </w:r>
            <w:r>
              <w:rPr>
                <w:rFonts w:hint="eastAsia" w:ascii="仿宋" w:hAnsi="仿宋" w:eastAsia="仿宋" w:cs="仿宋"/>
                <w:b/>
                <w:bCs/>
                <w:color w:val="0000FF"/>
                <w:lang w:val="en-US" w:eastAsia="zh-CN"/>
              </w:rPr>
              <w:t>2</w:t>
            </w:r>
            <w:r>
              <w:rPr>
                <w:rFonts w:hint="eastAsia" w:ascii="仿宋" w:hAnsi="仿宋" w:eastAsia="仿宋" w:cs="仿宋"/>
                <w:b/>
                <w:bCs/>
                <w:color w:val="0000FF"/>
                <w:lang w:eastAsia="zh-CN"/>
              </w:rPr>
              <w:t>）不符合上述适用情形的供应商无需提供上述声明函件。</w:t>
            </w:r>
          </w:p>
        </w:tc>
      </w:tr>
      <w:tr w14:paraId="39EAAD89">
        <w:tblPrEx>
          <w:tblCellMar>
            <w:top w:w="0" w:type="dxa"/>
            <w:left w:w="108" w:type="dxa"/>
            <w:bottom w:w="0" w:type="dxa"/>
            <w:right w:w="108" w:type="dxa"/>
          </w:tblCellMar>
        </w:tblPrEx>
        <w:trPr>
          <w:trHeight w:val="740" w:hRule="atLeast"/>
          <w:jc w:val="center"/>
        </w:trPr>
        <w:tc>
          <w:tcPr>
            <w:tcW w:w="784" w:type="dxa"/>
            <w:vMerge w:val="continue"/>
            <w:tcBorders>
              <w:left w:val="single" w:color="auto" w:sz="4" w:space="0"/>
              <w:right w:val="single" w:color="auto" w:sz="4" w:space="0"/>
            </w:tcBorders>
            <w:vAlign w:val="center"/>
          </w:tcPr>
          <w:p w14:paraId="4A90CFDD">
            <w:pPr>
              <w:spacing w:line="360" w:lineRule="auto"/>
              <w:jc w:val="center"/>
              <w:rPr>
                <w:rFonts w:hint="eastAsia" w:ascii="仿宋" w:hAnsi="仿宋" w:eastAsia="仿宋" w:cs="仿宋"/>
                <w:color w:val="auto"/>
                <w:sz w:val="24"/>
                <w:szCs w:val="24"/>
                <w:lang w:val="en-US" w:eastAsia="zh-CN"/>
              </w:rPr>
            </w:pPr>
          </w:p>
        </w:tc>
        <w:tc>
          <w:tcPr>
            <w:tcW w:w="1992" w:type="dxa"/>
            <w:vMerge w:val="continue"/>
            <w:tcBorders>
              <w:left w:val="single" w:color="auto" w:sz="4" w:space="0"/>
              <w:right w:val="single" w:color="auto" w:sz="4" w:space="0"/>
            </w:tcBorders>
            <w:vAlign w:val="center"/>
          </w:tcPr>
          <w:p w14:paraId="465F143C">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72D2A536">
            <w:pPr>
              <w:spacing w:line="360" w:lineRule="auto"/>
              <w:rPr>
                <w:rFonts w:hint="eastAsia" w:ascii="仿宋" w:hAnsi="仿宋" w:eastAsia="仿宋" w:cs="仿宋"/>
                <w:b/>
                <w:bCs/>
                <w:color w:val="0000FF"/>
                <w:highlight w:val="none"/>
                <w:lang w:eastAsia="zh-CN"/>
              </w:rPr>
            </w:pPr>
            <w:r>
              <w:rPr>
                <w:rFonts w:hint="eastAsia" w:ascii="仿宋" w:hAnsi="仿宋" w:eastAsia="仿宋" w:cs="仿宋"/>
                <w:b/>
                <w:bCs/>
                <w:color w:val="0000FF"/>
                <w:lang w:eastAsia="zh-CN"/>
              </w:rPr>
              <w:t>（</w:t>
            </w:r>
            <w:r>
              <w:rPr>
                <w:rFonts w:hint="eastAsia" w:ascii="仿宋" w:hAnsi="仿宋" w:eastAsia="仿宋" w:cs="仿宋"/>
                <w:b/>
                <w:bCs/>
                <w:color w:val="0000FF"/>
                <w:lang w:val="en-US" w:eastAsia="zh-CN"/>
              </w:rPr>
              <w:t>3</w:t>
            </w:r>
            <w:r>
              <w:rPr>
                <w:rFonts w:hint="eastAsia" w:ascii="仿宋" w:hAnsi="仿宋" w:eastAsia="仿宋" w:cs="仿宋"/>
                <w:b/>
                <w:bCs/>
                <w:color w:val="0000FF"/>
                <w:lang w:eastAsia="zh-CN"/>
              </w:rPr>
              <w:t>）本项目货物所属行业：软件和信息技术服务业</w:t>
            </w:r>
          </w:p>
        </w:tc>
      </w:tr>
      <w:tr w14:paraId="14839977">
        <w:tblPrEx>
          <w:tblCellMar>
            <w:top w:w="0" w:type="dxa"/>
            <w:left w:w="108" w:type="dxa"/>
            <w:bottom w:w="0" w:type="dxa"/>
            <w:right w:w="108" w:type="dxa"/>
          </w:tblCellMar>
        </w:tblPrEx>
        <w:trPr>
          <w:trHeight w:val="740" w:hRule="atLeast"/>
          <w:jc w:val="center"/>
        </w:trPr>
        <w:tc>
          <w:tcPr>
            <w:tcW w:w="784" w:type="dxa"/>
            <w:vMerge w:val="continue"/>
            <w:tcBorders>
              <w:left w:val="single" w:color="auto" w:sz="4" w:space="0"/>
              <w:bottom w:val="single" w:color="auto" w:sz="4" w:space="0"/>
              <w:right w:val="single" w:color="auto" w:sz="4" w:space="0"/>
            </w:tcBorders>
            <w:vAlign w:val="center"/>
          </w:tcPr>
          <w:p w14:paraId="7FB0B30D">
            <w:pPr>
              <w:spacing w:line="360" w:lineRule="auto"/>
              <w:jc w:val="center"/>
              <w:rPr>
                <w:rFonts w:ascii="仿宋" w:hAnsi="仿宋" w:eastAsia="仿宋" w:cs="仿宋"/>
                <w:color w:val="auto"/>
                <w:sz w:val="24"/>
                <w:szCs w:val="24"/>
                <w:lang w:eastAsia="zh-CN"/>
              </w:rPr>
            </w:pPr>
          </w:p>
        </w:tc>
        <w:tc>
          <w:tcPr>
            <w:tcW w:w="1992" w:type="dxa"/>
            <w:vMerge w:val="continue"/>
            <w:tcBorders>
              <w:left w:val="single" w:color="auto" w:sz="4" w:space="0"/>
              <w:bottom w:val="single" w:color="auto" w:sz="4" w:space="0"/>
              <w:right w:val="single" w:color="auto" w:sz="4" w:space="0"/>
            </w:tcBorders>
            <w:vAlign w:val="center"/>
          </w:tcPr>
          <w:p w14:paraId="2FFEB2CE">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46B8DEC5">
            <w:pPr>
              <w:spacing w:line="360" w:lineRule="auto"/>
              <w:rPr>
                <w:rFonts w:hint="eastAsia" w:ascii="仿宋" w:hAnsi="仿宋" w:eastAsia="仿宋" w:cs="仿宋"/>
                <w:b/>
                <w:bCs/>
                <w:color w:val="0000FF"/>
                <w:sz w:val="24"/>
                <w:szCs w:val="24"/>
              </w:rPr>
            </w:pPr>
            <w:r>
              <w:rPr>
                <w:rFonts w:hint="eastAsia" w:ascii="仿宋" w:hAnsi="仿宋" w:eastAsia="仿宋" w:cs="仿宋"/>
                <w:b/>
                <w:color w:val="0000FF"/>
                <w:sz w:val="24"/>
                <w:szCs w:val="24"/>
                <w:highlight w:val="none"/>
                <w:lang w:eastAsia="zh-CN"/>
              </w:rPr>
              <w:t>着重提醒：</w:t>
            </w:r>
            <w:r>
              <w:rPr>
                <w:rFonts w:hint="eastAsia" w:ascii="仿宋" w:hAnsi="仿宋" w:eastAsia="仿宋" w:cs="仿宋"/>
                <w:b/>
                <w:bCs/>
                <w:color w:val="0000FF"/>
                <w:sz w:val="24"/>
                <w:szCs w:val="24"/>
                <w:highlight w:val="none"/>
                <w:u w:val="none"/>
                <w:lang w:eastAsia="zh-CN"/>
              </w:rPr>
              <w:t>投标供应商在提供《中小企业声明函》时，必须将招标文件所列的采购标的物全部列入《中小企业声明函》，否则不享受10%价格的优惠政策。</w:t>
            </w:r>
          </w:p>
        </w:tc>
      </w:tr>
      <w:tr w14:paraId="384292A3">
        <w:tblPrEx>
          <w:tblCellMar>
            <w:top w:w="0" w:type="dxa"/>
            <w:left w:w="108" w:type="dxa"/>
            <w:bottom w:w="0" w:type="dxa"/>
            <w:right w:w="108" w:type="dxa"/>
          </w:tblCellMar>
        </w:tblPrEx>
        <w:trPr>
          <w:trHeight w:val="55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AC6E74C">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lang w:val="en-US"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15EE74A3">
            <w:pPr>
              <w:widowControl/>
              <w:spacing w:line="360" w:lineRule="auto"/>
              <w:jc w:val="center"/>
              <w:rPr>
                <w:rFonts w:ascii="仿宋" w:hAnsi="仿宋" w:eastAsia="仿宋" w:cs="仿宋"/>
                <w:b/>
                <w:bCs/>
                <w:color w:val="auto"/>
                <w:sz w:val="24"/>
                <w:szCs w:val="24"/>
                <w:lang w:eastAsia="zh-CN"/>
              </w:rPr>
            </w:pPr>
            <w:r>
              <w:rPr>
                <w:rFonts w:hint="eastAsia" w:ascii="仿宋" w:hAnsi="仿宋" w:eastAsia="仿宋" w:cs="仿宋"/>
                <w:b/>
                <w:bCs/>
                <w:color w:val="auto"/>
                <w:sz w:val="24"/>
                <w:szCs w:val="24"/>
              </w:rPr>
              <w:t>履约保证金</w:t>
            </w:r>
          </w:p>
        </w:tc>
        <w:tc>
          <w:tcPr>
            <w:tcW w:w="6521" w:type="dxa"/>
            <w:tcBorders>
              <w:top w:val="single" w:color="auto" w:sz="4" w:space="0"/>
              <w:left w:val="single" w:color="auto" w:sz="4" w:space="0"/>
              <w:bottom w:val="single" w:color="auto" w:sz="4" w:space="0"/>
              <w:right w:val="single" w:color="auto" w:sz="4" w:space="0"/>
            </w:tcBorders>
            <w:vAlign w:val="center"/>
          </w:tcPr>
          <w:p w14:paraId="384906DA">
            <w:pPr>
              <w:widowControl/>
              <w:spacing w:line="360" w:lineRule="auto"/>
              <w:rPr>
                <w:rFonts w:hint="default" w:ascii="仿宋" w:hAnsi="仿宋" w:eastAsia="仿宋" w:cs="仿宋"/>
                <w:b/>
                <w:bCs/>
                <w:color w:val="auto"/>
                <w:sz w:val="24"/>
                <w:szCs w:val="24"/>
                <w:lang w:val="en-US" w:eastAsia="zh-CN"/>
              </w:rPr>
            </w:pPr>
            <w:r>
              <w:rPr>
                <w:rFonts w:hint="eastAsia" w:ascii="仿宋" w:hAnsi="仿宋" w:eastAsia="仿宋" w:cs="仿宋"/>
                <w:color w:val="auto"/>
                <w:highlight w:val="none"/>
                <w:lang w:val="zh-CN" w:eastAsia="zh-CN"/>
              </w:rPr>
              <w:t>中标人</w:t>
            </w:r>
            <w:r>
              <w:rPr>
                <w:rFonts w:hint="eastAsia" w:ascii="仿宋" w:hAnsi="仿宋" w:eastAsia="仿宋" w:cs="仿宋"/>
                <w:color w:val="auto"/>
                <w:highlight w:val="none"/>
                <w:lang w:eastAsia="zh-CN"/>
              </w:rPr>
              <w:t>应在领取《中标通知书》后的五个日历日内，办理履约保证金，</w:t>
            </w:r>
            <w:r>
              <w:rPr>
                <w:rFonts w:hint="eastAsia" w:ascii="仿宋" w:hAnsi="仿宋" w:eastAsia="仿宋" w:cs="仿宋"/>
                <w:color w:val="auto"/>
                <w:highlight w:val="none"/>
                <w:u w:val="single"/>
                <w:lang w:val="zh-CN" w:eastAsia="zh-CN"/>
              </w:rPr>
              <w:t>金额为不超过合同总价的</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lang w:val="zh-CN" w:eastAsia="zh-CN"/>
              </w:rPr>
              <w:t>%</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lang w:eastAsia="zh-CN"/>
              </w:rPr>
              <w:t>否则招标人可取消</w:t>
            </w:r>
            <w:r>
              <w:rPr>
                <w:rFonts w:hint="eastAsia" w:ascii="仿宋" w:hAnsi="仿宋" w:eastAsia="仿宋" w:cs="仿宋"/>
                <w:color w:val="auto"/>
                <w:highlight w:val="none"/>
                <w:lang w:val="zh-CN" w:eastAsia="zh-CN"/>
              </w:rPr>
              <w:t>成交人</w:t>
            </w:r>
            <w:r>
              <w:rPr>
                <w:rFonts w:hint="eastAsia" w:ascii="仿宋" w:hAnsi="仿宋" w:eastAsia="仿宋" w:cs="仿宋"/>
                <w:color w:val="auto"/>
                <w:highlight w:val="none"/>
                <w:lang w:eastAsia="zh-CN"/>
              </w:rPr>
              <w:t>的</w:t>
            </w:r>
            <w:r>
              <w:rPr>
                <w:rFonts w:hint="eastAsia" w:ascii="仿宋" w:hAnsi="仿宋" w:eastAsia="仿宋" w:cs="仿宋"/>
                <w:color w:val="auto"/>
                <w:highlight w:val="none"/>
                <w:lang w:val="zh-CN" w:eastAsia="zh-CN"/>
              </w:rPr>
              <w:t>成交</w:t>
            </w:r>
            <w:r>
              <w:rPr>
                <w:rFonts w:hint="eastAsia" w:ascii="仿宋" w:hAnsi="仿宋" w:eastAsia="仿宋" w:cs="仿宋"/>
                <w:color w:val="auto"/>
                <w:highlight w:val="none"/>
                <w:lang w:eastAsia="zh-CN"/>
              </w:rPr>
              <w:t>资格，并没收其投标保证金。</w:t>
            </w:r>
          </w:p>
        </w:tc>
      </w:tr>
      <w:tr w14:paraId="2032FAC4">
        <w:tblPrEx>
          <w:tblCellMar>
            <w:top w:w="0" w:type="dxa"/>
            <w:left w:w="108" w:type="dxa"/>
            <w:bottom w:w="0" w:type="dxa"/>
            <w:right w:w="108" w:type="dxa"/>
          </w:tblCellMar>
        </w:tblPrEx>
        <w:trPr>
          <w:trHeight w:val="84" w:hRule="atLeast"/>
          <w:jc w:val="center"/>
        </w:trPr>
        <w:tc>
          <w:tcPr>
            <w:tcW w:w="2776" w:type="dxa"/>
            <w:gridSpan w:val="2"/>
            <w:tcBorders>
              <w:top w:val="single" w:color="auto" w:sz="4" w:space="0"/>
              <w:left w:val="single" w:color="auto" w:sz="4" w:space="0"/>
              <w:bottom w:val="single" w:color="auto" w:sz="4" w:space="0"/>
              <w:right w:val="single" w:color="auto" w:sz="4" w:space="0"/>
            </w:tcBorders>
            <w:vAlign w:val="center"/>
          </w:tcPr>
          <w:p w14:paraId="67FE00E1">
            <w:pPr>
              <w:spacing w:line="360" w:lineRule="auto"/>
              <w:jc w:val="center"/>
              <w:rPr>
                <w:rFonts w:ascii="仿宋" w:hAnsi="仿宋" w:eastAsia="仿宋" w:cs="仿宋"/>
                <w:color w:val="auto"/>
                <w:sz w:val="24"/>
                <w:szCs w:val="24"/>
                <w:lang w:eastAsia="zh-CN"/>
              </w:rPr>
            </w:pPr>
            <w:r>
              <w:rPr>
                <w:rFonts w:hint="eastAsia" w:ascii="仿宋" w:hAnsi="仿宋" w:eastAsia="仿宋" w:cs="仿宋"/>
                <w:b/>
                <w:bCs/>
                <w:color w:val="auto"/>
                <w:sz w:val="24"/>
                <w:szCs w:val="24"/>
              </w:rPr>
              <w:t>备注</w:t>
            </w:r>
          </w:p>
        </w:tc>
        <w:tc>
          <w:tcPr>
            <w:tcW w:w="6521" w:type="dxa"/>
            <w:tcBorders>
              <w:top w:val="single" w:color="auto" w:sz="4" w:space="0"/>
              <w:left w:val="single" w:color="auto" w:sz="4" w:space="0"/>
              <w:bottom w:val="single" w:color="auto" w:sz="4" w:space="0"/>
              <w:right w:val="single" w:color="auto" w:sz="4" w:space="0"/>
            </w:tcBorders>
            <w:vAlign w:val="center"/>
          </w:tcPr>
          <w:p w14:paraId="05C338D9">
            <w:pPr>
              <w:spacing w:line="360" w:lineRule="auto"/>
              <w:rPr>
                <w:rFonts w:ascii="仿宋" w:hAnsi="仿宋" w:eastAsia="仿宋" w:cs="仿宋"/>
                <w:color w:val="auto"/>
                <w:sz w:val="24"/>
                <w:szCs w:val="24"/>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rPr>
              <w:t>着重提醒各投标人注意，并认真查看</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中的每一个条款及要求，因误读</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而造成的后果，招标人概不负责。</w:t>
            </w:r>
          </w:p>
          <w:p w14:paraId="32A5B670">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2、投标人使用相同IP地址的，一经发现，相关部门将进一步核实，查实后按串通投标处理。</w:t>
            </w:r>
          </w:p>
          <w:p w14:paraId="2A3DE350">
            <w:pPr>
              <w:spacing w:line="360" w:lineRule="auto"/>
              <w:rPr>
                <w:rFonts w:ascii="仿宋" w:hAnsi="仿宋" w:eastAsia="仿宋" w:cs="仿宋"/>
                <w:color w:val="auto"/>
                <w:sz w:val="24"/>
                <w:szCs w:val="24"/>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rPr>
              <w:t>为保证本项目质量，良好的售后服务，最</w:t>
            </w:r>
            <w:r>
              <w:rPr>
                <w:rFonts w:hint="eastAsia" w:ascii="仿宋" w:hAnsi="仿宋" w:eastAsia="仿宋" w:cs="仿宋"/>
                <w:color w:val="auto"/>
                <w:sz w:val="24"/>
                <w:szCs w:val="24"/>
                <w:lang w:eastAsia="zh-CN"/>
              </w:rPr>
              <w:t>高</w:t>
            </w:r>
            <w:r>
              <w:rPr>
                <w:rFonts w:hint="eastAsia" w:ascii="仿宋" w:hAnsi="仿宋" w:eastAsia="仿宋" w:cs="仿宋"/>
                <w:color w:val="auto"/>
                <w:sz w:val="24"/>
                <w:szCs w:val="24"/>
              </w:rPr>
              <w:t>报价不作为中标的唯一依据。</w:t>
            </w:r>
          </w:p>
          <w:p w14:paraId="2C05E2AE">
            <w:pPr>
              <w:spacing w:line="360" w:lineRule="auto"/>
              <w:rPr>
                <w:rFonts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采购人若发现成交候选供应商在投标过程中提供虚假证明文件，故意隐瞒公司不良信誉和财务状况，以及其他可能对合同圆满履行造成风险的因素等，则按规定取消其成交资格，监管部门依法进行处理。</w:t>
            </w:r>
          </w:p>
          <w:p w14:paraId="130732D8">
            <w:pPr>
              <w:spacing w:line="360" w:lineRule="auto"/>
              <w:rPr>
                <w:rFonts w:ascii="仿宋" w:hAnsi="仿宋" w:eastAsia="仿宋" w:cs="仿宋"/>
                <w:color w:val="auto"/>
                <w:sz w:val="24"/>
                <w:szCs w:val="24"/>
              </w:rPr>
            </w:pPr>
            <w:r>
              <w:rPr>
                <w:rFonts w:hint="eastAsia" w:ascii="仿宋" w:hAnsi="仿宋" w:eastAsia="仿宋" w:cs="仿宋"/>
                <w:color w:val="auto"/>
                <w:sz w:val="24"/>
                <w:szCs w:val="24"/>
                <w:lang w:eastAsia="zh-CN"/>
              </w:rPr>
              <w:t>5、</w:t>
            </w:r>
            <w:r>
              <w:rPr>
                <w:rFonts w:hint="eastAsia" w:ascii="仿宋" w:hAnsi="仿宋" w:eastAsia="仿宋" w:cs="仿宋"/>
                <w:color w:val="auto"/>
                <w:sz w:val="24"/>
                <w:szCs w:val="24"/>
              </w:rPr>
              <w:t>其它：</w:t>
            </w:r>
          </w:p>
          <w:p w14:paraId="78AB3816">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（1）投标企业严格遵守国家的法律法规及招标纪律，无违法违纪及商业贿赂行为。</w:t>
            </w:r>
          </w:p>
          <w:p w14:paraId="107E5FD2">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（2）不管投标结果如何，供应商均应自行承担投标所需一切费用。</w:t>
            </w:r>
          </w:p>
          <w:p w14:paraId="378A2D67">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（3）供应商应以书面形式保证中标后由本公司组织实施，不得以任何理由将项目转包给其他机构。</w:t>
            </w:r>
          </w:p>
          <w:p w14:paraId="48D4069C">
            <w:pPr>
              <w:spacing w:line="360" w:lineRule="auto"/>
              <w:rPr>
                <w:rFonts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（4）</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中如出现前后不一致情况，均以前附表内容为准。</w:t>
            </w:r>
          </w:p>
        </w:tc>
      </w:tr>
    </w:tbl>
    <w:p w14:paraId="6A69CCF9">
      <w:pPr>
        <w:pStyle w:val="22"/>
        <w:ind w:left="0" w:leftChars="0" w:firstLine="0" w:firstLineChars="0"/>
        <w:rPr>
          <w:rFonts w:hint="eastAsia"/>
          <w:color w:val="auto"/>
        </w:rPr>
      </w:pPr>
    </w:p>
    <w:p w14:paraId="4D0D3163">
      <w:pPr>
        <w:rPr>
          <w:rFonts w:hint="eastAsia"/>
          <w:color w:val="auto"/>
        </w:rPr>
      </w:pPr>
    </w:p>
    <w:p w14:paraId="326EC1FC">
      <w:pPr>
        <w:pStyle w:val="3"/>
        <w:rPr>
          <w:rFonts w:hint="eastAsia" w:ascii="仿宋" w:hAnsi="仿宋" w:eastAsia="仿宋" w:cs="仿宋"/>
          <w:color w:val="auto"/>
          <w:sz w:val="28"/>
          <w:szCs w:val="28"/>
        </w:rPr>
      </w:pPr>
      <w:r>
        <w:rPr>
          <w:rFonts w:hint="eastAsia" w:ascii="仿宋" w:hAnsi="仿宋" w:eastAsia="仿宋" w:cs="仿宋"/>
          <w:color w:val="auto"/>
          <w:sz w:val="28"/>
          <w:szCs w:val="28"/>
        </w:rPr>
        <w:t>一、总则</w:t>
      </w:r>
    </w:p>
    <w:p w14:paraId="52D94DD7">
      <w:pPr>
        <w:pStyle w:val="15"/>
        <w:snapToGrid w:val="0"/>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kern w:val="2"/>
          <w:sz w:val="24"/>
          <w:szCs w:val="24"/>
        </w:rPr>
        <w:t>（一）项目名称</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阿图什市某单位信息化设备采购项目</w:t>
      </w:r>
    </w:p>
    <w:p w14:paraId="2BB3AEBD">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（二）采购方式</w:t>
      </w: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rPr>
        <w:t>本项目采取</w:t>
      </w:r>
      <w:r>
        <w:rPr>
          <w:rFonts w:hint="eastAsia" w:ascii="仿宋" w:hAnsi="仿宋" w:eastAsia="仿宋" w:cs="仿宋"/>
          <w:color w:val="auto"/>
          <w:sz w:val="24"/>
          <w:szCs w:val="24"/>
          <w:u w:val="single"/>
          <w:lang w:eastAsia="zh-CN"/>
        </w:rPr>
        <w:t>竞争性谈判</w:t>
      </w:r>
      <w:r>
        <w:rPr>
          <w:rFonts w:hint="eastAsia" w:ascii="仿宋" w:hAnsi="仿宋" w:eastAsia="仿宋" w:cs="仿宋"/>
          <w:color w:val="auto"/>
          <w:sz w:val="24"/>
          <w:szCs w:val="24"/>
        </w:rPr>
        <w:t>方式采购。</w:t>
      </w:r>
    </w:p>
    <w:p w14:paraId="359DC8C0">
      <w:pPr>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（三）合格的供应商</w:t>
      </w:r>
    </w:p>
    <w:p w14:paraId="6F57F75C">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详见供应商须知前附表</w:t>
      </w:r>
    </w:p>
    <w:p w14:paraId="00EE305D">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（四）适用法律</w:t>
      </w:r>
    </w:p>
    <w:p w14:paraId="1F1FDD17">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本次招标及由本次招标产生的合同受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中华人民共和国政府采购法》、《</w:t>
      </w:r>
      <w:r>
        <w:rPr>
          <w:rFonts w:hint="eastAsia" w:ascii="仿宋" w:hAnsi="仿宋" w:eastAsia="仿宋" w:cs="仿宋"/>
          <w:color w:val="auto"/>
          <w:sz w:val="24"/>
          <w:szCs w:val="24"/>
          <w:lang w:eastAsia="zh-CN"/>
        </w:rPr>
        <w:t>政府采购非招标采购方式管理办法【74号】</w:t>
      </w:r>
      <w:r>
        <w:rPr>
          <w:rFonts w:hint="eastAsia" w:ascii="仿宋" w:hAnsi="仿宋" w:eastAsia="仿宋" w:cs="仿宋"/>
          <w:color w:val="auto"/>
          <w:sz w:val="24"/>
          <w:szCs w:val="24"/>
        </w:rPr>
        <w:t>》等相关法律、法规制约和保护。</w:t>
      </w:r>
    </w:p>
    <w:p w14:paraId="3BDA31C9">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（五）招标费用</w:t>
      </w:r>
    </w:p>
    <w:p w14:paraId="0E5FCAD6">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供应商应自行承担所有参加招标有关的费用。</w:t>
      </w:r>
    </w:p>
    <w:p w14:paraId="6A1F2AC4">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（六）</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的约束力</w:t>
      </w:r>
    </w:p>
    <w:p w14:paraId="3CC71B74">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供应商一旦报名参加本项目投标，即被认为接受了本</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中的所有条件和规定。</w:t>
      </w:r>
    </w:p>
    <w:p w14:paraId="07787713">
      <w:pPr>
        <w:pStyle w:val="3"/>
        <w:rPr>
          <w:rFonts w:hint="eastAsia" w:ascii="仿宋" w:hAnsi="仿宋" w:eastAsia="仿宋" w:cs="仿宋"/>
          <w:color w:val="auto"/>
          <w:sz w:val="28"/>
          <w:szCs w:val="28"/>
        </w:rPr>
      </w:pPr>
      <w:bookmarkStart w:id="29" w:name="_Toc497129137"/>
      <w:bookmarkStart w:id="30" w:name="_Toc452657552"/>
      <w:r>
        <w:rPr>
          <w:rFonts w:hint="eastAsia" w:ascii="仿宋" w:hAnsi="仿宋" w:eastAsia="仿宋" w:cs="仿宋"/>
          <w:color w:val="auto"/>
          <w:sz w:val="28"/>
          <w:szCs w:val="28"/>
        </w:rPr>
        <w:t>二、</w:t>
      </w:r>
      <w:bookmarkEnd w:id="29"/>
      <w:bookmarkEnd w:id="30"/>
      <w:r>
        <w:rPr>
          <w:rFonts w:hint="eastAsia" w:ascii="仿宋" w:hAnsi="仿宋" w:eastAsia="仿宋" w:cs="仿宋"/>
          <w:color w:val="auto"/>
          <w:sz w:val="28"/>
          <w:szCs w:val="28"/>
          <w:lang w:eastAsia="zh-CN"/>
        </w:rPr>
        <w:t>谈判文件</w:t>
      </w:r>
    </w:p>
    <w:p w14:paraId="276D729C">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（七）</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构成</w:t>
      </w:r>
    </w:p>
    <w:p w14:paraId="7C0642AC">
      <w:pPr>
        <w:snapToGrid w:val="0"/>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竞争性谈判</w:t>
      </w:r>
      <w:r>
        <w:rPr>
          <w:rFonts w:hint="eastAsia" w:ascii="仿宋" w:hAnsi="仿宋" w:eastAsia="仿宋" w:cs="仿宋"/>
          <w:color w:val="auto"/>
          <w:sz w:val="24"/>
          <w:szCs w:val="24"/>
        </w:rPr>
        <w:t>公</w:t>
      </w:r>
      <w:r>
        <w:rPr>
          <w:rFonts w:hint="eastAsia" w:ascii="仿宋" w:hAnsi="仿宋" w:eastAsia="仿宋" w:cs="仿宋"/>
          <w:color w:val="auto"/>
          <w:sz w:val="24"/>
          <w:szCs w:val="24"/>
          <w:lang w:eastAsia="zh-CN"/>
        </w:rPr>
        <w:t>告</w:t>
      </w:r>
    </w:p>
    <w:p w14:paraId="54713FE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2.供应商须知</w:t>
      </w:r>
    </w:p>
    <w:p w14:paraId="3B90DD31">
      <w:pPr>
        <w:adjustRightInd w:val="0"/>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3.技术要求</w:t>
      </w:r>
    </w:p>
    <w:p w14:paraId="3F2BFB44">
      <w:pPr>
        <w:adjustRightInd w:val="0"/>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4.合同文本（参考）</w:t>
      </w:r>
    </w:p>
    <w:p w14:paraId="022A1679">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5.响应文件格式</w:t>
      </w:r>
    </w:p>
    <w:p w14:paraId="6096F881">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供应商获取</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后，应仔细检查文件页数和附件数量，如发现有缺漏，请及时与采购代理机构联系补全。如果供应商不按上述要求操作而造成不良后果，采购代理机构不承担责任。</w:t>
      </w:r>
    </w:p>
    <w:p w14:paraId="2F096C06">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（八）</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的澄清</w:t>
      </w:r>
    </w:p>
    <w:p w14:paraId="562C9472">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任何要求对</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澄清的供应商，均应在在响应文件接收截止时间5日之前，</w:t>
      </w:r>
      <w:r>
        <w:rPr>
          <w:rFonts w:hint="eastAsia" w:ascii="仿宋" w:hAnsi="仿宋" w:eastAsia="仿宋" w:cs="仿宋"/>
          <w:color w:val="auto"/>
          <w:sz w:val="24"/>
          <w:szCs w:val="24"/>
          <w:lang w:eastAsia="zh-CN"/>
        </w:rPr>
        <w:t>由澄清或质疑方的法定代表人或授权投标人（必须为法定代表人授权进行该项目投标的被授权人）以书面形式向采购人及招标代理公司递交澄清或质疑函(原件)，并登记备案。澄清或质疑函须有法定代表人亲笔签章。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w:t>
      </w:r>
      <w:r>
        <w:rPr>
          <w:rFonts w:hint="eastAsia" w:ascii="仿宋" w:hAnsi="仿宋" w:eastAsia="仿宋" w:cs="仿宋"/>
          <w:color w:val="auto"/>
          <w:sz w:val="24"/>
          <w:szCs w:val="24"/>
          <w:u w:val="single"/>
          <w:lang w:eastAsia="zh-CN"/>
        </w:rPr>
        <w:t>阿图什市某单位信息化设备采购项目</w:t>
      </w:r>
      <w:r>
        <w:rPr>
          <w:rFonts w:hint="eastAsia" w:ascii="仿宋" w:hAnsi="仿宋" w:eastAsia="仿宋" w:cs="仿宋"/>
          <w:color w:val="auto"/>
          <w:sz w:val="24"/>
          <w:szCs w:val="24"/>
          <w:lang w:eastAsia="zh-CN"/>
        </w:rPr>
        <w:t>澄清或质疑使用”字样，并由身份证持有人签章确认。上述资料均须加盖公章。</w:t>
      </w:r>
      <w:r>
        <w:rPr>
          <w:rFonts w:hint="eastAsia" w:ascii="仿宋" w:hAnsi="仿宋" w:eastAsia="仿宋" w:cs="仿宋"/>
          <w:color w:val="auto"/>
          <w:sz w:val="24"/>
          <w:szCs w:val="24"/>
        </w:rPr>
        <w:t>采购代理机构对规定时间内收到的澄清要求以书面形式予以答复，答复不包括问题的来源。</w:t>
      </w:r>
    </w:p>
    <w:p w14:paraId="3536DCDA">
      <w:pPr>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（九）</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的修改</w:t>
      </w:r>
    </w:p>
    <w:p w14:paraId="1B837FF1">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1、在响应文件接收截止5日前，采购代理机构可以更正文件以补充文件的形式对</w:t>
      </w:r>
      <w:r>
        <w:rPr>
          <w:rFonts w:hint="eastAsia" w:ascii="仿宋" w:hAnsi="仿宋" w:eastAsia="仿宋" w:cs="仿宋"/>
          <w:bCs/>
          <w:color w:val="auto"/>
          <w:sz w:val="24"/>
          <w:szCs w:val="24"/>
          <w:lang w:eastAsia="zh-CN"/>
        </w:rPr>
        <w:t>竞争性谈判</w:t>
      </w:r>
      <w:r>
        <w:rPr>
          <w:rFonts w:hint="eastAsia" w:ascii="仿宋" w:hAnsi="仿宋" w:eastAsia="仿宋" w:cs="仿宋"/>
          <w:color w:val="auto"/>
          <w:sz w:val="24"/>
          <w:szCs w:val="24"/>
        </w:rPr>
        <w:t>进行修改。</w:t>
      </w:r>
    </w:p>
    <w:p w14:paraId="1A263095">
      <w:pPr>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2、为使供应商有充分的时间对</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的修改部分进行分析、研究，采购代理机构有权推迟响应文件接收截止日期和招标时间，并将此变更在</w:t>
      </w:r>
      <w:r>
        <w:rPr>
          <w:rFonts w:hint="eastAsia" w:ascii="仿宋" w:hAnsi="仿宋" w:eastAsia="仿宋" w:cs="仿宋"/>
          <w:color w:val="auto"/>
          <w:sz w:val="24"/>
          <w:szCs w:val="24"/>
          <w:lang w:eastAsia="zh-CN"/>
        </w:rPr>
        <w:t>政采云平台</w:t>
      </w:r>
      <w:r>
        <w:rPr>
          <w:rFonts w:hint="eastAsia" w:ascii="仿宋" w:hAnsi="仿宋" w:eastAsia="仿宋" w:cs="仿宋"/>
          <w:color w:val="auto"/>
          <w:sz w:val="24"/>
          <w:szCs w:val="24"/>
        </w:rPr>
        <w:t>以变更通知的形式予以公布或以书面通知所有购买</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的供应商。</w:t>
      </w:r>
    </w:p>
    <w:p w14:paraId="22E5F660">
      <w:pPr>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、采购代理机构发出的所有补充、修改和变更文件均作为</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的组成部分，与</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具有同等法律效力。</w:t>
      </w:r>
    </w:p>
    <w:p w14:paraId="642B7CC5">
      <w:pPr>
        <w:pStyle w:val="3"/>
        <w:rPr>
          <w:rFonts w:hint="eastAsia" w:ascii="仿宋" w:hAnsi="仿宋" w:eastAsia="仿宋" w:cs="仿宋"/>
          <w:color w:val="auto"/>
          <w:sz w:val="28"/>
          <w:szCs w:val="28"/>
        </w:rPr>
      </w:pPr>
      <w:bookmarkStart w:id="31" w:name="_Toc452657553"/>
      <w:bookmarkStart w:id="32" w:name="_Toc497129138"/>
      <w:r>
        <w:rPr>
          <w:rFonts w:hint="eastAsia" w:ascii="仿宋" w:hAnsi="仿宋" w:eastAsia="仿宋" w:cs="仿宋"/>
          <w:color w:val="auto"/>
          <w:sz w:val="28"/>
          <w:szCs w:val="28"/>
        </w:rPr>
        <w:t>三、响应文件的编制</w:t>
      </w:r>
      <w:bookmarkEnd w:id="31"/>
      <w:bookmarkEnd w:id="32"/>
    </w:p>
    <w:p w14:paraId="540B1380">
      <w:pPr>
        <w:snapToGrid w:val="0"/>
        <w:spacing w:line="360" w:lineRule="auto"/>
        <w:ind w:firstLine="245" w:firstLineChars="100"/>
        <w:rPr>
          <w:rFonts w:hint="eastAsia" w:ascii="仿宋" w:hAnsi="仿宋" w:eastAsia="仿宋" w:cs="仿宋"/>
          <w:b/>
          <w:bCs/>
          <w:color w:val="auto"/>
          <w:sz w:val="24"/>
          <w:szCs w:val="24"/>
        </w:rPr>
      </w:pPr>
      <w:r>
        <w:rPr>
          <w:rFonts w:hint="eastAsia" w:ascii="仿宋" w:hAnsi="仿宋" w:eastAsia="仿宋" w:cs="仿宋"/>
          <w:b/>
          <w:bCs/>
          <w:color w:val="auto"/>
          <w:sz w:val="24"/>
          <w:szCs w:val="24"/>
        </w:rPr>
        <w:t>（十）响应文件的编制要求</w:t>
      </w:r>
    </w:p>
    <w:p w14:paraId="3D9BFD9C">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供应商应仔细阅读“</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”的所有内容，按“</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”的要求编制“响应文件”，并保证所提供的全部资料的真实性、完整性及有效性，以使其投标对“</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”做出</w:t>
      </w:r>
      <w:r>
        <w:rPr>
          <w:rFonts w:hint="eastAsia" w:ascii="仿宋" w:hAnsi="仿宋" w:eastAsia="仿宋" w:cs="仿宋"/>
          <w:b/>
          <w:color w:val="auto"/>
          <w:sz w:val="24"/>
          <w:szCs w:val="24"/>
        </w:rPr>
        <w:t>实质性响应</w:t>
      </w:r>
      <w:r>
        <w:rPr>
          <w:rFonts w:hint="eastAsia" w:ascii="仿宋" w:hAnsi="仿宋" w:eastAsia="仿宋" w:cs="仿宋"/>
          <w:color w:val="auto"/>
          <w:sz w:val="24"/>
          <w:szCs w:val="24"/>
        </w:rPr>
        <w:t>。否则，可能被拒绝。</w:t>
      </w:r>
    </w:p>
    <w:p w14:paraId="0ABB062C">
      <w:pPr>
        <w:snapToGrid w:val="0"/>
        <w:spacing w:line="360" w:lineRule="auto"/>
        <w:ind w:firstLine="245" w:firstLineChars="100"/>
        <w:rPr>
          <w:rFonts w:hint="eastAsia" w:ascii="仿宋" w:hAnsi="仿宋" w:eastAsia="仿宋" w:cs="仿宋"/>
          <w:color w:val="auto"/>
          <w:sz w:val="24"/>
          <w:szCs w:val="24"/>
        </w:rPr>
      </w:pPr>
      <w:r>
        <w:rPr>
          <w:rFonts w:hint="eastAsia" w:ascii="仿宋" w:hAnsi="仿宋" w:eastAsia="仿宋" w:cs="仿宋"/>
          <w:b/>
          <w:bCs/>
          <w:color w:val="auto"/>
          <w:sz w:val="24"/>
          <w:szCs w:val="24"/>
        </w:rPr>
        <w:t>（十一）响应文件构成</w:t>
      </w:r>
    </w:p>
    <w:p w14:paraId="68B4BA2B">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资格证明文件和商务及技术文件两部分</w:t>
      </w:r>
    </w:p>
    <w:p w14:paraId="5B19A209">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lang w:eastAsia="zh-CN"/>
        </w:rPr>
        <w:t>资格证明文件（包括但不限于）</w:t>
      </w:r>
    </w:p>
    <w:p w14:paraId="7D052E96">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资格证明文件是证明投标人有资格参加投标和中标后有能力履行合同的文件，这些文件应能满足招标的要求，否则作无效投标处理。</w:t>
      </w:r>
    </w:p>
    <w:p w14:paraId="5F073E56">
      <w:pPr>
        <w:numPr>
          <w:ilvl w:val="0"/>
          <w:numId w:val="0"/>
        </w:num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具备三证合一营业执照副本；</w:t>
      </w:r>
    </w:p>
    <w:p w14:paraId="33410EF4">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2、法定代表人资格证明书；</w:t>
      </w:r>
    </w:p>
    <w:p w14:paraId="75E00A56">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3、法定代表人授权书；</w:t>
      </w:r>
    </w:p>
    <w:p w14:paraId="0701207F">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4、投标保证金缴纳凭证或投标担保函；</w:t>
      </w:r>
    </w:p>
    <w:p w14:paraId="4F500517">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5、投标企业须提供投标人（被授权在职人员）近6个月内任意一个月有效的社保证明；</w:t>
      </w:r>
    </w:p>
    <w:p w14:paraId="71137DB8">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6</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val="0"/>
          <w:bCs/>
          <w:color w:val="auto"/>
          <w:sz w:val="24"/>
          <w:szCs w:val="24"/>
          <w:lang w:eastAsia="zh-CN"/>
        </w:rPr>
        <w:t>；</w:t>
      </w:r>
    </w:p>
    <w:p w14:paraId="06FB66AE">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7、</w:t>
      </w:r>
      <w:r>
        <w:rPr>
          <w:rFonts w:hint="eastAsia" w:ascii="仿宋" w:hAnsi="仿宋" w:eastAsia="仿宋" w:cs="仿宋"/>
          <w:b w:val="0"/>
          <w:bCs/>
          <w:color w:val="auto"/>
          <w:sz w:val="24"/>
          <w:szCs w:val="24"/>
          <w:lang w:eastAsia="zh-CN"/>
        </w:rPr>
        <w:t>投标人须知资料表要求的其他资格证明文件。</w:t>
      </w:r>
    </w:p>
    <w:p w14:paraId="208A534D">
      <w:pPr>
        <w:pStyle w:val="22"/>
        <w:ind w:left="0" w:leftChars="0" w:firstLine="49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8.提供反商业贿赂承诺书（自拟）</w:t>
      </w:r>
    </w:p>
    <w:p w14:paraId="1CB05CF2">
      <w:pPr>
        <w:pStyle w:val="22"/>
        <w:ind w:left="0" w:leftChars="0" w:firstLine="490" w:firstLineChars="200"/>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9.财务状况良好，具备2023年或2024年经会计事务所提供的有效地财务审计报告及财务报表；（不满1年的提供成立公司以来的财务审计报告）；投标人没有处于财产被接管、破产或其它关、停、并、转现象。</w:t>
      </w:r>
    </w:p>
    <w:p w14:paraId="2B36D1BF">
      <w:pPr>
        <w:snapToGrid w:val="0"/>
        <w:spacing w:line="360" w:lineRule="auto"/>
        <w:ind w:firstLine="245" w:firstLineChars="1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（2）商务及技术文件（包括但不限于）</w:t>
      </w:r>
    </w:p>
    <w:p w14:paraId="6A3C9EC0">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1、投标函</w:t>
      </w:r>
    </w:p>
    <w:p w14:paraId="01AC7A0D">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2、开标一览表</w:t>
      </w:r>
    </w:p>
    <w:p w14:paraId="57DB3D59">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3、货物说明一览表</w:t>
      </w:r>
    </w:p>
    <w:p w14:paraId="784A2814">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4、投标分项报价表</w:t>
      </w:r>
    </w:p>
    <w:p w14:paraId="4F9427D6">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5、技术规格偏离表</w:t>
      </w:r>
    </w:p>
    <w:p w14:paraId="22940451">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6、商务条款偏离表</w:t>
      </w:r>
    </w:p>
    <w:p w14:paraId="34932C1A">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7、投标人基本情况表</w:t>
      </w:r>
    </w:p>
    <w:p w14:paraId="2304BDAA">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8、中标服务费支付承诺书</w:t>
      </w:r>
    </w:p>
    <w:p w14:paraId="10D0CABF">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9、中小企业声明函(货物)（如有）</w:t>
      </w:r>
    </w:p>
    <w:p w14:paraId="7AF7A1BC">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10、残疾人福利性单位声明函</w:t>
      </w:r>
    </w:p>
    <w:p w14:paraId="392BAA81">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11、质量保证及售后服务（格式自拟）</w:t>
      </w:r>
    </w:p>
    <w:p w14:paraId="3170706D">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12、投标人认为有必要提供的其他证明材料</w:t>
      </w:r>
    </w:p>
    <w:p w14:paraId="10CC0A0C">
      <w:pPr>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注：</w:t>
      </w:r>
      <w:r>
        <w:rPr>
          <w:rFonts w:hint="eastAsia" w:ascii="仿宋" w:hAnsi="仿宋" w:eastAsia="仿宋" w:cs="仿宋"/>
          <w:b/>
          <w:bCs/>
          <w:color w:val="auto"/>
          <w:sz w:val="24"/>
          <w:szCs w:val="24"/>
          <w:u w:val="single"/>
          <w:lang w:val="en-US" w:eastAsia="zh-CN"/>
        </w:rPr>
        <w:t>1.为了便于查找，请按上述顺序编制内容，并在目录中标明每项内容的起始页码。</w:t>
      </w:r>
      <w:r>
        <w:rPr>
          <w:rFonts w:hint="eastAsia" w:ascii="仿宋" w:hAnsi="仿宋" w:eastAsia="仿宋" w:cs="仿宋"/>
          <w:b/>
          <w:bCs/>
          <w:color w:val="auto"/>
          <w:sz w:val="24"/>
          <w:szCs w:val="24"/>
          <w:lang w:val="en-US" w:eastAsia="zh-CN"/>
        </w:rPr>
        <w:t xml:space="preserve"> </w:t>
      </w:r>
    </w:p>
    <w:p w14:paraId="118F960B">
      <w:pPr>
        <w:snapToGrid w:val="0"/>
        <w:spacing w:line="360" w:lineRule="auto"/>
        <w:ind w:firstLine="490"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u w:val="single"/>
          <w:lang w:val="en-US" w:eastAsia="zh-CN"/>
        </w:rPr>
        <w:t>2.以上材料须加盖单位公章。</w:t>
      </w:r>
      <w:r>
        <w:rPr>
          <w:rFonts w:hint="eastAsia" w:ascii="仿宋" w:hAnsi="仿宋" w:eastAsia="仿宋" w:cs="仿宋"/>
          <w:b/>
          <w:bCs/>
          <w:color w:val="auto"/>
          <w:sz w:val="24"/>
          <w:szCs w:val="24"/>
          <w:lang w:val="en-US" w:eastAsia="zh-CN"/>
        </w:rPr>
        <w:t xml:space="preserve"> </w:t>
      </w:r>
    </w:p>
    <w:p w14:paraId="36D9D1A4">
      <w:pPr>
        <w:snapToGrid w:val="0"/>
        <w:spacing w:line="360" w:lineRule="auto"/>
        <w:ind w:firstLine="490" w:firstLineChars="200"/>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lang w:val="en-US" w:eastAsia="zh-CN"/>
        </w:rPr>
        <w:t>3.请各投标供应商根据项目实际需求，并结合企业自身情况以及相关评标办法进行编制。</w:t>
      </w:r>
    </w:p>
    <w:p w14:paraId="1001DA60">
      <w:pPr>
        <w:snapToGrid w:val="0"/>
        <w:spacing w:line="360" w:lineRule="auto"/>
        <w:ind w:firstLine="200"/>
        <w:rPr>
          <w:rFonts w:hint="eastAsia" w:ascii="仿宋" w:hAnsi="仿宋" w:eastAsia="仿宋" w:cs="仿宋"/>
          <w:color w:val="auto"/>
          <w:sz w:val="24"/>
          <w:szCs w:val="24"/>
        </w:rPr>
      </w:pPr>
      <w:r>
        <w:rPr>
          <w:rFonts w:hint="eastAsia" w:ascii="仿宋" w:hAnsi="仿宋" w:eastAsia="仿宋" w:cs="仿宋"/>
          <w:b/>
          <w:bCs/>
          <w:color w:val="auto"/>
          <w:sz w:val="24"/>
          <w:szCs w:val="24"/>
        </w:rPr>
        <w:t>（十二）响应文件格式</w:t>
      </w:r>
    </w:p>
    <w:p w14:paraId="2B5369A3">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供应商应仔细阅读谈判文件的所有内容，按照谈判文件的要求详细编制响应文件，所提交的全部资料必须真实有效，并且要保证字迹清晰易于辨认。响应文件应对谈判文件实质性内容作出响应，否则按无效标处理。</w:t>
      </w:r>
    </w:p>
    <w:p w14:paraId="5CBA0357">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（2）响应文件格式应按本谈判文件第五章格式要求编制，不得对谈判文件格式进行增删更改，否则按无效标处理。</w:t>
      </w:r>
    </w:p>
    <w:p w14:paraId="2814CFD3">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（3）对谈判文件格式可更改的例外情况：谈判文件第五部分附件格式要求中明确规定表格中行数不够用时可按相同格式增加行数，其他一切内容和格式不得更改。 </w:t>
      </w:r>
    </w:p>
    <w:p w14:paraId="1EA5DBD7">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（4）响应文件为电子响应文件，电子响应文件按“政采云供应商项目采购-电子招投标操作指南”及本谈判文件要求制作、加密传输。</w:t>
      </w:r>
    </w:p>
    <w:p w14:paraId="3AD3F43D">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（5）响应文件未在投标截止时间前完成传输的，视为响应文件撤回；响应文件未按时解密也未提供备份响应文件的，亦视为响应文件撤回。</w:t>
      </w:r>
    </w:p>
    <w:p w14:paraId="78A663BD">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（十三）</w:t>
      </w:r>
      <w:r>
        <w:rPr>
          <w:rFonts w:hint="eastAsia" w:ascii="仿宋" w:hAnsi="仿宋" w:eastAsia="仿宋" w:cs="仿宋"/>
          <w:b/>
          <w:bCs/>
          <w:color w:val="auto"/>
          <w:sz w:val="24"/>
          <w:szCs w:val="24"/>
          <w:lang w:eastAsia="zh-CN"/>
        </w:rPr>
        <w:t>谈判</w:t>
      </w:r>
      <w:r>
        <w:rPr>
          <w:rFonts w:hint="eastAsia" w:ascii="仿宋" w:hAnsi="仿宋" w:eastAsia="仿宋" w:cs="仿宋"/>
          <w:b/>
          <w:bCs/>
          <w:color w:val="auto"/>
          <w:sz w:val="24"/>
          <w:szCs w:val="24"/>
        </w:rPr>
        <w:t>报价</w:t>
      </w:r>
    </w:p>
    <w:p w14:paraId="2E8A0751">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报价为“招标范围”内的总报价。</w:t>
      </w:r>
    </w:p>
    <w:p w14:paraId="6A889BB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2、凡要求供应商考虑在报价中的内容供应商在响应文件中没有考虑、没有计入的或未单独列出，采购人认为供应商已将此项费用涵盖在其它费用价格中。</w:t>
      </w:r>
    </w:p>
    <w:p w14:paraId="6409F789">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报价应包含项目实施过程中涉及到的一切费用。</w:t>
      </w:r>
    </w:p>
    <w:p w14:paraId="713B45A2">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4、报价注意事项：</w:t>
      </w:r>
    </w:p>
    <w:p w14:paraId="45C71DA3">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供应商报价时应充分考虑所有可能影响到报价的报价因素，一旦招标结束最终成交，总价将固定，不予调整。如发生漏、缺、少项，都将被认为是成交人的报价让利行为，损失自负。</w:t>
      </w:r>
    </w:p>
    <w:p w14:paraId="185B2C5C">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（十四）投标有效期</w:t>
      </w:r>
    </w:p>
    <w:p w14:paraId="7AAD41B8">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1、投标有效期为</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规定的供应商提交响应文件截止之日起</w:t>
      </w:r>
      <w:r>
        <w:rPr>
          <w:rFonts w:hint="eastAsia" w:ascii="仿宋" w:hAnsi="仿宋" w:eastAsia="仿宋" w:cs="仿宋"/>
          <w:color w:val="auto"/>
          <w:sz w:val="24"/>
          <w:szCs w:val="24"/>
          <w:u w:val="single"/>
          <w:lang w:val="en-US" w:eastAsia="zh-CN"/>
        </w:rPr>
        <w:t>60</w:t>
      </w:r>
      <w:r>
        <w:rPr>
          <w:rFonts w:hint="eastAsia" w:ascii="仿宋" w:hAnsi="仿宋" w:eastAsia="仿宋" w:cs="仿宋"/>
          <w:color w:val="auto"/>
          <w:sz w:val="24"/>
          <w:szCs w:val="24"/>
        </w:rPr>
        <w:t>天。投标有效期不满足</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要求的将视为非响应性文件而予以拒绝。</w:t>
      </w:r>
    </w:p>
    <w:p w14:paraId="796AEF07">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在特殊情况下，采购人于原投标有效期满之前，可向供应商提出延长投标有效期的要求，这种要求与答复均应采用书面形式（如信件、传真或电报等），供应商可以拒绝采购人的这一要求而放弃参与投标；同意延长的供应商不允许修改其响应文件。</w:t>
      </w:r>
    </w:p>
    <w:p w14:paraId="3D784FAA">
      <w:pPr>
        <w:snapToGrid w:val="0"/>
        <w:spacing w:line="360" w:lineRule="auto"/>
        <w:ind w:firstLine="239" w:firstLineChars="98"/>
        <w:rPr>
          <w:rFonts w:hint="eastAsia" w:ascii="仿宋" w:hAnsi="仿宋" w:eastAsia="仿宋" w:cs="仿宋"/>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eastAsia="zh-CN"/>
        </w:rPr>
        <w:t>五</w:t>
      </w:r>
      <w:r>
        <w:rPr>
          <w:rFonts w:hint="eastAsia" w:ascii="仿宋" w:hAnsi="仿宋" w:eastAsia="仿宋" w:cs="仿宋"/>
          <w:b/>
          <w:bCs/>
          <w:color w:val="auto"/>
          <w:sz w:val="24"/>
          <w:szCs w:val="24"/>
        </w:rPr>
        <w:t>）响应文件</w:t>
      </w:r>
      <w:r>
        <w:rPr>
          <w:rFonts w:hint="eastAsia" w:ascii="仿宋" w:hAnsi="仿宋" w:eastAsia="仿宋" w:cs="仿宋"/>
          <w:b/>
          <w:bCs/>
          <w:color w:val="auto"/>
          <w:sz w:val="24"/>
          <w:szCs w:val="24"/>
          <w:lang w:eastAsia="zh-CN"/>
        </w:rPr>
        <w:t>的</w:t>
      </w:r>
      <w:r>
        <w:rPr>
          <w:rFonts w:hint="eastAsia" w:ascii="仿宋" w:hAnsi="仿宋" w:eastAsia="仿宋" w:cs="仿宋"/>
          <w:b/>
          <w:bCs/>
          <w:color w:val="auto"/>
          <w:sz w:val="24"/>
          <w:szCs w:val="24"/>
        </w:rPr>
        <w:t>签署</w:t>
      </w:r>
    </w:p>
    <w:p w14:paraId="42E20AA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1、除供应商对错处做必要修改外，响应文件不得行间插字、涂改或增删，必要的修改处必须有供应商法人代表或其被授权人</w:t>
      </w:r>
      <w:r>
        <w:rPr>
          <w:rFonts w:hint="eastAsia" w:ascii="仿宋" w:hAnsi="仿宋" w:eastAsia="仿宋" w:cs="仿宋"/>
          <w:color w:val="auto"/>
          <w:sz w:val="24"/>
          <w:szCs w:val="24"/>
          <w:lang w:eastAsia="zh-CN"/>
        </w:rPr>
        <w:t>签章</w:t>
      </w:r>
      <w:r>
        <w:rPr>
          <w:rFonts w:hint="eastAsia" w:ascii="仿宋" w:hAnsi="仿宋" w:eastAsia="仿宋" w:cs="仿宋"/>
          <w:color w:val="auto"/>
          <w:sz w:val="24"/>
          <w:szCs w:val="24"/>
        </w:rPr>
        <w:t>并加盖公章。</w:t>
      </w:r>
    </w:p>
    <w:p w14:paraId="55C2A387">
      <w:pPr>
        <w:snapToGrid w:val="0"/>
        <w:spacing w:line="360" w:lineRule="auto"/>
        <w:ind w:firstLine="490" w:firstLineChars="200"/>
        <w:rPr>
          <w:rFonts w:hint="eastAsia" w:ascii="仿宋" w:hAnsi="仿宋" w:eastAsia="仿宋" w:cs="仿宋"/>
          <w:color w:val="auto"/>
          <w:sz w:val="24"/>
          <w:szCs w:val="24"/>
        </w:rPr>
      </w:pPr>
    </w:p>
    <w:p w14:paraId="64F47255">
      <w:pPr>
        <w:pStyle w:val="3"/>
        <w:rPr>
          <w:rFonts w:hint="eastAsia" w:ascii="仿宋" w:hAnsi="仿宋" w:eastAsia="仿宋" w:cs="仿宋"/>
          <w:b/>
          <w:bCs/>
          <w:color w:val="auto"/>
          <w:sz w:val="24"/>
          <w:szCs w:val="24"/>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四</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的制作、上传及递交要求</w:t>
      </w:r>
    </w:p>
    <w:p w14:paraId="4C33436A">
      <w:pPr>
        <w:snapToGrid w:val="0"/>
        <w:spacing w:line="360" w:lineRule="auto"/>
        <w:ind w:firstLine="490" w:firstLineChars="200"/>
        <w:rPr>
          <w:rFonts w:hint="eastAsia" w:ascii="仿宋" w:hAnsi="仿宋" w:eastAsia="仿宋" w:cs="仿宋"/>
          <w:b/>
          <w:color w:val="auto"/>
          <w:sz w:val="24"/>
          <w:szCs w:val="24"/>
        </w:rPr>
      </w:pPr>
      <w:r>
        <w:rPr>
          <w:rFonts w:hint="eastAsia" w:ascii="仿宋" w:hAnsi="仿宋" w:eastAsia="仿宋" w:cs="仿宋"/>
          <w:b/>
          <w:bCs/>
          <w:color w:val="auto"/>
          <w:sz w:val="24"/>
          <w:szCs w:val="24"/>
          <w:lang w:eastAsia="zh-CN"/>
        </w:rPr>
        <w:t>（十六）响应文件</w:t>
      </w:r>
      <w:r>
        <w:rPr>
          <w:rFonts w:hint="eastAsia" w:ascii="仿宋" w:hAnsi="仿宋" w:eastAsia="仿宋" w:cs="仿宋"/>
          <w:b/>
          <w:bCs/>
          <w:color w:val="auto"/>
          <w:sz w:val="24"/>
          <w:szCs w:val="24"/>
        </w:rPr>
        <w:t>的制作要求</w:t>
      </w:r>
    </w:p>
    <w:p w14:paraId="4DED662F">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（1）供应商应按照</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组成内容及项目招标需求和</w:t>
      </w:r>
      <w:r>
        <w:rPr>
          <w:rFonts w:hint="eastAsia" w:ascii="仿宋" w:hAnsi="仿宋" w:eastAsia="仿宋" w:cs="仿宋"/>
          <w:color w:val="auto"/>
          <w:sz w:val="24"/>
          <w:szCs w:val="24"/>
          <w:lang w:eastAsia="zh-CN"/>
        </w:rPr>
        <w:t>新疆</w:t>
      </w:r>
      <w:r>
        <w:rPr>
          <w:rFonts w:hint="eastAsia" w:ascii="仿宋" w:hAnsi="仿宋" w:eastAsia="仿宋" w:cs="仿宋"/>
          <w:color w:val="auto"/>
          <w:sz w:val="24"/>
          <w:szCs w:val="24"/>
        </w:rPr>
        <w:t>政府采购云平台要求制作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，不按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和</w:t>
      </w:r>
      <w:r>
        <w:rPr>
          <w:rFonts w:hint="eastAsia" w:ascii="仿宋" w:hAnsi="仿宋" w:eastAsia="仿宋" w:cs="仿宋"/>
          <w:color w:val="auto"/>
          <w:sz w:val="24"/>
          <w:szCs w:val="24"/>
          <w:lang w:eastAsia="zh-CN"/>
        </w:rPr>
        <w:t>新疆</w:t>
      </w:r>
      <w:r>
        <w:rPr>
          <w:rFonts w:hint="eastAsia" w:ascii="仿宋" w:hAnsi="仿宋" w:eastAsia="仿宋" w:cs="仿宋"/>
          <w:color w:val="auto"/>
          <w:sz w:val="24"/>
          <w:szCs w:val="24"/>
        </w:rPr>
        <w:t>政府采购云平台要求制作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的将视情况处理（拒收等），由此产生的责任由供应商自行承担。</w:t>
      </w:r>
    </w:p>
    <w:p w14:paraId="6200E040">
      <w:pPr>
        <w:pStyle w:val="5"/>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部分：供应商应根据“政采云供应商项目采购-电子招投标操作指南”及本</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规定的格式和顺序编制电子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并进行关联定位。本文件《</w:t>
      </w:r>
      <w:r>
        <w:rPr>
          <w:rFonts w:hint="eastAsia" w:ascii="仿宋" w:hAnsi="仿宋" w:eastAsia="仿宋" w:cs="仿宋"/>
          <w:color w:val="auto"/>
          <w:sz w:val="24"/>
          <w:szCs w:val="24"/>
          <w:lang w:eastAsia="zh-CN"/>
        </w:rPr>
        <w:t>第五部分</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格式》中有提供格式的，供应商应按照格式进行编制（格式中要求提供相关证明材料的还需后附相关证明材料），并按格式要求在指定位置根据要求进行签章，否则视为未提供；本文件《</w:t>
      </w:r>
      <w:r>
        <w:rPr>
          <w:rFonts w:hint="eastAsia" w:ascii="仿宋" w:hAnsi="仿宋" w:eastAsia="仿宋" w:cs="仿宋"/>
          <w:color w:val="auto"/>
          <w:sz w:val="24"/>
          <w:szCs w:val="24"/>
          <w:lang w:eastAsia="zh-CN"/>
        </w:rPr>
        <w:t>第五部分响应文件</w:t>
      </w:r>
      <w:r>
        <w:rPr>
          <w:rFonts w:hint="eastAsia" w:ascii="仿宋" w:hAnsi="仿宋" w:eastAsia="仿宋" w:cs="仿宋"/>
          <w:color w:val="auto"/>
          <w:sz w:val="24"/>
          <w:szCs w:val="24"/>
        </w:rPr>
        <w:t>格式》未提供格式的，请供应商自行拟定格式，并加盖单位公章，否则视为未提供。</w:t>
      </w:r>
    </w:p>
    <w:p w14:paraId="3B02FF57">
      <w:pPr>
        <w:pStyle w:val="5"/>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：通过“政采云”平台电子投标工具制作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所产生的备份文件。</w:t>
      </w:r>
    </w:p>
    <w:p w14:paraId="7FF46357">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（2）供应商应对所提供的全部资料的真实性、有效性承担法律责任，电子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中所须加盖公章部分均采用CA签章。</w:t>
      </w:r>
    </w:p>
    <w:p w14:paraId="100B4C85">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以及供应商与采购组织机构就有关投标事宜的所有来往函电，均应以中文汉语书写。除</w:t>
      </w:r>
      <w:r>
        <w:rPr>
          <w:rFonts w:hint="eastAsia" w:ascii="仿宋" w:hAnsi="仿宋" w:eastAsia="仿宋" w:cs="仿宋"/>
          <w:color w:val="auto"/>
          <w:sz w:val="24"/>
          <w:szCs w:val="24"/>
          <w:lang w:eastAsia="zh-CN"/>
        </w:rPr>
        <w:t>签章</w:t>
      </w:r>
      <w:r>
        <w:rPr>
          <w:rFonts w:hint="eastAsia" w:ascii="仿宋" w:hAnsi="仿宋" w:eastAsia="仿宋" w:cs="仿宋"/>
          <w:color w:val="auto"/>
          <w:sz w:val="24"/>
          <w:szCs w:val="24"/>
        </w:rPr>
        <w:t>、盖章、专用名称等特殊情形外，以中文汉语以外的文字表述的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视同未提供。</w:t>
      </w:r>
    </w:p>
    <w:p w14:paraId="3D69A6DE">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（4）投标计量单位，</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已有明确规定的，使用</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规定的计量单位；</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没有规定的，应采用中华人民共和国法定计量单位（货币单位：人民币元）。</w:t>
      </w:r>
    </w:p>
    <w:p w14:paraId="3EA88C40">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（5）若供应商不按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的要求提供资格审查材料，其风险由供应商自行承担。</w:t>
      </w:r>
    </w:p>
    <w:p w14:paraId="146A2715">
      <w:pPr>
        <w:pStyle w:val="5"/>
        <w:snapToGrid w:val="0"/>
        <w:spacing w:line="360" w:lineRule="auto"/>
        <w:rPr>
          <w:rFonts w:hint="eastAsia" w:ascii="仿宋" w:hAnsi="仿宋" w:eastAsia="仿宋" w:cs="仿宋"/>
          <w:bCs/>
          <w:color w:val="auto"/>
          <w:sz w:val="24"/>
          <w:szCs w:val="24"/>
          <w:lang w:eastAsia="zh-CN"/>
        </w:rPr>
      </w:pPr>
      <w:r>
        <w:rPr>
          <w:rFonts w:hint="eastAsia" w:ascii="仿宋" w:hAnsi="仿宋" w:eastAsia="仿宋" w:cs="仿宋"/>
          <w:color w:val="auto"/>
          <w:sz w:val="24"/>
          <w:szCs w:val="24"/>
        </w:rPr>
        <w:t>（6）与本次投标无关的内容请不要制作在内，确保</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有针对性、简洁明</w:t>
      </w:r>
      <w:r>
        <w:rPr>
          <w:rFonts w:hint="eastAsia" w:ascii="仿宋" w:hAnsi="仿宋" w:eastAsia="仿宋" w:cs="仿宋"/>
          <w:bCs/>
          <w:color w:val="auto"/>
          <w:sz w:val="24"/>
          <w:szCs w:val="24"/>
        </w:rPr>
        <w:t>了。</w:t>
      </w:r>
    </w:p>
    <w:p w14:paraId="6EB0F744">
      <w:pPr>
        <w:snapToGrid w:val="0"/>
        <w:spacing w:line="360" w:lineRule="auto"/>
        <w:ind w:firstLine="490" w:firstLineChars="200"/>
        <w:rPr>
          <w:rFonts w:hint="eastAsia" w:ascii="仿宋" w:hAnsi="仿宋" w:eastAsia="仿宋" w:cs="仿宋"/>
          <w:b/>
          <w:color w:val="auto"/>
          <w:sz w:val="24"/>
          <w:szCs w:val="24"/>
        </w:rPr>
      </w:pPr>
      <w:r>
        <w:rPr>
          <w:rFonts w:hint="eastAsia" w:ascii="仿宋" w:hAnsi="仿宋" w:eastAsia="仿宋" w:cs="仿宋"/>
          <w:b/>
          <w:bCs/>
          <w:color w:val="auto"/>
          <w:sz w:val="24"/>
          <w:szCs w:val="24"/>
          <w:lang w:eastAsia="zh-CN"/>
        </w:rPr>
        <w:t>（十七）响应文件</w:t>
      </w:r>
      <w:r>
        <w:rPr>
          <w:rFonts w:hint="eastAsia" w:ascii="仿宋" w:hAnsi="仿宋" w:eastAsia="仿宋" w:cs="仿宋"/>
          <w:b/>
          <w:bCs/>
          <w:color w:val="auto"/>
          <w:sz w:val="24"/>
          <w:szCs w:val="24"/>
        </w:rPr>
        <w:t>的上传</w:t>
      </w:r>
    </w:p>
    <w:p w14:paraId="17407AF5">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（1）电子加密响应文件（“.jmbs”格式）：</w:t>
      </w:r>
    </w:p>
    <w:p w14:paraId="17BD915E">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a. 供应商应在投标截止时间前将电子加密响应文件成功上传递交至新疆政府采购云平台，否则投标无效；</w:t>
      </w:r>
    </w:p>
    <w:p w14:paraId="052EA59D">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b.供应商成功上传电子加密响应文件后，可自行打印响应文件接收回执。</w:t>
      </w:r>
    </w:p>
    <w:p w14:paraId="5D57C7D5">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（2）备份响应文件（“.bfbs”格式）：</w:t>
      </w:r>
    </w:p>
    <w:p w14:paraId="6FEA0CE6">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a.供应商可以将备份响应文件打包压缩并加密，压缩包命名为“XX单位备份响应文件”，加密密码由供应商自行保管；送达时间以采购代理机构实际接收时间为准。“备份响应文件”以投标截止时间前指定接收邮箱最终收到的文件为准，逾期或未按要求提供的视为未提供，建议供应商提前1日办理邮件提供事宜（接收人邮箱：</w:t>
      </w:r>
      <w:r>
        <w:rPr>
          <w:color w:val="auto"/>
          <w:sz w:val="24"/>
          <w:szCs w:val="24"/>
        </w:rPr>
        <w:fldChar w:fldCharType="begin"/>
      </w:r>
      <w:r>
        <w:rPr>
          <w:color w:val="auto"/>
          <w:sz w:val="24"/>
          <w:szCs w:val="24"/>
        </w:rPr>
        <w:instrText xml:space="preserve"> HYPERLINK "mailto:1207446769@qq.com，接收人：陈加轲，电话：15157655122" </w:instrText>
      </w:r>
      <w:r>
        <w:rPr>
          <w:color w:val="auto"/>
          <w:sz w:val="24"/>
          <w:szCs w:val="24"/>
        </w:rPr>
        <w:fldChar w:fldCharType="separate"/>
      </w:r>
      <w:r>
        <w:rPr>
          <w:rFonts w:hint="eastAsia" w:ascii="仿宋" w:hAnsi="仿宋" w:eastAsia="仿宋" w:cs="仿宋"/>
          <w:color w:val="auto"/>
          <w:sz w:val="24"/>
          <w:szCs w:val="24"/>
          <w:lang w:val="en-US" w:eastAsia="zh-CN"/>
        </w:rPr>
        <w:t>759733443</w:t>
      </w:r>
      <w:r>
        <w:rPr>
          <w:rFonts w:hint="eastAsia" w:ascii="仿宋" w:hAnsi="仿宋" w:eastAsia="仿宋" w:cs="仿宋"/>
          <w:color w:val="auto"/>
          <w:sz w:val="24"/>
          <w:szCs w:val="24"/>
        </w:rPr>
        <w:t>@qq.com，接收人：</w:t>
      </w:r>
      <w:r>
        <w:rPr>
          <w:rFonts w:hint="eastAsia" w:ascii="仿宋" w:hAnsi="仿宋" w:eastAsia="仿宋" w:cs="仿宋"/>
          <w:color w:val="auto"/>
          <w:sz w:val="24"/>
          <w:szCs w:val="24"/>
          <w:lang w:eastAsia="zh-CN"/>
        </w:rPr>
        <w:t>邓女士</w:t>
      </w:r>
      <w:r>
        <w:rPr>
          <w:rFonts w:hint="eastAsia" w:ascii="仿宋" w:hAnsi="仿宋" w:eastAsia="仿宋" w:cs="仿宋"/>
          <w:color w:val="auto"/>
          <w:sz w:val="24"/>
          <w:szCs w:val="24"/>
        </w:rPr>
        <w:t>，电话：1</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t>3364782532</w:t>
      </w:r>
      <w:r>
        <w:rPr>
          <w:rFonts w:hint="eastAsia" w:ascii="仿宋" w:hAnsi="仿宋" w:eastAsia="仿宋" w:cs="仿宋"/>
          <w:color w:val="auto"/>
          <w:sz w:val="24"/>
          <w:szCs w:val="24"/>
        </w:rPr>
        <w:t>）；</w:t>
      </w:r>
    </w:p>
    <w:p w14:paraId="11F3F2D7">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b.通过“新疆政府采购云平台”成功上传递交的“电子加密响应文件”已按时解密的，“备份响应文件”自动失效。投标截止时间前，投标供应商仅递交了“备份响应文件”而未将“电子加密响应文件”成功上传至“政府采购云平台”的，投标无效。</w:t>
      </w:r>
    </w:p>
    <w:p w14:paraId="2BDD3949">
      <w:pPr>
        <w:pStyle w:val="5"/>
        <w:snapToGrid w:val="0"/>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lang w:eastAsia="zh-CN"/>
        </w:rPr>
        <w:t>（十八）响应文件</w:t>
      </w:r>
      <w:r>
        <w:rPr>
          <w:rFonts w:hint="eastAsia" w:ascii="仿宋" w:hAnsi="仿宋" w:eastAsia="仿宋" w:cs="仿宋"/>
          <w:b/>
          <w:bCs/>
          <w:color w:val="auto"/>
          <w:sz w:val="24"/>
          <w:szCs w:val="24"/>
        </w:rPr>
        <w:t>的递交要求</w:t>
      </w:r>
    </w:p>
    <w:p w14:paraId="56672E58">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（1）供应商须按照</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和政采云平台的要求编制并加密</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递交截止时间以前完成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的传输递交，截止时间后递交的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，将被拒收。</w:t>
      </w:r>
    </w:p>
    <w:p w14:paraId="0C605A4D">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（2）备份电子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必须在投标截止时间前送达指定的投标地点。备份电子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在截止时间后提交，采购组织机构将拒绝接收。</w:t>
      </w:r>
    </w:p>
    <w:p w14:paraId="009FAC59">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（3）如有特殊情况，采购组织机构延长截止时间和开标时间，采购组织机构和供应商的权利和义务将受到新的截止时间和开标时间的约束。</w:t>
      </w:r>
    </w:p>
    <w:p w14:paraId="347F0647">
      <w:pPr>
        <w:pStyle w:val="5"/>
        <w:snapToGrid w:val="0"/>
        <w:spacing w:line="360" w:lineRule="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（十九）响应文件的补充、修改与撤回</w:t>
      </w:r>
    </w:p>
    <w:p w14:paraId="3192983C">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撤回。投标截止时间后传输递交的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，“政府采购云平台”将予以拒收。投标截止时间后，供应商不得修改（补充）或撤回其</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w:t>
      </w:r>
    </w:p>
    <w:p w14:paraId="13F43312">
      <w:pPr>
        <w:pStyle w:val="3"/>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五、无效标、废标条款</w:t>
      </w:r>
      <w:bookmarkStart w:id="33" w:name="_Toc452657556"/>
      <w:bookmarkStart w:id="34" w:name="_Toc497129141"/>
    </w:p>
    <w:p w14:paraId="72D52031">
      <w:pPr>
        <w:spacing w:line="440" w:lineRule="exact"/>
        <w:ind w:firstLine="245" w:firstLineChars="100"/>
        <w:rPr>
          <w:rFonts w:hint="eastAsia" w:ascii="仿宋" w:hAnsi="仿宋" w:eastAsia="仿宋" w:cs="仿宋"/>
          <w:b/>
          <w:bCs/>
          <w:color w:val="auto"/>
          <w:sz w:val="24"/>
          <w:szCs w:val="24"/>
          <w:lang w:val="en-US" w:eastAsia="zh-CN" w:bidi="en-US"/>
        </w:rPr>
      </w:pPr>
      <w:r>
        <w:rPr>
          <w:rFonts w:hint="eastAsia" w:ascii="仿宋" w:hAnsi="仿宋" w:eastAsia="仿宋" w:cs="仿宋"/>
          <w:b/>
          <w:bCs/>
          <w:color w:val="auto"/>
          <w:sz w:val="24"/>
          <w:szCs w:val="24"/>
          <w:lang w:val="en-US" w:eastAsia="zh-CN" w:bidi="en-US"/>
        </w:rPr>
        <w:t>（二十）无效标</w:t>
      </w:r>
    </w:p>
    <w:p w14:paraId="1BA72876">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有下列情形之一的，响应文件按无效标处理：</w:t>
      </w:r>
    </w:p>
    <w:p w14:paraId="430C9507">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报名的投标人与参加投标的投标人发生实质性变更的且未提供有效证明的；</w:t>
      </w:r>
    </w:p>
    <w:p w14:paraId="05E40D10">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投标人提交两份或两份以上内容不同的响应文件，未声明哪一份有效的；</w:t>
      </w:r>
    </w:p>
    <w:p w14:paraId="1C02A418">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3、响应文件非投标人法定代表人签署的，未提供或提供无效的法定代表人授权书；</w:t>
      </w:r>
    </w:p>
    <w:p w14:paraId="583733D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4、响应文件内容未按谈判文件规定签章或盖章的；</w:t>
      </w:r>
    </w:p>
    <w:p w14:paraId="5E75C659">
      <w:pPr>
        <w:spacing w:line="440" w:lineRule="exact"/>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、响应文件组成漏项或未按规定的格式编制或响应文件正、副本份数不足或内容不全或内容字迹模糊辨认不清的等而导致评标活动无法正常进行；</w:t>
      </w:r>
    </w:p>
    <w:p w14:paraId="6B8C97F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、投标人未按谈判文件变更通知更改响应文件的；</w:t>
      </w:r>
    </w:p>
    <w:p w14:paraId="0E2ED30F">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、《开标一览表》和《投标分项报价表》内容不完整且不接受修正意见或字迹不能辨认的或未提供；</w:t>
      </w:r>
    </w:p>
    <w:p w14:paraId="7AEA7450">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、投标报价超过谈判文件规定的预算金额或最高限价；</w:t>
      </w:r>
    </w:p>
    <w:p w14:paraId="1D1B33B2">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因投标人原因编制错误造成经评标委员会修正后的报价达到或超过投标报价的0.5%；</w:t>
      </w:r>
    </w:p>
    <w:p w14:paraId="25309094">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、投标人的报价明显低于其他通过符合性审查投标人的报价，有可能影响产品质量或者不能诚信履约的，且在规定时间内不能合理说明原因并提供证明材料的；</w:t>
      </w:r>
    </w:p>
    <w:p w14:paraId="1A758B4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lang w:eastAsia="zh-CN"/>
        </w:rPr>
        <w:t>未实质性响应谈判文件中条款要求的响应文件；</w:t>
      </w:r>
    </w:p>
    <w:p w14:paraId="693686B5">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lang w:eastAsia="zh-CN"/>
        </w:rPr>
        <w:t>、不符合招标范围、技术规格、技术标准的要求无法满足采购人使用要求；</w:t>
      </w:r>
    </w:p>
    <w:p w14:paraId="51E0AB08">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lang w:eastAsia="zh-CN"/>
        </w:rPr>
        <w:t>、响应文件附有采购人不能接受的条款；</w:t>
      </w:r>
    </w:p>
    <w:p w14:paraId="0B5DDA4D">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lang w:eastAsia="zh-CN"/>
        </w:rPr>
        <w:t>、响应文件中提供了赠品或者与本项目采购无关的其他商品、服务；</w:t>
      </w:r>
    </w:p>
    <w:p w14:paraId="014C3A19">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eastAsia="zh-CN"/>
        </w:rPr>
        <w:t>、响应文件中承诺的投标有效期少于谈判文件中载明的投标有效期；</w:t>
      </w:r>
    </w:p>
    <w:p w14:paraId="11C38552">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lang w:eastAsia="zh-CN"/>
        </w:rPr>
        <w:t>、投标人串通投标，妨碍其他投标人的竞争行为，损害采购人或者其他投标人的合法权益；</w:t>
      </w:r>
    </w:p>
    <w:p w14:paraId="6CC1CF7C">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17</w:t>
      </w:r>
      <w:r>
        <w:rPr>
          <w:rFonts w:hint="eastAsia" w:ascii="仿宋" w:hAnsi="仿宋" w:eastAsia="仿宋" w:cs="仿宋"/>
          <w:color w:val="auto"/>
          <w:sz w:val="24"/>
          <w:szCs w:val="24"/>
          <w:lang w:eastAsia="zh-CN"/>
        </w:rPr>
        <w:t>、违反国家及政府部门相关法律、法规、文件规定或经评标委员会认定的其他属于重大偏离；</w:t>
      </w:r>
    </w:p>
    <w:p w14:paraId="6C2ED6EB">
      <w:pPr>
        <w:spacing w:line="440" w:lineRule="exact"/>
        <w:ind w:firstLine="245" w:firstLineChars="100"/>
        <w:rPr>
          <w:rFonts w:hint="eastAsia" w:ascii="仿宋" w:hAnsi="仿宋" w:eastAsia="仿宋" w:cs="仿宋"/>
          <w:b/>
          <w:bCs/>
          <w:color w:val="auto"/>
          <w:sz w:val="24"/>
          <w:szCs w:val="24"/>
          <w:lang w:val="en-US" w:eastAsia="zh-CN" w:bidi="en-US"/>
        </w:rPr>
      </w:pPr>
      <w:r>
        <w:rPr>
          <w:rFonts w:hint="eastAsia" w:ascii="仿宋" w:hAnsi="仿宋" w:eastAsia="仿宋" w:cs="仿宋"/>
          <w:b/>
          <w:bCs/>
          <w:color w:val="auto"/>
          <w:sz w:val="24"/>
          <w:szCs w:val="24"/>
          <w:lang w:val="en-US" w:eastAsia="zh-CN" w:bidi="en-US"/>
        </w:rPr>
        <w:t>（二十一）废标</w:t>
      </w:r>
    </w:p>
    <w:p w14:paraId="05FD1A14">
      <w:pPr>
        <w:spacing w:line="440" w:lineRule="exact"/>
        <w:ind w:firstLine="735" w:firstLineChars="3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符合谈判文件规定废标情形的；</w:t>
      </w:r>
    </w:p>
    <w:p w14:paraId="66AAB3EA">
      <w:pPr>
        <w:spacing w:line="440" w:lineRule="exact"/>
        <w:ind w:firstLine="735" w:firstLineChars="3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出现影响采购公正的违法、违规行为的；</w:t>
      </w:r>
    </w:p>
    <w:p w14:paraId="5CB1B0A4">
      <w:pPr>
        <w:spacing w:line="440" w:lineRule="exact"/>
        <w:ind w:firstLine="735" w:firstLineChars="3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供应商的报价均超过了采购预算（或最高限价），采购人不能支付的;</w:t>
      </w:r>
    </w:p>
    <w:p w14:paraId="14FA7EE5">
      <w:pPr>
        <w:spacing w:line="440" w:lineRule="exact"/>
        <w:ind w:firstLine="735" w:firstLineChars="3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因重大变故，采购任务取消的。</w:t>
      </w:r>
    </w:p>
    <w:p w14:paraId="4D00BB87">
      <w:pPr>
        <w:spacing w:line="440" w:lineRule="exact"/>
        <w:ind w:firstLine="245" w:firstLineChars="100"/>
        <w:rPr>
          <w:rFonts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（二十二）突发情况处理</w:t>
      </w:r>
    </w:p>
    <w:p w14:paraId="1CB462E4">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采购过程中出现以下情形，导致电子交易平台无法正常运行，或者无法保证电子交易的公平、公正和安全时，采购组织机构可中止电子交易活动：</w:t>
      </w:r>
    </w:p>
    <w:p w14:paraId="7DE55315">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（1）电子交易平台发生故障而无法登录访问的； </w:t>
      </w:r>
    </w:p>
    <w:p w14:paraId="5DDD2660">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（2）电子交易平台应用或数据库出现错误，不能进行正常操作的；</w:t>
      </w:r>
    </w:p>
    <w:p w14:paraId="63FBF59F">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（3）电子交易平台发现严重安全漏洞，有潜在泄密危险的；</w:t>
      </w:r>
    </w:p>
    <w:p w14:paraId="0FDEE430">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（4）病毒发作导致不能进行正常操作的； </w:t>
      </w:r>
    </w:p>
    <w:p w14:paraId="4172A352">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（5）其他无法保证电子交易的公平、公正和安全的情况。</w:t>
      </w:r>
    </w:p>
    <w:p w14:paraId="0D588C9C">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76E8EAF2">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采购代理机构或评审小组因不可抗力（不可抗力包括但不限于自然灾害、断电、传播疫病等）原因造成电子交易活动无法正常运行的，将采取以下措施：</w:t>
      </w:r>
    </w:p>
    <w:p w14:paraId="01B1ECD4">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（1）短时间内能消除不可抗力因素的，采购代理机构或评审小组在消除不可抗力因素后继续组织电子交易活动； </w:t>
      </w:r>
    </w:p>
    <w:p w14:paraId="714F5FD3">
      <w:pPr>
        <w:spacing w:line="440" w:lineRule="exact"/>
        <w:ind w:firstLine="245"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（2）长时间内无法消除不可抗力因素的，采购代理机构或评审小组将中止电子交易活动。中止电子交易活动的，采购人应当重新组织政府采购活动。</w:t>
      </w:r>
    </w:p>
    <w:p w14:paraId="4DB155D3">
      <w:pPr>
        <w:pStyle w:val="3"/>
        <w:jc w:val="center"/>
        <w:rPr>
          <w:rFonts w:hint="eastAsia" w:ascii="仿宋" w:hAnsi="仿宋" w:eastAsia="仿宋" w:cs="仿宋"/>
          <w:color w:val="auto"/>
          <w:sz w:val="28"/>
          <w:szCs w:val="28"/>
        </w:rPr>
      </w:pPr>
    </w:p>
    <w:p w14:paraId="0A32CD7C">
      <w:pPr>
        <w:pStyle w:val="3"/>
        <w:jc w:val="center"/>
        <w:rPr>
          <w:rFonts w:ascii="仿宋" w:hAnsi="仿宋" w:eastAsia="仿宋" w:cs="仿宋"/>
          <w:color w:val="auto"/>
          <w:sz w:val="28"/>
          <w:szCs w:val="28"/>
        </w:rPr>
      </w:pPr>
      <w:r>
        <w:rPr>
          <w:rFonts w:hint="eastAsia" w:ascii="仿宋" w:hAnsi="仿宋" w:eastAsia="仿宋" w:cs="仿宋"/>
          <w:color w:val="auto"/>
          <w:sz w:val="28"/>
          <w:szCs w:val="28"/>
        </w:rPr>
        <w:t>六、开标</w:t>
      </w:r>
      <w:r>
        <w:rPr>
          <w:rFonts w:hint="eastAsia" w:ascii="仿宋" w:hAnsi="仿宋" w:eastAsia="仿宋" w:cs="仿宋"/>
          <w:color w:val="auto"/>
          <w:sz w:val="28"/>
          <w:szCs w:val="28"/>
          <w:lang w:eastAsia="zh-CN"/>
        </w:rPr>
        <w:t>、评标和定标</w:t>
      </w:r>
      <w:bookmarkEnd w:id="33"/>
      <w:bookmarkEnd w:id="34"/>
    </w:p>
    <w:p w14:paraId="360CE1FB">
      <w:pPr>
        <w:snapToGrid w:val="0"/>
        <w:spacing w:line="360" w:lineRule="auto"/>
        <w:ind w:firstLine="359" w:firstLineChars="147"/>
        <w:rPr>
          <w:rFonts w:ascii="仿宋" w:hAnsi="仿宋" w:eastAsia="仿宋" w:cs="仿宋"/>
          <w:b/>
          <w:bCs/>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三</w:t>
      </w:r>
      <w:r>
        <w:rPr>
          <w:rFonts w:hint="eastAsia" w:ascii="仿宋" w:hAnsi="仿宋" w:eastAsia="仿宋" w:cs="仿宋"/>
          <w:b/>
          <w:bCs/>
          <w:color w:val="auto"/>
          <w:sz w:val="24"/>
          <w:szCs w:val="24"/>
        </w:rPr>
        <w:t>）开标程序</w:t>
      </w:r>
    </w:p>
    <w:p w14:paraId="7B447430">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rPr>
        <w:t>开标时间到后，主持人宣布开标会议开始。</w:t>
      </w:r>
    </w:p>
    <w:p w14:paraId="637E064F">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（2）响应文件</w:t>
      </w:r>
      <w:r>
        <w:rPr>
          <w:rFonts w:hint="eastAsia" w:ascii="仿宋" w:hAnsi="仿宋" w:eastAsia="仿宋" w:cs="仿宋"/>
          <w:color w:val="auto"/>
          <w:sz w:val="24"/>
          <w:szCs w:val="24"/>
        </w:rPr>
        <w:t>解密（</w:t>
      </w:r>
      <w:r>
        <w:rPr>
          <w:rFonts w:hint="eastAsia" w:ascii="仿宋" w:hAnsi="仿宋" w:eastAsia="仿宋" w:cs="仿宋"/>
          <w:b/>
          <w:color w:val="auto"/>
          <w:sz w:val="24"/>
          <w:szCs w:val="24"/>
        </w:rPr>
        <w:t>解密规定见《供应商须知前附表》</w:t>
      </w:r>
      <w:r>
        <w:rPr>
          <w:rFonts w:hint="eastAsia" w:ascii="仿宋" w:hAnsi="仿宋" w:eastAsia="仿宋" w:cs="仿宋"/>
          <w:color w:val="auto"/>
          <w:sz w:val="24"/>
          <w:szCs w:val="24"/>
        </w:rPr>
        <w:t>）。</w:t>
      </w:r>
    </w:p>
    <w:p w14:paraId="65D35D5B">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（3）响应文件</w:t>
      </w:r>
      <w:r>
        <w:rPr>
          <w:rFonts w:hint="eastAsia" w:ascii="仿宋" w:hAnsi="仿宋" w:eastAsia="仿宋" w:cs="仿宋"/>
          <w:color w:val="auto"/>
          <w:sz w:val="24"/>
          <w:szCs w:val="24"/>
        </w:rPr>
        <w:t>解密异常情况处理（</w:t>
      </w:r>
      <w:r>
        <w:rPr>
          <w:rFonts w:hint="eastAsia" w:ascii="仿宋" w:hAnsi="仿宋" w:eastAsia="仿宋" w:cs="仿宋"/>
          <w:b/>
          <w:color w:val="auto"/>
          <w:sz w:val="24"/>
          <w:szCs w:val="24"/>
        </w:rPr>
        <w:t>处理办法见《供应商须知前附表》</w:t>
      </w:r>
      <w:r>
        <w:rPr>
          <w:rFonts w:hint="eastAsia" w:ascii="仿宋" w:hAnsi="仿宋" w:eastAsia="仿宋" w:cs="仿宋"/>
          <w:color w:val="auto"/>
          <w:sz w:val="24"/>
          <w:szCs w:val="24"/>
        </w:rPr>
        <w:t>）。</w:t>
      </w:r>
    </w:p>
    <w:p w14:paraId="4D5D5AA9">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公布</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解密情况（</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成功解密的供应商名单等信息），组织签署</w:t>
      </w:r>
      <w:r>
        <w:rPr>
          <w:rFonts w:hint="eastAsia" w:ascii="仿宋" w:hAnsi="仿宋" w:eastAsia="仿宋" w:cs="仿宋"/>
          <w:b/>
          <w:bCs/>
          <w:color w:val="auto"/>
          <w:sz w:val="24"/>
          <w:szCs w:val="24"/>
        </w:rPr>
        <w:t>《政府采购活动现场确认声明书》，供应商应在20分钟内通过邮件形式将经签署的《政府采购活动现场确认声明书》发送至采购代理机构指定邮箱</w:t>
      </w:r>
      <w:r>
        <w:rPr>
          <w:rFonts w:hint="eastAsia" w:ascii="仿宋" w:hAnsi="仿宋" w:eastAsia="仿宋" w:cs="仿宋"/>
          <w:b/>
          <w:bCs/>
          <w:color w:val="auto"/>
          <w:sz w:val="24"/>
          <w:szCs w:val="24"/>
          <w:lang w:val="en-US" w:eastAsia="zh-CN"/>
        </w:rPr>
        <w:t>759733443</w:t>
      </w:r>
      <w:r>
        <w:rPr>
          <w:rFonts w:hint="eastAsia" w:ascii="仿宋" w:hAnsi="仿宋" w:eastAsia="仿宋" w:cs="仿宋"/>
          <w:b/>
          <w:bCs/>
          <w:color w:val="auto"/>
          <w:sz w:val="24"/>
          <w:szCs w:val="24"/>
          <w:lang w:eastAsia="zh-CN"/>
        </w:rPr>
        <w:t>@qq.com</w:t>
      </w:r>
      <w:r>
        <w:rPr>
          <w:rFonts w:hint="eastAsia" w:ascii="仿宋" w:hAnsi="仿宋" w:eastAsia="仿宋" w:cs="仿宋"/>
          <w:b/>
          <w:bCs/>
          <w:color w:val="auto"/>
          <w:sz w:val="24"/>
          <w:szCs w:val="24"/>
        </w:rPr>
        <w:t xml:space="preserve"> ，逾期发送或未发送的视为无异议</w:t>
      </w:r>
      <w:r>
        <w:rPr>
          <w:rFonts w:hint="eastAsia" w:ascii="仿宋" w:hAnsi="仿宋" w:eastAsia="仿宋" w:cs="仿宋"/>
          <w:color w:val="auto"/>
          <w:sz w:val="24"/>
          <w:szCs w:val="24"/>
        </w:rPr>
        <w:t>。</w:t>
      </w:r>
    </w:p>
    <w:p w14:paraId="7484CD0E">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（5）</w:t>
      </w:r>
      <w:r>
        <w:rPr>
          <w:rFonts w:hint="eastAsia" w:ascii="仿宋" w:hAnsi="仿宋" w:eastAsia="仿宋" w:cs="仿宋"/>
          <w:color w:val="auto"/>
          <w:sz w:val="24"/>
          <w:szCs w:val="24"/>
        </w:rPr>
        <w:t>开启标书信息（资格</w:t>
      </w:r>
      <w:r>
        <w:rPr>
          <w:rFonts w:hint="eastAsia" w:ascii="仿宋" w:hAnsi="仿宋" w:eastAsia="仿宋" w:cs="仿宋"/>
          <w:color w:val="auto"/>
          <w:sz w:val="24"/>
          <w:szCs w:val="24"/>
          <w:lang w:eastAsia="zh-CN"/>
        </w:rPr>
        <w:t>证明</w:t>
      </w:r>
      <w:r>
        <w:rPr>
          <w:rFonts w:hint="eastAsia" w:ascii="仿宋" w:hAnsi="仿宋" w:eastAsia="仿宋" w:cs="仿宋"/>
          <w:color w:val="auto"/>
          <w:sz w:val="24"/>
          <w:szCs w:val="24"/>
        </w:rPr>
        <w:t>文件、商务技术文件）。标书信息开启后，首先由采购人或采购代理机构</w:t>
      </w:r>
      <w:r>
        <w:rPr>
          <w:rFonts w:hint="eastAsia" w:ascii="仿宋" w:hAnsi="仿宋" w:eastAsia="仿宋" w:cs="仿宋"/>
          <w:color w:val="auto"/>
          <w:sz w:val="24"/>
          <w:szCs w:val="24"/>
          <w:lang w:eastAsia="zh-CN"/>
        </w:rPr>
        <w:t>或评审小组</w:t>
      </w:r>
      <w:r>
        <w:rPr>
          <w:rFonts w:hint="eastAsia" w:ascii="仿宋" w:hAnsi="仿宋" w:eastAsia="仿宋" w:cs="仿宋"/>
          <w:color w:val="auto"/>
          <w:sz w:val="24"/>
          <w:szCs w:val="24"/>
        </w:rPr>
        <w:t>依法对投标供应商的资格</w:t>
      </w:r>
      <w:r>
        <w:rPr>
          <w:rFonts w:hint="eastAsia" w:ascii="仿宋" w:hAnsi="仿宋" w:eastAsia="仿宋" w:cs="仿宋"/>
          <w:color w:val="auto"/>
          <w:sz w:val="24"/>
          <w:szCs w:val="24"/>
          <w:lang w:eastAsia="zh-CN"/>
        </w:rPr>
        <w:t>证明</w:t>
      </w:r>
      <w:r>
        <w:rPr>
          <w:rFonts w:hint="eastAsia" w:ascii="仿宋" w:hAnsi="仿宋" w:eastAsia="仿宋" w:cs="仿宋"/>
          <w:color w:val="auto"/>
          <w:sz w:val="24"/>
          <w:szCs w:val="24"/>
        </w:rPr>
        <w:t>文件进行审查（具体见资格性检查）， 审查结束公布投标供应商的资格符合情况。资格审查未获通过的供应商，其商务技术文件及报价文件不再进入评审。</w:t>
      </w:r>
    </w:p>
    <w:p w14:paraId="14DF5C63">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（6）</w:t>
      </w:r>
      <w:r>
        <w:rPr>
          <w:rFonts w:hint="eastAsia" w:ascii="仿宋" w:hAnsi="仿宋" w:eastAsia="仿宋" w:cs="仿宋"/>
          <w:color w:val="auto"/>
          <w:sz w:val="24"/>
          <w:szCs w:val="24"/>
        </w:rPr>
        <w:t>开启有效投标供应商的报价，公布开标一览表有关内容，</w:t>
      </w:r>
      <w:r>
        <w:rPr>
          <w:rFonts w:hint="eastAsia" w:ascii="仿宋" w:hAnsi="仿宋" w:eastAsia="仿宋" w:cs="仿宋"/>
          <w:color w:val="auto"/>
          <w:sz w:val="24"/>
          <w:szCs w:val="24"/>
          <w:lang w:bidi="zh-CN"/>
        </w:rPr>
        <w:t>并【开启签章时段】，供应商对开标记录进行在线签章确认（不予确认的应说明理由，否则视为无异议）</w:t>
      </w:r>
      <w:r>
        <w:rPr>
          <w:rFonts w:hint="eastAsia" w:ascii="仿宋" w:hAnsi="仿宋" w:eastAsia="仿宋" w:cs="仿宋"/>
          <w:color w:val="auto"/>
          <w:sz w:val="24"/>
          <w:szCs w:val="24"/>
        </w:rPr>
        <w:t>。开标结束后，由评标委员会对报价的合理性、准确性等进行审查核实。</w:t>
      </w:r>
    </w:p>
    <w:p w14:paraId="6A9AD940">
      <w:pPr>
        <w:snapToGrid w:val="0"/>
        <w:spacing w:line="360" w:lineRule="auto"/>
        <w:ind w:firstLine="490" w:firstLineChars="200"/>
        <w:rPr>
          <w:color w:val="auto"/>
          <w:sz w:val="24"/>
          <w:szCs w:val="24"/>
        </w:rPr>
      </w:pPr>
      <w:r>
        <w:rPr>
          <w:rFonts w:hint="eastAsia" w:ascii="仿宋" w:hAnsi="仿宋" w:eastAsia="仿宋" w:cs="仿宋"/>
          <w:color w:val="auto"/>
          <w:sz w:val="24"/>
          <w:szCs w:val="24"/>
          <w:lang w:eastAsia="zh-CN"/>
        </w:rPr>
        <w:t>（7）商务技术评审结束后，主持人公布商务技术评审无效投标供应商名单和商务技术评审有效投标供应商名单。商务技术评审无效的供应商，其报价不再进入评审。</w:t>
      </w:r>
    </w:p>
    <w:p w14:paraId="255D465A">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（8）</w:t>
      </w:r>
      <w:r>
        <w:rPr>
          <w:rFonts w:hint="eastAsia" w:ascii="仿宋" w:hAnsi="仿宋" w:eastAsia="仿宋" w:cs="仿宋"/>
          <w:color w:val="auto"/>
          <w:sz w:val="24"/>
          <w:szCs w:val="24"/>
        </w:rPr>
        <w:t>评审结束后，采购代理机构在系统上公布评审结果。</w:t>
      </w:r>
    </w:p>
    <w:p w14:paraId="45582E00">
      <w:pPr>
        <w:snapToGrid w:val="0"/>
        <w:spacing w:line="360" w:lineRule="auto"/>
        <w:ind w:left="480"/>
        <w:rPr>
          <w:rFonts w:ascii="仿宋" w:hAnsi="仿宋" w:eastAsia="仿宋" w:cs="仿宋"/>
          <w:b/>
          <w:color w:val="auto"/>
          <w:sz w:val="24"/>
          <w:szCs w:val="24"/>
        </w:rPr>
      </w:pPr>
      <w:r>
        <w:rPr>
          <w:rFonts w:hint="eastAsia" w:ascii="仿宋" w:hAnsi="仿宋" w:eastAsia="仿宋" w:cs="仿宋"/>
          <w:b/>
          <w:color w:val="auto"/>
          <w:sz w:val="24"/>
          <w:szCs w:val="24"/>
        </w:rPr>
        <w:t>特别情况说明：</w:t>
      </w:r>
    </w:p>
    <w:p w14:paraId="0F286806">
      <w:pPr>
        <w:snapToGrid w:val="0"/>
        <w:spacing w:line="360" w:lineRule="auto"/>
        <w:ind w:firstLine="432" w:firstLineChars="177"/>
        <w:rPr>
          <w:rFonts w:ascii="仿宋" w:hAnsi="仿宋" w:eastAsia="仿宋" w:cs="仿宋"/>
          <w:b/>
          <w:color w:val="auto"/>
          <w:sz w:val="24"/>
          <w:szCs w:val="24"/>
        </w:rPr>
      </w:pPr>
      <w:r>
        <w:rPr>
          <w:rFonts w:hint="eastAsia" w:ascii="仿宋" w:hAnsi="仿宋" w:eastAsia="仿宋" w:cs="仿宋"/>
          <w:b/>
          <w:color w:val="auto"/>
          <w:sz w:val="24"/>
          <w:szCs w:val="24"/>
        </w:rPr>
        <w:t>（1）本项目采用电子交易，如遇“</w:t>
      </w:r>
      <w:r>
        <w:rPr>
          <w:rFonts w:hint="eastAsia" w:ascii="仿宋" w:hAnsi="仿宋" w:eastAsia="仿宋" w:cs="仿宋"/>
          <w:b/>
          <w:color w:val="auto"/>
          <w:sz w:val="24"/>
          <w:szCs w:val="24"/>
          <w:lang w:eastAsia="zh-CN"/>
        </w:rPr>
        <w:t>新疆</w:t>
      </w:r>
      <w:r>
        <w:rPr>
          <w:rFonts w:hint="eastAsia" w:ascii="仿宋" w:hAnsi="仿宋" w:eastAsia="仿宋" w:cs="仿宋"/>
          <w:b/>
          <w:color w:val="auto"/>
          <w:sz w:val="24"/>
          <w:szCs w:val="24"/>
        </w:rPr>
        <w:t>政府采购云平台”电子化开标或评审程序调整的，按调整后程序执行。</w:t>
      </w:r>
    </w:p>
    <w:p w14:paraId="4BF7C5AF">
      <w:pPr>
        <w:snapToGrid w:val="0"/>
        <w:spacing w:line="360" w:lineRule="auto"/>
        <w:ind w:firstLine="432" w:firstLineChars="177"/>
        <w:rPr>
          <w:rFonts w:ascii="仿宋" w:hAnsi="仿宋" w:eastAsia="仿宋" w:cs="仿宋"/>
          <w:b/>
          <w:color w:val="auto"/>
          <w:sz w:val="24"/>
          <w:szCs w:val="24"/>
        </w:rPr>
      </w:pPr>
      <w:r>
        <w:rPr>
          <w:rFonts w:hint="eastAsia" w:ascii="仿宋" w:hAnsi="仿宋" w:eastAsia="仿宋" w:cs="仿宋"/>
          <w:b/>
          <w:color w:val="auto"/>
          <w:sz w:val="24"/>
          <w:szCs w:val="24"/>
        </w:rPr>
        <w:t>（2）开标过程中需要相关当事人进行</w:t>
      </w:r>
      <w:r>
        <w:rPr>
          <w:rFonts w:hint="eastAsia" w:ascii="仿宋" w:hAnsi="仿宋" w:eastAsia="仿宋" w:cs="仿宋"/>
          <w:b/>
          <w:color w:val="auto"/>
          <w:sz w:val="24"/>
          <w:szCs w:val="24"/>
          <w:lang w:eastAsia="zh-CN"/>
        </w:rPr>
        <w:t>签章</w:t>
      </w:r>
      <w:r>
        <w:rPr>
          <w:rFonts w:hint="eastAsia" w:ascii="仿宋" w:hAnsi="仿宋" w:eastAsia="仿宋" w:cs="仿宋"/>
          <w:b/>
          <w:color w:val="auto"/>
          <w:sz w:val="24"/>
          <w:szCs w:val="24"/>
        </w:rPr>
        <w:t>或盖章确认的材料将通过“政府采购云平台”进行，若因“政府采购云平台”技术问题无法进行</w:t>
      </w:r>
      <w:r>
        <w:rPr>
          <w:rFonts w:hint="eastAsia" w:ascii="仿宋" w:hAnsi="仿宋" w:eastAsia="仿宋" w:cs="仿宋"/>
          <w:b/>
          <w:color w:val="auto"/>
          <w:sz w:val="24"/>
          <w:szCs w:val="24"/>
          <w:lang w:eastAsia="zh-CN"/>
        </w:rPr>
        <w:t>签章</w:t>
      </w:r>
      <w:r>
        <w:rPr>
          <w:rFonts w:hint="eastAsia" w:ascii="仿宋" w:hAnsi="仿宋" w:eastAsia="仿宋" w:cs="仿宋"/>
          <w:b/>
          <w:color w:val="auto"/>
          <w:sz w:val="24"/>
          <w:szCs w:val="24"/>
        </w:rPr>
        <w:t>或盖章确认的，采购组织机构将通过电子邮件等形式予以确认，</w:t>
      </w:r>
      <w:r>
        <w:rPr>
          <w:rFonts w:hint="eastAsia" w:ascii="仿宋" w:hAnsi="仿宋" w:eastAsia="仿宋" w:cs="仿宋"/>
          <w:b/>
          <w:color w:val="auto"/>
          <w:sz w:val="24"/>
          <w:szCs w:val="24"/>
          <w:u w:val="single"/>
        </w:rPr>
        <w:t>请供应商保证办理投标事宜人员电话畅通、网络在线，</w:t>
      </w:r>
      <w:r>
        <w:rPr>
          <w:rFonts w:hint="eastAsia" w:ascii="仿宋" w:hAnsi="仿宋" w:eastAsia="仿宋" w:cs="仿宋"/>
          <w:b/>
          <w:color w:val="auto"/>
          <w:sz w:val="24"/>
          <w:szCs w:val="24"/>
          <w:u w:val="single"/>
          <w:lang w:eastAsia="zh-CN"/>
        </w:rPr>
        <w:t>签章</w:t>
      </w:r>
      <w:r>
        <w:rPr>
          <w:rFonts w:hint="eastAsia" w:ascii="仿宋" w:hAnsi="仿宋" w:eastAsia="仿宋" w:cs="仿宋"/>
          <w:b/>
          <w:color w:val="auto"/>
          <w:sz w:val="24"/>
          <w:szCs w:val="24"/>
          <w:u w:val="single"/>
        </w:rPr>
        <w:t>或盖章确认的时间为20分钟。如未及时</w:t>
      </w:r>
      <w:r>
        <w:rPr>
          <w:rFonts w:hint="eastAsia" w:ascii="仿宋" w:hAnsi="仿宋" w:eastAsia="仿宋" w:cs="仿宋"/>
          <w:b/>
          <w:color w:val="auto"/>
          <w:sz w:val="24"/>
          <w:szCs w:val="24"/>
          <w:u w:val="single"/>
          <w:lang w:eastAsia="zh-CN"/>
        </w:rPr>
        <w:t>签章</w:t>
      </w:r>
      <w:r>
        <w:rPr>
          <w:rFonts w:hint="eastAsia" w:ascii="仿宋" w:hAnsi="仿宋" w:eastAsia="仿宋" w:cs="仿宋"/>
          <w:b/>
          <w:color w:val="auto"/>
          <w:sz w:val="24"/>
          <w:szCs w:val="24"/>
          <w:u w:val="single"/>
        </w:rPr>
        <w:t>或盖章确认的，视为无异议</w:t>
      </w:r>
      <w:r>
        <w:rPr>
          <w:rFonts w:hint="eastAsia" w:ascii="仿宋" w:hAnsi="仿宋" w:eastAsia="仿宋" w:cs="仿宋"/>
          <w:b/>
          <w:color w:val="auto"/>
          <w:sz w:val="24"/>
          <w:szCs w:val="24"/>
        </w:rPr>
        <w:t>。</w:t>
      </w:r>
    </w:p>
    <w:p w14:paraId="2CB7207C">
      <w:pPr>
        <w:snapToGrid w:val="0"/>
        <w:spacing w:line="360" w:lineRule="auto"/>
        <w:ind w:firstLine="490" w:firstLineChars="200"/>
        <w:rPr>
          <w:rFonts w:ascii="仿宋" w:hAnsi="仿宋" w:eastAsia="仿宋" w:cs="仿宋"/>
          <w:b/>
          <w:color w:val="auto"/>
          <w:sz w:val="24"/>
          <w:szCs w:val="24"/>
        </w:rPr>
      </w:pPr>
      <w:r>
        <w:rPr>
          <w:rFonts w:hint="eastAsia" w:ascii="仿宋" w:hAnsi="仿宋" w:eastAsia="仿宋" w:cs="仿宋"/>
          <w:b/>
          <w:color w:val="auto"/>
          <w:sz w:val="24"/>
          <w:szCs w:val="24"/>
          <w:lang w:eastAsia="zh-CN"/>
        </w:rPr>
        <w:t>3.</w:t>
      </w:r>
      <w:r>
        <w:rPr>
          <w:rFonts w:hint="eastAsia" w:ascii="仿宋" w:hAnsi="仿宋" w:eastAsia="仿宋" w:cs="仿宋"/>
          <w:b/>
          <w:color w:val="auto"/>
          <w:sz w:val="24"/>
          <w:szCs w:val="24"/>
        </w:rPr>
        <w:t>投标供应商资格审查：</w:t>
      </w:r>
    </w:p>
    <w:p w14:paraId="5D17A3A2">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bCs/>
          <w:color w:val="auto"/>
          <w:sz w:val="24"/>
          <w:szCs w:val="24"/>
        </w:rPr>
        <w:t>开标（标书信息开启）后，采购人或采购代理机构</w:t>
      </w:r>
      <w:r>
        <w:rPr>
          <w:rFonts w:hint="eastAsia" w:ascii="仿宋" w:hAnsi="仿宋" w:eastAsia="仿宋" w:cs="仿宋"/>
          <w:bCs/>
          <w:color w:val="auto"/>
          <w:sz w:val="24"/>
          <w:szCs w:val="24"/>
          <w:lang w:eastAsia="zh-CN"/>
        </w:rPr>
        <w:t>或</w:t>
      </w:r>
      <w:r>
        <w:rPr>
          <w:rFonts w:hint="eastAsia" w:ascii="仿宋" w:hAnsi="仿宋" w:eastAsia="仿宋" w:cs="仿宋"/>
          <w:color w:val="auto"/>
          <w:sz w:val="24"/>
          <w:szCs w:val="24"/>
          <w:lang w:eastAsia="zh-CN"/>
        </w:rPr>
        <w:t>评审小组</w:t>
      </w:r>
      <w:r>
        <w:rPr>
          <w:rFonts w:hint="eastAsia" w:ascii="仿宋" w:hAnsi="仿宋" w:eastAsia="仿宋" w:cs="仿宋"/>
          <w:bCs/>
          <w:color w:val="auto"/>
          <w:sz w:val="24"/>
          <w:szCs w:val="24"/>
        </w:rPr>
        <w:t>首先依法对投标供应商的资格文件进行审查，审查各投标供应商的资格符合情况。</w:t>
      </w:r>
      <w:r>
        <w:rPr>
          <w:rFonts w:hint="eastAsia" w:ascii="仿宋" w:hAnsi="仿宋" w:eastAsia="仿宋" w:cs="仿宋"/>
          <w:color w:val="auto"/>
          <w:sz w:val="24"/>
          <w:szCs w:val="24"/>
        </w:rPr>
        <w:t>采购人或采购代理机构</w:t>
      </w:r>
      <w:r>
        <w:rPr>
          <w:rFonts w:hint="eastAsia" w:ascii="仿宋" w:hAnsi="仿宋" w:eastAsia="仿宋" w:cs="仿宋"/>
          <w:bCs/>
          <w:color w:val="auto"/>
          <w:sz w:val="24"/>
          <w:szCs w:val="24"/>
          <w:lang w:eastAsia="zh-CN"/>
        </w:rPr>
        <w:t>或</w:t>
      </w:r>
      <w:r>
        <w:rPr>
          <w:rFonts w:hint="eastAsia" w:ascii="仿宋" w:hAnsi="仿宋" w:eastAsia="仿宋" w:cs="仿宋"/>
          <w:color w:val="auto"/>
          <w:sz w:val="24"/>
          <w:szCs w:val="24"/>
          <w:lang w:eastAsia="zh-CN"/>
        </w:rPr>
        <w:t>评审小组</w:t>
      </w:r>
      <w:r>
        <w:rPr>
          <w:rFonts w:hint="eastAsia" w:ascii="仿宋" w:hAnsi="仿宋" w:eastAsia="仿宋" w:cs="仿宋"/>
          <w:color w:val="auto"/>
          <w:sz w:val="24"/>
          <w:szCs w:val="24"/>
        </w:rPr>
        <w:t>对投标供应商所提交的资格证明材料仅负审核的责任。如发现投标供应商所提交的资格证明材料不合法或与事实不符，采购人可取消其中标资格并追究投标供应商的法律责任。</w:t>
      </w:r>
    </w:p>
    <w:p w14:paraId="5BD8F7A0">
      <w:pPr>
        <w:pStyle w:val="5"/>
        <w:keepNext w:val="0"/>
        <w:keepLines w:val="0"/>
        <w:pageBreakBefore w:val="0"/>
        <w:widowControl w:val="0"/>
        <w:kinsoku/>
        <w:wordWrap/>
        <w:overflowPunct/>
        <w:topLinePunct w:val="0"/>
        <w:bidi w:val="0"/>
        <w:snapToGrid w:val="0"/>
        <w:spacing w:line="324" w:lineRule="auto"/>
        <w:textAlignment w:val="auto"/>
        <w:rPr>
          <w:rFonts w:ascii="仿宋" w:hAnsi="仿宋" w:eastAsia="仿宋" w:cs="仿宋"/>
          <w:bCs/>
          <w:color w:val="auto"/>
          <w:sz w:val="24"/>
          <w:szCs w:val="24"/>
        </w:rPr>
      </w:pPr>
      <w:r>
        <w:rPr>
          <w:rFonts w:hint="eastAsia" w:ascii="仿宋" w:hAnsi="仿宋" w:eastAsia="仿宋" w:cs="仿宋"/>
          <w:bCs/>
          <w:color w:val="auto"/>
          <w:sz w:val="24"/>
          <w:szCs w:val="24"/>
        </w:rPr>
        <w:t>（2）投标供应商提交的资格证明材料无法证明其符合</w:t>
      </w:r>
      <w:r>
        <w:rPr>
          <w:rFonts w:hint="eastAsia" w:ascii="仿宋" w:hAnsi="仿宋" w:eastAsia="仿宋" w:cs="仿宋"/>
          <w:bCs/>
          <w:color w:val="auto"/>
          <w:sz w:val="24"/>
          <w:szCs w:val="24"/>
          <w:lang w:eastAsia="zh-CN"/>
        </w:rPr>
        <w:t xml:space="preserve">谈判文件 </w:t>
      </w:r>
      <w:r>
        <w:rPr>
          <w:rFonts w:hint="eastAsia" w:ascii="仿宋" w:hAnsi="仿宋" w:eastAsia="仿宋" w:cs="仿宋"/>
          <w:bCs/>
          <w:color w:val="auto"/>
          <w:sz w:val="24"/>
          <w:szCs w:val="24"/>
        </w:rPr>
        <w:t>规定的“投标供应商资格要求”的，采购人或采购代理机构将对其作“资格审查不合格”处理（无效投标），并不再将其投标提交评标委员会进行后续评审。</w:t>
      </w:r>
    </w:p>
    <w:p w14:paraId="383D1E3B">
      <w:pPr>
        <w:pStyle w:val="5"/>
        <w:keepNext w:val="0"/>
        <w:keepLines w:val="0"/>
        <w:pageBreakBefore w:val="0"/>
        <w:widowControl w:val="0"/>
        <w:kinsoku/>
        <w:wordWrap/>
        <w:overflowPunct/>
        <w:topLinePunct w:val="0"/>
        <w:bidi w:val="0"/>
        <w:snapToGrid w:val="0"/>
        <w:spacing w:line="324" w:lineRule="auto"/>
        <w:textAlignment w:val="auto"/>
        <w:rPr>
          <w:rFonts w:ascii="仿宋" w:hAnsi="仿宋" w:eastAsia="仿宋" w:cs="仿宋"/>
          <w:bCs/>
          <w:color w:val="auto"/>
          <w:sz w:val="24"/>
          <w:szCs w:val="24"/>
        </w:rPr>
      </w:pPr>
      <w:r>
        <w:rPr>
          <w:rFonts w:hint="eastAsia" w:ascii="仿宋" w:hAnsi="仿宋" w:eastAsia="仿宋" w:cs="仿宋"/>
          <w:bCs/>
          <w:color w:val="auto"/>
          <w:sz w:val="24"/>
          <w:szCs w:val="24"/>
        </w:rPr>
        <w:t>（3）供应商信用记录查询与使用：见《供应商须知前附表》。</w:t>
      </w:r>
    </w:p>
    <w:p w14:paraId="5EBE9493">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b/>
          <w:color w:val="auto"/>
          <w:sz w:val="24"/>
          <w:szCs w:val="24"/>
        </w:rPr>
      </w:pPr>
      <w:bookmarkStart w:id="35" w:name="_Toc213839741"/>
      <w:r>
        <w:rPr>
          <w:rFonts w:hint="eastAsia" w:ascii="仿宋" w:hAnsi="仿宋" w:eastAsia="仿宋" w:cs="仿宋"/>
          <w:b/>
          <w:color w:val="auto"/>
          <w:sz w:val="24"/>
          <w:szCs w:val="24"/>
        </w:rPr>
        <w:t>（二十</w:t>
      </w:r>
      <w:r>
        <w:rPr>
          <w:rFonts w:hint="eastAsia" w:ascii="仿宋" w:hAnsi="仿宋" w:eastAsia="仿宋" w:cs="仿宋"/>
          <w:b/>
          <w:color w:val="auto"/>
          <w:sz w:val="24"/>
          <w:szCs w:val="24"/>
          <w:lang w:eastAsia="zh-CN"/>
        </w:rPr>
        <w:t>四</w:t>
      </w:r>
      <w:r>
        <w:rPr>
          <w:rFonts w:hint="eastAsia" w:ascii="仿宋" w:hAnsi="仿宋" w:eastAsia="仿宋" w:cs="仿宋"/>
          <w:b/>
          <w:color w:val="auto"/>
          <w:sz w:val="24"/>
          <w:szCs w:val="24"/>
        </w:rPr>
        <w:t>）</w:t>
      </w:r>
      <w:r>
        <w:rPr>
          <w:rFonts w:hint="eastAsia" w:ascii="仿宋" w:hAnsi="仿宋" w:eastAsia="仿宋" w:cs="仿宋"/>
          <w:b/>
          <w:color w:val="auto"/>
          <w:sz w:val="24"/>
          <w:szCs w:val="24"/>
          <w:lang w:eastAsia="zh-CN"/>
        </w:rPr>
        <w:t>谈判</w:t>
      </w:r>
      <w:r>
        <w:rPr>
          <w:rFonts w:hint="eastAsia" w:ascii="仿宋" w:hAnsi="仿宋" w:eastAsia="仿宋" w:cs="仿宋"/>
          <w:b/>
          <w:color w:val="auto"/>
          <w:sz w:val="24"/>
          <w:szCs w:val="24"/>
        </w:rPr>
        <w:t>报价方式</w:t>
      </w:r>
    </w:p>
    <w:p w14:paraId="26C4C4CB">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rPr>
      </w:pPr>
      <w:r>
        <w:rPr>
          <w:rFonts w:hint="eastAsia" w:ascii="仿宋" w:hAnsi="仿宋" w:eastAsia="仿宋" w:cs="仿宋"/>
          <w:color w:val="auto"/>
          <w:sz w:val="24"/>
          <w:szCs w:val="24"/>
        </w:rPr>
        <w:t>1、供应商提交的响应性文件中的报价，该报价只允许有一个报价，任何有选择性的报价将不予接受。</w:t>
      </w:r>
    </w:p>
    <w:p w14:paraId="6B0D270D">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所有成员与供应商进行单独</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中，</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的任何一方不得透露与</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有关的其他供应商的技术资料、价格和其他信息。</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有实质性变动的，</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应以书面形式通知所有参加</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的供应商。</w:t>
      </w:r>
    </w:p>
    <w:p w14:paraId="209D5F14">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结束后，供应商可根据</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情况，进行第二次报价</w:t>
      </w:r>
      <w:r>
        <w:rPr>
          <w:rFonts w:hint="eastAsia" w:ascii="仿宋" w:hAnsi="仿宋" w:eastAsia="仿宋" w:cs="仿宋"/>
          <w:color w:val="auto"/>
          <w:sz w:val="24"/>
          <w:szCs w:val="24"/>
          <w:lang w:eastAsia="zh-CN"/>
        </w:rPr>
        <w:t>，采购人也可以根据谈判情况开启多轮报价，</w:t>
      </w:r>
      <w:r>
        <w:rPr>
          <w:rFonts w:hint="eastAsia" w:ascii="仿宋" w:hAnsi="仿宋" w:eastAsia="仿宋" w:cs="仿宋"/>
          <w:color w:val="auto"/>
          <w:sz w:val="24"/>
          <w:szCs w:val="24"/>
        </w:rPr>
        <w:t>该报价为</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的最终报价。</w:t>
      </w:r>
    </w:p>
    <w:p w14:paraId="3994A626">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rPr>
        <w:t>4、第二次报价</w:t>
      </w:r>
      <w:r>
        <w:rPr>
          <w:rFonts w:hint="eastAsia" w:ascii="仿宋" w:hAnsi="仿宋" w:eastAsia="仿宋" w:cs="仿宋"/>
          <w:color w:val="auto"/>
          <w:sz w:val="24"/>
          <w:szCs w:val="24"/>
          <w:lang w:eastAsia="zh-CN"/>
        </w:rPr>
        <w:t>在政采云不见面开评标系统</w:t>
      </w:r>
      <w:r>
        <w:rPr>
          <w:rFonts w:hint="eastAsia" w:ascii="仿宋" w:hAnsi="仿宋" w:eastAsia="仿宋" w:cs="仿宋"/>
          <w:color w:val="auto"/>
          <w:sz w:val="24"/>
          <w:szCs w:val="24"/>
        </w:rPr>
        <w:t>填写提交。所有供应商的二次报价收集齐全后，二次报价不进行公开唱标</w:t>
      </w:r>
      <w:r>
        <w:rPr>
          <w:rFonts w:hint="eastAsia" w:ascii="仿宋" w:hAnsi="仿宋" w:eastAsia="仿宋" w:cs="仿宋"/>
          <w:color w:val="auto"/>
          <w:sz w:val="24"/>
          <w:szCs w:val="24"/>
          <w:lang w:eastAsia="zh-CN"/>
        </w:rPr>
        <w:t>，依次类推。</w:t>
      </w:r>
    </w:p>
    <w:p w14:paraId="5A3059C4">
      <w:pPr>
        <w:keepNext w:val="0"/>
        <w:keepLines w:val="0"/>
        <w:pageBreakBefore w:val="0"/>
        <w:widowControl w:val="0"/>
        <w:kinsoku/>
        <w:wordWrap/>
        <w:overflowPunct/>
        <w:topLinePunct w:val="0"/>
        <w:bidi w:val="0"/>
        <w:snapToGrid w:val="0"/>
        <w:spacing w:line="324" w:lineRule="auto"/>
        <w:ind w:firstLine="359" w:firstLineChars="147"/>
        <w:textAlignment w:val="auto"/>
        <w:rPr>
          <w:rFonts w:hint="eastAsia" w:ascii="仿宋" w:hAnsi="仿宋" w:eastAsia="仿宋" w:cs="仿宋"/>
          <w:color w:val="auto"/>
          <w:sz w:val="28"/>
          <w:szCs w:val="28"/>
        </w:rPr>
      </w:pPr>
      <w:r>
        <w:rPr>
          <w:rFonts w:hint="eastAsia" w:ascii="仿宋" w:hAnsi="仿宋" w:eastAsia="仿宋" w:cs="仿宋"/>
          <w:color w:val="auto"/>
          <w:sz w:val="24"/>
          <w:szCs w:val="24"/>
        </w:rPr>
        <w:t>修正错误的原则如下：大写金额与小写金额不一致的，以大写金额为准；总价金额与按单价汇总金额不一致的，以单价金额计算结果为准；单价金额小数点有明显错位的，以总价为准，并修改单价；对不同文字文本响应性文件的解释发生异议的，以中文文本为准。按上述原则调整后的价格为评标价，对供应商具有约束力。如果供应商不接受修正后的价格，则其报价将被拒绝。</w:t>
      </w:r>
      <w:bookmarkEnd w:id="35"/>
    </w:p>
    <w:p w14:paraId="7A5507D4">
      <w:pPr>
        <w:pStyle w:val="3"/>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七、评标</w:t>
      </w:r>
      <w:r>
        <w:rPr>
          <w:rFonts w:hint="eastAsia" w:ascii="仿宋" w:hAnsi="仿宋" w:eastAsia="仿宋" w:cs="仿宋"/>
          <w:color w:val="auto"/>
          <w:sz w:val="28"/>
          <w:szCs w:val="28"/>
          <w:lang w:eastAsia="zh-CN"/>
        </w:rPr>
        <w:t>程序</w:t>
      </w:r>
    </w:p>
    <w:p w14:paraId="07610A64">
      <w:pPr>
        <w:snapToGrid w:val="0"/>
        <w:spacing w:line="360" w:lineRule="auto"/>
        <w:ind w:firstLine="479" w:firstLineChars="196"/>
        <w:rPr>
          <w:rFonts w:ascii="仿宋" w:hAnsi="仿宋" w:eastAsia="仿宋" w:cs="仿宋"/>
          <w:b/>
          <w:bCs/>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五</w:t>
      </w:r>
      <w:r>
        <w:rPr>
          <w:rFonts w:hint="eastAsia" w:ascii="仿宋" w:hAnsi="仿宋" w:eastAsia="仿宋" w:cs="仿宋"/>
          <w:b/>
          <w:bCs/>
          <w:color w:val="auto"/>
          <w:sz w:val="24"/>
          <w:szCs w:val="24"/>
        </w:rPr>
        <w:t>）评标原则</w:t>
      </w:r>
    </w:p>
    <w:p w14:paraId="7E75C10F">
      <w:pPr>
        <w:adjustRightInd w:val="0"/>
        <w:snapToGrid w:val="0"/>
        <w:spacing w:line="360"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“公开、公平、公正、客观、择优”为评标的基本原则，</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小组将根据这一原则，公正、平等地对待各供应商。</w:t>
      </w:r>
    </w:p>
    <w:p w14:paraId="386751F8">
      <w:pPr>
        <w:adjustRightInd w:val="0"/>
        <w:snapToGrid w:val="0"/>
        <w:spacing w:line="360" w:lineRule="auto"/>
        <w:ind w:firstLine="359" w:firstLineChars="147"/>
        <w:rPr>
          <w:rFonts w:ascii="仿宋" w:hAnsi="仿宋" w:eastAsia="仿宋" w:cs="仿宋"/>
          <w:b/>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六</w:t>
      </w:r>
      <w:r>
        <w:rPr>
          <w:rFonts w:hint="eastAsia" w:ascii="仿宋" w:hAnsi="仿宋" w:eastAsia="仿宋" w:cs="仿宋"/>
          <w:b/>
          <w:bCs/>
          <w:color w:val="auto"/>
          <w:sz w:val="24"/>
          <w:szCs w:val="24"/>
        </w:rPr>
        <w:t>）</w:t>
      </w:r>
      <w:r>
        <w:rPr>
          <w:rFonts w:hint="eastAsia" w:ascii="仿宋" w:hAnsi="仿宋" w:eastAsia="仿宋" w:cs="仿宋"/>
          <w:b/>
          <w:color w:val="auto"/>
          <w:sz w:val="24"/>
          <w:szCs w:val="24"/>
          <w:lang w:eastAsia="zh-CN"/>
        </w:rPr>
        <w:t>谈判</w:t>
      </w:r>
      <w:r>
        <w:rPr>
          <w:rFonts w:hint="eastAsia" w:ascii="仿宋" w:hAnsi="仿宋" w:eastAsia="仿宋" w:cs="仿宋"/>
          <w:b/>
          <w:color w:val="auto"/>
          <w:sz w:val="24"/>
          <w:szCs w:val="24"/>
        </w:rPr>
        <w:t>小组</w:t>
      </w:r>
    </w:p>
    <w:p w14:paraId="79CA2A81">
      <w:pPr>
        <w:snapToGrid w:val="0"/>
        <w:spacing w:line="360"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评标委员会成员由招标人的代表1名和随机抽取的有关方面的专家</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名组成，成员共为</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人，评标委员会的成员在评标过程中必须严格遵守政府采购的有关规定。专家从</w:t>
      </w:r>
      <w:r>
        <w:rPr>
          <w:rFonts w:hint="eastAsia" w:ascii="仿宋" w:hAnsi="仿宋" w:eastAsia="仿宋" w:cs="仿宋"/>
          <w:color w:val="auto"/>
          <w:sz w:val="24"/>
          <w:szCs w:val="24"/>
          <w:lang w:eastAsia="zh-CN"/>
        </w:rPr>
        <w:t>政采云</w:t>
      </w:r>
      <w:r>
        <w:rPr>
          <w:rFonts w:hint="eastAsia" w:ascii="仿宋" w:hAnsi="仿宋" w:eastAsia="仿宋" w:cs="仿宋"/>
          <w:color w:val="auto"/>
          <w:sz w:val="24"/>
          <w:szCs w:val="24"/>
        </w:rPr>
        <w:t>专家库中随机抽取产生，负责对响应文件进行审查、质询、评审、推选中标候选人。</w:t>
      </w:r>
    </w:p>
    <w:p w14:paraId="3D6C5DF1">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1、评标事务由</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小组负责，并独立履行下列职责：</w:t>
      </w:r>
    </w:p>
    <w:p w14:paraId="3BCEA7CB">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（a）审查响应文件是否符合本文件要求，并做出评价；</w:t>
      </w:r>
    </w:p>
    <w:p w14:paraId="3991FED0">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（b）要求供应商对响应文件有关事项做出澄清或答复；</w:t>
      </w:r>
    </w:p>
    <w:p w14:paraId="217D6565">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（c）推荐中标候选人名单，或者直接确定</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w:t>
      </w:r>
    </w:p>
    <w:p w14:paraId="58E98E70">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（d）向招标采购单位或者有关部门报告非法干预评标工作的行为。</w:t>
      </w:r>
    </w:p>
    <w:p w14:paraId="162AF4BE">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小组成员的义务</w:t>
      </w:r>
    </w:p>
    <w:p w14:paraId="17E01247">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（a）遵纪守法，客观、公正、廉洁地履行职责；</w:t>
      </w:r>
    </w:p>
    <w:p w14:paraId="594533B7">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（b）按照</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规定的评标方法和标准进行评标，对评审意见承担个人责任；</w:t>
      </w:r>
    </w:p>
    <w:p w14:paraId="0FC1CE76">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（c）对评标过程和结果，以及供应商的商业秘密保密；</w:t>
      </w:r>
    </w:p>
    <w:p w14:paraId="41959AFC">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（d）参与评标报告的起草；</w:t>
      </w:r>
    </w:p>
    <w:p w14:paraId="5D7D1CE3">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（e）配合财政部门的投诉处理工作；</w:t>
      </w:r>
    </w:p>
    <w:p w14:paraId="7E113BA0">
      <w:pPr>
        <w:keepNext w:val="0"/>
        <w:keepLines w:val="0"/>
        <w:pageBreakBefore w:val="0"/>
        <w:kinsoku/>
        <w:wordWrap/>
        <w:overflowPunct/>
        <w:topLinePunct w:val="0"/>
        <w:autoSpaceDE/>
        <w:autoSpaceDN/>
        <w:bidi w:val="0"/>
        <w:snapToGrid w:val="0"/>
        <w:spacing w:line="305" w:lineRule="auto"/>
        <w:ind w:firstLine="359" w:firstLineChars="147"/>
        <w:rPr>
          <w:rFonts w:hint="eastAsia" w:ascii="仿宋" w:hAnsi="仿宋" w:eastAsia="仿宋" w:cs="仿宋"/>
          <w:color w:val="auto"/>
          <w:sz w:val="24"/>
          <w:szCs w:val="24"/>
        </w:rPr>
      </w:pPr>
      <w:r>
        <w:rPr>
          <w:rFonts w:hint="eastAsia" w:ascii="仿宋" w:hAnsi="仿宋" w:eastAsia="仿宋" w:cs="仿宋"/>
          <w:color w:val="auto"/>
          <w:sz w:val="24"/>
          <w:szCs w:val="24"/>
        </w:rPr>
        <w:t>（f）配合招标采购单位答复供应商提出的质疑。</w:t>
      </w:r>
    </w:p>
    <w:p w14:paraId="12303477">
      <w:pPr>
        <w:pStyle w:val="23"/>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3.评标程序</w:t>
      </w:r>
    </w:p>
    <w:p w14:paraId="4C991F4A">
      <w:pPr>
        <w:pStyle w:val="23"/>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本次评标首先由评标委员会对投标人的响应文件进行初审，对未能通过初审的响应文件作无效标处理；</w:t>
      </w:r>
    </w:p>
    <w:p w14:paraId="3449CCEC">
      <w:pPr>
        <w:pStyle w:val="23"/>
        <w:keepNext w:val="0"/>
        <w:keepLines w:val="0"/>
        <w:pageBreakBefore w:val="0"/>
        <w:kinsoku/>
        <w:wordWrap/>
        <w:overflowPunct/>
        <w:topLinePunct w:val="0"/>
        <w:autoSpaceDE/>
        <w:autoSpaceDN/>
        <w:bidi w:val="0"/>
        <w:snapToGrid w:val="0"/>
        <w:spacing w:line="305" w:lineRule="auto"/>
        <w:rPr>
          <w:rFonts w:hint="eastAsia"/>
          <w:color w:val="auto"/>
          <w:sz w:val="24"/>
          <w:szCs w:val="24"/>
          <w:lang w:val="en-US" w:eastAsia="zh-CN"/>
        </w:rPr>
      </w:pPr>
      <w:r>
        <w:rPr>
          <w:rFonts w:hint="eastAsia" w:ascii="仿宋" w:hAnsi="仿宋" w:eastAsia="仿宋" w:cs="仿宋"/>
          <w:color w:val="auto"/>
          <w:sz w:val="24"/>
          <w:szCs w:val="24"/>
          <w:lang w:val="en-US" w:eastAsia="zh-CN" w:bidi="en-US"/>
        </w:rPr>
        <w:t>5对通过初审的投标人的响应文件进行详细的比较和评价。如需要，进行必要的澄清工作；</w:t>
      </w:r>
    </w:p>
    <w:p w14:paraId="10B42D65">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lang w:eastAsia="zh-CN"/>
        </w:rPr>
        <w:t>响应文件初审</w:t>
      </w:r>
    </w:p>
    <w:p w14:paraId="42FB7C1B">
      <w:pPr>
        <w:spacing w:line="400" w:lineRule="exact"/>
        <w:ind w:firstLine="359" w:firstLineChars="147"/>
        <w:rPr>
          <w:rFonts w:ascii="仿宋" w:hAnsi="仿宋" w:eastAsia="仿宋" w:cs="仿宋"/>
          <w:b/>
          <w:color w:val="auto"/>
          <w:sz w:val="24"/>
          <w:szCs w:val="24"/>
          <w:lang w:eastAsia="zh-CN"/>
        </w:rPr>
      </w:pPr>
      <w:r>
        <w:rPr>
          <w:rFonts w:hint="eastAsia" w:ascii="仿宋" w:hAnsi="仿宋" w:eastAsia="仿宋" w:cs="仿宋"/>
          <w:b/>
          <w:color w:val="auto"/>
          <w:sz w:val="24"/>
          <w:szCs w:val="24"/>
          <w:lang w:eastAsia="zh-CN"/>
        </w:rPr>
        <w:t>6.资格性审查:</w:t>
      </w:r>
    </w:p>
    <w:p w14:paraId="750A5555">
      <w:pPr>
        <w:spacing w:line="400" w:lineRule="exact"/>
        <w:ind w:firstLine="359" w:firstLineChars="147"/>
        <w:rPr>
          <w:rFonts w:ascii="仿宋" w:hAnsi="仿宋" w:eastAsia="仿宋" w:cs="仿宋"/>
          <w:color w:val="auto"/>
          <w:sz w:val="24"/>
          <w:szCs w:val="24"/>
        </w:rPr>
      </w:pPr>
      <w:r>
        <w:rPr>
          <w:rFonts w:hint="eastAsia" w:ascii="仿宋" w:hAnsi="仿宋" w:eastAsia="仿宋" w:cs="仿宋"/>
          <w:color w:val="auto"/>
          <w:sz w:val="24"/>
          <w:szCs w:val="24"/>
          <w:lang w:eastAsia="zh-CN"/>
        </w:rPr>
        <w:t>6</w:t>
      </w:r>
      <w:r>
        <w:rPr>
          <w:rFonts w:hint="eastAsia" w:ascii="仿宋" w:hAnsi="仿宋" w:eastAsia="仿宋" w:cs="仿宋"/>
          <w:color w:val="auto"/>
          <w:sz w:val="24"/>
          <w:szCs w:val="24"/>
        </w:rPr>
        <w:t>.1评审细则</w:t>
      </w:r>
    </w:p>
    <w:tbl>
      <w:tblPr>
        <w:tblStyle w:val="1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14:paraId="63CE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14:paraId="77616B63">
            <w:pPr>
              <w:jc w:val="center"/>
              <w:rPr>
                <w:rFonts w:ascii="仿宋" w:hAnsi="仿宋" w:eastAsia="仿宋" w:cs="仿宋"/>
                <w:b/>
                <w:color w:val="auto"/>
                <w:sz w:val="24"/>
                <w:szCs w:val="24"/>
              </w:rPr>
            </w:pPr>
            <w:r>
              <w:rPr>
                <w:rFonts w:hint="eastAsia" w:ascii="仿宋" w:hAnsi="仿宋" w:eastAsia="仿宋" w:cs="仿宋"/>
                <w:b/>
                <w:color w:val="auto"/>
                <w:sz w:val="24"/>
                <w:szCs w:val="24"/>
              </w:rPr>
              <w:t>项目</w:t>
            </w:r>
          </w:p>
        </w:tc>
        <w:tc>
          <w:tcPr>
            <w:tcW w:w="7196" w:type="dxa"/>
            <w:gridSpan w:val="2"/>
            <w:vMerge w:val="restart"/>
            <w:vAlign w:val="center"/>
          </w:tcPr>
          <w:p w14:paraId="46F5E022">
            <w:pPr>
              <w:jc w:val="center"/>
              <w:rPr>
                <w:rFonts w:ascii="仿宋" w:hAnsi="仿宋" w:eastAsia="仿宋" w:cs="仿宋"/>
                <w:b/>
                <w:color w:val="auto"/>
                <w:sz w:val="24"/>
                <w:szCs w:val="24"/>
              </w:rPr>
            </w:pPr>
            <w:r>
              <w:rPr>
                <w:rFonts w:hint="eastAsia" w:ascii="仿宋" w:hAnsi="仿宋" w:eastAsia="仿宋" w:cs="仿宋"/>
                <w:b/>
                <w:color w:val="auto"/>
                <w:sz w:val="24"/>
                <w:szCs w:val="24"/>
              </w:rPr>
              <w:t>评审内容</w:t>
            </w:r>
          </w:p>
        </w:tc>
        <w:tc>
          <w:tcPr>
            <w:tcW w:w="1209" w:type="dxa"/>
            <w:gridSpan w:val="2"/>
            <w:vAlign w:val="center"/>
          </w:tcPr>
          <w:p w14:paraId="0BAB1D9B">
            <w:pPr>
              <w:jc w:val="center"/>
              <w:rPr>
                <w:rFonts w:ascii="仿宋" w:hAnsi="仿宋" w:eastAsia="仿宋" w:cs="仿宋"/>
                <w:b/>
                <w:color w:val="auto"/>
                <w:sz w:val="24"/>
                <w:szCs w:val="24"/>
              </w:rPr>
            </w:pPr>
            <w:r>
              <w:rPr>
                <w:rFonts w:hint="eastAsia" w:ascii="仿宋" w:hAnsi="仿宋" w:eastAsia="仿宋" w:cs="仿宋"/>
                <w:b/>
                <w:color w:val="auto"/>
                <w:sz w:val="24"/>
                <w:szCs w:val="24"/>
              </w:rPr>
              <w:t>评审意见</w:t>
            </w:r>
          </w:p>
        </w:tc>
      </w:tr>
      <w:tr w14:paraId="5E62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81" w:type="dxa"/>
            <w:vMerge w:val="continue"/>
            <w:vAlign w:val="center"/>
          </w:tcPr>
          <w:p w14:paraId="7134678B">
            <w:pPr>
              <w:rPr>
                <w:rFonts w:ascii="仿宋" w:hAnsi="仿宋" w:eastAsia="仿宋" w:cs="仿宋"/>
                <w:color w:val="auto"/>
                <w:sz w:val="24"/>
                <w:szCs w:val="24"/>
              </w:rPr>
            </w:pPr>
          </w:p>
        </w:tc>
        <w:tc>
          <w:tcPr>
            <w:tcW w:w="7196" w:type="dxa"/>
            <w:gridSpan w:val="2"/>
            <w:vMerge w:val="continue"/>
          </w:tcPr>
          <w:p w14:paraId="72B5EBDC">
            <w:pPr>
              <w:rPr>
                <w:rFonts w:ascii="仿宋" w:hAnsi="仿宋" w:eastAsia="仿宋" w:cs="仿宋"/>
                <w:color w:val="auto"/>
                <w:sz w:val="24"/>
                <w:szCs w:val="24"/>
              </w:rPr>
            </w:pPr>
          </w:p>
        </w:tc>
        <w:tc>
          <w:tcPr>
            <w:tcW w:w="555" w:type="dxa"/>
            <w:vAlign w:val="center"/>
          </w:tcPr>
          <w:p w14:paraId="402101BC">
            <w:pPr>
              <w:jc w:val="center"/>
              <w:rPr>
                <w:rFonts w:ascii="仿宋" w:hAnsi="仿宋" w:eastAsia="仿宋" w:cs="仿宋"/>
                <w:b/>
                <w:color w:val="auto"/>
                <w:sz w:val="24"/>
                <w:szCs w:val="24"/>
              </w:rPr>
            </w:pPr>
            <w:r>
              <w:rPr>
                <w:rFonts w:hint="eastAsia" w:ascii="仿宋" w:hAnsi="仿宋" w:eastAsia="仿宋" w:cs="仿宋"/>
                <w:b/>
                <w:color w:val="auto"/>
                <w:sz w:val="24"/>
                <w:szCs w:val="24"/>
              </w:rPr>
              <w:t>是</w:t>
            </w:r>
          </w:p>
        </w:tc>
        <w:tc>
          <w:tcPr>
            <w:tcW w:w="654" w:type="dxa"/>
            <w:vAlign w:val="center"/>
          </w:tcPr>
          <w:p w14:paraId="717613AA">
            <w:pPr>
              <w:jc w:val="center"/>
              <w:rPr>
                <w:rFonts w:ascii="仿宋" w:hAnsi="仿宋" w:eastAsia="仿宋" w:cs="仿宋"/>
                <w:b/>
                <w:color w:val="auto"/>
                <w:sz w:val="24"/>
                <w:szCs w:val="24"/>
              </w:rPr>
            </w:pPr>
            <w:r>
              <w:rPr>
                <w:rFonts w:hint="eastAsia" w:ascii="仿宋" w:hAnsi="仿宋" w:eastAsia="仿宋" w:cs="仿宋"/>
                <w:b/>
                <w:color w:val="auto"/>
                <w:sz w:val="24"/>
                <w:szCs w:val="24"/>
              </w:rPr>
              <w:t>否</w:t>
            </w:r>
          </w:p>
        </w:tc>
      </w:tr>
      <w:tr w14:paraId="2BCE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81" w:type="dxa"/>
            <w:vMerge w:val="continue"/>
            <w:vAlign w:val="center"/>
          </w:tcPr>
          <w:p w14:paraId="7B039348">
            <w:pPr>
              <w:jc w:val="center"/>
              <w:rPr>
                <w:rFonts w:ascii="仿宋" w:hAnsi="仿宋" w:eastAsia="仿宋" w:cs="仿宋"/>
                <w:color w:val="auto"/>
                <w:sz w:val="24"/>
                <w:szCs w:val="24"/>
                <w:lang w:eastAsia="zh-CN"/>
              </w:rPr>
            </w:pPr>
          </w:p>
        </w:tc>
        <w:tc>
          <w:tcPr>
            <w:tcW w:w="547" w:type="dxa"/>
            <w:vAlign w:val="center"/>
          </w:tcPr>
          <w:p w14:paraId="31930DB6">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6649" w:type="dxa"/>
            <w:vAlign w:val="center"/>
          </w:tcPr>
          <w:p w14:paraId="4B5272D4">
            <w:pPr>
              <w:widowControl/>
              <w:textAlignment w:val="center"/>
              <w:rPr>
                <w:rFonts w:hint="eastAsia" w:ascii="仿宋" w:hAnsi="仿宋" w:eastAsia="仿宋" w:cs="仿宋"/>
                <w:color w:val="auto"/>
                <w:sz w:val="24"/>
                <w:szCs w:val="24"/>
                <w:lang w:eastAsia="zh-CN"/>
              </w:rPr>
            </w:pPr>
            <w:r>
              <w:rPr>
                <w:rFonts w:hint="eastAsia" w:ascii="仿宋" w:hAnsi="仿宋" w:eastAsia="仿宋" w:cs="仿宋"/>
                <w:color w:val="4F81BD" w:themeColor="accent1"/>
                <w:sz w:val="24"/>
                <w:szCs w:val="24"/>
                <w:lang w:eastAsia="zh-CN"/>
                <w14:textFill>
                  <w14:solidFill>
                    <w14:schemeClr w14:val="accent1"/>
                  </w14:solidFill>
                </w14:textFill>
              </w:rPr>
              <w:t>中小企业声明函（如有）</w:t>
            </w:r>
          </w:p>
        </w:tc>
        <w:tc>
          <w:tcPr>
            <w:tcW w:w="555" w:type="dxa"/>
          </w:tcPr>
          <w:p w14:paraId="0E7456B5">
            <w:pPr>
              <w:rPr>
                <w:rFonts w:ascii="仿宋" w:hAnsi="仿宋" w:eastAsia="仿宋" w:cs="仿宋"/>
                <w:color w:val="auto"/>
                <w:sz w:val="24"/>
                <w:szCs w:val="24"/>
                <w:lang w:eastAsia="zh-CN"/>
              </w:rPr>
            </w:pPr>
          </w:p>
        </w:tc>
        <w:tc>
          <w:tcPr>
            <w:tcW w:w="654" w:type="dxa"/>
          </w:tcPr>
          <w:p w14:paraId="7E98CAC2">
            <w:pPr>
              <w:rPr>
                <w:rFonts w:ascii="仿宋" w:hAnsi="仿宋" w:eastAsia="仿宋" w:cs="仿宋"/>
                <w:color w:val="auto"/>
                <w:sz w:val="24"/>
                <w:szCs w:val="24"/>
                <w:lang w:eastAsia="zh-CN"/>
              </w:rPr>
            </w:pPr>
          </w:p>
        </w:tc>
      </w:tr>
      <w:tr w14:paraId="2FC4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81" w:type="dxa"/>
            <w:vMerge w:val="continue"/>
            <w:vAlign w:val="center"/>
          </w:tcPr>
          <w:p w14:paraId="3D7F35F9">
            <w:pPr>
              <w:jc w:val="center"/>
              <w:rPr>
                <w:rFonts w:ascii="仿宋" w:hAnsi="仿宋" w:eastAsia="仿宋" w:cs="仿宋"/>
                <w:color w:val="auto"/>
                <w:sz w:val="24"/>
                <w:szCs w:val="24"/>
                <w:lang w:eastAsia="zh-CN"/>
              </w:rPr>
            </w:pPr>
          </w:p>
        </w:tc>
        <w:tc>
          <w:tcPr>
            <w:tcW w:w="547" w:type="dxa"/>
            <w:vAlign w:val="center"/>
          </w:tcPr>
          <w:p w14:paraId="6DD6764E">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6649" w:type="dxa"/>
            <w:vAlign w:val="center"/>
          </w:tcPr>
          <w:p w14:paraId="19CC5739">
            <w:pPr>
              <w:widowControl/>
              <w:textAlignment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（三证合一）营业执照</w:t>
            </w:r>
          </w:p>
        </w:tc>
        <w:tc>
          <w:tcPr>
            <w:tcW w:w="555" w:type="dxa"/>
          </w:tcPr>
          <w:p w14:paraId="6265AC6B">
            <w:pPr>
              <w:rPr>
                <w:rFonts w:ascii="仿宋" w:hAnsi="仿宋" w:eastAsia="仿宋" w:cs="仿宋"/>
                <w:color w:val="auto"/>
                <w:sz w:val="24"/>
                <w:szCs w:val="24"/>
                <w:lang w:eastAsia="zh-CN"/>
              </w:rPr>
            </w:pPr>
          </w:p>
        </w:tc>
        <w:tc>
          <w:tcPr>
            <w:tcW w:w="654" w:type="dxa"/>
          </w:tcPr>
          <w:p w14:paraId="4B68FC92">
            <w:pPr>
              <w:rPr>
                <w:rFonts w:ascii="仿宋" w:hAnsi="仿宋" w:eastAsia="仿宋" w:cs="仿宋"/>
                <w:color w:val="auto"/>
                <w:sz w:val="24"/>
                <w:szCs w:val="24"/>
                <w:lang w:eastAsia="zh-CN"/>
              </w:rPr>
            </w:pPr>
          </w:p>
        </w:tc>
      </w:tr>
      <w:tr w14:paraId="7B3E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81" w:type="dxa"/>
            <w:vMerge w:val="continue"/>
            <w:vAlign w:val="center"/>
          </w:tcPr>
          <w:p w14:paraId="015BCAFF">
            <w:pPr>
              <w:rPr>
                <w:rFonts w:ascii="仿宋" w:hAnsi="仿宋" w:eastAsia="仿宋" w:cs="仿宋"/>
                <w:color w:val="auto"/>
                <w:sz w:val="24"/>
                <w:szCs w:val="24"/>
                <w:lang w:eastAsia="zh-CN"/>
              </w:rPr>
            </w:pPr>
          </w:p>
        </w:tc>
        <w:tc>
          <w:tcPr>
            <w:tcW w:w="547" w:type="dxa"/>
            <w:vAlign w:val="center"/>
          </w:tcPr>
          <w:p w14:paraId="2422E61F">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6649" w:type="dxa"/>
            <w:vAlign w:val="center"/>
          </w:tcPr>
          <w:p w14:paraId="66A2CD28">
            <w:pPr>
              <w:widowControl/>
              <w:textAlignment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法定代表人投标需提供法定代表人资格证明书，委托代理人投标需提供法定代表人授权委托书</w:t>
            </w:r>
          </w:p>
        </w:tc>
        <w:tc>
          <w:tcPr>
            <w:tcW w:w="555" w:type="dxa"/>
          </w:tcPr>
          <w:p w14:paraId="5A11A266">
            <w:pPr>
              <w:rPr>
                <w:rFonts w:ascii="仿宋" w:hAnsi="仿宋" w:eastAsia="仿宋" w:cs="仿宋"/>
                <w:color w:val="auto"/>
                <w:sz w:val="24"/>
                <w:szCs w:val="24"/>
                <w:lang w:eastAsia="zh-CN"/>
              </w:rPr>
            </w:pPr>
          </w:p>
        </w:tc>
        <w:tc>
          <w:tcPr>
            <w:tcW w:w="654" w:type="dxa"/>
          </w:tcPr>
          <w:p w14:paraId="40667A54">
            <w:pPr>
              <w:rPr>
                <w:rFonts w:ascii="仿宋" w:hAnsi="仿宋" w:eastAsia="仿宋" w:cs="仿宋"/>
                <w:color w:val="auto"/>
                <w:sz w:val="24"/>
                <w:szCs w:val="24"/>
                <w:lang w:eastAsia="zh-CN"/>
              </w:rPr>
            </w:pPr>
          </w:p>
        </w:tc>
      </w:tr>
      <w:tr w14:paraId="6131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81" w:type="dxa"/>
            <w:vMerge w:val="continue"/>
            <w:vAlign w:val="center"/>
          </w:tcPr>
          <w:p w14:paraId="5F67E6FC">
            <w:pPr>
              <w:rPr>
                <w:rFonts w:ascii="仿宋" w:hAnsi="仿宋" w:eastAsia="仿宋" w:cs="仿宋"/>
                <w:color w:val="auto"/>
                <w:sz w:val="24"/>
                <w:szCs w:val="24"/>
                <w:lang w:eastAsia="zh-CN"/>
              </w:rPr>
            </w:pPr>
          </w:p>
        </w:tc>
        <w:tc>
          <w:tcPr>
            <w:tcW w:w="547" w:type="dxa"/>
            <w:vAlign w:val="center"/>
          </w:tcPr>
          <w:p w14:paraId="0B678070">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6649" w:type="dxa"/>
            <w:vAlign w:val="center"/>
          </w:tcPr>
          <w:p w14:paraId="37DBE364">
            <w:pPr>
              <w:widowControl/>
              <w:textAlignment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参加政府采购活动前三年内，在经营活动中没有重大违法记录；未被“信用中国”（www.creditchina.gov.cn）、中国政府采购网（www.ccgp.gov.cn）列入失信被执行人、税收违法黑名单、政府采购严重违法失信行为记录名单。</w:t>
            </w:r>
          </w:p>
        </w:tc>
        <w:tc>
          <w:tcPr>
            <w:tcW w:w="555" w:type="dxa"/>
          </w:tcPr>
          <w:p w14:paraId="78185C8B">
            <w:pPr>
              <w:rPr>
                <w:rFonts w:ascii="仿宋" w:hAnsi="仿宋" w:eastAsia="仿宋" w:cs="仿宋"/>
                <w:color w:val="auto"/>
                <w:sz w:val="24"/>
                <w:szCs w:val="24"/>
                <w:lang w:eastAsia="zh-CN"/>
              </w:rPr>
            </w:pPr>
          </w:p>
        </w:tc>
        <w:tc>
          <w:tcPr>
            <w:tcW w:w="654" w:type="dxa"/>
          </w:tcPr>
          <w:p w14:paraId="2FF8C8D9">
            <w:pPr>
              <w:rPr>
                <w:rFonts w:ascii="仿宋" w:hAnsi="仿宋" w:eastAsia="仿宋" w:cs="仿宋"/>
                <w:color w:val="auto"/>
                <w:sz w:val="24"/>
                <w:szCs w:val="24"/>
                <w:lang w:eastAsia="zh-CN"/>
              </w:rPr>
            </w:pPr>
          </w:p>
        </w:tc>
      </w:tr>
      <w:tr w14:paraId="65C7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81" w:type="dxa"/>
            <w:vMerge w:val="continue"/>
            <w:vAlign w:val="center"/>
          </w:tcPr>
          <w:p w14:paraId="5F2BB6AB">
            <w:pPr>
              <w:rPr>
                <w:rFonts w:ascii="仿宋" w:hAnsi="仿宋" w:eastAsia="仿宋" w:cs="仿宋"/>
                <w:color w:val="auto"/>
                <w:sz w:val="24"/>
                <w:szCs w:val="24"/>
                <w:lang w:eastAsia="zh-CN"/>
              </w:rPr>
            </w:pPr>
          </w:p>
        </w:tc>
        <w:tc>
          <w:tcPr>
            <w:tcW w:w="547" w:type="dxa"/>
            <w:vAlign w:val="center"/>
          </w:tcPr>
          <w:p w14:paraId="07E3DF4B">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6649" w:type="dxa"/>
            <w:vAlign w:val="center"/>
          </w:tcPr>
          <w:p w14:paraId="7921A921">
            <w:pPr>
              <w:widowControl/>
              <w:textAlignment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投标保证金缴纳凭证或投标担保函</w:t>
            </w:r>
          </w:p>
        </w:tc>
        <w:tc>
          <w:tcPr>
            <w:tcW w:w="555" w:type="dxa"/>
          </w:tcPr>
          <w:p w14:paraId="7B19571A">
            <w:pPr>
              <w:rPr>
                <w:rFonts w:ascii="仿宋" w:hAnsi="仿宋" w:eastAsia="仿宋" w:cs="仿宋"/>
                <w:color w:val="auto"/>
                <w:sz w:val="24"/>
                <w:szCs w:val="24"/>
                <w:lang w:eastAsia="zh-CN"/>
              </w:rPr>
            </w:pPr>
          </w:p>
        </w:tc>
        <w:tc>
          <w:tcPr>
            <w:tcW w:w="654" w:type="dxa"/>
          </w:tcPr>
          <w:p w14:paraId="19BFEDBD">
            <w:pPr>
              <w:rPr>
                <w:rFonts w:ascii="仿宋" w:hAnsi="仿宋" w:eastAsia="仿宋" w:cs="仿宋"/>
                <w:color w:val="auto"/>
                <w:sz w:val="24"/>
                <w:szCs w:val="24"/>
                <w:lang w:eastAsia="zh-CN"/>
              </w:rPr>
            </w:pPr>
          </w:p>
        </w:tc>
      </w:tr>
      <w:tr w14:paraId="23EE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vAlign w:val="center"/>
          </w:tcPr>
          <w:p w14:paraId="39A2916A">
            <w:pPr>
              <w:rPr>
                <w:rFonts w:ascii="仿宋" w:hAnsi="仿宋" w:eastAsia="仿宋" w:cs="仿宋"/>
                <w:color w:val="auto"/>
                <w:sz w:val="24"/>
                <w:szCs w:val="24"/>
                <w:lang w:eastAsia="zh-CN"/>
              </w:rPr>
            </w:pPr>
          </w:p>
        </w:tc>
        <w:tc>
          <w:tcPr>
            <w:tcW w:w="547" w:type="dxa"/>
            <w:vAlign w:val="center"/>
          </w:tcPr>
          <w:p w14:paraId="76E6901D">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p>
        </w:tc>
        <w:tc>
          <w:tcPr>
            <w:tcW w:w="6649" w:type="dxa"/>
            <w:vAlign w:val="center"/>
          </w:tcPr>
          <w:p w14:paraId="00B0ADDA">
            <w:pPr>
              <w:widowControl/>
              <w:textAlignment w:val="center"/>
              <w:rPr>
                <w:rFonts w:ascii="仿宋" w:hAnsi="仿宋" w:eastAsia="仿宋" w:cs="仿宋"/>
                <w:color w:val="auto"/>
                <w:sz w:val="24"/>
                <w:szCs w:val="24"/>
                <w:lang w:eastAsia="zh-CN"/>
              </w:rPr>
            </w:pPr>
            <w:r>
              <w:rPr>
                <w:rFonts w:ascii="仿宋" w:hAnsi="仿宋" w:eastAsia="仿宋" w:cs="仿宋"/>
                <w:color w:val="auto"/>
                <w:highlight w:val="none"/>
                <w:lang w:eastAsia="zh-CN"/>
              </w:rPr>
              <w:t>投标企业须提供投标人（被授权在职人员）近6个月内任意一个月有效的社保证明</w:t>
            </w:r>
          </w:p>
        </w:tc>
        <w:tc>
          <w:tcPr>
            <w:tcW w:w="555" w:type="dxa"/>
          </w:tcPr>
          <w:p w14:paraId="5B041367">
            <w:pPr>
              <w:rPr>
                <w:rFonts w:ascii="仿宋" w:hAnsi="仿宋" w:eastAsia="仿宋" w:cs="仿宋"/>
                <w:color w:val="auto"/>
                <w:sz w:val="24"/>
                <w:szCs w:val="24"/>
                <w:lang w:eastAsia="zh-CN"/>
              </w:rPr>
            </w:pPr>
          </w:p>
        </w:tc>
        <w:tc>
          <w:tcPr>
            <w:tcW w:w="654" w:type="dxa"/>
          </w:tcPr>
          <w:p w14:paraId="3187DBE7">
            <w:pPr>
              <w:rPr>
                <w:rFonts w:ascii="仿宋" w:hAnsi="仿宋" w:eastAsia="仿宋" w:cs="仿宋"/>
                <w:color w:val="auto"/>
                <w:sz w:val="24"/>
                <w:szCs w:val="24"/>
                <w:lang w:eastAsia="zh-CN"/>
              </w:rPr>
            </w:pPr>
          </w:p>
        </w:tc>
      </w:tr>
      <w:tr w14:paraId="44C6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vAlign w:val="center"/>
          </w:tcPr>
          <w:p w14:paraId="12B8BED5">
            <w:pPr>
              <w:rPr>
                <w:rFonts w:ascii="仿宋" w:hAnsi="仿宋" w:eastAsia="仿宋" w:cs="仿宋"/>
                <w:color w:val="auto"/>
                <w:sz w:val="24"/>
                <w:szCs w:val="24"/>
                <w:lang w:eastAsia="zh-CN"/>
              </w:rPr>
            </w:pPr>
          </w:p>
        </w:tc>
        <w:tc>
          <w:tcPr>
            <w:tcW w:w="547" w:type="dxa"/>
            <w:vAlign w:val="center"/>
          </w:tcPr>
          <w:p w14:paraId="7FC0CEA1">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6649" w:type="dxa"/>
            <w:vAlign w:val="center"/>
          </w:tcPr>
          <w:p w14:paraId="39567B75">
            <w:pPr>
              <w:widowControl/>
              <w:textAlignment w:val="center"/>
              <w:rPr>
                <w:rFonts w:ascii="仿宋" w:hAnsi="仿宋" w:eastAsia="仿宋" w:cs="仿宋"/>
                <w:color w:val="auto"/>
                <w:highlight w:val="none"/>
                <w:lang w:eastAsia="zh-CN"/>
              </w:rPr>
            </w:pPr>
            <w:r>
              <w:rPr>
                <w:rFonts w:hint="eastAsia" w:ascii="仿宋" w:hAnsi="仿宋" w:eastAsia="仿宋" w:cs="仿宋"/>
                <w:b w:val="0"/>
                <w:bCs/>
                <w:color w:val="auto"/>
                <w:sz w:val="24"/>
                <w:szCs w:val="24"/>
                <w:lang w:val="en-US" w:eastAsia="zh-CN"/>
              </w:rPr>
              <w:t>提供反商业贿赂承诺书（自拟）</w:t>
            </w:r>
          </w:p>
        </w:tc>
        <w:tc>
          <w:tcPr>
            <w:tcW w:w="555" w:type="dxa"/>
          </w:tcPr>
          <w:p w14:paraId="2446B713">
            <w:pPr>
              <w:rPr>
                <w:rFonts w:ascii="仿宋" w:hAnsi="仿宋" w:eastAsia="仿宋" w:cs="仿宋"/>
                <w:color w:val="auto"/>
                <w:sz w:val="24"/>
                <w:szCs w:val="24"/>
                <w:lang w:eastAsia="zh-CN"/>
              </w:rPr>
            </w:pPr>
          </w:p>
        </w:tc>
        <w:tc>
          <w:tcPr>
            <w:tcW w:w="654" w:type="dxa"/>
          </w:tcPr>
          <w:p w14:paraId="7350495B">
            <w:pPr>
              <w:rPr>
                <w:rFonts w:ascii="仿宋" w:hAnsi="仿宋" w:eastAsia="仿宋" w:cs="仿宋"/>
                <w:color w:val="auto"/>
                <w:sz w:val="24"/>
                <w:szCs w:val="24"/>
                <w:lang w:eastAsia="zh-CN"/>
              </w:rPr>
            </w:pPr>
          </w:p>
        </w:tc>
      </w:tr>
      <w:tr w14:paraId="3E32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vAlign w:val="center"/>
          </w:tcPr>
          <w:p w14:paraId="30795476">
            <w:pPr>
              <w:rPr>
                <w:rFonts w:ascii="仿宋" w:hAnsi="仿宋" w:eastAsia="仿宋" w:cs="仿宋"/>
                <w:color w:val="auto"/>
                <w:sz w:val="24"/>
                <w:szCs w:val="24"/>
                <w:lang w:eastAsia="zh-CN"/>
              </w:rPr>
            </w:pPr>
          </w:p>
        </w:tc>
        <w:tc>
          <w:tcPr>
            <w:tcW w:w="547" w:type="dxa"/>
            <w:vAlign w:val="center"/>
          </w:tcPr>
          <w:p w14:paraId="06E7AD46">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6649" w:type="dxa"/>
            <w:vAlign w:val="center"/>
          </w:tcPr>
          <w:p w14:paraId="3B07C5FC">
            <w:pPr>
              <w:widowControl/>
              <w:textAlignment w:val="center"/>
              <w:rPr>
                <w:rFonts w:ascii="仿宋" w:hAnsi="仿宋" w:eastAsia="仿宋" w:cs="仿宋"/>
                <w:color w:val="auto"/>
                <w:highlight w:val="none"/>
                <w:lang w:eastAsia="zh-CN"/>
              </w:rPr>
            </w:pPr>
            <w:r>
              <w:rPr>
                <w:rFonts w:hint="eastAsia" w:ascii="仿宋" w:hAnsi="仿宋" w:eastAsia="仿宋" w:cs="仿宋"/>
                <w:b w:val="0"/>
                <w:bCs/>
                <w:color w:val="auto"/>
                <w:sz w:val="24"/>
                <w:szCs w:val="24"/>
                <w:lang w:val="en-US" w:eastAsia="zh-CN"/>
              </w:rPr>
              <w:t>财务状况良好，具备2023年或2024年经会计事务所提供的有效地财务审计报告及财务报表；（不满1年的提供成立公司以来的财务审计报告）；投标人没有处于财产被接管、破产或其它关、停、并、转现象。</w:t>
            </w:r>
          </w:p>
        </w:tc>
        <w:tc>
          <w:tcPr>
            <w:tcW w:w="555" w:type="dxa"/>
          </w:tcPr>
          <w:p w14:paraId="026999F6">
            <w:pPr>
              <w:rPr>
                <w:rFonts w:ascii="仿宋" w:hAnsi="仿宋" w:eastAsia="仿宋" w:cs="仿宋"/>
                <w:color w:val="auto"/>
                <w:sz w:val="24"/>
                <w:szCs w:val="24"/>
                <w:lang w:eastAsia="zh-CN"/>
              </w:rPr>
            </w:pPr>
          </w:p>
        </w:tc>
        <w:tc>
          <w:tcPr>
            <w:tcW w:w="654" w:type="dxa"/>
          </w:tcPr>
          <w:p w14:paraId="61A705AD">
            <w:pPr>
              <w:rPr>
                <w:rFonts w:ascii="仿宋" w:hAnsi="仿宋" w:eastAsia="仿宋" w:cs="仿宋"/>
                <w:color w:val="auto"/>
                <w:sz w:val="24"/>
                <w:szCs w:val="24"/>
                <w:lang w:eastAsia="zh-CN"/>
              </w:rPr>
            </w:pPr>
          </w:p>
        </w:tc>
      </w:tr>
      <w:tr w14:paraId="53DD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14:paraId="55E40B88">
            <w:pPr>
              <w:jc w:val="center"/>
              <w:rPr>
                <w:rFonts w:ascii="仿宋" w:hAnsi="仿宋" w:eastAsia="仿宋" w:cs="仿宋"/>
                <w:color w:val="auto"/>
                <w:sz w:val="24"/>
                <w:szCs w:val="24"/>
                <w:lang w:eastAsia="zh-CN"/>
              </w:rPr>
            </w:pPr>
          </w:p>
        </w:tc>
        <w:tc>
          <w:tcPr>
            <w:tcW w:w="547" w:type="dxa"/>
          </w:tcPr>
          <w:p w14:paraId="3AD2E4DE">
            <w:pPr>
              <w:spacing w:line="440" w:lineRule="exact"/>
              <w:rPr>
                <w:rFonts w:ascii="仿宋" w:hAnsi="仿宋" w:eastAsia="仿宋" w:cs="仿宋"/>
                <w:color w:val="auto"/>
                <w:sz w:val="24"/>
                <w:szCs w:val="24"/>
                <w:lang w:eastAsia="zh-CN"/>
              </w:rPr>
            </w:pPr>
          </w:p>
        </w:tc>
        <w:tc>
          <w:tcPr>
            <w:tcW w:w="6649" w:type="dxa"/>
          </w:tcPr>
          <w:p w14:paraId="1FC32512">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结论：是否通过评审（须填写通过或不通过）</w:t>
            </w:r>
          </w:p>
          <w:p w14:paraId="35341563">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注：如有一项不合格，作废标处理。</w:t>
            </w:r>
          </w:p>
        </w:tc>
        <w:tc>
          <w:tcPr>
            <w:tcW w:w="1209" w:type="dxa"/>
            <w:gridSpan w:val="2"/>
          </w:tcPr>
          <w:p w14:paraId="4347CD80">
            <w:pPr>
              <w:rPr>
                <w:rFonts w:ascii="仿宋" w:hAnsi="仿宋" w:eastAsia="仿宋" w:cs="仿宋"/>
                <w:color w:val="auto"/>
                <w:sz w:val="24"/>
                <w:szCs w:val="24"/>
                <w:lang w:eastAsia="zh-CN"/>
              </w:rPr>
            </w:pPr>
          </w:p>
        </w:tc>
      </w:tr>
    </w:tbl>
    <w:p w14:paraId="3D5E2FD4">
      <w:pPr>
        <w:spacing w:line="400" w:lineRule="exact"/>
        <w:ind w:firstLine="590" w:firstLineChars="241"/>
        <w:rPr>
          <w:rFonts w:ascii="仿宋" w:hAnsi="仿宋" w:eastAsia="仿宋" w:cs="仿宋"/>
          <w:b/>
          <w:color w:val="auto"/>
          <w:sz w:val="24"/>
          <w:szCs w:val="24"/>
          <w:lang w:eastAsia="zh-CN"/>
        </w:rPr>
      </w:pPr>
      <w:r>
        <w:rPr>
          <w:rFonts w:hint="eastAsia" w:ascii="仿宋" w:hAnsi="仿宋" w:eastAsia="仿宋" w:cs="仿宋"/>
          <w:b/>
          <w:color w:val="auto"/>
          <w:sz w:val="24"/>
          <w:szCs w:val="24"/>
          <w:lang w:eastAsia="zh-CN"/>
        </w:rPr>
        <w:t>6.2如评标专家在检验电子标书过程中，如果由于投标人自身原因导致评标专家无法查看并检验电子标书中以上相关资料的，否决其投标。即使投标单位将原件携带至现场的，同样按无效投标处理。</w:t>
      </w:r>
    </w:p>
    <w:p w14:paraId="299629F4">
      <w:pPr>
        <w:spacing w:before="156" w:beforeLines="50" w:line="440" w:lineRule="exact"/>
        <w:ind w:firstLine="359" w:firstLineChars="147"/>
        <w:rPr>
          <w:rFonts w:ascii="仿宋" w:hAnsi="仿宋" w:eastAsia="仿宋" w:cs="仿宋"/>
          <w:b/>
          <w:color w:val="auto"/>
          <w:sz w:val="24"/>
          <w:szCs w:val="24"/>
        </w:rPr>
      </w:pPr>
      <w:r>
        <w:rPr>
          <w:rFonts w:hint="eastAsia" w:ascii="仿宋" w:hAnsi="仿宋" w:eastAsia="仿宋" w:cs="仿宋"/>
          <w:b/>
          <w:color w:val="auto"/>
          <w:sz w:val="24"/>
          <w:szCs w:val="24"/>
          <w:lang w:eastAsia="zh-CN"/>
        </w:rPr>
        <w:t>7</w:t>
      </w:r>
      <w:r>
        <w:rPr>
          <w:rFonts w:hint="eastAsia" w:ascii="仿宋" w:hAnsi="仿宋" w:eastAsia="仿宋" w:cs="仿宋"/>
          <w:b/>
          <w:color w:val="auto"/>
          <w:sz w:val="24"/>
          <w:szCs w:val="24"/>
        </w:rPr>
        <w:t>.符合性审查</w:t>
      </w:r>
    </w:p>
    <w:p w14:paraId="05C5663C">
      <w:pPr>
        <w:spacing w:line="440" w:lineRule="exact"/>
        <w:ind w:firstLine="367" w:firstLineChars="150"/>
        <w:rPr>
          <w:rFonts w:ascii="仿宋" w:hAnsi="仿宋" w:eastAsia="仿宋" w:cs="仿宋"/>
          <w:color w:val="auto"/>
          <w:sz w:val="24"/>
          <w:szCs w:val="24"/>
        </w:rPr>
      </w:pPr>
      <w:r>
        <w:rPr>
          <w:rFonts w:hint="eastAsia" w:ascii="仿宋" w:hAnsi="仿宋" w:eastAsia="仿宋" w:cs="仿宋"/>
          <w:color w:val="auto"/>
          <w:sz w:val="24"/>
          <w:szCs w:val="24"/>
          <w:lang w:eastAsia="zh-CN"/>
        </w:rPr>
        <w:t>7</w:t>
      </w:r>
      <w:r>
        <w:rPr>
          <w:rFonts w:hint="eastAsia" w:ascii="仿宋" w:hAnsi="仿宋" w:eastAsia="仿宋" w:cs="仿宋"/>
          <w:color w:val="auto"/>
          <w:sz w:val="24"/>
          <w:szCs w:val="24"/>
        </w:rPr>
        <w:t>．1评审细则</w:t>
      </w:r>
    </w:p>
    <w:tbl>
      <w:tblPr>
        <w:tblStyle w:val="18"/>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14:paraId="6F74D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14:paraId="350AFF93">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项目</w:t>
            </w:r>
          </w:p>
        </w:tc>
        <w:tc>
          <w:tcPr>
            <w:tcW w:w="6975" w:type="dxa"/>
            <w:gridSpan w:val="2"/>
            <w:vMerge w:val="restart"/>
            <w:tcBorders>
              <w:top w:val="single" w:color="auto" w:sz="4" w:space="0"/>
            </w:tcBorders>
            <w:vAlign w:val="center"/>
          </w:tcPr>
          <w:p w14:paraId="26BBCF05">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评审内容</w:t>
            </w:r>
          </w:p>
        </w:tc>
        <w:tc>
          <w:tcPr>
            <w:tcW w:w="1366" w:type="dxa"/>
            <w:gridSpan w:val="2"/>
            <w:tcBorders>
              <w:top w:val="single" w:color="auto" w:sz="4" w:space="0"/>
              <w:right w:val="single" w:color="auto" w:sz="4" w:space="0"/>
            </w:tcBorders>
            <w:vAlign w:val="center"/>
          </w:tcPr>
          <w:p w14:paraId="34343EFC">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评审意见</w:t>
            </w:r>
          </w:p>
        </w:tc>
      </w:tr>
      <w:tr w14:paraId="06A2F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14:paraId="3DC88D37">
            <w:pPr>
              <w:spacing w:line="240" w:lineRule="auto"/>
              <w:rPr>
                <w:rFonts w:ascii="仿宋" w:hAnsi="仿宋" w:eastAsia="仿宋" w:cs="仿宋"/>
                <w:color w:val="auto"/>
                <w:highlight w:val="none"/>
              </w:rPr>
            </w:pPr>
          </w:p>
        </w:tc>
        <w:tc>
          <w:tcPr>
            <w:tcW w:w="6975" w:type="dxa"/>
            <w:gridSpan w:val="2"/>
            <w:vMerge w:val="continue"/>
            <w:tcBorders>
              <w:bottom w:val="single" w:color="auto" w:sz="4" w:space="0"/>
            </w:tcBorders>
          </w:tcPr>
          <w:p w14:paraId="5388D68D">
            <w:pPr>
              <w:spacing w:line="240" w:lineRule="auto"/>
              <w:rPr>
                <w:rFonts w:ascii="仿宋" w:hAnsi="仿宋" w:eastAsia="仿宋" w:cs="仿宋"/>
                <w:color w:val="auto"/>
                <w:highlight w:val="none"/>
              </w:rPr>
            </w:pPr>
          </w:p>
        </w:tc>
        <w:tc>
          <w:tcPr>
            <w:tcW w:w="749" w:type="dxa"/>
            <w:vAlign w:val="center"/>
          </w:tcPr>
          <w:p w14:paraId="75CE30C4">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是</w:t>
            </w:r>
          </w:p>
        </w:tc>
        <w:tc>
          <w:tcPr>
            <w:tcW w:w="617" w:type="dxa"/>
            <w:tcBorders>
              <w:right w:val="single" w:color="auto" w:sz="4" w:space="0"/>
            </w:tcBorders>
            <w:vAlign w:val="center"/>
          </w:tcPr>
          <w:p w14:paraId="60ADBBE5">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否</w:t>
            </w:r>
          </w:p>
        </w:tc>
      </w:tr>
      <w:tr w14:paraId="2F68B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14:paraId="162B394B">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审</w:t>
            </w:r>
          </w:p>
          <w:p w14:paraId="0E1BE86D">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查</w:t>
            </w:r>
          </w:p>
          <w:p w14:paraId="2FA18209">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w:t>
            </w:r>
          </w:p>
          <w:p w14:paraId="37A58C12">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597" w:type="dxa"/>
            <w:tcBorders>
              <w:top w:val="single" w:color="auto" w:sz="4" w:space="0"/>
              <w:left w:val="single" w:color="auto" w:sz="4" w:space="0"/>
              <w:right w:val="single" w:color="auto" w:sz="4" w:space="0"/>
            </w:tcBorders>
            <w:vAlign w:val="center"/>
          </w:tcPr>
          <w:p w14:paraId="265A444E">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6378" w:type="dxa"/>
            <w:tcBorders>
              <w:top w:val="single" w:color="auto" w:sz="4" w:space="0"/>
              <w:left w:val="single" w:color="auto" w:sz="4" w:space="0"/>
              <w:right w:val="single" w:color="auto" w:sz="4" w:space="0"/>
            </w:tcBorders>
            <w:vAlign w:val="center"/>
          </w:tcPr>
          <w:p w14:paraId="72CFB3BA">
            <w:pPr>
              <w:widowControl/>
              <w:spacing w:line="240" w:lineRule="auto"/>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由政府立项核准、审批的采购项目, 报价高于设定的采购预算价的。</w:t>
            </w:r>
          </w:p>
        </w:tc>
        <w:tc>
          <w:tcPr>
            <w:tcW w:w="749" w:type="dxa"/>
            <w:tcBorders>
              <w:left w:val="single" w:color="auto" w:sz="4" w:space="0"/>
              <w:right w:val="single" w:color="auto" w:sz="4" w:space="0"/>
            </w:tcBorders>
          </w:tcPr>
          <w:p w14:paraId="36B192D4">
            <w:pPr>
              <w:spacing w:line="240" w:lineRule="auto"/>
              <w:jc w:val="center"/>
              <w:rPr>
                <w:rFonts w:ascii="仿宋" w:hAnsi="仿宋" w:eastAsia="仿宋" w:cs="仿宋"/>
                <w:b/>
                <w:color w:val="auto"/>
                <w:szCs w:val="21"/>
                <w:highlight w:val="none"/>
                <w:lang w:eastAsia="zh-CN"/>
              </w:rPr>
            </w:pPr>
          </w:p>
        </w:tc>
        <w:tc>
          <w:tcPr>
            <w:tcW w:w="617" w:type="dxa"/>
            <w:tcBorders>
              <w:left w:val="single" w:color="auto" w:sz="4" w:space="0"/>
              <w:right w:val="single" w:color="auto" w:sz="4" w:space="0"/>
            </w:tcBorders>
          </w:tcPr>
          <w:p w14:paraId="6729F74E">
            <w:pPr>
              <w:spacing w:line="240" w:lineRule="auto"/>
              <w:jc w:val="center"/>
              <w:rPr>
                <w:rFonts w:ascii="仿宋" w:hAnsi="仿宋" w:eastAsia="仿宋" w:cs="仿宋"/>
                <w:b/>
                <w:color w:val="auto"/>
                <w:szCs w:val="21"/>
                <w:highlight w:val="none"/>
                <w:lang w:eastAsia="zh-CN"/>
              </w:rPr>
            </w:pPr>
          </w:p>
        </w:tc>
      </w:tr>
      <w:tr w14:paraId="5DA011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14:paraId="27CA2CC3">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68A98EA7">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6378" w:type="dxa"/>
            <w:tcBorders>
              <w:top w:val="single" w:color="auto" w:sz="4" w:space="0"/>
              <w:left w:val="single" w:color="auto" w:sz="4" w:space="0"/>
              <w:bottom w:val="single" w:color="auto" w:sz="4" w:space="0"/>
              <w:right w:val="single" w:color="auto" w:sz="4" w:space="0"/>
            </w:tcBorders>
            <w:vAlign w:val="center"/>
          </w:tcPr>
          <w:p w14:paraId="2DF76A1F">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法定代表人身份证明及授权委托书有效，且符合招标文件规定的格式。</w:t>
            </w:r>
          </w:p>
        </w:tc>
        <w:tc>
          <w:tcPr>
            <w:tcW w:w="749" w:type="dxa"/>
            <w:tcBorders>
              <w:left w:val="single" w:color="auto" w:sz="4" w:space="0"/>
            </w:tcBorders>
          </w:tcPr>
          <w:p w14:paraId="16D1A76E">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0B4EC851">
            <w:pPr>
              <w:spacing w:line="240" w:lineRule="auto"/>
              <w:rPr>
                <w:rFonts w:ascii="仿宋" w:hAnsi="仿宋" w:eastAsia="仿宋" w:cs="仿宋"/>
                <w:color w:val="auto"/>
                <w:szCs w:val="21"/>
                <w:highlight w:val="none"/>
                <w:lang w:eastAsia="zh-CN"/>
              </w:rPr>
            </w:pPr>
          </w:p>
        </w:tc>
      </w:tr>
      <w:tr w14:paraId="52D02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14:paraId="0F5EF8BB">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right w:val="single" w:color="auto" w:sz="4" w:space="0"/>
            </w:tcBorders>
            <w:vAlign w:val="center"/>
          </w:tcPr>
          <w:p w14:paraId="3B9CFB79">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6378" w:type="dxa"/>
            <w:tcBorders>
              <w:top w:val="single" w:color="auto" w:sz="4" w:space="0"/>
              <w:left w:val="single" w:color="auto" w:sz="4" w:space="0"/>
              <w:right w:val="single" w:color="auto" w:sz="4" w:space="0"/>
            </w:tcBorders>
            <w:vAlign w:val="center"/>
          </w:tcPr>
          <w:p w14:paraId="0670F068">
            <w:pPr>
              <w:widowControl/>
              <w:spacing w:line="240" w:lineRule="auto"/>
              <w:textAlignment w:val="center"/>
              <w:rPr>
                <w:rFonts w:ascii="仿宋" w:hAnsi="仿宋" w:eastAsia="仿宋" w:cs="仿宋"/>
                <w:color w:val="auto"/>
                <w:highlight w:val="none"/>
              </w:rPr>
            </w:pPr>
            <w:r>
              <w:rPr>
                <w:rFonts w:hint="eastAsia" w:ascii="仿宋" w:hAnsi="仿宋" w:eastAsia="仿宋" w:cs="仿宋"/>
                <w:color w:val="auto"/>
                <w:highlight w:val="none"/>
              </w:rPr>
              <w:t>只有一个方案投标。</w:t>
            </w:r>
          </w:p>
        </w:tc>
        <w:tc>
          <w:tcPr>
            <w:tcW w:w="749" w:type="dxa"/>
            <w:tcBorders>
              <w:left w:val="single" w:color="auto" w:sz="4" w:space="0"/>
            </w:tcBorders>
          </w:tcPr>
          <w:p w14:paraId="0F06E361">
            <w:pPr>
              <w:spacing w:line="240" w:lineRule="auto"/>
              <w:rPr>
                <w:rFonts w:ascii="仿宋" w:hAnsi="仿宋" w:eastAsia="仿宋" w:cs="仿宋"/>
                <w:color w:val="auto"/>
                <w:szCs w:val="21"/>
                <w:highlight w:val="none"/>
              </w:rPr>
            </w:pPr>
          </w:p>
        </w:tc>
        <w:tc>
          <w:tcPr>
            <w:tcW w:w="617" w:type="dxa"/>
            <w:tcBorders>
              <w:right w:val="single" w:color="auto" w:sz="4" w:space="0"/>
            </w:tcBorders>
          </w:tcPr>
          <w:p w14:paraId="662879C4">
            <w:pPr>
              <w:spacing w:line="240" w:lineRule="auto"/>
              <w:rPr>
                <w:rFonts w:ascii="仿宋" w:hAnsi="仿宋" w:eastAsia="仿宋" w:cs="仿宋"/>
                <w:color w:val="auto"/>
                <w:szCs w:val="21"/>
                <w:highlight w:val="none"/>
              </w:rPr>
            </w:pPr>
          </w:p>
        </w:tc>
      </w:tr>
      <w:tr w14:paraId="3B7D1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14:paraId="55819FC2">
            <w:pPr>
              <w:spacing w:line="240" w:lineRule="auto"/>
              <w:rPr>
                <w:rFonts w:ascii="仿宋" w:hAnsi="仿宋" w:eastAsia="仿宋" w:cs="仿宋"/>
                <w:color w:val="auto"/>
                <w:highlight w:val="none"/>
              </w:rPr>
            </w:pPr>
          </w:p>
        </w:tc>
        <w:tc>
          <w:tcPr>
            <w:tcW w:w="597" w:type="dxa"/>
            <w:tcBorders>
              <w:left w:val="single" w:color="auto" w:sz="4" w:space="0"/>
            </w:tcBorders>
            <w:vAlign w:val="center"/>
          </w:tcPr>
          <w:p w14:paraId="052688E2">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lang w:eastAsia="zh-CN"/>
              </w:rPr>
              <w:t>4</w:t>
            </w:r>
          </w:p>
        </w:tc>
        <w:tc>
          <w:tcPr>
            <w:tcW w:w="6378" w:type="dxa"/>
            <w:tcBorders>
              <w:right w:val="single" w:color="auto" w:sz="4" w:space="0"/>
            </w:tcBorders>
            <w:vAlign w:val="center"/>
          </w:tcPr>
          <w:p w14:paraId="7E4DBAC7">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响应文件内容齐全、无遗漏。</w:t>
            </w:r>
          </w:p>
        </w:tc>
        <w:tc>
          <w:tcPr>
            <w:tcW w:w="749" w:type="dxa"/>
            <w:tcBorders>
              <w:left w:val="single" w:color="auto" w:sz="4" w:space="0"/>
            </w:tcBorders>
          </w:tcPr>
          <w:p w14:paraId="5148689A">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6F747DA4">
            <w:pPr>
              <w:spacing w:line="240" w:lineRule="auto"/>
              <w:rPr>
                <w:rFonts w:ascii="仿宋" w:hAnsi="仿宋" w:eastAsia="仿宋" w:cs="仿宋"/>
                <w:color w:val="auto"/>
                <w:szCs w:val="21"/>
                <w:highlight w:val="none"/>
                <w:lang w:eastAsia="zh-CN"/>
              </w:rPr>
            </w:pPr>
          </w:p>
        </w:tc>
      </w:tr>
      <w:tr w14:paraId="76C2C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14:paraId="791B22D6">
            <w:pPr>
              <w:spacing w:line="240" w:lineRule="auto"/>
              <w:rPr>
                <w:rFonts w:ascii="仿宋" w:hAnsi="仿宋" w:eastAsia="仿宋" w:cs="仿宋"/>
                <w:color w:val="auto"/>
                <w:highlight w:val="none"/>
                <w:lang w:eastAsia="zh-CN"/>
              </w:rPr>
            </w:pPr>
          </w:p>
        </w:tc>
        <w:tc>
          <w:tcPr>
            <w:tcW w:w="597" w:type="dxa"/>
            <w:tcBorders>
              <w:left w:val="single" w:color="auto" w:sz="4" w:space="0"/>
              <w:bottom w:val="single" w:color="auto" w:sz="4" w:space="0"/>
            </w:tcBorders>
            <w:vAlign w:val="center"/>
          </w:tcPr>
          <w:p w14:paraId="7DF13DAE">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6378" w:type="dxa"/>
            <w:tcBorders>
              <w:bottom w:val="single" w:color="auto" w:sz="4" w:space="0"/>
              <w:right w:val="single" w:color="auto" w:sz="4" w:space="0"/>
            </w:tcBorders>
            <w:vAlign w:val="center"/>
          </w:tcPr>
          <w:p w14:paraId="381FC1B3">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对谈判文件规定的招标内容全部作出响应。</w:t>
            </w:r>
          </w:p>
        </w:tc>
        <w:tc>
          <w:tcPr>
            <w:tcW w:w="749" w:type="dxa"/>
            <w:tcBorders>
              <w:left w:val="single" w:color="auto" w:sz="4" w:space="0"/>
              <w:bottom w:val="single" w:color="auto" w:sz="4" w:space="0"/>
            </w:tcBorders>
          </w:tcPr>
          <w:p w14:paraId="28A9D917">
            <w:pPr>
              <w:spacing w:line="240" w:lineRule="auto"/>
              <w:rPr>
                <w:rFonts w:ascii="仿宋" w:hAnsi="仿宋" w:eastAsia="仿宋" w:cs="仿宋"/>
                <w:color w:val="auto"/>
                <w:szCs w:val="21"/>
                <w:highlight w:val="none"/>
                <w:lang w:eastAsia="zh-CN"/>
              </w:rPr>
            </w:pPr>
          </w:p>
        </w:tc>
        <w:tc>
          <w:tcPr>
            <w:tcW w:w="617" w:type="dxa"/>
            <w:tcBorders>
              <w:bottom w:val="single" w:color="auto" w:sz="4" w:space="0"/>
              <w:right w:val="single" w:color="auto" w:sz="4" w:space="0"/>
            </w:tcBorders>
          </w:tcPr>
          <w:p w14:paraId="00FAA96C">
            <w:pPr>
              <w:spacing w:line="240" w:lineRule="auto"/>
              <w:rPr>
                <w:rFonts w:ascii="仿宋" w:hAnsi="仿宋" w:eastAsia="仿宋" w:cs="仿宋"/>
                <w:color w:val="auto"/>
                <w:szCs w:val="21"/>
                <w:highlight w:val="none"/>
                <w:lang w:eastAsia="zh-CN"/>
              </w:rPr>
            </w:pPr>
          </w:p>
        </w:tc>
      </w:tr>
      <w:tr w14:paraId="1E675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14:paraId="77A2CADB">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6B7B8D3A">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6378" w:type="dxa"/>
            <w:tcBorders>
              <w:top w:val="single" w:color="auto" w:sz="4" w:space="0"/>
              <w:left w:val="single" w:color="auto" w:sz="4" w:space="0"/>
              <w:bottom w:val="single" w:color="auto" w:sz="4" w:space="0"/>
              <w:right w:val="single" w:color="auto" w:sz="4" w:space="0"/>
            </w:tcBorders>
            <w:vAlign w:val="center"/>
          </w:tcPr>
          <w:p w14:paraId="413303FA">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满足谈判文件提出的技术和质量要求。</w:t>
            </w:r>
          </w:p>
        </w:tc>
        <w:tc>
          <w:tcPr>
            <w:tcW w:w="749" w:type="dxa"/>
            <w:tcBorders>
              <w:top w:val="single" w:color="auto" w:sz="4" w:space="0"/>
              <w:left w:val="single" w:color="auto" w:sz="4" w:space="0"/>
              <w:bottom w:val="single" w:color="auto" w:sz="4" w:space="0"/>
              <w:right w:val="single" w:color="auto" w:sz="4" w:space="0"/>
            </w:tcBorders>
          </w:tcPr>
          <w:p w14:paraId="0E7CC821">
            <w:pPr>
              <w:spacing w:line="240" w:lineRule="auto"/>
              <w:rPr>
                <w:rFonts w:ascii="仿宋" w:hAnsi="仿宋" w:eastAsia="仿宋" w:cs="仿宋"/>
                <w:color w:val="auto"/>
                <w:szCs w:val="21"/>
                <w:highlight w:val="none"/>
                <w:lang w:eastAsia="zh-CN"/>
              </w:rPr>
            </w:pPr>
          </w:p>
        </w:tc>
        <w:tc>
          <w:tcPr>
            <w:tcW w:w="617" w:type="dxa"/>
            <w:tcBorders>
              <w:top w:val="single" w:color="auto" w:sz="4" w:space="0"/>
              <w:left w:val="single" w:color="auto" w:sz="4" w:space="0"/>
              <w:bottom w:val="single" w:color="auto" w:sz="4" w:space="0"/>
              <w:right w:val="single" w:color="auto" w:sz="4" w:space="0"/>
            </w:tcBorders>
          </w:tcPr>
          <w:p w14:paraId="29D6C21C">
            <w:pPr>
              <w:spacing w:line="240" w:lineRule="auto"/>
              <w:rPr>
                <w:rFonts w:ascii="仿宋" w:hAnsi="仿宋" w:eastAsia="仿宋" w:cs="仿宋"/>
                <w:color w:val="auto"/>
                <w:szCs w:val="21"/>
                <w:highlight w:val="none"/>
                <w:lang w:eastAsia="zh-CN"/>
              </w:rPr>
            </w:pPr>
          </w:p>
        </w:tc>
      </w:tr>
      <w:tr w14:paraId="35C7E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14:paraId="7FF6519C">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tcBorders>
            <w:vAlign w:val="center"/>
          </w:tcPr>
          <w:p w14:paraId="68520DA2">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6378" w:type="dxa"/>
            <w:tcBorders>
              <w:top w:val="single" w:color="auto" w:sz="4" w:space="0"/>
              <w:right w:val="single" w:color="auto" w:sz="4" w:space="0"/>
            </w:tcBorders>
            <w:vAlign w:val="center"/>
          </w:tcPr>
          <w:p w14:paraId="408A6A9A">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完成期限满足谈判文件要求。</w:t>
            </w:r>
          </w:p>
        </w:tc>
        <w:tc>
          <w:tcPr>
            <w:tcW w:w="749" w:type="dxa"/>
            <w:tcBorders>
              <w:top w:val="single" w:color="auto" w:sz="4" w:space="0"/>
              <w:left w:val="single" w:color="auto" w:sz="4" w:space="0"/>
            </w:tcBorders>
          </w:tcPr>
          <w:p w14:paraId="46602C60">
            <w:pPr>
              <w:spacing w:line="240" w:lineRule="auto"/>
              <w:rPr>
                <w:rFonts w:ascii="仿宋" w:hAnsi="仿宋" w:eastAsia="仿宋" w:cs="仿宋"/>
                <w:color w:val="auto"/>
                <w:szCs w:val="21"/>
                <w:highlight w:val="none"/>
                <w:lang w:eastAsia="zh-CN"/>
              </w:rPr>
            </w:pPr>
          </w:p>
        </w:tc>
        <w:tc>
          <w:tcPr>
            <w:tcW w:w="617" w:type="dxa"/>
            <w:tcBorders>
              <w:top w:val="single" w:color="auto" w:sz="4" w:space="0"/>
              <w:right w:val="single" w:color="auto" w:sz="4" w:space="0"/>
            </w:tcBorders>
          </w:tcPr>
          <w:p w14:paraId="58284B47">
            <w:pPr>
              <w:spacing w:line="240" w:lineRule="auto"/>
              <w:rPr>
                <w:rFonts w:ascii="仿宋" w:hAnsi="仿宋" w:eastAsia="仿宋" w:cs="仿宋"/>
                <w:color w:val="auto"/>
                <w:szCs w:val="21"/>
                <w:highlight w:val="none"/>
                <w:lang w:eastAsia="zh-CN"/>
              </w:rPr>
            </w:pPr>
          </w:p>
        </w:tc>
      </w:tr>
      <w:tr w14:paraId="34BB5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14:paraId="229422BF">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2397ACE8">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6378" w:type="dxa"/>
            <w:tcBorders>
              <w:right w:val="single" w:color="auto" w:sz="4" w:space="0"/>
            </w:tcBorders>
            <w:vAlign w:val="center"/>
          </w:tcPr>
          <w:p w14:paraId="03753243">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售后服务满足谈判文件要求。</w:t>
            </w:r>
          </w:p>
        </w:tc>
        <w:tc>
          <w:tcPr>
            <w:tcW w:w="749" w:type="dxa"/>
            <w:tcBorders>
              <w:left w:val="single" w:color="auto" w:sz="4" w:space="0"/>
            </w:tcBorders>
          </w:tcPr>
          <w:p w14:paraId="15B34EBA">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5E352BE5">
            <w:pPr>
              <w:spacing w:line="240" w:lineRule="auto"/>
              <w:rPr>
                <w:rFonts w:ascii="仿宋" w:hAnsi="仿宋" w:eastAsia="仿宋" w:cs="仿宋"/>
                <w:color w:val="auto"/>
                <w:szCs w:val="21"/>
                <w:highlight w:val="none"/>
                <w:lang w:eastAsia="zh-CN"/>
              </w:rPr>
            </w:pPr>
          </w:p>
        </w:tc>
      </w:tr>
      <w:tr w14:paraId="765010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14:paraId="6C56A18B">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7A1F2E72">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9</w:t>
            </w:r>
          </w:p>
        </w:tc>
        <w:tc>
          <w:tcPr>
            <w:tcW w:w="6378" w:type="dxa"/>
            <w:tcBorders>
              <w:right w:val="single" w:color="auto" w:sz="4" w:space="0"/>
            </w:tcBorders>
            <w:vAlign w:val="center"/>
          </w:tcPr>
          <w:p w14:paraId="5B85BC37">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投标有效期满足谈判文件要求。</w:t>
            </w:r>
          </w:p>
        </w:tc>
        <w:tc>
          <w:tcPr>
            <w:tcW w:w="749" w:type="dxa"/>
            <w:tcBorders>
              <w:left w:val="single" w:color="auto" w:sz="4" w:space="0"/>
            </w:tcBorders>
          </w:tcPr>
          <w:p w14:paraId="37BB51C5">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47771044">
            <w:pPr>
              <w:spacing w:line="240" w:lineRule="auto"/>
              <w:rPr>
                <w:rFonts w:ascii="仿宋" w:hAnsi="仿宋" w:eastAsia="仿宋" w:cs="仿宋"/>
                <w:color w:val="auto"/>
                <w:szCs w:val="21"/>
                <w:highlight w:val="none"/>
                <w:lang w:eastAsia="zh-CN"/>
              </w:rPr>
            </w:pPr>
          </w:p>
        </w:tc>
      </w:tr>
      <w:tr w14:paraId="068C5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14:paraId="5E9AB584">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0F697F14">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10</w:t>
            </w:r>
          </w:p>
        </w:tc>
        <w:tc>
          <w:tcPr>
            <w:tcW w:w="6378" w:type="dxa"/>
            <w:tcBorders>
              <w:right w:val="single" w:color="auto" w:sz="4" w:space="0"/>
            </w:tcBorders>
            <w:vAlign w:val="center"/>
          </w:tcPr>
          <w:p w14:paraId="4902D8D6">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供应商详细地址、联系人、电话。</w:t>
            </w:r>
          </w:p>
        </w:tc>
        <w:tc>
          <w:tcPr>
            <w:tcW w:w="749" w:type="dxa"/>
            <w:tcBorders>
              <w:left w:val="single" w:color="auto" w:sz="4" w:space="0"/>
            </w:tcBorders>
          </w:tcPr>
          <w:p w14:paraId="0FE45E73">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02D7598D">
            <w:pPr>
              <w:spacing w:line="240" w:lineRule="auto"/>
              <w:rPr>
                <w:rFonts w:ascii="仿宋" w:hAnsi="仿宋" w:eastAsia="仿宋" w:cs="仿宋"/>
                <w:color w:val="auto"/>
                <w:szCs w:val="21"/>
                <w:highlight w:val="none"/>
                <w:lang w:eastAsia="zh-CN"/>
              </w:rPr>
            </w:pPr>
          </w:p>
        </w:tc>
      </w:tr>
      <w:tr w14:paraId="46E83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14:paraId="7614CD42">
            <w:pPr>
              <w:spacing w:line="240" w:lineRule="auto"/>
              <w:jc w:val="center"/>
              <w:rPr>
                <w:rFonts w:ascii="仿宋" w:hAnsi="仿宋" w:eastAsia="仿宋" w:cs="仿宋"/>
                <w:color w:val="auto"/>
                <w:szCs w:val="21"/>
                <w:highlight w:val="none"/>
                <w:lang w:eastAsia="zh-CN"/>
              </w:rPr>
            </w:pPr>
          </w:p>
        </w:tc>
        <w:tc>
          <w:tcPr>
            <w:tcW w:w="6975" w:type="dxa"/>
            <w:gridSpan w:val="2"/>
            <w:tcBorders>
              <w:left w:val="single" w:color="auto" w:sz="4" w:space="0"/>
              <w:bottom w:val="single" w:color="auto" w:sz="4" w:space="0"/>
              <w:right w:val="single" w:color="auto" w:sz="4" w:space="0"/>
            </w:tcBorders>
          </w:tcPr>
          <w:p w14:paraId="133922C1">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65B9C2D4">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64D35A66">
            <w:pPr>
              <w:spacing w:line="240" w:lineRule="auto"/>
              <w:rPr>
                <w:rFonts w:ascii="仿宋" w:hAnsi="仿宋" w:eastAsia="仿宋" w:cs="仿宋"/>
                <w:color w:val="auto"/>
                <w:szCs w:val="21"/>
                <w:highlight w:val="none"/>
                <w:lang w:eastAsia="zh-CN"/>
              </w:rPr>
            </w:pPr>
          </w:p>
        </w:tc>
      </w:tr>
    </w:tbl>
    <w:p w14:paraId="7462F29A">
      <w:pPr>
        <w:numPr>
          <w:ilvl w:val="0"/>
          <w:numId w:val="0"/>
        </w:numPr>
        <w:spacing w:line="400" w:lineRule="exact"/>
        <w:ind w:firstLine="490" w:firstLineChars="200"/>
        <w:rPr>
          <w:rFonts w:hint="eastAsia" w:ascii="仿宋" w:hAnsi="仿宋" w:eastAsia="仿宋" w:cs="仿宋"/>
          <w:color w:val="auto"/>
          <w:sz w:val="24"/>
          <w:szCs w:val="24"/>
          <w:lang w:val="en-US" w:eastAsia="zh-CN"/>
        </w:rPr>
      </w:pPr>
    </w:p>
    <w:p w14:paraId="7A828C74">
      <w:pPr>
        <w:numPr>
          <w:ilvl w:val="0"/>
          <w:numId w:val="0"/>
        </w:num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评委会判定</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的响应性只根据</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本身的内容，而不寻求外部的证</w:t>
      </w:r>
    </w:p>
    <w:p w14:paraId="29773295">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据，但投标有不真实不正确的内容时除外。</w:t>
      </w:r>
    </w:p>
    <w:p w14:paraId="44BD07D4">
      <w:pPr>
        <w:spacing w:line="400" w:lineRule="exact"/>
        <w:ind w:left="490" w:leftChars="200"/>
        <w:rPr>
          <w:rFonts w:ascii="仿宋" w:hAnsi="仿宋" w:eastAsia="仿宋" w:cs="仿宋"/>
          <w:color w:val="auto"/>
          <w:sz w:val="24"/>
          <w:szCs w:val="24"/>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如果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实质上没有响应</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的要求，评委会将予以拒绝，投标人不得通过修正或撤销不符合要求的偏离或保留，而使其投标成为实质上响应的投标。</w:t>
      </w:r>
    </w:p>
    <w:p w14:paraId="3570FF75">
      <w:p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rPr>
        <w:t>投标人可在现场20分钟内对评标委员会的评审结论提出异议，评标委员会根据</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及有关规定对投标人的异议进行复议</w:t>
      </w:r>
    </w:p>
    <w:p w14:paraId="51E87DCA">
      <w:p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只有通过初审的投标人才能进入下一步评标程序。</w:t>
      </w:r>
    </w:p>
    <w:p w14:paraId="100A1E30">
      <w:pPr>
        <w:spacing w:line="400" w:lineRule="exact"/>
        <w:ind w:firstLine="490" w:firstLineChars="200"/>
        <w:rPr>
          <w:rFonts w:ascii="仿宋" w:hAnsi="仿宋" w:eastAsia="仿宋" w:cs="仿宋"/>
          <w:color w:val="auto"/>
          <w:sz w:val="24"/>
          <w:szCs w:val="24"/>
        </w:rPr>
      </w:pPr>
      <w:r>
        <w:rPr>
          <w:rFonts w:hint="eastAsia" w:ascii="仿宋" w:hAnsi="仿宋" w:eastAsia="仿宋" w:cs="仿宋"/>
          <w:b/>
          <w:color w:val="auto"/>
          <w:sz w:val="24"/>
          <w:szCs w:val="24"/>
        </w:rPr>
        <w:t>温馨提示：</w:t>
      </w:r>
      <w:r>
        <w:rPr>
          <w:rFonts w:hint="eastAsia" w:ascii="仿宋" w:hAnsi="仿宋" w:eastAsia="仿宋" w:cs="仿宋"/>
          <w:b/>
          <w:color w:val="auto"/>
          <w:sz w:val="24"/>
          <w:szCs w:val="24"/>
          <w:lang w:eastAsia="zh-CN"/>
        </w:rPr>
        <w:t>响应文件</w:t>
      </w:r>
      <w:r>
        <w:rPr>
          <w:rFonts w:hint="eastAsia" w:ascii="仿宋" w:hAnsi="仿宋" w:eastAsia="仿宋" w:cs="仿宋"/>
          <w:b/>
          <w:color w:val="auto"/>
          <w:sz w:val="24"/>
          <w:szCs w:val="24"/>
        </w:rPr>
        <w:t>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6E71D34C">
      <w:pPr>
        <w:spacing w:beforeLines="50" w:line="400" w:lineRule="exact"/>
        <w:jc w:val="center"/>
        <w:outlineLvl w:val="1"/>
        <w:rPr>
          <w:rFonts w:ascii="仿宋" w:hAnsi="仿宋" w:eastAsia="仿宋" w:cs="仿宋"/>
          <w:b/>
          <w:color w:val="auto"/>
          <w:sz w:val="24"/>
          <w:szCs w:val="24"/>
        </w:rPr>
      </w:pPr>
      <w:r>
        <w:rPr>
          <w:rFonts w:hint="eastAsia" w:ascii="仿宋" w:hAnsi="仿宋" w:eastAsia="仿宋" w:cs="仿宋"/>
          <w:b/>
          <w:color w:val="auto"/>
          <w:sz w:val="24"/>
          <w:szCs w:val="24"/>
          <w:lang w:eastAsia="zh-CN"/>
        </w:rPr>
        <w:t>（二）响应文件</w:t>
      </w:r>
      <w:r>
        <w:rPr>
          <w:rFonts w:hint="eastAsia" w:ascii="仿宋" w:hAnsi="仿宋" w:eastAsia="仿宋" w:cs="仿宋"/>
          <w:b/>
          <w:color w:val="auto"/>
          <w:sz w:val="24"/>
          <w:szCs w:val="24"/>
        </w:rPr>
        <w:t>的澄清和补正</w:t>
      </w:r>
    </w:p>
    <w:p w14:paraId="1C58525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5、澄清、说明或补正的形式</w:t>
      </w:r>
    </w:p>
    <w:p w14:paraId="765B922F">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对于响应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6A18F74E">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投标供应商的澄清、说明或者补正应当通过“政府采购云平台”在线答复的方式提交，并加盖公章（电子印章），或者由法定代表人（负责人）或其授权的代表签章。投标供应商的澄清、说明或者补正不得超出响应文件的范围或者改变响应文件的实质性内容，不接受投标供应商主动对响应文件的澄清、说明或者补正。</w:t>
      </w:r>
    </w:p>
    <w:p w14:paraId="05217C57">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8、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519F75A">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9．错误修正的原则</w:t>
      </w:r>
    </w:p>
    <w:p w14:paraId="788B37D9">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电子交易平台客户端里开标一览表录入的投标报价或优惠率与扫描上传的报价文件信息不一致的，以扫描上传的报价文件信息为准进行修正。</w:t>
      </w:r>
    </w:p>
    <w:p w14:paraId="500C08AE">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响应文件报价出现前后不一致的，除谈判文件 另有规定外，按照下列规定修正：</w:t>
      </w:r>
    </w:p>
    <w:p w14:paraId="74145391">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10、投标函中表述的内容与报价表中不一致的，以报价表为准；报价表中的内容与报价明细表不一致的，以报价表为准；</w:t>
      </w:r>
    </w:p>
    <w:p w14:paraId="48B26DC4">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11、响应文件中的大写金额和小写金额不一致的，以大写金额为准；</w:t>
      </w:r>
    </w:p>
    <w:p w14:paraId="0A8BEF10">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12、单价金额小数点或者百分比有明显错位的，以开标一览表的总价为准，并修改单价；</w:t>
      </w:r>
    </w:p>
    <w:p w14:paraId="67852469">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13、总价金额与按单价汇总金额不一致的，以单价金额计算结果为准；</w:t>
      </w:r>
    </w:p>
    <w:p w14:paraId="4EFA583A">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14、若用文字表示的数值与用数字表示的数值不一致，以文字表示的数值为准；</w:t>
      </w:r>
    </w:p>
    <w:p w14:paraId="5D5D35C2">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15、如有多报（指数量超出谈判文件 需求）、重报（指同一货物重复报价），其投标总价在评标过程中不予调整，如其中标，其合同价按其投标单价予以调整；</w:t>
      </w:r>
    </w:p>
    <w:p w14:paraId="1A952C26">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16、对不同文字文本响应文件的解释发生异议的，以中文文本为准；</w:t>
      </w:r>
    </w:p>
    <w:p w14:paraId="1D9A7D3D">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修正应当采用电子询标的形式，并加盖公章（电子印章）。</w:t>
      </w:r>
    </w:p>
    <w:p w14:paraId="714D89B9">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17、供应商需要注意的其它事项：</w:t>
      </w:r>
    </w:p>
    <w:p w14:paraId="02B6B45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 供应商必须由法定代表人或其委托全权代理人参加竞争性谈判，法定代表人委托代理人参加竞争性谈判必须保证在开标期间，随时通过政府采购云平台接受谈判小组的询问，并予以解答问题。</w:t>
      </w:r>
    </w:p>
    <w:p w14:paraId="40D8100A">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2、供应商应遵守有关法律、法规，不得采取不正当的竞争手段，否则，其后果由供应商自负。</w:t>
      </w:r>
    </w:p>
    <w:p w14:paraId="63D2157F">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3、在谈判会直至宣布结果之前，供应商不得向谈判评审专家询问谈判情况，不得进行旨在影响成交结果的活动，否则，其竞争性谈判无效并追究相应责任。</w:t>
      </w:r>
    </w:p>
    <w:p w14:paraId="6EB4B7FB">
      <w:pPr>
        <w:spacing w:line="440" w:lineRule="exact"/>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4、本谈判文件的未尽事项，按现行的有关法律、法规及规章执行</w:t>
      </w:r>
    </w:p>
    <w:p w14:paraId="0E6D1AED">
      <w:pPr>
        <w:pStyle w:val="23"/>
        <w:rPr>
          <w:color w:val="auto"/>
          <w:sz w:val="24"/>
          <w:szCs w:val="24"/>
        </w:rPr>
      </w:pPr>
    </w:p>
    <w:p w14:paraId="6725931E">
      <w:pPr>
        <w:pStyle w:val="3"/>
        <w:rPr>
          <w:rFonts w:ascii="仿宋" w:hAnsi="仿宋" w:eastAsia="仿宋" w:cs="仿宋"/>
          <w:color w:val="auto"/>
          <w:sz w:val="28"/>
          <w:szCs w:val="28"/>
        </w:rPr>
      </w:pPr>
      <w:r>
        <w:rPr>
          <w:rFonts w:hint="eastAsia" w:ascii="仿宋" w:hAnsi="仿宋" w:eastAsia="仿宋" w:cs="仿宋"/>
          <w:color w:val="auto"/>
          <w:sz w:val="28"/>
          <w:szCs w:val="28"/>
        </w:rPr>
        <w:t>八、成交及合同签订</w:t>
      </w:r>
    </w:p>
    <w:p w14:paraId="5496CBB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二十七</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成交</w:t>
      </w:r>
      <w:r>
        <w:rPr>
          <w:rFonts w:hint="eastAsia" w:ascii="仿宋" w:hAnsi="仿宋" w:eastAsia="仿宋" w:cs="仿宋"/>
          <w:b/>
          <w:bCs/>
          <w:color w:val="auto"/>
          <w:sz w:val="24"/>
          <w:szCs w:val="24"/>
        </w:rPr>
        <w:t>供应商</w:t>
      </w:r>
    </w:p>
    <w:p w14:paraId="5E6DD196">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对各供应商满足</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实质性响应【</w:t>
      </w:r>
      <w:r>
        <w:rPr>
          <w:rFonts w:hint="eastAsia" w:ascii="仿宋" w:hAnsi="仿宋" w:eastAsia="仿宋" w:cs="仿宋"/>
          <w:b/>
          <w:color w:val="auto"/>
          <w:sz w:val="24"/>
          <w:szCs w:val="24"/>
        </w:rPr>
        <w:t>所谓实质性响应，是指响应文件应与</w:t>
      </w:r>
      <w:r>
        <w:rPr>
          <w:rFonts w:hint="eastAsia" w:ascii="仿宋" w:hAnsi="仿宋" w:eastAsia="仿宋" w:cs="仿宋"/>
          <w:b/>
          <w:bCs/>
          <w:color w:val="auto"/>
          <w:sz w:val="24"/>
          <w:szCs w:val="24"/>
          <w:lang w:eastAsia="zh-CN"/>
        </w:rPr>
        <w:t>谈判文件</w:t>
      </w:r>
      <w:r>
        <w:rPr>
          <w:rFonts w:hint="eastAsia" w:ascii="仿宋" w:hAnsi="仿宋" w:eastAsia="仿宋" w:cs="仿宋"/>
          <w:b/>
          <w:color w:val="auto"/>
          <w:sz w:val="24"/>
          <w:szCs w:val="24"/>
        </w:rPr>
        <w:t>的所有实质性条款、条件和要求相符，无显著差异或保留（由</w:t>
      </w:r>
      <w:r>
        <w:rPr>
          <w:rFonts w:hint="eastAsia" w:ascii="仿宋" w:hAnsi="仿宋" w:eastAsia="仿宋" w:cs="仿宋"/>
          <w:b/>
          <w:color w:val="auto"/>
          <w:sz w:val="24"/>
          <w:szCs w:val="24"/>
          <w:lang w:eastAsia="zh-CN"/>
        </w:rPr>
        <w:t>谈判小组</w:t>
      </w:r>
      <w:r>
        <w:rPr>
          <w:rFonts w:hint="eastAsia" w:ascii="仿宋" w:hAnsi="仿宋" w:eastAsia="仿宋" w:cs="仿宋"/>
          <w:b/>
          <w:color w:val="auto"/>
          <w:sz w:val="24"/>
          <w:szCs w:val="24"/>
        </w:rPr>
        <w:t>确定）、质量和服务相等且</w:t>
      </w:r>
      <w:r>
        <w:rPr>
          <w:rFonts w:hint="eastAsia" w:ascii="仿宋" w:hAnsi="仿宋" w:eastAsia="仿宋" w:cs="仿宋"/>
          <w:b/>
          <w:color w:val="auto"/>
          <w:sz w:val="24"/>
          <w:szCs w:val="24"/>
          <w:lang w:eastAsia="zh-CN"/>
        </w:rPr>
        <w:t>报价</w:t>
      </w:r>
      <w:r>
        <w:rPr>
          <w:rFonts w:hint="eastAsia" w:ascii="仿宋" w:hAnsi="仿宋" w:eastAsia="仿宋" w:cs="仿宋"/>
          <w:b/>
          <w:color w:val="auto"/>
          <w:sz w:val="24"/>
          <w:szCs w:val="24"/>
        </w:rPr>
        <w:t>最</w:t>
      </w:r>
      <w:r>
        <w:rPr>
          <w:rFonts w:hint="eastAsia" w:ascii="仿宋" w:hAnsi="仿宋" w:eastAsia="仿宋" w:cs="仿宋"/>
          <w:b/>
          <w:color w:val="auto"/>
          <w:sz w:val="24"/>
          <w:szCs w:val="24"/>
          <w:lang w:eastAsia="zh-CN"/>
        </w:rPr>
        <w:t>低</w:t>
      </w:r>
      <w:r>
        <w:rPr>
          <w:rFonts w:hint="eastAsia" w:ascii="仿宋" w:hAnsi="仿宋" w:eastAsia="仿宋" w:cs="仿宋"/>
          <w:b/>
          <w:color w:val="auto"/>
          <w:sz w:val="24"/>
          <w:szCs w:val="24"/>
        </w:rPr>
        <w:t>的原则确定成交候选供应商</w:t>
      </w:r>
      <w:r>
        <w:rPr>
          <w:rFonts w:hint="eastAsia" w:ascii="仿宋" w:hAnsi="仿宋" w:eastAsia="仿宋" w:cs="仿宋"/>
          <w:b/>
          <w:color w:val="auto"/>
          <w:sz w:val="24"/>
          <w:szCs w:val="24"/>
          <w:lang w:eastAsia="zh-CN"/>
        </w:rPr>
        <w:t>。</w:t>
      </w:r>
      <w:r>
        <w:rPr>
          <w:rFonts w:hint="eastAsia" w:ascii="仿宋" w:hAnsi="仿宋" w:eastAsia="仿宋" w:cs="仿宋"/>
          <w:color w:val="auto"/>
          <w:sz w:val="24"/>
          <w:szCs w:val="24"/>
        </w:rPr>
        <w:t>】</w:t>
      </w:r>
    </w:p>
    <w:p w14:paraId="74D149BB">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采购人根据</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的评审报告，将排名</w:t>
      </w:r>
      <w:r>
        <w:rPr>
          <w:rFonts w:hint="eastAsia" w:ascii="仿宋" w:hAnsi="仿宋" w:eastAsia="仿宋" w:cs="仿宋"/>
          <w:color w:val="auto"/>
          <w:sz w:val="24"/>
          <w:szCs w:val="24"/>
          <w:lang w:eastAsia="zh-CN"/>
        </w:rPr>
        <w:t>第</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的成交候选人纳为</w:t>
      </w:r>
      <w:r>
        <w:rPr>
          <w:rFonts w:hint="eastAsia" w:ascii="仿宋" w:hAnsi="仿宋" w:eastAsia="仿宋" w:cs="仿宋"/>
          <w:color w:val="auto"/>
          <w:sz w:val="24"/>
          <w:szCs w:val="24"/>
          <w:lang w:eastAsia="zh-CN"/>
        </w:rPr>
        <w:t>阿图什市某单位信息化设备采购项目</w:t>
      </w:r>
      <w:r>
        <w:rPr>
          <w:rFonts w:hint="eastAsia" w:ascii="仿宋" w:hAnsi="仿宋" w:eastAsia="仿宋" w:cs="仿宋"/>
          <w:color w:val="auto"/>
          <w:sz w:val="24"/>
          <w:szCs w:val="24"/>
        </w:rPr>
        <w:t>指定</w:t>
      </w:r>
      <w:r>
        <w:rPr>
          <w:rFonts w:hint="eastAsia" w:ascii="仿宋" w:hAnsi="仿宋" w:eastAsia="仿宋" w:cs="仿宋"/>
          <w:color w:val="auto"/>
          <w:sz w:val="24"/>
          <w:szCs w:val="24"/>
          <w:lang w:eastAsia="zh-CN"/>
        </w:rPr>
        <w:t>供应商。</w:t>
      </w:r>
    </w:p>
    <w:p w14:paraId="6EFCE6E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二十八</w:t>
      </w:r>
      <w:r>
        <w:rPr>
          <w:rFonts w:hint="eastAsia" w:ascii="仿宋" w:hAnsi="仿宋" w:eastAsia="仿宋" w:cs="仿宋"/>
          <w:b/>
          <w:bCs/>
          <w:color w:val="auto"/>
          <w:sz w:val="24"/>
          <w:szCs w:val="24"/>
        </w:rPr>
        <w:t>）资格条件</w:t>
      </w:r>
    </w:p>
    <w:p w14:paraId="314C3EBB">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采购人将在签订合同前对成交候选供应商是否能圆满地履行合同进行审查。审查包括成交候选供应商响应文件中提供的所有资格证明材料原件，成交候选供应商响应文件及补充承诺中涉及的其他相关资料原件，以及对本项目实施可能存在风险的其他因素。</w:t>
      </w:r>
    </w:p>
    <w:p w14:paraId="4947D523">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2、采购人若发现成交候选供应商在投标过程中提供虚假证明文件，故意隐瞒不良信誉和财务状况，以及存在可能对合同圆满履行造成风险的其他因素等，则按规定取消其成交资格，监管部门依法进行处理。</w:t>
      </w:r>
    </w:p>
    <w:p w14:paraId="7AB17175">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3、如果成交候选供应商被确认为不具备执行合同的能力，采购人将考虑按同样的程序审查下一个成交候选供应商。</w:t>
      </w:r>
    </w:p>
    <w:p w14:paraId="028F624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二十九</w:t>
      </w:r>
      <w:r>
        <w:rPr>
          <w:rFonts w:hint="eastAsia" w:ascii="仿宋" w:hAnsi="仿宋" w:eastAsia="仿宋" w:cs="仿宋"/>
          <w:b/>
          <w:bCs/>
          <w:color w:val="auto"/>
          <w:sz w:val="24"/>
          <w:szCs w:val="24"/>
        </w:rPr>
        <w:t>）成交通知书</w:t>
      </w:r>
    </w:p>
    <w:p w14:paraId="6392D3D0">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1、定标后，经采购人同意，采购代理机构应当向</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发出成交通知书。</w:t>
      </w:r>
    </w:p>
    <w:p w14:paraId="5BD80470">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应及时到采购代理机构领取成交通知书，成交通知书是签订合同的依据和组成部分。</w:t>
      </w:r>
    </w:p>
    <w:p w14:paraId="0D5ECECF">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（三十）签订合同</w:t>
      </w:r>
    </w:p>
    <w:p w14:paraId="53D29AD7">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在自成交通知书发出之日起30日内，依据《中华人民共和国民法典》和有关法规及</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、响应文件与采购人签订合同。</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供应商的响应文件及服务承诺文件以及评标过程中有关澄清文件均作为合同附件，合同经采购人审核盖章后实施。</w:t>
      </w:r>
    </w:p>
    <w:p w14:paraId="59EADC29">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未能按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要求与采购单位签订采购合同，逾期将视为自动放弃中标资格，采购人将顺延下一中标候选人为</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，依次类推或依法重新进行采购。</w:t>
      </w:r>
    </w:p>
    <w:p w14:paraId="462A4AF2">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采购人若发现中标候</w:t>
      </w:r>
      <w:bookmarkStart w:id="36" w:name="_bookmark10"/>
      <w:bookmarkEnd w:id="36"/>
      <w:r>
        <w:rPr>
          <w:rFonts w:hint="eastAsia" w:ascii="仿宋" w:hAnsi="仿宋" w:eastAsia="仿宋" w:cs="仿宋"/>
          <w:color w:val="auto"/>
          <w:sz w:val="24"/>
          <w:szCs w:val="24"/>
        </w:rPr>
        <w:t>选供应商在竞标过程中提供虚假证明文件，故意隐瞒不良信誉和财务状况，以及存在可能对合同圆满履行造成风险的其他因素等，则按规定取消其中标资格，监管部门依法进行处理。</w:t>
      </w:r>
    </w:p>
    <w:p w14:paraId="5C4A52C4">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如果中标候选供应商被确认为不具备执行合同的能力，采购人将考虑按同样的程序审查下一个中标候选供应商或依法重新招标。</w:t>
      </w:r>
    </w:p>
    <w:p w14:paraId="2B757CC8">
      <w:pPr>
        <w:snapToGrid w:val="0"/>
        <w:spacing w:line="360" w:lineRule="auto"/>
        <w:ind w:firstLine="490"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（三十</w:t>
      </w:r>
      <w:r>
        <w:rPr>
          <w:rFonts w:hint="eastAsia" w:ascii="仿宋" w:hAnsi="仿宋" w:eastAsia="仿宋" w:cs="仿宋"/>
          <w:b/>
          <w:bCs/>
          <w:color w:val="auto"/>
          <w:sz w:val="24"/>
          <w:szCs w:val="24"/>
          <w:lang w:eastAsia="zh-CN"/>
        </w:rPr>
        <w:t>一</w:t>
      </w:r>
      <w:r>
        <w:rPr>
          <w:rFonts w:hint="eastAsia" w:ascii="仿宋" w:hAnsi="仿宋" w:eastAsia="仿宋" w:cs="仿宋"/>
          <w:b/>
          <w:bCs/>
          <w:color w:val="auto"/>
          <w:sz w:val="24"/>
          <w:szCs w:val="24"/>
        </w:rPr>
        <w:t>）中标服务费</w:t>
      </w:r>
    </w:p>
    <w:p w14:paraId="1F8F39F6">
      <w:pPr>
        <w:keepNext w:val="0"/>
        <w:keepLines w:val="0"/>
        <w:pageBreakBefore w:val="0"/>
        <w:widowControl w:val="0"/>
        <w:kinsoku/>
        <w:wordWrap/>
        <w:overflowPunct/>
        <w:topLinePunct w:val="0"/>
        <w:autoSpaceDE/>
        <w:autoSpaceDN/>
        <w:bidi w:val="0"/>
        <w:spacing w:line="336" w:lineRule="auto"/>
        <w:ind w:firstLine="490" w:firstLineChars="200"/>
        <w:textAlignment w:val="auto"/>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由</w:t>
      </w:r>
      <w:r>
        <w:rPr>
          <w:rFonts w:hint="eastAsia" w:ascii="仿宋" w:hAnsi="仿宋" w:eastAsia="仿宋" w:cs="仿宋"/>
          <w:b w:val="0"/>
          <w:bCs w:val="0"/>
          <w:color w:val="auto"/>
          <w:sz w:val="24"/>
          <w:szCs w:val="24"/>
          <w:lang w:eastAsia="zh-CN"/>
        </w:rPr>
        <w:t>成交</w:t>
      </w:r>
      <w:r>
        <w:rPr>
          <w:rFonts w:hint="eastAsia" w:ascii="仿宋" w:hAnsi="仿宋" w:eastAsia="仿宋" w:cs="仿宋"/>
          <w:b w:val="0"/>
          <w:bCs w:val="0"/>
          <w:color w:val="auto"/>
          <w:sz w:val="24"/>
          <w:szCs w:val="24"/>
        </w:rPr>
        <w:t>供应商向招标代理机构支付，详见前附表。</w:t>
      </w:r>
    </w:p>
    <w:p w14:paraId="35556FBE">
      <w:pPr>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4"/>
          <w:szCs w:val="24"/>
        </w:rPr>
      </w:pPr>
    </w:p>
    <w:p w14:paraId="4BBC6FCC">
      <w:pPr>
        <w:pStyle w:val="3"/>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8"/>
          <w:szCs w:val="28"/>
        </w:rPr>
      </w:pPr>
      <w:r>
        <w:rPr>
          <w:rFonts w:hint="eastAsia" w:ascii="仿宋" w:hAnsi="仿宋" w:eastAsia="仿宋" w:cs="仿宋"/>
          <w:color w:val="auto"/>
          <w:sz w:val="28"/>
          <w:szCs w:val="28"/>
          <w:lang w:eastAsia="zh-CN"/>
        </w:rPr>
        <w:t>九</w:t>
      </w:r>
      <w:r>
        <w:rPr>
          <w:rFonts w:hint="eastAsia" w:ascii="仿宋" w:hAnsi="仿宋" w:eastAsia="仿宋" w:cs="仿宋"/>
          <w:color w:val="auto"/>
          <w:sz w:val="28"/>
          <w:szCs w:val="28"/>
        </w:rPr>
        <w:t>、法律责任</w:t>
      </w:r>
    </w:p>
    <w:p w14:paraId="36923CF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供应商有下列情形之一的，处以采购项目采购金额千分之五以上千分之十以下的罚款，列入不良行为记录名单，在一至三年内禁止参加</w:t>
      </w:r>
      <w:r>
        <w:rPr>
          <w:rFonts w:hint="eastAsia" w:ascii="仿宋" w:hAnsi="仿宋" w:eastAsia="仿宋" w:cs="仿宋"/>
          <w:color w:val="auto"/>
          <w:sz w:val="24"/>
          <w:szCs w:val="24"/>
          <w:lang w:eastAsia="zh-CN"/>
        </w:rPr>
        <w:t>政府</w:t>
      </w:r>
      <w:r>
        <w:rPr>
          <w:rFonts w:hint="eastAsia" w:ascii="仿宋" w:hAnsi="仿宋" w:eastAsia="仿宋" w:cs="仿宋"/>
          <w:color w:val="auto"/>
          <w:sz w:val="24"/>
          <w:szCs w:val="24"/>
        </w:rPr>
        <w:t>采购活动，并予以公告，有违法所得的，并处没收违法所得，情节严重的，由行政管理机关吊销营业执照；构成犯罪的，依法追究刑事责任：</w:t>
      </w:r>
    </w:p>
    <w:p w14:paraId="11A596D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1、提供虚假材料谋取中标的；</w:t>
      </w:r>
    </w:p>
    <w:p w14:paraId="0FBD853A">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2、采取不正当手段诋毁、排挤其他供应商的；</w:t>
      </w:r>
    </w:p>
    <w:p w14:paraId="4499014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3、与采购人、其他供应商或采购代理机构恶意串通的；</w:t>
      </w:r>
    </w:p>
    <w:p w14:paraId="50207E94">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4、向采购人、采购代理机构行贿或者提供其他不正当利益的；</w:t>
      </w:r>
    </w:p>
    <w:p w14:paraId="69B5EE5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5、在招标过程中与招标采购单位进行协商谈判、不按照</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和</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的响应文件订立合同，或者与采购人另行订立背离合同实质性内容的协议的；</w:t>
      </w:r>
    </w:p>
    <w:p w14:paraId="6000712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6、拒绝有关部门监督检查或者提供虚假情况的。供应商有前款情形之一的，中标无效。</w:t>
      </w:r>
    </w:p>
    <w:p w14:paraId="23200CE4">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有下列情形之一的，情节严重的，由财政部门将其列入不良行为记录名单，在一至三年内禁止参加</w:t>
      </w:r>
      <w:r>
        <w:rPr>
          <w:rFonts w:hint="eastAsia" w:ascii="仿宋" w:hAnsi="仿宋" w:eastAsia="仿宋" w:cs="仿宋"/>
          <w:color w:val="auto"/>
          <w:sz w:val="24"/>
          <w:szCs w:val="24"/>
          <w:lang w:eastAsia="zh-CN"/>
        </w:rPr>
        <w:t>政府</w:t>
      </w:r>
      <w:r>
        <w:rPr>
          <w:rFonts w:hint="eastAsia" w:ascii="仿宋" w:hAnsi="仿宋" w:eastAsia="仿宋" w:cs="仿宋"/>
          <w:color w:val="auto"/>
          <w:sz w:val="24"/>
          <w:szCs w:val="24"/>
        </w:rPr>
        <w:t>采购活动，并予以通报：</w:t>
      </w:r>
    </w:p>
    <w:p w14:paraId="337B162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1、中标后无正当理由不与采购人签订合同，或者与采购人另行订立背离合同实质性内容的协议的；</w:t>
      </w:r>
    </w:p>
    <w:p w14:paraId="0D3B62F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2、将中标项目转让给他人，或者在响应文件中未说明，且未经采购人同意，将中标项目分包给他人的；</w:t>
      </w:r>
    </w:p>
    <w:p w14:paraId="64ED1F4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3、拒绝履行合同义务的。</w:t>
      </w:r>
    </w:p>
    <w:p w14:paraId="6CB1F6D2">
      <w:pPr>
        <w:snapToGrid w:val="0"/>
        <w:spacing w:line="360" w:lineRule="auto"/>
        <w:ind w:firstLine="490" w:firstLineChars="200"/>
        <w:outlineLvl w:val="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有前款情形之一的，中标无效。</w:t>
      </w:r>
    </w:p>
    <w:p w14:paraId="34B147DD">
      <w:pPr>
        <w:snapToGrid w:val="0"/>
        <w:spacing w:line="360" w:lineRule="auto"/>
        <w:ind w:firstLine="49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按照以上条款规定，经同级或其上级财政部门认定中标无效的，可按中标候选顺序重新确定，或重新进行采购。</w:t>
      </w:r>
      <w:bookmarkStart w:id="37" w:name="_Toc497129227"/>
    </w:p>
    <w:p w14:paraId="78CD3292">
      <w:pPr>
        <w:pStyle w:val="3"/>
        <w:keepNext w:val="0"/>
        <w:keepLines w:val="0"/>
        <w:pageBreakBefore w:val="0"/>
        <w:widowControl w:val="0"/>
        <w:kinsoku/>
        <w:wordWrap/>
        <w:overflowPunct/>
        <w:topLinePunct w:val="0"/>
        <w:autoSpaceDE/>
        <w:autoSpaceDN/>
        <w:bidi w:val="0"/>
        <w:spacing w:line="336" w:lineRule="auto"/>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质疑与投诉</w:t>
      </w:r>
    </w:p>
    <w:p w14:paraId="00305343">
      <w:pPr>
        <w:spacing w:line="36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．质疑和投诉</w:t>
      </w:r>
    </w:p>
    <w:p w14:paraId="6E5F17F7">
      <w:pPr>
        <w:spacing w:line="36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14AC8FEE">
      <w:pPr>
        <w:spacing w:line="36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（一）对可以质疑的采购文件提出质疑的，为收到采购文件之日或者采购文件公告期限届满之日；</w:t>
      </w:r>
    </w:p>
    <w:p w14:paraId="47FDDC05">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（二）对采购过程提出质疑的，为各采购程序环节结束之日；</w:t>
      </w:r>
    </w:p>
    <w:p w14:paraId="3A6D30DB">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（三）对中标或者成交结果提出质疑的，为中标或者成交结果公告期限届满之日。</w:t>
      </w:r>
    </w:p>
    <w:p w14:paraId="2203A793">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17C6BBBB">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供应商为自然人的，应当由本人签章；供应商为法人或者其他组织的，应当由法定代表人、主要负责人，或者其授权代表签章或者盖章，并加盖公章。</w:t>
      </w:r>
    </w:p>
    <w:p w14:paraId="31133CE0">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.3供应商质疑、投诉应当有明确的请求和必要的证明材料。供应商投诉的事项不得超出已质疑事项的范围。采购人及采购代理机构按《政府采购质疑和投诉办法》进行处理供应商质疑事项。</w:t>
      </w:r>
    </w:p>
    <w:p w14:paraId="19F5F73C">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.4质疑供应商对采购人、采购代理机构的质疑答复不满意，或者采购人、采购代理机构未在规定期限内作出答复的，供应商可以在答复期满后15个工作日内向同级财政部门提起投诉。</w:t>
      </w:r>
    </w:p>
    <w:p w14:paraId="76F95282">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.5供应商有下列情形之一的，采购代理机构将报告阿图什市财政局，将其列入不良行为记录名单：</w:t>
      </w:r>
    </w:p>
    <w:p w14:paraId="57C5DA7D">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（一）一年内三次以上质疑均查无实据的；</w:t>
      </w:r>
    </w:p>
    <w:p w14:paraId="64BF9DD6">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（二）捏造事实或者提供虚假质疑材料的。</w:t>
      </w:r>
    </w:p>
    <w:p w14:paraId="1D6C7C08">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（三）以非法手段取得证明材料。证据来源的合法性存在明显疑问，质疑人无法证明其取得方式合法的，视为以非法手段取得证明材料。</w:t>
      </w:r>
    </w:p>
    <w:p w14:paraId="47FE41D8">
      <w:pPr>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br w:type="page"/>
      </w:r>
    </w:p>
    <w:p w14:paraId="0A04298C">
      <w:pP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附件：</w:t>
      </w:r>
    </w:p>
    <w:p w14:paraId="7F081A72">
      <w:pPr>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32"/>
          <w:szCs w:val="32"/>
          <w:highlight w:val="none"/>
          <w:lang w:eastAsia="zh-CN"/>
        </w:rPr>
        <w:t>政府采购投诉书（范本）、质疑函范本</w:t>
      </w:r>
    </w:p>
    <w:p w14:paraId="1370E611">
      <w:pPr>
        <w:spacing w:line="400" w:lineRule="exact"/>
        <w:jc w:val="center"/>
        <w:rPr>
          <w:rFonts w:ascii="仿宋" w:hAnsi="仿宋" w:eastAsia="仿宋" w:cs="仿宋"/>
          <w:color w:val="auto"/>
          <w:highlight w:val="none"/>
          <w:u w:val="single"/>
          <w:lang w:eastAsia="zh-CN"/>
        </w:rPr>
      </w:pPr>
      <w:r>
        <w:rPr>
          <w:rFonts w:hint="eastAsia" w:ascii="仿宋" w:hAnsi="仿宋" w:eastAsia="仿宋" w:cs="仿宋"/>
          <w:b/>
          <w:bCs/>
          <w:color w:val="auto"/>
          <w:sz w:val="28"/>
          <w:szCs w:val="28"/>
          <w:highlight w:val="none"/>
          <w:lang w:eastAsia="zh-CN"/>
        </w:rPr>
        <w:t>政府采购投诉书（范本）</w:t>
      </w:r>
    </w:p>
    <w:p w14:paraId="58019548">
      <w:pPr>
        <w:spacing w:line="400" w:lineRule="exact"/>
        <w:rPr>
          <w:rFonts w:ascii="仿宋" w:hAnsi="仿宋" w:eastAsia="仿宋" w:cs="仿宋"/>
          <w:color w:val="auto"/>
          <w:highlight w:val="none"/>
          <w:lang w:eastAsia="zh-CN"/>
        </w:rPr>
      </w:pPr>
    </w:p>
    <w:p w14:paraId="07235F6E">
      <w:pPr>
        <w:spacing w:line="400" w:lineRule="exact"/>
        <w:ind w:firstLine="49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p>
    <w:p w14:paraId="6DEDFA4F">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4FC39819">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委托代理人姓名：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7F72CB59">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住址：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联系电话：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011A08EE">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被投诉人：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p>
    <w:p w14:paraId="11822652">
      <w:pPr>
        <w:spacing w:line="400" w:lineRule="exact"/>
        <w:ind w:firstLine="490" w:firstLineChars="200"/>
        <w:rPr>
          <w:rFonts w:hint="default" w:ascii="仿宋" w:hAnsi="仿宋" w:eastAsia="仿宋" w:cs="仿宋"/>
          <w:color w:val="auto"/>
          <w:highlight w:val="none"/>
          <w:u w:val="single"/>
          <w:lang w:val="en-US"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p>
    <w:p w14:paraId="7A132C80">
      <w:pPr>
        <w:spacing w:line="400" w:lineRule="exact"/>
        <w:ind w:firstLine="490" w:firstLineChars="200"/>
        <w:rPr>
          <w:rFonts w:ascii="仿宋" w:hAnsi="仿宋" w:eastAsia="仿宋" w:cs="仿宋"/>
          <w:color w:val="auto"/>
          <w:highlight w:val="none"/>
          <w:lang w:eastAsia="zh-CN"/>
        </w:rPr>
      </w:pPr>
    </w:p>
    <w:p w14:paraId="3038F7E6">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我公司参加了</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年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日被投诉人组织的</w:t>
      </w:r>
      <w:r>
        <w:rPr>
          <w:rFonts w:hint="eastAsia" w:ascii="仿宋" w:hAnsi="仿宋" w:eastAsia="仿宋" w:cs="仿宋"/>
          <w:color w:val="auto"/>
          <w:highlight w:val="none"/>
          <w:u w:val="single"/>
          <w:lang w:eastAsia="zh-CN"/>
        </w:rPr>
        <w:t>（采购人）（项目名称）（项目编号）</w:t>
      </w:r>
      <w:r>
        <w:rPr>
          <w:rFonts w:hint="eastAsia" w:ascii="仿宋" w:hAnsi="仿宋" w:eastAsia="仿宋" w:cs="仿宋"/>
          <w:color w:val="auto"/>
          <w:highlight w:val="none"/>
          <w:lang w:eastAsia="zh-CN"/>
        </w:rPr>
        <w:t>的采购活动，我公司认为该项目的</w:t>
      </w:r>
      <w:r>
        <w:rPr>
          <w:rFonts w:hint="eastAsia" w:ascii="仿宋" w:hAnsi="仿宋" w:eastAsia="仿宋" w:cs="仿宋"/>
          <w:color w:val="auto"/>
          <w:highlight w:val="none"/>
          <w:u w:val="single"/>
          <w:lang w:eastAsia="zh-CN"/>
        </w:rPr>
        <w:t>（采购文件/采购过程/中标（中标）结果）</w:t>
      </w:r>
      <w:r>
        <w:rPr>
          <w:rFonts w:hint="eastAsia" w:ascii="仿宋" w:hAnsi="仿宋" w:eastAsia="仿宋" w:cs="仿宋"/>
          <w:color w:val="auto"/>
          <w:highlight w:val="none"/>
          <w:lang w:eastAsia="zh-CN"/>
        </w:rPr>
        <w:t>损害了我公司权益，对此，我公司于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日向</w:t>
      </w:r>
      <w:r>
        <w:rPr>
          <w:rFonts w:hint="eastAsia" w:ascii="仿宋" w:hAnsi="仿宋" w:eastAsia="仿宋" w:cs="仿宋"/>
          <w:color w:val="auto"/>
          <w:highlight w:val="none"/>
          <w:u w:val="single"/>
          <w:lang w:eastAsia="zh-CN"/>
        </w:rPr>
        <w:t>（采购人或者政府采购代理机构）</w:t>
      </w:r>
      <w:r>
        <w:rPr>
          <w:rFonts w:hint="eastAsia" w:ascii="仿宋" w:hAnsi="仿宋" w:eastAsia="仿宋" w:cs="仿宋"/>
          <w:color w:val="auto"/>
          <w:highlight w:val="none"/>
          <w:lang w:eastAsia="zh-CN"/>
        </w:rPr>
        <w:t>提出了质疑，</w:t>
      </w:r>
      <w:r>
        <w:rPr>
          <w:rFonts w:hint="eastAsia" w:ascii="仿宋" w:hAnsi="仿宋" w:eastAsia="仿宋" w:cs="仿宋"/>
          <w:color w:val="auto"/>
          <w:highlight w:val="none"/>
          <w:u w:val="single"/>
          <w:lang w:eastAsia="zh-CN"/>
        </w:rPr>
        <w:t>（其于    年  月  日作出书面答复，因对其作出的答复不满意）/（被质疑人未在法定期内予以答复，按照政府采购有关规定）</w:t>
      </w:r>
      <w:r>
        <w:rPr>
          <w:rFonts w:hint="eastAsia" w:ascii="仿宋" w:hAnsi="仿宋" w:eastAsia="仿宋" w:cs="仿宋"/>
          <w:color w:val="auto"/>
          <w:highlight w:val="none"/>
          <w:lang w:eastAsia="zh-CN"/>
        </w:rPr>
        <w:t>，现向贵机关提起投诉：</w:t>
      </w:r>
    </w:p>
    <w:p w14:paraId="7D34E7FF">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u w:val="single"/>
          <w:lang w:eastAsia="zh-CN"/>
        </w:rPr>
        <w:t>具体的投诉事项及事实依据；</w:t>
      </w:r>
    </w:p>
    <w:p w14:paraId="0C783211">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r>
        <w:rPr>
          <w:rFonts w:hint="eastAsia" w:ascii="仿宋" w:hAnsi="仿宋" w:eastAsia="仿宋" w:cs="仿宋"/>
          <w:color w:val="auto"/>
          <w:highlight w:val="none"/>
          <w:u w:val="single"/>
          <w:lang w:eastAsia="zh-CN"/>
        </w:rPr>
        <w:t>质疑和质疑答复情况简要描述；</w:t>
      </w:r>
    </w:p>
    <w:p w14:paraId="32088876">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u w:val="single"/>
          <w:lang w:eastAsia="zh-CN"/>
        </w:rPr>
        <w:t>投诉请求。</w:t>
      </w:r>
    </w:p>
    <w:p w14:paraId="118E44BF">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附件：</w:t>
      </w:r>
    </w:p>
    <w:p w14:paraId="790251AD">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1.质疑书和质疑答复书；</w:t>
      </w:r>
    </w:p>
    <w:p w14:paraId="6684EB6B">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2.证据材料（需注明证据来源），证人的姓名、住址和联系方式等；</w:t>
      </w:r>
    </w:p>
    <w:p w14:paraId="2C3136AC">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3.营业执照；</w:t>
      </w:r>
    </w:p>
    <w:p w14:paraId="775A9229">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4.法定代表人身份证明函</w:t>
      </w:r>
    </w:p>
    <w:p w14:paraId="3E44A859">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5.法定代表人授权委托书（包含法定代表人和委托代理人的身份证复印件）；</w:t>
      </w:r>
    </w:p>
    <w:p w14:paraId="784AE0B5">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6.政府采购监管部门认为应当提供的其它材料。</w:t>
      </w:r>
    </w:p>
    <w:p w14:paraId="3BAD00D3">
      <w:pPr>
        <w:spacing w:line="400" w:lineRule="exact"/>
        <w:jc w:val="center"/>
        <w:rPr>
          <w:rFonts w:ascii="仿宋" w:hAnsi="仿宋" w:eastAsia="仿宋" w:cs="仿宋"/>
          <w:color w:val="auto"/>
          <w:highlight w:val="none"/>
          <w:lang w:eastAsia="zh-CN"/>
        </w:rPr>
      </w:pPr>
    </w:p>
    <w:p w14:paraId="0BD552E0">
      <w:pPr>
        <w:spacing w:line="400" w:lineRule="exact"/>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投诉供应商：（盖章）</w:t>
      </w:r>
    </w:p>
    <w:p w14:paraId="50F0AC67">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法定代表人（或主要负责人）：（签章）</w:t>
      </w:r>
    </w:p>
    <w:p w14:paraId="0F4A96D7">
      <w:pPr>
        <w:spacing w:line="400" w:lineRule="exact"/>
        <w:ind w:firstLine="3920" w:firstLineChars="16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7229067F">
      <w:pPr>
        <w:spacing w:line="400" w:lineRule="exact"/>
        <w:rPr>
          <w:rFonts w:ascii="仿宋" w:hAnsi="仿宋" w:eastAsia="仿宋" w:cs="仿宋"/>
          <w:color w:val="auto"/>
          <w:highlight w:val="none"/>
          <w:lang w:eastAsia="zh-CN"/>
        </w:rPr>
      </w:pPr>
    </w:p>
    <w:p w14:paraId="002CB7D0">
      <w:pPr>
        <w:spacing w:line="400" w:lineRule="exact"/>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本投诉书正本叁份，副本</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份并附电子文档。</w:t>
      </w:r>
    </w:p>
    <w:p w14:paraId="1DFF95D7">
      <w:pPr>
        <w:ind w:left="5783" w:hanging="5850" w:hangingChars="1800"/>
        <w:jc w:val="center"/>
        <w:outlineLvl w:val="0"/>
        <w:rPr>
          <w:rFonts w:hint="eastAsia" w:ascii="仿宋" w:hAnsi="仿宋" w:eastAsia="仿宋" w:cs="仿宋"/>
          <w:b/>
          <w:bCs/>
          <w:color w:val="auto"/>
          <w:sz w:val="32"/>
          <w:szCs w:val="32"/>
          <w:highlight w:val="none"/>
          <w:lang w:eastAsia="zh-CN"/>
        </w:rPr>
      </w:pPr>
      <w:bookmarkStart w:id="38" w:name="_Toc17515"/>
    </w:p>
    <w:p w14:paraId="63AC31D3">
      <w:pPr>
        <w:ind w:left="5783" w:hanging="5850" w:hangingChars="1800"/>
        <w:jc w:val="center"/>
        <w:outlineLvl w:val="0"/>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投诉相关说明</w:t>
      </w:r>
      <w:bookmarkEnd w:id="38"/>
    </w:p>
    <w:p w14:paraId="36FB0B5F">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投诉人应当满足《政府采购法》、《政府采购法实施条例》和《政府采购供应商投诉处理办法》的相关规定。</w:t>
      </w:r>
    </w:p>
    <w:p w14:paraId="3FF2C2CA">
      <w:pPr>
        <w:numPr>
          <w:ilvl w:val="0"/>
          <w:numId w:val="4"/>
        </w:numPr>
        <w:spacing w:line="400" w:lineRule="exact"/>
        <w:ind w:left="4664" w:leftChars="304" w:hanging="3920" w:hangingChars="1600"/>
        <w:outlineLvl w:val="0"/>
        <w:rPr>
          <w:rFonts w:ascii="仿宋" w:hAnsi="仿宋" w:eastAsia="仿宋" w:cs="仿宋"/>
          <w:b/>
          <w:bCs/>
          <w:color w:val="auto"/>
          <w:sz w:val="24"/>
          <w:szCs w:val="24"/>
          <w:highlight w:val="none"/>
        </w:rPr>
      </w:pPr>
      <w:bookmarkStart w:id="39" w:name="_Toc11499"/>
      <w:r>
        <w:rPr>
          <w:rFonts w:hint="eastAsia" w:ascii="仿宋" w:hAnsi="仿宋" w:eastAsia="仿宋" w:cs="仿宋"/>
          <w:b/>
          <w:bCs/>
          <w:color w:val="auto"/>
          <w:sz w:val="24"/>
          <w:szCs w:val="24"/>
          <w:highlight w:val="none"/>
        </w:rPr>
        <w:t>质疑前置及时间要求</w:t>
      </w:r>
      <w:bookmarkEnd w:id="39"/>
    </w:p>
    <w:p w14:paraId="4CAEDB1E">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lang w:eastAsia="zh-CN"/>
        </w:rPr>
        <w:t>《中华人民共和国政府采购法》</w:t>
      </w:r>
      <w:r>
        <w:rPr>
          <w:rFonts w:hint="eastAsia" w:ascii="仿宋" w:hAnsi="仿宋" w:eastAsia="仿宋" w:cs="仿宋"/>
          <w:color w:val="auto"/>
          <w:highlight w:val="none"/>
          <w:shd w:val="clear" w:color="auto" w:fill="FFFFFF"/>
          <w:lang w:eastAsia="zh-CN"/>
        </w:rPr>
        <w:t>第五十一条：供应商对政府采购活动事项有疑问的，可以向采购人提出询问，采购人应当及时作出答复，但答复的内容不得涉及商业秘密。</w:t>
      </w:r>
    </w:p>
    <w:p w14:paraId="568DB62D">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14:paraId="3313D1DF">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0BE84FBD">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3269A101">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《政府采购实施条例》第五十五条：供应商质疑、投诉应当有明确的请求和必要的证明材料。供应商投诉的事项不得超出质疑事项的范围。</w:t>
      </w:r>
    </w:p>
    <w:p w14:paraId="72B9856F">
      <w:pPr>
        <w:spacing w:line="400" w:lineRule="exact"/>
        <w:ind w:left="3780" w:hanging="3870" w:hangingChars="1800"/>
        <w:outlineLvl w:val="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b/>
          <w:bCs/>
          <w:color w:val="auto"/>
          <w:sz w:val="21"/>
          <w:szCs w:val="21"/>
          <w:highlight w:val="none"/>
          <w:lang w:eastAsia="zh-CN"/>
        </w:rPr>
        <w:t xml:space="preserve">   </w:t>
      </w:r>
      <w:bookmarkStart w:id="40" w:name="_Toc13508"/>
      <w:r>
        <w:rPr>
          <w:rFonts w:hint="eastAsia" w:ascii="仿宋" w:hAnsi="仿宋" w:eastAsia="仿宋" w:cs="仿宋"/>
          <w:b/>
          <w:bCs/>
          <w:color w:val="auto"/>
          <w:sz w:val="21"/>
          <w:szCs w:val="21"/>
          <w:highlight w:val="none"/>
          <w:lang w:eastAsia="zh-CN"/>
        </w:rPr>
        <w:t>二、书面方式</w:t>
      </w:r>
      <w:bookmarkEnd w:id="40"/>
    </w:p>
    <w:p w14:paraId="04E64C07">
      <w:pPr>
        <w:spacing w:line="400" w:lineRule="exact"/>
        <w:ind w:left="3780" w:hanging="3870" w:hangingChars="1800"/>
        <w:rPr>
          <w:rFonts w:ascii="仿宋" w:hAnsi="仿宋" w:eastAsia="仿宋" w:cs="仿宋"/>
          <w:color w:val="auto"/>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highlight w:val="none"/>
          <w:lang w:eastAsia="zh-CN"/>
        </w:rPr>
        <w:t>政府采购供应商投诉处理办法》第八条：投诉人投诉</w:t>
      </w:r>
    </w:p>
    <w:p w14:paraId="0DE136F1">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时，应当提交投诉书，并按照被投诉人以及与投诉事项有关的供应商数量提供投诉书的副本。</w:t>
      </w:r>
    </w:p>
    <w:p w14:paraId="54434EFF">
      <w:pPr>
        <w:spacing w:line="400" w:lineRule="exact"/>
        <w:ind w:left="4320" w:hanging="441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投诉书应当包括下列主要内容：</w:t>
      </w:r>
    </w:p>
    <w:p w14:paraId="4C8A0ABF">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投诉人和被投诉人的名称、地址、电话等；</w:t>
      </w:r>
    </w:p>
    <w:p w14:paraId="5F624F53">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具体的投诉事项及事实依据；</w:t>
      </w:r>
    </w:p>
    <w:p w14:paraId="7EDA26A2">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质疑和质疑答复情况及相关证明材料；</w:t>
      </w:r>
    </w:p>
    <w:p w14:paraId="739F3CDA">
      <w:pPr>
        <w:numPr>
          <w:ilvl w:val="0"/>
          <w:numId w:val="5"/>
        </w:numPr>
        <w:spacing w:line="400" w:lineRule="exact"/>
        <w:rPr>
          <w:rFonts w:ascii="仿宋" w:hAnsi="仿宋" w:eastAsia="仿宋" w:cs="仿宋"/>
          <w:color w:val="auto"/>
          <w:highlight w:val="none"/>
        </w:rPr>
      </w:pPr>
      <w:r>
        <w:rPr>
          <w:rFonts w:hint="eastAsia" w:ascii="仿宋" w:hAnsi="仿宋" w:eastAsia="仿宋" w:cs="仿宋"/>
          <w:color w:val="auto"/>
          <w:highlight w:val="none"/>
        </w:rPr>
        <w:t>提起投诉的日期。</w:t>
      </w:r>
    </w:p>
    <w:p w14:paraId="7E5F4820">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投诉书应当署名。投诉人为自然人，应当由本人签章；投诉人为法人或者其他组织的，应当由法定代表人或者主要负责人签章并加盖公章。</w:t>
      </w:r>
    </w:p>
    <w:p w14:paraId="50E1E74F">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14AFD3C4">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《政府采购供应商投诉处理办法》第十条：投诉人提起投诉应当符合下列条件：</w:t>
      </w:r>
    </w:p>
    <w:p w14:paraId="4ECD3C70">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投诉人是参与所投诉政府采购活动的供应商；</w:t>
      </w:r>
    </w:p>
    <w:p w14:paraId="34603C89">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提起投诉诉前已依法进行质疑；</w:t>
      </w:r>
    </w:p>
    <w:p w14:paraId="53C56003">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投诉书内容符合本办法的规定；</w:t>
      </w:r>
    </w:p>
    <w:p w14:paraId="39220B50">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在投诉有效期内提起投诉；</w:t>
      </w:r>
    </w:p>
    <w:p w14:paraId="2D960997">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属于本级财政部门管辖；</w:t>
      </w:r>
    </w:p>
    <w:p w14:paraId="14D66A83">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同一投诉事项未经财政部门投诉处理；</w:t>
      </w:r>
    </w:p>
    <w:p w14:paraId="479F6472">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国务院财政部门规定的其他条件。</w:t>
      </w:r>
    </w:p>
    <w:p w14:paraId="575DDB4F">
      <w:pPr>
        <w:spacing w:line="400" w:lineRule="exact"/>
        <w:ind w:left="4320" w:hanging="441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63F5672A">
      <w:pPr>
        <w:outlineLvl w:val="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b/>
          <w:bCs/>
          <w:color w:val="auto"/>
          <w:highlight w:val="none"/>
          <w:lang w:eastAsia="zh-CN"/>
        </w:rPr>
        <w:t xml:space="preserve">   </w:t>
      </w:r>
      <w:bookmarkStart w:id="41" w:name="_Toc5978"/>
      <w:r>
        <w:rPr>
          <w:rFonts w:hint="eastAsia" w:ascii="仿宋" w:hAnsi="仿宋" w:eastAsia="仿宋" w:cs="仿宋"/>
          <w:b/>
          <w:bCs/>
          <w:color w:val="auto"/>
          <w:highlight w:val="none"/>
          <w:lang w:eastAsia="zh-CN"/>
        </w:rPr>
        <w:t>三、虚假、恶意投诉法律责任</w:t>
      </w:r>
      <w:bookmarkEnd w:id="41"/>
    </w:p>
    <w:p w14:paraId="221BCD3C">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第七十三条：供应商捏造实施、提供虚假材料或者以非法手段取得证明材料进行投诉的，由财政部门列入不良行为记录名单，禁止其1至3年内参加政府采购活动。</w:t>
      </w:r>
    </w:p>
    <w:p w14:paraId="31A3A093">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《政府采购供应商投诉处理办法》第二十六条：投诉人有下列情形之一的，属于虚假、恶意投诉，财政部门应当驳回投诉，将其列入不良行为记录名单，并依法予以处罚：</w:t>
      </w:r>
    </w:p>
    <w:p w14:paraId="16E08915">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（一）1年内3次以上投诉均查无实据的；</w:t>
      </w:r>
    </w:p>
    <w:p w14:paraId="624F69AB">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（二）捏造事实或者提供虚假投诉材料的。</w:t>
      </w:r>
    </w:p>
    <w:p w14:paraId="5180C31D">
      <w:pPr>
        <w:spacing w:line="400" w:lineRule="exact"/>
        <w:rPr>
          <w:rFonts w:ascii="仿宋" w:hAnsi="仿宋" w:eastAsia="仿宋" w:cs="仿宋"/>
          <w:color w:val="auto"/>
          <w:sz w:val="21"/>
          <w:szCs w:val="21"/>
          <w:highlight w:val="none"/>
          <w:lang w:eastAsia="zh-CN"/>
        </w:rPr>
      </w:pPr>
    </w:p>
    <w:p w14:paraId="158D4E04">
      <w:pPr>
        <w:spacing w:line="400" w:lineRule="exact"/>
        <w:rPr>
          <w:rFonts w:ascii="仿宋" w:hAnsi="仿宋" w:eastAsia="仿宋" w:cs="仿宋"/>
          <w:color w:val="auto"/>
          <w:sz w:val="21"/>
          <w:szCs w:val="21"/>
          <w:highlight w:val="none"/>
          <w:lang w:eastAsia="zh-CN"/>
        </w:rPr>
      </w:pPr>
    </w:p>
    <w:p w14:paraId="399BCE63">
      <w:pPr>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递交投诉书地址：阿图什市政府采购办监管办公室</w:t>
      </w:r>
    </w:p>
    <w:p w14:paraId="5709735E">
      <w:pPr>
        <w:jc w:val="right"/>
        <w:rPr>
          <w:rFonts w:ascii="仿宋" w:hAnsi="仿宋" w:eastAsia="仿宋" w:cs="仿宋"/>
          <w:color w:val="auto"/>
          <w:sz w:val="32"/>
          <w:szCs w:val="32"/>
          <w:highlight w:val="none"/>
          <w:lang w:eastAsia="zh-CN"/>
        </w:rPr>
      </w:pPr>
    </w:p>
    <w:p w14:paraId="19B5537C">
      <w:pPr>
        <w:spacing w:line="540" w:lineRule="exact"/>
        <w:jc w:val="center"/>
        <w:rPr>
          <w:rFonts w:ascii="仿宋" w:hAnsi="仿宋" w:eastAsia="仿宋" w:cs="仿宋"/>
          <w:b/>
          <w:bCs/>
          <w:color w:val="auto"/>
          <w:sz w:val="44"/>
          <w:szCs w:val="44"/>
          <w:highlight w:val="none"/>
          <w:lang w:eastAsia="zh-CN"/>
        </w:rPr>
      </w:pPr>
    </w:p>
    <w:p w14:paraId="3762265C">
      <w:pPr>
        <w:spacing w:line="540" w:lineRule="exact"/>
        <w:jc w:val="center"/>
        <w:rPr>
          <w:rFonts w:ascii="仿宋" w:hAnsi="仿宋" w:eastAsia="仿宋" w:cs="仿宋"/>
          <w:b/>
          <w:bCs/>
          <w:color w:val="auto"/>
          <w:sz w:val="44"/>
          <w:szCs w:val="44"/>
          <w:highlight w:val="none"/>
          <w:lang w:eastAsia="zh-CN"/>
        </w:rPr>
      </w:pPr>
    </w:p>
    <w:p w14:paraId="7F5289BB">
      <w:pPr>
        <w:spacing w:line="540" w:lineRule="exact"/>
        <w:jc w:val="center"/>
        <w:rPr>
          <w:rFonts w:ascii="仿宋" w:hAnsi="仿宋" w:eastAsia="仿宋" w:cs="仿宋"/>
          <w:b/>
          <w:bCs/>
          <w:color w:val="auto"/>
          <w:sz w:val="44"/>
          <w:szCs w:val="44"/>
          <w:highlight w:val="none"/>
          <w:lang w:eastAsia="zh-CN"/>
        </w:rPr>
      </w:pPr>
    </w:p>
    <w:p w14:paraId="6D10201F">
      <w:pPr>
        <w:spacing w:line="540" w:lineRule="exact"/>
        <w:jc w:val="center"/>
        <w:rPr>
          <w:rFonts w:ascii="仿宋" w:hAnsi="仿宋" w:eastAsia="仿宋" w:cs="仿宋"/>
          <w:b/>
          <w:bCs/>
          <w:color w:val="auto"/>
          <w:sz w:val="44"/>
          <w:szCs w:val="44"/>
          <w:highlight w:val="none"/>
          <w:lang w:eastAsia="zh-CN"/>
        </w:rPr>
      </w:pPr>
    </w:p>
    <w:p w14:paraId="1033F31A">
      <w:pPr>
        <w:rPr>
          <w:rFonts w:hint="eastAsia" w:ascii="仿宋" w:hAnsi="仿宋" w:eastAsia="仿宋" w:cs="仿宋"/>
          <w:b/>
          <w:bCs/>
          <w:color w:val="auto"/>
          <w:sz w:val="32"/>
          <w:szCs w:val="32"/>
          <w:highlight w:val="none"/>
          <w:lang w:eastAsia="zh-CN"/>
        </w:rPr>
      </w:pPr>
      <w:bookmarkStart w:id="42" w:name="_Toc1697"/>
      <w:r>
        <w:rPr>
          <w:rFonts w:hint="eastAsia" w:ascii="仿宋" w:hAnsi="仿宋" w:eastAsia="仿宋" w:cs="仿宋"/>
          <w:b/>
          <w:bCs/>
          <w:color w:val="auto"/>
          <w:sz w:val="32"/>
          <w:szCs w:val="32"/>
          <w:highlight w:val="none"/>
          <w:lang w:eastAsia="zh-CN"/>
        </w:rPr>
        <w:br w:type="page"/>
      </w:r>
    </w:p>
    <w:p w14:paraId="5431C118">
      <w:pPr>
        <w:spacing w:line="540" w:lineRule="exact"/>
        <w:jc w:val="center"/>
        <w:outlineLvl w:val="0"/>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质疑函范本</w:t>
      </w:r>
      <w:bookmarkEnd w:id="42"/>
    </w:p>
    <w:p w14:paraId="1004267E">
      <w:pPr>
        <w:adjustRightInd w:val="0"/>
        <w:snapToGrid w:val="0"/>
        <w:spacing w:beforeLines="100" w:line="540" w:lineRule="exact"/>
        <w:ind w:firstLine="490" w:firstLineChars="200"/>
        <w:outlineLvl w:val="0"/>
        <w:rPr>
          <w:rFonts w:ascii="仿宋" w:hAnsi="仿宋" w:eastAsia="仿宋" w:cs="仿宋"/>
          <w:bCs/>
          <w:color w:val="auto"/>
          <w:highlight w:val="none"/>
          <w:lang w:eastAsia="zh-CN"/>
        </w:rPr>
      </w:pPr>
      <w:bookmarkStart w:id="43" w:name="_Toc9061"/>
      <w:r>
        <w:rPr>
          <w:rFonts w:hint="eastAsia" w:ascii="仿宋" w:hAnsi="仿宋" w:eastAsia="仿宋" w:cs="仿宋"/>
          <w:bCs/>
          <w:color w:val="auto"/>
          <w:highlight w:val="none"/>
          <w:lang w:eastAsia="zh-CN"/>
        </w:rPr>
        <w:t>一、质疑供应商基本信息</w:t>
      </w:r>
      <w:bookmarkEnd w:id="43"/>
    </w:p>
    <w:p w14:paraId="48C879FF">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质疑供应商：</w:t>
      </w:r>
      <w:r>
        <w:rPr>
          <w:rFonts w:hint="eastAsia" w:ascii="仿宋" w:hAnsi="仿宋" w:eastAsia="仿宋" w:cs="仿宋"/>
          <w:color w:val="auto"/>
          <w:highlight w:val="none"/>
          <w:u w:val="dotted"/>
          <w:lang w:eastAsia="zh-CN"/>
        </w:rPr>
        <w:t xml:space="preserve">                         </w:t>
      </w:r>
    </w:p>
    <w:p w14:paraId="4E3204E1">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6A9F6342">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71801E91">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授权代表：</w:t>
      </w:r>
      <w:r>
        <w:rPr>
          <w:rFonts w:hint="eastAsia" w:ascii="仿宋" w:hAnsi="仿宋" w:eastAsia="仿宋" w:cs="仿宋"/>
          <w:color w:val="auto"/>
          <w:highlight w:val="none"/>
          <w:u w:val="dotted"/>
          <w:lang w:eastAsia="zh-CN"/>
        </w:rPr>
        <w:t xml:space="preserve">                                          </w:t>
      </w:r>
    </w:p>
    <w:p w14:paraId="58844042">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588FEA2D">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地址： </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5A8B2FB0">
      <w:pPr>
        <w:adjustRightInd w:val="0"/>
        <w:snapToGrid w:val="0"/>
        <w:spacing w:line="540" w:lineRule="exact"/>
        <w:ind w:firstLine="490" w:firstLineChars="200"/>
        <w:outlineLvl w:val="0"/>
        <w:rPr>
          <w:rFonts w:ascii="仿宋" w:hAnsi="仿宋" w:eastAsia="仿宋" w:cs="仿宋"/>
          <w:bCs/>
          <w:color w:val="auto"/>
          <w:highlight w:val="none"/>
          <w:lang w:eastAsia="zh-CN"/>
        </w:rPr>
      </w:pPr>
      <w:bookmarkStart w:id="44" w:name="_Toc15938"/>
      <w:r>
        <w:rPr>
          <w:rFonts w:hint="eastAsia" w:ascii="仿宋" w:hAnsi="仿宋" w:eastAsia="仿宋" w:cs="仿宋"/>
          <w:bCs/>
          <w:color w:val="auto"/>
          <w:highlight w:val="none"/>
          <w:lang w:eastAsia="zh-CN"/>
        </w:rPr>
        <w:t>二、质疑项目基本情况</w:t>
      </w:r>
      <w:bookmarkEnd w:id="44"/>
    </w:p>
    <w:p w14:paraId="2975DC34">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质疑项目的名称：</w:t>
      </w:r>
      <w:r>
        <w:rPr>
          <w:rFonts w:hint="eastAsia" w:ascii="仿宋" w:hAnsi="仿宋" w:eastAsia="仿宋" w:cs="仿宋"/>
          <w:color w:val="auto"/>
          <w:highlight w:val="none"/>
          <w:u w:val="dotted"/>
          <w:lang w:eastAsia="zh-CN"/>
        </w:rPr>
        <w:t xml:space="preserve">                                     </w:t>
      </w:r>
    </w:p>
    <w:p w14:paraId="032FCB1A">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质疑项目的编号：</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包号：</w:t>
      </w:r>
      <w:r>
        <w:rPr>
          <w:rFonts w:hint="eastAsia" w:ascii="仿宋" w:hAnsi="仿宋" w:eastAsia="仿宋" w:cs="仿宋"/>
          <w:color w:val="auto"/>
          <w:highlight w:val="none"/>
          <w:u w:val="dotted"/>
          <w:lang w:eastAsia="zh-CN"/>
        </w:rPr>
        <w:t xml:space="preserve">                </w:t>
      </w:r>
    </w:p>
    <w:p w14:paraId="648B1359">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采购人名称：</w:t>
      </w:r>
      <w:r>
        <w:rPr>
          <w:rFonts w:hint="eastAsia" w:ascii="仿宋" w:hAnsi="仿宋" w:eastAsia="仿宋" w:cs="仿宋"/>
          <w:color w:val="auto"/>
          <w:highlight w:val="none"/>
          <w:u w:val="dotted"/>
          <w:lang w:eastAsia="zh-CN"/>
        </w:rPr>
        <w:t xml:space="preserve">                                         </w:t>
      </w:r>
    </w:p>
    <w:p w14:paraId="3550B21C">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采购文件获取日期：</w:t>
      </w:r>
      <w:r>
        <w:rPr>
          <w:rFonts w:hint="eastAsia" w:ascii="仿宋" w:hAnsi="仿宋" w:eastAsia="仿宋" w:cs="仿宋"/>
          <w:color w:val="auto"/>
          <w:highlight w:val="none"/>
          <w:u w:val="dotted"/>
          <w:lang w:eastAsia="zh-CN"/>
        </w:rPr>
        <w:t xml:space="preserve">                                   </w:t>
      </w:r>
    </w:p>
    <w:p w14:paraId="17E8B94B">
      <w:pPr>
        <w:adjustRightInd w:val="0"/>
        <w:snapToGrid w:val="0"/>
        <w:spacing w:line="540" w:lineRule="exact"/>
        <w:ind w:firstLine="490" w:firstLineChars="200"/>
        <w:outlineLvl w:val="0"/>
        <w:rPr>
          <w:rFonts w:ascii="仿宋" w:hAnsi="仿宋" w:eastAsia="仿宋" w:cs="仿宋"/>
          <w:bCs/>
          <w:color w:val="auto"/>
          <w:highlight w:val="none"/>
          <w:lang w:eastAsia="zh-CN"/>
        </w:rPr>
      </w:pPr>
      <w:bookmarkStart w:id="45" w:name="_Toc18271"/>
      <w:r>
        <w:rPr>
          <w:rFonts w:hint="eastAsia" w:ascii="仿宋" w:hAnsi="仿宋" w:eastAsia="仿宋" w:cs="仿宋"/>
          <w:bCs/>
          <w:color w:val="auto"/>
          <w:highlight w:val="none"/>
          <w:lang w:eastAsia="zh-CN"/>
        </w:rPr>
        <w:t>三、质疑事项具体内容</w:t>
      </w:r>
      <w:bookmarkEnd w:id="45"/>
    </w:p>
    <w:p w14:paraId="1CBDD487">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质疑事项1：</w:t>
      </w:r>
      <w:r>
        <w:rPr>
          <w:rFonts w:hint="eastAsia" w:ascii="仿宋" w:hAnsi="仿宋" w:eastAsia="仿宋" w:cs="仿宋"/>
          <w:color w:val="auto"/>
          <w:highlight w:val="none"/>
          <w:u w:val="dotted"/>
          <w:lang w:eastAsia="zh-CN"/>
        </w:rPr>
        <w:t xml:space="preserve">                                         </w:t>
      </w:r>
    </w:p>
    <w:p w14:paraId="3ED2FCFC">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事实依据：</w:t>
      </w:r>
      <w:r>
        <w:rPr>
          <w:rFonts w:hint="eastAsia" w:ascii="仿宋" w:hAnsi="仿宋" w:eastAsia="仿宋" w:cs="仿宋"/>
          <w:color w:val="auto"/>
          <w:highlight w:val="none"/>
          <w:u w:val="dotted"/>
          <w:lang w:eastAsia="zh-CN"/>
        </w:rPr>
        <w:t xml:space="preserve">                                           </w:t>
      </w:r>
    </w:p>
    <w:p w14:paraId="1EC35DA6">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法律依据：</w:t>
      </w:r>
      <w:r>
        <w:rPr>
          <w:rFonts w:hint="eastAsia" w:ascii="仿宋" w:hAnsi="仿宋" w:eastAsia="仿宋" w:cs="仿宋"/>
          <w:color w:val="auto"/>
          <w:highlight w:val="none"/>
          <w:u w:val="dotted"/>
          <w:lang w:eastAsia="zh-CN"/>
        </w:rPr>
        <w:t xml:space="preserve">                                           </w:t>
      </w:r>
    </w:p>
    <w:p w14:paraId="123403E4">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质疑事项2</w:t>
      </w:r>
    </w:p>
    <w:p w14:paraId="1DABE38D">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21E12498">
      <w:pPr>
        <w:adjustRightInd w:val="0"/>
        <w:snapToGrid w:val="0"/>
        <w:spacing w:line="540" w:lineRule="exact"/>
        <w:ind w:firstLine="490" w:firstLineChars="200"/>
        <w:outlineLvl w:val="0"/>
        <w:rPr>
          <w:rFonts w:ascii="仿宋" w:hAnsi="仿宋" w:eastAsia="仿宋" w:cs="仿宋"/>
          <w:bCs/>
          <w:color w:val="auto"/>
          <w:highlight w:val="none"/>
          <w:lang w:eastAsia="zh-CN"/>
        </w:rPr>
      </w:pPr>
      <w:bookmarkStart w:id="46" w:name="_Toc22365"/>
      <w:r>
        <w:rPr>
          <w:rFonts w:hint="eastAsia" w:ascii="仿宋" w:hAnsi="仿宋" w:eastAsia="仿宋" w:cs="仿宋"/>
          <w:bCs/>
          <w:color w:val="auto"/>
          <w:highlight w:val="none"/>
          <w:lang w:eastAsia="zh-CN"/>
        </w:rPr>
        <w:t>四、与质疑事项相关的质疑请求</w:t>
      </w:r>
      <w:bookmarkEnd w:id="46"/>
    </w:p>
    <w:p w14:paraId="72AC0C83">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请求：</w:t>
      </w:r>
      <w:r>
        <w:rPr>
          <w:rFonts w:hint="eastAsia" w:ascii="仿宋" w:hAnsi="仿宋" w:eastAsia="仿宋" w:cs="仿宋"/>
          <w:color w:val="auto"/>
          <w:highlight w:val="none"/>
          <w:u w:val="dotted"/>
          <w:lang w:eastAsia="zh-CN"/>
        </w:rPr>
        <w:t xml:space="preserve">                                               </w:t>
      </w:r>
    </w:p>
    <w:p w14:paraId="5472B3C5">
      <w:pPr>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签章(签章)：                   公章：                      </w:t>
      </w:r>
    </w:p>
    <w:p w14:paraId="7081C213">
      <w:pPr>
        <w:spacing w:line="540" w:lineRule="exact"/>
        <w:ind w:firstLine="490" w:firstLineChars="200"/>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 xml:space="preserve">日期：    </w:t>
      </w:r>
    </w:p>
    <w:p w14:paraId="208059EC">
      <w:pPr>
        <w:pageBreakBefore/>
        <w:spacing w:line="440" w:lineRule="exact"/>
        <w:jc w:val="center"/>
        <w:outlineLvl w:val="0"/>
        <w:rPr>
          <w:rFonts w:hint="eastAsia" w:ascii="仿宋" w:hAnsi="仿宋" w:eastAsia="仿宋" w:cs="仿宋"/>
          <w:b/>
          <w:color w:val="auto"/>
          <w:sz w:val="32"/>
          <w:szCs w:val="32"/>
          <w:lang w:eastAsia="zh-CN"/>
        </w:rPr>
        <w:sectPr>
          <w:footerReference r:id="rId4" w:type="default"/>
          <w:pgSz w:w="11905" w:h="16838"/>
          <w:pgMar w:top="1440" w:right="1080" w:bottom="1440" w:left="1080" w:header="850" w:footer="992" w:gutter="0"/>
          <w:pgNumType w:fmt="decimal" w:start="1"/>
          <w:cols w:space="0" w:num="1"/>
          <w:rtlGutter w:val="0"/>
          <w:docGrid w:type="linesAndChars" w:linePitch="332" w:charSpace="1057"/>
        </w:sectPr>
      </w:pPr>
    </w:p>
    <w:p w14:paraId="634282AE">
      <w:pPr>
        <w:pageBreakBefore/>
        <w:spacing w:line="440" w:lineRule="exact"/>
        <w:jc w:val="center"/>
        <w:outlineLvl w:val="0"/>
        <w:rPr>
          <w:rFonts w:hint="eastAsia" w:ascii="仿宋" w:hAnsi="仿宋" w:eastAsia="仿宋" w:cs="仿宋"/>
          <w:b/>
          <w:bCs w:val="0"/>
          <w:color w:val="auto"/>
          <w:sz w:val="36"/>
          <w:szCs w:val="36"/>
          <w:highlight w:val="none"/>
          <w:lang w:eastAsia="zh-CN"/>
        </w:rPr>
      </w:pPr>
      <w:r>
        <w:rPr>
          <w:rFonts w:hint="eastAsia" w:ascii="仿宋" w:hAnsi="仿宋" w:eastAsia="仿宋" w:cs="仿宋"/>
          <w:b/>
          <w:color w:val="auto"/>
          <w:sz w:val="32"/>
          <w:szCs w:val="32"/>
          <w:lang w:eastAsia="zh-CN"/>
        </w:rPr>
        <w:t>第三部分</w:t>
      </w:r>
      <w:r>
        <w:rPr>
          <w:rFonts w:hint="eastAsia" w:ascii="仿宋" w:hAnsi="仿宋" w:eastAsia="仿宋" w:cs="仿宋"/>
          <w:b/>
          <w:bCs w:val="0"/>
          <w:color w:val="auto"/>
          <w:sz w:val="36"/>
          <w:szCs w:val="36"/>
          <w:highlight w:val="none"/>
          <w:lang w:eastAsia="zh-CN"/>
        </w:rPr>
        <w:t xml:space="preserve"> 技术规格、数量及质量要求</w:t>
      </w:r>
      <w:bookmarkStart w:id="47" w:name="_Toc267320052"/>
      <w:bookmarkStart w:id="48" w:name="_Toc340225294"/>
    </w:p>
    <w:p w14:paraId="778AAB43">
      <w:pPr>
        <w:spacing w:line="760" w:lineRule="exact"/>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1.1 主要技术参数</w:t>
      </w:r>
    </w:p>
    <w:p w14:paraId="0A9D10F0">
      <w:pPr>
        <w:pStyle w:val="22"/>
        <w:ind w:left="0" w:leftChars="0" w:firstLine="0" w:firstLineChars="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设备类</w:t>
      </w:r>
    </w:p>
    <w:tbl>
      <w:tblPr>
        <w:tblStyle w:val="18"/>
        <w:tblW w:w="14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7"/>
        <w:gridCol w:w="1143"/>
        <w:gridCol w:w="8838"/>
        <w:gridCol w:w="573"/>
        <w:gridCol w:w="718"/>
        <w:gridCol w:w="1016"/>
        <w:gridCol w:w="1106"/>
      </w:tblGrid>
      <w:tr w14:paraId="0FC3B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14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FC9F">
            <w:pPr>
              <w:keepNext w:val="0"/>
              <w:keepLines w:val="0"/>
              <w:widowControl/>
              <w:suppressLineNumbers w:val="0"/>
              <w:jc w:val="center"/>
              <w:textAlignment w:val="center"/>
              <w:rPr>
                <w:rFonts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信息化设备清单</w:t>
            </w:r>
          </w:p>
        </w:tc>
      </w:tr>
      <w:tr w14:paraId="1D4C6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8D29">
            <w:pPr>
              <w:jc w:val="left"/>
              <w:rPr>
                <w:rFonts w:hint="eastAsia" w:ascii="Arial" w:hAnsi="Arial" w:eastAsia="宋体" w:cs="Arial"/>
                <w:i w:val="0"/>
                <w:iCs w:val="0"/>
                <w:color w:val="000000"/>
                <w:sz w:val="21"/>
                <w:szCs w:val="21"/>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B414">
            <w:pPr>
              <w:jc w:val="left"/>
              <w:rPr>
                <w:rFonts w:hint="default" w:ascii="Arial" w:hAnsi="Arial" w:eastAsia="宋体" w:cs="Arial"/>
                <w:i w:val="0"/>
                <w:iCs w:val="0"/>
                <w:color w:val="000000"/>
                <w:sz w:val="21"/>
                <w:szCs w:val="21"/>
                <w:u w:val="none"/>
              </w:rPr>
            </w:pP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99B2">
            <w:pPr>
              <w:jc w:val="left"/>
              <w:rPr>
                <w:rFonts w:hint="default" w:ascii="Arial" w:hAnsi="Arial" w:eastAsia="宋体" w:cs="Arial"/>
                <w:i w:val="0"/>
                <w:iCs w:val="0"/>
                <w:color w:val="000000"/>
                <w:sz w:val="21"/>
                <w:szCs w:val="21"/>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9E91">
            <w:pPr>
              <w:jc w:val="left"/>
              <w:rPr>
                <w:rFonts w:hint="default" w:ascii="Arial" w:hAnsi="Arial" w:eastAsia="宋体" w:cs="Arial"/>
                <w:i w:val="0"/>
                <w:iCs w:val="0"/>
                <w:color w:val="000000"/>
                <w:sz w:val="21"/>
                <w:szCs w:val="21"/>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AF8B">
            <w:pPr>
              <w:jc w:val="left"/>
              <w:rPr>
                <w:rFonts w:hint="default" w:ascii="Arial" w:hAnsi="Arial" w:eastAsia="宋体" w:cs="Arial"/>
                <w:i w:val="0"/>
                <w:iCs w:val="0"/>
                <w:color w:val="000000"/>
                <w:sz w:val="21"/>
                <w:szCs w:val="21"/>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1E353">
            <w:pPr>
              <w:keepNext w:val="0"/>
              <w:keepLines w:val="0"/>
              <w:widowControl/>
              <w:suppressLineNumbers w:val="0"/>
              <w:jc w:val="center"/>
              <w:textAlignment w:val="center"/>
              <w:rPr>
                <w:rFonts w:hint="eastAsia" w:ascii="新宋体" w:hAnsi="新宋体" w:eastAsia="新宋体" w:cs="新宋体"/>
                <w:b/>
                <w:bCs/>
                <w:i w:val="0"/>
                <w:iCs w:val="0"/>
                <w:color w:val="000000"/>
                <w:sz w:val="18"/>
                <w:szCs w:val="18"/>
                <w:u w:val="none"/>
              </w:rPr>
            </w:pPr>
            <w:r>
              <w:rPr>
                <w:rStyle w:val="41"/>
                <w:lang w:val="en-US" w:eastAsia="zh-CN" w:bidi="ar"/>
              </w:rPr>
              <w:t>金</w:t>
            </w:r>
            <w:r>
              <w:rPr>
                <w:rStyle w:val="42"/>
                <w:lang w:val="en-US" w:eastAsia="zh-CN" w:bidi="ar"/>
              </w:rPr>
              <w:t xml:space="preserve">  </w:t>
            </w:r>
            <w:r>
              <w:rPr>
                <w:rStyle w:val="41"/>
                <w:lang w:val="en-US" w:eastAsia="zh-CN" w:bidi="ar"/>
              </w:rPr>
              <w:t>额(元)</w:t>
            </w:r>
          </w:p>
        </w:tc>
      </w:tr>
      <w:tr w14:paraId="6CFD1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516B">
            <w:pPr>
              <w:keepNext w:val="0"/>
              <w:keepLines w:val="0"/>
              <w:widowControl/>
              <w:suppressLineNumbers w:val="0"/>
              <w:jc w:val="center"/>
              <w:textAlignment w:val="center"/>
              <w:rPr>
                <w:rFonts w:hint="eastAsia" w:ascii="新宋体" w:hAnsi="新宋体" w:eastAsia="新宋体" w:cs="新宋体"/>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序号</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9AB9">
            <w:pPr>
              <w:keepNext w:val="0"/>
              <w:keepLines w:val="0"/>
              <w:widowControl/>
              <w:suppressLineNumbers w:val="0"/>
              <w:jc w:val="center"/>
              <w:textAlignment w:val="center"/>
              <w:rPr>
                <w:rFonts w:hint="eastAsia" w:ascii="新宋体" w:hAnsi="新宋体" w:eastAsia="新宋体" w:cs="新宋体"/>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项目名称</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F88C">
            <w:pPr>
              <w:keepNext w:val="0"/>
              <w:keepLines w:val="0"/>
              <w:widowControl/>
              <w:suppressLineNumbers w:val="0"/>
              <w:jc w:val="center"/>
              <w:textAlignment w:val="center"/>
              <w:rPr>
                <w:rFonts w:hint="eastAsia" w:ascii="新宋体" w:hAnsi="新宋体" w:eastAsia="新宋体" w:cs="新宋体"/>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规格参数</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7FE7">
            <w:pPr>
              <w:keepNext w:val="0"/>
              <w:keepLines w:val="0"/>
              <w:widowControl/>
              <w:suppressLineNumbers w:val="0"/>
              <w:jc w:val="center"/>
              <w:textAlignment w:val="center"/>
              <w:rPr>
                <w:rFonts w:hint="eastAsia" w:ascii="新宋体" w:hAnsi="新宋体" w:eastAsia="新宋体" w:cs="新宋体"/>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计量单位</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6EC1">
            <w:pPr>
              <w:keepNext w:val="0"/>
              <w:keepLines w:val="0"/>
              <w:widowControl/>
              <w:suppressLineNumbers w:val="0"/>
              <w:jc w:val="center"/>
              <w:textAlignment w:val="center"/>
              <w:rPr>
                <w:rFonts w:hint="eastAsia" w:ascii="新宋体" w:hAnsi="新宋体" w:eastAsia="新宋体" w:cs="新宋体"/>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数量</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181F">
            <w:pPr>
              <w:keepNext w:val="0"/>
              <w:keepLines w:val="0"/>
              <w:widowControl/>
              <w:suppressLineNumbers w:val="0"/>
              <w:jc w:val="center"/>
              <w:textAlignment w:val="center"/>
              <w:rPr>
                <w:rFonts w:hint="eastAsia" w:ascii="新宋体" w:hAnsi="新宋体" w:eastAsia="新宋体" w:cs="新宋体"/>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单价</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5DAD">
            <w:pPr>
              <w:keepNext w:val="0"/>
              <w:keepLines w:val="0"/>
              <w:widowControl/>
              <w:suppressLineNumbers w:val="0"/>
              <w:jc w:val="center"/>
              <w:textAlignment w:val="center"/>
              <w:rPr>
                <w:rFonts w:hint="eastAsia" w:ascii="新宋体" w:hAnsi="新宋体" w:eastAsia="新宋体" w:cs="新宋体"/>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合价</w:t>
            </w:r>
          </w:p>
        </w:tc>
      </w:tr>
      <w:tr w14:paraId="16951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D37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一、显示系统</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24D6B">
            <w:pPr>
              <w:jc w:val="center"/>
              <w:rPr>
                <w:rFonts w:hint="eastAsia" w:ascii="微软雅黑" w:hAnsi="微软雅黑" w:eastAsia="微软雅黑" w:cs="微软雅黑"/>
                <w:i w:val="0"/>
                <w:iCs w:val="0"/>
                <w:color w:val="000000"/>
                <w:sz w:val="16"/>
                <w:szCs w:val="16"/>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BA3CD">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C18A9">
            <w:pPr>
              <w:jc w:val="center"/>
              <w:rPr>
                <w:rFonts w:hint="eastAsia" w:ascii="宋体" w:hAnsi="宋体" w:eastAsia="宋体" w:cs="宋体"/>
                <w:i w:val="0"/>
                <w:iCs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8B288">
            <w:pPr>
              <w:jc w:val="center"/>
              <w:rPr>
                <w:rFonts w:hint="eastAsia" w:ascii="微软雅黑" w:hAnsi="微软雅黑" w:eastAsia="微软雅黑" w:cs="微软雅黑"/>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38D77">
            <w:pPr>
              <w:jc w:val="center"/>
              <w:rPr>
                <w:rFonts w:hint="eastAsia" w:ascii="微软雅黑" w:hAnsi="微软雅黑" w:eastAsia="微软雅黑" w:cs="微软雅黑"/>
                <w:i w:val="0"/>
                <w:iCs w:val="0"/>
                <w:color w:val="000000"/>
                <w:sz w:val="20"/>
                <w:szCs w:val="20"/>
                <w:u w:val="none"/>
              </w:rPr>
            </w:pPr>
          </w:p>
        </w:tc>
      </w:tr>
      <w:tr w14:paraId="7D7DB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9C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BE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室内LED全彩屏</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EEC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3"/>
                <w:lang w:val="en-US" w:eastAsia="zh-CN" w:bidi="ar"/>
              </w:rPr>
              <w:t>★1.像素点间距:≤1.86mm；</w:t>
            </w:r>
            <w:r>
              <w:rPr>
                <w:rStyle w:val="43"/>
                <w:lang w:val="en-US" w:eastAsia="zh-CN" w:bidi="ar"/>
              </w:rPr>
              <w:br w:type="textWrapping"/>
            </w:r>
            <w:r>
              <w:rPr>
                <w:rStyle w:val="43"/>
                <w:lang w:val="en-US" w:eastAsia="zh-CN" w:bidi="ar"/>
              </w:rPr>
              <w:t>2.像素密度≥288906点/㎡；</w:t>
            </w:r>
            <w:r>
              <w:rPr>
                <w:rStyle w:val="43"/>
                <w:lang w:val="en-US" w:eastAsia="zh-CN" w:bidi="ar"/>
              </w:rPr>
              <w:br w:type="textWrapping"/>
            </w:r>
            <w:r>
              <w:rPr>
                <w:rStyle w:val="43"/>
                <w:lang w:val="en-US" w:eastAsia="zh-CN" w:bidi="ar"/>
              </w:rPr>
              <w:t>3.NTSC色域覆盖率≥125%NTSC；</w:t>
            </w:r>
            <w:r>
              <w:rPr>
                <w:rStyle w:val="43"/>
                <w:lang w:val="en-US" w:eastAsia="zh-CN" w:bidi="ar"/>
              </w:rPr>
              <w:br w:type="textWrapping"/>
            </w:r>
            <w:r>
              <w:rPr>
                <w:rStyle w:val="43"/>
                <w:lang w:val="en-US" w:eastAsia="zh-CN" w:bidi="ar"/>
              </w:rPr>
              <w:t>4.1R1G1B，SMD表贴三合一，坚向线性排列；</w:t>
            </w:r>
            <w:r>
              <w:rPr>
                <w:rStyle w:val="43"/>
                <w:lang w:val="en-US" w:eastAsia="zh-CN" w:bidi="ar"/>
              </w:rPr>
              <w:br w:type="textWrapping"/>
            </w:r>
            <w:r>
              <w:rPr>
                <w:rStyle w:val="43"/>
                <w:lang w:val="en-US" w:eastAsia="zh-CN" w:bidi="ar"/>
              </w:rPr>
              <w:t>★5.箱体尺寸：640*320</w:t>
            </w:r>
            <w:r>
              <w:rPr>
                <w:rStyle w:val="43"/>
                <w:rFonts w:hint="eastAsia"/>
                <w:lang w:val="en-US" w:eastAsia="zh-CN" w:bidi="ar"/>
              </w:rPr>
              <w:t>mm</w:t>
            </w:r>
            <w:r>
              <w:rPr>
                <w:rStyle w:val="43"/>
                <w:lang w:val="en-US" w:eastAsia="zh-CN" w:bidi="ar"/>
              </w:rPr>
              <w:t>，箱体结构压铸铝边框，三合一压铸铝后盖，支持45度切角，板卡后盖采用全压铸铝材质，散热性、兼容性更佳；采用防尘静音设计。箱体平整度≤0.05mm，单元箱体/模组间水平、垂直相对错位值≤0.05mm；不接受模组组装箱体，</w:t>
            </w:r>
            <w:r>
              <w:rPr>
                <w:rStyle w:val="44"/>
                <w:lang w:val="en-US" w:eastAsia="zh-CN" w:bidi="ar"/>
              </w:rPr>
              <w:t>提供原厂整机出厂证明函（供货时提供）。</w:t>
            </w:r>
            <w:r>
              <w:rPr>
                <w:rStyle w:val="43"/>
                <w:lang w:val="en-US" w:eastAsia="zh-CN" w:bidi="ar"/>
              </w:rPr>
              <w:br w:type="textWrapping"/>
            </w:r>
            <w:r>
              <w:rPr>
                <w:rStyle w:val="43"/>
                <w:lang w:val="en-US" w:eastAsia="zh-CN" w:bidi="ar"/>
              </w:rPr>
              <w:t>★6.刷新率≥3840HZ;</w:t>
            </w:r>
            <w:r>
              <w:rPr>
                <w:rStyle w:val="43"/>
                <w:lang w:val="en-US" w:eastAsia="zh-CN" w:bidi="ar"/>
              </w:rPr>
              <w:br w:type="textWrapping"/>
            </w:r>
            <w:r>
              <w:rPr>
                <w:rStyle w:val="43"/>
                <w:lang w:val="en-US" w:eastAsia="zh-CN" w:bidi="ar"/>
              </w:rPr>
              <w:t>★7.白平衡亮度(nit)≥1200cd/m’，支持屏体亮度在0-100%任意可调，持续亮度在0-255级灰度可调;</w:t>
            </w:r>
            <w:r>
              <w:rPr>
                <w:rStyle w:val="43"/>
                <w:lang w:val="en-US" w:eastAsia="zh-CN" w:bidi="ar"/>
              </w:rPr>
              <w:br w:type="textWrapping"/>
            </w:r>
            <w:r>
              <w:rPr>
                <w:rStyle w:val="43"/>
                <w:lang w:val="en-US" w:eastAsia="zh-CN" w:bidi="ar"/>
              </w:rPr>
              <w:t>8.色温1000K～20000K无级可调，</w:t>
            </w:r>
            <w:r>
              <w:rPr>
                <w:rStyle w:val="43"/>
                <w:lang w:val="en-US" w:eastAsia="zh-CN" w:bidi="ar"/>
              </w:rPr>
              <w:br w:type="textWrapping"/>
            </w:r>
            <w:r>
              <w:rPr>
                <w:rStyle w:val="43"/>
                <w:lang w:val="en-US" w:eastAsia="zh-CN" w:bidi="ar"/>
              </w:rPr>
              <w:t>★9.可视角度水平≥178°，垂直≥178°；</w:t>
            </w:r>
            <w:r>
              <w:rPr>
                <w:rStyle w:val="43"/>
                <w:lang w:val="en-US" w:eastAsia="zh-CN" w:bidi="ar"/>
              </w:rPr>
              <w:br w:type="textWrapping"/>
            </w:r>
            <w:r>
              <w:rPr>
                <w:rStyle w:val="43"/>
                <w:lang w:val="en-US" w:eastAsia="zh-CN" w:bidi="ar"/>
              </w:rPr>
              <w:t>10.亮度均匀性≥99.7%；</w:t>
            </w:r>
            <w:r>
              <w:rPr>
                <w:rStyle w:val="43"/>
                <w:lang w:val="en-US" w:eastAsia="zh-CN" w:bidi="ar"/>
              </w:rPr>
              <w:br w:type="textWrapping"/>
            </w:r>
            <w:r>
              <w:rPr>
                <w:rStyle w:val="43"/>
                <w:lang w:val="en-US" w:eastAsia="zh-CN" w:bidi="ar"/>
              </w:rPr>
              <w:t>11.对比度≥18000:1；</w:t>
            </w:r>
            <w:r>
              <w:rPr>
                <w:rStyle w:val="43"/>
                <w:lang w:val="en-US" w:eastAsia="zh-CN" w:bidi="ar"/>
              </w:rPr>
              <w:br w:type="textWrapping"/>
            </w:r>
            <w:r>
              <w:rPr>
                <w:rStyle w:val="43"/>
                <w:lang w:val="en-US" w:eastAsia="zh-CN" w:bidi="ar"/>
              </w:rPr>
              <w:t>12.灰度及颜色等级≥16bit；</w:t>
            </w:r>
            <w:r>
              <w:rPr>
                <w:rStyle w:val="43"/>
                <w:lang w:val="en-US" w:eastAsia="zh-CN" w:bidi="ar"/>
              </w:rPr>
              <w:br w:type="textWrapping"/>
            </w:r>
            <w:r>
              <w:rPr>
                <w:rStyle w:val="43"/>
                <w:lang w:val="en-US" w:eastAsia="zh-CN" w:bidi="ar"/>
              </w:rPr>
              <w:t>★13.LED显示屏制造商所生产的产品质量及产品有害物质达到国家限量标准，符合《中国绿色产品》要求，并提供国家级认证机构出具的相关证明文件</w:t>
            </w:r>
            <w:r>
              <w:rPr>
                <w:rStyle w:val="43"/>
                <w:lang w:val="en-US" w:eastAsia="zh-CN" w:bidi="ar"/>
              </w:rPr>
              <w:br w:type="textWrapping"/>
            </w:r>
            <w:r>
              <w:rPr>
                <w:rStyle w:val="43"/>
                <w:lang w:val="en-US" w:eastAsia="zh-CN" w:bidi="ar"/>
              </w:rPr>
              <w:t>14.同时兼容前，后维护:模组采用前维护磁吸式结构,支持用户级模组前维护，可正面拆卸、安装灯板、接收卡、电源。同时箱体结构满足模组、电源、转接板等全部用户级模组后维护。支持模组、接收卡的带电维护、热插拔；（提供CNAS,MA,ILAC-MRA认证的第三方检测报告并加盖设备制造商公章）</w:t>
            </w:r>
            <w:r>
              <w:rPr>
                <w:rStyle w:val="43"/>
                <w:lang w:val="en-US" w:eastAsia="zh-CN" w:bidi="ar"/>
              </w:rPr>
              <w:br w:type="textWrapping"/>
            </w:r>
            <w:r>
              <w:rPr>
                <w:rStyle w:val="43"/>
                <w:lang w:val="en-US" w:eastAsia="zh-CN" w:bidi="ar"/>
              </w:rPr>
              <w:t>15.支持软件实现0-100%不同亮度情况下，灰度12-16bits任意设置:100%亮度@16bits，50%亮度@14bits，20%亮度@12bits，同时支持EPWM灰阶控制技术提升低灰视觉效果，0-100%亮度时，8-16bits任意灰度设置，70%亮度时，灰度≥16bits；（提供CNAS,MA,ILAC-MRA认证的第三方检测报告并加盖设备制造商公章）</w:t>
            </w:r>
            <w:r>
              <w:rPr>
                <w:rStyle w:val="43"/>
                <w:lang w:val="en-US" w:eastAsia="zh-CN" w:bidi="ar"/>
              </w:rPr>
              <w:br w:type="textWrapping"/>
            </w:r>
            <w:r>
              <w:rPr>
                <w:rStyle w:val="43"/>
                <w:lang w:val="en-US" w:eastAsia="zh-CN" w:bidi="ar"/>
              </w:rPr>
              <w:t>16.亮度鉴别等级：SJ/T11141-20175.10.6规定;C级，Bjz23；（提供CNAS,MA,ILAC-MRA认证的第三方检测报告并加盖设备制造商公章）</w:t>
            </w:r>
            <w:r>
              <w:rPr>
                <w:rStyle w:val="43"/>
                <w:lang w:val="en-US" w:eastAsia="zh-CN" w:bidi="ar"/>
              </w:rPr>
              <w:br w:type="textWrapping"/>
            </w:r>
            <w:r>
              <w:rPr>
                <w:rStyle w:val="43"/>
                <w:lang w:val="en-US" w:eastAsia="zh-CN" w:bidi="ar"/>
              </w:rPr>
              <w:t>★17.使用寿命≥200000小时；灯珠寿命≥200000小时（提供CNAS,MA,ILAC-MRA认证的第三方检测报告并加盖设备制造商公章）</w:t>
            </w:r>
            <w:r>
              <w:rPr>
                <w:rStyle w:val="43"/>
                <w:lang w:val="en-US" w:eastAsia="zh-CN" w:bidi="ar"/>
              </w:rPr>
              <w:br w:type="textWrapping"/>
            </w:r>
            <w:r>
              <w:rPr>
                <w:rStyle w:val="43"/>
                <w:lang w:val="en-US" w:eastAsia="zh-CN" w:bidi="ar"/>
              </w:rPr>
              <w:t>18.符合IEC62471:2006标准的光生物安全及蓝光危害评估检测的无危害类要求(豁免级),具备防蓝光护眼模式防眩光功能:采用黑色防眩光设计，防止眩光影响可提升视觉观感（提供CNAS,MA,ILAC-MRA认证的第三方检测报告并加盖设备制造商公章）</w:t>
            </w:r>
            <w:r>
              <w:rPr>
                <w:rStyle w:val="43"/>
                <w:lang w:val="en-US" w:eastAsia="zh-CN" w:bidi="ar"/>
              </w:rPr>
              <w:br w:type="textWrapping"/>
            </w:r>
            <w:r>
              <w:rPr>
                <w:rStyle w:val="43"/>
                <w:lang w:val="en-US" w:eastAsia="zh-CN" w:bidi="ar"/>
              </w:rPr>
              <w:t>19.屏体可以实现支持双电力备份，屏体可以同时接入2路电力供电互为备份方式，任意一电力故障不影响单元显示；（提供CNAS,MA,ILAC-MRA认证的第三方检测报告并加盖设备制造商公章）</w:t>
            </w:r>
            <w:r>
              <w:rPr>
                <w:rStyle w:val="43"/>
                <w:lang w:val="en-US" w:eastAsia="zh-CN" w:bidi="ar"/>
              </w:rPr>
              <w:br w:type="textWrapping"/>
            </w:r>
            <w:r>
              <w:rPr>
                <w:rStyle w:val="43"/>
                <w:lang w:val="en-US" w:eastAsia="zh-CN" w:bidi="ar"/>
              </w:rPr>
              <w:t>20.防反光工艺：屏体正面为黑色哑光处理，反光率小于0.2%（处理后）；（提供CNAS,MA,ILAC-MRA认证的第三方检测报告并加盖设备制造商公章）</w:t>
            </w:r>
            <w:r>
              <w:rPr>
                <w:rStyle w:val="43"/>
                <w:lang w:val="en-US" w:eastAsia="zh-CN" w:bidi="ar"/>
              </w:rPr>
              <w:br w:type="textWrapping"/>
            </w:r>
            <w:r>
              <w:rPr>
                <w:rStyle w:val="43"/>
                <w:lang w:val="en-US" w:eastAsia="zh-CN" w:bidi="ar"/>
              </w:rPr>
              <w:t>21.灯珠外层：灯珠外层具备透明哑光保护层，采用纳米涂覆技术，阻隔灯珠与外部的接触，材质硬度等级HRC8级，灯珠表面使用无划痕；（提供CNAS,MA,ILAC-MRA认证的第三方检测报告并加盖设备制造商公章）</w:t>
            </w:r>
            <w:r>
              <w:rPr>
                <w:rStyle w:val="43"/>
                <w:lang w:val="en-US" w:eastAsia="zh-CN" w:bidi="ar"/>
              </w:rPr>
              <w:br w:type="textWrapping"/>
            </w:r>
            <w:r>
              <w:rPr>
                <w:rStyle w:val="43"/>
                <w:lang w:val="en-US" w:eastAsia="zh-CN" w:bidi="ar"/>
              </w:rPr>
              <w:t>22.除湿功能：超过2周时间没有使用产品，可以通过屏体控制系统来实现除湿模式，即使屏体从10%到100%亮度逐步显示，可以满足除湿效果；（提供CNAS,MA,ILAC-MRA认证的第三方检测报告并加盖设备制造商公章）</w:t>
            </w:r>
            <w:r>
              <w:rPr>
                <w:rStyle w:val="43"/>
                <w:lang w:val="en-US" w:eastAsia="zh-CN" w:bidi="ar"/>
              </w:rPr>
              <w:br w:type="textWrapping"/>
            </w:r>
            <w:r>
              <w:rPr>
                <w:rStyle w:val="43"/>
                <w:lang w:val="en-US" w:eastAsia="zh-CN" w:bidi="ar"/>
              </w:rPr>
              <w:t>23.响应国家号召减少碳排放,根据角电的二氧化碳排放量的计算标准，LED显示屏每平方每小时的碳放量≤0.06千克。（提供CNAS,MA,ILAC-MRA认证的第三方检测报告并加盖设备制造商公章）</w:t>
            </w:r>
            <w:r>
              <w:rPr>
                <w:rStyle w:val="43"/>
                <w:lang w:val="en-US" w:eastAsia="zh-CN" w:bidi="ar"/>
              </w:rPr>
              <w:br w:type="textWrapping"/>
            </w:r>
            <w:r>
              <w:rPr>
                <w:rStyle w:val="45"/>
                <w:lang w:val="en-US" w:eastAsia="zh-CN" w:bidi="ar"/>
              </w:rPr>
              <w:t>★24.LED显示屏具备CCC认证</w:t>
            </w:r>
            <w:r>
              <w:rPr>
                <w:rStyle w:val="43"/>
                <w:lang w:val="en-US" w:eastAsia="zh-CN" w:bidi="ar"/>
              </w:rPr>
              <w:br w:type="textWrapping"/>
            </w:r>
            <w:r>
              <w:rPr>
                <w:rStyle w:val="45"/>
                <w:lang w:val="en-US" w:eastAsia="zh-CN" w:bidi="ar"/>
              </w:rPr>
              <w:t>★25.需提供LED显示屏厂家针对本项目的原厂质保函及授权书</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1F35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AE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22.12</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6C0FF">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C843A">
            <w:pPr>
              <w:jc w:val="center"/>
              <w:rPr>
                <w:rFonts w:hint="eastAsia" w:ascii="宋体" w:hAnsi="宋体" w:eastAsia="宋体" w:cs="宋体"/>
                <w:i w:val="0"/>
                <w:iCs w:val="0"/>
                <w:color w:val="000000"/>
                <w:sz w:val="20"/>
                <w:szCs w:val="20"/>
                <w:u w:val="none"/>
              </w:rPr>
            </w:pPr>
          </w:p>
        </w:tc>
      </w:tr>
      <w:tr w14:paraId="065F4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69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96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LED室内工程支架</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261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根据实际尺寸制作钢结构，大屏幕安装配套，国标钢材要求抗绣，抗腐蚀，稳定牢固，不允许存在安全隐患。黑色不锈钢拉丝材质包边，不锈钢厚度不低于1mm</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1148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5C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22.97</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2D941">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58B6B">
            <w:pPr>
              <w:jc w:val="center"/>
              <w:rPr>
                <w:rFonts w:hint="eastAsia" w:ascii="宋体" w:hAnsi="宋体" w:eastAsia="宋体" w:cs="宋体"/>
                <w:i w:val="0"/>
                <w:iCs w:val="0"/>
                <w:color w:val="000000"/>
                <w:sz w:val="20"/>
                <w:szCs w:val="20"/>
                <w:u w:val="none"/>
              </w:rPr>
            </w:pPr>
          </w:p>
        </w:tc>
      </w:tr>
      <w:tr w14:paraId="01BB7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61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08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拼接处理器</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86E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1.5U切换主箱体，支持输入8槽，输出8槽，标配一个电源模块。实际配置输入：16路HDMI;输出：16路DVI;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1.纯硬件架构、无操作系统的高性能视频图像处理工作站，全总线交换技术，背板等效带宽，不能内置PC/X86/X64架构硬件。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2.单张板卡支持4通道输入或输出，紧凑型机箱。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3.开机时间≤10s，启动电源至输出总画面的时间间隔。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4.对各个输入通道采用纯硬件处理技术，采用独享带宽方式为每个输入通道分配带宽，切换过程中对其他信号无影响，实现了对输入通道的实时处理功能。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5.支持集中采集DVI、HDMI等2K信号输入采集和输出显示。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6.单台设备最大规模支持32路高清输入，32路高清输出，均不需要设备级联（根据机箱规模而定）。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7.设备可实现任意一路画面的任意比例缩放、漫游、跨屏、叠加、开窗。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8.设备支持图像无缝实时切换功能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9.支持场景保存及快速调用，支持场景轮巡，适应于不同的应用场景。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10.图像信号无压缩、无失真实时传输，保证图像质量无损耗。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11.具备7x24 小时长时间连续开机工作的能力。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 RS232串口和网络TCP/IP、移动端控制，开放控制协议，可与各品牌中控系统轻松集成。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13.支持故障检测功能，支持输入信号丢失检测，使用灰色标示。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14.相应配套软件免费使用管理。</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6BCE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1A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5CE85">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453C0">
            <w:pPr>
              <w:jc w:val="center"/>
              <w:rPr>
                <w:rFonts w:hint="eastAsia" w:ascii="宋体" w:hAnsi="宋体" w:eastAsia="宋体" w:cs="宋体"/>
                <w:i w:val="0"/>
                <w:iCs w:val="0"/>
                <w:color w:val="000000"/>
                <w:sz w:val="20"/>
                <w:szCs w:val="20"/>
                <w:u w:val="none"/>
              </w:rPr>
            </w:pPr>
          </w:p>
        </w:tc>
      </w:tr>
      <w:tr w14:paraId="57A8D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CD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A0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发送卡</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A4B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1.HDMI 音频输入/外部音频输入。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2.支持高位HDMI/DVI 视频输入。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3.阶视频输入，12bit/10bit/8bit。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4.普通视频源带载能力：1920×1200，2048×1152，2560×960，最大带载230万,4网口输出。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5.高位阶视频源带载能力：1440×900。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6.18bit 灰阶处理与显示。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7.一路光探头接口，根据环境光亮，对亮度进行有效调节。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8.支持视频格式：RGB，YCrCb4:2:2，YCrCb4:4:4。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9.标准 1u 机箱设计，独立供电。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▲支持逐点亮色度校正技术，校正过程快速高效，支持直接现场校正；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为保证产品稳定性，需要提供第三方检测机构出具的CNAS、 CMA、ilac-MRA的检测报告</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CE7B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2B3B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B6205">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0673A">
            <w:pPr>
              <w:jc w:val="center"/>
              <w:rPr>
                <w:rFonts w:hint="eastAsia" w:ascii="宋体" w:hAnsi="宋体" w:eastAsia="宋体" w:cs="宋体"/>
                <w:i w:val="0"/>
                <w:iCs w:val="0"/>
                <w:color w:val="000000"/>
                <w:sz w:val="20"/>
                <w:szCs w:val="20"/>
                <w:u w:val="none"/>
              </w:rPr>
            </w:pPr>
          </w:p>
        </w:tc>
      </w:tr>
      <w:tr w14:paraId="15105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23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E1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视频线缆</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051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网线导体采用多股铜丝绞合，线缆柔软，走线方便。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主网线支持自定义长度制作，布线更方便。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支持箱体级联网线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国标无氧铜导体，电阻低，损耗小，发热小，安全节能。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多股铜丝绞合，线缆柔软，布线方便。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主电源线支持自定义长度，使用便捷。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护套类型：PVC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导体类型：无氧铜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4C7B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484C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7D634">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67E6F">
            <w:pPr>
              <w:jc w:val="center"/>
              <w:rPr>
                <w:rFonts w:hint="eastAsia" w:ascii="宋体" w:hAnsi="宋体" w:eastAsia="宋体" w:cs="宋体"/>
                <w:i w:val="0"/>
                <w:iCs w:val="0"/>
                <w:color w:val="000000"/>
                <w:sz w:val="20"/>
                <w:szCs w:val="20"/>
                <w:u w:val="none"/>
              </w:rPr>
            </w:pPr>
          </w:p>
        </w:tc>
      </w:tr>
      <w:tr w14:paraId="303C0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D8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E4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DC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1、功率：30KW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2、箱体尺寸：400*600*150（宽*高*厚）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3、安装方式:放在显示屏内固定壁挂式，室内环境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4、手动控制方式:屏体一键启停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5、具有电源状态指示灯，工作状态指示灯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6、具有检修插座1路、常带电空开1路，有短路、断路、过压、欠压保护功能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7、具有分布延时启动功能，延时1次上电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8、远程控制方式: 预留卡托（可添加多功能卡）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9、输入接线方式:国标3相5线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10、输入电压(V): 3相380V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11、输入频率(HZ):50/60Hz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12、输出接线方式:单相，3线输出，L（火）、N（零）、PE（地）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13、输出路数:显示屏6路输出 （6火、6零、6地）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14、输出电压：220V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15、单路输出功率(KW): 每路5 KW(MAX)，须均匀接入显示屏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16、执行标准:GB/T7251.12-2013、GBTI9001-2016/IS09001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17、工作温度(°c): -20-60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18、工作湿度(%):10--90无凝结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19、接入电缆:4*10+1*6mm五芯国标铜线（参考）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20、接出电缆:3*4mm国标铜线6组(参考）</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983E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F010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B8018">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70B15">
            <w:pPr>
              <w:jc w:val="center"/>
              <w:rPr>
                <w:rFonts w:hint="eastAsia" w:ascii="宋体" w:hAnsi="宋体" w:eastAsia="宋体" w:cs="宋体"/>
                <w:i w:val="0"/>
                <w:iCs w:val="0"/>
                <w:color w:val="000000"/>
                <w:sz w:val="20"/>
                <w:szCs w:val="20"/>
                <w:u w:val="none"/>
              </w:rPr>
            </w:pPr>
          </w:p>
        </w:tc>
      </w:tr>
      <w:tr w14:paraId="42644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CE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CB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智能中控</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177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1.智能中控集成多路可编程串行通讯、多路可编程的I/O、多路可编程继电器功能模块、多路可自学习的红外控制模块。其强大学习功能对所有红外码都能有效学习，遥控灵敏；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2.支持11路可编程RS422/RS485/RS232，可用于控制各种串口通讯设备；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3.支持12路可编程I/O接口，支持编程触发执行各种功能需求，支持输入输出两种模式，输出电压为3.3V，最大支持5V；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4.支持12路可编程继电器接口；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5.支持12路红外发射器接口，用来连接自带红外发射等，电压在5V以下；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6.系统可选用安卓平板、iPad等无线或主机网络通信以实现对设备的控制；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7.具备开放式的可编程控制平台、人性化的操作界面和交互式的控制结构、可自由编辑图片、图标、文字； </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25A8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CEFA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7D882">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ED0E3">
            <w:pPr>
              <w:jc w:val="center"/>
              <w:rPr>
                <w:rFonts w:hint="eastAsia" w:ascii="宋体" w:hAnsi="宋体" w:eastAsia="宋体" w:cs="宋体"/>
                <w:i w:val="0"/>
                <w:iCs w:val="0"/>
                <w:color w:val="000000"/>
                <w:sz w:val="20"/>
                <w:szCs w:val="20"/>
                <w:u w:val="none"/>
              </w:rPr>
            </w:pPr>
          </w:p>
        </w:tc>
      </w:tr>
      <w:tr w14:paraId="745F8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68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D1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室内LED全彩屏</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F5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3"/>
                <w:lang w:val="en-US" w:eastAsia="zh-CN" w:bidi="ar"/>
              </w:rPr>
              <w:t>屏体尺寸：4.16*1.92</w:t>
            </w:r>
            <w:r>
              <w:rPr>
                <w:rStyle w:val="43"/>
                <w:rFonts w:hint="eastAsia"/>
                <w:lang w:val="en-US" w:eastAsia="zh-CN" w:bidi="ar"/>
              </w:rPr>
              <w:t>m</w:t>
            </w:r>
            <w:r>
              <w:rPr>
                <w:rStyle w:val="43"/>
                <w:lang w:val="en-US" w:eastAsia="zh-CN" w:bidi="ar"/>
              </w:rPr>
              <w:t xml:space="preserve">    含接收卡、电源、线材、结构、调试安装等</w:t>
            </w:r>
            <w:r>
              <w:rPr>
                <w:rStyle w:val="43"/>
                <w:lang w:val="en-US" w:eastAsia="zh-CN" w:bidi="ar"/>
              </w:rPr>
              <w:br w:type="textWrapping"/>
            </w:r>
            <w:r>
              <w:rPr>
                <w:rStyle w:val="43"/>
                <w:lang w:val="en-US" w:eastAsia="zh-CN" w:bidi="ar"/>
              </w:rPr>
              <w:t>★1. 采用表贴三合一纯黑灯技术，像素点间距：≤1.86mm，像素密度：≥288906点/㎡。</w:t>
            </w:r>
            <w:r>
              <w:rPr>
                <w:rStyle w:val="43"/>
                <w:lang w:val="en-US" w:eastAsia="zh-CN" w:bidi="ar"/>
              </w:rPr>
              <w:br w:type="textWrapping"/>
            </w:r>
            <w:r>
              <w:rPr>
                <w:rStyle w:val="43"/>
                <w:lang w:val="en-US" w:eastAsia="zh-CN" w:bidi="ar"/>
              </w:rPr>
              <w:t>2. 成像原理：LED主动式发光，像素组成与排列方式：1R1G1B，竖向线性排列。</w:t>
            </w:r>
            <w:r>
              <w:rPr>
                <w:rStyle w:val="43"/>
                <w:lang w:val="en-US" w:eastAsia="zh-CN" w:bidi="ar"/>
              </w:rPr>
              <w:br w:type="textWrapping"/>
            </w:r>
            <w:r>
              <w:rPr>
                <w:rStyle w:val="43"/>
                <w:lang w:val="en-US" w:eastAsia="zh-CN" w:bidi="ar"/>
              </w:rPr>
              <w:t>★3. 平整度≤0.05mm，亮度：≥800cd/㎡，0-100%任意可调。</w:t>
            </w:r>
            <w:r>
              <w:rPr>
                <w:rStyle w:val="43"/>
                <w:lang w:val="en-US" w:eastAsia="zh-CN" w:bidi="ar"/>
              </w:rPr>
              <w:br w:type="textWrapping"/>
            </w:r>
            <w:r>
              <w:rPr>
                <w:rStyle w:val="43"/>
                <w:lang w:val="en-US" w:eastAsia="zh-CN" w:bidi="ar"/>
              </w:rPr>
              <w:t>★4. 刷新率：3840Hz，高刷新，支持通过配套控制软件调节刷新率设计选项。</w:t>
            </w:r>
            <w:r>
              <w:rPr>
                <w:rStyle w:val="43"/>
                <w:lang w:val="en-US" w:eastAsia="zh-CN" w:bidi="ar"/>
              </w:rPr>
              <w:br w:type="textWrapping"/>
            </w:r>
            <w:r>
              <w:rPr>
                <w:rStyle w:val="43"/>
                <w:lang w:val="en-US" w:eastAsia="zh-CN" w:bidi="ar"/>
              </w:rPr>
              <w:t>★5. 对比度：≥10000：1，防护等级：IP65。</w:t>
            </w:r>
            <w:r>
              <w:rPr>
                <w:rStyle w:val="43"/>
                <w:lang w:val="en-US" w:eastAsia="zh-CN" w:bidi="ar"/>
              </w:rPr>
              <w:br w:type="textWrapping"/>
            </w:r>
            <w:r>
              <w:rPr>
                <w:rStyle w:val="43"/>
                <w:lang w:val="en-US" w:eastAsia="zh-CN" w:bidi="ar"/>
              </w:rPr>
              <w:t>6. 亮度均匀性（校正后）：≥99.3%，发光点中心距偏：≤0.9%。</w:t>
            </w:r>
            <w:r>
              <w:rPr>
                <w:rStyle w:val="43"/>
                <w:lang w:val="en-US" w:eastAsia="zh-CN" w:bidi="ar"/>
              </w:rPr>
              <w:br w:type="textWrapping"/>
            </w:r>
            <w:r>
              <w:rPr>
                <w:rStyle w:val="43"/>
                <w:lang w:val="en-US" w:eastAsia="zh-CN" w:bidi="ar"/>
              </w:rPr>
              <w:t>7. 驱动与控制方式：一体化驱动设计，恒流驱动，动态扫描，同步控制，点点对应</w:t>
            </w:r>
            <w:r>
              <w:rPr>
                <w:rStyle w:val="43"/>
                <w:lang w:val="en-US" w:eastAsia="zh-CN" w:bidi="ar"/>
              </w:rPr>
              <w:br w:type="textWrapping"/>
            </w:r>
            <w:r>
              <w:rPr>
                <w:rStyle w:val="43"/>
                <w:lang w:val="en-US" w:eastAsia="zh-CN" w:bidi="ar"/>
              </w:rPr>
              <w:t>8. 亮度调节：支持通过配套软件0-100%多级调节，设置亮度定时调节，及通过亮度传感器自动调节（手动/自动/软件任意调节）支持HDR高动态范围图像技术显示。</w:t>
            </w:r>
            <w:r>
              <w:rPr>
                <w:rStyle w:val="43"/>
                <w:lang w:val="en-US" w:eastAsia="zh-CN" w:bidi="ar"/>
              </w:rPr>
              <w:br w:type="textWrapping"/>
            </w:r>
            <w:r>
              <w:rPr>
                <w:rStyle w:val="43"/>
                <w:lang w:val="en-US" w:eastAsia="zh-CN" w:bidi="ar"/>
              </w:rPr>
              <w:t>9. 低亮高灰：支持软件实现0-100%不同亮度情况下，灰度12-16bits任意设置：100%亮度@16bits，50%亮度@14bits，20%亮度@12bits。</w:t>
            </w:r>
            <w:r>
              <w:rPr>
                <w:rStyle w:val="43"/>
                <w:lang w:val="en-US" w:eastAsia="zh-CN" w:bidi="ar"/>
              </w:rPr>
              <w:br w:type="textWrapping"/>
            </w:r>
            <w:r>
              <w:rPr>
                <w:rStyle w:val="43"/>
                <w:lang w:val="en-US" w:eastAsia="zh-CN" w:bidi="ar"/>
              </w:rPr>
              <w:t>10. 像素点失控（坏点或盲点）率：≤1/100000，无连续失控点。</w:t>
            </w:r>
            <w:r>
              <w:rPr>
                <w:rStyle w:val="43"/>
                <w:lang w:val="en-US" w:eastAsia="zh-CN" w:bidi="ar"/>
              </w:rPr>
              <w:br w:type="textWrapping"/>
            </w:r>
            <w:r>
              <w:rPr>
                <w:rStyle w:val="43"/>
                <w:lang w:val="en-US" w:eastAsia="zh-CN" w:bidi="ar"/>
              </w:rPr>
              <w:t>11. 模组智能储存：模组含智能存储电路，可以存储模组生产信息参数、运行参数等等，存储容量≥16kb</w:t>
            </w:r>
            <w:r>
              <w:rPr>
                <w:rStyle w:val="43"/>
                <w:lang w:val="en-US" w:eastAsia="zh-CN" w:bidi="ar"/>
              </w:rPr>
              <w:br w:type="textWrapping"/>
            </w:r>
            <w:r>
              <w:rPr>
                <w:rStyle w:val="43"/>
                <w:lang w:val="en-US" w:eastAsia="zh-CN" w:bidi="ar"/>
              </w:rPr>
              <w:t>12. 色温、色域：2000K-15000K连续可调，可设冷色、暖色、标准等多档白场调节。色域≥110%NTSC</w:t>
            </w:r>
            <w:r>
              <w:rPr>
                <w:rStyle w:val="43"/>
                <w:lang w:val="en-US" w:eastAsia="zh-CN" w:bidi="ar"/>
              </w:rPr>
              <w:br w:type="textWrapping"/>
            </w:r>
            <w:r>
              <w:rPr>
                <w:rStyle w:val="43"/>
                <w:lang w:val="en-US" w:eastAsia="zh-CN" w:bidi="ar"/>
              </w:rPr>
              <w:t>★13. 可以支持HDR显示，画面延时：≤0.5ms 。</w:t>
            </w:r>
            <w:r>
              <w:rPr>
                <w:rStyle w:val="43"/>
                <w:lang w:val="en-US" w:eastAsia="zh-CN" w:bidi="ar"/>
              </w:rPr>
              <w:br w:type="textWrapping"/>
            </w:r>
            <w:r>
              <w:rPr>
                <w:rStyle w:val="43"/>
                <w:lang w:val="en-US" w:eastAsia="zh-CN" w:bidi="ar"/>
              </w:rPr>
              <w:t>★14. 显示屏拍照等级：≥10bits。屏体正面为黑色哑光处理，反光率小于2%</w:t>
            </w:r>
            <w:r>
              <w:rPr>
                <w:rStyle w:val="43"/>
                <w:lang w:val="en-US" w:eastAsia="zh-CN" w:bidi="ar"/>
              </w:rPr>
              <w:br w:type="textWrapping"/>
            </w:r>
            <w:r>
              <w:rPr>
                <w:rStyle w:val="43"/>
                <w:lang w:val="en-US" w:eastAsia="zh-CN" w:bidi="ar"/>
              </w:rPr>
              <w:t>★15.水平视角≥170°/垂直视角≥170°</w:t>
            </w:r>
            <w:r>
              <w:rPr>
                <w:rStyle w:val="43"/>
                <w:lang w:val="en-US" w:eastAsia="zh-CN" w:bidi="ar"/>
              </w:rPr>
              <w:br w:type="textWrapping"/>
            </w:r>
            <w:r>
              <w:rPr>
                <w:rStyle w:val="43"/>
                <w:lang w:val="en-US" w:eastAsia="zh-CN" w:bidi="ar"/>
              </w:rPr>
              <w:t>16.电流增益调节级别：≥8位。</w:t>
            </w:r>
            <w:r>
              <w:rPr>
                <w:rStyle w:val="43"/>
                <w:lang w:val="en-US" w:eastAsia="zh-CN" w:bidi="ar"/>
              </w:rPr>
              <w:br w:type="textWrapping"/>
            </w:r>
            <w:r>
              <w:rPr>
                <w:rStyle w:val="43"/>
                <w:lang w:val="en-US" w:eastAsia="zh-CN" w:bidi="ar"/>
              </w:rPr>
              <w:t>17.具有显示模式调节功能，具备一键模式切换功能。</w:t>
            </w:r>
            <w:r>
              <w:rPr>
                <w:rStyle w:val="43"/>
                <w:lang w:val="en-US" w:eastAsia="zh-CN" w:bidi="ar"/>
              </w:rPr>
              <w:br w:type="textWrapping"/>
            </w:r>
            <w:r>
              <w:rPr>
                <w:rStyle w:val="43"/>
                <w:lang w:val="en-US" w:eastAsia="zh-CN" w:bidi="ar"/>
              </w:rPr>
              <w:t>★18.可承受≥5000N拉力，可承受≥45000N压力。</w:t>
            </w:r>
            <w:r>
              <w:rPr>
                <w:rStyle w:val="43"/>
                <w:lang w:val="en-US" w:eastAsia="zh-CN" w:bidi="ar"/>
              </w:rPr>
              <w:br w:type="textWrapping"/>
            </w:r>
            <w:r>
              <w:rPr>
                <w:rStyle w:val="43"/>
                <w:lang w:val="en-US" w:eastAsia="zh-CN" w:bidi="ar"/>
              </w:rPr>
              <w:t>★19. 超过2周时间没有使用产品，可以通过屏体控制系统来实现除湿模式，即使屏体从10%到100%亮度逐步显示，可以满足除湿效果。</w:t>
            </w:r>
            <w:r>
              <w:rPr>
                <w:rStyle w:val="43"/>
                <w:lang w:val="en-US" w:eastAsia="zh-CN" w:bidi="ar"/>
              </w:rPr>
              <w:br w:type="textWrapping"/>
            </w:r>
            <w:r>
              <w:rPr>
                <w:rStyle w:val="43"/>
                <w:lang w:val="en-US" w:eastAsia="zh-CN" w:bidi="ar"/>
              </w:rPr>
              <w:t>20.坏点监测：具有坏点监测功能，自动告警，方便快速维护。</w:t>
            </w:r>
            <w:r>
              <w:rPr>
                <w:rStyle w:val="43"/>
                <w:lang w:val="en-US" w:eastAsia="zh-CN" w:bidi="ar"/>
              </w:rPr>
              <w:br w:type="textWrapping"/>
            </w:r>
            <w:r>
              <w:rPr>
                <w:rStyle w:val="43"/>
                <w:lang w:val="en-US" w:eastAsia="zh-CN" w:bidi="ar"/>
              </w:rPr>
              <w:t>21.响应时间：纳秒级，急速响应不拖尾、无鬼影。</w:t>
            </w:r>
            <w:r>
              <w:rPr>
                <w:rStyle w:val="43"/>
                <w:lang w:val="en-US" w:eastAsia="zh-CN" w:bidi="ar"/>
              </w:rPr>
              <w:br w:type="textWrapping"/>
            </w:r>
            <w:r>
              <w:rPr>
                <w:rStyle w:val="43"/>
                <w:lang w:val="en-US" w:eastAsia="zh-CN" w:bidi="ar"/>
              </w:rPr>
              <w:t>22.模组间的相对错位值≤0.1mm，模组间拼缝与间隙≤0.1mm。</w:t>
            </w:r>
            <w:r>
              <w:rPr>
                <w:rStyle w:val="43"/>
                <w:lang w:val="en-US" w:eastAsia="zh-CN" w:bidi="ar"/>
              </w:rPr>
              <w:br w:type="textWrapping"/>
            </w:r>
            <w:r>
              <w:rPr>
                <w:rStyle w:val="43"/>
                <w:lang w:val="en-US" w:eastAsia="zh-CN" w:bidi="ar"/>
              </w:rPr>
              <w:t>★23. 灯珠外层具备透明哑光保护层，采用纳米涂覆技术，阻隔灯珠与外部的接触，材质硬度等级HRC8级，灯珠表面使用无划痕。</w:t>
            </w:r>
            <w:r>
              <w:rPr>
                <w:rStyle w:val="43"/>
                <w:lang w:val="en-US" w:eastAsia="zh-CN" w:bidi="ar"/>
              </w:rPr>
              <w:br w:type="textWrapping"/>
            </w:r>
            <w:r>
              <w:rPr>
                <w:rStyle w:val="43"/>
                <w:lang w:val="en-US" w:eastAsia="zh-CN" w:bidi="ar"/>
              </w:rPr>
              <w:t>24.平均无故障测试：平均无故障使用时间不低于200000h。</w:t>
            </w:r>
            <w:r>
              <w:rPr>
                <w:rStyle w:val="43"/>
                <w:lang w:val="en-US" w:eastAsia="zh-CN" w:bidi="ar"/>
              </w:rPr>
              <w:br w:type="textWrapping"/>
            </w:r>
            <w:r>
              <w:rPr>
                <w:rStyle w:val="43"/>
                <w:lang w:val="en-US" w:eastAsia="zh-CN" w:bidi="ar"/>
              </w:rPr>
              <w:t>25. 电源；产品使用无风扇静音设计并带PFC功能的开关电源，功率因素≥0.95。</w:t>
            </w:r>
            <w:r>
              <w:rPr>
                <w:rStyle w:val="43"/>
                <w:lang w:val="en-US" w:eastAsia="zh-CN" w:bidi="ar"/>
              </w:rPr>
              <w:br w:type="textWrapping"/>
            </w:r>
            <w:r>
              <w:rPr>
                <w:rStyle w:val="43"/>
                <w:lang w:val="en-US" w:eastAsia="zh-CN" w:bidi="ar"/>
              </w:rPr>
              <w:t>26. 工作稳定性试验：支持7x24小时工作：产品在正常工作条件下，连续工作7天*24H（168H），不应出现电、机械或操作系统的故障。</w:t>
            </w:r>
            <w:r>
              <w:rPr>
                <w:rStyle w:val="43"/>
                <w:lang w:val="en-US" w:eastAsia="zh-CN" w:bidi="ar"/>
              </w:rPr>
              <w:br w:type="textWrapping"/>
            </w:r>
            <w:r>
              <w:rPr>
                <w:rStyle w:val="43"/>
                <w:lang w:val="en-US" w:eastAsia="zh-CN" w:bidi="ar"/>
              </w:rPr>
              <w:t>27. 平均修复时间（MTTR）：3次故障修好时间检测、故障处理后工作正常，产品无任何异常、报错，平均修复时间≤5分钟。</w:t>
            </w:r>
            <w:r>
              <w:rPr>
                <w:rStyle w:val="43"/>
                <w:lang w:val="en-US" w:eastAsia="zh-CN" w:bidi="ar"/>
              </w:rPr>
              <w:br w:type="textWrapping"/>
            </w:r>
            <w:r>
              <w:rPr>
                <w:rStyle w:val="43"/>
                <w:lang w:val="en-US" w:eastAsia="zh-CN" w:bidi="ar"/>
              </w:rPr>
              <w:t>28. 震动试验：在10Hz-55Hz-10Hz、振幅0.35mm、每一轴向循环扫频5次、每次震动持续时间10min条件下测试后，产品外观、功能都正常。</w:t>
            </w:r>
            <w:r>
              <w:rPr>
                <w:rStyle w:val="43"/>
                <w:lang w:val="en-US" w:eastAsia="zh-CN" w:bidi="ar"/>
              </w:rPr>
              <w:br w:type="textWrapping"/>
            </w:r>
            <w:r>
              <w:rPr>
                <w:rStyle w:val="43"/>
                <w:lang w:val="en-US" w:eastAsia="zh-CN" w:bidi="ar"/>
              </w:rPr>
              <w:t>29. 绝缘电阻试验：电源插头或电源引入端子与外壳裸露金属部件之间的绝缘电阻在正常大气条件下应≥100MΩ，湿热条件下应≥2MΩ。</w:t>
            </w:r>
            <w:r>
              <w:rPr>
                <w:rStyle w:val="43"/>
                <w:lang w:val="en-US" w:eastAsia="zh-CN" w:bidi="ar"/>
              </w:rPr>
              <w:br w:type="textWrapping"/>
            </w:r>
            <w:r>
              <w:rPr>
                <w:rStyle w:val="43"/>
                <w:lang w:val="en-US" w:eastAsia="zh-CN" w:bidi="ar"/>
              </w:rPr>
              <w:t>30. 耐压试验：电源插头或电源引入端与外壳裸露金属部件之间，应承受1.5KV交流电压/历时1min的抗电强度试验，应无击穿和飞弧现象。</w:t>
            </w:r>
            <w:r>
              <w:rPr>
                <w:rStyle w:val="43"/>
                <w:lang w:val="en-US" w:eastAsia="zh-CN" w:bidi="ar"/>
              </w:rPr>
              <w:br w:type="textWrapping"/>
            </w:r>
            <w:r>
              <w:rPr>
                <w:rStyle w:val="43"/>
                <w:lang w:val="en-US" w:eastAsia="zh-CN" w:bidi="ar"/>
              </w:rPr>
              <w:t>31. 接地电阻测试：根据GB4943.1-2011信息技术设备安全标准对设备进行接地电阻测试试验 输入地线-接地远端 测试限制≤100mΩ。</w:t>
            </w:r>
            <w:r>
              <w:rPr>
                <w:rStyle w:val="43"/>
                <w:lang w:val="en-US" w:eastAsia="zh-CN" w:bidi="ar"/>
              </w:rPr>
              <w:br w:type="textWrapping"/>
            </w:r>
            <w:r>
              <w:rPr>
                <w:rStyle w:val="43"/>
                <w:lang w:val="en-US" w:eastAsia="zh-CN" w:bidi="ar"/>
              </w:rPr>
              <w:t>32. 着火危险试验（UL94标准）：PCB板、线材、电源、连接件、面罩：V-0级。</w:t>
            </w:r>
            <w:r>
              <w:rPr>
                <w:rStyle w:val="43"/>
                <w:lang w:val="en-US" w:eastAsia="zh-CN" w:bidi="ar"/>
              </w:rPr>
              <w:br w:type="textWrapping"/>
            </w:r>
            <w:r>
              <w:rPr>
                <w:rStyle w:val="43"/>
                <w:lang w:val="en-US" w:eastAsia="zh-CN" w:bidi="ar"/>
              </w:rPr>
              <w:t>33. 噪声：静音工作：在温度25℃、温度40%RH、大气压力100.2Kpa条件时，LED显示屏工作状态下要求距离产品四周的1m处最大噪声声压＜15db。</w:t>
            </w:r>
            <w:r>
              <w:rPr>
                <w:rStyle w:val="43"/>
                <w:lang w:val="en-US" w:eastAsia="zh-CN" w:bidi="ar"/>
              </w:rPr>
              <w:br w:type="textWrapping"/>
            </w:r>
            <w:r>
              <w:rPr>
                <w:rStyle w:val="43"/>
                <w:lang w:val="en-US" w:eastAsia="zh-CN" w:bidi="ar"/>
              </w:rPr>
              <w:t>34. 盐雾测试：按照GB/T 2423.17-2008标准的试验方法做盐雾试验，产品在温度35℃、盐雾为浓度5%的NaCl溶液、PH值7.0、连续喷雾2小时后静置22小时为1个循环周期/总共3个循环周期的条件下试验后，产品外观无生锈现象，可以无故障运行。</w:t>
            </w:r>
            <w:r>
              <w:rPr>
                <w:rStyle w:val="43"/>
                <w:lang w:val="en-US" w:eastAsia="zh-CN" w:bidi="ar"/>
              </w:rPr>
              <w:br w:type="textWrapping"/>
            </w:r>
            <w:r>
              <w:rPr>
                <w:rStyle w:val="43"/>
                <w:lang w:val="en-US" w:eastAsia="zh-CN" w:bidi="ar"/>
              </w:rPr>
              <w:t>★35.符合IEC 62471：2006标准的光生物安全及蓝光危害评估检测的无危害类要求（豁免级），具备防蓝光护眼模式。蓝光对皮肤和眼睛紫外线危害、宽波段的光源对视网膜危害、蓝光对皮肤表面及角膜和视网膜的曝辐射值检测均达到无危害等级要求。</w:t>
            </w:r>
            <w:r>
              <w:rPr>
                <w:rStyle w:val="43"/>
                <w:lang w:val="en-US" w:eastAsia="zh-CN" w:bidi="ar"/>
              </w:rPr>
              <w:br w:type="textWrapping"/>
            </w:r>
            <w:r>
              <w:rPr>
                <w:rStyle w:val="43"/>
                <w:lang w:val="en-US" w:eastAsia="zh-CN" w:bidi="ar"/>
              </w:rPr>
              <w:t>36. 抗干扰：运行稳定，不收外界各射频电磁场的干扰。</w:t>
            </w:r>
            <w:r>
              <w:rPr>
                <w:rStyle w:val="43"/>
                <w:lang w:val="en-US" w:eastAsia="zh-CN" w:bidi="ar"/>
              </w:rPr>
              <w:br w:type="textWrapping"/>
            </w:r>
            <w:r>
              <w:rPr>
                <w:rStyle w:val="43"/>
                <w:lang w:val="en-US" w:eastAsia="zh-CN" w:bidi="ar"/>
              </w:rPr>
              <w:t>37. 坏点监测：具有坏点监测功能，自动告警，方便快速维护。</w:t>
            </w:r>
            <w:r>
              <w:rPr>
                <w:rStyle w:val="43"/>
                <w:lang w:val="en-US" w:eastAsia="zh-CN" w:bidi="ar"/>
              </w:rPr>
              <w:br w:type="textWrapping"/>
            </w:r>
            <w:r>
              <w:rPr>
                <w:rStyle w:val="43"/>
                <w:lang w:val="en-US" w:eastAsia="zh-CN" w:bidi="ar"/>
              </w:rPr>
              <w:t>38. 防磕灯保护：产品具有防磕灯保护设计</w:t>
            </w:r>
            <w:r>
              <w:rPr>
                <w:rStyle w:val="43"/>
                <w:lang w:val="en-US" w:eastAsia="zh-CN" w:bidi="ar"/>
              </w:rPr>
              <w:br w:type="textWrapping"/>
            </w:r>
            <w:r>
              <w:rPr>
                <w:rStyle w:val="43"/>
                <w:lang w:val="en-US" w:eastAsia="zh-CN" w:bidi="ar"/>
              </w:rPr>
              <w:t>★39. UV紫外线：辐照强度：0.76W/㎡.nm@340nm 温度：60℃。冷凝温度：50℃、24循环、288h判定标准：试验后，样品外观无异常，符合5级。</w:t>
            </w:r>
            <w:r>
              <w:rPr>
                <w:rStyle w:val="43"/>
                <w:lang w:val="en-US" w:eastAsia="zh-CN" w:bidi="ar"/>
              </w:rPr>
              <w:br w:type="textWrapping"/>
            </w:r>
            <w:r>
              <w:rPr>
                <w:rStyle w:val="43"/>
                <w:lang w:val="en-US" w:eastAsia="zh-CN" w:bidi="ar"/>
              </w:rPr>
              <w:t>40.跌落：符合GB4943.1-2011信息技术设备安全标准对设备进行跌落试验的要求。</w:t>
            </w:r>
            <w:r>
              <w:rPr>
                <w:rStyle w:val="43"/>
                <w:lang w:val="en-US" w:eastAsia="zh-CN" w:bidi="ar"/>
              </w:rPr>
              <w:br w:type="textWrapping"/>
            </w:r>
            <w:r>
              <w:rPr>
                <w:rStyle w:val="45"/>
                <w:color w:val="auto"/>
                <w:lang w:val="en-US" w:eastAsia="zh-CN" w:bidi="ar"/>
              </w:rPr>
              <w:t>★41.以上1-40项技术参数数据值须提供并通过ilac-MRA/CNAS/CMA标志认证第三方专业检测机构出具的检测报告证明文件</w:t>
            </w:r>
            <w:r>
              <w:rPr>
                <w:rStyle w:val="44"/>
                <w:color w:val="auto"/>
                <w:lang w:val="en-US" w:eastAsia="zh-CN" w:bidi="ar"/>
              </w:rPr>
              <w:t>并加盖设备制造商公章</w:t>
            </w:r>
            <w:r>
              <w:rPr>
                <w:rStyle w:val="45"/>
                <w:color w:val="auto"/>
                <w:lang w:val="en-US" w:eastAsia="zh-CN" w:bidi="ar"/>
              </w:rPr>
              <w:t>，中标后需提供原厂家针对本项目的授权质保函证明文件。</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3B39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0A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7.99</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1F10">
            <w:pPr>
              <w:jc w:val="center"/>
              <w:rPr>
                <w:rFonts w:hint="eastAsia" w:ascii="宋体" w:hAnsi="宋体" w:eastAsia="宋体" w:cs="宋体"/>
                <w:i w:val="0"/>
                <w:iCs w:val="0"/>
                <w:color w:val="000000"/>
                <w:sz w:val="21"/>
                <w:szCs w:val="21"/>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A5339">
            <w:pPr>
              <w:jc w:val="center"/>
              <w:rPr>
                <w:rFonts w:hint="eastAsia" w:ascii="宋体" w:hAnsi="宋体" w:eastAsia="宋体" w:cs="宋体"/>
                <w:i w:val="0"/>
                <w:iCs w:val="0"/>
                <w:color w:val="000000"/>
                <w:sz w:val="20"/>
                <w:szCs w:val="20"/>
                <w:u w:val="none"/>
              </w:rPr>
            </w:pPr>
          </w:p>
        </w:tc>
      </w:tr>
      <w:tr w14:paraId="5B671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BFE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二、扩声系统</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B0BAF">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876B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59E1D">
            <w:pPr>
              <w:jc w:val="center"/>
              <w:rPr>
                <w:rFonts w:hint="eastAsia" w:ascii="宋体" w:hAnsi="宋体" w:eastAsia="宋体" w:cs="宋体"/>
                <w:i w:val="0"/>
                <w:iCs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ED42">
            <w:pPr>
              <w:jc w:val="center"/>
              <w:rPr>
                <w:rFonts w:hint="eastAsia" w:ascii="宋体" w:hAnsi="宋体" w:eastAsia="宋体" w:cs="宋体"/>
                <w:i w:val="0"/>
                <w:iCs w:val="0"/>
                <w:color w:val="000000"/>
                <w:sz w:val="21"/>
                <w:szCs w:val="21"/>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73DAE">
            <w:pPr>
              <w:jc w:val="center"/>
              <w:rPr>
                <w:rFonts w:hint="eastAsia" w:ascii="宋体" w:hAnsi="宋体" w:eastAsia="宋体" w:cs="宋体"/>
                <w:i w:val="0"/>
                <w:iCs w:val="0"/>
                <w:color w:val="000000"/>
                <w:sz w:val="20"/>
                <w:szCs w:val="20"/>
                <w:u w:val="none"/>
              </w:rPr>
            </w:pPr>
          </w:p>
        </w:tc>
      </w:tr>
      <w:tr w14:paraId="1A944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30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71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全频音柱</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4D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1.有效频率范围(-10dB)：105Hz-16kHz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2.喇叭单元: 12×3"永磁体full(72mm)/0.75"(19mm)Voice-coil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3.额定阻抗(±20%): 6Ω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4.音箱功率: 300W(AES),1200W(PEAK)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5.特性灵敏度级(±2dB): 96dB/w/m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6.指定频带内的声压级: ≥120dB 、峰值: ≥126dB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7.总谐波失真：≤3%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8.覆盖角度（水平/垂直）：100°x15°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9.插座:4×NL4 speakon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10.安装方式：墙架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11.箱体材料：木质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12.净重:12kg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13.产品尺寸(W×D×H): 124×155×1063mm</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65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42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1F94">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34CB2">
            <w:pPr>
              <w:jc w:val="center"/>
              <w:rPr>
                <w:rFonts w:hint="eastAsia" w:ascii="宋体" w:hAnsi="宋体" w:eastAsia="宋体" w:cs="宋体"/>
                <w:i w:val="0"/>
                <w:iCs w:val="0"/>
                <w:color w:val="000000"/>
                <w:sz w:val="20"/>
                <w:szCs w:val="20"/>
                <w:u w:val="none"/>
              </w:rPr>
            </w:pPr>
          </w:p>
        </w:tc>
      </w:tr>
      <w:tr w14:paraId="3971A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71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E5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壁挂支架</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F8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适用于ST系列、最大承重20KG ,尺寸：94mm*190mm*3mm</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28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84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74F8">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852FA">
            <w:pPr>
              <w:jc w:val="center"/>
              <w:rPr>
                <w:rFonts w:hint="eastAsia" w:ascii="宋体" w:hAnsi="宋体" w:eastAsia="宋体" w:cs="宋体"/>
                <w:i w:val="0"/>
                <w:iCs w:val="0"/>
                <w:color w:val="000000"/>
                <w:sz w:val="20"/>
                <w:szCs w:val="20"/>
                <w:u w:val="none"/>
              </w:rPr>
            </w:pPr>
          </w:p>
        </w:tc>
      </w:tr>
      <w:tr w14:paraId="39D3F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24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F8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功率放大器</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E4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3"/>
                <w:lang w:val="en-US" w:eastAsia="zh-CN" w:bidi="ar"/>
              </w:rPr>
              <w:t>额定功率（1KHz, 1% THD+N）立体声8</w:t>
            </w:r>
            <w:r>
              <w:rPr>
                <w:rStyle w:val="46"/>
                <w:rFonts w:eastAsia="宋体"/>
                <w:lang w:val="en-US" w:eastAsia="zh-CN" w:bidi="ar"/>
              </w:rPr>
              <w:t>Ω</w:t>
            </w:r>
            <w:r>
              <w:rPr>
                <w:rStyle w:val="43"/>
                <w:lang w:val="en-US" w:eastAsia="zh-CN" w:bidi="ar"/>
              </w:rPr>
              <w:t>：2×350W</w:t>
            </w:r>
            <w:r>
              <w:rPr>
                <w:rStyle w:val="43"/>
                <w:lang w:val="en-US" w:eastAsia="zh-CN" w:bidi="ar"/>
              </w:rPr>
              <w:br w:type="textWrapping"/>
            </w:r>
            <w:r>
              <w:rPr>
                <w:rStyle w:val="43"/>
                <w:lang w:val="en-US" w:eastAsia="zh-CN" w:bidi="ar"/>
              </w:rPr>
              <w:t>额定功率（1KHz, 1% THD+N）立体声4</w:t>
            </w:r>
            <w:r>
              <w:rPr>
                <w:rStyle w:val="46"/>
                <w:rFonts w:eastAsia="宋体"/>
                <w:lang w:val="en-US" w:eastAsia="zh-CN" w:bidi="ar"/>
              </w:rPr>
              <w:t>Ω</w:t>
            </w:r>
            <w:r>
              <w:rPr>
                <w:rStyle w:val="43"/>
                <w:lang w:val="en-US" w:eastAsia="zh-CN" w:bidi="ar"/>
              </w:rPr>
              <w:t>：2×500W</w:t>
            </w:r>
            <w:r>
              <w:rPr>
                <w:rStyle w:val="43"/>
                <w:lang w:val="en-US" w:eastAsia="zh-CN" w:bidi="ar"/>
              </w:rPr>
              <w:br w:type="textWrapping"/>
            </w:r>
            <w:r>
              <w:rPr>
                <w:rStyle w:val="43"/>
                <w:lang w:val="en-US" w:eastAsia="zh-CN" w:bidi="ar"/>
              </w:rPr>
              <w:t>桥接单声道模式 8</w:t>
            </w:r>
            <w:r>
              <w:rPr>
                <w:rStyle w:val="46"/>
                <w:rFonts w:eastAsia="宋体"/>
                <w:lang w:val="en-US" w:eastAsia="zh-CN" w:bidi="ar"/>
              </w:rPr>
              <w:t>Ω</w:t>
            </w:r>
            <w:r>
              <w:rPr>
                <w:rStyle w:val="43"/>
                <w:lang w:val="en-US" w:eastAsia="zh-CN" w:bidi="ar"/>
              </w:rPr>
              <w:t>:1000W</w:t>
            </w:r>
            <w:r>
              <w:rPr>
                <w:rStyle w:val="43"/>
                <w:lang w:val="en-US" w:eastAsia="zh-CN" w:bidi="ar"/>
              </w:rPr>
              <w:br w:type="textWrapping"/>
            </w:r>
            <w:r>
              <w:rPr>
                <w:rStyle w:val="43"/>
                <w:lang w:val="en-US" w:eastAsia="zh-CN" w:bidi="ar"/>
              </w:rPr>
              <w:t>频率响应（1W）：20Hz-20kHz，+1/-1dB</w:t>
            </w:r>
            <w:r>
              <w:rPr>
                <w:rStyle w:val="43"/>
                <w:lang w:val="en-US" w:eastAsia="zh-CN" w:bidi="ar"/>
              </w:rPr>
              <w:br w:type="textWrapping"/>
            </w:r>
            <w:r>
              <w:rPr>
                <w:rStyle w:val="43"/>
                <w:lang w:val="en-US" w:eastAsia="zh-CN" w:bidi="ar"/>
              </w:rPr>
              <w:t>电压增益( 额定功率8</w:t>
            </w:r>
            <w:r>
              <w:rPr>
                <w:rStyle w:val="46"/>
                <w:rFonts w:eastAsia="宋体"/>
                <w:lang w:val="en-US" w:eastAsia="zh-CN" w:bidi="ar"/>
              </w:rPr>
              <w:t>Ω</w:t>
            </w:r>
            <w:r>
              <w:rPr>
                <w:rStyle w:val="43"/>
                <w:lang w:val="en-US" w:eastAsia="zh-CN" w:bidi="ar"/>
              </w:rPr>
              <w:t>，0.775V/1.4V ）：×68/×38</w:t>
            </w:r>
            <w:r>
              <w:rPr>
                <w:rStyle w:val="43"/>
                <w:lang w:val="en-US" w:eastAsia="zh-CN" w:bidi="ar"/>
              </w:rPr>
              <w:br w:type="textWrapping"/>
            </w:r>
            <w:r>
              <w:rPr>
                <w:rStyle w:val="43"/>
                <w:lang w:val="en-US" w:eastAsia="zh-CN" w:bidi="ar"/>
              </w:rPr>
              <w:t>总谐波失真（THD+N)( 标准测量条件，8</w:t>
            </w:r>
            <w:r>
              <w:rPr>
                <w:rStyle w:val="46"/>
                <w:rFonts w:eastAsia="宋体"/>
                <w:lang w:val="en-US" w:eastAsia="zh-CN" w:bidi="ar"/>
              </w:rPr>
              <w:t>Ω</w:t>
            </w:r>
            <w:r>
              <w:rPr>
                <w:rStyle w:val="43"/>
                <w:lang w:val="en-US" w:eastAsia="zh-CN" w:bidi="ar"/>
              </w:rPr>
              <w:t>/1KHz )：≤0.1%</w:t>
            </w:r>
            <w:r>
              <w:rPr>
                <w:rStyle w:val="43"/>
                <w:lang w:val="en-US" w:eastAsia="zh-CN" w:bidi="ar"/>
              </w:rPr>
              <w:br w:type="textWrapping"/>
            </w:r>
            <w:r>
              <w:rPr>
                <w:rStyle w:val="43"/>
                <w:lang w:val="en-US" w:eastAsia="zh-CN" w:bidi="ar"/>
              </w:rPr>
              <w:t>阻尼系数：≥150:1</w:t>
            </w:r>
            <w:r>
              <w:rPr>
                <w:rStyle w:val="43"/>
                <w:lang w:val="en-US" w:eastAsia="zh-CN" w:bidi="ar"/>
              </w:rPr>
              <w:br w:type="textWrapping"/>
            </w:r>
            <w:r>
              <w:rPr>
                <w:rStyle w:val="43"/>
                <w:lang w:val="en-US" w:eastAsia="zh-CN" w:bidi="ar"/>
              </w:rPr>
              <w:t>信噪比（A计权）：≥100dB</w:t>
            </w:r>
            <w:r>
              <w:rPr>
                <w:rStyle w:val="43"/>
                <w:lang w:val="en-US" w:eastAsia="zh-CN" w:bidi="ar"/>
              </w:rPr>
              <w:br w:type="textWrapping"/>
            </w:r>
            <w:r>
              <w:rPr>
                <w:rStyle w:val="43"/>
                <w:lang w:val="en-US" w:eastAsia="zh-CN" w:bidi="ar"/>
              </w:rPr>
              <w:t>输入灵敏度（额定功率8</w:t>
            </w:r>
            <w:r>
              <w:rPr>
                <w:rStyle w:val="46"/>
                <w:rFonts w:eastAsia="宋体"/>
                <w:lang w:val="en-US" w:eastAsia="zh-CN" w:bidi="ar"/>
              </w:rPr>
              <w:t>Ω</w:t>
            </w:r>
            <w:r>
              <w:rPr>
                <w:rStyle w:val="43"/>
                <w:lang w:val="en-US" w:eastAsia="zh-CN" w:bidi="ar"/>
              </w:rPr>
              <w:t>）：0.775V or 1.4V</w:t>
            </w:r>
            <w:r>
              <w:rPr>
                <w:rStyle w:val="43"/>
                <w:lang w:val="en-US" w:eastAsia="zh-CN" w:bidi="ar"/>
              </w:rPr>
              <w:br w:type="textWrapping"/>
            </w:r>
            <w:r>
              <w:rPr>
                <w:rStyle w:val="43"/>
                <w:lang w:val="en-US" w:eastAsia="zh-CN" w:bidi="ar"/>
              </w:rPr>
              <w:t>输入阻抗：20k ohms（平衡）/10k ohms（非平衡）</w:t>
            </w:r>
            <w:r>
              <w:rPr>
                <w:rStyle w:val="43"/>
                <w:lang w:val="en-US" w:eastAsia="zh-CN" w:bidi="ar"/>
              </w:rPr>
              <w:br w:type="textWrapping"/>
            </w:r>
            <w:r>
              <w:rPr>
                <w:rStyle w:val="43"/>
                <w:lang w:val="en-US" w:eastAsia="zh-CN" w:bidi="ar"/>
              </w:rPr>
              <w:t>分离度：≥65dB</w:t>
            </w:r>
            <w:r>
              <w:rPr>
                <w:rStyle w:val="43"/>
                <w:lang w:val="en-US" w:eastAsia="zh-CN" w:bidi="ar"/>
              </w:rPr>
              <w:br w:type="textWrapping"/>
            </w:r>
            <w:r>
              <w:rPr>
                <w:rStyle w:val="43"/>
                <w:lang w:val="en-US" w:eastAsia="zh-CN" w:bidi="ar"/>
              </w:rPr>
              <w:t>输入共模抑制比：≥60dB</w:t>
            </w:r>
            <w:r>
              <w:rPr>
                <w:rStyle w:val="43"/>
                <w:lang w:val="en-US" w:eastAsia="zh-CN" w:bidi="ar"/>
              </w:rPr>
              <w:br w:type="textWrapping"/>
            </w:r>
            <w:r>
              <w:rPr>
                <w:rStyle w:val="43"/>
                <w:lang w:val="en-US" w:eastAsia="zh-CN" w:bidi="ar"/>
              </w:rPr>
              <w:t>输入连接器：每通道一路平衡XLR</w:t>
            </w:r>
            <w:r>
              <w:rPr>
                <w:rStyle w:val="43"/>
                <w:lang w:val="en-US" w:eastAsia="zh-CN" w:bidi="ar"/>
              </w:rPr>
              <w:br w:type="textWrapping"/>
            </w:r>
            <w:r>
              <w:rPr>
                <w:rStyle w:val="43"/>
                <w:lang w:val="en-US" w:eastAsia="zh-CN" w:bidi="ar"/>
              </w:rPr>
              <w:t>输出连接器：每通道4-POLE Speakon</w:t>
            </w:r>
            <w:r>
              <w:rPr>
                <w:rStyle w:val="43"/>
                <w:lang w:val="en-US" w:eastAsia="zh-CN" w:bidi="ar"/>
              </w:rPr>
              <w:br w:type="textWrapping"/>
            </w:r>
            <w:r>
              <w:rPr>
                <w:rStyle w:val="43"/>
                <w:lang w:val="en-US" w:eastAsia="zh-CN" w:bidi="ar"/>
              </w:rPr>
              <w:t>电源：AC 220V 50-60Hz</w:t>
            </w:r>
            <w:r>
              <w:rPr>
                <w:rStyle w:val="43"/>
                <w:lang w:val="en-US" w:eastAsia="zh-CN" w:bidi="ar"/>
              </w:rPr>
              <w:br w:type="textWrapping"/>
            </w:r>
            <w:r>
              <w:rPr>
                <w:rStyle w:val="43"/>
                <w:lang w:val="en-US" w:eastAsia="zh-CN" w:bidi="ar"/>
              </w:rPr>
              <w:t>机箱尺寸（高×宽×深）：88mm×483mm×305mm</w:t>
            </w:r>
            <w:r>
              <w:rPr>
                <w:rStyle w:val="43"/>
                <w:lang w:val="en-US" w:eastAsia="zh-CN" w:bidi="ar"/>
              </w:rPr>
              <w:br w:type="textWrapping"/>
            </w:r>
            <w:r>
              <w:rPr>
                <w:rStyle w:val="43"/>
                <w:lang w:val="en-US" w:eastAsia="zh-CN" w:bidi="ar"/>
              </w:rPr>
              <w:t>净重：13kg</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6F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EB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56B78">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2C05A">
            <w:pPr>
              <w:jc w:val="center"/>
              <w:rPr>
                <w:rFonts w:hint="eastAsia" w:ascii="宋体" w:hAnsi="宋体" w:eastAsia="宋体" w:cs="宋体"/>
                <w:i w:val="0"/>
                <w:iCs w:val="0"/>
                <w:color w:val="000000"/>
                <w:sz w:val="20"/>
                <w:szCs w:val="20"/>
                <w:u w:val="none"/>
              </w:rPr>
            </w:pPr>
          </w:p>
        </w:tc>
      </w:tr>
      <w:tr w14:paraId="306C1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98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65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top"/>
          </w:tcPr>
          <w:p w14:paraId="1FBD9F7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16路输入通道,其中8路话筒输入+4路立体声线路输入。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8路Mic输入，每路单独控制幻像供电。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1-8 通道3段均衡（中频段扫频）和高通滤波器。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1-6通道内置通道压缩器。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四编组，内置效果器，3 Aux, 60mm行程推子。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高精度三色精确电平柱，准确显示输出电平，监听电平。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配外置静噪电源。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上机架设计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◆数字模拟一体机</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BF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00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8F6FF">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1AA2D">
            <w:pPr>
              <w:jc w:val="center"/>
              <w:rPr>
                <w:rFonts w:hint="eastAsia" w:ascii="宋体" w:hAnsi="宋体" w:eastAsia="宋体" w:cs="宋体"/>
                <w:i w:val="0"/>
                <w:iCs w:val="0"/>
                <w:color w:val="000000"/>
                <w:sz w:val="20"/>
                <w:szCs w:val="20"/>
                <w:u w:val="none"/>
              </w:rPr>
            </w:pPr>
          </w:p>
        </w:tc>
      </w:tr>
      <w:tr w14:paraId="6BFA0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96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D5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音频处理器</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56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3"/>
                <w:lang w:val="en-US" w:eastAsia="zh-CN" w:bidi="ar"/>
              </w:rPr>
              <w:t>功能特点：</w:t>
            </w:r>
            <w:r>
              <w:rPr>
                <w:rStyle w:val="43"/>
                <w:lang w:val="en-US" w:eastAsia="zh-CN" w:bidi="ar"/>
              </w:rPr>
              <w:br w:type="textWrapping"/>
            </w:r>
            <w:r>
              <w:rPr>
                <w:rStyle w:val="43"/>
                <w:lang w:val="en-US" w:eastAsia="zh-CN" w:bidi="ar"/>
              </w:rPr>
              <w:t xml:space="preserve">★可视化反馈啸叫显示功能，有效抑制更多啸叫点的形成                                       ★内置中控代码生成器，无需自行套用公式编辑代码                                           ★全功能矩阵混音功能，内置专利性分量式矩阵调节功能 </w:t>
            </w:r>
            <w:r>
              <w:rPr>
                <w:rStyle w:val="43"/>
                <w:lang w:val="en-US" w:eastAsia="zh-CN" w:bidi="ar"/>
              </w:rPr>
              <w:br w:type="textWrapping"/>
            </w:r>
            <w:r>
              <w:rPr>
                <w:rStyle w:val="43"/>
                <w:lang w:val="en-US" w:eastAsia="zh-CN" w:bidi="ar"/>
              </w:rPr>
              <w:t xml:space="preserve">★内置强大的DSP芯片工作，使系统更加稳定可靠  </w:t>
            </w:r>
            <w:r>
              <w:rPr>
                <w:rStyle w:val="43"/>
                <w:lang w:val="en-US" w:eastAsia="zh-CN" w:bidi="ar"/>
              </w:rPr>
              <w:br w:type="textWrapping"/>
            </w:r>
            <w:r>
              <w:rPr>
                <w:rStyle w:val="43"/>
                <w:lang w:val="en-US" w:eastAsia="zh-CN" w:bidi="ar"/>
              </w:rPr>
              <w:t>■支持PC、中控平台、按键面板、触摸面板等方式进行多重控制                                 ■8路平衡式话筒\线路输入，采用凤凰插接口</w:t>
            </w:r>
            <w:r>
              <w:rPr>
                <w:rStyle w:val="43"/>
                <w:lang w:val="en-US" w:eastAsia="zh-CN" w:bidi="ar"/>
              </w:rPr>
              <w:br w:type="textWrapping"/>
            </w:r>
            <w:r>
              <w:rPr>
                <w:rStyle w:val="43"/>
                <w:lang w:val="en-US" w:eastAsia="zh-CN" w:bidi="ar"/>
              </w:rPr>
              <w:t>■8路平衡式输出，采用凤凰插接口</w:t>
            </w:r>
            <w:r>
              <w:rPr>
                <w:rStyle w:val="43"/>
                <w:lang w:val="en-US" w:eastAsia="zh-CN" w:bidi="ar"/>
              </w:rPr>
              <w:br w:type="textWrapping"/>
            </w:r>
            <w:r>
              <w:rPr>
                <w:rStyle w:val="43"/>
                <w:lang w:val="en-US" w:eastAsia="zh-CN" w:bidi="ar"/>
              </w:rPr>
              <w:t>■面板上支持多种音频格式的立体声播放，可扩展USB多媒体存储录制功能</w:t>
            </w:r>
            <w:r>
              <w:rPr>
                <w:rStyle w:val="43"/>
                <w:lang w:val="en-US" w:eastAsia="zh-CN" w:bidi="ar"/>
              </w:rPr>
              <w:br w:type="textWrapping"/>
            </w:r>
            <w:r>
              <w:rPr>
                <w:rStyle w:val="43"/>
                <w:lang w:val="en-US" w:eastAsia="zh-CN" w:bidi="ar"/>
              </w:rPr>
              <w:t>■内置信号发生器、自动混音（AM）、自动增益控制（AGC）、反馈消除（AFC）、回声消除（AEC）、噪声消除（ANC）等主要算法</w:t>
            </w:r>
            <w:r>
              <w:rPr>
                <w:rStyle w:val="43"/>
                <w:lang w:val="en-US" w:eastAsia="zh-CN" w:bidi="ar"/>
              </w:rPr>
              <w:br w:type="textWrapping"/>
            </w:r>
            <w:r>
              <w:rPr>
                <w:rStyle w:val="43"/>
                <w:lang w:val="en-US" w:eastAsia="zh-CN" w:bidi="ar"/>
              </w:rPr>
              <w:t>■输入每通道：前级放大、信号发生器、扩展器、压缩器、5段参量均衡</w:t>
            </w:r>
            <w:r>
              <w:rPr>
                <w:rStyle w:val="43"/>
                <w:lang w:val="en-US" w:eastAsia="zh-CN" w:bidi="ar"/>
              </w:rPr>
              <w:br w:type="textWrapping"/>
            </w:r>
            <w:r>
              <w:rPr>
                <w:rStyle w:val="43"/>
                <w:lang w:val="en-US" w:eastAsia="zh-CN" w:bidi="ar"/>
              </w:rPr>
              <w:t>■输出每通道：31段图示均衡及8段全参量均衡切换选择、延时器、分频器、限幅器</w:t>
            </w:r>
            <w:r>
              <w:rPr>
                <w:rStyle w:val="43"/>
                <w:lang w:val="en-US" w:eastAsia="zh-CN" w:bidi="ar"/>
              </w:rPr>
              <w:br w:type="textWrapping"/>
            </w:r>
            <w:r>
              <w:rPr>
                <w:rStyle w:val="43"/>
                <w:lang w:val="en-US" w:eastAsia="zh-CN" w:bidi="ar"/>
              </w:rPr>
              <w:t>■内置自动摄像跟踪功能，轻松实现视频会议；支持场景预设功能；断电自动保护记忆功能；</w:t>
            </w:r>
            <w:r>
              <w:rPr>
                <w:rStyle w:val="43"/>
                <w:lang w:val="en-US" w:eastAsia="zh-CN" w:bidi="ar"/>
              </w:rPr>
              <w:br w:type="textWrapping"/>
            </w:r>
            <w:r>
              <w:rPr>
                <w:rStyle w:val="43"/>
                <w:lang w:val="en-US" w:eastAsia="zh-CN" w:bidi="ar"/>
              </w:rPr>
              <w:t>■具有几十余种专业音频处理模块，比如；5段全参量均衡器，31段图示均衡器，高精准的压缩及限幅器，高灵敏的扩展及自动增益，分频器，自动混音器，延时器，矩阵混音器，分量矩阵调节器，噪声门限，静音模块，信号发生器和信号指示电平表等</w:t>
            </w:r>
            <w:r>
              <w:rPr>
                <w:rStyle w:val="43"/>
                <w:lang w:val="en-US" w:eastAsia="zh-CN" w:bidi="ar"/>
              </w:rPr>
              <w:br w:type="textWrapping"/>
            </w:r>
            <w:r>
              <w:rPr>
                <w:rStyle w:val="43"/>
                <w:lang w:val="en-US" w:eastAsia="zh-CN" w:bidi="ar"/>
              </w:rPr>
              <w:t>■RS-485双向串行控制接口；可控制外部其它设备如：视频矩阵、摄像机等RS-485设备，或接收第三方RS-485控制</w:t>
            </w:r>
            <w:r>
              <w:rPr>
                <w:rStyle w:val="43"/>
                <w:lang w:val="en-US" w:eastAsia="zh-CN" w:bidi="ar"/>
              </w:rPr>
              <w:br w:type="textWrapping"/>
            </w:r>
            <w:r>
              <w:rPr>
                <w:rStyle w:val="43"/>
                <w:lang w:val="en-US" w:eastAsia="zh-CN" w:bidi="ar"/>
              </w:rPr>
              <w:t>■每个输入提供 + 48 VDC10 mA幻象电源</w:t>
            </w:r>
            <w:r>
              <w:rPr>
                <w:rStyle w:val="43"/>
                <w:lang w:val="en-US" w:eastAsia="zh-CN" w:bidi="ar"/>
              </w:rPr>
              <w:br w:type="textWrapping"/>
            </w:r>
            <w:r>
              <w:rPr>
                <w:rStyle w:val="43"/>
                <w:lang w:val="en-US" w:eastAsia="zh-CN" w:bidi="ar"/>
              </w:rPr>
              <w:t>■可通过TCP/IP接口和控制设备连接</w:t>
            </w:r>
            <w:r>
              <w:rPr>
                <w:rStyle w:val="43"/>
                <w:lang w:val="en-US" w:eastAsia="zh-CN" w:bidi="ar"/>
              </w:rPr>
              <w:br w:type="textWrapping"/>
            </w:r>
            <w:r>
              <w:rPr>
                <w:rStyle w:val="43"/>
                <w:lang w:val="en-US" w:eastAsia="zh-CN" w:bidi="ar"/>
              </w:rPr>
              <w:t>■支持8路逻辑输入/输出，4路电压输入控制（可接继电器或模拟可调电位器）的GPIO控制接口</w:t>
            </w:r>
            <w:r>
              <w:rPr>
                <w:rStyle w:val="43"/>
                <w:lang w:val="en-US" w:eastAsia="zh-CN" w:bidi="ar"/>
              </w:rPr>
              <w:br w:type="textWrapping"/>
            </w:r>
            <w:r>
              <w:rPr>
                <w:rStyle w:val="43"/>
                <w:lang w:val="en-US" w:eastAsia="zh-CN" w:bidi="ar"/>
              </w:rPr>
              <w:t>主要技术参数：</w:t>
            </w:r>
            <w:r>
              <w:rPr>
                <w:rStyle w:val="43"/>
                <w:lang w:val="en-US" w:eastAsia="zh-CN" w:bidi="ar"/>
              </w:rPr>
              <w:br w:type="textWrapping"/>
            </w:r>
            <w:r>
              <w:rPr>
                <w:rStyle w:val="43"/>
                <w:lang w:val="en-US" w:eastAsia="zh-CN" w:bidi="ar"/>
              </w:rPr>
              <w:t>■输入阻抗：平衡20K</w:t>
            </w:r>
            <w:r>
              <w:rPr>
                <w:rStyle w:val="47"/>
                <w:rFonts w:eastAsia="宋体"/>
                <w:lang w:val="en-US" w:eastAsia="zh-CN" w:bidi="ar"/>
              </w:rPr>
              <w:t>Ω</w:t>
            </w:r>
            <w:r>
              <w:rPr>
                <w:rStyle w:val="43"/>
                <w:lang w:val="en-US" w:eastAsia="zh-CN" w:bidi="ar"/>
              </w:rPr>
              <w:t>，非平衡10K</w:t>
            </w:r>
            <w:r>
              <w:rPr>
                <w:rStyle w:val="47"/>
                <w:rFonts w:eastAsia="宋体"/>
                <w:lang w:val="en-US" w:eastAsia="zh-CN" w:bidi="ar"/>
              </w:rPr>
              <w:t>Ω</w:t>
            </w:r>
            <w:r>
              <w:rPr>
                <w:rStyle w:val="43"/>
                <w:lang w:val="en-US" w:eastAsia="zh-CN" w:bidi="ar"/>
              </w:rPr>
              <w:t xml:space="preserve">            ■输出阻抗：平衡100</w:t>
            </w:r>
            <w:r>
              <w:rPr>
                <w:rStyle w:val="47"/>
                <w:rFonts w:eastAsia="宋体"/>
                <w:lang w:val="en-US" w:eastAsia="zh-CN" w:bidi="ar"/>
              </w:rPr>
              <w:t>Ω</w:t>
            </w:r>
            <w:r>
              <w:rPr>
                <w:rStyle w:val="43"/>
                <w:lang w:val="en-US" w:eastAsia="zh-CN" w:bidi="ar"/>
              </w:rPr>
              <w:t>，非平衡50</w:t>
            </w:r>
            <w:r>
              <w:rPr>
                <w:rStyle w:val="47"/>
                <w:rFonts w:eastAsia="宋体"/>
                <w:lang w:val="en-US" w:eastAsia="zh-CN" w:bidi="ar"/>
              </w:rPr>
              <w:t>Ω</w:t>
            </w:r>
            <w:r>
              <w:rPr>
                <w:rStyle w:val="43"/>
                <w:lang w:val="en-US" w:eastAsia="zh-CN" w:bidi="ar"/>
              </w:rPr>
              <w:t xml:space="preserve">             ■输入共模拟制比：≥78dB(1KHz)               ■输出动态范围：112dBu                       ■频率相应：20Hz-20KHz(±0.5dB)              ■信噪比：&gt;90dB@1KHz 0dBu                    ■失真度：﹤0.002% OUTPUT=0dBu/1KHz          ■信道分离度：&gt;100dB（1KHz）                 ■功耗：≤45W                                ■电源:AC110V/220V  50/60Hz                  ■产品尺寸（宽×深×高）:482mm×260mm×44mm  ■净重：2.2KG</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61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AE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BC16">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E2927">
            <w:pPr>
              <w:jc w:val="center"/>
              <w:rPr>
                <w:rFonts w:hint="eastAsia" w:ascii="宋体" w:hAnsi="宋体" w:eastAsia="宋体" w:cs="宋体"/>
                <w:i w:val="0"/>
                <w:iCs w:val="0"/>
                <w:color w:val="000000"/>
                <w:sz w:val="20"/>
                <w:szCs w:val="20"/>
                <w:u w:val="none"/>
              </w:rPr>
            </w:pPr>
          </w:p>
        </w:tc>
      </w:tr>
      <w:tr w14:paraId="43B16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56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67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反馈抑制器</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CD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具备反馈侦测功能，可用在双频道或单声道模式。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这个反馈系统首先分析信号线上的所有频率,找出L ARSEN效应的导因,然后启动12颗含有-45dB衰减度的陷波器把它消除掉。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这个系统可以分为15个步骤来调整,让使用者可以改变它的反馈灵敏度去适应环境状况的要求。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每个频段的12个陷波滤器的参数设定都可以被储存RAM的记忆体中.假如它们将来要做参考用,必须把它们储存在使用者记忆中。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具有20个可用的记忆。4个是可在工厂预设,16个供使用者设定。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这台机器有个在模拟(Analog)状态下设下的直通(bypass)系统,也可以通过MIDI、USB介面由外部控制双向的信息。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突出性能动态控制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出色的声音表现与加之48kHz采样率24位高端转换器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极低的噪声和失真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平衡输入和输出的1/4“TRS和XLR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数字输入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一流的DSP处理技术 反馈检测的基础上，动态扫描频段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截至12实时高精度的陷波滤波器高达每通道到45分贝衰减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计算机网络连接 通过全面管理的远程PC软件后面板的USB连接器，用于监测和控制PC直接通讯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MIDI IN / OUT端口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控制 前面板交互式液晶显示屏用于本地访问和配置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两个旋转编码器更方便的导航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旁路开关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处理器 数字反馈抑制器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使用者可用记忆 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可恢复(Recall)记忆体 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 XLR-F平衡/JACK x 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 XLR-M平衡/JACK x 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最大输入电平 15 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最大输出电平 10 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THD+N &lt;0.01%@-6dBFS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S/N比 &gt;102 dBA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 20Hz-20KHz +/-0.5dB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A/D和D/A的解析度 24比特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处理解析度 24 x 32比特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 2×20数字字母LCD显示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外加连接 MIDI / USB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 19英寸</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57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A7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2216">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6DA2B">
            <w:pPr>
              <w:jc w:val="center"/>
              <w:rPr>
                <w:rFonts w:hint="eastAsia" w:ascii="宋体" w:hAnsi="宋体" w:eastAsia="宋体" w:cs="宋体"/>
                <w:i w:val="0"/>
                <w:iCs w:val="0"/>
                <w:color w:val="000000"/>
                <w:sz w:val="20"/>
                <w:szCs w:val="20"/>
                <w:u w:val="none"/>
              </w:rPr>
            </w:pPr>
          </w:p>
        </w:tc>
      </w:tr>
      <w:tr w14:paraId="114EB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A2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83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数字无线会议麦克风</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322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产品特点/参数: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内置3编组叠机频率,一键调取. 同一频段可同时轻松叠机三套使用.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具有IR红外线自动对频功能,一键自动对频锁定.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四通道音量独立可调. 提供4+1音频输出.四通道各音频音量输出独立可控.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4.提供多种发射器可选. 发射器中会议坐式话筒 可以混搭使用. 互不干忧.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背光式LED显示屏指示了RF和AF信号强度，频率，频率组/频道等工作状态.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采用4通道相同的工作频率,使得发射器之间可以随时互换,极大地增强了操作的灵活性.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采用最新的UHF波段无线音频发射芯片模块IC. 具有优越的RF性能和音频性能，为客户提供专业级的音质体验。配合杂讯锁定静噪控制与数码导频技术, 当发射器关闭时，导频控制将AF信号静音以抑制噪声，同时将接收机对应通道静音。保证了对干忧信号的有效阻隔.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接收机系统指标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频率范围: 610~670 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调制方式 : FM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可调范围 : 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信道数目 : 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信道间隔 : 300KHz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频率稳定度 :±0.005%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动态范围 :100dB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最大频偏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音频响应: 80Hz-18KHz(±3dB)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综合信噪比 :&gt;105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综合失真 : ≤0.5%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 : -10℃ -+40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接收机指标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接收机方式：二次变频超外差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中频频率：第一中频  ：110MHz, second  10.7MHz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无线接口 ：BNC/50Ω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 ：12dBμV（80DbS/N）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灵敏度调节范围 ：12-32 dBμV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杂散抑制 ：&gt;75dB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最大输出电平 ：+10dBV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工作电压电流: 12V 1000mA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发射器指标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无线程式：佩挂发射器采用1/4波长鞭状天线，手持麦克风内置螺旋天线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输出功率：高功率15mW; 低功率 8mW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杂散抑制 ：-60dB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供电  ：两节5号（AA）电池 2 AA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使用时间  ：连续使用13个小时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使用距离: 理想工况下有效使用距离为80米. 复杂环境下有效使用距离不小于45米.</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F5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55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1569E">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355FE">
            <w:pPr>
              <w:jc w:val="center"/>
              <w:rPr>
                <w:rFonts w:hint="eastAsia" w:ascii="宋体" w:hAnsi="宋体" w:eastAsia="宋体" w:cs="宋体"/>
                <w:i w:val="0"/>
                <w:iCs w:val="0"/>
                <w:color w:val="000000"/>
                <w:sz w:val="20"/>
                <w:szCs w:val="20"/>
                <w:u w:val="none"/>
              </w:rPr>
            </w:pPr>
          </w:p>
        </w:tc>
      </w:tr>
      <w:tr w14:paraId="5AF30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E6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05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电源管理器</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top"/>
          </w:tcPr>
          <w:p w14:paraId="25A4077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RS-232串口控制协议，可连接中控及控制电脑；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 16A 万能插座，能兼容全部产品电源接口；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最大输入电流 30A，单路最大输出电流16A，工作电压 95V-240V；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无序主、副机控制选择开关，即插即用；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联机后可通过系统内任意一台时序器开工控制整个系统的开机、关机；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设备采用接线柱接线方式，配置63A大电流空气开关。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前面板拥有电压显示功能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最大输入电流: 30A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单路最大输出电流: 16A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控制协议: RS-232串口协议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 110V ～ 240V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输出电源插座: 后面板 8 个受控 16A 万用插座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插座标准: 兼容国标 6A、10A、16A、英标 13A、美标 15A、欧标 G/M 插头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开关间隔时间:1 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机箱高度: 2U（88mm）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 重量：6kg</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25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63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0657E">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E630E">
            <w:pPr>
              <w:jc w:val="center"/>
              <w:rPr>
                <w:rFonts w:hint="eastAsia" w:ascii="宋体" w:hAnsi="宋体" w:eastAsia="宋体" w:cs="宋体"/>
                <w:i w:val="0"/>
                <w:iCs w:val="0"/>
                <w:color w:val="000000"/>
                <w:sz w:val="20"/>
                <w:szCs w:val="20"/>
                <w:u w:val="none"/>
              </w:rPr>
            </w:pPr>
          </w:p>
        </w:tc>
      </w:tr>
      <w:tr w14:paraId="7B66F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379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AC9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音频辅材</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E11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连接线；卡侬头；话筒插头；HDMI高清线（20米，15根）。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E7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项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91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56BAB">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69855">
            <w:pPr>
              <w:jc w:val="center"/>
              <w:rPr>
                <w:rFonts w:hint="eastAsia" w:ascii="宋体" w:hAnsi="宋体" w:eastAsia="宋体" w:cs="宋体"/>
                <w:i w:val="0"/>
                <w:iCs w:val="0"/>
                <w:color w:val="000000"/>
                <w:sz w:val="20"/>
                <w:szCs w:val="20"/>
                <w:u w:val="none"/>
              </w:rPr>
            </w:pPr>
          </w:p>
        </w:tc>
      </w:tr>
      <w:tr w14:paraId="458A8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8FB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三、会议系统</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E0EA0">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1C31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67311">
            <w:pPr>
              <w:jc w:val="center"/>
              <w:rPr>
                <w:rFonts w:hint="eastAsia" w:ascii="宋体" w:hAnsi="宋体" w:eastAsia="宋体" w:cs="宋体"/>
                <w:i w:val="0"/>
                <w:iCs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1247">
            <w:pPr>
              <w:jc w:val="center"/>
              <w:rPr>
                <w:rFonts w:hint="default" w:ascii="Arial" w:hAnsi="Arial" w:eastAsia="宋体" w:cs="Arial"/>
                <w:i w:val="0"/>
                <w:iCs w:val="0"/>
                <w:color w:val="000000"/>
                <w:sz w:val="21"/>
                <w:szCs w:val="21"/>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33EDC">
            <w:pPr>
              <w:jc w:val="center"/>
              <w:rPr>
                <w:rFonts w:hint="eastAsia" w:ascii="宋体" w:hAnsi="宋体" w:eastAsia="宋体" w:cs="宋体"/>
                <w:i w:val="0"/>
                <w:iCs w:val="0"/>
                <w:color w:val="000000"/>
                <w:sz w:val="20"/>
                <w:szCs w:val="20"/>
                <w:u w:val="none"/>
              </w:rPr>
            </w:pPr>
          </w:p>
        </w:tc>
      </w:tr>
      <w:tr w14:paraId="0D615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99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59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数字会议主机</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F5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3"/>
                <w:lang w:val="en-US" w:eastAsia="zh-CN" w:bidi="ar"/>
              </w:rPr>
              <w:t>技术特点：</w:t>
            </w:r>
            <w:r>
              <w:rPr>
                <w:rStyle w:val="43"/>
                <w:lang w:val="en-US" w:eastAsia="zh-CN" w:bidi="ar"/>
              </w:rPr>
              <w:br w:type="textWrapping"/>
            </w:r>
            <w:r>
              <w:rPr>
                <w:rStyle w:val="43"/>
                <w:lang w:val="en-US" w:eastAsia="zh-CN" w:bidi="ar"/>
              </w:rPr>
              <w:t>1.</w:t>
            </w:r>
            <w:r>
              <w:rPr>
                <w:rStyle w:val="48"/>
                <w:rFonts w:eastAsia="宋体"/>
                <w:lang w:val="en-US" w:eastAsia="zh-CN" w:bidi="ar"/>
              </w:rPr>
              <w:t xml:space="preserve"> </w:t>
            </w:r>
            <w:r>
              <w:rPr>
                <w:rStyle w:val="43"/>
                <w:lang w:val="en-US" w:eastAsia="zh-CN" w:bidi="ar"/>
              </w:rPr>
              <w:t>符合IEC60914、GBT15381-94国际标准</w:t>
            </w:r>
            <w:r>
              <w:rPr>
                <w:rStyle w:val="43"/>
                <w:lang w:val="en-US" w:eastAsia="zh-CN" w:bidi="ar"/>
              </w:rPr>
              <w:br w:type="textWrapping"/>
            </w:r>
            <w:r>
              <w:rPr>
                <w:rStyle w:val="43"/>
                <w:lang w:val="en-US" w:eastAsia="zh-CN" w:bidi="ar"/>
              </w:rPr>
              <w:t>2.</w:t>
            </w:r>
            <w:r>
              <w:rPr>
                <w:rStyle w:val="48"/>
                <w:rFonts w:eastAsia="宋体"/>
                <w:lang w:val="en-US" w:eastAsia="zh-CN" w:bidi="ar"/>
              </w:rPr>
              <w:t xml:space="preserve"> </w:t>
            </w:r>
            <w:r>
              <w:rPr>
                <w:rStyle w:val="43"/>
                <w:lang w:val="en-US" w:eastAsia="zh-CN" w:bidi="ar"/>
              </w:rPr>
              <w:t xml:space="preserve">采用全数字会议技术，基于数字网络架构开发，内置高性能CPU处理器，处理速度更快，音质更佳，支持讨论、视像跟踪、签到、投票表决功能 </w:t>
            </w:r>
            <w:r>
              <w:rPr>
                <w:rStyle w:val="43"/>
                <w:lang w:val="en-US" w:eastAsia="zh-CN" w:bidi="ar"/>
              </w:rPr>
              <w:br w:type="textWrapping"/>
            </w:r>
            <w:r>
              <w:rPr>
                <w:rStyle w:val="43"/>
                <w:lang w:val="en-US" w:eastAsia="zh-CN" w:bidi="ar"/>
              </w:rPr>
              <w:t>3.</w:t>
            </w:r>
            <w:r>
              <w:rPr>
                <w:rStyle w:val="48"/>
                <w:rFonts w:eastAsia="宋体"/>
                <w:lang w:val="en-US" w:eastAsia="zh-CN" w:bidi="ar"/>
              </w:rPr>
              <w:t xml:space="preserve"> </w:t>
            </w:r>
            <w:r>
              <w:rPr>
                <w:rStyle w:val="43"/>
                <w:lang w:val="en-US" w:eastAsia="zh-CN" w:bidi="ar"/>
              </w:rPr>
              <w:t>全新概念的抗电磁干扰电路设计，杜绝手机等电子产品的电磁干扰</w:t>
            </w:r>
            <w:r>
              <w:rPr>
                <w:rStyle w:val="43"/>
                <w:lang w:val="en-US" w:eastAsia="zh-CN" w:bidi="ar"/>
              </w:rPr>
              <w:br w:type="textWrapping"/>
            </w:r>
            <w:r>
              <w:rPr>
                <w:rStyle w:val="43"/>
                <w:lang w:val="en-US" w:eastAsia="zh-CN" w:bidi="ar"/>
              </w:rPr>
              <w:t>4.</w:t>
            </w:r>
            <w:r>
              <w:rPr>
                <w:rStyle w:val="48"/>
                <w:rFonts w:eastAsia="宋体"/>
                <w:lang w:val="en-US" w:eastAsia="zh-CN" w:bidi="ar"/>
              </w:rPr>
              <w:t xml:space="preserve"> </w:t>
            </w:r>
            <w:r>
              <w:rPr>
                <w:rStyle w:val="43"/>
                <w:lang w:val="en-US" w:eastAsia="zh-CN" w:bidi="ar"/>
              </w:rPr>
              <w:t>采用FM调频传输音频，配合高还原电路及防啸叫设设计，加上采用新型防啸叫单指向高灵敏度电容咪芯，使会议声音音质实现高保真度还原</w:t>
            </w:r>
            <w:r>
              <w:rPr>
                <w:rStyle w:val="43"/>
                <w:lang w:val="en-US" w:eastAsia="zh-CN" w:bidi="ar"/>
              </w:rPr>
              <w:br w:type="textWrapping"/>
            </w:r>
            <w:r>
              <w:rPr>
                <w:rStyle w:val="43"/>
                <w:lang w:val="en-US" w:eastAsia="zh-CN" w:bidi="ar"/>
              </w:rPr>
              <w:t>5.</w:t>
            </w:r>
            <w:r>
              <w:rPr>
                <w:rStyle w:val="48"/>
                <w:rFonts w:eastAsia="宋体"/>
                <w:lang w:val="en-US" w:eastAsia="zh-CN" w:bidi="ar"/>
              </w:rPr>
              <w:t xml:space="preserve"> </w:t>
            </w:r>
            <w:r>
              <w:rPr>
                <w:rStyle w:val="43"/>
                <w:lang w:val="en-US" w:eastAsia="zh-CN" w:bidi="ar"/>
              </w:rPr>
              <w:t>控制及音频信号皆采用无线高频信号通讯，避免布设话筒线缆，安装简单方便灵活</w:t>
            </w:r>
            <w:r>
              <w:rPr>
                <w:rStyle w:val="43"/>
                <w:lang w:val="en-US" w:eastAsia="zh-CN" w:bidi="ar"/>
              </w:rPr>
              <w:br w:type="textWrapping"/>
            </w:r>
            <w:r>
              <w:rPr>
                <w:rStyle w:val="43"/>
                <w:lang w:val="en-US" w:eastAsia="zh-CN" w:bidi="ar"/>
              </w:rPr>
              <w:t>6.</w:t>
            </w:r>
            <w:r>
              <w:rPr>
                <w:rStyle w:val="48"/>
                <w:rFonts w:eastAsia="宋体"/>
                <w:lang w:val="en-US" w:eastAsia="zh-CN" w:bidi="ar"/>
              </w:rPr>
              <w:t xml:space="preserve"> </w:t>
            </w:r>
            <w:r>
              <w:rPr>
                <w:rStyle w:val="43"/>
                <w:lang w:val="en-US" w:eastAsia="zh-CN" w:bidi="ar"/>
              </w:rPr>
              <w:t>★采用4.3寸全视角IPS电容触摸屏，直观显示和方便调节系统的各项参数</w:t>
            </w:r>
            <w:r>
              <w:rPr>
                <w:rStyle w:val="43"/>
                <w:lang w:val="en-US" w:eastAsia="zh-CN" w:bidi="ar"/>
              </w:rPr>
              <w:br w:type="textWrapping"/>
            </w:r>
            <w:r>
              <w:rPr>
                <w:rStyle w:val="43"/>
                <w:lang w:val="en-US" w:eastAsia="zh-CN" w:bidi="ar"/>
              </w:rPr>
              <w:t>7.</w:t>
            </w:r>
            <w:r>
              <w:rPr>
                <w:rStyle w:val="48"/>
                <w:rFonts w:eastAsia="宋体"/>
                <w:lang w:val="en-US" w:eastAsia="zh-CN" w:bidi="ar"/>
              </w:rPr>
              <w:t xml:space="preserve"> </w:t>
            </w:r>
            <w:r>
              <w:rPr>
                <w:rStyle w:val="43"/>
                <w:lang w:val="en-US" w:eastAsia="zh-CN" w:bidi="ar"/>
              </w:rPr>
              <w:t>支持USB录音，高保真WAV格式输出</w:t>
            </w:r>
            <w:r>
              <w:rPr>
                <w:rStyle w:val="43"/>
                <w:lang w:val="en-US" w:eastAsia="zh-CN" w:bidi="ar"/>
              </w:rPr>
              <w:br w:type="textWrapping"/>
            </w:r>
            <w:r>
              <w:rPr>
                <w:rStyle w:val="43"/>
                <w:lang w:val="en-US" w:eastAsia="zh-CN" w:bidi="ar"/>
              </w:rPr>
              <w:t>8.</w:t>
            </w:r>
            <w:r>
              <w:rPr>
                <w:rStyle w:val="48"/>
                <w:rFonts w:eastAsia="宋体"/>
                <w:lang w:val="en-US" w:eastAsia="zh-CN" w:bidi="ar"/>
              </w:rPr>
              <w:t xml:space="preserve"> </w:t>
            </w:r>
            <w:r>
              <w:rPr>
                <w:rStyle w:val="43"/>
                <w:lang w:val="en-US" w:eastAsia="zh-CN" w:bidi="ar"/>
              </w:rPr>
              <w:t>主机具有20组固定的频率通道，可在同一场所使用多套无线系统，也可避免与会场其他无线产品的互相干扰。</w:t>
            </w:r>
            <w:r>
              <w:rPr>
                <w:rStyle w:val="43"/>
                <w:lang w:val="en-US" w:eastAsia="zh-CN" w:bidi="ar"/>
              </w:rPr>
              <w:br w:type="textWrapping"/>
            </w:r>
            <w:r>
              <w:rPr>
                <w:rStyle w:val="43"/>
                <w:lang w:val="en-US" w:eastAsia="zh-CN" w:bidi="ar"/>
              </w:rPr>
              <w:t>9.</w:t>
            </w:r>
            <w:r>
              <w:rPr>
                <w:rStyle w:val="48"/>
                <w:rFonts w:eastAsia="宋体"/>
                <w:lang w:val="en-US" w:eastAsia="zh-CN" w:bidi="ar"/>
              </w:rPr>
              <w:t xml:space="preserve"> </w:t>
            </w:r>
            <w:r>
              <w:rPr>
                <w:rStyle w:val="43"/>
                <w:lang w:val="en-US" w:eastAsia="zh-CN" w:bidi="ar"/>
              </w:rPr>
              <w:t>每套系统可支持200个无线会议单元，同时发言人数可设定为1-6人，最大支持6个主席同时发言。</w:t>
            </w:r>
            <w:r>
              <w:rPr>
                <w:rStyle w:val="43"/>
                <w:lang w:val="en-US" w:eastAsia="zh-CN" w:bidi="ar"/>
              </w:rPr>
              <w:br w:type="textWrapping"/>
            </w:r>
            <w:r>
              <w:rPr>
                <w:rStyle w:val="43"/>
                <w:lang w:val="en-US" w:eastAsia="zh-CN" w:bidi="ar"/>
              </w:rPr>
              <w:t>10.</w:t>
            </w:r>
            <w:r>
              <w:rPr>
                <w:rStyle w:val="48"/>
                <w:rFonts w:eastAsia="宋体"/>
                <w:lang w:val="en-US" w:eastAsia="zh-CN" w:bidi="ar"/>
              </w:rPr>
              <w:t xml:space="preserve"> </w:t>
            </w:r>
            <w:r>
              <w:rPr>
                <w:rStyle w:val="43"/>
                <w:lang w:val="en-US" w:eastAsia="zh-CN" w:bidi="ar"/>
              </w:rPr>
              <w:t>★兼容有线会议单元同时使用，支持话筒单元热插拔，具有1组共2路RJ45的话筒单元接口，采用闭环以太网链接模式，支持有线网线话筒单元的双边供电，支持20个网线接口的单元。另外具有1路8芯话筒单元接口，支持30个8芯接口的单元</w:t>
            </w:r>
            <w:r>
              <w:rPr>
                <w:rStyle w:val="43"/>
                <w:lang w:val="en-US" w:eastAsia="zh-CN" w:bidi="ar"/>
              </w:rPr>
              <w:br w:type="textWrapping"/>
            </w:r>
            <w:r>
              <w:rPr>
                <w:rStyle w:val="43"/>
                <w:lang w:val="en-US" w:eastAsia="zh-CN" w:bidi="ar"/>
              </w:rPr>
              <w:t>11.</w:t>
            </w:r>
            <w:r>
              <w:rPr>
                <w:rStyle w:val="48"/>
                <w:rFonts w:eastAsia="宋体"/>
                <w:lang w:val="en-US" w:eastAsia="zh-CN" w:bidi="ar"/>
              </w:rPr>
              <w:t xml:space="preserve"> </w:t>
            </w:r>
            <w:r>
              <w:rPr>
                <w:rStyle w:val="43"/>
                <w:lang w:val="en-US" w:eastAsia="zh-CN" w:bidi="ar"/>
              </w:rPr>
              <w:t>具有多种会议模式： FIFO（先进先出模式）、APPLY（申请模式）、FREE（自由模式）、LIMIT（限制模式）、VOICE（声控模式）</w:t>
            </w:r>
            <w:r>
              <w:rPr>
                <w:rStyle w:val="43"/>
                <w:lang w:val="en-US" w:eastAsia="zh-CN" w:bidi="ar"/>
              </w:rPr>
              <w:br w:type="textWrapping"/>
            </w:r>
            <w:r>
              <w:rPr>
                <w:rStyle w:val="43"/>
                <w:lang w:val="en-US" w:eastAsia="zh-CN" w:bidi="ar"/>
              </w:rPr>
              <w:t>12.</w:t>
            </w:r>
            <w:r>
              <w:rPr>
                <w:rStyle w:val="48"/>
                <w:rFonts w:eastAsia="宋体"/>
                <w:lang w:val="en-US" w:eastAsia="zh-CN" w:bidi="ar"/>
              </w:rPr>
              <w:t xml:space="preserve"> </w:t>
            </w:r>
            <w:r>
              <w:rPr>
                <w:rStyle w:val="43"/>
                <w:lang w:val="en-US" w:eastAsia="zh-CN" w:bidi="ar"/>
              </w:rPr>
              <w:t>具有发言时间限制功能：可以限定发言单元的发言时间（可设置0-1000S），并有定时关闭和自动关闭两种模式，主席单元不受限制</w:t>
            </w:r>
            <w:r>
              <w:rPr>
                <w:rStyle w:val="43"/>
                <w:lang w:val="en-US" w:eastAsia="zh-CN" w:bidi="ar"/>
              </w:rPr>
              <w:br w:type="textWrapping"/>
            </w:r>
            <w:r>
              <w:rPr>
                <w:rStyle w:val="43"/>
                <w:lang w:val="en-US" w:eastAsia="zh-CN" w:bidi="ar"/>
              </w:rPr>
              <w:t>13.</w:t>
            </w:r>
            <w:r>
              <w:rPr>
                <w:rStyle w:val="48"/>
                <w:rFonts w:eastAsia="宋体"/>
                <w:lang w:val="en-US" w:eastAsia="zh-CN" w:bidi="ar"/>
              </w:rPr>
              <w:t xml:space="preserve"> </w:t>
            </w:r>
            <w:r>
              <w:rPr>
                <w:rStyle w:val="43"/>
                <w:lang w:val="en-US" w:eastAsia="zh-CN" w:bidi="ar"/>
              </w:rPr>
              <w:t>★系统具备会议服务功能，发言单元可申请茶水、纸笔、帮助等服务</w:t>
            </w:r>
            <w:r>
              <w:rPr>
                <w:rStyle w:val="43"/>
                <w:lang w:val="en-US" w:eastAsia="zh-CN" w:bidi="ar"/>
              </w:rPr>
              <w:br w:type="textWrapping"/>
            </w:r>
            <w:r>
              <w:rPr>
                <w:rStyle w:val="43"/>
                <w:lang w:val="en-US" w:eastAsia="zh-CN" w:bidi="ar"/>
              </w:rPr>
              <w:t>14.</w:t>
            </w:r>
            <w:r>
              <w:rPr>
                <w:rStyle w:val="48"/>
                <w:rFonts w:eastAsia="宋体"/>
                <w:lang w:val="en-US" w:eastAsia="zh-CN" w:bidi="ar"/>
              </w:rPr>
              <w:t xml:space="preserve"> </w:t>
            </w:r>
            <w:r>
              <w:rPr>
                <w:rStyle w:val="43"/>
                <w:lang w:val="en-US" w:eastAsia="zh-CN" w:bidi="ar"/>
              </w:rPr>
              <w:t>★采用高性能DSP处理器对音频进行高中低音调节、降噪处理，使声音清晰透彻；配合现场调整参数并有效的抑制啸叫</w:t>
            </w:r>
            <w:r>
              <w:rPr>
                <w:rStyle w:val="43"/>
                <w:lang w:val="en-US" w:eastAsia="zh-CN" w:bidi="ar"/>
              </w:rPr>
              <w:br w:type="textWrapping"/>
            </w:r>
            <w:r>
              <w:rPr>
                <w:rStyle w:val="43"/>
                <w:lang w:val="en-US" w:eastAsia="zh-CN" w:bidi="ar"/>
              </w:rPr>
              <w:t>15.</w:t>
            </w:r>
            <w:r>
              <w:rPr>
                <w:rStyle w:val="48"/>
                <w:rFonts w:eastAsia="宋体"/>
                <w:lang w:val="en-US" w:eastAsia="zh-CN" w:bidi="ar"/>
              </w:rPr>
              <w:t xml:space="preserve"> </w:t>
            </w:r>
            <w:r>
              <w:rPr>
                <w:rStyle w:val="43"/>
                <w:lang w:val="en-US" w:eastAsia="zh-CN" w:bidi="ar"/>
              </w:rPr>
              <w:t>★网络化协作管理，系统主机可设置IP地址，具有TCP/IP网络接口，可连接无线路由器，使用同一局域网内的电脑、手机、平板等设备对主机进行操作设置，支持谷歌Android/微软Windows系统等操作系统</w:t>
            </w:r>
            <w:r>
              <w:rPr>
                <w:rStyle w:val="43"/>
                <w:lang w:val="en-US" w:eastAsia="zh-CN" w:bidi="ar"/>
              </w:rPr>
              <w:br w:type="textWrapping"/>
            </w:r>
            <w:r>
              <w:rPr>
                <w:rStyle w:val="43"/>
                <w:lang w:val="en-US" w:eastAsia="zh-CN" w:bidi="ar"/>
              </w:rPr>
              <w:t>16.</w:t>
            </w:r>
            <w:r>
              <w:rPr>
                <w:rStyle w:val="48"/>
                <w:rFonts w:eastAsia="宋体"/>
                <w:lang w:val="en-US" w:eastAsia="zh-CN" w:bidi="ar"/>
              </w:rPr>
              <w:t xml:space="preserve"> </w:t>
            </w:r>
            <w:r>
              <w:rPr>
                <w:rStyle w:val="43"/>
                <w:lang w:val="en-US" w:eastAsia="zh-CN" w:bidi="ar"/>
              </w:rPr>
              <w:t>★具有USB接口，可连接电脑对主机进行操作设置</w:t>
            </w:r>
            <w:r>
              <w:rPr>
                <w:rStyle w:val="43"/>
                <w:lang w:val="en-US" w:eastAsia="zh-CN" w:bidi="ar"/>
              </w:rPr>
              <w:br w:type="textWrapping"/>
            </w:r>
            <w:r>
              <w:rPr>
                <w:rStyle w:val="43"/>
                <w:lang w:val="en-US" w:eastAsia="zh-CN" w:bidi="ar"/>
              </w:rPr>
              <w:t>17.</w:t>
            </w:r>
            <w:r>
              <w:rPr>
                <w:rStyle w:val="48"/>
                <w:rFonts w:eastAsia="宋体"/>
                <w:lang w:val="en-US" w:eastAsia="zh-CN" w:bidi="ar"/>
              </w:rPr>
              <w:t xml:space="preserve"> </w:t>
            </w:r>
            <w:r>
              <w:rPr>
                <w:rStyle w:val="43"/>
                <w:lang w:val="en-US" w:eastAsia="zh-CN" w:bidi="ar"/>
              </w:rPr>
              <w:t>具有摄像头232和485通讯接口（6P凤凰插），连接标清或高清摄像头，支持SONY VISCA、PELCO P/D通讯协议</w:t>
            </w:r>
            <w:r>
              <w:rPr>
                <w:rStyle w:val="43"/>
                <w:lang w:val="en-US" w:eastAsia="zh-CN" w:bidi="ar"/>
              </w:rPr>
              <w:br w:type="textWrapping"/>
            </w:r>
            <w:r>
              <w:rPr>
                <w:rStyle w:val="43"/>
                <w:lang w:val="en-US" w:eastAsia="zh-CN" w:bidi="ar"/>
              </w:rPr>
              <w:t>18.</w:t>
            </w:r>
            <w:r>
              <w:rPr>
                <w:rStyle w:val="48"/>
                <w:rFonts w:eastAsia="宋体"/>
                <w:lang w:val="en-US" w:eastAsia="zh-CN" w:bidi="ar"/>
              </w:rPr>
              <w:t xml:space="preserve"> </w:t>
            </w:r>
            <w:r>
              <w:rPr>
                <w:rStyle w:val="43"/>
                <w:lang w:val="en-US" w:eastAsia="zh-CN" w:bidi="ar"/>
              </w:rPr>
              <w:t>具有视频切换232接口（3P凤凰插），可连接高清视频矩阵</w:t>
            </w:r>
            <w:r>
              <w:rPr>
                <w:rStyle w:val="43"/>
                <w:lang w:val="en-US" w:eastAsia="zh-CN" w:bidi="ar"/>
              </w:rPr>
              <w:br w:type="textWrapping"/>
            </w:r>
            <w:r>
              <w:rPr>
                <w:rStyle w:val="43"/>
                <w:lang w:val="en-US" w:eastAsia="zh-CN" w:bidi="ar"/>
              </w:rPr>
              <w:t>19.</w:t>
            </w:r>
            <w:r>
              <w:rPr>
                <w:rStyle w:val="48"/>
                <w:rFonts w:eastAsia="宋体"/>
                <w:lang w:val="en-US" w:eastAsia="zh-CN" w:bidi="ar"/>
              </w:rPr>
              <w:t xml:space="preserve"> </w:t>
            </w:r>
            <w:r>
              <w:rPr>
                <w:rStyle w:val="43"/>
                <w:lang w:val="en-US" w:eastAsia="zh-CN" w:bidi="ar"/>
              </w:rPr>
              <w:t>★具有4x1 HDMI高清视频切换接口(选配)</w:t>
            </w:r>
            <w:r>
              <w:rPr>
                <w:rStyle w:val="43"/>
                <w:lang w:val="en-US" w:eastAsia="zh-CN" w:bidi="ar"/>
              </w:rPr>
              <w:br w:type="textWrapping"/>
            </w:r>
            <w:r>
              <w:rPr>
                <w:rStyle w:val="43"/>
                <w:lang w:val="en-US" w:eastAsia="zh-CN" w:bidi="ar"/>
              </w:rPr>
              <w:t>20.</w:t>
            </w:r>
            <w:r>
              <w:rPr>
                <w:rStyle w:val="48"/>
                <w:rFonts w:eastAsia="宋体"/>
                <w:lang w:val="en-US" w:eastAsia="zh-CN" w:bidi="ar"/>
              </w:rPr>
              <w:t xml:space="preserve"> </w:t>
            </w:r>
            <w:r>
              <w:rPr>
                <w:rStyle w:val="43"/>
                <w:lang w:val="en-US" w:eastAsia="zh-CN" w:bidi="ar"/>
              </w:rPr>
              <w:t>具有中控代码232接口（3P凤凰插），可连接中控系统</w:t>
            </w:r>
            <w:r>
              <w:rPr>
                <w:rStyle w:val="43"/>
                <w:lang w:val="en-US" w:eastAsia="zh-CN" w:bidi="ar"/>
              </w:rPr>
              <w:br w:type="textWrapping"/>
            </w:r>
            <w:r>
              <w:rPr>
                <w:rStyle w:val="43"/>
                <w:lang w:val="en-US" w:eastAsia="zh-CN" w:bidi="ar"/>
              </w:rPr>
              <w:t>21.</w:t>
            </w:r>
            <w:r>
              <w:rPr>
                <w:rStyle w:val="48"/>
                <w:rFonts w:eastAsia="宋体"/>
                <w:lang w:val="en-US" w:eastAsia="zh-CN" w:bidi="ar"/>
              </w:rPr>
              <w:t xml:space="preserve"> </w:t>
            </w:r>
            <w:r>
              <w:rPr>
                <w:rStyle w:val="43"/>
                <w:lang w:val="en-US" w:eastAsia="zh-CN" w:bidi="ar"/>
              </w:rPr>
              <w:t>具有1路平衡音频输出接口（3P凤凰插），可连接扩声或录音设备</w:t>
            </w:r>
            <w:r>
              <w:rPr>
                <w:rStyle w:val="43"/>
                <w:lang w:val="en-US" w:eastAsia="zh-CN" w:bidi="ar"/>
              </w:rPr>
              <w:br w:type="textWrapping"/>
            </w:r>
            <w:r>
              <w:rPr>
                <w:rStyle w:val="43"/>
                <w:lang w:val="en-US" w:eastAsia="zh-CN" w:bidi="ar"/>
              </w:rPr>
              <w:t>22.</w:t>
            </w:r>
            <w:r>
              <w:rPr>
                <w:rStyle w:val="48"/>
                <w:rFonts w:eastAsia="宋体"/>
                <w:lang w:val="en-US" w:eastAsia="zh-CN" w:bidi="ar"/>
              </w:rPr>
              <w:t xml:space="preserve"> </w:t>
            </w:r>
            <w:r>
              <w:rPr>
                <w:rStyle w:val="43"/>
                <w:lang w:val="en-US" w:eastAsia="zh-CN" w:bidi="ar"/>
              </w:rPr>
              <w:t>具有1路非平衡音频输出接口（3P凤凰插），可连接扩声或录音设备</w:t>
            </w:r>
            <w:r>
              <w:rPr>
                <w:rStyle w:val="43"/>
                <w:lang w:val="en-US" w:eastAsia="zh-CN" w:bidi="ar"/>
              </w:rPr>
              <w:br w:type="textWrapping"/>
            </w:r>
            <w:r>
              <w:rPr>
                <w:rStyle w:val="43"/>
                <w:lang w:val="en-US" w:eastAsia="zh-CN" w:bidi="ar"/>
              </w:rPr>
              <w:t>23.</w:t>
            </w:r>
            <w:r>
              <w:rPr>
                <w:rStyle w:val="48"/>
                <w:rFonts w:eastAsia="宋体"/>
                <w:lang w:val="en-US" w:eastAsia="zh-CN" w:bidi="ar"/>
              </w:rPr>
              <w:t xml:space="preserve"> </w:t>
            </w:r>
            <w:r>
              <w:rPr>
                <w:rStyle w:val="43"/>
                <w:lang w:val="en-US" w:eastAsia="zh-CN" w:bidi="ar"/>
              </w:rPr>
              <w:t>★具有1路DANTE音频输出接口，可连接其他DANTE设备(选配)</w:t>
            </w:r>
            <w:r>
              <w:rPr>
                <w:rStyle w:val="43"/>
                <w:lang w:val="en-US" w:eastAsia="zh-CN" w:bidi="ar"/>
              </w:rPr>
              <w:br w:type="textWrapping"/>
            </w:r>
            <w:r>
              <w:rPr>
                <w:rStyle w:val="43"/>
                <w:lang w:val="en-US" w:eastAsia="zh-CN" w:bidi="ar"/>
              </w:rPr>
              <w:t>24.</w:t>
            </w:r>
            <w:r>
              <w:rPr>
                <w:rStyle w:val="48"/>
                <w:rFonts w:eastAsia="宋体"/>
                <w:lang w:val="en-US" w:eastAsia="zh-CN" w:bidi="ar"/>
              </w:rPr>
              <w:t xml:space="preserve"> </w:t>
            </w:r>
            <w:r>
              <w:rPr>
                <w:rStyle w:val="43"/>
                <w:lang w:val="en-US" w:eastAsia="zh-CN" w:bidi="ar"/>
              </w:rPr>
              <w:t>具有1路非平衡音频输入接口（2P凤凰插），可输入外部音频信号（如：背景音乐或远程语音信号）</w:t>
            </w:r>
            <w:r>
              <w:rPr>
                <w:rStyle w:val="43"/>
                <w:lang w:val="en-US" w:eastAsia="zh-CN" w:bidi="ar"/>
              </w:rPr>
              <w:br w:type="textWrapping"/>
            </w:r>
            <w:r>
              <w:rPr>
                <w:rStyle w:val="43"/>
                <w:lang w:val="en-US" w:eastAsia="zh-CN" w:bidi="ar"/>
              </w:rPr>
              <w:t>25.</w:t>
            </w:r>
            <w:r>
              <w:rPr>
                <w:rStyle w:val="48"/>
                <w:rFonts w:eastAsia="宋体"/>
                <w:lang w:val="en-US" w:eastAsia="zh-CN" w:bidi="ar"/>
              </w:rPr>
              <w:t xml:space="preserve"> </w:t>
            </w:r>
            <w:r>
              <w:rPr>
                <w:rStyle w:val="43"/>
                <w:lang w:val="en-US" w:eastAsia="zh-CN" w:bidi="ar"/>
              </w:rPr>
              <w:t>★具有警报信号输入接口（警报电压接口+1路2P凤凰插警报音频输入口），当公共广播警报系统启动时，可自动暂停会议，并向与会单元发送警报信息</w:t>
            </w:r>
            <w:r>
              <w:rPr>
                <w:rStyle w:val="43"/>
                <w:lang w:val="en-US" w:eastAsia="zh-CN" w:bidi="ar"/>
              </w:rPr>
              <w:br w:type="textWrapping"/>
            </w:r>
            <w:r>
              <w:rPr>
                <w:rStyle w:val="43"/>
                <w:lang w:val="en-US" w:eastAsia="zh-CN" w:bidi="ar"/>
              </w:rPr>
              <w:t>26.</w:t>
            </w:r>
            <w:r>
              <w:rPr>
                <w:rStyle w:val="48"/>
                <w:rFonts w:eastAsia="宋体"/>
                <w:lang w:val="en-US" w:eastAsia="zh-CN" w:bidi="ar"/>
              </w:rPr>
              <w:t xml:space="preserve"> </w:t>
            </w:r>
            <w:r>
              <w:rPr>
                <w:rStyle w:val="43"/>
                <w:lang w:val="en-US" w:eastAsia="zh-CN" w:bidi="ar"/>
              </w:rPr>
              <w:t>RF有效通信距离为：室内60米，室外100米。</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1A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5A5C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D6F79">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6B7F1">
            <w:pPr>
              <w:jc w:val="center"/>
              <w:rPr>
                <w:rFonts w:hint="eastAsia" w:ascii="宋体" w:hAnsi="宋体" w:eastAsia="宋体" w:cs="宋体"/>
                <w:i w:val="0"/>
                <w:iCs w:val="0"/>
                <w:color w:val="000000"/>
                <w:sz w:val="20"/>
                <w:szCs w:val="20"/>
                <w:u w:val="none"/>
              </w:rPr>
            </w:pPr>
          </w:p>
        </w:tc>
      </w:tr>
      <w:tr w14:paraId="2570A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24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81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会议话筒</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05A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符合IEC60914、GBT15381-94国际标准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★金属面板设计，整体高档庄重，符合现代审美标准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单元为无源设备，由系统主机供电，输入电压为24V，属安全范围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8芯线接口的单元采用T型8芯连线，线材采用全线铝箔、水线屏蔽，大大降低强电磁波对线材的干扰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网线接口的单元采用超六类网线，“手拉手”线连接方式，带有两个RJ45接口，并带防止松动夹套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专业高保真电容咪芯，拾音灵敏、语音清晰，带宽达到20Hz~20KHz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★采用铝合金方形麦克风，通过固定接头连接话筒底座，可调俯仰角度，整体稳重，高档大气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采用防干扰电路设计，可防止手机等电子产品的干扰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★话筒头部带双色发言灯环，单元发言时灯环为常亮红色，单元申请发言时灯环为常亮绿色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★灵敏的触摸式开关，待机未按时图案常亮发光绿色，按下后图案常亮发光红色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★2.4寸高亮度IPS TFT显示屏，显示内容清晰，可以显示单元参数、日期时间、发言音量、监听音量等，清晰了解当前的使用情况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★话筒带发言计时功能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话筒单元带有耳机输出口， 并带有音量调节按键，可以自由选择输出方式并调节其音量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采用“手拉手”连接方式，支持热插拔，方便安装和维护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★发言单元可申请茶水、纸笔、帮助等服务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主席单元具有批准代表的发言申请功能;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 ★主席单元不受发言人数限制;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 主席单元具有全权控制会议秩序的优先功能;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 主席单元的连接位置不受限制;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 一个系统可以支持多个主席单元同时使用。</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4A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71B4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37897">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20B3A">
            <w:pPr>
              <w:jc w:val="center"/>
              <w:rPr>
                <w:rFonts w:hint="eastAsia" w:ascii="宋体" w:hAnsi="宋体" w:eastAsia="宋体" w:cs="宋体"/>
                <w:i w:val="0"/>
                <w:iCs w:val="0"/>
                <w:color w:val="000000"/>
                <w:sz w:val="20"/>
                <w:szCs w:val="20"/>
                <w:u w:val="none"/>
              </w:rPr>
            </w:pPr>
          </w:p>
        </w:tc>
      </w:tr>
      <w:tr w14:paraId="52298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CD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72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会议延长线</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5E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用于数字会议主机与会议单元或会议单元与会议单元之间的连接；具有20米；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具备8P-DIN母座×2；母座一端具备锁扣功能，避免松动；</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E6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4793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0F1E">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9B4D6">
            <w:pPr>
              <w:jc w:val="center"/>
              <w:rPr>
                <w:rFonts w:hint="eastAsia" w:ascii="宋体" w:hAnsi="宋体" w:eastAsia="宋体" w:cs="宋体"/>
                <w:i w:val="0"/>
                <w:iCs w:val="0"/>
                <w:color w:val="000000"/>
                <w:sz w:val="20"/>
                <w:szCs w:val="20"/>
                <w:u w:val="none"/>
              </w:rPr>
            </w:pPr>
          </w:p>
        </w:tc>
      </w:tr>
      <w:tr w14:paraId="3FF16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B2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7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超高清视频会议终端</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5BE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3"/>
                <w:lang w:val="en-US" w:eastAsia="zh-CN" w:bidi="ar"/>
              </w:rPr>
              <w:t>1.与MCU同品牌，支持ITU-T H.323、IETF SIP协议，具有良好的兼容性和开放性。</w:t>
            </w:r>
            <w:r>
              <w:rPr>
                <w:rStyle w:val="43"/>
                <w:lang w:val="en-US" w:eastAsia="zh-CN" w:bidi="ar"/>
              </w:rPr>
              <w:br w:type="textWrapping"/>
            </w:r>
            <w:r>
              <w:rPr>
                <w:rStyle w:val="43"/>
                <w:lang w:val="en-US" w:eastAsia="zh-CN" w:bidi="ar"/>
              </w:rPr>
              <w:t>2.支持64Kbps-8Mbps呼叫带宽。</w:t>
            </w:r>
            <w:r>
              <w:rPr>
                <w:rStyle w:val="43"/>
                <w:lang w:val="en-US" w:eastAsia="zh-CN" w:bidi="ar"/>
              </w:rPr>
              <w:br w:type="textWrapping"/>
            </w:r>
            <w:r>
              <w:rPr>
                <w:rStyle w:val="43"/>
                <w:lang w:val="en-US" w:eastAsia="zh-CN" w:bidi="ar"/>
              </w:rPr>
              <w:t>3.采用国产自主编解码芯片，嵌入式操作系统，非PC架构、非工控机架构。</w:t>
            </w:r>
            <w:r>
              <w:rPr>
                <w:rStyle w:val="43"/>
                <w:lang w:val="en-US" w:eastAsia="zh-CN" w:bidi="ar"/>
              </w:rPr>
              <w:br w:type="textWrapping"/>
            </w:r>
            <w:r>
              <w:rPr>
                <w:rStyle w:val="43"/>
                <w:lang w:val="en-US" w:eastAsia="zh-CN" w:bidi="ar"/>
              </w:rPr>
              <w:t>4.支持IPV4和IPV6双协议栈。</w:t>
            </w:r>
            <w:r>
              <w:rPr>
                <w:rStyle w:val="43"/>
                <w:lang w:val="en-US" w:eastAsia="zh-CN" w:bidi="ar"/>
              </w:rPr>
              <w:br w:type="textWrapping"/>
            </w:r>
            <w:r>
              <w:rPr>
                <w:rStyle w:val="43"/>
                <w:lang w:val="en-US" w:eastAsia="zh-CN" w:bidi="ar"/>
              </w:rPr>
              <w:t>5.支持TR069，实现平台对终端自动配置下发、软件升级、状态监测、故障诊断等功能持H.265、H.264 HP、H.264 BP、H.264 SVC、H.263等图像编码协议。</w:t>
            </w:r>
            <w:r>
              <w:rPr>
                <w:rStyle w:val="43"/>
                <w:lang w:val="en-US" w:eastAsia="zh-CN" w:bidi="ar"/>
              </w:rPr>
              <w:br w:type="textWrapping"/>
            </w:r>
            <w:r>
              <w:rPr>
                <w:rStyle w:val="43"/>
                <w:lang w:val="en-US" w:eastAsia="zh-CN" w:bidi="ar"/>
              </w:rPr>
              <w:t>6.支持4K30fps、1080P 50/60 fps、1080P 25/30 fps、720P 50/ 60 fps、720P 25/30 fps、4CIF、 CIF等分辨率，本次实际配置的终端能力为1080P 30帧；</w:t>
            </w:r>
            <w:r>
              <w:rPr>
                <w:rStyle w:val="43"/>
                <w:lang w:val="en-US" w:eastAsia="zh-CN" w:bidi="ar"/>
              </w:rPr>
              <w:br w:type="textWrapping"/>
            </w:r>
            <w:r>
              <w:rPr>
                <w:rStyle w:val="43"/>
                <w:lang w:val="en-US" w:eastAsia="zh-CN" w:bidi="ar"/>
              </w:rPr>
              <w:t>7.支持G.711、G.722、G.722.1C、G.729A、AAC-LD、Opus等音频协议，支持双声道立体声功能。</w:t>
            </w:r>
            <w:r>
              <w:rPr>
                <w:rStyle w:val="43"/>
                <w:lang w:val="en-US" w:eastAsia="zh-CN" w:bidi="ar"/>
              </w:rPr>
              <w:br w:type="textWrapping"/>
            </w:r>
            <w:r>
              <w:rPr>
                <w:rStyle w:val="43"/>
                <w:lang w:val="en-US" w:eastAsia="zh-CN" w:bidi="ar"/>
              </w:rPr>
              <w:t>8.支持主流达到1080P30fps情况下，辅流同时达到1080P30fps。</w:t>
            </w:r>
            <w:r>
              <w:rPr>
                <w:rStyle w:val="43"/>
                <w:lang w:val="en-US" w:eastAsia="zh-CN" w:bidi="ar"/>
              </w:rPr>
              <w:br w:type="textWrapping"/>
            </w:r>
            <w:r>
              <w:rPr>
                <w:rStyle w:val="43"/>
                <w:lang w:val="en-US" w:eastAsia="zh-CN" w:bidi="ar"/>
              </w:rPr>
              <w:t>9.支持≥4路高清视频输入接口、≥3路高清视频输出接口。</w:t>
            </w:r>
            <w:r>
              <w:rPr>
                <w:rStyle w:val="43"/>
                <w:lang w:val="en-US" w:eastAsia="zh-CN" w:bidi="ar"/>
              </w:rPr>
              <w:br w:type="textWrapping"/>
            </w:r>
            <w:r>
              <w:rPr>
                <w:rStyle w:val="43"/>
                <w:lang w:val="en-US" w:eastAsia="zh-CN" w:bidi="ar"/>
              </w:rPr>
              <w:t>10.支持≥6路音频输入接口、≥6路音频输出接口，至少具备卡侬头、RCA等音频接口。</w:t>
            </w:r>
            <w:r>
              <w:rPr>
                <w:rStyle w:val="43"/>
                <w:lang w:val="en-US" w:eastAsia="zh-CN" w:bidi="ar"/>
              </w:rPr>
              <w:br w:type="textWrapping"/>
            </w:r>
            <w:r>
              <w:rPr>
                <w:rStyle w:val="43"/>
                <w:lang w:val="en-US" w:eastAsia="zh-CN" w:bidi="ar"/>
              </w:rPr>
              <w:t>11.支持不少于2个10M/100M/1000M自适应网口。</w:t>
            </w:r>
            <w:r>
              <w:rPr>
                <w:rStyle w:val="43"/>
                <w:lang w:val="en-US" w:eastAsia="zh-CN" w:bidi="ar"/>
              </w:rPr>
              <w:br w:type="textWrapping"/>
            </w:r>
            <w:r>
              <w:rPr>
                <w:rStyle w:val="43"/>
                <w:lang w:val="en-US" w:eastAsia="zh-CN" w:bidi="ar"/>
              </w:rPr>
              <w:t xml:space="preserve">12.支持30%网络丢包时，语音清晰连续，视频清晰流畅，无卡顿。 </w:t>
            </w:r>
            <w:r>
              <w:rPr>
                <w:rStyle w:val="43"/>
                <w:lang w:val="en-US" w:eastAsia="zh-CN" w:bidi="ar"/>
              </w:rPr>
              <w:br w:type="textWrapping"/>
            </w:r>
            <w:r>
              <w:rPr>
                <w:rStyle w:val="43"/>
                <w:lang w:val="en-US" w:eastAsia="zh-CN" w:bidi="ar"/>
              </w:rPr>
              <w:t>13.支持1Mbps会议带宽下，实现1080P30帧图像格式编解码；512Kbps会议带宽下，实现720P30帧图像格式编解码。</w:t>
            </w:r>
            <w:r>
              <w:rPr>
                <w:rStyle w:val="43"/>
                <w:lang w:val="en-US" w:eastAsia="zh-CN" w:bidi="ar"/>
              </w:rPr>
              <w:br w:type="textWrapping"/>
            </w:r>
            <w:r>
              <w:rPr>
                <w:rStyle w:val="43"/>
                <w:lang w:val="en-US" w:eastAsia="zh-CN" w:bidi="ar"/>
              </w:rPr>
              <w:t>14.支持SM2、SM3、SM4国密加密算法，支持在H.323协议下，H.235信令加密；支持在SIP下，TLS、SRTP加密；支持 AES媒体流加密算法，保证会议安全。</w:t>
            </w:r>
            <w:r>
              <w:rPr>
                <w:rStyle w:val="43"/>
                <w:lang w:val="en-US" w:eastAsia="zh-CN" w:bidi="ar"/>
              </w:rPr>
              <w:br w:type="textWrapping"/>
            </w:r>
            <w:r>
              <w:rPr>
                <w:rStyle w:val="43"/>
                <w:lang w:val="en-US" w:eastAsia="zh-CN" w:bidi="ar"/>
              </w:rPr>
              <w:t>15.支持在终端前面板显示启动、升级、休眠、异常信息（温度异常、外设连接异常）、IP地址、H.323号码、SIP号码等信息。</w:t>
            </w:r>
            <w:r>
              <w:rPr>
                <w:rStyle w:val="43"/>
                <w:lang w:val="en-US" w:eastAsia="zh-CN" w:bidi="ar"/>
              </w:rPr>
              <w:br w:type="textWrapping"/>
            </w:r>
            <w:r>
              <w:rPr>
                <w:rStyle w:val="43"/>
                <w:lang w:val="en-US" w:eastAsia="zh-CN" w:bidi="ar"/>
              </w:rPr>
              <w:t>16.支持单屏三显功能，在一个显示设备上显示远端图像、本端图像及双流图像。</w:t>
            </w:r>
            <w:r>
              <w:rPr>
                <w:rStyle w:val="43"/>
                <w:lang w:val="en-US" w:eastAsia="zh-CN" w:bidi="ar"/>
              </w:rPr>
              <w:br w:type="textWrapping"/>
            </w:r>
            <w:r>
              <w:rPr>
                <w:rStyle w:val="43"/>
                <w:lang w:val="en-US" w:eastAsia="zh-CN" w:bidi="ar"/>
              </w:rPr>
              <w:t>17.支持字幕功能，实现会场名称、横幅叠加，字幕内容、字体大小、颜色、滚动速度等可自定义。</w:t>
            </w:r>
            <w:r>
              <w:rPr>
                <w:rStyle w:val="43"/>
                <w:lang w:val="en-US" w:eastAsia="zh-CN" w:bidi="ar"/>
              </w:rPr>
              <w:br w:type="textWrapping"/>
            </w:r>
            <w:r>
              <w:rPr>
                <w:rStyle w:val="43"/>
                <w:lang w:val="en-US" w:eastAsia="zh-CN" w:bidi="ar"/>
              </w:rPr>
              <w:t>18.支持自动网络断线检测、自环检测、IP地址冲突检测、音视频输入输出检测，色带测试、网络测试、断线重呼。</w:t>
            </w:r>
            <w:r>
              <w:rPr>
                <w:rStyle w:val="43"/>
                <w:lang w:val="en-US" w:eastAsia="zh-CN" w:bidi="ar"/>
              </w:rPr>
              <w:br w:type="textWrapping"/>
            </w:r>
            <w:r>
              <w:rPr>
                <w:rStyle w:val="43"/>
                <w:lang w:val="en-US" w:eastAsia="zh-CN" w:bidi="ar"/>
              </w:rPr>
              <w:t>19.支持断点续传功能，终端升级过程中发生网络中断、断电重启，恢复后可断点续传，避免升级失败、</w:t>
            </w:r>
            <w:r>
              <w:rPr>
                <w:rStyle w:val="43"/>
                <w:lang w:val="en-US" w:eastAsia="zh-CN" w:bidi="ar"/>
              </w:rPr>
              <w:br w:type="textWrapping"/>
            </w:r>
            <w:r>
              <w:rPr>
                <w:rStyle w:val="43"/>
                <w:lang w:val="en-US" w:eastAsia="zh-CN" w:bidi="ar"/>
              </w:rPr>
              <w:t>20.标配触控终端，触控屏尺寸≥9英寸，分辨率≥1920×1200。</w:t>
            </w:r>
            <w:r>
              <w:rPr>
                <w:rStyle w:val="43"/>
                <w:lang w:val="en-US" w:eastAsia="zh-CN" w:bidi="ar"/>
              </w:rPr>
              <w:br w:type="textWrapping"/>
            </w:r>
            <w:r>
              <w:rPr>
                <w:rStyle w:val="45"/>
                <w:color w:val="auto"/>
                <w:lang w:val="en-US" w:eastAsia="zh-CN" w:bidi="ar"/>
              </w:rPr>
              <w:t>21.提供设备彩页和委托测试报告。提供设备制造商授权，交货时提供制造商五年的售后服务承诺函。</w:t>
            </w:r>
            <w:r>
              <w:rPr>
                <w:rStyle w:val="45"/>
                <w:color w:val="auto"/>
                <w:lang w:val="en-US" w:eastAsia="zh-CN" w:bidi="ar"/>
              </w:rPr>
              <w:br w:type="textWrapping"/>
            </w:r>
            <w:r>
              <w:rPr>
                <w:rStyle w:val="45"/>
                <w:color w:val="auto"/>
                <w:lang w:val="en-US" w:eastAsia="zh-CN" w:bidi="ar"/>
              </w:rPr>
              <w:t>22.为了与上级会议互联互通，并确保现网平台兼容，需要提供承诺函并盖章。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4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0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13A8">
            <w:pPr>
              <w:jc w:val="center"/>
              <w:rPr>
                <w:rFonts w:hint="eastAsia" w:ascii="宋体" w:hAnsi="宋体" w:eastAsia="宋体" w:cs="宋体"/>
                <w:i w:val="0"/>
                <w:iCs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6D1FB">
            <w:pPr>
              <w:jc w:val="center"/>
              <w:rPr>
                <w:rFonts w:hint="eastAsia" w:ascii="宋体" w:hAnsi="宋体" w:eastAsia="宋体" w:cs="宋体"/>
                <w:i w:val="0"/>
                <w:iCs w:val="0"/>
                <w:color w:val="000000"/>
                <w:sz w:val="20"/>
                <w:szCs w:val="20"/>
                <w:u w:val="none"/>
              </w:rPr>
            </w:pPr>
          </w:p>
        </w:tc>
      </w:tr>
      <w:tr w14:paraId="2E636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FB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F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超高清摄像机</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654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3"/>
                <w:lang w:val="en-US" w:eastAsia="zh-CN" w:bidi="ar"/>
              </w:rPr>
              <w:t>1.支持图像倒转功能，方便摄像机安装在天花板上。</w:t>
            </w:r>
            <w:r>
              <w:rPr>
                <w:rStyle w:val="43"/>
                <w:lang w:val="en-US" w:eastAsia="zh-CN" w:bidi="ar"/>
              </w:rPr>
              <w:br w:type="textWrapping"/>
            </w:r>
            <w:r>
              <w:rPr>
                <w:rStyle w:val="43"/>
                <w:lang w:val="en-US" w:eastAsia="zh-CN" w:bidi="ar"/>
              </w:rPr>
              <w:t>2.支持≥800万像素1/2.5英寸CMOS成像芯片,支持WDR图像数字宽动态功能，与所投高清终端同一品牌。</w:t>
            </w:r>
            <w:r>
              <w:rPr>
                <w:rStyle w:val="43"/>
                <w:lang w:val="en-US" w:eastAsia="zh-CN" w:bidi="ar"/>
              </w:rPr>
              <w:br w:type="textWrapping"/>
            </w:r>
            <w:r>
              <w:rPr>
                <w:rStyle w:val="43"/>
                <w:lang w:val="en-US" w:eastAsia="zh-CN" w:bidi="ar"/>
              </w:rPr>
              <w:t>3.支持≥12倍光学变焦。</w:t>
            </w:r>
            <w:r>
              <w:rPr>
                <w:rStyle w:val="43"/>
                <w:lang w:val="en-US" w:eastAsia="zh-CN" w:bidi="ar"/>
              </w:rPr>
              <w:br w:type="textWrapping"/>
            </w:r>
            <w:r>
              <w:rPr>
                <w:rStyle w:val="43"/>
                <w:lang w:val="en-US" w:eastAsia="zh-CN" w:bidi="ar"/>
              </w:rPr>
              <w:t>4.支持≥80°水平视角，增加外置广角镜视为不满足，5.</w:t>
            </w:r>
            <w:r>
              <w:rPr>
                <w:rStyle w:val="43"/>
                <w:lang w:val="en-US" w:eastAsia="zh-CN" w:bidi="ar"/>
              </w:rPr>
              <w:br w:type="textWrapping"/>
            </w:r>
            <w:r>
              <w:rPr>
                <w:rStyle w:val="43"/>
                <w:lang w:val="en-US" w:eastAsia="zh-CN" w:bidi="ar"/>
              </w:rPr>
              <w:t>5.支持1080P60fps、1080P50fps等视频输出格式。</w:t>
            </w:r>
            <w:r>
              <w:rPr>
                <w:rStyle w:val="43"/>
                <w:lang w:val="en-US" w:eastAsia="zh-CN" w:bidi="ar"/>
              </w:rPr>
              <w:br w:type="textWrapping"/>
            </w:r>
            <w:r>
              <w:rPr>
                <w:rStyle w:val="43"/>
                <w:lang w:val="en-US" w:eastAsia="zh-CN" w:bidi="ar"/>
              </w:rPr>
              <w:t>6.水平转动范围：≥+/-110°，垂直转动范围：≥+/- 30°。</w:t>
            </w:r>
            <w:r>
              <w:rPr>
                <w:rStyle w:val="43"/>
                <w:lang w:val="en-US" w:eastAsia="zh-CN" w:bidi="ar"/>
              </w:rPr>
              <w:br w:type="textWrapping"/>
            </w:r>
            <w:r>
              <w:rPr>
                <w:rStyle w:val="43"/>
                <w:lang w:val="en-US" w:eastAsia="zh-CN" w:bidi="ar"/>
              </w:rPr>
              <w:t>7.支持254个预置位。</w:t>
            </w:r>
            <w:r>
              <w:rPr>
                <w:rStyle w:val="43"/>
                <w:lang w:val="en-US" w:eastAsia="zh-CN" w:bidi="ar"/>
              </w:rPr>
              <w:br w:type="textWrapping"/>
            </w:r>
            <w:r>
              <w:rPr>
                <w:rStyle w:val="43"/>
                <w:lang w:val="en-US" w:eastAsia="zh-CN" w:bidi="ar"/>
              </w:rPr>
              <w:t>8.支持≥2路高清视频输出接口。</w:t>
            </w:r>
            <w:r>
              <w:rPr>
                <w:rStyle w:val="43"/>
                <w:lang w:val="en-US" w:eastAsia="zh-CN" w:bidi="ar"/>
              </w:rPr>
              <w:br w:type="textWrapping"/>
            </w:r>
            <w:r>
              <w:rPr>
                <w:rStyle w:val="43"/>
                <w:lang w:val="en-US" w:eastAsia="zh-CN" w:bidi="ar"/>
              </w:rPr>
              <w:t>9.支持≥2个RS-232控制接口，支持标准VISCA控制协议;;;</w:t>
            </w:r>
            <w:r>
              <w:rPr>
                <w:rStyle w:val="43"/>
                <w:lang w:val="en-US" w:eastAsia="zh-CN" w:bidi="ar"/>
              </w:rPr>
              <w:br w:type="textWrapping"/>
            </w:r>
            <w:r>
              <w:rPr>
                <w:rStyle w:val="43"/>
                <w:lang w:val="en-US" w:eastAsia="zh-CN" w:bidi="ar"/>
              </w:rPr>
              <w:t>10.支持红外透传功能，实现终端遥控器通过摄像机控制机房内会议终端，方便调试。</w:t>
            </w:r>
            <w:r>
              <w:rPr>
                <w:rStyle w:val="43"/>
                <w:lang w:val="en-US" w:eastAsia="zh-CN" w:bidi="ar"/>
              </w:rPr>
              <w:br w:type="textWrapping"/>
            </w:r>
            <w:r>
              <w:rPr>
                <w:rStyle w:val="43"/>
                <w:lang w:val="en-US" w:eastAsia="zh-CN" w:bidi="ar"/>
              </w:rPr>
              <w:t xml:space="preserve">11.支持本地USB接口软件升级功能。   </w:t>
            </w:r>
            <w:r>
              <w:rPr>
                <w:rStyle w:val="43"/>
                <w:lang w:val="en-US" w:eastAsia="zh-CN" w:bidi="ar"/>
              </w:rPr>
              <w:br w:type="textWrapping"/>
            </w:r>
            <w:r>
              <w:rPr>
                <w:rStyle w:val="45"/>
                <w:color w:val="auto"/>
                <w:lang w:val="en-US" w:eastAsia="zh-CN" w:bidi="ar"/>
              </w:rPr>
              <w:t>12.提供设备彩页和委托测试报告。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3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1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80E0">
            <w:pPr>
              <w:jc w:val="center"/>
              <w:rPr>
                <w:rFonts w:hint="eastAsia" w:ascii="宋体" w:hAnsi="宋体" w:eastAsia="宋体" w:cs="宋体"/>
                <w:i w:val="0"/>
                <w:iCs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7FDAA">
            <w:pPr>
              <w:jc w:val="center"/>
              <w:rPr>
                <w:rFonts w:hint="eastAsia" w:ascii="宋体" w:hAnsi="宋体" w:eastAsia="宋体" w:cs="宋体"/>
                <w:i w:val="0"/>
                <w:iCs w:val="0"/>
                <w:color w:val="000000"/>
                <w:sz w:val="20"/>
                <w:szCs w:val="20"/>
                <w:u w:val="none"/>
              </w:rPr>
            </w:pPr>
          </w:p>
        </w:tc>
      </w:tr>
      <w:tr w14:paraId="7B46B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91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B7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图形工作站</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4EF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内存容量16GB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主机+显示器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系统Windows 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机箱大小10-20L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处理器intel i7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硬盘容量512GB SSD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显卡型号：集成显卡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屏幕尺寸：23-25英寸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型号：M460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认证型号M460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USB接口数4个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核心数：十二核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CPU型号：i7-12700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屏幕尺寸：23.8英寸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64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2C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E05A6">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E002E">
            <w:pPr>
              <w:jc w:val="center"/>
              <w:rPr>
                <w:rFonts w:hint="eastAsia" w:ascii="宋体" w:hAnsi="宋体" w:eastAsia="宋体" w:cs="宋体"/>
                <w:i w:val="0"/>
                <w:iCs w:val="0"/>
                <w:color w:val="000000"/>
                <w:sz w:val="20"/>
                <w:szCs w:val="20"/>
                <w:u w:val="none"/>
              </w:rPr>
            </w:pPr>
          </w:p>
        </w:tc>
      </w:tr>
      <w:tr w14:paraId="518CC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A6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4C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音频线</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F7B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带屏蔽RVVP2*0.5平方</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08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B0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F4F9">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47B38">
            <w:pPr>
              <w:jc w:val="center"/>
              <w:rPr>
                <w:rFonts w:hint="eastAsia" w:ascii="宋体" w:hAnsi="宋体" w:eastAsia="宋体" w:cs="宋体"/>
                <w:i w:val="0"/>
                <w:iCs w:val="0"/>
                <w:color w:val="000000"/>
                <w:sz w:val="20"/>
                <w:szCs w:val="20"/>
                <w:u w:val="none"/>
              </w:rPr>
            </w:pPr>
          </w:p>
        </w:tc>
      </w:tr>
      <w:tr w14:paraId="1620A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90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46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50同轴线</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185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50-5同轴线-传输话筒信号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B0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16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86B1">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9B058">
            <w:pPr>
              <w:jc w:val="center"/>
              <w:rPr>
                <w:rFonts w:hint="eastAsia" w:ascii="宋体" w:hAnsi="宋体" w:eastAsia="宋体" w:cs="宋体"/>
                <w:i w:val="0"/>
                <w:iCs w:val="0"/>
                <w:color w:val="000000"/>
                <w:sz w:val="20"/>
                <w:szCs w:val="20"/>
                <w:u w:val="none"/>
              </w:rPr>
            </w:pPr>
          </w:p>
        </w:tc>
      </w:tr>
      <w:tr w14:paraId="3E45E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9C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9A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动力电缆</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308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动力电缆YJV- 0.6/1kV－4*6mm²+1*4mm²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C7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米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B0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3FC3">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93CE3">
            <w:pPr>
              <w:jc w:val="center"/>
              <w:rPr>
                <w:rFonts w:hint="eastAsia" w:ascii="宋体" w:hAnsi="宋体" w:eastAsia="宋体" w:cs="宋体"/>
                <w:i w:val="0"/>
                <w:iCs w:val="0"/>
                <w:color w:val="000000"/>
                <w:sz w:val="20"/>
                <w:szCs w:val="20"/>
                <w:u w:val="none"/>
              </w:rPr>
            </w:pPr>
          </w:p>
        </w:tc>
      </w:tr>
      <w:tr w14:paraId="252E7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C1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73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C8E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电源线RVV电线电缆  RVV3*2.5平方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D6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米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84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96A9">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971DF">
            <w:pPr>
              <w:jc w:val="center"/>
              <w:rPr>
                <w:rFonts w:hint="eastAsia" w:ascii="宋体" w:hAnsi="宋体" w:eastAsia="宋体" w:cs="宋体"/>
                <w:i w:val="0"/>
                <w:iCs w:val="0"/>
                <w:color w:val="000000"/>
                <w:sz w:val="20"/>
                <w:szCs w:val="20"/>
                <w:u w:val="none"/>
              </w:rPr>
            </w:pPr>
          </w:p>
        </w:tc>
      </w:tr>
      <w:tr w14:paraId="17C31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9D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E3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C57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RVV3*1.5平方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95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米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16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2072">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A8516">
            <w:pPr>
              <w:jc w:val="center"/>
              <w:rPr>
                <w:rFonts w:hint="eastAsia" w:ascii="宋体" w:hAnsi="宋体" w:eastAsia="宋体" w:cs="宋体"/>
                <w:i w:val="0"/>
                <w:iCs w:val="0"/>
                <w:color w:val="000000"/>
                <w:sz w:val="20"/>
                <w:szCs w:val="20"/>
                <w:u w:val="none"/>
              </w:rPr>
            </w:pPr>
          </w:p>
        </w:tc>
      </w:tr>
      <w:tr w14:paraId="5ABE6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49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86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音箱线</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524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金银音响线 300芯/100米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D0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卷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91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A4D9">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76793">
            <w:pPr>
              <w:jc w:val="center"/>
              <w:rPr>
                <w:rFonts w:hint="eastAsia" w:ascii="宋体" w:hAnsi="宋体" w:eastAsia="宋体" w:cs="宋体"/>
                <w:i w:val="0"/>
                <w:iCs w:val="0"/>
                <w:color w:val="000000"/>
                <w:sz w:val="20"/>
                <w:szCs w:val="20"/>
                <w:u w:val="none"/>
              </w:rPr>
            </w:pPr>
          </w:p>
        </w:tc>
      </w:tr>
      <w:tr w14:paraId="239C4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95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4E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658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六类网线非屏蔽305米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7B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箱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44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9947">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8B1B5">
            <w:pPr>
              <w:jc w:val="center"/>
              <w:rPr>
                <w:rFonts w:hint="eastAsia" w:ascii="宋体" w:hAnsi="宋体" w:eastAsia="宋体" w:cs="宋体"/>
                <w:i w:val="0"/>
                <w:iCs w:val="0"/>
                <w:color w:val="000000"/>
                <w:sz w:val="20"/>
                <w:szCs w:val="20"/>
                <w:u w:val="none"/>
              </w:rPr>
            </w:pPr>
          </w:p>
        </w:tc>
      </w:tr>
      <w:tr w14:paraId="33B46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BC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F6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水晶头</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D1E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六类网线水晶头 100个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CB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1B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9B44">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CD990">
            <w:pPr>
              <w:jc w:val="center"/>
              <w:rPr>
                <w:rFonts w:hint="eastAsia" w:ascii="宋体" w:hAnsi="宋体" w:eastAsia="宋体" w:cs="宋体"/>
                <w:i w:val="0"/>
                <w:iCs w:val="0"/>
                <w:color w:val="000000"/>
                <w:sz w:val="20"/>
                <w:szCs w:val="20"/>
                <w:u w:val="none"/>
              </w:rPr>
            </w:pPr>
          </w:p>
        </w:tc>
      </w:tr>
      <w:tr w14:paraId="0EAB8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A7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B3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多媒体桌插</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17B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多媒体桌插座全铜隐藏式五孔HDMI高清VGA音视频3.5音频6.35话筒卡农桌插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6D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8A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D11D">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B44F1">
            <w:pPr>
              <w:jc w:val="center"/>
              <w:rPr>
                <w:rFonts w:hint="eastAsia" w:ascii="宋体" w:hAnsi="宋体" w:eastAsia="宋体" w:cs="宋体"/>
                <w:i w:val="0"/>
                <w:iCs w:val="0"/>
                <w:color w:val="000000"/>
                <w:sz w:val="20"/>
                <w:szCs w:val="20"/>
                <w:u w:val="none"/>
              </w:rPr>
            </w:pPr>
          </w:p>
        </w:tc>
      </w:tr>
      <w:tr w14:paraId="18E6A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AAA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五、综合布线</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156D1">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4BE0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A3214">
            <w:pPr>
              <w:jc w:val="center"/>
              <w:rPr>
                <w:rFonts w:hint="eastAsia" w:ascii="宋体" w:hAnsi="宋体" w:eastAsia="宋体" w:cs="宋体"/>
                <w:i w:val="0"/>
                <w:iCs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6AFA">
            <w:pPr>
              <w:jc w:val="center"/>
              <w:rPr>
                <w:rFonts w:hint="default" w:ascii="Arial" w:hAnsi="Arial" w:eastAsia="宋体" w:cs="Arial"/>
                <w:i w:val="0"/>
                <w:iCs w:val="0"/>
                <w:color w:val="000000"/>
                <w:sz w:val="21"/>
                <w:szCs w:val="21"/>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96A27">
            <w:pPr>
              <w:jc w:val="center"/>
              <w:rPr>
                <w:rFonts w:hint="eastAsia" w:ascii="宋体" w:hAnsi="宋体" w:eastAsia="宋体" w:cs="宋体"/>
                <w:i w:val="0"/>
                <w:iCs w:val="0"/>
                <w:color w:val="000000"/>
                <w:sz w:val="20"/>
                <w:szCs w:val="20"/>
                <w:u w:val="none"/>
              </w:rPr>
            </w:pPr>
          </w:p>
        </w:tc>
      </w:tr>
      <w:tr w14:paraId="64E27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9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E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六类非屏蔽模块</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53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DC采用45度自锁式结构交叉设计；IDC材料：磷青铜；金针：磷青铜表面镀金，异形的金针空间排列，有效提升近端串音余量；防尘盖：透明PC材料；插头与插座插合次数：≥1000次；导线端接次数：≥250次；打线方式：T568A/T568B；卡接导体线径：0.5mm～0.65mm，24AWG~22AWG；最高传输频率：250MH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9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A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6F5E">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8CCD4">
            <w:pPr>
              <w:jc w:val="center"/>
              <w:rPr>
                <w:rFonts w:hint="eastAsia" w:ascii="宋体" w:hAnsi="宋体" w:eastAsia="宋体" w:cs="宋体"/>
                <w:i w:val="0"/>
                <w:iCs w:val="0"/>
                <w:color w:val="000000"/>
                <w:sz w:val="20"/>
                <w:szCs w:val="20"/>
                <w:u w:val="none"/>
              </w:rPr>
            </w:pPr>
          </w:p>
        </w:tc>
      </w:tr>
      <w:tr w14:paraId="59738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0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1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六类非屏蔽双绞线</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FB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六类非屏蔽双绞线；通过标准最高传输频率250MHz测试；额定传输速率(NVP)：68%；导体：23AWG，软圆铜线、0.57mm±0.02mm；线对：4对；屏蔽方式：U/UTP，线对采用“十”字骨架隔离；护套材料：LSZH；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1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9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42AF">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DC1CF">
            <w:pPr>
              <w:jc w:val="center"/>
              <w:rPr>
                <w:rFonts w:hint="eastAsia" w:ascii="宋体" w:hAnsi="宋体" w:eastAsia="宋体" w:cs="宋体"/>
                <w:i w:val="0"/>
                <w:iCs w:val="0"/>
                <w:color w:val="000000"/>
                <w:sz w:val="20"/>
                <w:szCs w:val="20"/>
                <w:u w:val="none"/>
              </w:rPr>
            </w:pPr>
          </w:p>
        </w:tc>
      </w:tr>
      <w:tr w14:paraId="786FD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2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9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六类非屏蔽配线架</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F6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标准19英寸机架式安装，高度：1U，24口含模块；IDC：磷青铜；打线方式：T568A/T568B；插头与插座插合次数：≥1000次；导线端接次数：≥250次；最高传输频率：250MHz；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8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D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7FA2">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DDD35">
            <w:pPr>
              <w:jc w:val="center"/>
              <w:rPr>
                <w:rFonts w:hint="eastAsia" w:ascii="宋体" w:hAnsi="宋体" w:eastAsia="宋体" w:cs="宋体"/>
                <w:i w:val="0"/>
                <w:iCs w:val="0"/>
                <w:color w:val="000000"/>
                <w:sz w:val="20"/>
                <w:szCs w:val="20"/>
                <w:u w:val="none"/>
              </w:rPr>
            </w:pPr>
          </w:p>
        </w:tc>
      </w:tr>
      <w:tr w14:paraId="63DE5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8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8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理线器</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DE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标准19英寸机架式安装，高度：1U。纯冷轧板卡扣结构使产品更加可靠牢固，材料及厚度：SPCC冷轧钢板1.0mm；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2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A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1444">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94D23">
            <w:pPr>
              <w:jc w:val="center"/>
              <w:rPr>
                <w:rFonts w:hint="eastAsia" w:ascii="宋体" w:hAnsi="宋体" w:eastAsia="宋体" w:cs="宋体"/>
                <w:i w:val="0"/>
                <w:iCs w:val="0"/>
                <w:color w:val="000000"/>
                <w:sz w:val="20"/>
                <w:szCs w:val="20"/>
                <w:u w:val="none"/>
              </w:rPr>
            </w:pPr>
          </w:p>
        </w:tc>
      </w:tr>
      <w:tr w14:paraId="62435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BB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D3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六类非屏蔽跳线</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071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六类非屏蔽跳线：护套材料：LSZH；插头规格：RJ45，8P8C，簧片表面镀金，透明聚碳酸酯塑胶壳；线序：568B；插拔次数：≥1000次；最高传输频率：500MHz；</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B8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B9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F49F8">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BFCB3">
            <w:pPr>
              <w:jc w:val="center"/>
              <w:rPr>
                <w:rFonts w:hint="eastAsia" w:ascii="宋体" w:hAnsi="宋体" w:eastAsia="宋体" w:cs="宋体"/>
                <w:i w:val="0"/>
                <w:iCs w:val="0"/>
                <w:color w:val="000000"/>
                <w:sz w:val="20"/>
                <w:szCs w:val="20"/>
                <w:u w:val="none"/>
              </w:rPr>
            </w:pPr>
          </w:p>
        </w:tc>
      </w:tr>
      <w:tr w14:paraId="26640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E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C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1A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镀锌金属桥架，规格:200*100*1.2mm；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3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5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9F8F">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DA53A">
            <w:pPr>
              <w:jc w:val="center"/>
              <w:rPr>
                <w:rFonts w:hint="eastAsia" w:ascii="宋体" w:hAnsi="宋体" w:eastAsia="宋体" w:cs="宋体"/>
                <w:i w:val="0"/>
                <w:iCs w:val="0"/>
                <w:color w:val="000000"/>
                <w:sz w:val="20"/>
                <w:szCs w:val="20"/>
                <w:u w:val="none"/>
              </w:rPr>
            </w:pPr>
          </w:p>
        </w:tc>
      </w:tr>
      <w:tr w14:paraId="2F921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87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8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1B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镀锌钢管DN25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6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1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C8EC">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6AE3A">
            <w:pPr>
              <w:jc w:val="center"/>
              <w:rPr>
                <w:rFonts w:hint="eastAsia" w:ascii="宋体" w:hAnsi="宋体" w:eastAsia="宋体" w:cs="宋体"/>
                <w:i w:val="0"/>
                <w:iCs w:val="0"/>
                <w:color w:val="000000"/>
                <w:sz w:val="20"/>
                <w:szCs w:val="20"/>
                <w:u w:val="none"/>
              </w:rPr>
            </w:pPr>
          </w:p>
        </w:tc>
      </w:tr>
      <w:tr w14:paraId="6E225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D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4C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8A1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三层千兆G系列交换机（48个千兆电+6个万兆光）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CPU、Phy、内存、Flash等关键元器件安全可靠，为用户提供硬件级安全保障，满足用户部署安全可控网络的需要。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标配6个10G上行光口，充分满足用户数据上行、链路汇聚、堆叠、冗余、未来扩展带宽等需求；电源、风扇全冗余设计，具备设备级和链路级的多重可靠性保护。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M3/SM4国密加密，可对配置文件、设备日志、操作记录、SSH登录等管理功能进行国密加密，杜绝设备被破解访问造成管理数据泄密，实现交换机管理平面安全可靠；可对MSTP、RIPv2、RIPng、OSPFv2/v3、ISISv4/v6、BGP/BGP4+等L2/L3网络协议进行国密加密，确保用户网络拓扑不泄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实现基于硬件的IPv4/IPv6双栈平台，丰富的IPv4和IPv6三层路由协议、组播技术以及策略路由机制，为用户提供完善的IPv4/IPv6解决方案。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支持基于bps的风暴抑制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ACL：支持L2～L4包过滤功能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支持基于源MAC地址、目的MAC地址、源IP地址、目的IP地址、IP协议类型、TCP/UDP 端口、TCP/UDP端口范围、VLAN等定义ACL。支持基于时间段（Time Range）的ACL；支持基于端口、VLAN下发ACL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QoS：支持Diff-Serv QoS；支持802.1p/DSCP 优先级映射；支持队列调度机制（SP、WRR、SP+WRR）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支持优先级标记Mark/Remark；支持基于流的包过滤；支持基于流的流量统计；支持基于流的重定向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支持基于流的限速；堆叠：支持堆叠；支持纵向虚拟化；支持M-LAG；安全特性：支持协议国密加密、配置国密加密、日志国密加密；支持Guest VLAN；；支持IEEE 802.1X认证/集中MAC地址认证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支持AAA&amp;RADIUS认证；支持MAC地址学习数目限制；支持MAC地址黑洞；支持端口隔离；支持ARP报文限速功能；支持IP源地址保护；支持ARP入侵检测功能；；支持防Dos攻击；支持SAVI源地址有效性验证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支持广播报文抑制；支持主备数据备份机制；支持SSH 2.0，为用户登录提供安全加密通道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支持SSL，保障数据传输安全；支持IP＋端口的绑定、IP+MAC的绑定、端口＋MAC的绑定、IP+MAC+端口的绑定功能 ；Console口：支持Console口；Telnet：支持Telnet；SNMP：支持SNMP V1/V2c/V3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NTP：支持NTP；RMON：支持RMON；sFlow：支持sFlow；FTP：支持NTP；TFTP：支持TFTP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SFTP：支持SFTP；系统日志：支持系统工作日志；CLI：支持命令行接口（CLI），Telnet，Console口进行配置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F8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C1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98F3F">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0629E">
            <w:pPr>
              <w:jc w:val="center"/>
              <w:rPr>
                <w:rFonts w:hint="eastAsia" w:ascii="宋体" w:hAnsi="宋体" w:eastAsia="宋体" w:cs="宋体"/>
                <w:i w:val="0"/>
                <w:iCs w:val="0"/>
                <w:color w:val="000000"/>
                <w:sz w:val="20"/>
                <w:szCs w:val="20"/>
                <w:u w:val="none"/>
              </w:rPr>
            </w:pPr>
          </w:p>
        </w:tc>
      </w:tr>
      <w:tr w14:paraId="25DF2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9B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CF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1C4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8个10/100/1000Base-T PoE+以太网电口，4个1000Base-X以太网光口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交换容量：336 Gbps；包转发率：42 Mpps；1-24口支持PoE和PoE+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整机最大输出功率375 W，单端口最大输出功率30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支持基于端口的VLAN，支持基于MAC的VLAN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支持ARP限速；支持 IPv4/IPv6 静态路由；支持STP/RSTP/MSTP；支持链路聚合；支持双向ACL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支持Console口；支持SNMP V1/V2/V3；支持SSH、Telnet；工作温度：0 ℃～45 ℃；尺寸（宽×高×深）：440 mm × 43.6 mm × 260 mm，标准机架高度：1U</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04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D7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93740">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993EF">
            <w:pPr>
              <w:jc w:val="center"/>
              <w:rPr>
                <w:rFonts w:hint="eastAsia" w:ascii="宋体" w:hAnsi="宋体" w:eastAsia="宋体" w:cs="宋体"/>
                <w:i w:val="0"/>
                <w:iCs w:val="0"/>
                <w:color w:val="000000"/>
                <w:sz w:val="20"/>
                <w:szCs w:val="20"/>
                <w:u w:val="none"/>
              </w:rPr>
            </w:pPr>
          </w:p>
        </w:tc>
      </w:tr>
      <w:tr w14:paraId="5A052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C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D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5人席位操作台</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2C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1：框架：长7.6米，宽0.8米，高0.8米，主体框架 1.8 毫米冷轧钢板，台面支撑件为 1.8 毫米冷轧钢板，底柜落地式，底部可调节地脚，表面打磨光滑，静电喷塑处理，前后门板装饰通风孔。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2：桌面部分采用25毫米厚优质防火板材质，铝合金线孔，桌面线孔为升级版80*160 毫米铝合金毛刷线盒，防尘，容量大等优点，侧脚采用25毫米厚密度板烤漆工艺。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3：前后门板为 1.2 毫米优质冷轧钢板，折边整体厚度不低于 18 毫米，链接铰链使用高档五金件，具有质轻，手感好，开关门噪音小等优点，保证 200000 次无障碍开启，同时铰链安装方式为快装式，方便安装和拆卸。散热：调度控制台底部设计空间大，前后有门，前后门上有散气孔，可实现空气对流通畅，使设备安全性得到有效保证。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4：主机为横向放置，内部有横向纵向线槽，方便线路整理以及安装。层板开有 86 插座孔，可根据需求配置插座。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LED氛围灯：产品独特、新颖、时尚的外形设计集成了 221 伏电压的冰蓝色LED氛围灯使产品增加了时尚和科技感。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E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6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3973">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7E30C">
            <w:pPr>
              <w:jc w:val="center"/>
              <w:rPr>
                <w:rFonts w:hint="eastAsia" w:ascii="宋体" w:hAnsi="宋体" w:eastAsia="宋体" w:cs="宋体"/>
                <w:i w:val="0"/>
                <w:iCs w:val="0"/>
                <w:color w:val="000000"/>
                <w:sz w:val="20"/>
                <w:szCs w:val="20"/>
                <w:u w:val="none"/>
              </w:rPr>
            </w:pPr>
          </w:p>
        </w:tc>
      </w:tr>
      <w:tr w14:paraId="28C1D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14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C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会议桌</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06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定制木质烤漆工艺会议桌1台，长5.8米，宽4.8米，高0.8米，桌面宽度0.6米，预留话筒位置，以上桌面厚8cm，带桌斗。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4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E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60D2">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0B5D5">
            <w:pPr>
              <w:jc w:val="center"/>
              <w:rPr>
                <w:rFonts w:hint="eastAsia" w:ascii="宋体" w:hAnsi="宋体" w:eastAsia="宋体" w:cs="宋体"/>
                <w:i w:val="0"/>
                <w:iCs w:val="0"/>
                <w:color w:val="000000"/>
                <w:sz w:val="20"/>
                <w:szCs w:val="20"/>
                <w:u w:val="none"/>
              </w:rPr>
            </w:pPr>
          </w:p>
        </w:tc>
      </w:tr>
      <w:tr w14:paraId="08272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4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0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集成办公桌</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48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1：框架：长3米，宽0.8米，高0.8米.主体框架 1.8 毫米冷轧钢板，台面支撑件为 1.8 毫米冷轧钢板，底柜落地式，底部可调节地脚，表面打磨光滑，静电喷塑处理，前后门板装饰通风孔。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2：桌面部分采用25毫米厚优质防火板材质，铝合金线孔，桌面线孔为升级版80*160 毫米铝合金毛刷线盒，防尘，容量大等优点，侧脚采用25毫米厚密度板烤漆工艺。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3：前后门板为 1.2 毫米优质冷轧钢板，折边整体厚度不低于 18 毫米，链接铰链使用高档五金件，具有质轻，手感好，开关门噪音小等优点，保证 200000 次无障碍开启，同时铰链安装方式为快装式，方便安装和拆卸。散热：调度控制台底部设计空间大，前后有门，前后门上有散气孔，可实现空气对流通畅，使设备安全性得到有效保证。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4：主机为横向放置，内部有横向纵向线槽，方便线路整理以及安装。层板开有 86 插座孔，可根据需求配置插座。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LED氛围灯：产品独特、新颖、时尚的外形设计集成了 220 伏电压的冰蓝色LED氛围灯使产品增加了时尚和科技感。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2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A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AFFC">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B5A68">
            <w:pPr>
              <w:jc w:val="center"/>
              <w:rPr>
                <w:rFonts w:hint="eastAsia" w:ascii="宋体" w:hAnsi="宋体" w:eastAsia="宋体" w:cs="宋体"/>
                <w:i w:val="0"/>
                <w:iCs w:val="0"/>
                <w:color w:val="000000"/>
                <w:sz w:val="20"/>
                <w:szCs w:val="20"/>
                <w:u w:val="none"/>
              </w:rPr>
            </w:pPr>
          </w:p>
        </w:tc>
      </w:tr>
      <w:tr w14:paraId="2C92B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37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7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PDU配电单元</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7C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坐席配套PDU配电单元：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1、产品类型：19英寸标准安装；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2、插座孔形及数量：八位国标五孔；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3、输出线长度：2米线缆，端头为标准三孔插头；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4、额定电压/额定电流：220V/10A；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5、外壳材质：黑色铝合金。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6、带电源开关8位三孔10A。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1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8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1F917">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65AC1">
            <w:pPr>
              <w:jc w:val="center"/>
              <w:rPr>
                <w:rFonts w:hint="eastAsia" w:ascii="宋体" w:hAnsi="宋体" w:eastAsia="宋体" w:cs="宋体"/>
                <w:i w:val="0"/>
                <w:iCs w:val="0"/>
                <w:color w:val="000000"/>
                <w:sz w:val="20"/>
                <w:szCs w:val="20"/>
                <w:u w:val="none"/>
              </w:rPr>
            </w:pPr>
          </w:p>
        </w:tc>
      </w:tr>
      <w:tr w14:paraId="04D01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A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3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椅子</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CE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皮木座椅，木质烤漆工艺，靠背和座垫包皮革处理，长0.64米，宽0.62米，高0.9米，含座椅套颜色甲方自定。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5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3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BE31">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12647">
            <w:pPr>
              <w:jc w:val="center"/>
              <w:rPr>
                <w:rFonts w:hint="eastAsia" w:ascii="宋体" w:hAnsi="宋体" w:eastAsia="宋体" w:cs="宋体"/>
                <w:i w:val="0"/>
                <w:iCs w:val="0"/>
                <w:color w:val="000000"/>
                <w:sz w:val="20"/>
                <w:szCs w:val="20"/>
                <w:u w:val="none"/>
              </w:rPr>
            </w:pPr>
          </w:p>
        </w:tc>
      </w:tr>
      <w:tr w14:paraId="13EEE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21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F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人体工学椅</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6A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人体工学椅须满足甲方使用要求；定制：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1、头枕：3D特网+可调节2D框架+挂衣架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2、椅背：3D特网+黑色框架+可调节腰靠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3、椅座：3D特网+定型棉+黑色底壳  尺寸：长0.6米，宽0.6米，高0.9米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4.海棉腰部支撑符合人体公学顶腰设计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5.白色PU扶手:带柔软PU扶手面，随心可调，舒适承托手臂无拘束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6.座包一体海绵+塑胶底壳.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7.三档锁定同步倾仰底盘，带有倾仰调节功能.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8.材质:铝合金+钢板，机构运动无干涉，无噪音.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9.三级SGS认证气杆，铝合金方锥脚，静音脚轮过BIFMA。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6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D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F87D">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5C385">
            <w:pPr>
              <w:jc w:val="center"/>
              <w:rPr>
                <w:rFonts w:hint="eastAsia" w:ascii="宋体" w:hAnsi="宋体" w:eastAsia="宋体" w:cs="宋体"/>
                <w:i w:val="0"/>
                <w:iCs w:val="0"/>
                <w:color w:val="000000"/>
                <w:sz w:val="20"/>
                <w:szCs w:val="20"/>
                <w:u w:val="none"/>
              </w:rPr>
            </w:pPr>
          </w:p>
        </w:tc>
      </w:tr>
      <w:tr w14:paraId="67658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3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1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UPS</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1D7E">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Style w:val="43"/>
                <w:lang w:val="en-US" w:eastAsia="zh-CN" w:bidi="ar"/>
              </w:rPr>
              <w:br w:type="textWrapping"/>
            </w:r>
            <w:r>
              <w:rPr>
                <w:rStyle w:val="43"/>
                <w:lang w:val="en-US" w:eastAsia="zh-CN" w:bidi="ar"/>
              </w:rPr>
              <w:t xml:space="preserve">参数: </w:t>
            </w:r>
            <w:r>
              <w:rPr>
                <w:rStyle w:val="43"/>
                <w:lang w:val="en-US" w:eastAsia="zh-CN" w:bidi="ar"/>
              </w:rPr>
              <w:br w:type="textWrapping"/>
            </w:r>
            <w:r>
              <w:rPr>
                <w:rStyle w:val="43"/>
                <w:lang w:val="en-US" w:eastAsia="zh-CN" w:bidi="ar"/>
              </w:rPr>
              <w:t>1）工频双变换在线式；</w:t>
            </w:r>
            <w:r>
              <w:rPr>
                <w:rStyle w:val="43"/>
                <w:lang w:val="en-US" w:eastAsia="zh-CN" w:bidi="ar"/>
              </w:rPr>
              <w:br w:type="textWrapping"/>
            </w:r>
            <w:r>
              <w:rPr>
                <w:rStyle w:val="43"/>
                <w:lang w:val="en-US" w:eastAsia="zh-CN" w:bidi="ar"/>
              </w:rPr>
              <w:t>2）三进三出60KVA/48KW；整流脉冲数 6/12脉冲可选；输入电压（Vac）：380/400/415VAC± 15 %  （± 25 % 可调）；</w:t>
            </w:r>
            <w:r>
              <w:rPr>
                <w:rStyle w:val="43"/>
                <w:lang w:val="en-US" w:eastAsia="zh-CN" w:bidi="ar"/>
              </w:rPr>
              <w:br w:type="textWrapping"/>
            </w:r>
            <w:r>
              <w:rPr>
                <w:rStyle w:val="43"/>
                <w:lang w:val="en-US" w:eastAsia="zh-CN" w:bidi="ar"/>
              </w:rPr>
              <w:t>3）输入频率：50/60 Hz(±10)；旁路同步跟踪范围(Hz)：50±5%(±10%可选)；</w:t>
            </w:r>
            <w:r>
              <w:rPr>
                <w:rStyle w:val="43"/>
                <w:lang w:val="en-US" w:eastAsia="zh-CN" w:bidi="ar"/>
              </w:rPr>
              <w:br w:type="textWrapping"/>
            </w:r>
            <w:r>
              <w:rPr>
                <w:rStyle w:val="43"/>
                <w:lang w:val="en-US" w:eastAsia="zh-CN" w:bidi="ar"/>
              </w:rPr>
              <w:t>4）★电池电压(VDC)：384V（电池数量29-32可调）（调试期间需验证该功能，不满足予以退回，且投标商需承担相应赔偿）；</w:t>
            </w:r>
            <w:r>
              <w:rPr>
                <w:rStyle w:val="43"/>
                <w:lang w:val="en-US" w:eastAsia="zh-CN" w:bidi="ar"/>
              </w:rPr>
              <w:br w:type="textWrapping"/>
            </w:r>
            <w:r>
              <w:rPr>
                <w:rStyle w:val="43"/>
                <w:lang w:val="en-US" w:eastAsia="zh-CN" w:bidi="ar"/>
              </w:rPr>
              <w:t>5）并联运行模式(并机型)大于等于 8台并机,充电电流=可根据电池设置充电电流；</w:t>
            </w:r>
            <w:r>
              <w:rPr>
                <w:rStyle w:val="43"/>
                <w:lang w:val="en-US" w:eastAsia="zh-CN" w:bidi="ar"/>
              </w:rPr>
              <w:br w:type="textWrapping"/>
            </w:r>
            <w:r>
              <w:rPr>
                <w:rStyle w:val="43"/>
                <w:lang w:val="en-US" w:eastAsia="zh-CN" w:bidi="ar"/>
              </w:rPr>
              <w:t>6）输出电压（Vac）：380Vac±1%（L-N）；输出频率：市电正常，自动同步跟踪；市电失败，本机50±0.05%；</w:t>
            </w:r>
            <w:r>
              <w:rPr>
                <w:rStyle w:val="43"/>
                <w:lang w:val="en-US" w:eastAsia="zh-CN" w:bidi="ar"/>
              </w:rPr>
              <w:br w:type="textWrapping"/>
            </w:r>
            <w:r>
              <w:rPr>
                <w:rStyle w:val="43"/>
                <w:lang w:val="en-US" w:eastAsia="zh-CN" w:bidi="ar"/>
              </w:rPr>
              <w:t>7）波形失真：THD3%（线性负载），非线性负载THD≤5%；静态旁路转换时间（ms）：0 ms；系统效率：＞92％；</w:t>
            </w:r>
            <w:r>
              <w:rPr>
                <w:rStyle w:val="43"/>
                <w:lang w:val="en-US" w:eastAsia="zh-CN" w:bidi="ar"/>
              </w:rPr>
              <w:br w:type="textWrapping"/>
            </w:r>
            <w:r>
              <w:rPr>
                <w:rStyle w:val="43"/>
                <w:lang w:val="en-US" w:eastAsia="zh-CN" w:bidi="ar"/>
              </w:rPr>
              <w:t>8）★机身设计：逆变输出带隔离变压器、电路板正反面喷覆“三防”漆,具有防潮、防腐蚀，以适应各种恶劣的工作环境； 冗余风机设计，任何一只风机故障，系统依然正</w:t>
            </w:r>
            <w:r>
              <w:rPr>
                <w:rStyle w:val="43"/>
                <w:color w:val="auto"/>
                <w:lang w:val="en-US" w:eastAsia="zh-CN" w:bidi="ar"/>
              </w:rPr>
              <w:t>常工作</w:t>
            </w:r>
            <w:r>
              <w:rPr>
                <w:rStyle w:val="45"/>
                <w:color w:val="auto"/>
                <w:lang w:val="en-US" w:eastAsia="zh-CN" w:bidi="ar"/>
              </w:rPr>
              <w:t>（提供原厂证明文件加盖公章，格式自拟）</w:t>
            </w:r>
            <w:r>
              <w:rPr>
                <w:rStyle w:val="43"/>
                <w:color w:val="auto"/>
                <w:lang w:val="en-US" w:eastAsia="zh-CN" w:bidi="ar"/>
              </w:rPr>
              <w:br w:type="textWrapping"/>
            </w:r>
            <w:r>
              <w:rPr>
                <w:rStyle w:val="43"/>
                <w:lang w:val="en-US" w:eastAsia="zh-CN" w:bidi="ar"/>
              </w:rPr>
              <w:t>9）★系统控制：DSP数字芯片、可编程逻辑芯片（CPLD）、高速微处理器（MCU）全数字控制，使控制精确、快速、稳定、可靠,具有直流冷启动功能，在没有市电输入的情况下，可以直接用电池组启动UPS给负载应急供电。UPS主机标配EPO紧急关机组件，在紧急情况下实行一键式切断UPS的输出</w:t>
            </w:r>
            <w:r>
              <w:rPr>
                <w:rStyle w:val="43"/>
                <w:color w:val="auto"/>
                <w:lang w:val="en-US" w:eastAsia="zh-CN" w:bidi="ar"/>
              </w:rPr>
              <w:t>。</w:t>
            </w:r>
            <w:r>
              <w:rPr>
                <w:rStyle w:val="45"/>
                <w:color w:val="auto"/>
                <w:lang w:val="en-US" w:eastAsia="zh-CN" w:bidi="ar"/>
              </w:rPr>
              <w:t>（提供原厂证明文件加盖公章，格式自拟）</w:t>
            </w:r>
            <w:r>
              <w:rPr>
                <w:rStyle w:val="43"/>
                <w:color w:val="auto"/>
                <w:lang w:val="en-US" w:eastAsia="zh-CN" w:bidi="ar"/>
              </w:rPr>
              <w:t>；</w:t>
            </w:r>
            <w:r>
              <w:rPr>
                <w:rStyle w:val="43"/>
                <w:color w:val="auto"/>
                <w:lang w:val="en-US" w:eastAsia="zh-CN" w:bidi="ar"/>
              </w:rPr>
              <w:br w:type="textWrapping"/>
            </w:r>
            <w:r>
              <w:rPr>
                <w:rStyle w:val="43"/>
                <w:lang w:val="en-US" w:eastAsia="zh-CN" w:bidi="ar"/>
              </w:rPr>
              <w:t>10）过载能力：110％满载时维持1小时；125％满载时维持10分钟；150％满载时维持60秒；</w:t>
            </w:r>
            <w:r>
              <w:rPr>
                <w:rStyle w:val="43"/>
                <w:lang w:val="en-US" w:eastAsia="zh-CN" w:bidi="ar"/>
              </w:rPr>
              <w:br w:type="textWrapping"/>
            </w:r>
            <w:r>
              <w:rPr>
                <w:rStyle w:val="43"/>
                <w:lang w:val="en-US" w:eastAsia="zh-CN" w:bidi="ar"/>
              </w:rPr>
              <w:t>11）保护功能：输出短路保护、过载保护、过温保护、电池低压保护、输出过压/欠压保护、电池反接保护、重要操作密码锁定；</w:t>
            </w:r>
            <w:r>
              <w:rPr>
                <w:rStyle w:val="43"/>
                <w:lang w:val="en-US" w:eastAsia="zh-CN" w:bidi="ar"/>
              </w:rPr>
              <w:br w:type="textWrapping"/>
            </w:r>
            <w:r>
              <w:rPr>
                <w:rStyle w:val="43"/>
                <w:lang w:val="en-US" w:eastAsia="zh-CN" w:bidi="ar"/>
              </w:rPr>
              <w:t>12）通信功能：通信功能 标配5 个触点信号 ；标配 RS232、 RS485 / MODXUS，可选配SNMP选件实现UPS的智能监控；</w:t>
            </w:r>
            <w:r>
              <w:rPr>
                <w:rStyle w:val="43"/>
                <w:lang w:val="en-US" w:eastAsia="zh-CN" w:bidi="ar"/>
              </w:rPr>
              <w:br w:type="textWrapping"/>
            </w:r>
            <w:r>
              <w:rPr>
                <w:rStyle w:val="43"/>
                <w:lang w:val="en-US" w:eastAsia="zh-CN" w:bidi="ar"/>
              </w:rPr>
              <w:t xml:space="preserve">13）面板显示：标配7寸彩色中英文触摸大屏， LED显示工作状态和故障指示；LCD显示三相输入电压、输入频率、三相输出电压、负载、电池电压、电池充放电电流等；                                </w:t>
            </w:r>
            <w:r>
              <w:rPr>
                <w:rStyle w:val="43"/>
                <w:lang w:val="en-US" w:eastAsia="zh-CN" w:bidi="ar"/>
              </w:rPr>
              <w:br w:type="textWrapping"/>
            </w:r>
            <w:r>
              <w:rPr>
                <w:rStyle w:val="43"/>
                <w:lang w:val="en-US" w:eastAsia="zh-CN" w:bidi="ar"/>
              </w:rPr>
              <w:t>14）UPS主机内置操作开关：UPS在主机内应配置市电输入、旁路输入、UPS输出和手动维护旁路开关。</w:t>
            </w:r>
            <w:r>
              <w:rPr>
                <w:rStyle w:val="45"/>
                <w:color w:val="auto"/>
                <w:lang w:val="en-US" w:eastAsia="zh-CN" w:bidi="ar"/>
              </w:rPr>
              <w:t>（需提供UPS主机图片并加盖厂家公章予以佐证）；</w:t>
            </w:r>
            <w:r>
              <w:rPr>
                <w:rStyle w:val="43"/>
                <w:color w:val="auto"/>
                <w:lang w:val="en-US" w:eastAsia="zh-CN" w:bidi="ar"/>
              </w:rPr>
              <w:br w:type="textWrapping"/>
            </w:r>
            <w:r>
              <w:rPr>
                <w:rStyle w:val="43"/>
                <w:lang w:val="en-US" w:eastAsia="zh-CN" w:bidi="ar"/>
              </w:rPr>
              <w:t>15</w:t>
            </w:r>
            <w:r>
              <w:rPr>
                <w:rStyle w:val="43"/>
                <w:color w:val="auto"/>
                <w:lang w:val="en-US" w:eastAsia="zh-CN" w:bidi="ar"/>
              </w:rPr>
              <w:t>）智能风机故障检测及调速技术，噪音：</w:t>
            </w:r>
            <w:r>
              <w:rPr>
                <w:rStyle w:val="49"/>
                <w:color w:val="auto"/>
                <w:lang w:val="en-US" w:eastAsia="zh-CN" w:bidi="ar"/>
              </w:rPr>
              <w:t>＜</w:t>
            </w:r>
            <w:r>
              <w:rPr>
                <w:rStyle w:val="50"/>
                <w:color w:val="auto"/>
                <w:lang w:val="en-US" w:eastAsia="zh-CN" w:bidi="ar"/>
              </w:rPr>
              <w:t>60（离箱体正面一米处）； 电磁兼容：符合GB7260.2-2003；                                                                                                                                                                                                     16）</w:t>
            </w:r>
            <w:r>
              <w:rPr>
                <w:rStyle w:val="51"/>
                <w:color w:val="auto"/>
                <w:lang w:val="en-US" w:eastAsia="zh-CN" w:bidi="ar"/>
              </w:rPr>
              <w:t xml:space="preserve">★UPS不间断电源必须通过第三方权威机构出具的抗震认证及抗震检测报告    </w:t>
            </w:r>
            <w:r>
              <w:rPr>
                <w:rStyle w:val="50"/>
                <w:color w:val="auto"/>
                <w:lang w:val="en-US" w:eastAsia="zh-CN" w:bidi="ar"/>
              </w:rPr>
              <w:t xml:space="preserve">                                                                              </w:t>
            </w:r>
            <w:r>
              <w:rPr>
                <w:rStyle w:val="50"/>
                <w:color w:val="auto"/>
                <w:lang w:val="en-US" w:eastAsia="zh-CN" w:bidi="ar"/>
              </w:rPr>
              <w:br w:type="textWrapping"/>
            </w:r>
            <w:r>
              <w:rPr>
                <w:rStyle w:val="50"/>
                <w:color w:val="auto"/>
                <w:lang w:val="en-US" w:eastAsia="zh-CN" w:bidi="ar"/>
              </w:rPr>
              <w:t>17)★智能的人机界面，LCD+LED面板，配置不小于7寸彩色触摸大屏，显示输入电压、频率，输出电压、频率，负载大小，电池可待机时间、当前状态、历史记录、故障告警等UPS运行指标，界面友好，方便客户使用。</w:t>
            </w:r>
            <w:r>
              <w:rPr>
                <w:rStyle w:val="51"/>
                <w:color w:val="auto"/>
                <w:lang w:val="en-US" w:eastAsia="zh-CN" w:bidi="ar"/>
              </w:rPr>
              <w:t xml:space="preserve">（提供投标机型操作面板彩色图片，并加盖厂家公章予以佐证）   </w:t>
            </w:r>
            <w:r>
              <w:rPr>
                <w:rStyle w:val="50"/>
                <w:color w:val="auto"/>
                <w:lang w:val="en-US" w:eastAsia="zh-CN" w:bidi="ar"/>
              </w:rPr>
              <w:t xml:space="preserve">                                                                                                                                                                      18）★UPS具有温度采样控制风机转速设计功能。</w:t>
            </w:r>
            <w:r>
              <w:rPr>
                <w:rStyle w:val="51"/>
                <w:color w:val="auto"/>
                <w:lang w:val="en-US" w:eastAsia="zh-CN" w:bidi="ar"/>
              </w:rPr>
              <w:t>（需提供第三方证明文件并加盖制造厂家公章）</w:t>
            </w:r>
            <w:r>
              <w:rPr>
                <w:rStyle w:val="50"/>
                <w:color w:val="auto"/>
                <w:lang w:val="en-US" w:eastAsia="zh-CN" w:bidi="ar"/>
              </w:rPr>
              <w:br w:type="textWrapping"/>
            </w:r>
            <w:r>
              <w:rPr>
                <w:rStyle w:val="50"/>
                <w:color w:val="auto"/>
                <w:lang w:val="en-US" w:eastAsia="zh-CN" w:bidi="ar"/>
              </w:rPr>
              <w:t>19） ★UPS具有变压器固定装置设计。</w:t>
            </w:r>
            <w:r>
              <w:rPr>
                <w:rStyle w:val="51"/>
                <w:color w:val="auto"/>
                <w:lang w:val="en-US" w:eastAsia="zh-CN" w:bidi="ar"/>
              </w:rPr>
              <w:t>（需提供第三方证明文件并加盖制造厂家公章）</w:t>
            </w:r>
            <w:r>
              <w:rPr>
                <w:rStyle w:val="50"/>
                <w:color w:val="auto"/>
                <w:lang w:val="en-US" w:eastAsia="zh-CN" w:bidi="ar"/>
              </w:rPr>
              <w:br w:type="textWrapping"/>
            </w:r>
            <w:r>
              <w:rPr>
                <w:rStyle w:val="50"/>
                <w:color w:val="auto"/>
                <w:lang w:val="en-US" w:eastAsia="zh-CN" w:bidi="ar"/>
              </w:rPr>
              <w:t>20） ★UPS基于触摸屏的反馈振动显示装置设计。</w:t>
            </w:r>
            <w:r>
              <w:rPr>
                <w:rStyle w:val="51"/>
                <w:color w:val="auto"/>
                <w:lang w:val="en-US" w:eastAsia="zh-CN" w:bidi="ar"/>
              </w:rPr>
              <w:t>（需提供第三方证明文件并加盖制造厂家公章）</w:t>
            </w:r>
            <w:r>
              <w:rPr>
                <w:rStyle w:val="50"/>
                <w:color w:val="auto"/>
                <w:lang w:val="en-US" w:eastAsia="zh-CN" w:bidi="ar"/>
              </w:rPr>
              <w:br w:type="textWrapping"/>
            </w:r>
            <w:r>
              <w:rPr>
                <w:rStyle w:val="50"/>
                <w:color w:val="auto"/>
                <w:lang w:val="en-US" w:eastAsia="zh-CN" w:bidi="ar"/>
              </w:rPr>
              <w:t>★电池产品为阀控密封式铅酸蓄电池，足容量的150AH/12V,32节，设计寿命≥8年，保修期内不会产生变形、漏液等现象。浮充充电电压13.65±0.15V,均冲充电电压14.2±0.15，容量保存率（％/月）＞96％；</w:t>
            </w:r>
            <w:r>
              <w:rPr>
                <w:rStyle w:val="51"/>
                <w:color w:val="auto"/>
                <w:lang w:val="en-US" w:eastAsia="zh-CN" w:bidi="ar"/>
              </w:rPr>
              <w:t>★蓄电池必须通过第三方权威机构出具的抗震认证及抗震检测报告。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A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8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346D">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A37AD">
            <w:pPr>
              <w:jc w:val="center"/>
              <w:rPr>
                <w:rFonts w:hint="eastAsia" w:ascii="宋体" w:hAnsi="宋体" w:eastAsia="宋体" w:cs="宋体"/>
                <w:i w:val="0"/>
                <w:iCs w:val="0"/>
                <w:color w:val="000000"/>
                <w:sz w:val="20"/>
                <w:szCs w:val="20"/>
                <w:u w:val="none"/>
              </w:rPr>
            </w:pPr>
          </w:p>
        </w:tc>
      </w:tr>
      <w:tr w14:paraId="2E144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65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D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76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3P立式变频空调，一级能耗，内机机身尺寸(宽x高x深)mm 372*1810*403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外机机身尺寸(宽x高x深)mm 958*660*402.面板材质ABS塑料，电压/频率220V/50Hz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能效比4.42，制热功率3120W，内机噪音（静音/低风）22dB(A)，外机最大噪音56dB(A)制冷功率2090W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5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A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DF92">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0A375">
            <w:pPr>
              <w:jc w:val="center"/>
              <w:rPr>
                <w:rFonts w:hint="eastAsia" w:ascii="宋体" w:hAnsi="宋体" w:eastAsia="宋体" w:cs="宋体"/>
                <w:i w:val="0"/>
                <w:iCs w:val="0"/>
                <w:color w:val="000000"/>
                <w:sz w:val="20"/>
                <w:szCs w:val="20"/>
                <w:u w:val="none"/>
              </w:rPr>
            </w:pPr>
          </w:p>
        </w:tc>
      </w:tr>
      <w:tr w14:paraId="01714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91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D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精密空调</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2C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3"/>
                <w:lang w:val="en-US" w:eastAsia="zh-CN" w:bidi="ar"/>
              </w:rPr>
              <w:t>7.6KW基站式3p精密空调</w:t>
            </w:r>
            <w:r>
              <w:rPr>
                <w:rStyle w:val="43"/>
                <w:lang w:val="en-US" w:eastAsia="zh-CN" w:bidi="ar"/>
              </w:rPr>
              <w:br w:type="textWrapping"/>
            </w:r>
            <w:r>
              <w:rPr>
                <w:rStyle w:val="43"/>
                <w:b w:val="0"/>
                <w:bCs w:val="0"/>
                <w:lang w:val="en-US" w:eastAsia="zh-CN" w:bidi="ar"/>
              </w:rPr>
              <w:t>1、</w:t>
            </w:r>
            <w:r>
              <w:rPr>
                <w:rStyle w:val="52"/>
                <w:b w:val="0"/>
                <w:bCs w:val="0"/>
                <w:lang w:val="en-US" w:eastAsia="zh-CN" w:bidi="ar"/>
              </w:rPr>
              <w:t>空调器制冷量≥7.6kW，显冷量≥6.9kW，风量≥2400m³/h</w:t>
            </w:r>
            <w:r>
              <w:rPr>
                <w:rStyle w:val="52"/>
                <w:b w:val="0"/>
                <w:bCs w:val="0"/>
                <w:lang w:val="en-US" w:eastAsia="zh-CN" w:bidi="ar"/>
              </w:rPr>
              <w:br w:type="textWrapping"/>
            </w:r>
            <w:r>
              <w:rPr>
                <w:rStyle w:val="52"/>
                <w:b w:val="0"/>
                <w:bCs w:val="0"/>
                <w:lang w:val="en-US" w:eastAsia="zh-CN" w:bidi="ar"/>
              </w:rPr>
              <w:t>2、柜式单冷；</w:t>
            </w:r>
            <w:r>
              <w:rPr>
                <w:rStyle w:val="52"/>
                <w:b w:val="0"/>
                <w:bCs w:val="0"/>
                <w:lang w:val="en-US" w:eastAsia="zh-CN" w:bidi="ar"/>
              </w:rPr>
              <w:br w:type="textWrapping"/>
            </w:r>
            <w:r>
              <w:rPr>
                <w:rStyle w:val="52"/>
                <w:b w:val="0"/>
                <w:bCs w:val="0"/>
                <w:lang w:val="en-US" w:eastAsia="zh-CN" w:bidi="ar"/>
              </w:rPr>
              <w:t>3、设备应支持项目当地气候环境全年 24 小时</w:t>
            </w:r>
            <w:r>
              <w:rPr>
                <w:rStyle w:val="52"/>
                <w:b w:val="0"/>
                <w:bCs w:val="0"/>
                <w:lang w:val="en-US" w:eastAsia="zh-CN" w:bidi="ar"/>
              </w:rPr>
              <w:br w:type="textWrapping"/>
            </w:r>
            <w:r>
              <w:rPr>
                <w:rStyle w:val="52"/>
                <w:b w:val="0"/>
                <w:bCs w:val="0"/>
                <w:lang w:val="en-US" w:eastAsia="zh-CN" w:bidi="ar"/>
              </w:rPr>
              <w:t>全天连续运行；</w:t>
            </w:r>
            <w:r>
              <w:rPr>
                <w:rStyle w:val="52"/>
                <w:b w:val="0"/>
                <w:bCs w:val="0"/>
                <w:lang w:val="en-US" w:eastAsia="zh-CN" w:bidi="ar"/>
              </w:rPr>
              <w:br w:type="textWrapping"/>
            </w:r>
            <w:r>
              <w:rPr>
                <w:rStyle w:val="52"/>
                <w:b w:val="0"/>
                <w:bCs w:val="0"/>
                <w:lang w:val="en-US" w:eastAsia="zh-CN" w:bidi="ar"/>
              </w:rPr>
              <w:t>4、设备能够按照要求精准控温。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7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E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F078">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65DBC">
            <w:pPr>
              <w:jc w:val="center"/>
              <w:rPr>
                <w:rFonts w:hint="eastAsia" w:ascii="宋体" w:hAnsi="宋体" w:eastAsia="宋体" w:cs="宋体"/>
                <w:i w:val="0"/>
                <w:iCs w:val="0"/>
                <w:color w:val="000000"/>
                <w:sz w:val="20"/>
                <w:szCs w:val="20"/>
                <w:u w:val="none"/>
              </w:rPr>
            </w:pPr>
          </w:p>
        </w:tc>
      </w:tr>
      <w:tr w14:paraId="28A4E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EB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1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门禁系统</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18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1套人脸刷卡门禁；含人脸门禁机、电控锁、开门按钮等全套；报警功能：设备支持防拆报警、门被外力开起报警、胁迫卡和胁迫密码报警等；2、电磁锁：最大静态直线拉力：280kg±15%*2；断电开锁，满足消防要求；具有电锁状态指示灯；含磁力锁支架；3、开门按钮：结构：塑料面板；性能：最大耐电流1.25A，电压250V；输出：常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C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8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CC5D">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5A5BE">
            <w:pPr>
              <w:jc w:val="center"/>
              <w:rPr>
                <w:rFonts w:hint="eastAsia" w:ascii="宋体" w:hAnsi="宋体" w:eastAsia="宋体" w:cs="宋体"/>
                <w:i w:val="0"/>
                <w:iCs w:val="0"/>
                <w:color w:val="000000"/>
                <w:sz w:val="20"/>
                <w:szCs w:val="20"/>
                <w:u w:val="none"/>
              </w:rPr>
            </w:pPr>
          </w:p>
        </w:tc>
      </w:tr>
      <w:tr w14:paraId="0BFCE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C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55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0F3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市电配电箱，500*600*200；设计容量45KW，总开125A/3P*1；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分开：32A/2P*15；20A/2P*6；带指示灯；断电是自动切换UPS电源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50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2E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A085E">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7B910">
            <w:pPr>
              <w:jc w:val="center"/>
              <w:rPr>
                <w:rFonts w:hint="eastAsia" w:ascii="宋体" w:hAnsi="宋体" w:eastAsia="宋体" w:cs="宋体"/>
                <w:i w:val="0"/>
                <w:iCs w:val="0"/>
                <w:color w:val="000000"/>
                <w:sz w:val="20"/>
                <w:szCs w:val="20"/>
                <w:u w:val="none"/>
              </w:rPr>
            </w:pPr>
          </w:p>
        </w:tc>
      </w:tr>
      <w:tr w14:paraId="6F4A1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AE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7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DD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42U机柜，600*1200*2055mm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PDU电源×4、机柜托盘固定板×3、散热风扇×2、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重载支脚×4、螺钉螺母×40、内六角扳手×1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3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9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79EE">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AC162">
            <w:pPr>
              <w:jc w:val="center"/>
              <w:rPr>
                <w:rFonts w:hint="eastAsia" w:ascii="宋体" w:hAnsi="宋体" w:eastAsia="宋体" w:cs="宋体"/>
                <w:i w:val="0"/>
                <w:iCs w:val="0"/>
                <w:color w:val="000000"/>
                <w:sz w:val="20"/>
                <w:szCs w:val="20"/>
                <w:u w:val="none"/>
              </w:rPr>
            </w:pPr>
          </w:p>
        </w:tc>
      </w:tr>
      <w:tr w14:paraId="02AA3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A6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7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高配置图形工作站</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AA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内存容量16GB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主机+显示器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系统Windows 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机箱大小10-20L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处理器intel i9 13900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硬盘容量512GB SSD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显卡型号：集成显卡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屏幕尺寸：23-25英寸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型号：M460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认证型号：M460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USB接口数：4个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核心数：十二核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CPU型号：i913900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屏幕尺寸：23.8英寸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2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0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FAEB">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5B780">
            <w:pPr>
              <w:jc w:val="center"/>
              <w:rPr>
                <w:rFonts w:hint="eastAsia" w:ascii="宋体" w:hAnsi="宋体" w:eastAsia="宋体" w:cs="宋体"/>
                <w:i w:val="0"/>
                <w:iCs w:val="0"/>
                <w:color w:val="000000"/>
                <w:sz w:val="20"/>
                <w:szCs w:val="20"/>
                <w:u w:val="none"/>
              </w:rPr>
            </w:pPr>
          </w:p>
        </w:tc>
      </w:tr>
      <w:tr w14:paraId="693F8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E7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6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实物沙盘</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2D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沙盘尺寸：长4.6米，宽3.6米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1、地形地貌：采用最新三维地形数据，使用3D立体雕刻机在高密度泡沫苯板上雕刻出需要制作的区域范围的立体地形。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2、艺术整饰：采用传统四重设色整饰手法，将区域内的山川、河流、草原、沙漠、雪山等通过艺术手法整饰出来，使其具有很强的艺术性和观赏性。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3、基础地理要素体现：制作出区域内的道路交通，用字牌方式标注重要地名点、主要河流名称、山名等。绘制出国界、省界、地区界等界线，并用高亮LED灯带加以灯光体现。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4、部署：重要目标点采用标绘系统的规范进行制作，并采用不同颜色的发光二级管、LED灯配合字牌小灯箱的形式标注。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5、LED灯光显示：采用120灯珠2毫米宽的进口高亮LED灯带和3mm平头灯珠对沙盘上的，道路、公园水系、建筑物、标识字牌等进行灯光显示。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6、标识字牌标绘系统：对沙盘上的重点道路、宾馆酒店、企事业单位、政府机关、小区、商场、学校、医院等进行名称标识，采用灯箱小字牌方式制作，内装LED灯。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7、沙盘灯光控制系统（硬件系统）：采用多路（根据实际灯光控制路数）智能微电脑板中央控制系统，对沙盘上的各个灯光点位、重要目标进行控制，电源采用220V转12V或5V的电源变压器。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8、沙盘交互控制：平板电脑控制、红外激光笔控制：采用红外感应技术，通过红外激光笔对沙盘进行交互控制。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9、沙盘围框底座：采用环保实木中纤板烤漆制作，颜色为迷彩色边框宽度150mm，沙盘总高度600mm。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D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D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E14B">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F4730">
            <w:pPr>
              <w:jc w:val="center"/>
              <w:rPr>
                <w:rFonts w:hint="eastAsia" w:ascii="宋体" w:hAnsi="宋体" w:eastAsia="宋体" w:cs="宋体"/>
                <w:i w:val="0"/>
                <w:iCs w:val="0"/>
                <w:color w:val="000000"/>
                <w:sz w:val="20"/>
                <w:szCs w:val="20"/>
                <w:u w:val="none"/>
              </w:rPr>
            </w:pPr>
          </w:p>
        </w:tc>
      </w:tr>
      <w:tr w14:paraId="077FB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D37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六、机房动环监测</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97393">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9BF2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526D2">
            <w:pPr>
              <w:jc w:val="center"/>
              <w:rPr>
                <w:rFonts w:hint="eastAsia" w:ascii="宋体" w:hAnsi="宋体" w:eastAsia="宋体" w:cs="宋体"/>
                <w:i w:val="0"/>
                <w:iCs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601A">
            <w:pPr>
              <w:jc w:val="center"/>
              <w:rPr>
                <w:rFonts w:hint="default" w:ascii="Arial" w:hAnsi="Arial" w:eastAsia="宋体" w:cs="Arial"/>
                <w:i w:val="0"/>
                <w:iCs w:val="0"/>
                <w:color w:val="000000"/>
                <w:sz w:val="21"/>
                <w:szCs w:val="21"/>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976C1">
            <w:pPr>
              <w:jc w:val="center"/>
              <w:rPr>
                <w:rFonts w:hint="eastAsia" w:ascii="宋体" w:hAnsi="宋体" w:eastAsia="宋体" w:cs="宋体"/>
                <w:i w:val="0"/>
                <w:iCs w:val="0"/>
                <w:color w:val="000000"/>
                <w:sz w:val="20"/>
                <w:szCs w:val="20"/>
                <w:u w:val="none"/>
              </w:rPr>
            </w:pPr>
          </w:p>
        </w:tc>
      </w:tr>
      <w:tr w14:paraId="5D6C2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EC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27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漏水监控</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41D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智能漏水控制器</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E3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48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D0ED">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16B1B">
            <w:pPr>
              <w:jc w:val="center"/>
              <w:rPr>
                <w:rFonts w:hint="eastAsia" w:ascii="宋体" w:hAnsi="宋体" w:eastAsia="宋体" w:cs="宋体"/>
                <w:i w:val="0"/>
                <w:iCs w:val="0"/>
                <w:color w:val="000000"/>
                <w:sz w:val="20"/>
                <w:szCs w:val="20"/>
                <w:u w:val="none"/>
              </w:rPr>
            </w:pPr>
          </w:p>
        </w:tc>
      </w:tr>
      <w:tr w14:paraId="0C312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B9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F4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温湿度监控</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A8E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温湿度传感器</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F6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FD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2FE8">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ABF8D">
            <w:pPr>
              <w:jc w:val="center"/>
              <w:rPr>
                <w:rFonts w:hint="eastAsia" w:ascii="宋体" w:hAnsi="宋体" w:eastAsia="宋体" w:cs="宋体"/>
                <w:i w:val="0"/>
                <w:iCs w:val="0"/>
                <w:color w:val="000000"/>
                <w:sz w:val="20"/>
                <w:szCs w:val="20"/>
                <w:u w:val="none"/>
              </w:rPr>
            </w:pPr>
          </w:p>
        </w:tc>
      </w:tr>
      <w:tr w14:paraId="6EB07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B1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DE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烟雾监测</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B0D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光电感烟火灾探测器</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57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8E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nil"/>
              <w:left w:val="single" w:color="000000" w:sz="4" w:space="0"/>
              <w:bottom w:val="single" w:color="000000" w:sz="4" w:space="0"/>
              <w:right w:val="single" w:color="000000" w:sz="4" w:space="0"/>
            </w:tcBorders>
            <w:shd w:val="clear" w:color="auto" w:fill="auto"/>
            <w:vAlign w:val="center"/>
          </w:tcPr>
          <w:p w14:paraId="47F34E70">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51EF2">
            <w:pPr>
              <w:jc w:val="center"/>
              <w:rPr>
                <w:rFonts w:hint="eastAsia" w:ascii="宋体" w:hAnsi="宋体" w:eastAsia="宋体" w:cs="宋体"/>
                <w:i w:val="0"/>
                <w:iCs w:val="0"/>
                <w:color w:val="000000"/>
                <w:sz w:val="20"/>
                <w:szCs w:val="20"/>
                <w:u w:val="none"/>
              </w:rPr>
            </w:pPr>
          </w:p>
        </w:tc>
      </w:tr>
      <w:tr w14:paraId="497C5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A6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nil"/>
            </w:tcBorders>
            <w:shd w:val="clear" w:color="auto" w:fill="FFFFFF"/>
            <w:vAlign w:val="center"/>
          </w:tcPr>
          <w:p w14:paraId="31BB5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EDDBA">
            <w:pPr>
              <w:jc w:val="left"/>
              <w:rPr>
                <w:rFonts w:hint="eastAsia" w:ascii="宋体" w:hAnsi="宋体" w:eastAsia="宋体" w:cs="宋体"/>
                <w:i w:val="0"/>
                <w:iCs w:val="0"/>
                <w:color w:val="000000"/>
                <w:sz w:val="20"/>
                <w:szCs w:val="20"/>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BD0F9">
            <w:pPr>
              <w:jc w:val="center"/>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4FA96">
            <w:pPr>
              <w:jc w:val="center"/>
              <w:rPr>
                <w:rFonts w:hint="eastAsia" w:ascii="宋体" w:hAnsi="宋体" w:eastAsia="宋体" w:cs="宋体"/>
                <w:i w:val="0"/>
                <w:iCs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251A">
            <w:pPr>
              <w:jc w:val="center"/>
              <w:rPr>
                <w:rFonts w:hint="eastAsia" w:ascii="微软雅黑" w:hAnsi="微软雅黑" w:eastAsia="微软雅黑" w:cs="微软雅黑"/>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0B3B">
            <w:pPr>
              <w:jc w:val="center"/>
              <w:rPr>
                <w:rFonts w:hint="eastAsia" w:ascii="微软雅黑" w:hAnsi="微软雅黑" w:eastAsia="微软雅黑" w:cs="微软雅黑"/>
                <w:i w:val="0"/>
                <w:iCs w:val="0"/>
                <w:color w:val="000000"/>
                <w:sz w:val="20"/>
                <w:szCs w:val="20"/>
                <w:u w:val="none"/>
              </w:rPr>
            </w:pPr>
          </w:p>
        </w:tc>
      </w:tr>
    </w:tbl>
    <w:p w14:paraId="5DF27E83">
      <w:pPr>
        <w:pStyle w:val="22"/>
        <w:ind w:left="0" w:leftChars="0" w:firstLine="0" w:firstLineChars="0"/>
        <w:rPr>
          <w:rFonts w:hint="eastAsia" w:ascii="仿宋" w:hAnsi="仿宋" w:eastAsia="仿宋" w:cs="仿宋"/>
          <w:b/>
          <w:bCs/>
          <w:color w:val="auto"/>
          <w:sz w:val="24"/>
          <w:szCs w:val="24"/>
          <w:lang w:val="en-US" w:eastAsia="zh-CN"/>
        </w:rPr>
      </w:pPr>
    </w:p>
    <w:p w14:paraId="7AE1292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装修类</w:t>
      </w:r>
    </w:p>
    <w:tbl>
      <w:tblPr>
        <w:tblStyle w:val="39"/>
        <w:tblW w:w="140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200"/>
        <w:gridCol w:w="4848"/>
        <w:gridCol w:w="1500"/>
        <w:gridCol w:w="1320"/>
        <w:gridCol w:w="1665"/>
        <w:gridCol w:w="1425"/>
        <w:gridCol w:w="1458"/>
      </w:tblGrid>
      <w:tr w14:paraId="017DA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675" w:type="dxa"/>
            <w:tcBorders>
              <w:left w:val="single" w:color="000000" w:sz="10" w:space="0"/>
            </w:tcBorders>
            <w:vAlign w:val="top"/>
          </w:tcPr>
          <w:p w14:paraId="6F1EBB5B">
            <w:pPr>
              <w:spacing w:before="56" w:line="232" w:lineRule="exact"/>
              <w:ind w:left="309"/>
              <w:jc w:val="center"/>
              <w:rPr>
                <w:rFonts w:hint="eastAsia" w:ascii="宋体" w:hAnsi="宋体" w:eastAsia="宋体" w:cs="宋体"/>
                <w:position w:val="1"/>
                <w:sz w:val="18"/>
                <w:szCs w:val="18"/>
                <w:lang w:eastAsia="zh-CN"/>
              </w:rPr>
            </w:pPr>
            <w:r>
              <w:rPr>
                <w:rFonts w:hint="eastAsia" w:ascii="宋体" w:hAnsi="宋体" w:eastAsia="宋体" w:cs="宋体"/>
                <w:position w:val="1"/>
                <w:sz w:val="18"/>
                <w:szCs w:val="18"/>
                <w:lang w:eastAsia="zh-CN"/>
              </w:rPr>
              <w:t>序号</w:t>
            </w:r>
          </w:p>
        </w:tc>
        <w:tc>
          <w:tcPr>
            <w:tcW w:w="1200" w:type="dxa"/>
            <w:vAlign w:val="top"/>
          </w:tcPr>
          <w:p w14:paraId="2FEA5CCE">
            <w:pPr>
              <w:spacing w:before="55" w:line="230" w:lineRule="auto"/>
              <w:ind w:left="22"/>
              <w:jc w:val="center"/>
              <w:rPr>
                <w:rFonts w:hint="eastAsia" w:ascii="宋体" w:hAnsi="宋体" w:eastAsia="宋体" w:cs="宋体"/>
                <w:spacing w:val="8"/>
                <w:sz w:val="18"/>
                <w:szCs w:val="18"/>
                <w:lang w:eastAsia="zh-CN"/>
              </w:rPr>
            </w:pPr>
            <w:r>
              <w:rPr>
                <w:rFonts w:hint="eastAsia" w:ascii="宋体" w:hAnsi="宋体" w:eastAsia="宋体" w:cs="宋体"/>
                <w:spacing w:val="8"/>
                <w:sz w:val="18"/>
                <w:szCs w:val="18"/>
                <w:lang w:eastAsia="zh-CN"/>
              </w:rPr>
              <w:t>名称</w:t>
            </w:r>
          </w:p>
        </w:tc>
        <w:tc>
          <w:tcPr>
            <w:tcW w:w="4848" w:type="dxa"/>
            <w:vAlign w:val="top"/>
          </w:tcPr>
          <w:p w14:paraId="0A255F26">
            <w:pPr>
              <w:spacing w:line="212" w:lineRule="auto"/>
              <w:ind w:left="27" w:right="83"/>
              <w:jc w:val="center"/>
              <w:rPr>
                <w:rFonts w:hint="eastAsia" w:ascii="宋体" w:hAnsi="宋体" w:eastAsia="宋体" w:cs="宋体"/>
                <w:spacing w:val="5"/>
                <w:sz w:val="18"/>
                <w:szCs w:val="18"/>
                <w:lang w:eastAsia="zh-CN"/>
              </w:rPr>
            </w:pPr>
            <w:r>
              <w:rPr>
                <w:rFonts w:hint="eastAsia" w:ascii="宋体" w:hAnsi="宋体" w:eastAsia="宋体" w:cs="宋体"/>
                <w:spacing w:val="5"/>
                <w:sz w:val="18"/>
                <w:szCs w:val="18"/>
                <w:lang w:eastAsia="zh-CN"/>
              </w:rPr>
              <w:t>特征描述</w:t>
            </w:r>
          </w:p>
        </w:tc>
        <w:tc>
          <w:tcPr>
            <w:tcW w:w="1500" w:type="dxa"/>
            <w:vAlign w:val="top"/>
          </w:tcPr>
          <w:p w14:paraId="6126541A">
            <w:pPr>
              <w:spacing w:before="56" w:line="232" w:lineRule="exact"/>
              <w:ind w:left="238"/>
              <w:jc w:val="center"/>
              <w:rPr>
                <w:rFonts w:hint="eastAsia" w:ascii="宋体" w:hAnsi="宋体" w:eastAsia="宋体" w:cs="宋体"/>
                <w:spacing w:val="3"/>
                <w:position w:val="1"/>
                <w:sz w:val="18"/>
                <w:szCs w:val="18"/>
                <w:lang w:eastAsia="zh-CN"/>
              </w:rPr>
            </w:pPr>
            <w:r>
              <w:rPr>
                <w:rFonts w:hint="eastAsia" w:ascii="宋体" w:hAnsi="宋体" w:eastAsia="宋体" w:cs="宋体"/>
                <w:spacing w:val="3"/>
                <w:position w:val="1"/>
                <w:sz w:val="18"/>
                <w:szCs w:val="18"/>
                <w:lang w:eastAsia="zh-CN"/>
              </w:rPr>
              <w:t>单位</w:t>
            </w:r>
          </w:p>
        </w:tc>
        <w:tc>
          <w:tcPr>
            <w:tcW w:w="1320" w:type="dxa"/>
            <w:vAlign w:val="top"/>
          </w:tcPr>
          <w:p w14:paraId="53017ACB">
            <w:pPr>
              <w:spacing w:before="56" w:line="230" w:lineRule="exact"/>
              <w:jc w:val="center"/>
              <w:rPr>
                <w:rFonts w:hint="eastAsia" w:ascii="宋体" w:hAnsi="宋体" w:eastAsia="宋体" w:cs="宋体"/>
                <w:spacing w:val="1"/>
                <w:position w:val="1"/>
                <w:sz w:val="18"/>
                <w:szCs w:val="18"/>
                <w:lang w:eastAsia="zh-CN"/>
              </w:rPr>
            </w:pPr>
            <w:r>
              <w:rPr>
                <w:rFonts w:hint="eastAsia" w:ascii="宋体" w:hAnsi="宋体" w:eastAsia="宋体" w:cs="宋体"/>
                <w:spacing w:val="1"/>
                <w:position w:val="1"/>
                <w:sz w:val="18"/>
                <w:szCs w:val="18"/>
                <w:lang w:eastAsia="zh-CN"/>
              </w:rPr>
              <w:t>数量</w:t>
            </w:r>
          </w:p>
        </w:tc>
        <w:tc>
          <w:tcPr>
            <w:tcW w:w="1665" w:type="dxa"/>
            <w:vAlign w:val="top"/>
          </w:tcPr>
          <w:p w14:paraId="4FE54DF5">
            <w:pPr>
              <w:spacing w:before="56" w:line="230" w:lineRule="exact"/>
              <w:jc w:val="center"/>
              <w:rPr>
                <w:rFonts w:hint="eastAsia" w:ascii="宋体" w:hAnsi="宋体" w:eastAsia="宋体" w:cs="宋体"/>
                <w:spacing w:val="3"/>
                <w:position w:val="1"/>
                <w:sz w:val="18"/>
                <w:szCs w:val="18"/>
                <w:lang w:eastAsia="zh-CN"/>
              </w:rPr>
            </w:pPr>
            <w:r>
              <w:rPr>
                <w:rFonts w:hint="eastAsia" w:ascii="宋体" w:hAnsi="宋体" w:eastAsia="宋体" w:cs="宋体"/>
                <w:spacing w:val="3"/>
                <w:position w:val="1"/>
                <w:sz w:val="18"/>
                <w:szCs w:val="18"/>
                <w:lang w:eastAsia="zh-CN"/>
              </w:rPr>
              <w:t>单价（元）</w:t>
            </w:r>
          </w:p>
        </w:tc>
        <w:tc>
          <w:tcPr>
            <w:tcW w:w="1425" w:type="dxa"/>
            <w:vAlign w:val="top"/>
          </w:tcPr>
          <w:p w14:paraId="04D64829">
            <w:pPr>
              <w:spacing w:before="56" w:line="230" w:lineRule="exact"/>
              <w:jc w:val="center"/>
              <w:rPr>
                <w:rFonts w:hint="eastAsia" w:ascii="宋体" w:hAnsi="宋体" w:eastAsia="宋体" w:cs="宋体"/>
                <w:spacing w:val="3"/>
                <w:position w:val="1"/>
                <w:sz w:val="18"/>
                <w:szCs w:val="18"/>
                <w:lang w:eastAsia="zh-CN"/>
              </w:rPr>
            </w:pPr>
            <w:r>
              <w:rPr>
                <w:rFonts w:hint="eastAsia" w:ascii="宋体" w:hAnsi="宋体" w:eastAsia="宋体" w:cs="宋体"/>
                <w:spacing w:val="3"/>
                <w:position w:val="1"/>
                <w:sz w:val="18"/>
                <w:szCs w:val="18"/>
                <w:lang w:eastAsia="zh-CN"/>
              </w:rPr>
              <w:t>总价（元）</w:t>
            </w:r>
          </w:p>
        </w:tc>
        <w:tc>
          <w:tcPr>
            <w:tcW w:w="1458" w:type="dxa"/>
            <w:tcBorders>
              <w:right w:val="single" w:color="000000" w:sz="10" w:space="0"/>
            </w:tcBorders>
            <w:vAlign w:val="top"/>
          </w:tcPr>
          <w:p w14:paraId="19324E65">
            <w:pPr>
              <w:pStyle w:val="40"/>
              <w:jc w:val="center"/>
              <w:rPr>
                <w:rFonts w:hint="eastAsia" w:eastAsia="仿宋"/>
                <w:sz w:val="24"/>
                <w:szCs w:val="24"/>
                <w:lang w:eastAsia="zh-CN"/>
              </w:rPr>
            </w:pPr>
            <w:r>
              <w:rPr>
                <w:rFonts w:hint="eastAsia"/>
                <w:sz w:val="24"/>
                <w:szCs w:val="24"/>
                <w:lang w:eastAsia="zh-CN"/>
              </w:rPr>
              <w:t>备注</w:t>
            </w:r>
          </w:p>
        </w:tc>
      </w:tr>
      <w:tr w14:paraId="1B1C2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jc w:val="center"/>
        </w:trPr>
        <w:tc>
          <w:tcPr>
            <w:tcW w:w="675" w:type="dxa"/>
            <w:tcBorders>
              <w:left w:val="single" w:color="000000" w:sz="10" w:space="0"/>
            </w:tcBorders>
            <w:vAlign w:val="top"/>
          </w:tcPr>
          <w:p w14:paraId="63551543">
            <w:pPr>
              <w:pStyle w:val="40"/>
              <w:spacing w:line="261" w:lineRule="auto"/>
              <w:jc w:val="center"/>
              <w:rPr>
                <w:sz w:val="24"/>
                <w:szCs w:val="24"/>
              </w:rPr>
            </w:pPr>
          </w:p>
          <w:p w14:paraId="011FFE96">
            <w:pPr>
              <w:spacing w:before="56" w:line="232" w:lineRule="exact"/>
              <w:ind w:firstLine="370" w:firstLineChars="200"/>
              <w:jc w:val="center"/>
              <w:rPr>
                <w:rFonts w:ascii="宋体" w:hAnsi="宋体" w:eastAsia="宋体" w:cs="宋体"/>
                <w:sz w:val="18"/>
                <w:szCs w:val="18"/>
              </w:rPr>
            </w:pPr>
            <w:r>
              <w:rPr>
                <w:rFonts w:ascii="宋体" w:hAnsi="宋体" w:eastAsia="宋体" w:cs="宋体"/>
                <w:position w:val="1"/>
                <w:sz w:val="18"/>
                <w:szCs w:val="18"/>
              </w:rPr>
              <w:t>1</w:t>
            </w:r>
          </w:p>
        </w:tc>
        <w:tc>
          <w:tcPr>
            <w:tcW w:w="1200" w:type="dxa"/>
            <w:vAlign w:val="center"/>
          </w:tcPr>
          <w:p w14:paraId="6AD195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墙面装饰板</w:t>
            </w:r>
          </w:p>
        </w:tc>
        <w:tc>
          <w:tcPr>
            <w:tcW w:w="4848" w:type="dxa"/>
            <w:vAlign w:val="center"/>
          </w:tcPr>
          <w:p w14:paraId="51BF0F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1.部位:大屏装饰、木制框架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2.龙骨材料种类、规格、中距:木龙骨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3.隔离层材料种类、规格:平均80mm吸音岩棉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4.面层材料品种、规格、颜色:穿孔木饰面板</w:t>
            </w:r>
          </w:p>
        </w:tc>
        <w:tc>
          <w:tcPr>
            <w:tcW w:w="1500" w:type="dxa"/>
            <w:vAlign w:val="center"/>
          </w:tcPr>
          <w:p w14:paraId="2377E2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249E00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160.32</w:t>
            </w:r>
          </w:p>
        </w:tc>
        <w:tc>
          <w:tcPr>
            <w:tcW w:w="1665" w:type="dxa"/>
            <w:vAlign w:val="top"/>
          </w:tcPr>
          <w:p w14:paraId="26152DB5">
            <w:pPr>
              <w:spacing w:before="56" w:line="230" w:lineRule="exact"/>
              <w:jc w:val="center"/>
              <w:rPr>
                <w:rFonts w:ascii="宋体" w:hAnsi="宋体" w:eastAsia="宋体" w:cs="宋体"/>
                <w:sz w:val="18"/>
                <w:szCs w:val="18"/>
              </w:rPr>
            </w:pPr>
          </w:p>
        </w:tc>
        <w:tc>
          <w:tcPr>
            <w:tcW w:w="1425" w:type="dxa"/>
            <w:vAlign w:val="top"/>
          </w:tcPr>
          <w:p w14:paraId="02EDCEC6">
            <w:pPr>
              <w:spacing w:before="56" w:line="230" w:lineRule="exact"/>
              <w:jc w:val="center"/>
              <w:rPr>
                <w:rFonts w:ascii="宋体" w:hAnsi="宋体" w:eastAsia="宋体" w:cs="宋体"/>
                <w:sz w:val="18"/>
                <w:szCs w:val="18"/>
              </w:rPr>
            </w:pPr>
          </w:p>
        </w:tc>
        <w:tc>
          <w:tcPr>
            <w:tcW w:w="1458" w:type="dxa"/>
            <w:tcBorders>
              <w:right w:val="single" w:color="000000" w:sz="10" w:space="0"/>
            </w:tcBorders>
            <w:vAlign w:val="top"/>
          </w:tcPr>
          <w:p w14:paraId="3E23403F">
            <w:pPr>
              <w:pStyle w:val="40"/>
              <w:jc w:val="center"/>
              <w:rPr>
                <w:sz w:val="24"/>
                <w:szCs w:val="24"/>
              </w:rPr>
            </w:pPr>
          </w:p>
        </w:tc>
      </w:tr>
      <w:tr w14:paraId="2DC0C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675" w:type="dxa"/>
            <w:tcBorders>
              <w:left w:val="single" w:color="000000" w:sz="10" w:space="0"/>
            </w:tcBorders>
            <w:vAlign w:val="top"/>
          </w:tcPr>
          <w:p w14:paraId="17958BCF">
            <w:pPr>
              <w:pStyle w:val="40"/>
              <w:spacing w:line="337" w:lineRule="auto"/>
              <w:jc w:val="center"/>
              <w:rPr>
                <w:sz w:val="24"/>
                <w:szCs w:val="24"/>
              </w:rPr>
            </w:pPr>
          </w:p>
          <w:p w14:paraId="6F3839A2">
            <w:pPr>
              <w:spacing w:before="55" w:line="232" w:lineRule="exact"/>
              <w:ind w:left="298"/>
              <w:jc w:val="center"/>
              <w:rPr>
                <w:rFonts w:ascii="宋体" w:hAnsi="宋体" w:eastAsia="宋体" w:cs="宋体"/>
                <w:sz w:val="18"/>
                <w:szCs w:val="18"/>
              </w:rPr>
            </w:pPr>
            <w:r>
              <w:rPr>
                <w:rFonts w:ascii="宋体" w:hAnsi="宋体" w:eastAsia="宋体" w:cs="宋体"/>
                <w:position w:val="1"/>
                <w:sz w:val="18"/>
                <w:szCs w:val="18"/>
              </w:rPr>
              <w:t>2</w:t>
            </w:r>
          </w:p>
        </w:tc>
        <w:tc>
          <w:tcPr>
            <w:tcW w:w="1200" w:type="dxa"/>
            <w:vAlign w:val="center"/>
          </w:tcPr>
          <w:p w14:paraId="613597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石材台面</w:t>
            </w:r>
          </w:p>
        </w:tc>
        <w:tc>
          <w:tcPr>
            <w:tcW w:w="4848" w:type="dxa"/>
            <w:vAlign w:val="center"/>
          </w:tcPr>
          <w:p w14:paraId="42E3CB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1.窗台板材质、规格、颜色:10mm大理石台面，颜色建设单位自定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2.粘结层厚度、砂浆配合比:密封胶粘贴</w:t>
            </w:r>
          </w:p>
        </w:tc>
        <w:tc>
          <w:tcPr>
            <w:tcW w:w="1500" w:type="dxa"/>
            <w:vAlign w:val="center"/>
          </w:tcPr>
          <w:p w14:paraId="2AB25D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096703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13.58</w:t>
            </w:r>
          </w:p>
        </w:tc>
        <w:tc>
          <w:tcPr>
            <w:tcW w:w="1665" w:type="dxa"/>
            <w:vAlign w:val="top"/>
          </w:tcPr>
          <w:p w14:paraId="6C474FC1">
            <w:pPr>
              <w:spacing w:before="55" w:line="230" w:lineRule="exact"/>
              <w:jc w:val="center"/>
              <w:rPr>
                <w:rFonts w:ascii="宋体" w:hAnsi="宋体" w:eastAsia="宋体" w:cs="宋体"/>
                <w:sz w:val="18"/>
                <w:szCs w:val="18"/>
              </w:rPr>
            </w:pPr>
          </w:p>
        </w:tc>
        <w:tc>
          <w:tcPr>
            <w:tcW w:w="1425" w:type="dxa"/>
            <w:vAlign w:val="top"/>
          </w:tcPr>
          <w:p w14:paraId="7F4B5B13">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72A88BE9">
            <w:pPr>
              <w:pStyle w:val="40"/>
              <w:jc w:val="center"/>
              <w:rPr>
                <w:sz w:val="24"/>
                <w:szCs w:val="24"/>
              </w:rPr>
            </w:pPr>
          </w:p>
        </w:tc>
      </w:tr>
      <w:tr w14:paraId="02D55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3" w:hRule="atLeast"/>
          <w:jc w:val="center"/>
        </w:trPr>
        <w:tc>
          <w:tcPr>
            <w:tcW w:w="675" w:type="dxa"/>
            <w:tcBorders>
              <w:left w:val="single" w:color="000000" w:sz="10" w:space="0"/>
            </w:tcBorders>
            <w:vAlign w:val="top"/>
          </w:tcPr>
          <w:p w14:paraId="240F83CA">
            <w:pPr>
              <w:pStyle w:val="40"/>
              <w:spacing w:line="261" w:lineRule="auto"/>
              <w:jc w:val="center"/>
              <w:rPr>
                <w:sz w:val="24"/>
                <w:szCs w:val="24"/>
              </w:rPr>
            </w:pPr>
          </w:p>
          <w:p w14:paraId="0AAC445C">
            <w:pPr>
              <w:spacing w:before="55" w:line="231" w:lineRule="exact"/>
              <w:ind w:firstLine="370" w:firstLineChars="200"/>
              <w:jc w:val="center"/>
              <w:rPr>
                <w:rFonts w:ascii="宋体" w:hAnsi="宋体" w:eastAsia="宋体" w:cs="宋体"/>
                <w:sz w:val="18"/>
                <w:szCs w:val="18"/>
              </w:rPr>
            </w:pPr>
            <w:r>
              <w:rPr>
                <w:rFonts w:ascii="宋体" w:hAnsi="宋体" w:eastAsia="宋体" w:cs="宋体"/>
                <w:position w:val="1"/>
                <w:sz w:val="18"/>
                <w:szCs w:val="18"/>
              </w:rPr>
              <w:t>3</w:t>
            </w:r>
          </w:p>
        </w:tc>
        <w:tc>
          <w:tcPr>
            <w:tcW w:w="1200" w:type="dxa"/>
            <w:vAlign w:val="center"/>
          </w:tcPr>
          <w:p w14:paraId="697632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吊顶天棚</w:t>
            </w:r>
          </w:p>
        </w:tc>
        <w:tc>
          <w:tcPr>
            <w:tcW w:w="4848" w:type="dxa"/>
            <w:vAlign w:val="center"/>
          </w:tcPr>
          <w:p w14:paraId="5BCC01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1.吊顶形式、吊杆规格、高度:二级吊顶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2.龙骨材料种类、规格、中距:轻钢龙骨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3.基层材料种类、规格:9mm厚石膏板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4.面层材料品种、规格:乳胶漆</w:t>
            </w:r>
          </w:p>
        </w:tc>
        <w:tc>
          <w:tcPr>
            <w:tcW w:w="1500" w:type="dxa"/>
            <w:vAlign w:val="center"/>
          </w:tcPr>
          <w:p w14:paraId="2F9782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30C1E2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665" w:type="dxa"/>
            <w:vAlign w:val="top"/>
          </w:tcPr>
          <w:p w14:paraId="145E9387">
            <w:pPr>
              <w:spacing w:before="55" w:line="230" w:lineRule="exact"/>
              <w:jc w:val="center"/>
              <w:rPr>
                <w:rFonts w:ascii="宋体" w:hAnsi="宋体" w:eastAsia="宋体" w:cs="宋体"/>
                <w:sz w:val="18"/>
                <w:szCs w:val="18"/>
              </w:rPr>
            </w:pPr>
          </w:p>
        </w:tc>
        <w:tc>
          <w:tcPr>
            <w:tcW w:w="1425" w:type="dxa"/>
            <w:vAlign w:val="top"/>
          </w:tcPr>
          <w:p w14:paraId="13A7DC2F">
            <w:pPr>
              <w:spacing w:before="55" w:line="231" w:lineRule="exact"/>
              <w:jc w:val="center"/>
              <w:rPr>
                <w:rFonts w:ascii="宋体" w:hAnsi="宋体" w:eastAsia="宋体" w:cs="宋体"/>
                <w:sz w:val="18"/>
                <w:szCs w:val="18"/>
              </w:rPr>
            </w:pPr>
          </w:p>
        </w:tc>
        <w:tc>
          <w:tcPr>
            <w:tcW w:w="1458" w:type="dxa"/>
            <w:tcBorders>
              <w:right w:val="single" w:color="000000" w:sz="10" w:space="0"/>
            </w:tcBorders>
            <w:vAlign w:val="top"/>
          </w:tcPr>
          <w:p w14:paraId="28415FD9">
            <w:pPr>
              <w:pStyle w:val="40"/>
              <w:jc w:val="center"/>
              <w:rPr>
                <w:sz w:val="24"/>
                <w:szCs w:val="24"/>
              </w:rPr>
            </w:pPr>
          </w:p>
        </w:tc>
      </w:tr>
      <w:tr w14:paraId="42882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675" w:type="dxa"/>
            <w:tcBorders>
              <w:left w:val="single" w:color="000000" w:sz="10" w:space="0"/>
            </w:tcBorders>
            <w:vAlign w:val="top"/>
          </w:tcPr>
          <w:p w14:paraId="653E4034">
            <w:pPr>
              <w:pStyle w:val="40"/>
              <w:spacing w:line="339" w:lineRule="auto"/>
              <w:jc w:val="center"/>
              <w:rPr>
                <w:sz w:val="24"/>
                <w:szCs w:val="24"/>
              </w:rPr>
            </w:pPr>
          </w:p>
          <w:p w14:paraId="7B6687E0">
            <w:pPr>
              <w:spacing w:before="55" w:line="232" w:lineRule="exact"/>
              <w:ind w:left="295"/>
              <w:jc w:val="center"/>
              <w:rPr>
                <w:rFonts w:ascii="宋体" w:hAnsi="宋体" w:eastAsia="宋体" w:cs="宋体"/>
                <w:sz w:val="18"/>
                <w:szCs w:val="18"/>
              </w:rPr>
            </w:pPr>
            <w:r>
              <w:rPr>
                <w:rFonts w:ascii="宋体" w:hAnsi="宋体" w:eastAsia="宋体" w:cs="宋体"/>
                <w:position w:val="1"/>
                <w:sz w:val="18"/>
                <w:szCs w:val="18"/>
              </w:rPr>
              <w:t>4</w:t>
            </w:r>
          </w:p>
        </w:tc>
        <w:tc>
          <w:tcPr>
            <w:tcW w:w="1200" w:type="dxa"/>
            <w:vAlign w:val="center"/>
          </w:tcPr>
          <w:p w14:paraId="17012C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金属字</w:t>
            </w:r>
          </w:p>
        </w:tc>
        <w:tc>
          <w:tcPr>
            <w:tcW w:w="4848" w:type="dxa"/>
            <w:vAlign w:val="center"/>
          </w:tcPr>
          <w:p w14:paraId="559C91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1.镌字材料品种、颜色:铝合金边框+亚克力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2.字体规格:400*400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3.固定方式:粘贴</w:t>
            </w:r>
          </w:p>
        </w:tc>
        <w:tc>
          <w:tcPr>
            <w:tcW w:w="1500" w:type="dxa"/>
            <w:vAlign w:val="center"/>
          </w:tcPr>
          <w:p w14:paraId="6E52DE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320" w:type="dxa"/>
            <w:vAlign w:val="center"/>
          </w:tcPr>
          <w:p w14:paraId="49B12D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665" w:type="dxa"/>
            <w:vAlign w:val="top"/>
          </w:tcPr>
          <w:p w14:paraId="34D1AE68">
            <w:pPr>
              <w:spacing w:before="55" w:line="230" w:lineRule="exact"/>
              <w:jc w:val="center"/>
              <w:rPr>
                <w:rFonts w:ascii="宋体" w:hAnsi="宋体" w:eastAsia="宋体" w:cs="宋体"/>
                <w:sz w:val="18"/>
                <w:szCs w:val="18"/>
              </w:rPr>
            </w:pPr>
          </w:p>
        </w:tc>
        <w:tc>
          <w:tcPr>
            <w:tcW w:w="1425" w:type="dxa"/>
            <w:vAlign w:val="top"/>
          </w:tcPr>
          <w:p w14:paraId="17D7F7A3">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4F3C6574">
            <w:pPr>
              <w:pStyle w:val="40"/>
              <w:jc w:val="center"/>
              <w:rPr>
                <w:sz w:val="24"/>
                <w:szCs w:val="24"/>
              </w:rPr>
            </w:pPr>
          </w:p>
        </w:tc>
      </w:tr>
      <w:tr w14:paraId="42C50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675" w:type="dxa"/>
            <w:tcBorders>
              <w:left w:val="single" w:color="000000" w:sz="10" w:space="0"/>
            </w:tcBorders>
            <w:vAlign w:val="top"/>
          </w:tcPr>
          <w:p w14:paraId="5B6816AB">
            <w:pPr>
              <w:spacing w:before="277" w:line="231" w:lineRule="exact"/>
              <w:ind w:left="299"/>
              <w:jc w:val="center"/>
              <w:rPr>
                <w:rFonts w:ascii="宋体" w:hAnsi="宋体" w:eastAsia="宋体" w:cs="宋体"/>
                <w:sz w:val="18"/>
                <w:szCs w:val="18"/>
              </w:rPr>
            </w:pPr>
            <w:r>
              <w:rPr>
                <w:rFonts w:ascii="宋体" w:hAnsi="宋体" w:eastAsia="宋体" w:cs="宋体"/>
                <w:position w:val="1"/>
                <w:sz w:val="18"/>
                <w:szCs w:val="18"/>
              </w:rPr>
              <w:t>5</w:t>
            </w:r>
          </w:p>
        </w:tc>
        <w:tc>
          <w:tcPr>
            <w:tcW w:w="1200" w:type="dxa"/>
            <w:vAlign w:val="center"/>
          </w:tcPr>
          <w:p w14:paraId="1A6500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橡胶板楼地面</w:t>
            </w:r>
          </w:p>
        </w:tc>
        <w:tc>
          <w:tcPr>
            <w:tcW w:w="4848" w:type="dxa"/>
            <w:vAlign w:val="center"/>
          </w:tcPr>
          <w:p w14:paraId="0F2132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1.面层材料品种:防静电地胶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2.厚度:5mm</w:t>
            </w:r>
          </w:p>
        </w:tc>
        <w:tc>
          <w:tcPr>
            <w:tcW w:w="1500" w:type="dxa"/>
            <w:vAlign w:val="center"/>
          </w:tcPr>
          <w:p w14:paraId="034DA5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2C168E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665" w:type="dxa"/>
            <w:vAlign w:val="top"/>
          </w:tcPr>
          <w:p w14:paraId="2AD1E566">
            <w:pPr>
              <w:spacing w:before="277" w:line="230" w:lineRule="exact"/>
              <w:jc w:val="center"/>
              <w:rPr>
                <w:rFonts w:ascii="宋体" w:hAnsi="宋体" w:eastAsia="宋体" w:cs="宋体"/>
                <w:sz w:val="18"/>
                <w:szCs w:val="18"/>
              </w:rPr>
            </w:pPr>
          </w:p>
        </w:tc>
        <w:tc>
          <w:tcPr>
            <w:tcW w:w="1425" w:type="dxa"/>
            <w:vAlign w:val="top"/>
          </w:tcPr>
          <w:p w14:paraId="110008DA">
            <w:pPr>
              <w:spacing w:before="277" w:line="230" w:lineRule="exact"/>
              <w:jc w:val="center"/>
              <w:rPr>
                <w:rFonts w:ascii="宋体" w:hAnsi="宋体" w:eastAsia="宋体" w:cs="宋体"/>
                <w:sz w:val="18"/>
                <w:szCs w:val="18"/>
              </w:rPr>
            </w:pPr>
          </w:p>
        </w:tc>
        <w:tc>
          <w:tcPr>
            <w:tcW w:w="1458" w:type="dxa"/>
            <w:tcBorders>
              <w:right w:val="single" w:color="000000" w:sz="10" w:space="0"/>
            </w:tcBorders>
            <w:vAlign w:val="top"/>
          </w:tcPr>
          <w:p w14:paraId="29155800">
            <w:pPr>
              <w:pStyle w:val="40"/>
              <w:jc w:val="center"/>
              <w:rPr>
                <w:sz w:val="24"/>
                <w:szCs w:val="24"/>
              </w:rPr>
            </w:pPr>
          </w:p>
        </w:tc>
      </w:tr>
      <w:tr w14:paraId="0B7E8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675" w:type="dxa"/>
            <w:tcBorders>
              <w:left w:val="single" w:color="000000" w:sz="10" w:space="0"/>
            </w:tcBorders>
            <w:vAlign w:val="top"/>
          </w:tcPr>
          <w:p w14:paraId="1C283251">
            <w:pPr>
              <w:spacing w:before="174" w:line="230" w:lineRule="exact"/>
              <w:ind w:left="297"/>
              <w:jc w:val="center"/>
              <w:rPr>
                <w:rFonts w:ascii="宋体" w:hAnsi="宋体" w:eastAsia="宋体" w:cs="宋体"/>
                <w:sz w:val="18"/>
                <w:szCs w:val="18"/>
              </w:rPr>
            </w:pPr>
            <w:r>
              <w:rPr>
                <w:rFonts w:ascii="宋体" w:hAnsi="宋体" w:eastAsia="宋体" w:cs="宋体"/>
                <w:position w:val="1"/>
                <w:sz w:val="18"/>
                <w:szCs w:val="18"/>
              </w:rPr>
              <w:t>6</w:t>
            </w:r>
          </w:p>
        </w:tc>
        <w:tc>
          <w:tcPr>
            <w:tcW w:w="1200" w:type="dxa"/>
            <w:vAlign w:val="center"/>
          </w:tcPr>
          <w:p w14:paraId="2404F7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木窗帘盒</w:t>
            </w:r>
          </w:p>
        </w:tc>
        <w:tc>
          <w:tcPr>
            <w:tcW w:w="4848" w:type="dxa"/>
            <w:vAlign w:val="center"/>
          </w:tcPr>
          <w:p w14:paraId="5D8C83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1.窗帘盒材质:木质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2.窗帘盒规格:宽140mm</w:t>
            </w:r>
          </w:p>
        </w:tc>
        <w:tc>
          <w:tcPr>
            <w:tcW w:w="1500" w:type="dxa"/>
            <w:vAlign w:val="center"/>
          </w:tcPr>
          <w:p w14:paraId="539E4E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320" w:type="dxa"/>
            <w:vAlign w:val="center"/>
          </w:tcPr>
          <w:p w14:paraId="2BDF5A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665" w:type="dxa"/>
            <w:vAlign w:val="top"/>
          </w:tcPr>
          <w:p w14:paraId="6B996A69">
            <w:pPr>
              <w:spacing w:before="174" w:line="230" w:lineRule="exact"/>
              <w:jc w:val="center"/>
              <w:rPr>
                <w:rFonts w:ascii="宋体" w:hAnsi="宋体" w:eastAsia="宋体" w:cs="宋体"/>
                <w:sz w:val="18"/>
                <w:szCs w:val="18"/>
              </w:rPr>
            </w:pPr>
          </w:p>
        </w:tc>
        <w:tc>
          <w:tcPr>
            <w:tcW w:w="1425" w:type="dxa"/>
            <w:vAlign w:val="top"/>
          </w:tcPr>
          <w:p w14:paraId="045E16DE">
            <w:pPr>
              <w:spacing w:before="174" w:line="230" w:lineRule="exact"/>
              <w:jc w:val="center"/>
              <w:rPr>
                <w:rFonts w:ascii="宋体" w:hAnsi="宋体" w:eastAsia="宋体" w:cs="宋体"/>
                <w:sz w:val="18"/>
                <w:szCs w:val="18"/>
              </w:rPr>
            </w:pPr>
          </w:p>
        </w:tc>
        <w:tc>
          <w:tcPr>
            <w:tcW w:w="1458" w:type="dxa"/>
            <w:tcBorders>
              <w:right w:val="single" w:color="000000" w:sz="10" w:space="0"/>
            </w:tcBorders>
            <w:vAlign w:val="top"/>
          </w:tcPr>
          <w:p w14:paraId="22D24F11">
            <w:pPr>
              <w:pStyle w:val="40"/>
              <w:jc w:val="center"/>
              <w:rPr>
                <w:sz w:val="24"/>
                <w:szCs w:val="24"/>
              </w:rPr>
            </w:pPr>
          </w:p>
        </w:tc>
      </w:tr>
      <w:tr w14:paraId="0DF89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675" w:type="dxa"/>
            <w:tcBorders>
              <w:left w:val="single" w:color="000000" w:sz="10" w:space="0"/>
            </w:tcBorders>
            <w:vAlign w:val="top"/>
          </w:tcPr>
          <w:p w14:paraId="347D2DFB">
            <w:pPr>
              <w:pStyle w:val="40"/>
              <w:spacing w:line="446" w:lineRule="auto"/>
              <w:jc w:val="center"/>
              <w:rPr>
                <w:sz w:val="24"/>
                <w:szCs w:val="24"/>
              </w:rPr>
            </w:pPr>
          </w:p>
          <w:p w14:paraId="4573BA62">
            <w:pPr>
              <w:spacing w:before="55" w:line="231" w:lineRule="exact"/>
              <w:ind w:left="300"/>
              <w:jc w:val="center"/>
              <w:rPr>
                <w:rFonts w:ascii="宋体" w:hAnsi="宋体" w:eastAsia="宋体" w:cs="宋体"/>
                <w:sz w:val="18"/>
                <w:szCs w:val="18"/>
              </w:rPr>
            </w:pPr>
            <w:r>
              <w:rPr>
                <w:rFonts w:ascii="宋体" w:hAnsi="宋体" w:eastAsia="宋体" w:cs="宋体"/>
                <w:position w:val="1"/>
                <w:sz w:val="18"/>
                <w:szCs w:val="18"/>
              </w:rPr>
              <w:t>7</w:t>
            </w:r>
          </w:p>
        </w:tc>
        <w:tc>
          <w:tcPr>
            <w:tcW w:w="1200" w:type="dxa"/>
            <w:vAlign w:val="center"/>
          </w:tcPr>
          <w:p w14:paraId="4D4FCF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软膜天花</w:t>
            </w:r>
          </w:p>
        </w:tc>
        <w:tc>
          <w:tcPr>
            <w:tcW w:w="4848" w:type="dxa"/>
            <w:vAlign w:val="center"/>
          </w:tcPr>
          <w:p w14:paraId="134764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1.基层板:12mm厚基层板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2.饰面层:软膜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3.备注:按照投影面积计算(包括但不限于边框、LED漫反射灯条及变压器)</w:t>
            </w:r>
          </w:p>
        </w:tc>
        <w:tc>
          <w:tcPr>
            <w:tcW w:w="1500" w:type="dxa"/>
            <w:vAlign w:val="center"/>
          </w:tcPr>
          <w:p w14:paraId="7B333F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2643A6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665" w:type="dxa"/>
            <w:vAlign w:val="top"/>
          </w:tcPr>
          <w:p w14:paraId="18622B31">
            <w:pPr>
              <w:spacing w:before="55" w:line="230" w:lineRule="exact"/>
              <w:jc w:val="center"/>
              <w:rPr>
                <w:rFonts w:ascii="宋体" w:hAnsi="宋体" w:eastAsia="宋体" w:cs="宋体"/>
                <w:sz w:val="18"/>
                <w:szCs w:val="18"/>
              </w:rPr>
            </w:pPr>
          </w:p>
        </w:tc>
        <w:tc>
          <w:tcPr>
            <w:tcW w:w="1425" w:type="dxa"/>
            <w:vAlign w:val="top"/>
          </w:tcPr>
          <w:p w14:paraId="75466D24">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34F3F670">
            <w:pPr>
              <w:pStyle w:val="40"/>
              <w:jc w:val="center"/>
              <w:rPr>
                <w:sz w:val="24"/>
                <w:szCs w:val="24"/>
              </w:rPr>
            </w:pPr>
          </w:p>
        </w:tc>
      </w:tr>
      <w:tr w14:paraId="5934B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jc w:val="center"/>
        </w:trPr>
        <w:tc>
          <w:tcPr>
            <w:tcW w:w="675" w:type="dxa"/>
            <w:tcBorders>
              <w:left w:val="single" w:color="000000" w:sz="10" w:space="0"/>
            </w:tcBorders>
            <w:vAlign w:val="top"/>
          </w:tcPr>
          <w:p w14:paraId="4D1BCB3F">
            <w:pPr>
              <w:pStyle w:val="40"/>
              <w:spacing w:line="335" w:lineRule="auto"/>
              <w:jc w:val="center"/>
              <w:rPr>
                <w:sz w:val="24"/>
                <w:szCs w:val="24"/>
              </w:rPr>
            </w:pPr>
          </w:p>
          <w:p w14:paraId="721A92D9">
            <w:pPr>
              <w:pStyle w:val="40"/>
              <w:spacing w:line="335" w:lineRule="auto"/>
              <w:jc w:val="center"/>
              <w:rPr>
                <w:sz w:val="24"/>
                <w:szCs w:val="24"/>
              </w:rPr>
            </w:pPr>
          </w:p>
          <w:p w14:paraId="6A28559F">
            <w:pPr>
              <w:spacing w:before="56" w:line="230" w:lineRule="exact"/>
              <w:ind w:left="297"/>
              <w:jc w:val="center"/>
              <w:rPr>
                <w:rFonts w:ascii="宋体" w:hAnsi="宋体" w:eastAsia="宋体" w:cs="宋体"/>
                <w:sz w:val="18"/>
                <w:szCs w:val="18"/>
              </w:rPr>
            </w:pPr>
            <w:r>
              <w:rPr>
                <w:rFonts w:ascii="宋体" w:hAnsi="宋体" w:eastAsia="宋体" w:cs="宋体"/>
                <w:position w:val="1"/>
                <w:sz w:val="18"/>
                <w:szCs w:val="18"/>
              </w:rPr>
              <w:t>8</w:t>
            </w:r>
          </w:p>
        </w:tc>
        <w:tc>
          <w:tcPr>
            <w:tcW w:w="1200" w:type="dxa"/>
            <w:vAlign w:val="center"/>
          </w:tcPr>
          <w:p w14:paraId="155832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窗帘</w:t>
            </w:r>
          </w:p>
        </w:tc>
        <w:tc>
          <w:tcPr>
            <w:tcW w:w="4848" w:type="dxa"/>
            <w:vAlign w:val="center"/>
          </w:tcPr>
          <w:p w14:paraId="07488A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1.窗帘层数:双层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2.窗帘材质:纱+布艺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3.窗帘高度、宽度:4m宽*3米高</w:t>
            </w:r>
          </w:p>
        </w:tc>
        <w:tc>
          <w:tcPr>
            <w:tcW w:w="1500" w:type="dxa"/>
            <w:vAlign w:val="center"/>
          </w:tcPr>
          <w:p w14:paraId="4B4119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08D6B0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665" w:type="dxa"/>
            <w:vAlign w:val="top"/>
          </w:tcPr>
          <w:p w14:paraId="212BEFFD">
            <w:pPr>
              <w:spacing w:before="56" w:line="230" w:lineRule="exact"/>
              <w:jc w:val="center"/>
              <w:rPr>
                <w:rFonts w:ascii="宋体" w:hAnsi="宋体" w:eastAsia="宋体" w:cs="宋体"/>
                <w:sz w:val="18"/>
                <w:szCs w:val="18"/>
              </w:rPr>
            </w:pPr>
          </w:p>
        </w:tc>
        <w:tc>
          <w:tcPr>
            <w:tcW w:w="1425" w:type="dxa"/>
            <w:vAlign w:val="top"/>
          </w:tcPr>
          <w:p w14:paraId="0FBFFB97">
            <w:pPr>
              <w:spacing w:before="56" w:line="230" w:lineRule="exact"/>
              <w:jc w:val="center"/>
              <w:rPr>
                <w:rFonts w:ascii="宋体" w:hAnsi="宋体" w:eastAsia="宋体" w:cs="宋体"/>
                <w:sz w:val="18"/>
                <w:szCs w:val="18"/>
              </w:rPr>
            </w:pPr>
          </w:p>
        </w:tc>
        <w:tc>
          <w:tcPr>
            <w:tcW w:w="1458" w:type="dxa"/>
            <w:tcBorders>
              <w:right w:val="single" w:color="000000" w:sz="10" w:space="0"/>
            </w:tcBorders>
            <w:vAlign w:val="top"/>
          </w:tcPr>
          <w:p w14:paraId="0DC1F61E">
            <w:pPr>
              <w:pStyle w:val="40"/>
              <w:jc w:val="center"/>
              <w:rPr>
                <w:sz w:val="24"/>
                <w:szCs w:val="24"/>
              </w:rPr>
            </w:pPr>
          </w:p>
        </w:tc>
      </w:tr>
      <w:tr w14:paraId="1B5CF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75" w:type="dxa"/>
            <w:tcBorders>
              <w:left w:val="single" w:color="000000" w:sz="10" w:space="0"/>
            </w:tcBorders>
            <w:vAlign w:val="top"/>
          </w:tcPr>
          <w:p w14:paraId="0403FEA1">
            <w:pPr>
              <w:pStyle w:val="40"/>
              <w:spacing w:line="254" w:lineRule="auto"/>
              <w:jc w:val="center"/>
              <w:rPr>
                <w:sz w:val="24"/>
                <w:szCs w:val="24"/>
              </w:rPr>
            </w:pPr>
          </w:p>
          <w:p w14:paraId="6C714F8A">
            <w:pPr>
              <w:spacing w:before="55" w:line="231" w:lineRule="exact"/>
              <w:ind w:left="297"/>
              <w:jc w:val="center"/>
              <w:rPr>
                <w:rFonts w:ascii="宋体" w:hAnsi="宋体" w:eastAsia="宋体" w:cs="宋体"/>
                <w:sz w:val="18"/>
                <w:szCs w:val="18"/>
              </w:rPr>
            </w:pPr>
            <w:r>
              <w:rPr>
                <w:rFonts w:ascii="宋体" w:hAnsi="宋体" w:eastAsia="宋体" w:cs="宋体"/>
                <w:position w:val="1"/>
                <w:sz w:val="18"/>
                <w:szCs w:val="18"/>
              </w:rPr>
              <w:t>9</w:t>
            </w:r>
          </w:p>
        </w:tc>
        <w:tc>
          <w:tcPr>
            <w:tcW w:w="1200" w:type="dxa"/>
            <w:vAlign w:val="center"/>
          </w:tcPr>
          <w:p w14:paraId="1C0609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玻璃隔断</w:t>
            </w:r>
          </w:p>
        </w:tc>
        <w:tc>
          <w:tcPr>
            <w:tcW w:w="4848" w:type="dxa"/>
            <w:vAlign w:val="center"/>
          </w:tcPr>
          <w:p w14:paraId="3B6B3F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1.边框材料种类、规格:断桥隔热铝合金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2.玻璃品种、规格、颜色:5+5钢化双玻</w:t>
            </w:r>
          </w:p>
          <w:p w14:paraId="266D86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3.嵌缝、塞口材料品种:密封胶</w:t>
            </w:r>
          </w:p>
        </w:tc>
        <w:tc>
          <w:tcPr>
            <w:tcW w:w="1500" w:type="dxa"/>
            <w:vAlign w:val="center"/>
          </w:tcPr>
          <w:p w14:paraId="648B5F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66C407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39.6</w:t>
            </w:r>
          </w:p>
        </w:tc>
        <w:tc>
          <w:tcPr>
            <w:tcW w:w="1665" w:type="dxa"/>
            <w:vAlign w:val="top"/>
          </w:tcPr>
          <w:p w14:paraId="7EC5206E">
            <w:pPr>
              <w:spacing w:before="55" w:line="230" w:lineRule="exact"/>
              <w:jc w:val="center"/>
              <w:rPr>
                <w:rFonts w:ascii="宋体" w:hAnsi="宋体" w:eastAsia="宋体" w:cs="宋体"/>
                <w:sz w:val="18"/>
                <w:szCs w:val="18"/>
              </w:rPr>
            </w:pPr>
          </w:p>
        </w:tc>
        <w:tc>
          <w:tcPr>
            <w:tcW w:w="1425" w:type="dxa"/>
            <w:vAlign w:val="top"/>
          </w:tcPr>
          <w:p w14:paraId="35580360">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435FD224">
            <w:pPr>
              <w:pStyle w:val="40"/>
              <w:jc w:val="center"/>
              <w:rPr>
                <w:sz w:val="24"/>
                <w:szCs w:val="24"/>
              </w:rPr>
            </w:pPr>
          </w:p>
        </w:tc>
      </w:tr>
      <w:tr w14:paraId="76E53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jc w:val="center"/>
        </w:trPr>
        <w:tc>
          <w:tcPr>
            <w:tcW w:w="675" w:type="dxa"/>
            <w:tcBorders>
              <w:left w:val="single" w:color="000000" w:sz="10" w:space="0"/>
            </w:tcBorders>
            <w:vAlign w:val="top"/>
          </w:tcPr>
          <w:p w14:paraId="1018916A">
            <w:pPr>
              <w:pStyle w:val="40"/>
              <w:spacing w:line="280" w:lineRule="auto"/>
              <w:jc w:val="center"/>
              <w:rPr>
                <w:sz w:val="24"/>
                <w:szCs w:val="24"/>
              </w:rPr>
            </w:pPr>
          </w:p>
          <w:p w14:paraId="18004EA8">
            <w:pPr>
              <w:spacing w:before="55" w:line="231" w:lineRule="exact"/>
              <w:ind w:firstLine="358" w:firstLineChars="200"/>
              <w:jc w:val="center"/>
              <w:rPr>
                <w:rFonts w:ascii="宋体" w:hAnsi="宋体" w:eastAsia="宋体" w:cs="宋体"/>
                <w:sz w:val="18"/>
                <w:szCs w:val="18"/>
              </w:rPr>
            </w:pPr>
            <w:r>
              <w:rPr>
                <w:rFonts w:ascii="宋体" w:hAnsi="宋体" w:eastAsia="宋体" w:cs="宋体"/>
                <w:spacing w:val="-3"/>
                <w:position w:val="1"/>
                <w:sz w:val="18"/>
                <w:szCs w:val="18"/>
              </w:rPr>
              <w:t>10</w:t>
            </w:r>
          </w:p>
        </w:tc>
        <w:tc>
          <w:tcPr>
            <w:tcW w:w="1200" w:type="dxa"/>
            <w:vAlign w:val="center"/>
          </w:tcPr>
          <w:p w14:paraId="7F3511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天棚面龙骨及饰面拆除</w:t>
            </w:r>
          </w:p>
        </w:tc>
        <w:tc>
          <w:tcPr>
            <w:tcW w:w="4848" w:type="dxa"/>
            <w:vAlign w:val="center"/>
          </w:tcPr>
          <w:p w14:paraId="56A9CA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1.拆除的基层类型:石膏板吊顶拆除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2.备注:包括但不限于建筑垃圾清理外运等</w:t>
            </w:r>
          </w:p>
        </w:tc>
        <w:tc>
          <w:tcPr>
            <w:tcW w:w="1500" w:type="dxa"/>
            <w:vAlign w:val="center"/>
          </w:tcPr>
          <w:p w14:paraId="064E5D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48C38A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665" w:type="dxa"/>
            <w:vAlign w:val="top"/>
          </w:tcPr>
          <w:p w14:paraId="775F8EAC">
            <w:pPr>
              <w:spacing w:before="55" w:line="230" w:lineRule="exact"/>
              <w:ind w:right="1"/>
              <w:jc w:val="center"/>
              <w:rPr>
                <w:rFonts w:ascii="宋体" w:hAnsi="宋体" w:eastAsia="宋体" w:cs="宋体"/>
                <w:sz w:val="18"/>
                <w:szCs w:val="18"/>
              </w:rPr>
            </w:pPr>
          </w:p>
        </w:tc>
        <w:tc>
          <w:tcPr>
            <w:tcW w:w="1425" w:type="dxa"/>
            <w:vAlign w:val="top"/>
          </w:tcPr>
          <w:p w14:paraId="6C61A889">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6A841DC0">
            <w:pPr>
              <w:pStyle w:val="40"/>
              <w:jc w:val="center"/>
              <w:rPr>
                <w:sz w:val="24"/>
                <w:szCs w:val="24"/>
              </w:rPr>
            </w:pPr>
          </w:p>
        </w:tc>
      </w:tr>
      <w:tr w14:paraId="3B883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jc w:val="center"/>
        </w:trPr>
        <w:tc>
          <w:tcPr>
            <w:tcW w:w="675" w:type="dxa"/>
            <w:tcBorders>
              <w:left w:val="single" w:color="000000" w:sz="10" w:space="0"/>
            </w:tcBorders>
            <w:vAlign w:val="top"/>
          </w:tcPr>
          <w:p w14:paraId="03CE67F9">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11</w:t>
            </w:r>
          </w:p>
        </w:tc>
        <w:tc>
          <w:tcPr>
            <w:tcW w:w="1200" w:type="dxa"/>
            <w:vAlign w:val="center"/>
          </w:tcPr>
          <w:p w14:paraId="2BD4E8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柜台</w:t>
            </w:r>
          </w:p>
        </w:tc>
        <w:tc>
          <w:tcPr>
            <w:tcW w:w="4848" w:type="dxa"/>
            <w:vAlign w:val="center"/>
          </w:tcPr>
          <w:p w14:paraId="44FF58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1.名称:柜台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2.台柜规格:高800*厚400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3.材料种类、规格:木质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4.五金种类、规格:与柜体配套</w:t>
            </w:r>
          </w:p>
        </w:tc>
        <w:tc>
          <w:tcPr>
            <w:tcW w:w="1500" w:type="dxa"/>
            <w:vAlign w:val="center"/>
          </w:tcPr>
          <w:p w14:paraId="3779AF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320" w:type="dxa"/>
            <w:vAlign w:val="center"/>
          </w:tcPr>
          <w:p w14:paraId="77DAF2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665" w:type="dxa"/>
            <w:vAlign w:val="top"/>
          </w:tcPr>
          <w:p w14:paraId="69DA70B5">
            <w:pPr>
              <w:spacing w:before="55" w:line="230" w:lineRule="exact"/>
              <w:ind w:right="1"/>
              <w:jc w:val="center"/>
              <w:rPr>
                <w:rFonts w:ascii="宋体" w:hAnsi="宋体" w:eastAsia="宋体" w:cs="宋体"/>
                <w:sz w:val="18"/>
                <w:szCs w:val="18"/>
              </w:rPr>
            </w:pPr>
          </w:p>
        </w:tc>
        <w:tc>
          <w:tcPr>
            <w:tcW w:w="1425" w:type="dxa"/>
            <w:vAlign w:val="top"/>
          </w:tcPr>
          <w:p w14:paraId="3217F92C">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5EE7433C">
            <w:pPr>
              <w:pStyle w:val="40"/>
              <w:jc w:val="center"/>
              <w:rPr>
                <w:sz w:val="24"/>
                <w:szCs w:val="24"/>
              </w:rPr>
            </w:pPr>
          </w:p>
        </w:tc>
      </w:tr>
      <w:tr w14:paraId="4B36F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jc w:val="center"/>
        </w:trPr>
        <w:tc>
          <w:tcPr>
            <w:tcW w:w="675" w:type="dxa"/>
            <w:tcBorders>
              <w:left w:val="single" w:color="000000" w:sz="10" w:space="0"/>
            </w:tcBorders>
            <w:vAlign w:val="top"/>
          </w:tcPr>
          <w:p w14:paraId="0B5E188C">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12</w:t>
            </w:r>
          </w:p>
        </w:tc>
        <w:tc>
          <w:tcPr>
            <w:tcW w:w="1200" w:type="dxa"/>
            <w:vAlign w:val="center"/>
          </w:tcPr>
          <w:p w14:paraId="693BBE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台阶</w:t>
            </w:r>
          </w:p>
        </w:tc>
        <w:tc>
          <w:tcPr>
            <w:tcW w:w="4848" w:type="dxa"/>
            <w:vAlign w:val="center"/>
          </w:tcPr>
          <w:p w14:paraId="5A6802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1.名称:台阶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2.规格:4米宽*9.6米长(投影)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3.面层材料品种、规格、颜色:钢结构+木工板+木地板装饰</w:t>
            </w:r>
          </w:p>
        </w:tc>
        <w:tc>
          <w:tcPr>
            <w:tcW w:w="1500" w:type="dxa"/>
            <w:vAlign w:val="center"/>
          </w:tcPr>
          <w:p w14:paraId="7039DD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18A4D8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38.4</w:t>
            </w:r>
          </w:p>
        </w:tc>
        <w:tc>
          <w:tcPr>
            <w:tcW w:w="1665" w:type="dxa"/>
            <w:vAlign w:val="top"/>
          </w:tcPr>
          <w:p w14:paraId="44F5BC42">
            <w:pPr>
              <w:spacing w:before="55" w:line="230" w:lineRule="exact"/>
              <w:ind w:right="1"/>
              <w:jc w:val="center"/>
              <w:rPr>
                <w:rFonts w:ascii="宋体" w:hAnsi="宋体" w:eastAsia="宋体" w:cs="宋体"/>
                <w:sz w:val="18"/>
                <w:szCs w:val="18"/>
              </w:rPr>
            </w:pPr>
          </w:p>
        </w:tc>
        <w:tc>
          <w:tcPr>
            <w:tcW w:w="1425" w:type="dxa"/>
            <w:vAlign w:val="top"/>
          </w:tcPr>
          <w:p w14:paraId="7A07B079">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60D9D267">
            <w:pPr>
              <w:pStyle w:val="40"/>
              <w:jc w:val="center"/>
              <w:rPr>
                <w:sz w:val="24"/>
                <w:szCs w:val="24"/>
              </w:rPr>
            </w:pPr>
          </w:p>
        </w:tc>
      </w:tr>
      <w:tr w14:paraId="037DE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303D62B5">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13</w:t>
            </w:r>
          </w:p>
        </w:tc>
        <w:tc>
          <w:tcPr>
            <w:tcW w:w="1200" w:type="dxa"/>
            <w:vAlign w:val="center"/>
          </w:tcPr>
          <w:p w14:paraId="63B6FF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综合脚手架</w:t>
            </w:r>
          </w:p>
        </w:tc>
        <w:tc>
          <w:tcPr>
            <w:tcW w:w="4848" w:type="dxa"/>
            <w:vAlign w:val="center"/>
          </w:tcPr>
          <w:p w14:paraId="0706FD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500" w:type="dxa"/>
            <w:vAlign w:val="center"/>
          </w:tcPr>
          <w:p w14:paraId="5E9FA5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56B2C4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665" w:type="dxa"/>
            <w:vAlign w:val="top"/>
          </w:tcPr>
          <w:p w14:paraId="75AF7F9F">
            <w:pPr>
              <w:spacing w:before="55" w:line="230" w:lineRule="exact"/>
              <w:ind w:right="1"/>
              <w:jc w:val="center"/>
              <w:rPr>
                <w:rFonts w:ascii="宋体" w:hAnsi="宋体" w:eastAsia="宋体" w:cs="宋体"/>
                <w:sz w:val="18"/>
                <w:szCs w:val="18"/>
              </w:rPr>
            </w:pPr>
          </w:p>
        </w:tc>
        <w:tc>
          <w:tcPr>
            <w:tcW w:w="1425" w:type="dxa"/>
            <w:vAlign w:val="top"/>
          </w:tcPr>
          <w:p w14:paraId="465C31B9">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439B1F5B">
            <w:pPr>
              <w:pStyle w:val="40"/>
              <w:jc w:val="center"/>
              <w:rPr>
                <w:sz w:val="24"/>
                <w:szCs w:val="24"/>
              </w:rPr>
            </w:pPr>
          </w:p>
        </w:tc>
      </w:tr>
      <w:tr w14:paraId="5150F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4234086F">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14</w:t>
            </w:r>
          </w:p>
        </w:tc>
        <w:tc>
          <w:tcPr>
            <w:tcW w:w="1200" w:type="dxa"/>
            <w:vAlign w:val="center"/>
          </w:tcPr>
          <w:p w14:paraId="2E6512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电力电缆</w:t>
            </w:r>
          </w:p>
        </w:tc>
        <w:tc>
          <w:tcPr>
            <w:tcW w:w="4848" w:type="dxa"/>
            <w:vAlign w:val="center"/>
          </w:tcPr>
          <w:p w14:paraId="127F241D">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名称:电力电缆</w:t>
            </w:r>
          </w:p>
          <w:p w14:paraId="03CE08BA">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型号:YJV-3*120+1</w:t>
            </w:r>
          </w:p>
          <w:p w14:paraId="508CBF0F">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材质:铜芯</w:t>
            </w:r>
          </w:p>
        </w:tc>
        <w:tc>
          <w:tcPr>
            <w:tcW w:w="1500" w:type="dxa"/>
            <w:vAlign w:val="center"/>
          </w:tcPr>
          <w:p w14:paraId="73D507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320" w:type="dxa"/>
            <w:vAlign w:val="center"/>
          </w:tcPr>
          <w:p w14:paraId="1B0660B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665" w:type="dxa"/>
            <w:vAlign w:val="top"/>
          </w:tcPr>
          <w:p w14:paraId="71C2114C">
            <w:pPr>
              <w:spacing w:before="55" w:line="230" w:lineRule="exact"/>
              <w:ind w:right="1"/>
              <w:jc w:val="center"/>
              <w:rPr>
                <w:rFonts w:ascii="宋体" w:hAnsi="宋体" w:eastAsia="宋体" w:cs="宋体"/>
                <w:sz w:val="18"/>
                <w:szCs w:val="18"/>
              </w:rPr>
            </w:pPr>
          </w:p>
        </w:tc>
        <w:tc>
          <w:tcPr>
            <w:tcW w:w="1425" w:type="dxa"/>
            <w:vAlign w:val="top"/>
          </w:tcPr>
          <w:p w14:paraId="49B3D233">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7E172EA8">
            <w:pPr>
              <w:pStyle w:val="40"/>
              <w:jc w:val="center"/>
              <w:rPr>
                <w:sz w:val="24"/>
                <w:szCs w:val="24"/>
              </w:rPr>
            </w:pPr>
          </w:p>
        </w:tc>
      </w:tr>
      <w:tr w14:paraId="61E6B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1B6F6F21">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15</w:t>
            </w:r>
          </w:p>
        </w:tc>
        <w:tc>
          <w:tcPr>
            <w:tcW w:w="1200" w:type="dxa"/>
            <w:vAlign w:val="center"/>
          </w:tcPr>
          <w:p w14:paraId="658CD2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装饰灯</w:t>
            </w:r>
          </w:p>
        </w:tc>
        <w:tc>
          <w:tcPr>
            <w:tcW w:w="4848" w:type="dxa"/>
            <w:vAlign w:val="center"/>
          </w:tcPr>
          <w:p w14:paraId="0F57E1F8">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名称:筒灯</w:t>
            </w:r>
          </w:p>
          <w:p w14:paraId="579EC44B">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型号:直径100mm</w:t>
            </w:r>
          </w:p>
          <w:p w14:paraId="1A17976B">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安装形式:嵌入式安装</w:t>
            </w:r>
          </w:p>
        </w:tc>
        <w:tc>
          <w:tcPr>
            <w:tcW w:w="1500" w:type="dxa"/>
            <w:vAlign w:val="center"/>
          </w:tcPr>
          <w:p w14:paraId="45B87A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320" w:type="dxa"/>
            <w:vAlign w:val="center"/>
          </w:tcPr>
          <w:p w14:paraId="506D071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665" w:type="dxa"/>
            <w:vAlign w:val="top"/>
          </w:tcPr>
          <w:p w14:paraId="256D7C8F">
            <w:pPr>
              <w:spacing w:before="55" w:line="230" w:lineRule="exact"/>
              <w:ind w:right="1"/>
              <w:jc w:val="center"/>
              <w:rPr>
                <w:rFonts w:ascii="宋体" w:hAnsi="宋体" w:eastAsia="宋体" w:cs="宋体"/>
                <w:sz w:val="18"/>
                <w:szCs w:val="18"/>
              </w:rPr>
            </w:pPr>
          </w:p>
        </w:tc>
        <w:tc>
          <w:tcPr>
            <w:tcW w:w="1425" w:type="dxa"/>
            <w:vAlign w:val="top"/>
          </w:tcPr>
          <w:p w14:paraId="51E23EFD">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61208B23">
            <w:pPr>
              <w:pStyle w:val="40"/>
              <w:jc w:val="center"/>
              <w:rPr>
                <w:sz w:val="24"/>
                <w:szCs w:val="24"/>
              </w:rPr>
            </w:pPr>
          </w:p>
        </w:tc>
      </w:tr>
      <w:tr w14:paraId="6CB95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72F192A6">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16</w:t>
            </w:r>
          </w:p>
        </w:tc>
        <w:tc>
          <w:tcPr>
            <w:tcW w:w="1200" w:type="dxa"/>
            <w:vAlign w:val="center"/>
          </w:tcPr>
          <w:p w14:paraId="6D0960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照明开关</w:t>
            </w:r>
          </w:p>
        </w:tc>
        <w:tc>
          <w:tcPr>
            <w:tcW w:w="4848" w:type="dxa"/>
            <w:vAlign w:val="center"/>
          </w:tcPr>
          <w:p w14:paraId="483A3808">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名称:双联单控开关</w:t>
            </w:r>
          </w:p>
          <w:p w14:paraId="644AF16C">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规格:250V 10A</w:t>
            </w:r>
          </w:p>
        </w:tc>
        <w:tc>
          <w:tcPr>
            <w:tcW w:w="1500" w:type="dxa"/>
            <w:vAlign w:val="center"/>
          </w:tcPr>
          <w:p w14:paraId="1A8F1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320" w:type="dxa"/>
            <w:vAlign w:val="center"/>
          </w:tcPr>
          <w:p w14:paraId="17E838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665" w:type="dxa"/>
            <w:vAlign w:val="top"/>
          </w:tcPr>
          <w:p w14:paraId="66E9630E">
            <w:pPr>
              <w:spacing w:before="55" w:line="230" w:lineRule="exact"/>
              <w:ind w:right="1"/>
              <w:jc w:val="center"/>
              <w:rPr>
                <w:rFonts w:ascii="宋体" w:hAnsi="宋体" w:eastAsia="宋体" w:cs="宋体"/>
                <w:sz w:val="18"/>
                <w:szCs w:val="18"/>
              </w:rPr>
            </w:pPr>
          </w:p>
        </w:tc>
        <w:tc>
          <w:tcPr>
            <w:tcW w:w="1425" w:type="dxa"/>
            <w:vAlign w:val="top"/>
          </w:tcPr>
          <w:p w14:paraId="217BE701">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669E29AF">
            <w:pPr>
              <w:pStyle w:val="40"/>
              <w:jc w:val="center"/>
              <w:rPr>
                <w:sz w:val="24"/>
                <w:szCs w:val="24"/>
              </w:rPr>
            </w:pPr>
          </w:p>
        </w:tc>
      </w:tr>
      <w:tr w14:paraId="2D0B0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03E8EFBF">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17</w:t>
            </w:r>
          </w:p>
        </w:tc>
        <w:tc>
          <w:tcPr>
            <w:tcW w:w="1200" w:type="dxa"/>
            <w:vAlign w:val="center"/>
          </w:tcPr>
          <w:p w14:paraId="6F2E54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插座</w:t>
            </w:r>
          </w:p>
        </w:tc>
        <w:tc>
          <w:tcPr>
            <w:tcW w:w="4848" w:type="dxa"/>
            <w:vAlign w:val="center"/>
          </w:tcPr>
          <w:p w14:paraId="59489E9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名称：五孔孔插座</w:t>
            </w:r>
          </w:p>
          <w:p w14:paraId="6AAE3165">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lang w:val="en-US" w:eastAsia="zh-CN" w:bidi="ar"/>
              </w:rPr>
              <w:t>2.</w:t>
            </w:r>
            <w:r>
              <w:rPr>
                <w:rFonts w:hint="eastAsia" w:ascii="宋体" w:hAnsi="宋体" w:eastAsia="宋体" w:cs="宋体"/>
                <w:i w:val="0"/>
                <w:iCs w:val="0"/>
                <w:color w:val="000000"/>
                <w:kern w:val="0"/>
                <w:sz w:val="20"/>
                <w:szCs w:val="20"/>
                <w:u w:val="none"/>
                <w:lang w:val="en-US" w:eastAsia="zh-CN" w:bidi="ar"/>
              </w:rPr>
              <w:t>规格：220V 16A</w:t>
            </w:r>
          </w:p>
        </w:tc>
        <w:tc>
          <w:tcPr>
            <w:tcW w:w="1500" w:type="dxa"/>
            <w:vAlign w:val="center"/>
          </w:tcPr>
          <w:p w14:paraId="07EDF4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320" w:type="dxa"/>
            <w:vAlign w:val="center"/>
          </w:tcPr>
          <w:p w14:paraId="4031EA4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665" w:type="dxa"/>
            <w:vAlign w:val="top"/>
          </w:tcPr>
          <w:p w14:paraId="0B82C8E1">
            <w:pPr>
              <w:spacing w:before="55" w:line="230" w:lineRule="exact"/>
              <w:ind w:right="1"/>
              <w:jc w:val="center"/>
              <w:rPr>
                <w:rFonts w:ascii="宋体" w:hAnsi="宋体" w:eastAsia="宋体" w:cs="宋体"/>
                <w:sz w:val="18"/>
                <w:szCs w:val="18"/>
              </w:rPr>
            </w:pPr>
          </w:p>
        </w:tc>
        <w:tc>
          <w:tcPr>
            <w:tcW w:w="1425" w:type="dxa"/>
            <w:vAlign w:val="top"/>
          </w:tcPr>
          <w:p w14:paraId="31DB3B06">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5097A5B9">
            <w:pPr>
              <w:pStyle w:val="40"/>
              <w:jc w:val="center"/>
              <w:rPr>
                <w:sz w:val="24"/>
                <w:szCs w:val="24"/>
              </w:rPr>
            </w:pPr>
          </w:p>
        </w:tc>
      </w:tr>
      <w:tr w14:paraId="19F97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691E8EC1">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18</w:t>
            </w:r>
          </w:p>
        </w:tc>
        <w:tc>
          <w:tcPr>
            <w:tcW w:w="1200" w:type="dxa"/>
            <w:vAlign w:val="center"/>
          </w:tcPr>
          <w:p w14:paraId="6DE05E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插座</w:t>
            </w:r>
          </w:p>
        </w:tc>
        <w:tc>
          <w:tcPr>
            <w:tcW w:w="4848" w:type="dxa"/>
            <w:vAlign w:val="center"/>
          </w:tcPr>
          <w:p w14:paraId="7C5AE40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名称：地插</w:t>
            </w:r>
          </w:p>
          <w:p w14:paraId="306302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2.规格：220V 16A</w:t>
            </w:r>
          </w:p>
        </w:tc>
        <w:tc>
          <w:tcPr>
            <w:tcW w:w="1500" w:type="dxa"/>
            <w:vAlign w:val="center"/>
          </w:tcPr>
          <w:p w14:paraId="7CE70A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320" w:type="dxa"/>
            <w:vAlign w:val="center"/>
          </w:tcPr>
          <w:p w14:paraId="1F67855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665" w:type="dxa"/>
            <w:vAlign w:val="top"/>
          </w:tcPr>
          <w:p w14:paraId="3A7EFD8D">
            <w:pPr>
              <w:spacing w:before="55" w:line="230" w:lineRule="exact"/>
              <w:ind w:right="1"/>
              <w:jc w:val="center"/>
              <w:rPr>
                <w:rFonts w:ascii="宋体" w:hAnsi="宋体" w:eastAsia="宋体" w:cs="宋体"/>
                <w:sz w:val="18"/>
                <w:szCs w:val="18"/>
              </w:rPr>
            </w:pPr>
          </w:p>
        </w:tc>
        <w:tc>
          <w:tcPr>
            <w:tcW w:w="1425" w:type="dxa"/>
            <w:vAlign w:val="top"/>
          </w:tcPr>
          <w:p w14:paraId="76DF8200">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64DB0D63">
            <w:pPr>
              <w:pStyle w:val="40"/>
              <w:jc w:val="center"/>
              <w:rPr>
                <w:sz w:val="24"/>
                <w:szCs w:val="24"/>
              </w:rPr>
            </w:pPr>
          </w:p>
        </w:tc>
      </w:tr>
      <w:tr w14:paraId="35DEC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156B38A4">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19</w:t>
            </w:r>
          </w:p>
        </w:tc>
        <w:tc>
          <w:tcPr>
            <w:tcW w:w="1200" w:type="dxa"/>
            <w:vAlign w:val="center"/>
          </w:tcPr>
          <w:p w14:paraId="2B92B2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配线</w:t>
            </w:r>
          </w:p>
        </w:tc>
        <w:tc>
          <w:tcPr>
            <w:tcW w:w="4848" w:type="dxa"/>
            <w:vAlign w:val="center"/>
          </w:tcPr>
          <w:p w14:paraId="143EB64E">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规格：BV-4</w:t>
            </w:r>
          </w:p>
          <w:p w14:paraId="712119E2">
            <w:pPr>
              <w:keepNext w:val="0"/>
              <w:keepLines w:val="0"/>
              <w:widowControl/>
              <w:numPr>
                <w:ilvl w:val="0"/>
                <w:numId w:val="10"/>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材质：铜芯</w:t>
            </w:r>
          </w:p>
        </w:tc>
        <w:tc>
          <w:tcPr>
            <w:tcW w:w="1500" w:type="dxa"/>
            <w:vAlign w:val="center"/>
          </w:tcPr>
          <w:p w14:paraId="721A99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320" w:type="dxa"/>
            <w:vAlign w:val="center"/>
          </w:tcPr>
          <w:p w14:paraId="5B21CCD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665" w:type="dxa"/>
            <w:vAlign w:val="top"/>
          </w:tcPr>
          <w:p w14:paraId="3D908DF8">
            <w:pPr>
              <w:spacing w:before="55" w:line="230" w:lineRule="exact"/>
              <w:ind w:right="1"/>
              <w:jc w:val="center"/>
              <w:rPr>
                <w:rFonts w:ascii="宋体" w:hAnsi="宋体" w:eastAsia="宋体" w:cs="宋体"/>
                <w:sz w:val="18"/>
                <w:szCs w:val="18"/>
              </w:rPr>
            </w:pPr>
          </w:p>
        </w:tc>
        <w:tc>
          <w:tcPr>
            <w:tcW w:w="1425" w:type="dxa"/>
            <w:vAlign w:val="top"/>
          </w:tcPr>
          <w:p w14:paraId="5C5CAF1F">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2415E972">
            <w:pPr>
              <w:pStyle w:val="40"/>
              <w:jc w:val="center"/>
              <w:rPr>
                <w:sz w:val="24"/>
                <w:szCs w:val="24"/>
              </w:rPr>
            </w:pPr>
          </w:p>
        </w:tc>
      </w:tr>
      <w:tr w14:paraId="43F4C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395719B3">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20</w:t>
            </w:r>
          </w:p>
        </w:tc>
        <w:tc>
          <w:tcPr>
            <w:tcW w:w="1200" w:type="dxa"/>
            <w:vAlign w:val="center"/>
          </w:tcPr>
          <w:p w14:paraId="518451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凿（压）槽</w:t>
            </w:r>
          </w:p>
        </w:tc>
        <w:tc>
          <w:tcPr>
            <w:tcW w:w="4848" w:type="dxa"/>
            <w:vAlign w:val="center"/>
          </w:tcPr>
          <w:p w14:paraId="6D1C4640">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名称：凿（压）槽</w:t>
            </w:r>
          </w:p>
          <w:p w14:paraId="3DF46166">
            <w:pPr>
              <w:keepNext w:val="0"/>
              <w:keepLines w:val="0"/>
              <w:widowControl/>
              <w:numPr>
                <w:ilvl w:val="0"/>
                <w:numId w:val="11"/>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规格：4cm</w:t>
            </w:r>
          </w:p>
          <w:p w14:paraId="7C284BAD">
            <w:pPr>
              <w:keepNext w:val="0"/>
              <w:keepLines w:val="0"/>
              <w:widowControl/>
              <w:numPr>
                <w:ilvl w:val="0"/>
                <w:numId w:val="11"/>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类型：地面开槽</w:t>
            </w:r>
          </w:p>
          <w:p w14:paraId="363AA3AC">
            <w:pPr>
              <w:keepNext w:val="0"/>
              <w:keepLines w:val="0"/>
              <w:widowControl/>
              <w:numPr>
                <w:ilvl w:val="0"/>
                <w:numId w:val="11"/>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填充（恢复）方式：水泥砂浆</w:t>
            </w:r>
          </w:p>
        </w:tc>
        <w:tc>
          <w:tcPr>
            <w:tcW w:w="1500" w:type="dxa"/>
            <w:vAlign w:val="center"/>
          </w:tcPr>
          <w:p w14:paraId="1CCD14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320" w:type="dxa"/>
            <w:vAlign w:val="center"/>
          </w:tcPr>
          <w:p w14:paraId="73E8B6C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665" w:type="dxa"/>
            <w:vAlign w:val="top"/>
          </w:tcPr>
          <w:p w14:paraId="79FBD1F5">
            <w:pPr>
              <w:spacing w:before="55" w:line="230" w:lineRule="exact"/>
              <w:ind w:right="1"/>
              <w:jc w:val="center"/>
              <w:rPr>
                <w:rFonts w:ascii="宋体" w:hAnsi="宋体" w:eastAsia="宋体" w:cs="宋体"/>
                <w:sz w:val="18"/>
                <w:szCs w:val="18"/>
              </w:rPr>
            </w:pPr>
          </w:p>
        </w:tc>
        <w:tc>
          <w:tcPr>
            <w:tcW w:w="1425" w:type="dxa"/>
            <w:vAlign w:val="top"/>
          </w:tcPr>
          <w:p w14:paraId="227A536A">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6328B4DA">
            <w:pPr>
              <w:pStyle w:val="40"/>
              <w:jc w:val="center"/>
              <w:rPr>
                <w:sz w:val="24"/>
                <w:szCs w:val="24"/>
              </w:rPr>
            </w:pPr>
          </w:p>
        </w:tc>
      </w:tr>
      <w:tr w14:paraId="7621E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45C2AA35">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21</w:t>
            </w:r>
          </w:p>
        </w:tc>
        <w:tc>
          <w:tcPr>
            <w:tcW w:w="1200" w:type="dxa"/>
            <w:vAlign w:val="center"/>
          </w:tcPr>
          <w:p w14:paraId="12F9AA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脚手架搭拆</w:t>
            </w:r>
          </w:p>
        </w:tc>
        <w:tc>
          <w:tcPr>
            <w:tcW w:w="4848" w:type="dxa"/>
            <w:vAlign w:val="center"/>
          </w:tcPr>
          <w:p w14:paraId="79B9F4D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1.名称：脚手架搭拆</w:t>
            </w:r>
          </w:p>
        </w:tc>
        <w:tc>
          <w:tcPr>
            <w:tcW w:w="1500" w:type="dxa"/>
            <w:vAlign w:val="center"/>
          </w:tcPr>
          <w:p w14:paraId="026961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1320" w:type="dxa"/>
            <w:vAlign w:val="center"/>
          </w:tcPr>
          <w:p w14:paraId="52C143C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665" w:type="dxa"/>
            <w:vAlign w:val="top"/>
          </w:tcPr>
          <w:p w14:paraId="632AD4BD">
            <w:pPr>
              <w:spacing w:before="55" w:line="230" w:lineRule="exact"/>
              <w:ind w:right="1"/>
              <w:jc w:val="center"/>
              <w:rPr>
                <w:rFonts w:ascii="宋体" w:hAnsi="宋体" w:eastAsia="宋体" w:cs="宋体"/>
                <w:sz w:val="18"/>
                <w:szCs w:val="18"/>
              </w:rPr>
            </w:pPr>
          </w:p>
        </w:tc>
        <w:tc>
          <w:tcPr>
            <w:tcW w:w="1425" w:type="dxa"/>
            <w:vAlign w:val="top"/>
          </w:tcPr>
          <w:p w14:paraId="1A34B3DA">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673A834E">
            <w:pPr>
              <w:pStyle w:val="40"/>
              <w:jc w:val="center"/>
              <w:rPr>
                <w:sz w:val="24"/>
                <w:szCs w:val="24"/>
              </w:rPr>
            </w:pPr>
          </w:p>
        </w:tc>
      </w:tr>
      <w:tr w14:paraId="40000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1208" w:type="dxa"/>
            <w:gridSpan w:val="6"/>
            <w:tcBorders>
              <w:left w:val="single" w:color="000000" w:sz="10" w:space="0"/>
            </w:tcBorders>
            <w:vAlign w:val="top"/>
          </w:tcPr>
          <w:p w14:paraId="42982B16">
            <w:pPr>
              <w:spacing w:before="55" w:line="230" w:lineRule="exact"/>
              <w:ind w:right="1"/>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合计（元）</w:t>
            </w:r>
          </w:p>
        </w:tc>
        <w:tc>
          <w:tcPr>
            <w:tcW w:w="1425" w:type="dxa"/>
            <w:vAlign w:val="top"/>
          </w:tcPr>
          <w:p w14:paraId="16E17669">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3C367A83">
            <w:pPr>
              <w:pStyle w:val="40"/>
              <w:jc w:val="center"/>
              <w:rPr>
                <w:sz w:val="24"/>
                <w:szCs w:val="24"/>
              </w:rPr>
            </w:pPr>
          </w:p>
        </w:tc>
      </w:tr>
    </w:tbl>
    <w:p w14:paraId="6D6B1B6C">
      <w:pPr>
        <w:widowControl w:val="0"/>
        <w:kinsoku/>
        <w:autoSpaceDE/>
        <w:autoSpaceDN/>
        <w:adjustRightInd/>
        <w:snapToGrid/>
        <w:spacing w:line="360" w:lineRule="auto"/>
        <w:jc w:val="left"/>
        <w:textAlignment w:val="auto"/>
        <w:rPr>
          <w:rFonts w:hint="eastAsia" w:ascii="仿宋" w:hAnsi="仿宋" w:eastAsia="仿宋" w:cs="仿宋"/>
          <w:b/>
          <w:bCs/>
          <w:snapToGrid/>
          <w:kern w:val="2"/>
          <w:sz w:val="24"/>
          <w:szCs w:val="24"/>
          <w:lang w:val="en-US" w:eastAsia="zh-CN"/>
        </w:rPr>
      </w:pPr>
      <w:r>
        <w:rPr>
          <w:rFonts w:hint="eastAsia" w:ascii="仿宋" w:hAnsi="仿宋" w:eastAsia="仿宋" w:cs="仿宋"/>
          <w:b/>
          <w:bCs/>
          <w:snapToGrid/>
          <w:kern w:val="2"/>
          <w:sz w:val="24"/>
          <w:szCs w:val="24"/>
          <w:lang w:eastAsia="zh-CN"/>
        </w:rPr>
        <w:t>备注：</w:t>
      </w:r>
      <w:r>
        <w:rPr>
          <w:rFonts w:hint="eastAsia" w:ascii="仿宋" w:hAnsi="仿宋" w:eastAsia="仿宋" w:cs="仿宋"/>
          <w:b/>
          <w:bCs/>
          <w:snapToGrid/>
          <w:kern w:val="2"/>
          <w:sz w:val="24"/>
          <w:szCs w:val="24"/>
          <w:lang w:val="en-US" w:eastAsia="zh-CN"/>
        </w:rPr>
        <w:t>1.</w:t>
      </w:r>
      <w:r>
        <w:rPr>
          <w:rFonts w:hint="eastAsia" w:ascii="仿宋" w:hAnsi="仿宋" w:eastAsia="仿宋" w:cs="仿宋"/>
          <w:b/>
          <w:bCs/>
          <w:snapToGrid/>
          <w:kern w:val="2"/>
          <w:sz w:val="24"/>
          <w:szCs w:val="24"/>
          <w:lang w:eastAsia="zh-CN"/>
        </w:rPr>
        <w:t>技术指标参数（以上技术参数为参照或相当于需求最低配置要求，若有涉及具体工艺、材料、标准等参数，仅为方便描述项目质量水平的参考值，各潜在投标人可以在其提供的文件资料中选择更优的产品替代</w:t>
      </w:r>
      <w:r>
        <w:rPr>
          <w:rFonts w:hint="eastAsia" w:ascii="仿宋" w:hAnsi="仿宋" w:eastAsia="仿宋" w:cs="仿宋"/>
          <w:b/>
          <w:bCs/>
          <w:snapToGrid/>
          <w:kern w:val="2"/>
          <w:sz w:val="24"/>
          <w:szCs w:val="24"/>
          <w:lang w:val="en-US" w:eastAsia="zh-CN"/>
        </w:rPr>
        <w:t>。</w:t>
      </w:r>
    </w:p>
    <w:p w14:paraId="4AF37CE2">
      <w:pPr>
        <w:widowControl w:val="0"/>
        <w:kinsoku/>
        <w:autoSpaceDE/>
        <w:autoSpaceDN/>
        <w:adjustRightInd/>
        <w:snapToGrid/>
        <w:spacing w:line="360" w:lineRule="auto"/>
        <w:jc w:val="left"/>
        <w:textAlignment w:val="auto"/>
        <w:rPr>
          <w:rFonts w:hint="eastAsia" w:ascii="仿宋" w:hAnsi="仿宋" w:eastAsia="仿宋" w:cs="仿宋"/>
          <w:b/>
          <w:bCs/>
          <w:snapToGrid/>
          <w:kern w:val="2"/>
          <w:sz w:val="24"/>
          <w:szCs w:val="24"/>
          <w:lang w:val="en-US" w:eastAsia="zh-CN"/>
        </w:rPr>
      </w:pPr>
      <w:r>
        <w:rPr>
          <w:rFonts w:hint="eastAsia" w:ascii="仿宋" w:hAnsi="仿宋" w:eastAsia="仿宋" w:cs="仿宋"/>
          <w:b/>
          <w:bCs/>
          <w:snapToGrid/>
          <w:kern w:val="2"/>
          <w:sz w:val="24"/>
          <w:szCs w:val="24"/>
          <w:lang w:val="en-US" w:eastAsia="zh-CN"/>
        </w:rPr>
        <w:t>2.供应商须在规定的时间内负责安装调试，直至所有货物正常使用方可交付。</w:t>
      </w:r>
    </w:p>
    <w:p w14:paraId="11AAD2F6">
      <w:pPr>
        <w:widowControl w:val="0"/>
        <w:kinsoku/>
        <w:autoSpaceDE/>
        <w:autoSpaceDN/>
        <w:adjustRightInd/>
        <w:snapToGrid/>
        <w:spacing w:line="360" w:lineRule="auto"/>
        <w:jc w:val="left"/>
        <w:textAlignment w:val="auto"/>
        <w:rPr>
          <w:rFonts w:hint="eastAsia" w:ascii="仿宋" w:hAnsi="仿宋" w:eastAsia="仿宋" w:cs="仿宋"/>
          <w:b/>
          <w:bCs/>
          <w:snapToGrid/>
          <w:kern w:val="2"/>
          <w:sz w:val="24"/>
          <w:szCs w:val="24"/>
          <w:lang w:val="en-US" w:eastAsia="zh-CN"/>
        </w:rPr>
      </w:pPr>
      <w:r>
        <w:rPr>
          <w:rFonts w:hint="eastAsia" w:ascii="仿宋" w:hAnsi="仿宋" w:eastAsia="仿宋" w:cs="仿宋"/>
          <w:b/>
          <w:bCs/>
          <w:snapToGrid/>
          <w:kern w:val="2"/>
          <w:sz w:val="24"/>
          <w:szCs w:val="24"/>
          <w:lang w:val="en-US" w:eastAsia="zh-CN"/>
        </w:rPr>
        <w:t>3.投标人投标报价以人民币为单位。投标报价包括但不限于：采购、包装费、 运输费、保险费、装卸费、安装费、调试费、人员工资、技术培训、验收、免费期维护费及售后服务、税金等。运输途中风险由中标供应商自行承担；合同实施过程中应预见和不可预见费用等。</w:t>
      </w:r>
    </w:p>
    <w:p w14:paraId="0899FFDA">
      <w:pPr>
        <w:pStyle w:val="22"/>
        <w:ind w:left="0" w:leftChars="0" w:firstLine="0" w:firstLineChars="0"/>
        <w:rPr>
          <w:rFonts w:hint="default"/>
          <w:lang w:val="en-US" w:eastAsia="zh-CN"/>
        </w:rPr>
      </w:pPr>
      <w:r>
        <w:rPr>
          <w:rFonts w:hint="eastAsia" w:ascii="仿宋" w:hAnsi="仿宋" w:eastAsia="仿宋" w:cs="仿宋"/>
          <w:b/>
          <w:bCs/>
          <w:snapToGrid/>
          <w:kern w:val="2"/>
          <w:sz w:val="24"/>
          <w:szCs w:val="24"/>
          <w:lang w:val="en-US" w:eastAsia="zh-CN"/>
        </w:rPr>
        <w:t>4、以上产品涉及的相应软件供应商均免费提供。</w:t>
      </w:r>
    </w:p>
    <w:p w14:paraId="38A2012C">
      <w:pPr>
        <w:pStyle w:val="22"/>
        <w:ind w:left="0" w:leftChars="0" w:firstLine="0" w:firstLineChars="0"/>
        <w:rPr>
          <w:rFonts w:hint="default"/>
          <w:lang w:val="en-US" w:eastAsia="zh-CN"/>
        </w:rPr>
      </w:pPr>
    </w:p>
    <w:p w14:paraId="0F1E629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highlight w:val="none"/>
          <w:lang w:val="en-US" w:eastAsia="zh-CN"/>
        </w:rPr>
      </w:pPr>
    </w:p>
    <w:p w14:paraId="58B428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highlight w:val="none"/>
          <w:lang w:val="en-US" w:eastAsia="zh-CN"/>
        </w:rPr>
      </w:pPr>
    </w:p>
    <w:p w14:paraId="0E09B8C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highlight w:val="none"/>
          <w:lang w:val="en-US" w:eastAsia="zh-CN"/>
        </w:rPr>
        <w:sectPr>
          <w:pgSz w:w="16838" w:h="11905" w:orient="landscape"/>
          <w:pgMar w:top="1080" w:right="1440" w:bottom="1080" w:left="1440" w:header="850" w:footer="992" w:gutter="0"/>
          <w:pgNumType w:fmt="decimal" w:start="1"/>
          <w:cols w:space="0" w:num="1"/>
          <w:rtlGutter w:val="0"/>
          <w:docGrid w:type="linesAndChars" w:linePitch="332" w:charSpace="1057"/>
        </w:sectPr>
      </w:pPr>
    </w:p>
    <w:p w14:paraId="31A7E1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bCs/>
          <w:color w:val="auto"/>
          <w:highlight w:val="none"/>
          <w:lang w:val="en-US" w:eastAsia="zh-CN"/>
        </w:rPr>
        <w:t>1.2 包装要求</w:t>
      </w:r>
      <w:r>
        <w:rPr>
          <w:rFonts w:hint="eastAsia" w:ascii="仿宋" w:hAnsi="仿宋" w:eastAsia="仿宋" w:cs="仿宋"/>
          <w:b w:val="0"/>
          <w:bCs w:val="0"/>
          <w:color w:val="auto"/>
          <w:highlight w:val="none"/>
          <w:lang w:val="en-US" w:eastAsia="zh-CN"/>
        </w:rPr>
        <w:t xml:space="preserve"> </w:t>
      </w:r>
    </w:p>
    <w:p w14:paraId="65F2C5BF">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全部货物均应按相应标准和产品的特殊要求进行包装。该包装应适应于远距离运输、符合保存温度和湿度的要求，防潮、防震、防锈、防野蛮装卸和防变质，以确保货物安全无损运抵指定现场。每件包装箱内应附一份详细装箱货物清单和质量合格标识及保存、使用、运输等相关说明材料。</w:t>
      </w:r>
    </w:p>
    <w:p w14:paraId="3422E9E5">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1.3</w:t>
      </w:r>
      <w:r>
        <w:rPr>
          <w:rFonts w:hint="eastAsia" w:ascii="仿宋" w:hAnsi="仿宋" w:eastAsia="仿宋" w:cs="仿宋"/>
          <w:b/>
          <w:bCs/>
          <w:color w:val="auto"/>
          <w:highlight w:val="none"/>
          <w:lang w:eastAsia="zh-CN"/>
        </w:rPr>
        <w:t>商务要求：</w:t>
      </w:r>
    </w:p>
    <w:p w14:paraId="4DA1F342">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auto"/>
          <w:highlight w:val="none"/>
          <w:lang w:eastAsia="zh-CN"/>
        </w:rPr>
        <w:t>（一）实施（供货）期 ：</w:t>
      </w:r>
      <w:r>
        <w:rPr>
          <w:rFonts w:hint="eastAsia" w:ascii="仿宋" w:hAnsi="仿宋" w:eastAsia="仿宋" w:cs="仿宋"/>
          <w:b/>
          <w:bCs/>
          <w:sz w:val="24"/>
          <w:szCs w:val="24"/>
          <w:highlight w:val="none"/>
          <w:lang w:eastAsia="zh-CN"/>
        </w:rPr>
        <w:t>甲乙双方签订合同后1</w:t>
      </w:r>
      <w:r>
        <w:rPr>
          <w:rFonts w:hint="eastAsia" w:ascii="仿宋" w:hAnsi="仿宋" w:eastAsia="仿宋" w:cs="仿宋"/>
          <w:b/>
          <w:bCs/>
          <w:sz w:val="24"/>
          <w:szCs w:val="24"/>
          <w:highlight w:val="none"/>
          <w:lang w:val="en-US" w:eastAsia="zh-CN"/>
        </w:rPr>
        <w:t>0</w:t>
      </w:r>
      <w:r>
        <w:rPr>
          <w:rFonts w:hint="eastAsia" w:ascii="仿宋" w:hAnsi="仿宋" w:eastAsia="仿宋" w:cs="仿宋"/>
          <w:b/>
          <w:bCs/>
          <w:sz w:val="24"/>
          <w:szCs w:val="24"/>
          <w:highlight w:val="none"/>
          <w:lang w:eastAsia="zh-CN"/>
        </w:rPr>
        <w:t>日内完成供货及安装并验收合格。</w:t>
      </w:r>
    </w:p>
    <w:p w14:paraId="3A8939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b/>
          <w:bCs/>
          <w:color w:val="auto"/>
          <w:highlight w:val="none"/>
          <w:lang w:eastAsia="zh-CN"/>
        </w:rPr>
        <w:t>（二）实施（交货）地点</w:t>
      </w:r>
      <w:r>
        <w:rPr>
          <w:rFonts w:hint="eastAsia" w:ascii="仿宋" w:hAnsi="仿宋" w:eastAsia="仿宋" w:cs="仿宋"/>
          <w:color w:val="auto"/>
          <w:highlight w:val="none"/>
          <w:lang w:eastAsia="zh-CN"/>
        </w:rPr>
        <w:t xml:space="preserve"> ：阿图什市</w:t>
      </w:r>
    </w:p>
    <w:p w14:paraId="654AA66F">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（三）报价要求</w:t>
      </w:r>
    </w:p>
    <w:p w14:paraId="713C49D6">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次报价为人民币报价，投标报价应包括：货物本身价格、保险费用、培训费、养护费、包装费、运输费用、二次搬运费、装卸费、损耗、税金费用、自检费、人工费、其他配件费及验收合格前和质保期内发生的一切费用、应当提供的伴随服务/售后服务费用。</w:t>
      </w:r>
    </w:p>
    <w:p w14:paraId="5109D8B8">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（四）质保要求</w:t>
      </w:r>
    </w:p>
    <w:p w14:paraId="06860C29">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1、质保期：5年。（因质量问题出现的包退、包换、包修）</w:t>
      </w:r>
    </w:p>
    <w:p w14:paraId="59F6B2CA">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2、乙方应保证所提供的货物是全新、未使用过的原装合格正品，并完全符合国家标准和行业的相关标准。</w:t>
      </w:r>
    </w:p>
    <w:p w14:paraId="2FCE2C9E">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default"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3、投标单位所供产品须完全满足采购人使用需求，若未达到要求，投标单位须无条件更换至符合采购人使用要求为准。</w:t>
      </w:r>
    </w:p>
    <w:p w14:paraId="4E506120">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（五）售后服务、理赔、质量技术及验收保证的承诺</w:t>
      </w:r>
    </w:p>
    <w:p w14:paraId="7A0854A7">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1、售后服务</w:t>
      </w:r>
    </w:p>
    <w:p w14:paraId="196202C2">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b/>
          <w:bCs/>
          <w:color w:val="auto"/>
          <w:highlight w:val="none"/>
          <w:lang w:eastAsia="zh-CN"/>
        </w:rPr>
        <w:t>1.1产品质量：在合同期内，甲方正常使用乙方所供产品而出现质量问题时，乙方负责。产品使用：甲方在使用乙方所供产品中出现问题需乙方解决时，乙方应无偿解决（退换货）。</w:t>
      </w:r>
    </w:p>
    <w:p w14:paraId="594D2E1B">
      <w:pPr>
        <w:spacing w:line="360" w:lineRule="auto"/>
        <w:ind w:firstLine="490" w:firstLineChars="200"/>
        <w:jc w:val="left"/>
        <w:rPr>
          <w:rFonts w:hint="eastAsia" w:ascii="仿宋" w:hAnsi="仿宋" w:eastAsia="仿宋" w:cs="仿宋"/>
          <w:b/>
          <w:bCs/>
          <w:color w:val="auto"/>
          <w:highlight w:val="none"/>
          <w:lang w:eastAsia="zh-CN"/>
        </w:rPr>
      </w:pPr>
      <w:r>
        <w:rPr>
          <w:rFonts w:hint="eastAsia" w:ascii="仿宋" w:hAnsi="仿宋" w:eastAsia="仿宋" w:cs="仿宋"/>
          <w:sz w:val="24"/>
          <w:szCs w:val="24"/>
          <w:highlight w:val="none"/>
          <w:lang w:val="en-US" w:eastAsia="zh-CN"/>
        </w:rPr>
        <w:t>1.2货物到达现场后，供应商应在使用单位人员在场情况下当面共同清点、检查，作出检查记录，双方签字确认。</w:t>
      </w:r>
    </w:p>
    <w:p w14:paraId="7A9C6DD9">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b/>
          <w:bCs/>
          <w:color w:val="auto"/>
          <w:highlight w:val="none"/>
          <w:lang w:eastAsia="zh-CN"/>
        </w:rPr>
        <w:t>1.</w:t>
      </w: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lang w:eastAsia="zh-CN"/>
        </w:rPr>
        <w:t>质保期内，当采购人遇到使用及技术问题电话咨询不能解决的，须在</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lang w:eastAsia="zh-CN"/>
        </w:rPr>
        <w:t>小时内到达现场进行处理。</w:t>
      </w:r>
      <w:r>
        <w:rPr>
          <w:rFonts w:hint="eastAsia" w:ascii="仿宋" w:hAnsi="仿宋" w:eastAsia="仿宋" w:cs="仿宋"/>
          <w:color w:val="auto"/>
          <w:highlight w:val="none"/>
          <w:lang w:eastAsia="zh-CN"/>
        </w:rPr>
        <w:t xml:space="preserve">    </w:t>
      </w:r>
    </w:p>
    <w:p w14:paraId="74390C56">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1.</w:t>
      </w: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质保期内，设备出现故障，须在</w:t>
      </w:r>
      <w:r>
        <w:rPr>
          <w:rFonts w:hint="eastAsia" w:ascii="仿宋" w:hAnsi="仿宋" w:eastAsia="仿宋" w:cs="仿宋"/>
          <w:b/>
          <w:bCs/>
          <w:color w:val="auto"/>
          <w:highlight w:val="none"/>
          <w:lang w:val="en-US" w:eastAsia="zh-CN"/>
        </w:rPr>
        <w:t>7*24</w:t>
      </w:r>
      <w:r>
        <w:rPr>
          <w:rFonts w:hint="eastAsia" w:ascii="仿宋" w:hAnsi="仿宋" w:eastAsia="仿宋" w:cs="仿宋"/>
          <w:b/>
          <w:bCs/>
          <w:color w:val="auto"/>
          <w:highlight w:val="none"/>
          <w:lang w:eastAsia="zh-CN"/>
        </w:rPr>
        <w:t>小时内响应，</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lang w:eastAsia="zh-CN"/>
        </w:rPr>
        <w:t>小时内到达现场，一般故障</w:t>
      </w:r>
      <w:r>
        <w:rPr>
          <w:rFonts w:hint="eastAsia" w:ascii="仿宋" w:hAnsi="仿宋" w:eastAsia="仿宋" w:cs="仿宋"/>
          <w:b/>
          <w:bCs/>
          <w:color w:val="auto"/>
          <w:highlight w:val="none"/>
          <w:lang w:val="en-US" w:eastAsia="zh-CN"/>
        </w:rPr>
        <w:t>0.5</w:t>
      </w:r>
      <w:r>
        <w:rPr>
          <w:rFonts w:hint="eastAsia" w:ascii="仿宋" w:hAnsi="仿宋" w:eastAsia="仿宋" w:cs="仿宋"/>
          <w:b/>
          <w:bCs/>
          <w:color w:val="auto"/>
          <w:highlight w:val="none"/>
          <w:lang w:eastAsia="zh-CN"/>
        </w:rPr>
        <w:t>小时内修复，较大故障</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lang w:eastAsia="zh-CN"/>
        </w:rPr>
        <w:t>小时内解决问题。每年提供不少于</w:t>
      </w:r>
      <w:r>
        <w:rPr>
          <w:rFonts w:hint="eastAsia" w:ascii="仿宋" w:hAnsi="仿宋" w:eastAsia="仿宋" w:cs="仿宋"/>
          <w:b/>
          <w:bCs/>
          <w:color w:val="auto"/>
          <w:highlight w:val="none"/>
          <w:lang w:val="en-US" w:eastAsia="zh-CN"/>
        </w:rPr>
        <w:t>6</w:t>
      </w:r>
      <w:r>
        <w:rPr>
          <w:rFonts w:hint="eastAsia" w:ascii="仿宋" w:hAnsi="仿宋" w:eastAsia="仿宋" w:cs="仿宋"/>
          <w:b/>
          <w:bCs/>
          <w:color w:val="auto"/>
          <w:highlight w:val="none"/>
          <w:lang w:eastAsia="zh-CN"/>
        </w:rPr>
        <w:t>次回访。</w:t>
      </w:r>
    </w:p>
    <w:p w14:paraId="6B995FE0">
      <w:pPr>
        <w:pStyle w:val="22"/>
        <w:ind w:left="0" w:leftChars="0" w:firstLine="490"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color w:val="auto"/>
          <w:highlight w:val="none"/>
          <w:lang w:val="en-US" w:eastAsia="zh-CN"/>
        </w:rPr>
        <w:t>1.5</w:t>
      </w:r>
      <w:r>
        <w:rPr>
          <w:rFonts w:hint="eastAsia" w:ascii="仿宋" w:hAnsi="仿宋" w:eastAsia="仿宋" w:cs="仿宋"/>
          <w:b/>
          <w:bCs/>
          <w:sz w:val="24"/>
          <w:szCs w:val="24"/>
          <w:highlight w:val="none"/>
          <w:lang w:val="en-US" w:eastAsia="zh-CN"/>
        </w:rPr>
        <w:t>货物验收时，供应商向采购人提供生产厂家出具的验收报告、合格证、厂家资格证件等相关文件。</w:t>
      </w:r>
    </w:p>
    <w:p w14:paraId="71F20040">
      <w:pPr>
        <w:pStyle w:val="22"/>
        <w:ind w:left="0" w:leftChars="0" w:firstLine="490" w:firstLineChars="200"/>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1.6供应商提供的货物未达到采购文件规定的要求，且对采购人造成损失的， 由供应商承担一切责任，并赔偿所造成的损失。</w:t>
      </w:r>
    </w:p>
    <w:p w14:paraId="1FF1E8FF">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2、交货时应提供以下技术或培训资料（如涉及）</w:t>
      </w:r>
    </w:p>
    <w:p w14:paraId="0D2B9821">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2.1原产地证明书(由制造厂签发)；</w:t>
      </w:r>
    </w:p>
    <w:p w14:paraId="4CC88A62">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2.2提供主机及配套设备的安装图纸及说明；</w:t>
      </w:r>
    </w:p>
    <w:p w14:paraId="435991E0">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2.3提供主机及配套设备使用说明书、维护手册；</w:t>
      </w:r>
    </w:p>
    <w:p w14:paraId="59E2CE41">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2.4备件手册、零件及易损件的图纸及相关资料；</w:t>
      </w:r>
    </w:p>
    <w:p w14:paraId="3835CF9D">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2.5其它相关技术资料。</w:t>
      </w:r>
    </w:p>
    <w:p w14:paraId="61532A4C">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3、 安装、现场培训：免费安装并现场培训相关人员至掌握仪器设备操作及日常维护，</w:t>
      </w:r>
    </w:p>
    <w:p w14:paraId="42B8FD41">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b/>
          <w:bCs/>
          <w:color w:val="auto"/>
          <w:highlight w:val="none"/>
          <w:lang w:eastAsia="zh-CN"/>
        </w:rPr>
        <w:t>设备到场后，供应商需至少派</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lang w:eastAsia="zh-CN"/>
        </w:rPr>
        <w:t>名工程师现场指导安装调试。（需提供承诺书，格式自拟）</w:t>
      </w:r>
    </w:p>
    <w:p w14:paraId="40C13EE1">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4、新购设备随仪器配备必要的维修工具，工具能满足甲方维护人员对设备的正常维护、维修。</w:t>
      </w:r>
    </w:p>
    <w:p w14:paraId="54169F56">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lang w:eastAsia="zh-CN"/>
        </w:rPr>
        <w:t>、在质保期内，如果供应商的产品技术升级，供应商应及时通知采购人，如采购人有相应要求，供应商应对采购人购买的产品进行免费升级服务。</w:t>
      </w:r>
    </w:p>
    <w:p w14:paraId="5194423D">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、质保期过后，供应商应同样提供免费电话咨询服务，并应承诺提供该产品上门维护服务。</w:t>
      </w:r>
    </w:p>
    <w:p w14:paraId="4D1FB35B">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7、质保期过后，采购人需要继续由原投标人提供售后服务的，该投标人和制造商应以优惠价格提供售后服务。</w:t>
      </w:r>
    </w:p>
    <w:p w14:paraId="35A1757F">
      <w:pPr>
        <w:keepNext w:val="0"/>
        <w:keepLines w:val="0"/>
        <w:pageBreakBefore w:val="0"/>
        <w:widowControl w:val="0"/>
        <w:kinsoku/>
        <w:wordWrap/>
        <w:overflowPunct/>
        <w:topLinePunct w:val="0"/>
        <w:autoSpaceDE/>
        <w:autoSpaceDN/>
        <w:bidi w:val="0"/>
        <w:adjustRightInd/>
        <w:snapToGrid/>
        <w:spacing w:line="440" w:lineRule="exact"/>
        <w:ind w:firstLine="245" w:firstLineChars="1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（六）验收</w:t>
      </w:r>
    </w:p>
    <w:p w14:paraId="170D25E0">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1、供应商提供的产品为全新未使用且符合相关法律法规要求的合格产品；</w:t>
      </w:r>
    </w:p>
    <w:p w14:paraId="55D970CE">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2、供应商提供的产品型号、规格等特性需与响应文件、合同规定内容完全一致，且满足采购方提出的采购需求。</w:t>
      </w:r>
    </w:p>
    <w:p w14:paraId="6351F070">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3、货物验收时，供应商向采购人提供生产厂家出具的验收报告、合格证、厂家资格证件等相关文件。</w:t>
      </w:r>
      <w:r>
        <w:rPr>
          <w:rFonts w:ascii="仿宋" w:hAnsi="仿宋" w:eastAsia="仿宋" w:cs="仿宋"/>
          <w:b/>
          <w:bCs/>
          <w:color w:val="auto"/>
          <w:sz w:val="24"/>
          <w:szCs w:val="24"/>
        </w:rPr>
        <w:t>验收中发现货物达不到质量标准或合同的规定，供货商必须及时免费更换全新合格的货物，并且承担由此给采购人造成的损失</w:t>
      </w:r>
      <w:r>
        <w:rPr>
          <w:rFonts w:hint="eastAsia" w:ascii="仿宋" w:hAnsi="仿宋" w:eastAsia="仿宋" w:cs="仿宋"/>
          <w:b/>
          <w:bCs/>
          <w:color w:val="auto"/>
          <w:sz w:val="24"/>
          <w:szCs w:val="24"/>
          <w:lang w:eastAsia="zh-CN"/>
        </w:rPr>
        <w:t>；</w:t>
      </w:r>
    </w:p>
    <w:p w14:paraId="5F5A904E">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4F81BD" w:themeColor="accent1"/>
          <w:highlight w:val="none"/>
          <w:lang w:eastAsia="zh-CN"/>
          <w14:textFill>
            <w14:solidFill>
              <w14:schemeClr w14:val="accent1"/>
            </w14:solidFill>
          </w14:textFill>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、供应商提供的产品需经采购人验收小组验收，进行试验检测，按照技术要求逐项进行测试，测试结果应满足相关要求，试验通过并满足要求为验收合格；</w:t>
      </w:r>
      <w:r>
        <w:rPr>
          <w:rFonts w:hint="eastAsia" w:ascii="仿宋" w:hAnsi="仿宋" w:eastAsia="仿宋" w:cs="仿宋"/>
          <w:b/>
          <w:bCs/>
          <w:color w:val="4F81BD" w:themeColor="accent1"/>
          <w:sz w:val="24"/>
          <w:szCs w:val="24"/>
          <w:highlight w:val="none"/>
          <w:lang w:eastAsia="zh-CN"/>
          <w14:textFill>
            <w14:solidFill>
              <w14:schemeClr w14:val="accent1"/>
            </w14:solidFill>
          </w14:textFill>
        </w:rPr>
        <w:t>其中</w:t>
      </w:r>
      <w:r>
        <w:rPr>
          <w:rFonts w:hint="eastAsia" w:ascii="仿宋" w:hAnsi="仿宋" w:eastAsia="仿宋" w:cs="仿宋"/>
          <w:b/>
          <w:bCs/>
          <w:color w:val="4F81BD" w:themeColor="accent1"/>
          <w:sz w:val="24"/>
          <w:szCs w:val="24"/>
          <w:highlight w:val="none"/>
          <w:lang w:val="en-US" w:eastAsia="zh-CN"/>
          <w14:textFill>
            <w14:solidFill>
              <w14:schemeClr w14:val="accent1"/>
            </w14:solidFill>
          </w14:textFill>
        </w:rPr>
        <w:t>室内LED全彩屏安装调试完成后需要进行120小时内不断电测试，如测试过程中发生连接不畅、闪屏、变色、黑屏、花屏、卡顿、跳帧等属于质量问题，</w:t>
      </w:r>
      <w:r>
        <w:rPr>
          <w:rFonts w:hint="eastAsia" w:ascii="仿宋" w:hAnsi="仿宋" w:eastAsia="仿宋" w:cs="仿宋"/>
          <w:b/>
          <w:bCs/>
          <w:color w:val="4F81BD" w:themeColor="accent1"/>
          <w:highlight w:val="none"/>
          <w:lang w:eastAsia="zh-CN"/>
          <w14:textFill>
            <w14:solidFill>
              <w14:schemeClr w14:val="accent1"/>
            </w14:solidFill>
          </w14:textFill>
        </w:rPr>
        <w:t>乙方应无偿解决（退换货）。</w:t>
      </w:r>
    </w:p>
    <w:p w14:paraId="5634312F">
      <w:pPr>
        <w:keepNext w:val="0"/>
        <w:keepLines w:val="0"/>
        <w:pageBreakBefore w:val="0"/>
        <w:widowControl w:val="0"/>
        <w:kinsoku/>
        <w:wordWrap/>
        <w:overflowPunct/>
        <w:topLinePunct w:val="0"/>
        <w:autoSpaceDE/>
        <w:autoSpaceDN/>
        <w:bidi w:val="0"/>
        <w:adjustRightInd/>
        <w:snapToGrid/>
        <w:spacing w:line="440" w:lineRule="exact"/>
        <w:ind w:firstLine="359" w:firstLineChars="147"/>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（七）付款方式</w:t>
      </w:r>
    </w:p>
    <w:p w14:paraId="16E8B97B">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具体甲乙双方签订合同为准。</w:t>
      </w:r>
    </w:p>
    <w:p w14:paraId="184BE592">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（八）知识产权</w:t>
      </w:r>
    </w:p>
    <w:p w14:paraId="03112B25">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采购人在中华人民共和国境内使用供应商提供的货物及服务时免受第三方提出的侵犯其专利权或其它知识产权的起诉。如果第三方提出侵权指控，中标人应承担由此而引起的一切法律责任和费用。</w:t>
      </w:r>
    </w:p>
    <w:bookmarkEnd w:id="47"/>
    <w:bookmarkEnd w:id="48"/>
    <w:p w14:paraId="06432626">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bookmarkStart w:id="49" w:name="_Toc12239"/>
      <w:bookmarkStart w:id="50" w:name="_Toc7598"/>
      <w:bookmarkStart w:id="51" w:name="_Toc20832"/>
      <w:bookmarkStart w:id="52" w:name="_Toc267320054"/>
      <w:bookmarkStart w:id="53" w:name="_Toc439255252"/>
      <w:bookmarkStart w:id="54" w:name="_Toc12840_WPSOffice_Level1"/>
      <w:bookmarkStart w:id="55" w:name="_Toc469495740"/>
      <w:r>
        <w:rPr>
          <w:rFonts w:hint="eastAsia" w:ascii="仿宋" w:hAnsi="仿宋" w:eastAsia="仿宋" w:cs="仿宋"/>
          <w:b/>
          <w:bCs/>
          <w:color w:val="auto"/>
          <w:highlight w:val="none"/>
          <w:lang w:eastAsia="zh-CN"/>
        </w:rPr>
        <w:t>（九）其他</w:t>
      </w:r>
      <w:bookmarkEnd w:id="49"/>
      <w:bookmarkEnd w:id="50"/>
      <w:bookmarkEnd w:id="51"/>
    </w:p>
    <w:bookmarkEnd w:id="52"/>
    <w:bookmarkEnd w:id="53"/>
    <w:bookmarkEnd w:id="54"/>
    <w:p w14:paraId="60AAF70B">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1、供应商必须在响应文件中对以上条款和服务承诺明确列出，承诺内容必须达到本篇及招标文件其他条款的要求。</w:t>
      </w:r>
    </w:p>
    <w:p w14:paraId="08C40C3E">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2、中标人与采购人签订《协议》后，须与用户方签订《货物采购供应合同》（包括供货范围、需求数量、单价等），明确具体供货数量、供货时间、送达地点等内容。</w:t>
      </w:r>
    </w:p>
    <w:p w14:paraId="1E9C559C">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3、其他未尽事宜由供需双方在采购合同中详细约定。</w:t>
      </w:r>
    </w:p>
    <w:p w14:paraId="0437E58D">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 若供应商不能按招标文件规定的交货期正常交货，采购方有权终止采购合同，并将相关情况上报给采购计划主管部门，取消其中标资格。</w:t>
      </w:r>
    </w:p>
    <w:p w14:paraId="38629B8E">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highlight w:val="none"/>
          <w:lang w:eastAsia="zh-CN"/>
        </w:rPr>
        <w:t>5、</w:t>
      </w:r>
      <w:r>
        <w:rPr>
          <w:rFonts w:hint="eastAsia" w:ascii="仿宋" w:hAnsi="仿宋" w:eastAsia="仿宋" w:cs="仿宋"/>
          <w:color w:val="auto"/>
          <w:kern w:val="2"/>
          <w:highlight w:val="none"/>
          <w:lang w:eastAsia="zh-CN" w:bidi="ar-SA"/>
        </w:rPr>
        <w:t>其他未尽事宜由供需双方在采购合同中详细约定。</w:t>
      </w:r>
      <w:bookmarkEnd w:id="55"/>
    </w:p>
    <w:bookmarkEnd w:id="37"/>
    <w:p w14:paraId="779F12F4">
      <w:pPr>
        <w:pStyle w:val="4"/>
        <w:keepNext/>
        <w:keepLines/>
        <w:pageBreakBefore w:val="0"/>
        <w:widowControl w:val="0"/>
        <w:numPr>
          <w:ilvl w:val="0"/>
          <w:numId w:val="0"/>
        </w:numPr>
        <w:kinsoku/>
        <w:wordWrap/>
        <w:overflowPunct/>
        <w:topLinePunct w:val="0"/>
        <w:autoSpaceDE w:val="0"/>
        <w:autoSpaceDN w:val="0"/>
        <w:bidi w:val="0"/>
        <w:adjustRightInd w:val="0"/>
        <w:snapToGrid/>
        <w:spacing w:before="120" w:line="240" w:lineRule="auto"/>
        <w:ind w:left="720" w:hanging="720"/>
        <w:textAlignment w:val="auto"/>
        <w:rPr>
          <w:rFonts w:hint="eastAsia" w:ascii="宋体" w:eastAsia="宋体" w:cs="Times New Roman"/>
          <w:b/>
          <w:highlight w:val="none"/>
        </w:rPr>
      </w:pPr>
      <w:r>
        <w:rPr>
          <w:rFonts w:hint="eastAsia" w:ascii="宋体" w:eastAsia="宋体" w:cs="Times New Roman"/>
          <w:b/>
          <w:highlight w:val="none"/>
        </w:rPr>
        <w:t>项目保密要求</w:t>
      </w:r>
    </w:p>
    <w:p w14:paraId="256FC204">
      <w:pPr>
        <w:spacing w:line="360" w:lineRule="auto"/>
        <w:ind w:firstLine="490" w:firstLineChars="200"/>
        <w:rPr>
          <w:rFonts w:ascii="宋体"/>
          <w:color w:val="000000"/>
          <w:sz w:val="24"/>
          <w:szCs w:val="21"/>
          <w:highlight w:val="none"/>
        </w:rPr>
      </w:pPr>
      <w:r>
        <w:rPr>
          <w:rFonts w:hint="eastAsia" w:ascii="宋体"/>
          <w:color w:val="000000"/>
          <w:sz w:val="24"/>
          <w:szCs w:val="21"/>
          <w:highlight w:val="none"/>
        </w:rPr>
        <w:t>所有项目相关人员，不得以任何形式向任何第三方透露本合同项目合作计划及相关内容。</w:t>
      </w:r>
    </w:p>
    <w:p w14:paraId="47488CAD">
      <w:pPr>
        <w:spacing w:line="360" w:lineRule="auto"/>
        <w:ind w:firstLine="490" w:firstLineChars="200"/>
        <w:rPr>
          <w:rFonts w:ascii="宋体"/>
          <w:color w:val="000000"/>
          <w:sz w:val="24"/>
          <w:szCs w:val="21"/>
          <w:highlight w:val="none"/>
        </w:rPr>
      </w:pPr>
      <w:r>
        <w:rPr>
          <w:rFonts w:hint="eastAsia" w:ascii="宋体"/>
          <w:color w:val="000000"/>
          <w:sz w:val="24"/>
          <w:szCs w:val="21"/>
          <w:highlight w:val="none"/>
        </w:rPr>
        <w:t>所有项目相关人员，不得以任何方式向任何第三方透露与本项目有关的任何技术资料。</w:t>
      </w:r>
    </w:p>
    <w:p w14:paraId="14EC4306">
      <w:pPr>
        <w:spacing w:line="360" w:lineRule="auto"/>
        <w:ind w:firstLine="490" w:firstLineChars="200"/>
        <w:rPr>
          <w:rFonts w:ascii="宋体"/>
          <w:color w:val="000000"/>
          <w:sz w:val="24"/>
          <w:szCs w:val="21"/>
          <w:highlight w:val="none"/>
        </w:rPr>
      </w:pPr>
      <w:r>
        <w:rPr>
          <w:rFonts w:hint="eastAsia" w:ascii="宋体" w:eastAsia="宋体"/>
          <w:color w:val="000000"/>
          <w:sz w:val="24"/>
          <w:szCs w:val="21"/>
          <w:highlight w:val="none"/>
          <w:lang w:eastAsia="zh-CN"/>
        </w:rPr>
        <w:t>中标方</w:t>
      </w:r>
      <w:r>
        <w:rPr>
          <w:rFonts w:hint="eastAsia" w:ascii="宋体"/>
          <w:color w:val="000000"/>
          <w:sz w:val="24"/>
          <w:szCs w:val="21"/>
          <w:highlight w:val="none"/>
        </w:rPr>
        <w:t>不得以任何方式向第三方泄露用户方的业务数据、业务实务及相关信息及文档。</w:t>
      </w:r>
    </w:p>
    <w:p w14:paraId="65D90285">
      <w:pPr>
        <w:spacing w:line="360" w:lineRule="auto"/>
        <w:ind w:firstLine="490" w:firstLineChars="200"/>
        <w:rPr>
          <w:rFonts w:ascii="宋体"/>
          <w:color w:val="000000"/>
          <w:sz w:val="24"/>
          <w:szCs w:val="21"/>
          <w:highlight w:val="none"/>
        </w:rPr>
      </w:pPr>
      <w:r>
        <w:rPr>
          <w:rFonts w:hint="eastAsia" w:ascii="宋体" w:eastAsia="宋体"/>
          <w:b/>
          <w:bCs/>
          <w:color w:val="000000"/>
          <w:sz w:val="24"/>
          <w:szCs w:val="21"/>
          <w:highlight w:val="none"/>
          <w:lang w:eastAsia="zh-CN"/>
        </w:rPr>
        <w:t>中标方</w:t>
      </w:r>
      <w:r>
        <w:rPr>
          <w:rFonts w:hint="eastAsia" w:ascii="宋体"/>
          <w:b/>
          <w:bCs/>
          <w:color w:val="000000"/>
          <w:sz w:val="24"/>
          <w:szCs w:val="21"/>
          <w:highlight w:val="none"/>
        </w:rPr>
        <w:t>需签订保密协议，相关安服人员签订保密承诺书，承担保密义务，对出现的泄密事件负有法律责任。</w:t>
      </w:r>
    </w:p>
    <w:p w14:paraId="7430AD41">
      <w:pPr>
        <w:spacing w:line="480" w:lineRule="exact"/>
        <w:jc w:val="both"/>
        <w:outlineLvl w:val="1"/>
        <w:rPr>
          <w:rFonts w:hint="eastAsia" w:ascii="仿宋" w:hAnsi="仿宋" w:eastAsia="仿宋" w:cs="仿宋"/>
          <w:b/>
          <w:color w:val="auto"/>
          <w:sz w:val="32"/>
          <w:szCs w:val="32"/>
          <w:lang w:val="en-US" w:eastAsia="zh-CN"/>
        </w:rPr>
      </w:pPr>
    </w:p>
    <w:p w14:paraId="78EFC168">
      <w:pPr>
        <w:spacing w:line="480" w:lineRule="exact"/>
        <w:jc w:val="center"/>
        <w:outlineLvl w:val="1"/>
        <w:rPr>
          <w:rFonts w:hint="eastAsia" w:ascii="仿宋" w:hAnsi="仿宋" w:eastAsia="仿宋" w:cs="仿宋"/>
          <w:b/>
          <w:color w:val="auto"/>
          <w:sz w:val="32"/>
          <w:szCs w:val="32"/>
          <w:lang w:val="en-US" w:eastAsia="zh-CN"/>
        </w:rPr>
      </w:pPr>
    </w:p>
    <w:p w14:paraId="0B38D3CB">
      <w:pPr>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br w:type="page"/>
      </w:r>
    </w:p>
    <w:p w14:paraId="27D63BC6">
      <w:pPr>
        <w:spacing w:line="480" w:lineRule="exact"/>
        <w:jc w:val="center"/>
        <w:outlineLvl w:val="1"/>
        <w:rPr>
          <w:rFonts w:ascii="仿宋" w:hAnsi="仿宋" w:eastAsia="仿宋" w:cs="仿宋"/>
          <w:b/>
          <w:color w:val="auto"/>
          <w:sz w:val="30"/>
          <w:szCs w:val="30"/>
          <w:highlight w:val="none"/>
          <w:lang w:eastAsia="zh-CN"/>
        </w:rPr>
      </w:pPr>
      <w:r>
        <w:rPr>
          <w:rFonts w:hint="eastAsia" w:ascii="仿宋" w:hAnsi="仿宋" w:eastAsia="仿宋" w:cs="仿宋"/>
          <w:b/>
          <w:color w:val="auto"/>
          <w:sz w:val="32"/>
          <w:szCs w:val="32"/>
          <w:lang w:val="en-US" w:eastAsia="zh-CN"/>
        </w:rPr>
        <w:t xml:space="preserve">第四部分  </w:t>
      </w:r>
      <w:r>
        <w:rPr>
          <w:rFonts w:hint="eastAsia" w:ascii="仿宋" w:hAnsi="仿宋" w:eastAsia="仿宋" w:cs="仿宋"/>
          <w:b/>
          <w:color w:val="auto"/>
          <w:sz w:val="30"/>
          <w:szCs w:val="30"/>
          <w:highlight w:val="none"/>
          <w:lang w:eastAsia="zh-CN"/>
        </w:rPr>
        <w:t>合同条款及格式</w:t>
      </w:r>
      <w:bookmarkStart w:id="56" w:name="_Toc20669"/>
    </w:p>
    <w:p w14:paraId="7FB69DA3">
      <w:pPr>
        <w:spacing w:line="480" w:lineRule="exact"/>
        <w:jc w:val="center"/>
        <w:outlineLvl w:val="1"/>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（本合同为合同样稿，最终稿由供需双方协商后确定）</w:t>
      </w:r>
      <w:bookmarkEnd w:id="56"/>
    </w:p>
    <w:p w14:paraId="70C10BBB">
      <w:pPr>
        <w:keepNext w:val="0"/>
        <w:keepLines w:val="0"/>
        <w:pageBreakBefore w:val="0"/>
        <w:widowControl/>
        <w:numPr>
          <w:ilvl w:val="0"/>
          <w:numId w:val="12"/>
        </w:numPr>
        <w:kinsoku/>
        <w:wordWrap/>
        <w:overflowPunct/>
        <w:topLinePunct w:val="0"/>
        <w:autoSpaceDE/>
        <w:autoSpaceDN/>
        <w:bidi w:val="0"/>
        <w:adjustRightInd/>
        <w:snapToGrid/>
        <w:spacing w:line="440" w:lineRule="exact"/>
        <w:jc w:val="center"/>
        <w:textAlignment w:val="baseline"/>
        <w:outlineLvl w:val="1"/>
        <w:rPr>
          <w:rFonts w:ascii="宋体"/>
          <w:color w:val="auto"/>
          <w:highlight w:val="none"/>
        </w:rPr>
      </w:pPr>
      <w:r>
        <w:rPr>
          <w:rFonts w:hint="eastAsia" w:ascii="仿宋" w:hAnsi="仿宋" w:eastAsia="仿宋" w:cs="仿宋"/>
          <w:b/>
          <w:color w:val="auto"/>
          <w:sz w:val="30"/>
          <w:szCs w:val="30"/>
          <w:highlight w:val="none"/>
          <w:lang w:eastAsia="zh-CN"/>
        </w:rPr>
        <w:t xml:space="preserve"> </w:t>
      </w:r>
      <w:bookmarkStart w:id="57" w:name="_Toc469495741"/>
      <w:r>
        <w:rPr>
          <w:rFonts w:hint="eastAsia" w:ascii="仿宋" w:hAnsi="仿宋" w:eastAsia="仿宋" w:cs="仿宋"/>
          <w:b/>
          <w:color w:val="auto"/>
          <w:sz w:val="30"/>
          <w:szCs w:val="30"/>
          <w:highlight w:val="none"/>
        </w:rPr>
        <w:t>合同协议书</w:t>
      </w:r>
      <w:bookmarkEnd w:id="57"/>
      <w:r>
        <w:rPr>
          <w:rFonts w:hint="eastAsia" w:ascii="仿宋" w:hAnsi="仿宋" w:eastAsia="仿宋" w:cs="仿宋"/>
          <w:b/>
          <w:color w:val="auto"/>
          <w:sz w:val="30"/>
          <w:szCs w:val="30"/>
          <w:highlight w:val="none"/>
          <w:lang w:eastAsia="zh-CN"/>
        </w:rPr>
        <w:t xml:space="preserve">      </w:t>
      </w:r>
      <w:r>
        <w:rPr>
          <w:rFonts w:hint="eastAsia" w:ascii="仿宋" w:hAnsi="仿宋" w:eastAsia="仿宋" w:cs="仿宋"/>
          <w:b/>
          <w:color w:val="auto"/>
          <w:sz w:val="32"/>
          <w:szCs w:val="32"/>
          <w:highlight w:val="none"/>
        </w:rPr>
        <w:t>合同名称</w:t>
      </w:r>
      <w:r>
        <w:rPr>
          <w:rFonts w:hint="eastAsia" w:ascii="仿宋" w:hAnsi="仿宋" w:eastAsia="仿宋" w:cs="仿宋"/>
          <w:b/>
          <w:color w:val="auto"/>
          <w:highlight w:val="none"/>
        </w:rPr>
        <w:t xml:space="preserve"> </w:t>
      </w:r>
      <w:r>
        <w:rPr>
          <w:rFonts w:hint="eastAsia" w:ascii="宋体"/>
          <w:b/>
          <w:color w:val="auto"/>
          <w:highlight w:val="none"/>
        </w:rPr>
        <w:t xml:space="preserve"> </w:t>
      </w:r>
    </w:p>
    <w:p w14:paraId="250532C9">
      <w:pPr>
        <w:keepNext w:val="0"/>
        <w:keepLines w:val="0"/>
        <w:pageBreakBefore w:val="0"/>
        <w:widowControl/>
        <w:kinsoku/>
        <w:wordWrap/>
        <w:overflowPunct/>
        <w:topLinePunct w:val="0"/>
        <w:autoSpaceDE/>
        <w:autoSpaceDN/>
        <w:bidi w:val="0"/>
        <w:adjustRightInd/>
        <w:snapToGrid/>
        <w:spacing w:line="440" w:lineRule="exact"/>
        <w:jc w:val="both"/>
        <w:textAlignment w:val="baseline"/>
        <w:outlineLvl w:val="1"/>
        <w:rPr>
          <w:rFonts w:ascii="仿宋" w:hAnsi="仿宋" w:eastAsia="仿宋" w:cs="仿宋"/>
          <w:color w:val="auto"/>
          <w:highlight w:val="none"/>
        </w:rPr>
      </w:pPr>
      <w:r>
        <w:rPr>
          <w:rFonts w:hint="eastAsia" w:ascii="仿宋" w:hAnsi="仿宋" w:eastAsia="仿宋" w:cs="仿宋"/>
          <w:color w:val="auto"/>
          <w:highlight w:val="none"/>
        </w:rPr>
        <w:t>编号</w:t>
      </w:r>
    </w:p>
    <w:p w14:paraId="2B6E28AB">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rPr>
      </w:pPr>
      <w:bookmarkStart w:id="58" w:name="_Toc246996253"/>
      <w:bookmarkStart w:id="59" w:name="_Toc296602498"/>
      <w:bookmarkStart w:id="60" w:name="_Toc152042388"/>
      <w:bookmarkStart w:id="61" w:name="_Toc152045610"/>
      <w:bookmarkStart w:id="62" w:name="_Toc144974578"/>
      <w:bookmarkStart w:id="63" w:name="_Toc469495742"/>
      <w:bookmarkStart w:id="64" w:name="_Toc247085768"/>
      <w:bookmarkStart w:id="65" w:name="_Toc179632628"/>
      <w:bookmarkStart w:id="66" w:name="_Toc246996996"/>
      <w:r>
        <w:rPr>
          <w:rFonts w:hint="eastAsia" w:ascii="仿宋" w:hAnsi="仿宋" w:eastAsia="仿宋" w:cs="仿宋"/>
          <w:color w:val="auto"/>
          <w:highlight w:val="none"/>
        </w:rPr>
        <w:t>买    方：                                   卖    方：</w:t>
      </w:r>
    </w:p>
    <w:p w14:paraId="12807829">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rPr>
      </w:pPr>
      <w:r>
        <w:rPr>
          <w:rFonts w:hint="eastAsia" w:ascii="仿宋" w:hAnsi="仿宋" w:eastAsia="仿宋" w:cs="仿宋"/>
          <w:color w:val="auto"/>
          <w:highlight w:val="none"/>
        </w:rPr>
        <w:t>电    话：                                   电    话：</w:t>
      </w:r>
    </w:p>
    <w:p w14:paraId="25088EF1">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rPr>
      </w:pPr>
      <w:r>
        <w:rPr>
          <w:rFonts w:hint="eastAsia" w:ascii="仿宋" w:hAnsi="仿宋" w:eastAsia="仿宋" w:cs="仿宋"/>
          <w:color w:val="auto"/>
          <w:highlight w:val="none"/>
        </w:rPr>
        <w:t xml:space="preserve">住    所：                                   住    所：                       </w:t>
      </w:r>
    </w:p>
    <w:p w14:paraId="67D8F4B5">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（买方）</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lang w:eastAsia="zh-CN"/>
        </w:rPr>
        <w:t>中所需</w:t>
      </w:r>
      <w:r>
        <w:rPr>
          <w:rFonts w:hint="eastAsia" w:ascii="仿宋" w:hAnsi="仿宋" w:eastAsia="仿宋" w:cs="仿宋"/>
          <w:color w:val="auto"/>
          <w:highlight w:val="none"/>
          <w:u w:val="single"/>
          <w:lang w:eastAsia="zh-CN"/>
        </w:rPr>
        <w:t>（产品名称）</w:t>
      </w:r>
      <w:r>
        <w:rPr>
          <w:rFonts w:hint="eastAsia" w:ascii="仿宋" w:hAnsi="仿宋" w:eastAsia="仿宋" w:cs="仿宋"/>
          <w:color w:val="auto"/>
          <w:highlight w:val="none"/>
          <w:lang w:eastAsia="zh-CN"/>
        </w:rPr>
        <w:t xml:space="preserve"> 经公开招标，确定</w:t>
      </w:r>
      <w:r>
        <w:rPr>
          <w:rFonts w:hint="eastAsia" w:ascii="仿宋" w:hAnsi="仿宋" w:eastAsia="仿宋" w:cs="仿宋"/>
          <w:color w:val="auto"/>
          <w:highlight w:val="none"/>
          <w:u w:val="single"/>
          <w:lang w:eastAsia="zh-CN"/>
        </w:rPr>
        <w:t>（卖方）</w:t>
      </w:r>
      <w:r>
        <w:rPr>
          <w:rFonts w:hint="eastAsia" w:ascii="仿宋" w:hAnsi="仿宋" w:eastAsia="仿宋" w:cs="仿宋"/>
          <w:color w:val="auto"/>
          <w:highlight w:val="none"/>
          <w:lang w:eastAsia="zh-CN"/>
        </w:rPr>
        <w:t>为中标人。按照《</w:t>
      </w:r>
      <w:r>
        <w:rPr>
          <w:rFonts w:hint="eastAsia" w:ascii="仿宋" w:hAnsi="仿宋" w:eastAsia="仿宋" w:cs="仿宋"/>
          <w:color w:val="auto"/>
          <w:sz w:val="24"/>
          <w:szCs w:val="24"/>
          <w:lang w:val="en-US" w:eastAsia="zh-CN"/>
        </w:rPr>
        <w:t>中华人民共和国经济民法典</w:t>
      </w:r>
      <w:r>
        <w:rPr>
          <w:rFonts w:hint="eastAsia" w:ascii="仿宋" w:hAnsi="仿宋" w:eastAsia="仿宋" w:cs="仿宋"/>
          <w:color w:val="auto"/>
          <w:highlight w:val="none"/>
          <w:lang w:eastAsia="zh-CN"/>
        </w:rPr>
        <w:t>》的规定，买卖双方同意按照下述的条款和条件，签署本合同。</w:t>
      </w:r>
    </w:p>
    <w:p w14:paraId="73C8C930">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1、本合同文件</w:t>
      </w:r>
    </w:p>
    <w:p w14:paraId="5B0209FE">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下列每一文件均应作为合同的组成部分进行阅读和解释：</w:t>
      </w:r>
    </w:p>
    <w:p w14:paraId="381D2DF1">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（1）采购文件（2）响应文件（3）中标通知书</w:t>
      </w:r>
    </w:p>
    <w:p w14:paraId="3FB9A188">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（4）经双方确认进入合同的其它文件、补充条款或说明</w:t>
      </w:r>
    </w:p>
    <w:p w14:paraId="164F51DB">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2、采购标的、数量、质量要求</w:t>
      </w:r>
    </w:p>
    <w:p w14:paraId="35795C5C">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3、合同总价</w:t>
      </w:r>
    </w:p>
    <w:p w14:paraId="377DB4F4">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合同总价为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元人民币。</w:t>
      </w:r>
    </w:p>
    <w:p w14:paraId="15F41289">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b w:val="0"/>
          <w:bCs w:val="0"/>
          <w:color w:val="auto"/>
          <w:highlight w:val="none"/>
          <w:lang w:eastAsia="zh-CN"/>
        </w:rPr>
      </w:pPr>
      <w:r>
        <w:rPr>
          <w:rFonts w:hint="eastAsia" w:ascii="仿宋" w:hAnsi="仿宋" w:eastAsia="仿宋" w:cs="仿宋"/>
          <w:color w:val="auto"/>
          <w:highlight w:val="none"/>
          <w:lang w:eastAsia="zh-CN"/>
        </w:rPr>
        <w:t>4、付款方式</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u w:val="single"/>
          <w:lang w:val="en-US" w:eastAsia="zh-CN"/>
        </w:rPr>
        <w:t xml:space="preserve">                    </w:t>
      </w:r>
      <w:r>
        <w:rPr>
          <w:rFonts w:hint="eastAsia" w:ascii="仿宋" w:hAnsi="仿宋" w:eastAsia="仿宋" w:cs="仿宋"/>
          <w:b w:val="0"/>
          <w:bCs w:val="0"/>
          <w:color w:val="auto"/>
          <w:highlight w:val="none"/>
          <w:lang w:eastAsia="zh-CN"/>
        </w:rPr>
        <w:t>。</w:t>
      </w:r>
    </w:p>
    <w:p w14:paraId="5DA12D32">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5、合同供货（服务）期限及地点和方式</w:t>
      </w:r>
    </w:p>
    <w:p w14:paraId="05547429">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6、验收要求及违约责任</w:t>
      </w:r>
    </w:p>
    <w:p w14:paraId="75965C66">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7、违约责任及解决争议方法</w:t>
      </w:r>
    </w:p>
    <w:p w14:paraId="67965C7F">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8、合同的生效</w:t>
      </w:r>
    </w:p>
    <w:p w14:paraId="2D7706CF">
      <w:pPr>
        <w:pStyle w:val="8"/>
        <w:spacing w:after="0" w:line="42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合同经双方授权代表签署，买卖双方加盖印章之后生效。</w:t>
      </w:r>
    </w:p>
    <w:p w14:paraId="3D3B5EBB">
      <w:pPr>
        <w:pStyle w:val="8"/>
        <w:spacing w:after="0" w:line="42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本合同一式     份，双方各执     份。</w:t>
      </w:r>
    </w:p>
    <w:p w14:paraId="1271D778">
      <w:pPr>
        <w:pStyle w:val="8"/>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买  方：                            卖  方：</w:t>
      </w:r>
    </w:p>
    <w:p w14:paraId="5090540A">
      <w:pPr>
        <w:pStyle w:val="8"/>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名  称：（盖章）                    名  称：（盖章）</w:t>
      </w:r>
    </w:p>
    <w:p w14:paraId="45053B14">
      <w:pPr>
        <w:pStyle w:val="8"/>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法定代表人（或委托代理人签章）：    法定代表人（或委托代理人签章）：</w:t>
      </w:r>
    </w:p>
    <w:p w14:paraId="78875BE2">
      <w:pPr>
        <w:pStyle w:val="8"/>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地    址：                          地    址：</w:t>
      </w:r>
    </w:p>
    <w:p w14:paraId="1671EC20">
      <w:pPr>
        <w:pStyle w:val="8"/>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邮政编码：                          邮政编码：</w:t>
      </w:r>
    </w:p>
    <w:p w14:paraId="6C58167F">
      <w:pPr>
        <w:pStyle w:val="8"/>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电    话：                          电    话：</w:t>
      </w:r>
    </w:p>
    <w:p w14:paraId="2C38B6E0">
      <w:pPr>
        <w:pStyle w:val="8"/>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开户银行：                          开户银行：</w:t>
      </w:r>
    </w:p>
    <w:p w14:paraId="00D6135B">
      <w:pPr>
        <w:pStyle w:val="8"/>
        <w:spacing w:after="0" w:line="360" w:lineRule="exact"/>
        <w:ind w:left="0" w:leftChars="0" w:firstLine="490" w:firstLineChars="200"/>
        <w:rPr>
          <w:rFonts w:ascii="仿宋" w:hAnsi="仿宋" w:eastAsia="仿宋" w:cs="仿宋"/>
          <w:b/>
          <w:color w:val="auto"/>
          <w:sz w:val="30"/>
          <w:szCs w:val="30"/>
          <w:highlight w:val="none"/>
          <w:lang w:eastAsia="zh-CN"/>
        </w:rPr>
      </w:pPr>
      <w:r>
        <w:rPr>
          <w:rFonts w:hint="eastAsia" w:ascii="仿宋" w:hAnsi="仿宋" w:eastAsia="仿宋" w:cs="仿宋"/>
          <w:color w:val="auto"/>
          <w:highlight w:val="none"/>
          <w:u w:color="000000"/>
          <w:lang w:eastAsia="zh-CN"/>
        </w:rPr>
        <w:t>帐    号：                          帐    号：</w:t>
      </w:r>
    </w:p>
    <w:p w14:paraId="5EF98FF2">
      <w:pPr>
        <w:pStyle w:val="8"/>
        <w:spacing w:after="0" w:line="420" w:lineRule="exact"/>
        <w:ind w:left="0" w:leftChars="0" w:firstLine="610" w:firstLineChars="200"/>
        <w:jc w:val="center"/>
        <w:rPr>
          <w:rFonts w:hint="eastAsia" w:ascii="仿宋" w:hAnsi="仿宋" w:eastAsia="仿宋" w:cs="仿宋"/>
          <w:b/>
          <w:color w:val="auto"/>
          <w:sz w:val="30"/>
          <w:szCs w:val="30"/>
          <w:highlight w:val="none"/>
          <w:lang w:eastAsia="zh-CN"/>
        </w:rPr>
      </w:pPr>
    </w:p>
    <w:p w14:paraId="24A5CC3C">
      <w:pPr>
        <w:pStyle w:val="8"/>
        <w:spacing w:after="0" w:line="420" w:lineRule="exact"/>
        <w:ind w:left="0" w:leftChars="0" w:firstLine="610" w:firstLineChars="200"/>
        <w:jc w:val="center"/>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二  合同条款</w:t>
      </w:r>
      <w:bookmarkEnd w:id="58"/>
      <w:bookmarkEnd w:id="59"/>
      <w:bookmarkEnd w:id="60"/>
      <w:bookmarkEnd w:id="61"/>
      <w:bookmarkEnd w:id="62"/>
      <w:bookmarkEnd w:id="63"/>
      <w:bookmarkEnd w:id="64"/>
      <w:bookmarkEnd w:id="65"/>
      <w:bookmarkEnd w:id="66"/>
    </w:p>
    <w:p w14:paraId="3E449141">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一.合同文件</w:t>
      </w:r>
    </w:p>
    <w:p w14:paraId="61B8A01C">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1、合同文件适用法律</w:t>
      </w:r>
    </w:p>
    <w:p w14:paraId="2853581C">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适用于合同文件的法律是中华人民共和国现行法律、法规及招标人所在地的地方性法规。</w:t>
      </w:r>
    </w:p>
    <w:p w14:paraId="1FE59C91">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2、合同文件组成和解释顺序</w:t>
      </w:r>
    </w:p>
    <w:p w14:paraId="67744141">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(1)合同文件的组成和解释顺序如下：</w:t>
      </w:r>
    </w:p>
    <w:p w14:paraId="243607D9">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&lt;1&gt;合同的主要条款；</w:t>
      </w:r>
    </w:p>
    <w:p w14:paraId="7B5B19BF">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&lt;2&gt;合同的一般性条款；</w:t>
      </w:r>
    </w:p>
    <w:p w14:paraId="680373FA">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&lt;3&gt;洽商、变更等明确双方权利义务的纪要、协议；</w:t>
      </w:r>
    </w:p>
    <w:p w14:paraId="0B119ADA">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&lt;4&gt;中标通知书、响应文件和采购文件；</w:t>
      </w:r>
    </w:p>
    <w:p w14:paraId="760B9FE8">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&lt;5&gt;有关图纸、标准、规范和其它有关技术资料、技术要求。</w:t>
      </w:r>
    </w:p>
    <w:p w14:paraId="39C12B88">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&lt;6&gt;合同的主要条款的效力优于合同的一般性条款的效力。</w:t>
      </w:r>
    </w:p>
    <w:p w14:paraId="05AF25D7">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3、合同文件使用文字</w:t>
      </w:r>
    </w:p>
    <w:p w14:paraId="1A15F09F">
      <w:pPr>
        <w:pStyle w:val="5"/>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(1)合同文件使用中文书写、解释和说明。</w:t>
      </w:r>
    </w:p>
    <w:p w14:paraId="66FAED08">
      <w:pPr>
        <w:pStyle w:val="5"/>
        <w:overflowPunct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(2)合同文件使用技术性条款约定的为国家标准和规范；国家没有相应标准、规范时，可使用行业标准、规范。非标货物应按约定的技术性条款的标准和规范。 </w:t>
      </w:r>
    </w:p>
    <w:p w14:paraId="4F7F9A03">
      <w:pPr>
        <w:spacing w:line="44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二.标的物的一般条款</w:t>
      </w:r>
    </w:p>
    <w:p w14:paraId="1CBD7E8E">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4、完整物权</w:t>
      </w:r>
    </w:p>
    <w:p w14:paraId="64F1BFB8">
      <w:pPr>
        <w:tabs>
          <w:tab w:val="left" w:pos="660"/>
        </w:tabs>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对于出卖的标的物，卖方应当拥有完整物权，并且卖方负有保证第三人不得向买方主张任何权利（包括知识产权）的义务。</w:t>
      </w:r>
    </w:p>
    <w:p w14:paraId="0FA4778E">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5、质量保证</w:t>
      </w:r>
    </w:p>
    <w:p w14:paraId="7C388FC0">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4C5BB8B0">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11D5B3CB">
      <w:pPr>
        <w:pStyle w:val="5"/>
        <w:tabs>
          <w:tab w:val="left" w:pos="900"/>
        </w:tabs>
        <w:overflowPunct w:val="0"/>
        <w:spacing w:line="440" w:lineRule="exact"/>
        <w:rPr>
          <w:rFonts w:cs="宋体"/>
          <w:color w:val="auto"/>
          <w:sz w:val="21"/>
          <w:szCs w:val="21"/>
          <w:highlight w:val="none"/>
          <w:u w:color="000000"/>
          <w:lang w:eastAsia="zh-CN"/>
        </w:rPr>
      </w:pPr>
      <w:r>
        <w:rPr>
          <w:rFonts w:hint="eastAsia" w:ascii="仿宋" w:hAnsi="仿宋" w:eastAsia="仿宋" w:cs="仿宋"/>
          <w:color w:val="auto"/>
          <w:szCs w:val="24"/>
          <w:highlight w:val="none"/>
          <w:u w:color="000000"/>
          <w:lang w:eastAsia="zh-CN"/>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cs="宋体"/>
          <w:color w:val="auto"/>
          <w:sz w:val="21"/>
          <w:szCs w:val="21"/>
          <w:highlight w:val="none"/>
          <w:u w:color="000000"/>
          <w:lang w:eastAsia="zh-CN"/>
        </w:rPr>
        <w:t>外）。</w:t>
      </w:r>
    </w:p>
    <w:p w14:paraId="3D39556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6、包装</w:t>
      </w:r>
    </w:p>
    <w:p w14:paraId="2773E27C">
      <w:pPr>
        <w:pStyle w:val="5"/>
        <w:tabs>
          <w:tab w:val="left" w:pos="900"/>
        </w:tabs>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3EB69B7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7、伴随服务</w:t>
      </w:r>
    </w:p>
    <w:p w14:paraId="6A41DCF1">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(1)卖方除应履行按期按量交付合格标的物的义务之外，还应提供下列服务：</w:t>
      </w:r>
    </w:p>
    <w:p w14:paraId="3D262E89">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&lt;1&gt;标的物的现场安装或指导安装、启动、调试、监督（如果必须安装、调试的话）；</w:t>
      </w:r>
    </w:p>
    <w:p w14:paraId="04442C2C">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&lt;2&gt;提供标的物组装和一般维修所必须的工具；</w:t>
      </w:r>
    </w:p>
    <w:p w14:paraId="2E29A8E0">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&lt;3&gt;在合同规定的期限内对所提供标的物实行运行监督、维修服务的前提条件是该服务并不能免除卖方在质量保证期内所承担的义务；</w:t>
      </w:r>
    </w:p>
    <w:p w14:paraId="351B4C9C">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&lt;4&gt;对买方技术人员的技术指导或培训。</w:t>
      </w:r>
    </w:p>
    <w:p w14:paraId="0857048F">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(2)除合同另有规定之外，伴随服务的费用均已含在合同价款中，买方不再另行进行支付。</w:t>
      </w:r>
    </w:p>
    <w:p w14:paraId="438576A5">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三.标的物的交付、检验和验收</w:t>
      </w:r>
    </w:p>
    <w:p w14:paraId="2DAB6DAE">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8、标的物的交付</w:t>
      </w:r>
    </w:p>
    <w:p w14:paraId="5C29126C">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(1)标的物的所有权自标的物交付时转移。</w:t>
      </w:r>
    </w:p>
    <w:p w14:paraId="5199CB9A">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(2)卖方应当按照约定的期限和约定的地点交付符合采购文件要求的标的物。</w:t>
      </w:r>
    </w:p>
    <w:p w14:paraId="0D6BAFE5">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(3)卖方应当按照约定或者交易习惯向招标人交付提取标的物单证以外的有关单证和资料。</w:t>
      </w:r>
    </w:p>
    <w:p w14:paraId="656295C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9、检验和验收</w:t>
      </w:r>
    </w:p>
    <w:p w14:paraId="797C621C">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2A4639B4">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(2)买方根据合同规定的内容和验收标准进行验收，经检验无误后出具验收合格证明，该证明作为最终付款所需文件的组成部分。</w:t>
      </w:r>
    </w:p>
    <w:p w14:paraId="16F221C3">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(3)验收期限自标的物交付之日起三十天内。特殊情况需延长的，双方应在合同条款中约定。</w:t>
      </w:r>
    </w:p>
    <w:p w14:paraId="29659DE4">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四.对标的物提出异议的时间和办法</w:t>
      </w:r>
    </w:p>
    <w:p w14:paraId="644172A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10、对标的物提出异议的时间和办法 </w:t>
      </w:r>
    </w:p>
    <w:p w14:paraId="42BEB1E5">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(1)买方在验收过程中，应当于双方约定的检验期间内将标的物的数量或质量不符合约定的情形及处理方式以书面形式通知卖方。</w:t>
      </w:r>
    </w:p>
    <w:p w14:paraId="01768516">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(2)如买方在验收期满后既不出具验收合格证明又未提出书面异议的视为卖方所交标的物符合合同规定。</w:t>
      </w:r>
    </w:p>
    <w:p w14:paraId="3543F488">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(3)卖方应在收到买方书面异议后七天内负责处理问题，否则将视为默认买方提出的异议和处理意见。</w:t>
      </w:r>
    </w:p>
    <w:p w14:paraId="531ABCC4">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五.合同价款和支付</w:t>
      </w:r>
    </w:p>
    <w:p w14:paraId="0B8D2037">
      <w:pPr>
        <w:spacing w:line="440" w:lineRule="exact"/>
        <w:rPr>
          <w:rFonts w:ascii="仿宋" w:hAnsi="仿宋" w:eastAsia="仿宋" w:cs="仿宋"/>
          <w:color w:val="auto"/>
          <w:highlight w:val="none"/>
        </w:rPr>
      </w:pPr>
      <w:r>
        <w:rPr>
          <w:rFonts w:hint="eastAsia" w:ascii="仿宋" w:hAnsi="仿宋" w:eastAsia="仿宋" w:cs="仿宋"/>
          <w:color w:val="auto"/>
          <w:highlight w:val="none"/>
        </w:rPr>
        <w:t>11、合同价款和支付</w:t>
      </w:r>
    </w:p>
    <w:p w14:paraId="35B1C8C3">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(1)本合同的结算货币为人民币，单位元。</w:t>
      </w:r>
    </w:p>
    <w:p w14:paraId="64744E28">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(2)卖方应按照双方签订的合同规定交货并在合同主要条款规定的期限内持下列单据结算货款：</w:t>
      </w:r>
    </w:p>
    <w:p w14:paraId="27DF01DF">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&lt;1&gt;合格的销售发票；</w:t>
      </w:r>
    </w:p>
    <w:p w14:paraId="5C243FA8">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&lt;2&gt;买方盖章签收后的送货回单和验收合格证明。</w:t>
      </w:r>
    </w:p>
    <w:p w14:paraId="4CA2FB5D">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(3)买方应按合同主要条款规定的期限和方式付款。</w:t>
      </w:r>
    </w:p>
    <w:p w14:paraId="4AFA1F51">
      <w:pPr>
        <w:pStyle w:val="5"/>
        <w:tabs>
          <w:tab w:val="left" w:pos="54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(4)根据现行税法对买方征收的与本合同有关的一切税费均由买方承担；根据现行税法对卖方征收的与本合同有关的一切税费均由卖方承担。</w:t>
      </w:r>
    </w:p>
    <w:p w14:paraId="5FF046F0">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六.违约责任</w:t>
      </w:r>
    </w:p>
    <w:p w14:paraId="066367B5">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12、违约责任</w:t>
      </w:r>
    </w:p>
    <w:p w14:paraId="1223F951">
      <w:pPr>
        <w:pStyle w:val="5"/>
        <w:spacing w:line="440" w:lineRule="exact"/>
        <w:ind w:firstLine="490" w:firstLineChars="20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合同一方不履行合同义务或者履行合同义务不符合约定的，应当承担继续履行、采取补救措施或者赔偿损失等违约责任。</w:t>
      </w:r>
    </w:p>
    <w:p w14:paraId="56B6F459">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13、买方违约责任</w:t>
      </w:r>
    </w:p>
    <w:p w14:paraId="11F0C99B">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(1)在合同生效后，买方要求退货的，应向卖方偿付合同总价款的5%，作为违约金，违约金不足以补偿损失的，卖方有权要求甲方补足。</w:t>
      </w:r>
    </w:p>
    <w:p w14:paraId="6A2292D8">
      <w:pPr>
        <w:pStyle w:val="5"/>
        <w:overflowPunct w:val="0"/>
        <w:spacing w:line="440" w:lineRule="exact"/>
        <w:ind w:right="-389"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(2)买方逾期付款的应按照逾期付款金额的每天万分之四支付逾期付款违约金。</w:t>
      </w:r>
    </w:p>
    <w:p w14:paraId="4E3A0879">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(3)买方违反合同规定，拒绝接收卖方交付的符合采购文件要求的合格标的物，应当承担卖方由此造成的损失。</w:t>
      </w:r>
    </w:p>
    <w:p w14:paraId="09159F7D">
      <w:pPr>
        <w:spacing w:line="440" w:lineRule="exact"/>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14、卖方违约责任</w:t>
      </w:r>
    </w:p>
    <w:p w14:paraId="38FE7C39">
      <w:pPr>
        <w:pStyle w:val="5"/>
        <w:overflowPunct w:val="0"/>
        <w:spacing w:line="440" w:lineRule="exact"/>
        <w:rPr>
          <w:rFonts w:ascii="仿宋" w:hAnsi="仿宋" w:eastAsia="仿宋" w:cs="仿宋"/>
          <w:b/>
          <w:bCs/>
          <w:color w:val="auto"/>
          <w:szCs w:val="24"/>
          <w:highlight w:val="none"/>
          <w:u w:color="000000"/>
          <w:lang w:eastAsia="zh-CN"/>
        </w:rPr>
      </w:pPr>
      <w:r>
        <w:rPr>
          <w:rFonts w:hint="eastAsia" w:ascii="仿宋" w:hAnsi="仿宋" w:eastAsia="仿宋" w:cs="仿宋"/>
          <w:b/>
          <w:bCs/>
          <w:color w:val="auto"/>
          <w:szCs w:val="24"/>
          <w:highlight w:val="none"/>
          <w:u w:color="000000"/>
          <w:lang w:eastAsia="zh-CN"/>
        </w:rPr>
        <w:t>(1)卖方不能交货（逾期超过五天视为不能交货），或交货不合格从而影响买方按期正常使用的，应向买方偿付合同总价款5%的违约金，违约金不足以补偿损失的，买方有权要求卖方补足。</w:t>
      </w:r>
    </w:p>
    <w:p w14:paraId="0F46C283">
      <w:pPr>
        <w:pStyle w:val="5"/>
        <w:overflowPunct w:val="0"/>
        <w:spacing w:line="440" w:lineRule="exact"/>
        <w:rPr>
          <w:rFonts w:ascii="仿宋" w:hAnsi="仿宋" w:eastAsia="仿宋" w:cs="仿宋"/>
          <w:b/>
          <w:bCs/>
          <w:color w:val="auto"/>
          <w:szCs w:val="24"/>
          <w:highlight w:val="none"/>
          <w:u w:color="000000"/>
          <w:lang w:eastAsia="zh-CN"/>
        </w:rPr>
      </w:pPr>
      <w:r>
        <w:rPr>
          <w:rFonts w:hint="eastAsia" w:ascii="仿宋" w:hAnsi="仿宋" w:eastAsia="仿宋" w:cs="仿宋"/>
          <w:b/>
          <w:bCs/>
          <w:color w:val="auto"/>
          <w:szCs w:val="24"/>
          <w:highlight w:val="none"/>
          <w:u w:color="000000"/>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14:paraId="1367F181">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15、不可抗力</w:t>
      </w:r>
    </w:p>
    <w:p w14:paraId="11171945">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(1)因水灾、火灾、地震、战争等不可抗力不能履行合同的，根据不可抗力的影响，部分或者全部免除责任。但合同一方迟延履行后发生不可抗力的，不能免除责任。</w:t>
      </w:r>
    </w:p>
    <w:p w14:paraId="7D9662C5">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(2)合同一方因不可抗力不能履行合同的，应当及时通知对方，以减轻可能给对方造成的损失，并应当在合理期限内提供证明。</w:t>
      </w:r>
    </w:p>
    <w:p w14:paraId="33FED88D">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七.索赔</w:t>
      </w:r>
    </w:p>
    <w:p w14:paraId="0041CAF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16、索赔</w:t>
      </w:r>
    </w:p>
    <w:p w14:paraId="170E9DC4">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(1)买方有权根据当地产品质量检验机构或其它有权威部门出具的检验证书向卖方提出索赔。</w:t>
      </w:r>
    </w:p>
    <w:p w14:paraId="09A0D843">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(2)在本合同规定的检验期和质量保证期内，如果卖方对买方提出的索赔或差异有责任，则卖方应按买方同意的下列一种或多种方式解决索赔事宜：</w:t>
      </w:r>
    </w:p>
    <w:p w14:paraId="57C0ABCB">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14:paraId="59A741B2">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&lt;2&gt;根据标的物的低劣程度、损坏程度以及甲方遭受损失的数额，经双方协商确定降低标的物的价格；</w:t>
      </w:r>
    </w:p>
    <w:p w14:paraId="512818D3">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69AD88C4">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53B4EC36">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(4)买方提出索赔的书面材料应报当地政府采购管理部门备案。卖方同意的索赔方案应报当地政府采购管理部门审核。</w:t>
      </w:r>
    </w:p>
    <w:p w14:paraId="57754228">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八.履约保证金</w:t>
      </w:r>
    </w:p>
    <w:p w14:paraId="612B952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17、履约保证金</w:t>
      </w:r>
    </w:p>
    <w:p w14:paraId="27018840">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(1)卖方应在本合同签订时，按采购文件的约定提供相应的履约保证金，保证金的有效期应不低于合同有效期。</w:t>
      </w:r>
    </w:p>
    <w:p w14:paraId="0D949E6D">
      <w:pPr>
        <w:pStyle w:val="5"/>
        <w:overflowPunct w:val="0"/>
        <w:spacing w:line="440" w:lineRule="exact"/>
        <w:ind w:right="-389"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(2)如果卖方未能履行合同规定的任何义务，买方有权从履约保证金中取得补偿。</w:t>
      </w:r>
    </w:p>
    <w:p w14:paraId="5D0B57F2">
      <w:pPr>
        <w:pStyle w:val="5"/>
        <w:overflowPunct w:val="0"/>
        <w:spacing w:line="440" w:lineRule="exact"/>
        <w:ind w:right="-1019" w:rightChars="-416"/>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(3)履约保证金（无息）将在卖方履行完合同义务，买方支付合同价款的五天内退回。</w:t>
      </w:r>
    </w:p>
    <w:p w14:paraId="1F7AE0B1">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九.合同的解除和转让</w:t>
      </w:r>
    </w:p>
    <w:p w14:paraId="2DBCF4E8">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18、合同的解除</w:t>
      </w:r>
    </w:p>
    <w:p w14:paraId="0694DEC7">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(1)买方和卖方协商一致，可以解除合同。</w:t>
      </w:r>
    </w:p>
    <w:p w14:paraId="4B0F000E">
      <w:pPr>
        <w:pStyle w:val="5"/>
        <w:spacing w:line="440" w:lineRule="exact"/>
        <w:rPr>
          <w:rFonts w:ascii="仿宋" w:hAnsi="仿宋" w:eastAsia="仿宋" w:cs="仿宋"/>
          <w:color w:val="auto"/>
          <w:szCs w:val="24"/>
          <w:highlight w:val="none"/>
          <w:u w:color="000000"/>
        </w:rPr>
      </w:pPr>
      <w:r>
        <w:rPr>
          <w:rFonts w:hint="eastAsia" w:ascii="仿宋" w:hAnsi="仿宋" w:eastAsia="仿宋" w:cs="仿宋"/>
          <w:color w:val="auto"/>
          <w:szCs w:val="24"/>
          <w:highlight w:val="none"/>
          <w:u w:color="000000"/>
        </w:rPr>
        <w:t>(2)有下列情形之一，合同一方可以解除合同：</w:t>
      </w:r>
    </w:p>
    <w:p w14:paraId="7CCF1B7B">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&lt;1&gt;因不可抗力致使不能实现合同目的，未受不可抗力影响的一方有权解除合同；</w:t>
      </w:r>
    </w:p>
    <w:p w14:paraId="4E66A778">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&lt;2&gt;因合同一方违约导致合同不能履行，另一方有权解除合同。</w:t>
      </w:r>
    </w:p>
    <w:p w14:paraId="29721A1B">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(3)有权解除合同的一方，应当在违约事实或不可抗力发生之后三十天内书面通知对方以主张解除合同，合同在书面通知到达对方时解除。</w:t>
      </w:r>
    </w:p>
    <w:p w14:paraId="20A6360B">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19、合同的转让</w:t>
      </w:r>
    </w:p>
    <w:p w14:paraId="402D6686">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合同的部分和全部都不得转让。</w:t>
      </w:r>
    </w:p>
    <w:p w14:paraId="486E77B4">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十.合同的生效</w:t>
      </w:r>
    </w:p>
    <w:p w14:paraId="4C225D84">
      <w:pPr>
        <w:spacing w:line="440" w:lineRule="exact"/>
        <w:rPr>
          <w:rFonts w:ascii="仿宋" w:hAnsi="仿宋" w:eastAsia="仿宋" w:cs="仿宋"/>
          <w:color w:val="auto"/>
          <w:highlight w:val="none"/>
        </w:rPr>
      </w:pPr>
      <w:r>
        <w:rPr>
          <w:rFonts w:hint="eastAsia" w:ascii="仿宋" w:hAnsi="仿宋" w:eastAsia="仿宋" w:cs="仿宋"/>
          <w:color w:val="auto"/>
          <w:highlight w:val="none"/>
        </w:rPr>
        <w:t>20</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合同的生效</w:t>
      </w:r>
    </w:p>
    <w:p w14:paraId="52C4AE90">
      <w:pPr>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本合同在双方签字盖章并在招标人收到中标人提交的履约保证金后，经招标采购管理部门备案后生效。</w:t>
      </w:r>
    </w:p>
    <w:p w14:paraId="2DB612B2">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十一. 争议解决</w:t>
      </w:r>
    </w:p>
    <w:p w14:paraId="30D3262F">
      <w:pPr>
        <w:spacing w:line="440" w:lineRule="exact"/>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21、争议解决</w:t>
      </w:r>
    </w:p>
    <w:p w14:paraId="25C1AD36">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 xml:space="preserve"> 买卖双方因合同发生争议，进行调解，协商不成，可选择：</w:t>
      </w:r>
    </w:p>
    <w:p w14:paraId="58710A9F">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(1)向甲方所在地人民法院提起诉讼；</w:t>
      </w:r>
    </w:p>
    <w:p w14:paraId="50AB1C28">
      <w:pPr>
        <w:pStyle w:val="5"/>
        <w:tabs>
          <w:tab w:val="left" w:pos="90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(2)向买方所在地人民法院提起诉讼。</w:t>
      </w:r>
    </w:p>
    <w:p w14:paraId="0E2CA260">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十二 .附则</w:t>
      </w:r>
    </w:p>
    <w:p w14:paraId="47043EE2">
      <w:pPr>
        <w:spacing w:line="440" w:lineRule="exact"/>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22、合同份数。</w:t>
      </w:r>
    </w:p>
    <w:p w14:paraId="2E391F6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eastAsia="zh-CN"/>
        </w:rPr>
        <w:tab/>
      </w:r>
      <w:r>
        <w:rPr>
          <w:rFonts w:hint="eastAsia" w:ascii="仿宋" w:hAnsi="仿宋" w:eastAsia="仿宋" w:cs="仿宋"/>
          <w:color w:val="auto"/>
          <w:highlight w:val="none"/>
          <w:lang w:eastAsia="zh-CN"/>
        </w:rPr>
        <w:t xml:space="preserve"> 本合同一式陆份，买卖双方各执二份，招标代理机构一份，招标采购管理部门一份。</w:t>
      </w:r>
    </w:p>
    <w:p w14:paraId="51A8D4D0">
      <w:pPr>
        <w:spacing w:line="440" w:lineRule="exact"/>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23、未尽事宜</w:t>
      </w:r>
    </w:p>
    <w:p w14:paraId="6042943B">
      <w:pPr>
        <w:spacing w:line="440" w:lineRule="exact"/>
        <w:ind w:firstLine="612" w:firstLineChars="250"/>
        <w:rPr>
          <w:rFonts w:ascii="宋体" w:cs="宋体"/>
          <w:color w:val="auto"/>
          <w:szCs w:val="21"/>
          <w:highlight w:val="none"/>
          <w:lang w:eastAsia="zh-CN"/>
        </w:rPr>
      </w:pPr>
      <w:r>
        <w:rPr>
          <w:rFonts w:hint="eastAsia" w:ascii="仿宋" w:hAnsi="仿宋" w:eastAsia="仿宋" w:cs="仿宋"/>
          <w:color w:val="auto"/>
          <w:highlight w:val="none"/>
          <w:lang w:eastAsia="zh-CN"/>
        </w:rPr>
        <w:t>本合同未尽事宜应按《中华人民共和国政府采购法》、《中华人民共和国民法典》、《中华人民共和国产品质量法》之规定解释。</w:t>
      </w:r>
    </w:p>
    <w:p w14:paraId="42EB68AA">
      <w:pPr>
        <w:shd w:val="clear" w:color="auto" w:fill="auto"/>
        <w:spacing w:line="360" w:lineRule="auto"/>
        <w:jc w:val="left"/>
        <w:rPr>
          <w:rFonts w:hint="eastAsia" w:ascii="仿宋" w:hAnsi="仿宋" w:eastAsia="仿宋" w:cs="仿宋"/>
          <w:b w:val="0"/>
          <w:bCs w:val="0"/>
          <w:color w:val="auto"/>
          <w:sz w:val="24"/>
          <w:szCs w:val="24"/>
        </w:rPr>
      </w:pPr>
    </w:p>
    <w:p w14:paraId="75620CD7">
      <w:pPr>
        <w:shd w:val="clear" w:color="auto" w:fill="auto"/>
        <w:spacing w:line="360" w:lineRule="auto"/>
        <w:jc w:val="left"/>
        <w:rPr>
          <w:rFonts w:hint="eastAsia" w:ascii="仿宋" w:hAnsi="仿宋" w:eastAsia="仿宋" w:cs="仿宋"/>
          <w:b w:val="0"/>
          <w:bCs w:val="0"/>
          <w:color w:val="auto"/>
          <w:sz w:val="24"/>
          <w:szCs w:val="24"/>
        </w:rPr>
      </w:pPr>
    </w:p>
    <w:p w14:paraId="7ED7870A">
      <w:pPr>
        <w:shd w:val="clear" w:color="auto" w:fill="auto"/>
        <w:spacing w:line="360" w:lineRule="auto"/>
        <w:jc w:val="left"/>
        <w:rPr>
          <w:rFonts w:hint="eastAsia" w:ascii="仿宋" w:hAnsi="仿宋" w:eastAsia="仿宋" w:cs="仿宋"/>
          <w:b w:val="0"/>
          <w:bCs w:val="0"/>
          <w:color w:val="auto"/>
          <w:sz w:val="24"/>
          <w:szCs w:val="24"/>
        </w:rPr>
      </w:pPr>
    </w:p>
    <w:p w14:paraId="35DA2EFC">
      <w:pPr>
        <w:shd w:val="clear" w:color="auto" w:fill="auto"/>
        <w:spacing w:line="360" w:lineRule="auto"/>
        <w:jc w:val="both"/>
        <w:rPr>
          <w:rFonts w:hint="eastAsia" w:ascii="仿宋" w:hAnsi="仿宋" w:eastAsia="仿宋" w:cs="仿宋"/>
          <w:b/>
          <w:bCs/>
          <w:color w:val="auto"/>
          <w:sz w:val="36"/>
          <w:szCs w:val="36"/>
        </w:rPr>
      </w:pPr>
    </w:p>
    <w:p w14:paraId="38D2CB45">
      <w:pPr>
        <w:rPr>
          <w:rFonts w:hint="eastAsia" w:ascii="仿宋" w:hAnsi="仿宋" w:eastAsia="仿宋" w:cs="仿宋"/>
          <w:b/>
          <w:bCs/>
          <w:color w:val="auto"/>
          <w:sz w:val="36"/>
          <w:szCs w:val="36"/>
        </w:rPr>
      </w:pPr>
      <w:r>
        <w:rPr>
          <w:rFonts w:hint="eastAsia" w:ascii="仿宋" w:hAnsi="仿宋" w:eastAsia="仿宋" w:cs="仿宋"/>
          <w:b/>
          <w:bCs/>
          <w:color w:val="auto"/>
          <w:sz w:val="36"/>
          <w:szCs w:val="36"/>
        </w:rPr>
        <w:br w:type="page"/>
      </w:r>
    </w:p>
    <w:p w14:paraId="1A3F82DA">
      <w:pPr>
        <w:shd w:val="clear" w:color="auto" w:fill="auto"/>
        <w:spacing w:line="360" w:lineRule="auto"/>
        <w:jc w:val="center"/>
        <w:rPr>
          <w:rFonts w:ascii="仿宋" w:hAnsi="仿宋" w:eastAsia="仿宋" w:cs="仿宋"/>
          <w:b/>
          <w:bCs/>
          <w:color w:val="auto"/>
          <w:sz w:val="36"/>
          <w:szCs w:val="36"/>
        </w:rPr>
      </w:pPr>
      <w:r>
        <w:rPr>
          <w:rFonts w:hint="eastAsia" w:ascii="仿宋" w:hAnsi="仿宋" w:eastAsia="仿宋" w:cs="仿宋"/>
          <w:b/>
          <w:bCs/>
          <w:color w:val="auto"/>
          <w:sz w:val="36"/>
          <w:szCs w:val="36"/>
        </w:rPr>
        <w:t>第</w:t>
      </w:r>
      <w:r>
        <w:rPr>
          <w:rFonts w:hint="eastAsia" w:ascii="仿宋" w:hAnsi="仿宋" w:eastAsia="仿宋" w:cs="仿宋"/>
          <w:b/>
          <w:bCs/>
          <w:color w:val="auto"/>
          <w:sz w:val="36"/>
          <w:szCs w:val="36"/>
          <w:lang w:eastAsia="zh-CN"/>
        </w:rPr>
        <w:t>五</w:t>
      </w:r>
      <w:r>
        <w:rPr>
          <w:rFonts w:hint="eastAsia" w:ascii="仿宋" w:hAnsi="仿宋" w:eastAsia="仿宋" w:cs="仿宋"/>
          <w:b/>
          <w:bCs/>
          <w:color w:val="auto"/>
          <w:sz w:val="36"/>
          <w:szCs w:val="36"/>
        </w:rPr>
        <w:t>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lang w:eastAsia="zh-CN"/>
        </w:rPr>
        <w:t>响应文件</w:t>
      </w:r>
      <w:r>
        <w:rPr>
          <w:rFonts w:hint="eastAsia" w:ascii="仿宋" w:hAnsi="仿宋" w:eastAsia="仿宋" w:cs="仿宋"/>
          <w:b/>
          <w:bCs/>
          <w:color w:val="auto"/>
          <w:sz w:val="36"/>
          <w:szCs w:val="36"/>
        </w:rPr>
        <w:t>格式</w:t>
      </w:r>
    </w:p>
    <w:p w14:paraId="3408736B">
      <w:pPr>
        <w:adjustRightInd w:val="0"/>
        <w:snapToGrid w:val="0"/>
        <w:spacing w:line="360" w:lineRule="auto"/>
        <w:ind w:left="602" w:right="70" w:hanging="602"/>
        <w:jc w:val="right"/>
        <w:rPr>
          <w:rFonts w:ascii="仿宋" w:hAnsi="仿宋" w:eastAsia="仿宋" w:cs="仿宋"/>
          <w:b/>
          <w:bCs/>
          <w:color w:val="auto"/>
          <w:sz w:val="28"/>
          <w:szCs w:val="28"/>
          <w:bdr w:val="single" w:color="auto" w:sz="4" w:space="0"/>
        </w:rPr>
      </w:pPr>
      <w:bookmarkStart w:id="67" w:name="bookmark196"/>
      <w:r>
        <w:rPr>
          <w:rFonts w:hint="eastAsia" w:ascii="仿宋" w:hAnsi="仿宋" w:eastAsia="仿宋" w:cs="仿宋"/>
          <w:b/>
          <w:bCs/>
          <w:color w:val="auto"/>
          <w:sz w:val="28"/>
          <w:szCs w:val="28"/>
          <w:bdr w:val="single" w:color="auto" w:sz="4" w:space="0"/>
        </w:rPr>
        <w:t>正/副 本</w:t>
      </w:r>
    </w:p>
    <w:p w14:paraId="4EA47BE0">
      <w:pPr>
        <w:adjustRightInd w:val="0"/>
        <w:snapToGrid w:val="0"/>
        <w:spacing w:line="360" w:lineRule="auto"/>
        <w:jc w:val="center"/>
        <w:rPr>
          <w:rFonts w:ascii="仿宋" w:hAnsi="仿宋" w:eastAsia="仿宋" w:cs="仿宋"/>
          <w:b/>
          <w:caps/>
          <w:color w:val="auto"/>
        </w:rPr>
      </w:pPr>
    </w:p>
    <w:p w14:paraId="783EF2F4">
      <w:pPr>
        <w:adjustRightInd w:val="0"/>
        <w:snapToGrid w:val="0"/>
        <w:spacing w:line="360" w:lineRule="auto"/>
        <w:jc w:val="center"/>
        <w:rPr>
          <w:rFonts w:ascii="仿宋" w:hAnsi="仿宋" w:eastAsia="仿宋" w:cs="仿宋"/>
          <w:bCs/>
          <w:color w:val="auto"/>
          <w:sz w:val="32"/>
          <w:szCs w:val="32"/>
        </w:rPr>
      </w:pPr>
      <w:r>
        <w:rPr>
          <w:rFonts w:hint="eastAsia" w:ascii="仿宋" w:hAnsi="仿宋" w:eastAsia="仿宋" w:cs="仿宋"/>
          <w:b/>
          <w:caps/>
          <w:color w:val="auto"/>
          <w:sz w:val="32"/>
          <w:szCs w:val="32"/>
        </w:rPr>
        <w:t>（项目名称）</w:t>
      </w:r>
    </w:p>
    <w:p w14:paraId="3554A32D">
      <w:pPr>
        <w:adjustRightInd w:val="0"/>
        <w:snapToGrid w:val="0"/>
        <w:spacing w:line="360" w:lineRule="auto"/>
        <w:jc w:val="both"/>
        <w:rPr>
          <w:rFonts w:ascii="仿宋" w:hAnsi="仿宋" w:eastAsia="仿宋" w:cs="仿宋"/>
          <w:bCs/>
          <w:color w:val="auto"/>
          <w:sz w:val="32"/>
          <w:szCs w:val="32"/>
        </w:rPr>
      </w:pPr>
    </w:p>
    <w:p w14:paraId="4DEF1A75">
      <w:pPr>
        <w:adjustRightInd w:val="0"/>
        <w:snapToGrid w:val="0"/>
        <w:spacing w:line="360" w:lineRule="auto"/>
        <w:jc w:val="center"/>
        <w:rPr>
          <w:rFonts w:ascii="仿宋" w:hAnsi="仿宋" w:eastAsia="仿宋" w:cs="仿宋"/>
          <w:bCs/>
          <w:color w:val="auto"/>
          <w:sz w:val="32"/>
          <w:szCs w:val="32"/>
        </w:rPr>
      </w:pPr>
    </w:p>
    <w:p w14:paraId="4CD33C17">
      <w:pPr>
        <w:adjustRightInd w:val="0"/>
        <w:snapToGrid w:val="0"/>
        <w:spacing w:line="360" w:lineRule="auto"/>
        <w:jc w:val="center"/>
        <w:rPr>
          <w:rFonts w:ascii="仿宋" w:hAnsi="仿宋" w:eastAsia="仿宋" w:cs="仿宋"/>
          <w:bCs/>
          <w:color w:val="auto"/>
          <w:sz w:val="32"/>
          <w:szCs w:val="32"/>
        </w:rPr>
      </w:pPr>
      <w:r>
        <w:rPr>
          <w:rFonts w:hint="eastAsia" w:ascii="仿宋" w:hAnsi="仿宋" w:eastAsia="仿宋" w:cs="仿宋"/>
          <w:b/>
          <w:bCs/>
          <w:color w:val="auto"/>
          <w:sz w:val="44"/>
          <w:szCs w:val="44"/>
        </w:rPr>
        <w:t>响应文件</w:t>
      </w:r>
    </w:p>
    <w:p w14:paraId="64A4CC48">
      <w:pPr>
        <w:adjustRightInd w:val="0"/>
        <w:snapToGrid w:val="0"/>
        <w:spacing w:line="360" w:lineRule="auto"/>
        <w:jc w:val="center"/>
        <w:rPr>
          <w:rFonts w:ascii="仿宋" w:hAnsi="仿宋" w:eastAsia="仿宋" w:cs="仿宋"/>
          <w:bCs/>
          <w:color w:val="auto"/>
          <w:sz w:val="32"/>
          <w:szCs w:val="32"/>
        </w:rPr>
      </w:pPr>
    </w:p>
    <w:p w14:paraId="2E827AB0">
      <w:pPr>
        <w:adjustRightInd w:val="0"/>
        <w:snapToGrid w:val="0"/>
        <w:spacing w:line="360" w:lineRule="auto"/>
        <w:jc w:val="both"/>
        <w:rPr>
          <w:rFonts w:ascii="仿宋" w:hAnsi="仿宋" w:eastAsia="仿宋" w:cs="仿宋"/>
          <w:bCs/>
          <w:color w:val="auto"/>
          <w:sz w:val="32"/>
          <w:szCs w:val="32"/>
        </w:rPr>
      </w:pPr>
    </w:p>
    <w:p w14:paraId="2F5583E8">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0"/>
          <w:kern w:val="0"/>
          <w:sz w:val="28"/>
          <w:szCs w:val="28"/>
          <w:fitText w:val="2810" w:id="202655923"/>
        </w:rPr>
        <w:t>供应商名称（公章）：</w:t>
      </w:r>
    </w:p>
    <w:p w14:paraId="772DC12C">
      <w:pPr>
        <w:adjustRightInd w:val="0"/>
        <w:snapToGrid w:val="0"/>
        <w:spacing w:line="360" w:lineRule="auto"/>
        <w:ind w:right="-156" w:rightChars="-64"/>
        <w:rPr>
          <w:rFonts w:ascii="仿宋" w:hAnsi="仿宋" w:eastAsia="仿宋" w:cs="仿宋"/>
          <w:b/>
          <w:caps/>
          <w:color w:val="auto"/>
          <w:sz w:val="28"/>
          <w:szCs w:val="28"/>
        </w:rPr>
      </w:pPr>
    </w:p>
    <w:p w14:paraId="59F3DBEE">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0"/>
          <w:w w:val="77"/>
          <w:kern w:val="0"/>
          <w:sz w:val="28"/>
          <w:szCs w:val="28"/>
          <w:fitText w:val="2810" w:id="1"/>
        </w:rPr>
        <w:t>法定代表人（</w:t>
      </w:r>
      <w:r>
        <w:rPr>
          <w:rFonts w:hint="eastAsia" w:ascii="仿宋" w:hAnsi="仿宋" w:eastAsia="仿宋" w:cs="仿宋"/>
          <w:b/>
          <w:caps/>
          <w:color w:val="auto"/>
          <w:spacing w:val="0"/>
          <w:w w:val="77"/>
          <w:kern w:val="0"/>
          <w:sz w:val="28"/>
          <w:szCs w:val="28"/>
          <w:fitText w:val="2810" w:id="1"/>
          <w:lang w:eastAsia="zh-CN"/>
        </w:rPr>
        <w:t>签章</w:t>
      </w:r>
      <w:r>
        <w:rPr>
          <w:rFonts w:hint="eastAsia" w:ascii="仿宋" w:hAnsi="仿宋" w:eastAsia="仿宋" w:cs="仿宋"/>
          <w:b/>
          <w:caps/>
          <w:color w:val="auto"/>
          <w:spacing w:val="0"/>
          <w:w w:val="77"/>
          <w:kern w:val="0"/>
          <w:sz w:val="28"/>
          <w:szCs w:val="28"/>
          <w:fitText w:val="2810" w:id="1"/>
        </w:rPr>
        <w:t>或盖章）</w:t>
      </w:r>
      <w:r>
        <w:rPr>
          <w:rFonts w:hint="eastAsia" w:ascii="仿宋" w:hAnsi="仿宋" w:eastAsia="仿宋" w:cs="仿宋"/>
          <w:b/>
          <w:caps/>
          <w:color w:val="auto"/>
          <w:spacing w:val="-1"/>
          <w:w w:val="77"/>
          <w:kern w:val="0"/>
          <w:sz w:val="28"/>
          <w:szCs w:val="28"/>
          <w:fitText w:val="2810" w:id="1"/>
        </w:rPr>
        <w:t>：</w:t>
      </w:r>
    </w:p>
    <w:p w14:paraId="3558E587">
      <w:pPr>
        <w:adjustRightInd w:val="0"/>
        <w:snapToGrid w:val="0"/>
        <w:spacing w:line="360" w:lineRule="auto"/>
        <w:ind w:right="-156" w:rightChars="-64"/>
        <w:rPr>
          <w:rFonts w:ascii="仿宋" w:hAnsi="仿宋" w:eastAsia="仿宋" w:cs="仿宋"/>
          <w:b/>
          <w:caps/>
          <w:color w:val="auto"/>
          <w:sz w:val="28"/>
          <w:szCs w:val="28"/>
        </w:rPr>
      </w:pPr>
    </w:p>
    <w:p w14:paraId="39581D0A">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113"/>
          <w:kern w:val="0"/>
          <w:sz w:val="28"/>
          <w:szCs w:val="28"/>
          <w:fitText w:val="2810" w:id="2"/>
        </w:rPr>
        <w:t>供应商地址</w:t>
      </w:r>
      <w:r>
        <w:rPr>
          <w:rFonts w:hint="eastAsia" w:ascii="仿宋" w:hAnsi="仿宋" w:eastAsia="仿宋" w:cs="仿宋"/>
          <w:b/>
          <w:caps/>
          <w:color w:val="auto"/>
          <w:spacing w:val="0"/>
          <w:kern w:val="0"/>
          <w:sz w:val="28"/>
          <w:szCs w:val="28"/>
          <w:fitText w:val="2810" w:id="2"/>
        </w:rPr>
        <w:t>：</w:t>
      </w:r>
    </w:p>
    <w:p w14:paraId="754F6C13">
      <w:pPr>
        <w:adjustRightInd w:val="0"/>
        <w:snapToGrid w:val="0"/>
        <w:spacing w:line="360" w:lineRule="auto"/>
        <w:ind w:right="-156" w:rightChars="-64"/>
        <w:rPr>
          <w:rFonts w:ascii="仿宋" w:hAnsi="仿宋" w:eastAsia="仿宋" w:cs="仿宋"/>
          <w:b/>
          <w:caps/>
          <w:color w:val="auto"/>
          <w:sz w:val="28"/>
          <w:szCs w:val="28"/>
        </w:rPr>
      </w:pPr>
    </w:p>
    <w:p w14:paraId="62103F84">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281"/>
          <w:kern w:val="0"/>
          <w:sz w:val="28"/>
          <w:szCs w:val="28"/>
          <w:fitText w:val="2810" w:id="3"/>
        </w:rPr>
        <w:t>联系人</w:t>
      </w:r>
      <w:r>
        <w:rPr>
          <w:rFonts w:hint="eastAsia" w:ascii="仿宋" w:hAnsi="仿宋" w:eastAsia="仿宋" w:cs="仿宋"/>
          <w:b/>
          <w:caps/>
          <w:color w:val="auto"/>
          <w:spacing w:val="2"/>
          <w:kern w:val="0"/>
          <w:sz w:val="28"/>
          <w:szCs w:val="28"/>
          <w:fitText w:val="2810" w:id="3"/>
        </w:rPr>
        <w:t>：</w:t>
      </w:r>
    </w:p>
    <w:p w14:paraId="41129FE9">
      <w:pPr>
        <w:adjustRightInd w:val="0"/>
        <w:snapToGrid w:val="0"/>
        <w:spacing w:line="360" w:lineRule="auto"/>
        <w:ind w:right="-156" w:rightChars="-64"/>
        <w:rPr>
          <w:rFonts w:ascii="仿宋" w:hAnsi="仿宋" w:eastAsia="仿宋" w:cs="仿宋"/>
          <w:b/>
          <w:caps/>
          <w:color w:val="auto"/>
          <w:sz w:val="28"/>
          <w:szCs w:val="28"/>
        </w:rPr>
      </w:pPr>
    </w:p>
    <w:p w14:paraId="2F386533">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176"/>
          <w:kern w:val="0"/>
          <w:sz w:val="28"/>
          <w:szCs w:val="28"/>
          <w:fitText w:val="2810" w:id="4"/>
        </w:rPr>
        <w:t>联系电话</w:t>
      </w:r>
      <w:r>
        <w:rPr>
          <w:rFonts w:hint="eastAsia" w:ascii="仿宋" w:hAnsi="仿宋" w:eastAsia="仿宋" w:cs="仿宋"/>
          <w:b/>
          <w:caps/>
          <w:color w:val="auto"/>
          <w:spacing w:val="1"/>
          <w:kern w:val="0"/>
          <w:sz w:val="28"/>
          <w:szCs w:val="28"/>
          <w:fitText w:val="2810" w:id="4"/>
        </w:rPr>
        <w:t>：</w:t>
      </w:r>
    </w:p>
    <w:p w14:paraId="7DC49C35">
      <w:pPr>
        <w:adjustRightInd w:val="0"/>
        <w:snapToGrid w:val="0"/>
        <w:spacing w:line="360" w:lineRule="auto"/>
        <w:jc w:val="center"/>
        <w:rPr>
          <w:rFonts w:ascii="仿宋" w:hAnsi="仿宋" w:eastAsia="仿宋" w:cs="仿宋"/>
          <w:b/>
          <w:caps/>
          <w:color w:val="auto"/>
          <w:sz w:val="28"/>
          <w:szCs w:val="28"/>
        </w:rPr>
      </w:pPr>
    </w:p>
    <w:p w14:paraId="19549B42">
      <w:pPr>
        <w:adjustRightInd w:val="0"/>
        <w:snapToGrid w:val="0"/>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_年__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_月__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_日</w:t>
      </w:r>
    </w:p>
    <w:p w14:paraId="772EC775">
      <w:pPr>
        <w:pStyle w:val="28"/>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rPr>
      </w:pPr>
    </w:p>
    <w:p w14:paraId="20703CE2">
      <w:pPr>
        <w:pStyle w:val="28"/>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rPr>
      </w:pPr>
    </w:p>
    <w:p w14:paraId="271D3882">
      <w:pPr>
        <w:pStyle w:val="28"/>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资格证明文件</w:t>
      </w:r>
    </w:p>
    <w:bookmarkEnd w:id="67"/>
    <w:p w14:paraId="48884D44">
      <w:pPr>
        <w:keepNext w:val="0"/>
        <w:keepLines w:val="0"/>
        <w:pageBreakBefore w:val="0"/>
        <w:widowControl w:val="0"/>
        <w:numPr>
          <w:ilvl w:val="0"/>
          <w:numId w:val="13"/>
        </w:numPr>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具备三证合一营业执照副本；</w:t>
      </w:r>
    </w:p>
    <w:p w14:paraId="23D0B75A">
      <w:pPr>
        <w:keepNext w:val="0"/>
        <w:keepLines w:val="0"/>
        <w:pageBreakBefore w:val="0"/>
        <w:widowControl w:val="0"/>
        <w:numPr>
          <w:ilvl w:val="0"/>
          <w:numId w:val="0"/>
        </w:numPr>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2、法定代表人资格证明书；</w:t>
      </w:r>
    </w:p>
    <w:p w14:paraId="1E09DD25">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3、法定代表人授权书；</w:t>
      </w:r>
    </w:p>
    <w:p w14:paraId="03320E9E">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4、</w:t>
      </w:r>
      <w:r>
        <w:rPr>
          <w:rFonts w:hint="eastAsia" w:ascii="仿宋" w:hAnsi="仿宋" w:eastAsia="仿宋" w:cs="仿宋"/>
          <w:b/>
          <w:color w:val="auto"/>
          <w:lang w:val="en-US" w:eastAsia="zh-CN"/>
        </w:rPr>
        <w:t>投标保证金缴纳凭证或投标担保函</w:t>
      </w:r>
      <w:r>
        <w:rPr>
          <w:rFonts w:hint="eastAsia" w:ascii="仿宋" w:hAnsi="仿宋" w:eastAsia="仿宋" w:cs="仿宋"/>
          <w:b/>
          <w:color w:val="auto"/>
          <w:lang w:eastAsia="zh-CN"/>
        </w:rPr>
        <w:t>；</w:t>
      </w:r>
    </w:p>
    <w:p w14:paraId="1B9BF942">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5、投标企业须提供投标人（被授权在职人员）近6个月内任意一个月有效的社保证明；</w:t>
      </w:r>
    </w:p>
    <w:p w14:paraId="35FFA7CA">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val="en-US" w:eastAsia="zh-CN"/>
        </w:rPr>
        <w:t>6</w:t>
      </w:r>
      <w:r>
        <w:rPr>
          <w:rFonts w:hint="eastAsia" w:ascii="仿宋" w:hAnsi="仿宋" w:eastAsia="仿宋" w:cs="仿宋"/>
          <w:b/>
          <w:color w:val="auto"/>
          <w:lang w:eastAsia="zh-CN"/>
        </w:rPr>
        <w:t>、</w:t>
      </w:r>
      <w:r>
        <w:rPr>
          <w:rFonts w:hint="eastAsia" w:ascii="仿宋" w:hAnsi="仿宋" w:eastAsia="仿宋" w:cs="仿宋"/>
          <w:b/>
          <w:color w:val="auto"/>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7EE4B32A">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val="en-US" w:eastAsia="zh-CN"/>
        </w:rPr>
        <w:t>7、</w:t>
      </w:r>
      <w:r>
        <w:rPr>
          <w:rFonts w:hint="eastAsia" w:ascii="仿宋" w:hAnsi="仿宋" w:eastAsia="仿宋" w:cs="仿宋"/>
          <w:b/>
          <w:color w:val="auto"/>
          <w:lang w:eastAsia="zh-CN"/>
        </w:rPr>
        <w:t xml:space="preserve">投标人须知资料表要求的其他资格证明文件; </w:t>
      </w:r>
    </w:p>
    <w:p w14:paraId="1F50ACEA">
      <w:pPr>
        <w:pStyle w:val="7"/>
        <w:keepNext w:val="0"/>
        <w:keepLines w:val="0"/>
        <w:pageBreakBefore w:val="0"/>
        <w:widowControl w:val="0"/>
        <w:numPr>
          <w:ilvl w:val="0"/>
          <w:numId w:val="0"/>
        </w:numPr>
        <w:tabs>
          <w:tab w:val="clear" w:pos="780"/>
        </w:tabs>
        <w:kinsoku w:val="0"/>
        <w:wordWrap/>
        <w:overflowPunct w:val="0"/>
        <w:topLinePunct w:val="0"/>
        <w:autoSpaceDE/>
        <w:autoSpaceDN/>
        <w:bidi w:val="0"/>
        <w:adjustRightInd/>
        <w:spacing w:before="130" w:line="480" w:lineRule="auto"/>
        <w:ind w:left="480" w:right="7"/>
        <w:jc w:val="both"/>
        <w:textAlignment w:val="auto"/>
        <w:rPr>
          <w:rFonts w:hint="eastAsia" w:ascii="仿宋" w:hAnsi="仿宋" w:eastAsia="仿宋" w:cs="仿宋"/>
          <w:b/>
          <w:bCs/>
          <w:color w:val="auto"/>
          <w:sz w:val="36"/>
          <w:szCs w:val="36"/>
        </w:rPr>
      </w:pPr>
    </w:p>
    <w:p w14:paraId="6F898B8A">
      <w:pPr>
        <w:pStyle w:val="16"/>
        <w:numPr>
          <w:ilvl w:val="0"/>
          <w:numId w:val="0"/>
        </w:numPr>
        <w:tabs>
          <w:tab w:val="clear" w:pos="780"/>
        </w:tabs>
        <w:ind w:leftChars="100"/>
        <w:rPr>
          <w:rFonts w:hint="eastAsia"/>
          <w:color w:val="auto"/>
        </w:rPr>
      </w:pPr>
    </w:p>
    <w:p w14:paraId="4C8EE427">
      <w:pPr>
        <w:rPr>
          <w:rFonts w:hint="eastAsia"/>
          <w:color w:val="auto"/>
        </w:rPr>
      </w:pPr>
    </w:p>
    <w:p w14:paraId="4B3258AE">
      <w:pPr>
        <w:pStyle w:val="12"/>
        <w:rPr>
          <w:rFonts w:hint="eastAsia"/>
          <w:color w:val="auto"/>
        </w:rPr>
      </w:pPr>
    </w:p>
    <w:p w14:paraId="6041DA1B">
      <w:pPr>
        <w:rPr>
          <w:rFonts w:hint="eastAsia" w:ascii="仿宋" w:hAnsi="仿宋" w:eastAsia="仿宋" w:cs="仿宋"/>
          <w:b/>
          <w:bCs/>
          <w:color w:val="auto"/>
          <w:sz w:val="36"/>
          <w:szCs w:val="36"/>
        </w:rPr>
      </w:pPr>
    </w:p>
    <w:p w14:paraId="70CEA4DC">
      <w:pPr>
        <w:pStyle w:val="12"/>
        <w:rPr>
          <w:rFonts w:hint="eastAsia"/>
          <w:color w:val="auto"/>
        </w:rPr>
      </w:pPr>
    </w:p>
    <w:p w14:paraId="3DFC9940">
      <w:pPr>
        <w:pStyle w:val="7"/>
        <w:numPr>
          <w:ilvl w:val="0"/>
          <w:numId w:val="0"/>
        </w:numPr>
        <w:tabs>
          <w:tab w:val="clear" w:pos="780"/>
        </w:tabs>
        <w:kinsoku w:val="0"/>
        <w:overflowPunct w:val="0"/>
        <w:spacing w:before="130" w:line="355" w:lineRule="auto"/>
        <w:ind w:left="480" w:right="7"/>
        <w:jc w:val="center"/>
        <w:rPr>
          <w:rFonts w:hint="eastAsia" w:ascii="仿宋" w:hAnsi="仿宋" w:eastAsia="仿宋" w:cs="仿宋"/>
          <w:b/>
          <w:bCs/>
          <w:color w:val="auto"/>
          <w:sz w:val="36"/>
          <w:szCs w:val="36"/>
        </w:rPr>
      </w:pPr>
    </w:p>
    <w:p w14:paraId="61825EFC">
      <w:pPr>
        <w:pStyle w:val="7"/>
        <w:numPr>
          <w:ilvl w:val="0"/>
          <w:numId w:val="0"/>
        </w:numPr>
        <w:tabs>
          <w:tab w:val="clear" w:pos="780"/>
        </w:tabs>
        <w:kinsoku w:val="0"/>
        <w:overflowPunct w:val="0"/>
        <w:spacing w:before="130" w:line="355" w:lineRule="auto"/>
        <w:ind w:left="480" w:right="7"/>
        <w:jc w:val="center"/>
        <w:rPr>
          <w:rFonts w:hint="eastAsia" w:ascii="仿宋" w:hAnsi="仿宋" w:eastAsia="仿宋" w:cs="仿宋"/>
          <w:b/>
          <w:bCs/>
          <w:color w:val="auto"/>
          <w:sz w:val="36"/>
          <w:szCs w:val="36"/>
        </w:rPr>
      </w:pPr>
    </w:p>
    <w:p w14:paraId="72DCCD15">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74FE0769">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1A35C17A">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3C96DE7D">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4F9588FE">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5020ADAC">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36"/>
          <w:szCs w:val="36"/>
          <w:lang w:val="en-US" w:eastAsia="zh-CN"/>
        </w:rPr>
      </w:pPr>
    </w:p>
    <w:p w14:paraId="0CE1D468">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1、 具备三证合一营业执照副本；</w:t>
      </w:r>
    </w:p>
    <w:p w14:paraId="74D5AF20">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jc w:val="center"/>
        <w:rPr>
          <w:rFonts w:hint="eastAsia" w:ascii="仿宋" w:hAnsi="仿宋" w:eastAsia="仿宋" w:cs="仿宋"/>
          <w:b/>
          <w:color w:val="auto"/>
          <w:sz w:val="24"/>
          <w:highlight w:val="none"/>
        </w:rPr>
      </w:pPr>
    </w:p>
    <w:p w14:paraId="407678F7">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4"/>
          <w:highlight w:val="none"/>
        </w:rPr>
      </w:pPr>
    </w:p>
    <w:p w14:paraId="265BD4B4">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4"/>
          <w:highlight w:val="none"/>
        </w:rPr>
      </w:pPr>
    </w:p>
    <w:p w14:paraId="5B83D6CB">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说明：提供有效的营业执照等证明文件复印件，复印件上应加盖本单位章。</w:t>
      </w:r>
    </w:p>
    <w:p w14:paraId="10427E60">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F109775">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6212AEC9">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6890908">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FBC5C11">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9A6B9F6">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36860E7C">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9DE84AA">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63F3806C">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40EB31F2">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9C6D932">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67FA1D6">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5EA07B32">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309A57D3">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759FDEF3">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594391F2">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E072E25">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0836E898">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7588FA8C">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8D8AB78">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2F292C1">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776ACC1">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44CC3BC">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36"/>
          <w:szCs w:val="36"/>
          <w:lang w:val="en-US" w:eastAsia="zh-CN"/>
        </w:rPr>
      </w:pPr>
    </w:p>
    <w:p w14:paraId="20E20173">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2、</w:t>
      </w:r>
      <w:r>
        <w:rPr>
          <w:rFonts w:hint="eastAsia" w:ascii="仿宋" w:hAnsi="仿宋" w:eastAsia="仿宋" w:cs="仿宋"/>
          <w:b/>
          <w:bCs/>
          <w:color w:val="auto"/>
          <w:sz w:val="36"/>
          <w:szCs w:val="36"/>
        </w:rPr>
        <w:t>法定代表人身份证明</w:t>
      </w:r>
    </w:p>
    <w:p w14:paraId="16F80E01">
      <w:pPr>
        <w:pStyle w:val="4"/>
        <w:rPr>
          <w:rFonts w:hint="eastAsia"/>
          <w:color w:val="auto"/>
        </w:rPr>
      </w:pPr>
    </w:p>
    <w:p w14:paraId="45EED6D6">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投标单位名称：</w:t>
      </w:r>
      <w:r>
        <w:rPr>
          <w:rFonts w:hint="eastAsia" w:ascii="仿宋" w:hAnsi="仿宋" w:eastAsia="仿宋" w:cs="仿宋"/>
          <w:color w:val="auto"/>
          <w:kern w:val="0"/>
          <w:sz w:val="24"/>
          <w:u w:val="single"/>
        </w:rPr>
        <w:t xml:space="preserve">                       </w:t>
      </w:r>
    </w:p>
    <w:p w14:paraId="516C81C1">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单位性质：</w:t>
      </w:r>
      <w:r>
        <w:rPr>
          <w:rFonts w:hint="eastAsia" w:ascii="仿宋" w:hAnsi="仿宋" w:eastAsia="仿宋" w:cs="仿宋"/>
          <w:color w:val="auto"/>
          <w:kern w:val="0"/>
          <w:sz w:val="24"/>
          <w:u w:val="single"/>
        </w:rPr>
        <w:t xml:space="preserve">                           </w:t>
      </w:r>
    </w:p>
    <w:p w14:paraId="49EDB9FF">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地址：</w:t>
      </w:r>
      <w:r>
        <w:rPr>
          <w:rFonts w:hint="eastAsia" w:ascii="仿宋" w:hAnsi="仿宋" w:eastAsia="仿宋" w:cs="仿宋"/>
          <w:color w:val="auto"/>
          <w:kern w:val="0"/>
          <w:sz w:val="24"/>
          <w:u w:val="single"/>
        </w:rPr>
        <w:t xml:space="preserve">                               </w:t>
      </w:r>
    </w:p>
    <w:p w14:paraId="54B26868">
      <w:pPr>
        <w:spacing w:line="42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成立时间：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14:paraId="0DDFBBFD">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经营期限：</w:t>
      </w:r>
      <w:r>
        <w:rPr>
          <w:rFonts w:hint="eastAsia" w:ascii="仿宋" w:hAnsi="仿宋" w:eastAsia="仿宋" w:cs="仿宋"/>
          <w:color w:val="auto"/>
          <w:kern w:val="0"/>
          <w:sz w:val="24"/>
          <w:u w:val="single"/>
        </w:rPr>
        <w:t xml:space="preserve">             </w:t>
      </w:r>
    </w:p>
    <w:p w14:paraId="17960422">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性别：</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年龄：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职务：</w:t>
      </w:r>
      <w:r>
        <w:rPr>
          <w:rFonts w:hint="eastAsia" w:ascii="仿宋" w:hAnsi="仿宋" w:eastAsia="仿宋" w:cs="仿宋"/>
          <w:color w:val="auto"/>
          <w:kern w:val="0"/>
          <w:sz w:val="24"/>
          <w:u w:val="single"/>
        </w:rPr>
        <w:t xml:space="preserve">           </w:t>
      </w:r>
    </w:p>
    <w:p w14:paraId="01436468">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身份证号码：</w:t>
      </w:r>
      <w:r>
        <w:rPr>
          <w:rFonts w:hint="eastAsia" w:ascii="仿宋" w:hAnsi="仿宋" w:eastAsia="仿宋" w:cs="仿宋"/>
          <w:color w:val="auto"/>
          <w:kern w:val="0"/>
          <w:sz w:val="24"/>
          <w:u w:val="single"/>
        </w:rPr>
        <w:t xml:space="preserve">                                  </w:t>
      </w:r>
    </w:p>
    <w:p w14:paraId="53FE7A55">
      <w:pPr>
        <w:spacing w:line="42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系</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（投标单位名称）的法定代表人。</w:t>
      </w:r>
    </w:p>
    <w:p w14:paraId="69645B57">
      <w:pPr>
        <w:spacing w:line="420" w:lineRule="exact"/>
        <w:ind w:firstLine="980" w:firstLineChars="400"/>
        <w:rPr>
          <w:rFonts w:hint="eastAsia" w:ascii="仿宋" w:hAnsi="仿宋" w:eastAsia="仿宋" w:cs="仿宋"/>
          <w:color w:val="auto"/>
          <w:kern w:val="0"/>
          <w:sz w:val="24"/>
        </w:rPr>
      </w:pPr>
      <w:r>
        <w:rPr>
          <w:rFonts w:hint="eastAsia" w:ascii="仿宋" w:hAnsi="仿宋" w:eastAsia="仿宋" w:cs="仿宋"/>
          <w:color w:val="auto"/>
          <w:kern w:val="0"/>
          <w:sz w:val="24"/>
        </w:rPr>
        <w:t>特此证明。</w:t>
      </w:r>
    </w:p>
    <w:p w14:paraId="1A5443BE">
      <w:pPr>
        <w:pStyle w:val="7"/>
        <w:numPr>
          <w:ilvl w:val="0"/>
          <w:numId w:val="0"/>
        </w:numPr>
        <w:kinsoku w:val="0"/>
        <w:overflowPunct w:val="0"/>
        <w:ind w:leftChars="0" w:right="0" w:rightChars="0"/>
        <w:rPr>
          <w:rFonts w:hint="eastAsia" w:ascii="仿宋" w:hAnsi="仿宋" w:eastAsia="仿宋" w:cs="仿宋"/>
          <w:color w:val="auto"/>
          <w:sz w:val="20"/>
          <w:szCs w:val="20"/>
        </w:rPr>
      </w:pPr>
    </w:p>
    <w:p w14:paraId="3F481026">
      <w:pPr>
        <w:pStyle w:val="7"/>
        <w:numPr>
          <w:ilvl w:val="0"/>
          <w:numId w:val="0"/>
        </w:numPr>
        <w:kinsoku w:val="0"/>
        <w:overflowPunct w:val="0"/>
        <w:spacing w:before="7"/>
        <w:ind w:leftChars="0" w:right="0" w:rightChars="0"/>
        <w:rPr>
          <w:rFonts w:hint="eastAsia" w:ascii="仿宋" w:hAnsi="仿宋" w:eastAsia="仿宋" w:cs="仿宋"/>
          <w:color w:val="auto"/>
          <w:sz w:val="25"/>
          <w:szCs w:val="25"/>
        </w:rPr>
      </w:pPr>
    </w:p>
    <w:p w14:paraId="52340458">
      <w:pPr>
        <w:pStyle w:val="7"/>
        <w:numPr>
          <w:ilvl w:val="0"/>
          <w:numId w:val="0"/>
        </w:numPr>
        <w:kinsoku w:val="0"/>
        <w:overflowPunct w:val="0"/>
        <w:spacing w:line="200" w:lineRule="atLeast"/>
        <w:ind w:right="0" w:rightChars="0"/>
        <w:rPr>
          <w:rFonts w:hint="eastAsia" w:ascii="仿宋" w:hAnsi="仿宋" w:eastAsia="仿宋" w:cs="仿宋"/>
          <w:color w:val="auto"/>
          <w:sz w:val="20"/>
          <w:szCs w:val="20"/>
        </w:rPr>
      </w:pPr>
      <w:r>
        <w:rPr>
          <w:rFonts w:hint="eastAsia" w:ascii="仿宋" w:hAnsi="仿宋" w:eastAsia="仿宋" w:cs="仿宋"/>
          <w:color w:val="auto"/>
          <w:sz w:val="20"/>
          <w:szCs w:val="20"/>
        </w:rPr>
        <mc:AlternateContent>
          <mc:Choice Requires="wpg">
            <w:drawing>
              <wp:inline distT="0" distB="0" distL="0" distR="0">
                <wp:extent cx="5231765" cy="1461770"/>
                <wp:effectExtent l="0" t="3175" r="26670" b="1905"/>
                <wp:docPr id="39" name="组合 34"/>
                <wp:cNvGraphicFramePr/>
                <a:graphic xmlns:a="http://schemas.openxmlformats.org/drawingml/2006/main">
                  <a:graphicData uri="http://schemas.microsoft.com/office/word/2010/wordprocessingGroup">
                    <wpg:wgp>
                      <wpg:cNvGrpSpPr/>
                      <wpg:grpSpPr>
                        <a:xfrm rot="0">
                          <a:off x="0" y="0"/>
                          <a:ext cx="5231765" cy="1461770"/>
                          <a:chOff x="4" y="4"/>
                          <a:chExt cx="8239" cy="2302"/>
                        </a:xfrm>
                      </wpg:grpSpPr>
                      <wps:wsp>
                        <wps:cNvPr id="1" name="任意多边形 1"/>
                        <wps:cNvSpPr/>
                        <wps:spPr>
                          <a:xfrm>
                            <a:off x="4" y="9"/>
                            <a:ext cx="8079" cy="20"/>
                          </a:xfrm>
                          <a:custGeom>
                            <a:avLst/>
                            <a:gdLst/>
                            <a:ahLst/>
                            <a:cxnLst/>
                            <a:rect l="l" t="t" r="r" b="b"/>
                            <a:pathLst>
                              <a:path w="8079" h="20">
                                <a:moveTo>
                                  <a:pt x="0" y="0"/>
                                </a:moveTo>
                                <a:lnTo>
                                  <a:pt x="8078" y="0"/>
                                </a:lnTo>
                              </a:path>
                            </a:pathLst>
                          </a:custGeom>
                          <a:solidFill>
                            <a:srgbClr val="CCE8CF"/>
                          </a:solidFill>
                          <a:ln>
                            <a:noFill/>
                          </a:ln>
                        </wps:spPr>
                        <wps:bodyPr/>
                      </wps:wsp>
                      <wps:wsp>
                        <wps:cNvPr id="2" name="任意多边形 2"/>
                        <wps:cNvSpPr/>
                        <wps:spPr>
                          <a:xfrm>
                            <a:off x="24" y="28"/>
                            <a:ext cx="8041" cy="20"/>
                          </a:xfrm>
                          <a:custGeom>
                            <a:avLst/>
                            <a:gdLst/>
                            <a:ahLst/>
                            <a:cxnLst/>
                            <a:rect l="l" t="t" r="r" b="b"/>
                            <a:pathLst>
                              <a:path w="8041" h="20">
                                <a:moveTo>
                                  <a:pt x="0" y="0"/>
                                </a:moveTo>
                                <a:lnTo>
                                  <a:pt x="8040" y="0"/>
                                </a:lnTo>
                              </a:path>
                            </a:pathLst>
                          </a:custGeom>
                          <a:solidFill>
                            <a:srgbClr val="CCE8CF"/>
                          </a:solidFill>
                          <a:ln>
                            <a:noFill/>
                          </a:ln>
                        </wps:spPr>
                        <wps:bodyPr/>
                      </wps:wsp>
                      <wps:wsp>
                        <wps:cNvPr id="3" name="任意多边形 3"/>
                        <wps:cNvSpPr/>
                        <wps:spPr>
                          <a:xfrm>
                            <a:off x="24" y="2267"/>
                            <a:ext cx="8041" cy="20"/>
                          </a:xfrm>
                          <a:custGeom>
                            <a:avLst/>
                            <a:gdLst/>
                            <a:ahLst/>
                            <a:cxnLst/>
                            <a:rect l="l" t="t" r="r" b="b"/>
                            <a:pathLst>
                              <a:path w="8041" h="20">
                                <a:moveTo>
                                  <a:pt x="0" y="0"/>
                                </a:moveTo>
                                <a:lnTo>
                                  <a:pt x="8040" y="0"/>
                                </a:lnTo>
                              </a:path>
                            </a:pathLst>
                          </a:custGeom>
                          <a:solidFill>
                            <a:srgbClr val="CCE8CF"/>
                          </a:solidFill>
                          <a:ln>
                            <a:noFill/>
                          </a:ln>
                        </wps:spPr>
                        <wps:bodyPr/>
                      </wps:wsp>
                      <wps:wsp>
                        <wps:cNvPr id="4" name="任意多边形 4"/>
                        <wps:cNvSpPr/>
                        <wps:spPr>
                          <a:xfrm>
                            <a:off x="4" y="2286"/>
                            <a:ext cx="8079" cy="20"/>
                          </a:xfrm>
                          <a:custGeom>
                            <a:avLst/>
                            <a:gdLst/>
                            <a:ahLst/>
                            <a:cxnLst/>
                            <a:rect l="l" t="t" r="r" b="b"/>
                            <a:pathLst>
                              <a:path w="8079" h="20">
                                <a:moveTo>
                                  <a:pt x="0" y="0"/>
                                </a:moveTo>
                                <a:lnTo>
                                  <a:pt x="8078" y="0"/>
                                </a:lnTo>
                              </a:path>
                            </a:pathLst>
                          </a:custGeom>
                          <a:solidFill>
                            <a:srgbClr val="CCE8CF"/>
                          </a:solidFill>
                          <a:ln>
                            <a:noFill/>
                          </a:ln>
                        </wps:spPr>
                        <wps:bodyPr/>
                      </wps:wsp>
                      <wps:wsp>
                        <wps:cNvPr id="5" name="任意多边形 5"/>
                        <wps:cNvSpPr/>
                        <wps:spPr>
                          <a:xfrm>
                            <a:off x="9" y="4"/>
                            <a:ext cx="20" cy="2287"/>
                          </a:xfrm>
                          <a:custGeom>
                            <a:avLst/>
                            <a:gdLst/>
                            <a:ahLst/>
                            <a:cxnLst/>
                            <a:rect l="l" t="t" r="r" b="b"/>
                            <a:pathLst>
                              <a:path w="20" h="2287">
                                <a:moveTo>
                                  <a:pt x="0" y="0"/>
                                </a:moveTo>
                                <a:lnTo>
                                  <a:pt x="0" y="2286"/>
                                </a:lnTo>
                              </a:path>
                            </a:pathLst>
                          </a:custGeom>
                          <a:solidFill>
                            <a:srgbClr val="CCE8CF"/>
                          </a:solidFill>
                          <a:ln>
                            <a:noFill/>
                          </a:ln>
                        </wps:spPr>
                        <wps:bodyPr/>
                      </wps:wsp>
                      <wps:wsp>
                        <wps:cNvPr id="6" name="任意多边形 6"/>
                        <wps:cNvSpPr/>
                        <wps:spPr>
                          <a:xfrm>
                            <a:off x="28" y="24"/>
                            <a:ext cx="20" cy="2249"/>
                          </a:xfrm>
                          <a:custGeom>
                            <a:avLst/>
                            <a:gdLst/>
                            <a:ahLst/>
                            <a:cxnLst/>
                            <a:rect l="l" t="t" r="r" b="b"/>
                            <a:pathLst>
                              <a:path w="20" h="2249">
                                <a:moveTo>
                                  <a:pt x="0" y="0"/>
                                </a:moveTo>
                                <a:lnTo>
                                  <a:pt x="0" y="2248"/>
                                </a:lnTo>
                              </a:path>
                            </a:pathLst>
                          </a:custGeom>
                          <a:solidFill>
                            <a:srgbClr val="CCE8CF"/>
                          </a:solidFill>
                          <a:ln>
                            <a:noFill/>
                          </a:ln>
                        </wps:spPr>
                        <wps:bodyPr/>
                      </wps:wsp>
                      <wps:wsp>
                        <wps:cNvPr id="7" name="任意多边形 7"/>
                        <wps:cNvSpPr/>
                        <wps:spPr>
                          <a:xfrm>
                            <a:off x="4034" y="24"/>
                            <a:ext cx="20" cy="2239"/>
                          </a:xfrm>
                          <a:custGeom>
                            <a:avLst/>
                            <a:gdLst/>
                            <a:ahLst/>
                            <a:cxnLst/>
                            <a:rect l="l" t="t" r="r" b="b"/>
                            <a:pathLst>
                              <a:path w="20" h="2239">
                                <a:moveTo>
                                  <a:pt x="0" y="0"/>
                                </a:moveTo>
                                <a:lnTo>
                                  <a:pt x="0" y="2238"/>
                                </a:lnTo>
                              </a:path>
                            </a:pathLst>
                          </a:custGeom>
                          <a:solidFill>
                            <a:srgbClr val="CCE8CF"/>
                          </a:solidFill>
                          <a:ln>
                            <a:noFill/>
                          </a:ln>
                        </wps:spPr>
                        <wps:bodyPr/>
                      </wps:wsp>
                      <wps:wsp>
                        <wps:cNvPr id="8" name="任意多边形 8"/>
                        <wps:cNvSpPr/>
                        <wps:spPr>
                          <a:xfrm>
                            <a:off x="4053" y="24"/>
                            <a:ext cx="20" cy="2239"/>
                          </a:xfrm>
                          <a:custGeom>
                            <a:avLst/>
                            <a:gdLst/>
                            <a:ahLst/>
                            <a:cxnLst/>
                            <a:rect l="l" t="t" r="r" b="b"/>
                            <a:pathLst>
                              <a:path w="20" h="2239">
                                <a:moveTo>
                                  <a:pt x="0" y="0"/>
                                </a:moveTo>
                                <a:lnTo>
                                  <a:pt x="0" y="2238"/>
                                </a:lnTo>
                              </a:path>
                            </a:pathLst>
                          </a:custGeom>
                          <a:solidFill>
                            <a:srgbClr val="CCE8CF"/>
                          </a:solidFill>
                          <a:ln>
                            <a:noFill/>
                          </a:ln>
                        </wps:spPr>
                        <wps:bodyPr/>
                      </wps:wsp>
                      <wps:wsp>
                        <wps:cNvPr id="9" name="任意多边形 9"/>
                        <wps:cNvSpPr/>
                        <wps:spPr>
                          <a:xfrm>
                            <a:off x="8059" y="33"/>
                            <a:ext cx="20" cy="2239"/>
                          </a:xfrm>
                          <a:custGeom>
                            <a:avLst/>
                            <a:gdLst/>
                            <a:ahLst/>
                            <a:cxnLst/>
                            <a:rect l="l" t="t" r="r" b="b"/>
                            <a:pathLst>
                              <a:path w="20" h="2239">
                                <a:moveTo>
                                  <a:pt x="0" y="0"/>
                                </a:moveTo>
                                <a:lnTo>
                                  <a:pt x="0" y="2238"/>
                                </a:lnTo>
                              </a:path>
                            </a:pathLst>
                          </a:custGeom>
                          <a:solidFill>
                            <a:srgbClr val="CCE8CF"/>
                          </a:solidFill>
                          <a:ln>
                            <a:noFill/>
                          </a:ln>
                        </wps:spPr>
                        <wps:bodyPr/>
                      </wps:wsp>
                      <wps:wsp>
                        <wps:cNvPr id="10" name="任意多边形 10"/>
                        <wps:cNvSpPr/>
                        <wps:spPr>
                          <a:xfrm>
                            <a:off x="8078" y="14"/>
                            <a:ext cx="20" cy="2278"/>
                          </a:xfrm>
                          <a:custGeom>
                            <a:avLst/>
                            <a:gdLst/>
                            <a:ahLst/>
                            <a:cxnLst/>
                            <a:rect l="l" t="t" r="r" b="b"/>
                            <a:pathLst>
                              <a:path w="20" h="2278">
                                <a:moveTo>
                                  <a:pt x="0" y="0"/>
                                </a:moveTo>
                                <a:lnTo>
                                  <a:pt x="0" y="2277"/>
                                </a:lnTo>
                              </a:path>
                            </a:pathLst>
                          </a:custGeom>
                          <a:solidFill>
                            <a:srgbClr val="CCE8CF"/>
                          </a:solidFill>
                          <a:ln>
                            <a:noFill/>
                          </a:ln>
                        </wps:spPr>
                        <wps:bodyPr/>
                      </wps:wsp>
                      <wps:wsp>
                        <wps:cNvPr id="11" name="矩形 11"/>
                        <wps:cNvSpPr/>
                        <wps:spPr>
                          <a:xfrm>
                            <a:off x="1196" y="19"/>
                            <a:ext cx="7047" cy="2258"/>
                          </a:xfrm>
                          <a:prstGeom prst="rect">
                            <a:avLst/>
                          </a:prstGeom>
                          <a:ln w="25400" cap="flat" cmpd="sng">
                            <a:solidFill>
                              <a:srgbClr val="000000"/>
                            </a:solidFill>
                            <a:prstDash val="solid"/>
                            <a:round/>
                          </a:ln>
                        </wps:spPr>
                        <wps:txbx>
                          <w:txbxContent>
                            <w:p w14:paraId="35E0E8E2">
                              <w:pPr>
                                <w:pStyle w:val="7"/>
                                <w:numPr>
                                  <w:ilvl w:val="0"/>
                                  <w:numId w:val="0"/>
                                </w:numPr>
                                <w:kinsoku w:val="0"/>
                                <w:overflowPunct w:val="0"/>
                                <w:spacing w:before="13"/>
                                <w:ind w:leftChars="0" w:right="0" w:rightChars="0"/>
                                <w:rPr>
                                  <w:rFonts w:hint="eastAsia"/>
                                  <w:sz w:val="28"/>
                                  <w:szCs w:val="28"/>
                                </w:rPr>
                              </w:pPr>
                            </w:p>
                            <w:p w14:paraId="5FDAE4D8">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w:t>
                              </w:r>
                              <w:r>
                                <w:rPr>
                                  <w:rFonts w:hint="eastAsia" w:ascii="仿宋" w:hAnsi="仿宋" w:eastAsia="仿宋" w:cs="仿宋"/>
                                  <w:b/>
                                  <w:bCs/>
                                  <w:sz w:val="24"/>
                                  <w:szCs w:val="24"/>
                                  <w:lang w:eastAsia="zh-CN"/>
                                </w:rPr>
                                <w:t>反</w:t>
                              </w:r>
                              <w:r>
                                <w:rPr>
                                  <w:rFonts w:hint="eastAsia" w:ascii="仿宋" w:hAnsi="仿宋" w:eastAsia="仿宋" w:cs="仿宋"/>
                                  <w:b/>
                                  <w:bCs/>
                                  <w:sz w:val="24"/>
                                  <w:szCs w:val="24"/>
                                </w:rPr>
                                <w:t>面）</w:t>
                              </w:r>
                            </w:p>
                          </w:txbxContent>
                        </wps:txbx>
                        <wps:bodyPr lIns="0" tIns="0" rIns="0" bIns="0" upright="1"/>
                      </wps:wsp>
                    </wpg:wgp>
                  </a:graphicData>
                </a:graphic>
              </wp:inline>
            </w:drawing>
          </mc:Choice>
          <mc:Fallback>
            <w:pict>
              <v:group id="组合 34" o:spid="_x0000_s1026" o:spt="203" style="height:115.1pt;width:411.95pt;" coordorigin="4,4" coordsize="8239,2302" o:gfxdata="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">
                <o:lock v:ext="edit" aspectratio="f"/>
                <v:shape id="_x0000_s1026" o:spid="_x0000_s1026" o:spt="100" style="position:absolute;left:4;top:9;height:20;width:8079;" fillcolor="#CCE8CF" filled="t" stroked="f" coordsize="8079,20" o:gfxdata="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iN6atwAAANoAAAAP&#10;AAAAAAAAAAEAIAAAACIAAABkcnMvZG93bnJldi54bWxQSwECFAAUAAAACACHTuJAMy8FnjsAAAA5&#10;AAAAEAAAAAAAAAABACAAAAAGAQAAZHJzL3NoYXBleG1sLnhtbFBLBQYAAAAABgAGAFsBAACwAwAA&#10;AAA=&#10;" path="m0,0l8078,0e">
                  <v:fill on="t" focussize="0,0"/>
                  <v:stroke on="f"/>
                  <v:imagedata o:title=""/>
                  <o:lock v:ext="edit" aspectratio="f"/>
                </v:shape>
                <v:shape id="_x0000_s1026" o:spid="_x0000_s1026" o:spt="100" style="position:absolute;left:24;top:28;height:20;width:8041;" fillcolor="#CCE8CF" filled="t" stroked="f" coordsize="8041,20" o:gfxdata="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f6we8AAAA&#10;2gAAAA8AAAAAAAAAAQAgAAAAIgAAAGRycy9kb3ducmV2LnhtbFBLAQIUABQAAAAIAIdO4kAzLwWe&#10;OwAAADkAAAAQAAAAAAAAAAEAIAAAAAsBAABkcnMvc2hhcGV4bWwueG1sUEsFBgAAAAAGAAYAWwEA&#10;ALUDAAAAAA==&#10;" path="m0,0l8040,0e">
                  <v:fill on="t" focussize="0,0"/>
                  <v:stroke on="f"/>
                  <v:imagedata o:title=""/>
                  <o:lock v:ext="edit" aspectratio="f"/>
                </v:shape>
                <v:shape id="_x0000_s1026" o:spid="_x0000_s1026" o:spt="100" style="position:absolute;left:24;top:2267;height:20;width:8041;" fillcolor="#CCE8CF" filled="t" stroked="f" coordsize="8041,20" o:gfxdata="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NOnLsAAADa&#10;AAAADwAAAAAAAAABACAAAAAiAAAAZHJzL2Rvd25yZXYueG1sUEsBAhQAFAAAAAgAh07iQDMvBZ47&#10;AAAAOQAAABAAAAAAAAAAAQAgAAAACgEAAGRycy9zaGFwZXhtbC54bWxQSwUGAAAAAAYABgBbAQAA&#10;tAMAAAAA&#10;" path="m0,0l8040,0e">
                  <v:fill on="t" focussize="0,0"/>
                  <v:stroke on="f"/>
                  <v:imagedata o:title=""/>
                  <o:lock v:ext="edit" aspectratio="f"/>
                </v:shape>
                <v:shape id="_x0000_s1026" o:spid="_x0000_s1026" o:spt="100" style="position:absolute;left:4;top:2286;height:20;width:8079;" fillcolor="#CCE8CF" filled="t" stroked="f" coordsize="8079,20" o:gfxdata="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99ArsAAADa&#10;AAAADwAAAAAAAAABACAAAAAiAAAAZHJzL2Rvd25yZXYueG1sUEsBAhQAFAAAAAgAh07iQDMvBZ47&#10;AAAAOQAAABAAAAAAAAAAAQAgAAAACgEAAGRycy9zaGFwZXhtbC54bWxQSwUGAAAAAAYABgBbAQAA&#10;tAMAAAAA&#10;" path="m0,0l8078,0e">
                  <v:fill on="t" focussize="0,0"/>
                  <v:stroke on="f"/>
                  <v:imagedata o:title=""/>
                  <o:lock v:ext="edit" aspectratio="f"/>
                </v:shape>
                <v:shape id="_x0000_s1026" o:spid="_x0000_s1026" o:spt="100" style="position:absolute;left:9;top:4;height:2287;width:20;" fillcolor="#CCE8CF" filled="t" stroked="f" coordsize="20,2287" o:gfxdata="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W/KrrsAAADa&#10;AAAADwAAAAAAAAABACAAAAAiAAAAZHJzL2Rvd25yZXYueG1sUEsBAhQAFAAAAAgAh07iQDMvBZ47&#10;AAAAOQAAABAAAAAAAAAAAQAgAAAACgEAAGRycy9zaGFwZXhtbC54bWxQSwUGAAAAAAYABgBbAQAA&#10;tAMAAAAA&#10;" path="m0,0l0,2286e">
                  <v:fill on="t" focussize="0,0"/>
                  <v:stroke on="f"/>
                  <v:imagedata o:title=""/>
                  <o:lock v:ext="edit" aspectratio="f"/>
                </v:shape>
                <v:shape id="_x0000_s1026" o:spid="_x0000_s1026" o:spt="100" style="position:absolute;left:28;top:24;height:2249;width:20;" fillcolor="#CCE8CF" filled="t" stroked="f" coordsize="20,2249" o:gfxdata="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Plj28AAAA&#10;2gAAAA8AAAAAAAAAAQAgAAAAIgAAAGRycy9kb3ducmV2LnhtbFBLAQIUABQAAAAIAIdO4kAzLwWe&#10;OwAAADkAAAAQAAAAAAAAAAEAIAAAAAsBAABkcnMvc2hhcGV4bWwueG1sUEsFBgAAAAAGAAYAWwEA&#10;ALUDAAAAAA==&#10;" path="m0,0l0,2248e">
                  <v:fill on="t" focussize="0,0"/>
                  <v:stroke on="f"/>
                  <v:imagedata o:title=""/>
                  <o:lock v:ext="edit" aspectratio="f"/>
                </v:shape>
                <v:shape id="_x0000_s1026" o:spid="_x0000_s1026" o:spt="100" style="position:absolute;left:4034;top:24;height:2239;width:20;" fillcolor="#CCE8CF" filled="t" stroked="f" coordsize="20,2239" o:gfxdata="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LicvQAA&#10;ANoAAAAPAAAAAAAAAAEAIAAAACIAAABkcnMvZG93bnJldi54bWxQSwECFAAUAAAACACHTuJAMy8F&#10;njsAAAA5AAAAEAAAAAAAAAABACAAAAAMAQAAZHJzL3NoYXBleG1sLnhtbFBLBQYAAAAABgAGAFsB&#10;AAC2AwAAAAA=&#10;" path="m0,0l0,2238e">
                  <v:fill on="t" focussize="0,0"/>
                  <v:stroke on="f"/>
                  <v:imagedata o:title=""/>
                  <o:lock v:ext="edit" aspectratio="f"/>
                </v:shape>
                <v:shape id="_x0000_s1026" o:spid="_x0000_s1026" o:spt="100" style="position:absolute;left:4053;top:24;height:2239;width:20;" fillcolor="#CCE8CF" filled="t" stroked="f" coordsize="20,2239" o:gfxdata="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08s7rgAAADaAAAA&#10;DwAAAAAAAAABACAAAAAiAAAAZHJzL2Rvd25yZXYueG1sUEsBAhQAFAAAAAgAh07iQDMvBZ47AAAA&#10;OQAAABAAAAAAAAAAAQAgAAAABwEAAGRycy9zaGFwZXhtbC54bWxQSwUGAAAAAAYABgBbAQAAsQMA&#10;AAAA&#10;" path="m0,0l0,2238e">
                  <v:fill on="t" focussize="0,0"/>
                  <v:stroke on="f"/>
                  <v:imagedata o:title=""/>
                  <o:lock v:ext="edit" aspectratio="f"/>
                </v:shape>
                <v:shape id="_x0000_s1026" o:spid="_x0000_s1026" o:spt="100" style="position:absolute;left:8059;top:33;height:2239;width:20;" fillcolor="#CCE8CF" filled="t" stroked="f" coordsize="20,2239" o:gfxdata="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A4l1vQAA&#10;ANoAAAAPAAAAAAAAAAEAIAAAACIAAABkcnMvZG93bnJldi54bWxQSwECFAAUAAAACACHTuJAMy8F&#10;njsAAAA5AAAAEAAAAAAAAAABACAAAAAMAQAAZHJzL3NoYXBleG1sLnhtbFBLBQYAAAAABgAGAFsB&#10;AAC2AwAAAAA=&#10;" path="m0,0l0,2238e">
                  <v:fill on="t" focussize="0,0"/>
                  <v:stroke on="f"/>
                  <v:imagedata o:title=""/>
                  <o:lock v:ext="edit" aspectratio="f"/>
                </v:shape>
                <v:shape id="_x0000_s1026" o:spid="_x0000_s1026" o:spt="100" style="position:absolute;left:8078;top:14;height:2278;width:20;" fillcolor="#CCE8CF" filled="t" stroked="f" coordsize="20,2278" o:gfxdata="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EqoW/&#10;AAAA2wAAAA8AAAAAAAAAAQAgAAAAIgAAAGRycy9kb3ducmV2LnhtbFBLAQIUABQAAAAIAIdO4kAz&#10;LwWeOwAAADkAAAAQAAAAAAAAAAEAIAAAAA4BAABkcnMvc2hhcGV4bWwueG1sUEsFBgAAAAAGAAYA&#10;WwEAALgDAAAAAA==&#10;" path="m0,0l0,2277e">
                  <v:fill on="t" focussize="0,0"/>
                  <v:stroke on="f"/>
                  <v:imagedata o:title=""/>
                  <o:lock v:ext="edit" aspectratio="f"/>
                </v:shape>
                <v:rect id="_x0000_s1026" o:spid="_x0000_s1026" o:spt="1" style="position:absolute;left:1196;top:19;height:2258;width:7047;" filled="f" stroked="t" coordsize="21600,21600" o:gfxdata="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Hf1rgAAADbAAAA&#10;DwAAAAAAAAABACAAAAAiAAAAZHJzL2Rvd25yZXYueG1sUEsBAhQAFAAAAAgAh07iQDMvBZ47AAAA&#10;OQAAABAAAAAAAAAAAQAgAAAABwEAAGRycy9zaGFwZXhtbC54bWxQSwUGAAAAAAYABgBbAQAAsQMA&#10;AAAA&#10;">
                  <v:fill on="f" focussize="0,0"/>
                  <v:stroke weight="2pt" color="#000000" joinstyle="round"/>
                  <v:imagedata o:title=""/>
                  <o:lock v:ext="edit" aspectratio="f"/>
                  <v:textbox inset="0mm,0mm,0mm,0mm">
                    <w:txbxContent>
                      <w:p w14:paraId="35E0E8E2">
                        <w:pPr>
                          <w:pStyle w:val="7"/>
                          <w:numPr>
                            <w:ilvl w:val="0"/>
                            <w:numId w:val="0"/>
                          </w:numPr>
                          <w:kinsoku w:val="0"/>
                          <w:overflowPunct w:val="0"/>
                          <w:spacing w:before="13"/>
                          <w:ind w:leftChars="0" w:right="0" w:rightChars="0"/>
                          <w:rPr>
                            <w:rFonts w:hint="eastAsia"/>
                            <w:sz w:val="28"/>
                            <w:szCs w:val="28"/>
                          </w:rPr>
                        </w:pPr>
                      </w:p>
                      <w:p w14:paraId="5FDAE4D8">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w:t>
                        </w:r>
                        <w:r>
                          <w:rPr>
                            <w:rFonts w:hint="eastAsia" w:ascii="仿宋" w:hAnsi="仿宋" w:eastAsia="仿宋" w:cs="仿宋"/>
                            <w:b/>
                            <w:bCs/>
                            <w:sz w:val="24"/>
                            <w:szCs w:val="24"/>
                            <w:lang w:eastAsia="zh-CN"/>
                          </w:rPr>
                          <w:t>反</w:t>
                        </w:r>
                        <w:r>
                          <w:rPr>
                            <w:rFonts w:hint="eastAsia" w:ascii="仿宋" w:hAnsi="仿宋" w:eastAsia="仿宋" w:cs="仿宋"/>
                            <w:b/>
                            <w:bCs/>
                            <w:sz w:val="24"/>
                            <w:szCs w:val="24"/>
                          </w:rPr>
                          <w:t>面）</w:t>
                        </w:r>
                      </w:p>
                    </w:txbxContent>
                  </v:textbox>
                </v:rect>
                <w10:wrap type="none"/>
                <w10:anchorlock/>
              </v:group>
            </w:pict>
          </mc:Fallback>
        </mc:AlternateContent>
      </w:r>
    </w:p>
    <w:p w14:paraId="6C3EE52A">
      <w:pPr>
        <w:wordWrap w:val="0"/>
        <w:spacing w:line="420" w:lineRule="exact"/>
        <w:ind w:firstLine="490" w:firstLineChars="200"/>
        <w:jc w:val="right"/>
        <w:rPr>
          <w:rFonts w:hint="eastAsia" w:ascii="仿宋" w:hAnsi="仿宋" w:eastAsia="仿宋" w:cs="仿宋"/>
          <w:color w:val="auto"/>
          <w:kern w:val="0"/>
          <w:sz w:val="24"/>
        </w:rPr>
      </w:pPr>
    </w:p>
    <w:p w14:paraId="7C9FC593">
      <w:pPr>
        <w:spacing w:line="420" w:lineRule="exact"/>
        <w:ind w:firstLine="490" w:firstLineChars="200"/>
        <w:jc w:val="right"/>
        <w:rPr>
          <w:rFonts w:hint="eastAsia" w:ascii="仿宋" w:hAnsi="仿宋" w:eastAsia="仿宋" w:cs="仿宋"/>
          <w:color w:val="auto"/>
          <w:kern w:val="0"/>
          <w:sz w:val="24"/>
        </w:rPr>
      </w:pPr>
    </w:p>
    <w:p w14:paraId="4CC5E5DA">
      <w:pPr>
        <w:pStyle w:val="12"/>
        <w:rPr>
          <w:rFonts w:hint="eastAsia" w:ascii="仿宋" w:hAnsi="仿宋" w:eastAsia="仿宋" w:cs="仿宋"/>
          <w:color w:val="auto"/>
          <w:kern w:val="0"/>
          <w:sz w:val="24"/>
        </w:rPr>
      </w:pPr>
    </w:p>
    <w:p w14:paraId="7BC35230">
      <w:pPr>
        <w:pStyle w:val="12"/>
        <w:rPr>
          <w:rFonts w:hint="eastAsia" w:ascii="仿宋" w:hAnsi="仿宋" w:eastAsia="仿宋" w:cs="仿宋"/>
          <w:color w:val="auto"/>
          <w:kern w:val="0"/>
          <w:sz w:val="24"/>
        </w:rPr>
      </w:pPr>
    </w:p>
    <w:p w14:paraId="695D48AF">
      <w:pPr>
        <w:spacing w:line="420" w:lineRule="exact"/>
        <w:ind w:firstLine="490" w:firstLineChars="200"/>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（公章）</w:t>
      </w:r>
    </w:p>
    <w:p w14:paraId="54E9F0FC">
      <w:pPr>
        <w:wordWrap w:val="0"/>
        <w:spacing w:line="420" w:lineRule="exact"/>
        <w:ind w:right="480" w:firstLine="490" w:firstLineChars="200"/>
        <w:jc w:val="center"/>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日 </w:t>
      </w:r>
    </w:p>
    <w:p w14:paraId="748584F6">
      <w:pPr>
        <w:pStyle w:val="7"/>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auto"/>
          <w:szCs w:val="21"/>
        </w:rPr>
      </w:pPr>
      <w:r>
        <w:rPr>
          <w:rFonts w:hint="eastAsia" w:ascii="仿宋" w:hAnsi="仿宋" w:eastAsia="仿宋" w:cs="仿宋"/>
          <w:color w:val="auto"/>
        </w:rPr>
        <w:br w:type="page"/>
      </w:r>
      <w:r>
        <w:rPr>
          <w:rFonts w:hint="eastAsia" w:ascii="仿宋" w:hAnsi="仿宋" w:eastAsia="仿宋" w:cs="仿宋"/>
          <w:b/>
          <w:bCs/>
          <w:color w:val="auto"/>
          <w:sz w:val="36"/>
          <w:szCs w:val="36"/>
          <w:lang w:val="en-US" w:eastAsia="zh-CN"/>
        </w:rPr>
        <w:t>3</w:t>
      </w:r>
      <w:r>
        <w:rPr>
          <w:rFonts w:hint="eastAsia" w:ascii="仿宋" w:hAnsi="仿宋" w:eastAsia="仿宋" w:cs="仿宋"/>
          <w:b/>
          <w:bCs/>
          <w:color w:val="auto"/>
          <w:sz w:val="36"/>
          <w:szCs w:val="36"/>
        </w:rPr>
        <w:t>、授权委托书</w:t>
      </w:r>
    </w:p>
    <w:p w14:paraId="79675CB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致：采购人名称 </w:t>
      </w:r>
    </w:p>
    <w:p w14:paraId="2912F90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本授权书声明：注册于（投标人地址）的（投标人名称）法定代表人（负责人）姓名、职务或职称）代表本公司授权（姓名）为本单位的合法代理人，参与贵方组织的（项目名称及项目编号） 的投标、谈判、签约等具体工作，并签署全部有关文件、协议及合同。</w:t>
      </w:r>
    </w:p>
    <w:p w14:paraId="298C562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我单位对被授权人的上述经济活动负全部责任。在撤销授权的书面通知前，本授权书一直有效。被授权人在授权书有效期内签署的所有文件不因授权的撤消而失效。</w:t>
      </w:r>
    </w:p>
    <w:p w14:paraId="0A654E0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mc:AlternateContent>
          <mc:Choice Requires="wps">
            <w:drawing>
              <wp:anchor distT="0" distB="0" distL="114300" distR="114300" simplePos="0" relativeHeight="251661312" behindDoc="0" locked="0" layoutInCell="1" allowOverlap="1">
                <wp:simplePos x="0" y="0"/>
                <wp:positionH relativeFrom="column">
                  <wp:posOffset>756920</wp:posOffset>
                </wp:positionH>
                <wp:positionV relativeFrom="paragraph">
                  <wp:posOffset>215265</wp:posOffset>
                </wp:positionV>
                <wp:extent cx="4474845" cy="1382395"/>
                <wp:effectExtent l="12700" t="12700" r="27305" b="14605"/>
                <wp:wrapNone/>
                <wp:docPr id="41" name="矩形 41"/>
                <wp:cNvGraphicFramePr/>
                <a:graphic xmlns:a="http://schemas.openxmlformats.org/drawingml/2006/main">
                  <a:graphicData uri="http://schemas.microsoft.com/office/word/2010/wordprocessingShape">
                    <wps:wsp>
                      <wps:cNvSpPr/>
                      <wps:spPr>
                        <a:xfrm>
                          <a:off x="0" y="0"/>
                          <a:ext cx="4474845" cy="1382395"/>
                        </a:xfrm>
                        <a:prstGeom prst="rect">
                          <a:avLst/>
                        </a:prstGeom>
                        <a:ln w="25400" cap="flat" cmpd="sng">
                          <a:solidFill>
                            <a:srgbClr val="000000"/>
                          </a:solidFill>
                          <a:prstDash val="solid"/>
                          <a:round/>
                        </a:ln>
                      </wps:spPr>
                      <wps:txbx>
                        <w:txbxContent>
                          <w:p w14:paraId="069A14D0">
                            <w:pPr>
                              <w:pStyle w:val="7"/>
                              <w:numPr>
                                <w:ilvl w:val="0"/>
                                <w:numId w:val="0"/>
                              </w:numPr>
                              <w:kinsoku w:val="0"/>
                              <w:overflowPunct w:val="0"/>
                              <w:spacing w:before="13"/>
                              <w:ind w:leftChars="0" w:right="0" w:rightChars="0"/>
                              <w:rPr>
                                <w:rFonts w:hint="eastAsia"/>
                                <w:sz w:val="28"/>
                                <w:szCs w:val="28"/>
                              </w:rPr>
                            </w:pPr>
                          </w:p>
                          <w:p w14:paraId="7F6A7EA1">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w:t>
                            </w:r>
                            <w:r>
                              <w:rPr>
                                <w:rFonts w:hint="eastAsia" w:ascii="仿宋" w:hAnsi="仿宋" w:eastAsia="仿宋" w:cs="仿宋"/>
                                <w:b/>
                                <w:bCs/>
                                <w:sz w:val="24"/>
                                <w:szCs w:val="24"/>
                                <w:lang w:eastAsia="zh-CN"/>
                              </w:rPr>
                              <w:t>反</w:t>
                            </w:r>
                            <w:r>
                              <w:rPr>
                                <w:rFonts w:hint="eastAsia" w:ascii="仿宋" w:hAnsi="仿宋" w:eastAsia="仿宋" w:cs="仿宋"/>
                                <w:b/>
                                <w:bCs/>
                                <w:sz w:val="24"/>
                                <w:szCs w:val="24"/>
                              </w:rPr>
                              <w:t>面）</w:t>
                            </w:r>
                          </w:p>
                        </w:txbxContent>
                      </wps:txbx>
                      <wps:bodyPr lIns="0" tIns="0" rIns="0" bIns="0" upright="1"/>
                    </wps:wsp>
                  </a:graphicData>
                </a:graphic>
              </wp:anchor>
            </w:drawing>
          </mc:Choice>
          <mc:Fallback>
            <w:pict>
              <v:rect id="_x0000_s1026" o:spid="_x0000_s1026" o:spt="1" style="position:absolute;left:0pt;margin-left:59.6pt;margin-top:16.95pt;height:108.85pt;width:352.35pt;z-index:251661312;mso-width-relative:page;mso-height-relative:page;" filled="f" stroked="t" coordsize="21600,21600" o:gfxdata="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RduNYA&#10;AAAKAQAADwAAAAAAAAABACAAAAAiAAAAZHJzL2Rvd25yZXYueG1sUEsBAhQAFAAAAAgAh07iQLMb&#10;U1DoAQAAyQMAAA4AAAAAAAAAAQAgAAAAJQEAAGRycy9lMm9Eb2MueG1sUEsFBgAAAAAGAAYAWQEA&#10;AH8FAAAAAA==&#10;">
                <v:fill on="f" focussize="0,0"/>
                <v:stroke weight="2pt" color="#000000" joinstyle="round"/>
                <v:imagedata o:title=""/>
                <o:lock v:ext="edit" aspectratio="f"/>
                <v:textbox inset="0mm,0mm,0mm,0mm">
                  <w:txbxContent>
                    <w:p w14:paraId="069A14D0">
                      <w:pPr>
                        <w:pStyle w:val="7"/>
                        <w:numPr>
                          <w:ilvl w:val="0"/>
                          <w:numId w:val="0"/>
                        </w:numPr>
                        <w:kinsoku w:val="0"/>
                        <w:overflowPunct w:val="0"/>
                        <w:spacing w:before="13"/>
                        <w:ind w:leftChars="0" w:right="0" w:rightChars="0"/>
                        <w:rPr>
                          <w:rFonts w:hint="eastAsia"/>
                          <w:sz w:val="28"/>
                          <w:szCs w:val="28"/>
                        </w:rPr>
                      </w:pPr>
                    </w:p>
                    <w:p w14:paraId="7F6A7EA1">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w:t>
                      </w:r>
                      <w:r>
                        <w:rPr>
                          <w:rFonts w:hint="eastAsia" w:ascii="仿宋" w:hAnsi="仿宋" w:eastAsia="仿宋" w:cs="仿宋"/>
                          <w:b/>
                          <w:bCs/>
                          <w:sz w:val="24"/>
                          <w:szCs w:val="24"/>
                          <w:lang w:eastAsia="zh-CN"/>
                        </w:rPr>
                        <w:t>反</w:t>
                      </w:r>
                      <w:r>
                        <w:rPr>
                          <w:rFonts w:hint="eastAsia" w:ascii="仿宋" w:hAnsi="仿宋" w:eastAsia="仿宋" w:cs="仿宋"/>
                          <w:b/>
                          <w:bCs/>
                          <w:sz w:val="24"/>
                          <w:szCs w:val="24"/>
                        </w:rPr>
                        <w:t>面）</w:t>
                      </w:r>
                    </w:p>
                  </w:txbxContent>
                </v:textbox>
              </v:rect>
            </w:pict>
          </mc:Fallback>
        </mc:AlternateContent>
      </w:r>
    </w:p>
    <w:p w14:paraId="07E83DA5">
      <w:pPr>
        <w:pStyle w:val="7"/>
        <w:kinsoku w:val="0"/>
        <w:overflowPunct w:val="0"/>
        <w:adjustRightInd w:val="0"/>
        <w:snapToGrid w:val="0"/>
        <w:spacing w:before="12"/>
        <w:rPr>
          <w:rFonts w:hint="eastAsia" w:ascii="仿宋" w:hAnsi="仿宋" w:eastAsia="仿宋" w:cs="仿宋"/>
          <w:color w:val="auto"/>
          <w:sz w:val="4"/>
          <w:szCs w:val="4"/>
        </w:rPr>
      </w:pPr>
    </w:p>
    <w:p w14:paraId="15A40437">
      <w:pPr>
        <w:pStyle w:val="7"/>
        <w:numPr>
          <w:ilvl w:val="0"/>
          <w:numId w:val="0"/>
        </w:numPr>
        <w:kinsoku w:val="0"/>
        <w:overflowPunct w:val="0"/>
        <w:adjustRightInd w:val="0"/>
        <w:snapToGrid w:val="0"/>
        <w:spacing w:line="200" w:lineRule="atLeast"/>
        <w:ind w:right="1947" w:rightChars="795"/>
        <w:jc w:val="center"/>
        <w:rPr>
          <w:rFonts w:hint="eastAsia" w:ascii="仿宋" w:hAnsi="仿宋" w:eastAsia="仿宋" w:cs="仿宋"/>
          <w:color w:val="auto"/>
          <w:sz w:val="18"/>
          <w:szCs w:val="20"/>
        </w:rPr>
      </w:pPr>
    </w:p>
    <w:p w14:paraId="23EEF3C6">
      <w:pPr>
        <w:pStyle w:val="7"/>
        <w:numPr>
          <w:ilvl w:val="0"/>
          <w:numId w:val="0"/>
        </w:numPr>
        <w:kinsoku w:val="0"/>
        <w:overflowPunct w:val="0"/>
        <w:adjustRightInd w:val="0"/>
        <w:snapToGrid w:val="0"/>
        <w:spacing w:line="200" w:lineRule="atLeast"/>
        <w:ind w:right="0" w:rightChars="0"/>
        <w:rPr>
          <w:rFonts w:hint="eastAsia" w:ascii="仿宋" w:hAnsi="仿宋" w:eastAsia="仿宋" w:cs="仿宋"/>
          <w:color w:val="auto"/>
          <w:sz w:val="18"/>
          <w:szCs w:val="20"/>
        </w:rPr>
      </w:pPr>
    </w:p>
    <w:p w14:paraId="075DB217">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4C647EB2">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7D61C4B3">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48845146">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5128C64A">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747BAA34">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mc:AlternateContent>
          <mc:Choice Requires="wps">
            <w:drawing>
              <wp:anchor distT="0" distB="0" distL="114300" distR="114300" simplePos="0" relativeHeight="251662336" behindDoc="0" locked="0" layoutInCell="1" allowOverlap="1">
                <wp:simplePos x="0" y="0"/>
                <wp:positionH relativeFrom="column">
                  <wp:posOffset>756920</wp:posOffset>
                </wp:positionH>
                <wp:positionV relativeFrom="paragraph">
                  <wp:posOffset>-610235</wp:posOffset>
                </wp:positionV>
                <wp:extent cx="4474845" cy="1433830"/>
                <wp:effectExtent l="12700" t="12700" r="27305" b="20320"/>
                <wp:wrapNone/>
                <wp:docPr id="42" name="矩形 42"/>
                <wp:cNvGraphicFramePr/>
                <a:graphic xmlns:a="http://schemas.openxmlformats.org/drawingml/2006/main">
                  <a:graphicData uri="http://schemas.microsoft.com/office/word/2010/wordprocessingShape">
                    <wps:wsp>
                      <wps:cNvSpPr/>
                      <wps:spPr>
                        <a:xfrm>
                          <a:off x="0" y="0"/>
                          <a:ext cx="4474845" cy="1433830"/>
                        </a:xfrm>
                        <a:prstGeom prst="rect">
                          <a:avLst/>
                        </a:prstGeom>
                        <a:ln w="25400" cap="flat" cmpd="sng">
                          <a:solidFill>
                            <a:srgbClr val="000000"/>
                          </a:solidFill>
                          <a:prstDash val="solid"/>
                          <a:round/>
                        </a:ln>
                      </wps:spPr>
                      <wps:txbx>
                        <w:txbxContent>
                          <w:p w14:paraId="31856A3E">
                            <w:pPr>
                              <w:pStyle w:val="7"/>
                              <w:numPr>
                                <w:ilvl w:val="0"/>
                                <w:numId w:val="0"/>
                              </w:numPr>
                              <w:kinsoku w:val="0"/>
                              <w:overflowPunct w:val="0"/>
                              <w:spacing w:before="13"/>
                              <w:ind w:leftChars="0" w:right="0" w:rightChars="0"/>
                              <w:rPr>
                                <w:rFonts w:hint="eastAsia"/>
                                <w:sz w:val="28"/>
                                <w:szCs w:val="28"/>
                              </w:rPr>
                            </w:pPr>
                          </w:p>
                          <w:p w14:paraId="12A549FC">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eastAsia="zh-CN"/>
                              </w:rPr>
                              <w:t>授权</w:t>
                            </w:r>
                            <w:r>
                              <w:rPr>
                                <w:rFonts w:hint="eastAsia" w:ascii="仿宋" w:hAnsi="仿宋" w:eastAsia="仿宋" w:cs="仿宋"/>
                                <w:b/>
                                <w:bCs/>
                                <w:sz w:val="24"/>
                                <w:szCs w:val="24"/>
                              </w:rPr>
                              <w:t>代表人身份证复印件（正</w:t>
                            </w:r>
                            <w:r>
                              <w:rPr>
                                <w:rFonts w:hint="eastAsia" w:ascii="仿宋" w:hAnsi="仿宋" w:eastAsia="仿宋" w:cs="仿宋"/>
                                <w:b/>
                                <w:bCs/>
                                <w:sz w:val="24"/>
                                <w:szCs w:val="24"/>
                                <w:lang w:val="en-US" w:eastAsia="zh-CN"/>
                              </w:rPr>
                              <w:t>/</w:t>
                            </w:r>
                            <w:r>
                              <w:rPr>
                                <w:rFonts w:hint="eastAsia" w:ascii="仿宋" w:hAnsi="仿宋" w:eastAsia="仿宋" w:cs="仿宋"/>
                                <w:b/>
                                <w:bCs/>
                                <w:sz w:val="24"/>
                                <w:szCs w:val="24"/>
                                <w:lang w:eastAsia="zh-CN"/>
                              </w:rPr>
                              <w:t>反</w:t>
                            </w:r>
                            <w:r>
                              <w:rPr>
                                <w:rFonts w:hint="eastAsia" w:ascii="仿宋" w:hAnsi="仿宋" w:eastAsia="仿宋" w:cs="仿宋"/>
                                <w:b/>
                                <w:bCs/>
                                <w:sz w:val="24"/>
                                <w:szCs w:val="24"/>
                              </w:rPr>
                              <w:t>面）</w:t>
                            </w:r>
                          </w:p>
                        </w:txbxContent>
                      </wps:txbx>
                      <wps:bodyPr lIns="0" tIns="0" rIns="0" bIns="0" upright="1"/>
                    </wps:wsp>
                  </a:graphicData>
                </a:graphic>
              </wp:anchor>
            </w:drawing>
          </mc:Choice>
          <mc:Fallback>
            <w:pict>
              <v:rect id="_x0000_s1026" o:spid="_x0000_s1026" o:spt="1" style="position:absolute;left:0pt;margin-left:59.6pt;margin-top:-48.05pt;height:112.9pt;width:352.35pt;z-index:251662336;mso-width-relative:page;mso-height-relative:page;" filled="f" stroked="t" coordsize="21600,21600" o:gfxdata="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zO+9YA&#10;AAALAQAADwAAAAAAAAABACAAAAAiAAAAZHJzL2Rvd25yZXYueG1sUEsBAhQAFAAAAAgAh07iQICz&#10;WLnoAQAAyQMAAA4AAAAAAAAAAQAgAAAAJQEAAGRycy9lMm9Eb2MueG1sUEsFBgAAAAAGAAYAWQEA&#10;AH8FAAAAAA==&#10;">
                <v:fill on="f" focussize="0,0"/>
                <v:stroke weight="2pt" color="#000000" joinstyle="round"/>
                <v:imagedata o:title=""/>
                <o:lock v:ext="edit" aspectratio="f"/>
                <v:textbox inset="0mm,0mm,0mm,0mm">
                  <w:txbxContent>
                    <w:p w14:paraId="31856A3E">
                      <w:pPr>
                        <w:pStyle w:val="7"/>
                        <w:numPr>
                          <w:ilvl w:val="0"/>
                          <w:numId w:val="0"/>
                        </w:numPr>
                        <w:kinsoku w:val="0"/>
                        <w:overflowPunct w:val="0"/>
                        <w:spacing w:before="13"/>
                        <w:ind w:leftChars="0" w:right="0" w:rightChars="0"/>
                        <w:rPr>
                          <w:rFonts w:hint="eastAsia"/>
                          <w:sz w:val="28"/>
                          <w:szCs w:val="28"/>
                        </w:rPr>
                      </w:pPr>
                    </w:p>
                    <w:p w14:paraId="12A549FC">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eastAsia="zh-CN"/>
                        </w:rPr>
                        <w:t>授权</w:t>
                      </w:r>
                      <w:r>
                        <w:rPr>
                          <w:rFonts w:hint="eastAsia" w:ascii="仿宋" w:hAnsi="仿宋" w:eastAsia="仿宋" w:cs="仿宋"/>
                          <w:b/>
                          <w:bCs/>
                          <w:sz w:val="24"/>
                          <w:szCs w:val="24"/>
                        </w:rPr>
                        <w:t>代表人身份证复印件（正</w:t>
                      </w:r>
                      <w:r>
                        <w:rPr>
                          <w:rFonts w:hint="eastAsia" w:ascii="仿宋" w:hAnsi="仿宋" w:eastAsia="仿宋" w:cs="仿宋"/>
                          <w:b/>
                          <w:bCs/>
                          <w:sz w:val="24"/>
                          <w:szCs w:val="24"/>
                          <w:lang w:val="en-US" w:eastAsia="zh-CN"/>
                        </w:rPr>
                        <w:t>/</w:t>
                      </w:r>
                      <w:r>
                        <w:rPr>
                          <w:rFonts w:hint="eastAsia" w:ascii="仿宋" w:hAnsi="仿宋" w:eastAsia="仿宋" w:cs="仿宋"/>
                          <w:b/>
                          <w:bCs/>
                          <w:sz w:val="24"/>
                          <w:szCs w:val="24"/>
                          <w:lang w:eastAsia="zh-CN"/>
                        </w:rPr>
                        <w:t>反</w:t>
                      </w:r>
                      <w:r>
                        <w:rPr>
                          <w:rFonts w:hint="eastAsia" w:ascii="仿宋" w:hAnsi="仿宋" w:eastAsia="仿宋" w:cs="仿宋"/>
                          <w:b/>
                          <w:bCs/>
                          <w:sz w:val="24"/>
                          <w:szCs w:val="24"/>
                        </w:rPr>
                        <w:t>面）</w:t>
                      </w:r>
                    </w:p>
                  </w:txbxContent>
                </v:textbox>
              </v:rect>
            </w:pict>
          </mc:Fallback>
        </mc:AlternateContent>
      </w:r>
    </w:p>
    <w:p w14:paraId="63FFA19D">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33AD596D">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762991E2">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35047218">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被授权代表（</w:t>
      </w:r>
      <w:r>
        <w:rPr>
          <w:rFonts w:hint="eastAsia" w:ascii="仿宋" w:hAnsi="仿宋" w:eastAsia="仿宋" w:cs="仿宋"/>
          <w:color w:val="auto"/>
          <w:sz w:val="24"/>
          <w:lang w:eastAsia="zh-CN"/>
        </w:rPr>
        <w:t>签字</w:t>
      </w: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投标人法定代表人（</w:t>
      </w:r>
      <w:r>
        <w:rPr>
          <w:rFonts w:hint="eastAsia" w:ascii="仿宋" w:hAnsi="仿宋" w:eastAsia="仿宋" w:cs="仿宋"/>
          <w:color w:val="auto"/>
          <w:sz w:val="24"/>
          <w:lang w:eastAsia="zh-CN"/>
        </w:rPr>
        <w:t>签字或盖章</w:t>
      </w:r>
      <w:r>
        <w:rPr>
          <w:rFonts w:hint="eastAsia" w:ascii="仿宋" w:hAnsi="仿宋" w:eastAsia="仿宋" w:cs="仿宋"/>
          <w:color w:val="auto"/>
          <w:sz w:val="24"/>
        </w:rPr>
        <w:t>）：</w:t>
      </w:r>
    </w:p>
    <w:p w14:paraId="39BC3323">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p>
    <w:p w14:paraId="4CF3C056">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p>
    <w:p w14:paraId="7D77E994">
      <w:pPr>
        <w:pStyle w:val="7"/>
        <w:numPr>
          <w:ilvl w:val="0"/>
          <w:numId w:val="0"/>
        </w:numPr>
        <w:tabs>
          <w:tab w:val="clear" w:pos="780"/>
        </w:tabs>
        <w:kinsoku w:val="0"/>
        <w:overflowPunct w:val="0"/>
        <w:adjustRightInd w:val="0"/>
        <w:snapToGrid w:val="0"/>
        <w:spacing w:line="360" w:lineRule="auto"/>
        <w:ind w:left="709" w:leftChars="0" w:right="238" w:rightChars="0"/>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rPr>
        <w:t>（盖章）</w:t>
      </w:r>
    </w:p>
    <w:p w14:paraId="58EA2449">
      <w:pPr>
        <w:pStyle w:val="7"/>
        <w:numPr>
          <w:ilvl w:val="0"/>
          <w:numId w:val="0"/>
        </w:numPr>
        <w:tabs>
          <w:tab w:val="clear" w:pos="780"/>
        </w:tabs>
        <w:kinsoku w:val="0"/>
        <w:overflowPunct w:val="0"/>
        <w:adjustRightInd w:val="0"/>
        <w:snapToGrid w:val="0"/>
        <w:spacing w:line="360" w:lineRule="auto"/>
        <w:ind w:leftChars="50" w:right="238" w:rightChars="0" w:firstLine="2940" w:firstLineChars="1200"/>
        <w:jc w:val="both"/>
        <w:rPr>
          <w:rFonts w:hint="eastAsia" w:ascii="仿宋" w:hAnsi="仿宋" w:eastAsia="仿宋" w:cs="仿宋"/>
          <w:color w:val="auto"/>
          <w:sz w:val="24"/>
        </w:rPr>
      </w:pPr>
    </w:p>
    <w:p w14:paraId="12BBC73C">
      <w:pPr>
        <w:pStyle w:val="7"/>
        <w:numPr>
          <w:ilvl w:val="0"/>
          <w:numId w:val="0"/>
        </w:numPr>
        <w:tabs>
          <w:tab w:val="clear" w:pos="780"/>
        </w:tabs>
        <w:kinsoku w:val="0"/>
        <w:overflowPunct w:val="0"/>
        <w:adjustRightInd w:val="0"/>
        <w:snapToGrid w:val="0"/>
        <w:spacing w:line="360" w:lineRule="auto"/>
        <w:ind w:leftChars="50" w:right="238" w:rightChars="0" w:firstLine="2940" w:firstLineChars="1200"/>
        <w:jc w:val="both"/>
        <w:rPr>
          <w:rFonts w:hint="eastAsia" w:ascii="仿宋" w:hAnsi="仿宋" w:eastAsia="仿宋" w:cs="仿宋"/>
          <w:color w:val="auto"/>
          <w:sz w:val="20"/>
        </w:rPr>
      </w:pPr>
      <w:r>
        <w:rPr>
          <w:rFonts w:hint="eastAsia" w:ascii="仿宋" w:hAnsi="仿宋" w:eastAsia="仿宋" w:cs="仿宋"/>
          <w:color w:val="auto"/>
          <w:sz w:val="24"/>
        </w:rPr>
        <w:t xml:space="preserve"> 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日 </w:t>
      </w:r>
      <w:r>
        <w:rPr>
          <w:rFonts w:hint="eastAsia" w:ascii="仿宋" w:hAnsi="仿宋" w:eastAsia="仿宋" w:cs="仿宋"/>
          <w:color w:val="auto"/>
          <w:sz w:val="20"/>
        </w:rPr>
        <w:t xml:space="preserve">               </w:t>
      </w:r>
    </w:p>
    <w:p w14:paraId="2A0F5611">
      <w:pPr>
        <w:pStyle w:val="7"/>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auto"/>
          <w:sz w:val="36"/>
          <w:szCs w:val="36"/>
        </w:rPr>
      </w:pPr>
    </w:p>
    <w:p w14:paraId="3C1FC511">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p>
    <w:p w14:paraId="28733B3D">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p>
    <w:p w14:paraId="10268EB5">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p>
    <w:p w14:paraId="2CBC180C">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en-US" w:bidi="en-US"/>
        </w:rPr>
      </w:pPr>
      <w:r>
        <w:rPr>
          <w:rFonts w:hint="eastAsia" w:ascii="仿宋" w:hAnsi="仿宋" w:eastAsia="仿宋" w:cs="仿宋"/>
          <w:b/>
          <w:bCs/>
          <w:color w:val="auto"/>
          <w:spacing w:val="0"/>
          <w:w w:val="100"/>
          <w:position w:val="0"/>
          <w:sz w:val="36"/>
          <w:szCs w:val="36"/>
          <w:shd w:val="clear" w:color="auto" w:fill="auto"/>
          <w:lang w:val="en-US" w:eastAsia="zh-CN" w:bidi="en-US"/>
        </w:rPr>
        <w:t>4、</w:t>
      </w:r>
      <w:r>
        <w:rPr>
          <w:rFonts w:hint="eastAsia" w:ascii="仿宋" w:hAnsi="仿宋" w:eastAsia="仿宋" w:cs="仿宋"/>
          <w:b/>
          <w:bCs/>
          <w:color w:val="auto"/>
          <w:spacing w:val="0"/>
          <w:w w:val="100"/>
          <w:position w:val="0"/>
          <w:sz w:val="36"/>
          <w:szCs w:val="36"/>
          <w:shd w:val="clear" w:color="auto" w:fill="auto"/>
          <w:lang w:val="en-US" w:eastAsia="en-US" w:bidi="en-US"/>
        </w:rPr>
        <w:t>投标保证金缴纳凭证或投标担保函</w:t>
      </w:r>
    </w:p>
    <w:p w14:paraId="7FA8ADFC">
      <w:pPr>
        <w:shd w:val="clear" w:color="auto" w:fill="auto"/>
        <w:ind w:firstLine="490" w:firstLineChars="200"/>
        <w:rPr>
          <w:rFonts w:hint="eastAsia" w:ascii="仿宋" w:hAnsi="仿宋" w:eastAsia="仿宋" w:cs="仿宋"/>
          <w:color w:val="auto"/>
          <w:sz w:val="24"/>
          <w:highlight w:val="none"/>
        </w:rPr>
      </w:pPr>
    </w:p>
    <w:p w14:paraId="55FDCFCC">
      <w:pPr>
        <w:pStyle w:val="5"/>
        <w:shd w:val="clear" w:color="auto" w:fill="auto"/>
        <w:rPr>
          <w:rFonts w:hint="eastAsia" w:ascii="仿宋" w:hAnsi="仿宋" w:eastAsia="仿宋" w:cs="仿宋"/>
          <w:color w:val="auto"/>
          <w:highlight w:val="none"/>
        </w:rPr>
      </w:pPr>
    </w:p>
    <w:p w14:paraId="471680DF">
      <w:pPr>
        <w:pStyle w:val="5"/>
        <w:shd w:val="clear" w:color="auto" w:fill="auto"/>
        <w:rPr>
          <w:rFonts w:hint="eastAsia" w:ascii="仿宋" w:hAnsi="仿宋" w:eastAsia="仿宋" w:cs="仿宋"/>
          <w:color w:val="auto"/>
          <w:highlight w:val="none"/>
        </w:rPr>
      </w:pPr>
    </w:p>
    <w:p w14:paraId="463D3976">
      <w:pPr>
        <w:shd w:val="clear" w:color="auto" w:fill="auto"/>
        <w:spacing w:line="240" w:lineRule="atLeast"/>
        <w:ind w:left="1169" w:leftChars="257" w:hanging="540"/>
        <w:jc w:val="center"/>
        <w:rPr>
          <w:rFonts w:hint="eastAsia" w:ascii="仿宋" w:hAnsi="仿宋" w:eastAsia="仿宋" w:cs="仿宋"/>
          <w:color w:val="auto"/>
          <w:sz w:val="24"/>
          <w:highlight w:val="none"/>
        </w:rPr>
      </w:pPr>
    </w:p>
    <w:p w14:paraId="44C75F1D">
      <w:pPr>
        <w:shd w:val="clear" w:color="auto" w:fill="auto"/>
        <w:rPr>
          <w:rFonts w:hint="eastAsia" w:ascii="仿宋" w:hAnsi="仿宋" w:eastAsia="仿宋" w:cs="仿宋"/>
          <w:color w:val="auto"/>
          <w:sz w:val="28"/>
          <w:szCs w:val="28"/>
          <w:highlight w:val="none"/>
        </w:rPr>
      </w:pPr>
    </w:p>
    <w:tbl>
      <w:tblPr>
        <w:tblStyle w:val="18"/>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3017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55BD3A3E">
            <w:pPr>
              <w:shd w:val="clear" w:color="auto" w:fill="auto"/>
              <w:rPr>
                <w:rFonts w:hint="eastAsia" w:ascii="仿宋" w:hAnsi="仿宋" w:eastAsia="仿宋" w:cs="仿宋"/>
                <w:b/>
                <w:bCs/>
                <w:color w:val="auto"/>
                <w:sz w:val="30"/>
                <w:szCs w:val="30"/>
                <w:highlight w:val="none"/>
              </w:rPr>
            </w:pPr>
          </w:p>
          <w:p w14:paraId="7F837EB6">
            <w:pPr>
              <w:shd w:val="clear" w:color="auto" w:fill="auto"/>
              <w:jc w:val="center"/>
              <w:rPr>
                <w:rFonts w:hint="eastAsia" w:ascii="仿宋" w:hAnsi="仿宋" w:eastAsia="仿宋" w:cs="仿宋"/>
                <w:b/>
                <w:bCs/>
                <w:color w:val="auto"/>
                <w:sz w:val="30"/>
                <w:szCs w:val="30"/>
                <w:highlight w:val="none"/>
                <w:lang w:eastAsia="zh-CN"/>
              </w:rPr>
            </w:pPr>
          </w:p>
          <w:p w14:paraId="0E28DEB3">
            <w:pPr>
              <w:shd w:val="clear" w:color="auto" w:fill="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14:paraId="3F5EDC6C">
      <w:pPr>
        <w:pStyle w:val="5"/>
        <w:shd w:val="clear" w:color="auto" w:fill="auto"/>
        <w:rPr>
          <w:rFonts w:hint="eastAsia" w:ascii="仿宋" w:hAnsi="仿宋" w:eastAsia="仿宋" w:cs="仿宋"/>
          <w:color w:val="auto"/>
          <w:highlight w:val="none"/>
        </w:rPr>
      </w:pPr>
    </w:p>
    <w:p w14:paraId="6984B740">
      <w:pPr>
        <w:pStyle w:val="5"/>
        <w:shd w:val="clear" w:color="auto" w:fill="auto"/>
        <w:rPr>
          <w:rFonts w:hint="eastAsia" w:ascii="仿宋" w:hAnsi="仿宋" w:eastAsia="仿宋" w:cs="仿宋"/>
          <w:color w:val="auto"/>
          <w:highlight w:val="none"/>
        </w:rPr>
      </w:pPr>
    </w:p>
    <w:p w14:paraId="2419490B">
      <w:pPr>
        <w:pStyle w:val="5"/>
        <w:shd w:val="clear" w:color="auto" w:fill="auto"/>
        <w:rPr>
          <w:rFonts w:hint="eastAsia" w:ascii="仿宋" w:hAnsi="仿宋" w:eastAsia="仿宋" w:cs="仿宋"/>
          <w:color w:val="auto"/>
          <w:highlight w:val="none"/>
        </w:rPr>
      </w:pPr>
    </w:p>
    <w:p w14:paraId="3B1432A6">
      <w:pPr>
        <w:pStyle w:val="5"/>
        <w:shd w:val="clear" w:color="auto" w:fill="auto"/>
        <w:rPr>
          <w:rFonts w:hint="eastAsia" w:ascii="仿宋" w:hAnsi="仿宋" w:eastAsia="仿宋" w:cs="仿宋"/>
          <w:color w:val="auto"/>
          <w:highlight w:val="none"/>
        </w:rPr>
      </w:pPr>
    </w:p>
    <w:p w14:paraId="5B56E422">
      <w:pPr>
        <w:pStyle w:val="5"/>
        <w:shd w:val="clear" w:color="auto" w:fill="auto"/>
        <w:rPr>
          <w:rFonts w:hint="eastAsia" w:ascii="仿宋" w:hAnsi="仿宋" w:eastAsia="仿宋" w:cs="仿宋"/>
          <w:color w:val="auto"/>
          <w:highlight w:val="none"/>
        </w:rPr>
      </w:pPr>
    </w:p>
    <w:p w14:paraId="397C70DF">
      <w:pPr>
        <w:pStyle w:val="5"/>
        <w:shd w:val="clear" w:color="auto" w:fill="auto"/>
        <w:rPr>
          <w:rFonts w:hint="eastAsia" w:ascii="仿宋" w:hAnsi="仿宋" w:eastAsia="仿宋" w:cs="仿宋"/>
          <w:color w:val="auto"/>
          <w:highlight w:val="none"/>
        </w:rPr>
      </w:pPr>
    </w:p>
    <w:p w14:paraId="4ECB1CE3">
      <w:pPr>
        <w:rPr>
          <w:rFonts w:hint="eastAsia" w:ascii="仿宋" w:hAnsi="仿宋" w:eastAsia="仿宋" w:cs="仿宋"/>
          <w:color w:val="auto"/>
        </w:rPr>
      </w:pPr>
    </w:p>
    <w:p w14:paraId="73AEAC19">
      <w:pPr>
        <w:pStyle w:val="4"/>
        <w:rPr>
          <w:rFonts w:hint="eastAsia" w:ascii="仿宋" w:hAnsi="仿宋" w:eastAsia="仿宋" w:cs="仿宋"/>
          <w:color w:val="auto"/>
        </w:rPr>
      </w:pPr>
    </w:p>
    <w:p w14:paraId="245B7C49">
      <w:pPr>
        <w:rPr>
          <w:rFonts w:hint="eastAsia" w:ascii="仿宋" w:hAnsi="仿宋" w:eastAsia="仿宋" w:cs="仿宋"/>
          <w:color w:val="auto"/>
        </w:rPr>
      </w:pPr>
    </w:p>
    <w:p w14:paraId="39841A72">
      <w:pPr>
        <w:rPr>
          <w:rFonts w:hint="eastAsia" w:ascii="仿宋" w:hAnsi="仿宋" w:eastAsia="仿宋" w:cs="仿宋"/>
          <w:color w:val="auto"/>
        </w:rPr>
      </w:pPr>
    </w:p>
    <w:p w14:paraId="17EE62B1">
      <w:pPr>
        <w:rPr>
          <w:rFonts w:hint="eastAsia" w:ascii="仿宋" w:hAnsi="仿宋" w:eastAsia="仿宋" w:cs="仿宋"/>
          <w:color w:val="auto"/>
        </w:rPr>
      </w:pPr>
    </w:p>
    <w:p w14:paraId="1F9BA983">
      <w:pPr>
        <w:shd w:val="clear" w:color="auto" w:fill="auto"/>
        <w:jc w:val="center"/>
        <w:rPr>
          <w:rFonts w:hint="eastAsia" w:ascii="仿宋" w:hAnsi="仿宋" w:eastAsia="仿宋" w:cs="仿宋"/>
          <w:color w:val="auto"/>
          <w:sz w:val="28"/>
          <w:szCs w:val="28"/>
          <w:highlight w:val="none"/>
        </w:rPr>
      </w:pPr>
    </w:p>
    <w:p w14:paraId="66AB31C6">
      <w:pPr>
        <w:shd w:val="clear" w:color="auto" w:fill="auto"/>
        <w:jc w:val="center"/>
        <w:rPr>
          <w:rFonts w:hint="eastAsia" w:ascii="仿宋" w:hAnsi="仿宋" w:eastAsia="仿宋" w:cs="仿宋"/>
          <w:color w:val="auto"/>
          <w:sz w:val="28"/>
          <w:szCs w:val="28"/>
          <w:highlight w:val="none"/>
        </w:rPr>
      </w:pPr>
    </w:p>
    <w:p w14:paraId="0CEDA6B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7E1ACF7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0519258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1FABE8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094D89D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7FC06A5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CA4F32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697B6F2F">
      <w:pPr>
        <w:ind w:left="4777" w:leftChars="200" w:hanging="4287" w:hangingChars="1750"/>
        <w:rPr>
          <w:rFonts w:hint="eastAsia" w:ascii="宋体" w:hAnsi="宋体" w:eastAsia="宋体" w:cs="宋体"/>
          <w:color w:val="auto"/>
        </w:rPr>
      </w:pPr>
    </w:p>
    <w:p w14:paraId="282A32FA">
      <w:pPr>
        <w:shd w:val="clear" w:color="auto" w:fill="auto"/>
        <w:jc w:val="center"/>
        <w:rPr>
          <w:rFonts w:hint="eastAsia" w:ascii="仿宋" w:hAnsi="仿宋" w:eastAsia="仿宋" w:cs="仿宋"/>
          <w:b/>
          <w:bCs/>
          <w:color w:val="auto"/>
          <w:sz w:val="28"/>
          <w:szCs w:val="28"/>
          <w:highlight w:val="none"/>
        </w:rPr>
      </w:pPr>
      <w:bookmarkStart w:id="68" w:name="bookmark235"/>
      <w:bookmarkStart w:id="69" w:name="bookmark234"/>
      <w:bookmarkStart w:id="70" w:name="bookmark228"/>
      <w:bookmarkStart w:id="71" w:name="bookmark225"/>
      <w:bookmarkStart w:id="72" w:name="bookmark236"/>
      <w:bookmarkStart w:id="73" w:name="bookmark233"/>
      <w:bookmarkStart w:id="74" w:name="bookmark226"/>
    </w:p>
    <w:p w14:paraId="2902A556">
      <w:pPr>
        <w:shd w:val="clear" w:color="auto" w:fill="auto"/>
        <w:jc w:val="center"/>
        <w:rPr>
          <w:rFonts w:hint="eastAsia" w:ascii="仿宋" w:hAnsi="仿宋" w:eastAsia="仿宋" w:cs="仿宋"/>
          <w:b/>
          <w:bCs/>
          <w:color w:val="auto"/>
          <w:sz w:val="28"/>
          <w:szCs w:val="28"/>
          <w:highlight w:val="none"/>
        </w:rPr>
      </w:pPr>
    </w:p>
    <w:p w14:paraId="7EB58163">
      <w:pPr>
        <w:shd w:val="clear" w:color="auto" w:fill="auto"/>
        <w:jc w:val="center"/>
        <w:rPr>
          <w:rFonts w:hint="eastAsia" w:ascii="仿宋" w:hAnsi="仿宋" w:eastAsia="仿宋" w:cs="仿宋"/>
          <w:b/>
          <w:bCs/>
          <w:color w:val="auto"/>
          <w:sz w:val="28"/>
          <w:szCs w:val="28"/>
          <w:highlight w:val="none"/>
        </w:rPr>
      </w:pPr>
    </w:p>
    <w:p w14:paraId="77846051">
      <w:pPr>
        <w:shd w:val="clear" w:color="auto" w:fill="auto"/>
        <w:jc w:val="center"/>
        <w:rPr>
          <w:rFonts w:hint="eastAsia" w:ascii="仿宋" w:hAnsi="仿宋" w:eastAsia="仿宋" w:cs="仿宋"/>
          <w:b/>
          <w:bCs/>
          <w:color w:val="auto"/>
          <w:sz w:val="28"/>
          <w:szCs w:val="28"/>
          <w:highlight w:val="none"/>
        </w:rPr>
      </w:pPr>
    </w:p>
    <w:p w14:paraId="476EC1F5">
      <w:pPr>
        <w:shd w:val="clear" w:color="auto" w:fill="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政府采购投标担保函 （项目用）</w:t>
      </w:r>
    </w:p>
    <w:p w14:paraId="50EF63E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编号：</w:t>
      </w:r>
    </w:p>
    <w:p w14:paraId="56D6F64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default"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（采购人或采购代理机构）：  </w:t>
      </w:r>
    </w:p>
    <w:p w14:paraId="38D2A0C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鉴于               （以下简称“投标人”）拟参加编号为                 的                                       </w:t>
      </w:r>
    </w:p>
    <w:p w14:paraId="0FE3AD9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项目（以下简称“本项目”）投标，根据本项目谈判文件，供应商参加投标时应向你方交纳投标保证金，且可以投标担保函的形式交纳投标保证金。应供应商的申请，我方以保证的方式向你方提供如下投标保证金担保：</w:t>
      </w:r>
    </w:p>
    <w:p w14:paraId="21E42B7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一、保证责任的情形及保证金额</w:t>
      </w:r>
    </w:p>
    <w:p w14:paraId="01B2FBE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（一）在投标人出现下列情形之一时，我方承担保证责任：</w:t>
      </w:r>
    </w:p>
    <w:p w14:paraId="79E6DAD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1．中标后投标人无正当理由不与采购人或者采购代理机构签订《政府采购合同》；</w:t>
      </w:r>
    </w:p>
    <w:p w14:paraId="292491D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2．谈判文件规定的投标人应当缴纳保证金的其他情形。</w:t>
      </w:r>
    </w:p>
    <w:p w14:paraId="182A773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（二）我方承担保证责任的最高金额为人民币      元（大写            ），即本项目的投标保证金金额。</w:t>
      </w:r>
    </w:p>
    <w:p w14:paraId="2E5A778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二、保证的方式及保证期间</w:t>
      </w:r>
    </w:p>
    <w:p w14:paraId="452C3AA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我方保证的方式为：连带责任保证。</w:t>
      </w:r>
    </w:p>
    <w:p w14:paraId="09E4928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我方的保证期间为：自本保函生效之日起    个月止。</w:t>
      </w:r>
    </w:p>
    <w:p w14:paraId="4BC1C1B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三、承担保证责任的程序</w:t>
      </w:r>
    </w:p>
    <w:p w14:paraId="6E760C5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1B1CE7D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2．我方在收到索赔通知及相关证明材料后，在　　　个工作日内进行审查，符合应承担保证责任情形的，我方应按照你方的要求代投标人向你方支付投标保证金。</w:t>
      </w:r>
    </w:p>
    <w:p w14:paraId="3BC070E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四、保证责任的终止</w:t>
      </w:r>
    </w:p>
    <w:p w14:paraId="4E9D2B4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1．保证期间届满你方未向我方书面主张保证责任的，自保证期间届满次日起，我方保证责任自动终止。</w:t>
      </w:r>
    </w:p>
    <w:p w14:paraId="41E86E1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2．我方按照本保函向你贵方履行了保证责任后，自我方向你贵方支付款项（支付款项从我方账户划出）之日起，保证责任终止。</w:t>
      </w:r>
    </w:p>
    <w:p w14:paraId="41C19A1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3．按照法律法规的规定或出现我方保证责任终止的其它情形的，我方在本保函项下的保证责任亦终止。</w:t>
      </w:r>
    </w:p>
    <w:p w14:paraId="10C076C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五、免责条款</w:t>
      </w:r>
    </w:p>
    <w:p w14:paraId="1F1BB9F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1．依照法律规定或你方与投标人的另行约定，全部或者部分免除投标人投标保证金义务时，我方亦免除相应的保证责任。</w:t>
      </w:r>
    </w:p>
    <w:p w14:paraId="47343E4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2．因你方原因致使投标人发生本保函第一条第（一）款约定情形的，我方不承担保证责任。</w:t>
      </w:r>
    </w:p>
    <w:p w14:paraId="68E2AA2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3．因不可抗力造成投标人发生本保函第一条约定情形的，我方不承担保证责任。</w:t>
      </w:r>
    </w:p>
    <w:p w14:paraId="12083B5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4．你方或其他有权机关对谈判文件进行任何澄清或修改，加重我方保证责任的，我方对加重部分不承担保证责任，但该澄清或修改经我方事先书面同意的除外。</w:t>
      </w:r>
    </w:p>
    <w:p w14:paraId="50BCD6F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六、争议的解决</w:t>
      </w:r>
    </w:p>
    <w:p w14:paraId="6DFE3E5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因本保函发生的纠纷，由你我双方协商解决，协商不成的，通过诉讼程序解决，诉讼管辖地法院为          法院。</w:t>
      </w:r>
    </w:p>
    <w:p w14:paraId="70E04CB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七、保函的生效</w:t>
      </w:r>
    </w:p>
    <w:p w14:paraId="167BDAC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本保函自我方加盖公章之日起生效。</w:t>
      </w:r>
    </w:p>
    <w:p w14:paraId="0D5026E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14:paraId="495FDDAC">
      <w:pPr>
        <w:keepNext w:val="0"/>
        <w:keepLines w:val="0"/>
        <w:pageBreakBefore w:val="0"/>
        <w:widowControl w:val="0"/>
        <w:shd w:val="clear" w:color="auto" w:fill="auto"/>
        <w:tabs>
          <w:tab w:val="left" w:pos="5580"/>
          <w:tab w:val="left" w:pos="7010"/>
          <w:tab w:val="right" w:pos="9116"/>
        </w:tabs>
        <w:kinsoku/>
        <w:wordWrap/>
        <w:overflowPunct/>
        <w:topLinePunct w:val="0"/>
        <w:autoSpaceDE/>
        <w:autoSpaceDN/>
        <w:bidi w:val="0"/>
        <w:adjustRightInd/>
        <w:snapToGrid/>
        <w:spacing w:line="500" w:lineRule="atLeast"/>
        <w:jc w:val="lef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ab/>
      </w: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保证人：（公章）</w:t>
      </w:r>
    </w:p>
    <w:p w14:paraId="2E074CB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w:t>
      </w:r>
    </w:p>
    <w:p w14:paraId="6BB8D78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jc w:val="center"/>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sectPr>
          <w:pgSz w:w="11905" w:h="16838"/>
          <w:pgMar w:top="1440" w:right="1080" w:bottom="1440" w:left="1080" w:header="850" w:footer="992" w:gutter="0"/>
          <w:pgNumType w:fmt="decimal" w:start="1"/>
          <w:cols w:space="0" w:num="1"/>
          <w:rtlGutter w:val="0"/>
          <w:docGrid w:type="linesAndChars" w:linePitch="332" w:charSpace="1057"/>
        </w:sect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年     月     日  </w:t>
      </w:r>
    </w:p>
    <w:p w14:paraId="480266B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66"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5、投标企业须提供投标人（被授权在职人员）近6个月内任意一个月有效的社保证明；</w:t>
      </w:r>
    </w:p>
    <w:p w14:paraId="57817B7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auto"/>
          <w:lang w:val="en-US" w:eastAsia="zh-CN"/>
        </w:rPr>
      </w:pPr>
    </w:p>
    <w:p w14:paraId="402053F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说明：复印件上应加盖本单位章</w:t>
      </w:r>
    </w:p>
    <w:p w14:paraId="3FFD676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04D659A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596E82F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3B479ED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70742F6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66"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6、参加政府采购活动前三年内，在经营活动中没有重大违法记录；未被“信用中国”（www.creditchina.gov.cn）、中国政府采购网（www.ccgp.gov.cn）列入失信被执行人、税收违法黑名单、政府采购严重违法失信行为记录名单；</w:t>
      </w:r>
    </w:p>
    <w:p w14:paraId="6F1C05E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6AB023B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32B9F12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71A2C93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66"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7、投标人须知资料表要求的其他资格证明文件</w:t>
      </w:r>
    </w:p>
    <w:p w14:paraId="02F5D235">
      <w:pPr>
        <w:snapToGrid w:val="0"/>
        <w:spacing w:line="360" w:lineRule="auto"/>
        <w:rPr>
          <w:rFonts w:hint="eastAsia" w:ascii="仿宋" w:hAnsi="仿宋" w:eastAsia="仿宋" w:cs="仿宋"/>
          <w:b/>
          <w:color w:val="auto"/>
          <w:lang w:val="en-US" w:eastAsia="zh-CN"/>
        </w:rPr>
      </w:pPr>
    </w:p>
    <w:p w14:paraId="0A3D79FC">
      <w:pPr>
        <w:snapToGrid w:val="0"/>
        <w:spacing w:line="360" w:lineRule="auto"/>
        <w:rPr>
          <w:rFonts w:hint="eastAsia" w:ascii="仿宋" w:hAnsi="仿宋" w:eastAsia="仿宋" w:cs="仿宋"/>
          <w:b/>
          <w:color w:val="auto"/>
          <w:lang w:val="en-US" w:eastAsia="zh-CN"/>
        </w:rPr>
      </w:pPr>
    </w:p>
    <w:p w14:paraId="51F2F5BA">
      <w:pPr>
        <w:snapToGrid w:val="0"/>
        <w:spacing w:line="360" w:lineRule="auto"/>
        <w:rPr>
          <w:rFonts w:hint="eastAsia" w:ascii="仿宋" w:hAnsi="仿宋" w:eastAsia="仿宋" w:cs="仿宋"/>
          <w:b/>
          <w:color w:val="auto"/>
          <w:lang w:val="en-US" w:eastAsia="zh-CN"/>
        </w:rPr>
      </w:pPr>
    </w:p>
    <w:p w14:paraId="0022B275">
      <w:pPr>
        <w:snapToGrid w:val="0"/>
        <w:spacing w:line="360" w:lineRule="auto"/>
        <w:rPr>
          <w:rFonts w:hint="eastAsia" w:ascii="仿宋" w:hAnsi="仿宋" w:eastAsia="仿宋" w:cs="仿宋"/>
          <w:b/>
          <w:color w:val="auto"/>
          <w:lang w:val="en-US" w:eastAsia="zh-CN"/>
        </w:rPr>
      </w:pPr>
    </w:p>
    <w:p w14:paraId="4B7A6EC5">
      <w:pPr>
        <w:snapToGrid w:val="0"/>
        <w:spacing w:line="360" w:lineRule="auto"/>
        <w:rPr>
          <w:rFonts w:hint="eastAsia" w:ascii="仿宋" w:hAnsi="仿宋" w:eastAsia="仿宋" w:cs="仿宋"/>
          <w:b/>
          <w:color w:val="auto"/>
          <w:lang w:val="en-US" w:eastAsia="zh-CN"/>
        </w:rPr>
      </w:pPr>
    </w:p>
    <w:p w14:paraId="12100DF0">
      <w:pPr>
        <w:snapToGrid w:val="0"/>
        <w:spacing w:line="360" w:lineRule="auto"/>
        <w:rPr>
          <w:rFonts w:hint="eastAsia" w:ascii="仿宋" w:hAnsi="仿宋" w:eastAsia="仿宋" w:cs="仿宋"/>
          <w:b/>
          <w:color w:val="auto"/>
          <w:lang w:val="en-US" w:eastAsia="zh-CN"/>
        </w:rPr>
      </w:pPr>
    </w:p>
    <w:p w14:paraId="2B94E64F">
      <w:pPr>
        <w:snapToGrid w:val="0"/>
        <w:spacing w:line="360" w:lineRule="auto"/>
        <w:rPr>
          <w:rFonts w:hint="eastAsia" w:ascii="仿宋" w:hAnsi="仿宋" w:eastAsia="仿宋" w:cs="仿宋"/>
          <w:b/>
          <w:color w:val="auto"/>
          <w:lang w:val="en-US" w:eastAsia="zh-CN"/>
        </w:rPr>
      </w:pPr>
    </w:p>
    <w:p w14:paraId="472A6556">
      <w:pPr>
        <w:snapToGrid w:val="0"/>
        <w:spacing w:line="360" w:lineRule="auto"/>
        <w:rPr>
          <w:rFonts w:hint="eastAsia" w:ascii="仿宋" w:hAnsi="仿宋" w:eastAsia="仿宋" w:cs="仿宋"/>
          <w:b/>
          <w:color w:val="auto"/>
          <w:lang w:val="en-US" w:eastAsia="zh-CN"/>
        </w:rPr>
      </w:pPr>
    </w:p>
    <w:p w14:paraId="5D67A817">
      <w:pPr>
        <w:snapToGrid w:val="0"/>
        <w:spacing w:line="360" w:lineRule="auto"/>
        <w:rPr>
          <w:rFonts w:hint="eastAsia" w:ascii="仿宋" w:hAnsi="仿宋" w:eastAsia="仿宋" w:cs="仿宋"/>
          <w:b/>
          <w:color w:val="auto"/>
          <w:lang w:val="en-US" w:eastAsia="zh-CN"/>
        </w:rPr>
      </w:pPr>
    </w:p>
    <w:p w14:paraId="638EFCDF">
      <w:pPr>
        <w:snapToGrid w:val="0"/>
        <w:spacing w:line="360" w:lineRule="auto"/>
        <w:rPr>
          <w:rFonts w:hint="eastAsia" w:ascii="仿宋" w:hAnsi="仿宋" w:eastAsia="仿宋" w:cs="仿宋"/>
          <w:b/>
          <w:color w:val="auto"/>
          <w:lang w:val="en-US" w:eastAsia="zh-CN"/>
        </w:rPr>
      </w:pPr>
    </w:p>
    <w:p w14:paraId="1C8AC743">
      <w:pPr>
        <w:snapToGrid w:val="0"/>
        <w:spacing w:line="360" w:lineRule="auto"/>
        <w:rPr>
          <w:rFonts w:hint="eastAsia" w:ascii="仿宋" w:hAnsi="仿宋" w:eastAsia="仿宋" w:cs="仿宋"/>
          <w:b/>
          <w:color w:val="auto"/>
          <w:lang w:val="en-US" w:eastAsia="zh-CN"/>
        </w:rPr>
      </w:pPr>
    </w:p>
    <w:p w14:paraId="2AA8DC00">
      <w:pPr>
        <w:snapToGrid w:val="0"/>
        <w:spacing w:line="360" w:lineRule="auto"/>
        <w:rPr>
          <w:rFonts w:hint="eastAsia" w:ascii="仿宋" w:hAnsi="仿宋" w:eastAsia="仿宋" w:cs="仿宋"/>
          <w:b/>
          <w:color w:val="auto"/>
          <w:lang w:val="en-US" w:eastAsia="zh-CN"/>
        </w:rPr>
      </w:pPr>
    </w:p>
    <w:p w14:paraId="1B52DC31">
      <w:pPr>
        <w:snapToGrid w:val="0"/>
        <w:spacing w:line="360" w:lineRule="auto"/>
        <w:rPr>
          <w:rFonts w:hint="eastAsia" w:ascii="仿宋" w:hAnsi="仿宋" w:eastAsia="仿宋" w:cs="仿宋"/>
          <w:b/>
          <w:color w:val="auto"/>
          <w:lang w:val="en-US" w:eastAsia="zh-CN"/>
        </w:rPr>
      </w:pPr>
    </w:p>
    <w:p w14:paraId="2CEB9ED9">
      <w:pPr>
        <w:snapToGrid w:val="0"/>
        <w:spacing w:line="360" w:lineRule="auto"/>
        <w:jc w:val="center"/>
        <w:rPr>
          <w:rFonts w:hint="eastAsia" w:ascii="仿宋" w:hAnsi="仿宋" w:eastAsia="仿宋" w:cs="仿宋"/>
          <w:b/>
          <w:color w:val="auto"/>
          <w:sz w:val="28"/>
          <w:szCs w:val="28"/>
          <w:lang w:val="en-US" w:eastAsia="zh-CN"/>
        </w:rPr>
      </w:pPr>
    </w:p>
    <w:p w14:paraId="4BC4EAB6">
      <w:pPr>
        <w:snapToGrid w:val="0"/>
        <w:spacing w:line="360" w:lineRule="auto"/>
        <w:jc w:val="center"/>
        <w:rPr>
          <w:rFonts w:hint="eastAsia" w:ascii="仿宋" w:hAnsi="仿宋" w:eastAsia="仿宋" w:cs="仿宋"/>
          <w:b/>
          <w:color w:val="auto"/>
          <w:sz w:val="28"/>
          <w:szCs w:val="28"/>
          <w:lang w:val="en-US" w:eastAsia="zh-CN"/>
        </w:rPr>
      </w:pPr>
    </w:p>
    <w:p w14:paraId="5D0F7492">
      <w:pPr>
        <w:snapToGrid w:val="0"/>
        <w:spacing w:line="360" w:lineRule="auto"/>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商务及技术文件</w:t>
      </w:r>
    </w:p>
    <w:p w14:paraId="2A00323D">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1、投标函</w:t>
      </w:r>
    </w:p>
    <w:p w14:paraId="231309BD">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2、开标一览表</w:t>
      </w:r>
    </w:p>
    <w:p w14:paraId="51B65C69">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default" w:ascii="仿宋" w:hAnsi="仿宋" w:eastAsia="仿宋" w:cs="仿宋"/>
          <w:b/>
          <w:color w:val="auto"/>
          <w:lang w:val="en-US" w:eastAsia="zh-CN"/>
        </w:rPr>
      </w:pPr>
      <w:r>
        <w:rPr>
          <w:rFonts w:hint="eastAsia" w:ascii="仿宋" w:hAnsi="仿宋" w:eastAsia="仿宋" w:cs="仿宋"/>
          <w:b/>
          <w:color w:val="auto"/>
          <w:lang w:val="en-US" w:eastAsia="zh-CN"/>
        </w:rPr>
        <w:t>3、货物说明一览表</w:t>
      </w:r>
    </w:p>
    <w:p w14:paraId="5D5F9290">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4、投标分项报价明细表</w:t>
      </w:r>
    </w:p>
    <w:p w14:paraId="684D1D91">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5、技术规格偏离表</w:t>
      </w:r>
    </w:p>
    <w:p w14:paraId="461283D5">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6、商务条款偏离表</w:t>
      </w:r>
    </w:p>
    <w:p w14:paraId="768C47B5">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7、投标人基本情况表</w:t>
      </w:r>
    </w:p>
    <w:p w14:paraId="1530151C">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default" w:ascii="仿宋" w:hAnsi="仿宋" w:eastAsia="仿宋" w:cs="仿宋"/>
          <w:b/>
          <w:color w:val="auto"/>
          <w:lang w:val="en-US" w:eastAsia="zh-CN"/>
        </w:rPr>
      </w:pPr>
      <w:r>
        <w:rPr>
          <w:rFonts w:hint="eastAsia" w:ascii="仿宋" w:hAnsi="仿宋" w:eastAsia="仿宋" w:cs="仿宋"/>
          <w:b/>
          <w:color w:val="auto"/>
          <w:lang w:val="en-US" w:eastAsia="zh-CN"/>
        </w:rPr>
        <w:t>8、中标服务费支付承诺书</w:t>
      </w:r>
    </w:p>
    <w:p w14:paraId="533E5F9D">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9、中小企业声明函(货物)（如有）</w:t>
      </w:r>
    </w:p>
    <w:p w14:paraId="13699DB2">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10、残疾人福利性单位声明函</w:t>
      </w:r>
    </w:p>
    <w:p w14:paraId="560F298E">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sz w:val="24"/>
          <w:szCs w:val="24"/>
          <w:highlight w:val="none"/>
          <w:lang w:val="en-US" w:eastAsia="zh-CN"/>
        </w:rPr>
        <w:t>11、质量保证及售后服务（格式自拟）</w:t>
      </w:r>
    </w:p>
    <w:p w14:paraId="12BE4039">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sz w:val="24"/>
          <w:szCs w:val="24"/>
          <w:lang w:val="en-US" w:eastAsia="zh-CN" w:bidi="en-US"/>
        </w:rPr>
      </w:pPr>
      <w:r>
        <w:rPr>
          <w:rFonts w:hint="eastAsia" w:ascii="仿宋" w:hAnsi="仿宋" w:eastAsia="仿宋" w:cs="仿宋"/>
          <w:b/>
          <w:color w:val="auto"/>
          <w:sz w:val="24"/>
          <w:szCs w:val="24"/>
          <w:lang w:val="en-US" w:eastAsia="zh-CN" w:bidi="en-US"/>
        </w:rPr>
        <w:t>12、投标人认为有必要提供的其他证明材料</w:t>
      </w:r>
    </w:p>
    <w:p w14:paraId="5DB1FD6A">
      <w:pPr>
        <w:pStyle w:val="23"/>
        <w:rPr>
          <w:color w:val="auto"/>
        </w:rPr>
      </w:pPr>
    </w:p>
    <w:p w14:paraId="411021B9">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2516E378">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526211FF">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798B46C2">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391B4DE0">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0AFBEA32">
      <w:pPr>
        <w:pStyle w:val="7"/>
        <w:numPr>
          <w:ilvl w:val="0"/>
          <w:numId w:val="0"/>
        </w:numPr>
        <w:kinsoku w:val="0"/>
        <w:overflowPunct w:val="0"/>
        <w:spacing w:before="130" w:line="355" w:lineRule="auto"/>
        <w:ind w:right="7" w:rightChars="0"/>
        <w:jc w:val="both"/>
        <w:rPr>
          <w:rFonts w:hint="eastAsia" w:ascii="仿宋" w:hAnsi="仿宋" w:eastAsia="仿宋" w:cs="仿宋"/>
          <w:b/>
          <w:bCs/>
          <w:color w:val="auto"/>
          <w:sz w:val="36"/>
          <w:szCs w:val="36"/>
          <w:lang w:val="en-US" w:eastAsia="zh-CN"/>
        </w:rPr>
      </w:pPr>
    </w:p>
    <w:p w14:paraId="66264EF7">
      <w:pPr>
        <w:pStyle w:val="16"/>
        <w:numPr>
          <w:ilvl w:val="0"/>
          <w:numId w:val="0"/>
        </w:numPr>
        <w:tabs>
          <w:tab w:val="clear" w:pos="780"/>
        </w:tabs>
        <w:ind w:leftChars="100"/>
        <w:rPr>
          <w:rFonts w:hint="eastAsia"/>
          <w:lang w:val="en-US" w:eastAsia="zh-CN"/>
        </w:rPr>
      </w:pPr>
    </w:p>
    <w:p w14:paraId="30385193">
      <w:pPr>
        <w:rPr>
          <w:rFonts w:hint="eastAsia"/>
          <w:lang w:val="en-US" w:eastAsia="zh-CN"/>
        </w:rPr>
      </w:pPr>
    </w:p>
    <w:p w14:paraId="3ADD8AEA">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1</w:t>
      </w:r>
      <w:r>
        <w:rPr>
          <w:rFonts w:hint="eastAsia" w:ascii="仿宋" w:hAnsi="仿宋" w:eastAsia="仿宋" w:cs="仿宋"/>
          <w:b/>
          <w:bCs/>
          <w:color w:val="auto"/>
          <w:sz w:val="36"/>
          <w:szCs w:val="36"/>
        </w:rPr>
        <w:t>、投标函</w:t>
      </w:r>
    </w:p>
    <w:p w14:paraId="080688EC">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u w:val="single"/>
        </w:rPr>
      </w:pPr>
      <w:r>
        <w:rPr>
          <w:rFonts w:hint="eastAsia" w:ascii="仿宋" w:hAnsi="仿宋" w:eastAsia="仿宋" w:cs="仿宋"/>
          <w:color w:val="auto"/>
          <w:kern w:val="0"/>
          <w:sz w:val="24"/>
        </w:rPr>
        <w:t>致：</w:t>
      </w:r>
      <w:r>
        <w:rPr>
          <w:rFonts w:hint="eastAsia" w:ascii="仿宋" w:hAnsi="仿宋" w:eastAsia="仿宋" w:cs="仿宋"/>
          <w:color w:val="auto"/>
          <w:kern w:val="0"/>
          <w:sz w:val="24"/>
          <w:u w:val="single"/>
        </w:rPr>
        <w:t xml:space="preserve">                     </w:t>
      </w:r>
    </w:p>
    <w:p w14:paraId="45EE998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为响应你方组织的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项目的招标[项目编号为：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]，我方愿参与投标。</w:t>
      </w:r>
    </w:p>
    <w:p w14:paraId="6A5EFF92">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我方确认收到贵方提供的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eastAsia="zh-CN"/>
        </w:rPr>
        <w:t>（项目名称）</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none"/>
          <w:lang w:eastAsia="zh-CN"/>
        </w:rPr>
        <w:t>谈判文件</w:t>
      </w:r>
      <w:r>
        <w:rPr>
          <w:rFonts w:hint="eastAsia" w:ascii="仿宋" w:hAnsi="仿宋" w:eastAsia="仿宋" w:cs="仿宋"/>
          <w:color w:val="auto"/>
          <w:kern w:val="0"/>
          <w:sz w:val="24"/>
        </w:rPr>
        <w:t>的全部内容。</w:t>
      </w:r>
    </w:p>
    <w:p w14:paraId="7104E252">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我方在参与投标前已详细研究了</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的所有内容，包括澄清、修改文件（如果有）和所有已提供的参考资料以及有关附件，我方完全明白并认为此</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没有倾向性，也不存在排斥潜在报价投标人的内容，我方同意</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的相关条款，放弃对</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提出误解和质疑的一切权力。</w:t>
      </w:r>
    </w:p>
    <w:p w14:paraId="77C68C3A">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(投标人名称)      </w:t>
      </w:r>
      <w:r>
        <w:rPr>
          <w:rFonts w:hint="eastAsia" w:ascii="仿宋" w:hAnsi="仿宋" w:eastAsia="仿宋" w:cs="仿宋"/>
          <w:color w:val="auto"/>
          <w:kern w:val="0"/>
          <w:sz w:val="24"/>
        </w:rPr>
        <w:t>作为投标人正式授权</w:t>
      </w:r>
      <w:r>
        <w:rPr>
          <w:rFonts w:hint="eastAsia" w:ascii="仿宋" w:hAnsi="仿宋" w:eastAsia="仿宋" w:cs="仿宋"/>
          <w:color w:val="auto"/>
          <w:kern w:val="0"/>
          <w:sz w:val="24"/>
          <w:u w:val="single"/>
        </w:rPr>
        <w:t xml:space="preserve">  (授权代表全名, 职务)  </w:t>
      </w:r>
      <w:r>
        <w:rPr>
          <w:rFonts w:hint="eastAsia" w:ascii="仿宋" w:hAnsi="仿宋" w:eastAsia="仿宋" w:cs="仿宋"/>
          <w:color w:val="auto"/>
          <w:kern w:val="0"/>
          <w:sz w:val="24"/>
        </w:rPr>
        <w:t>代表我方全权处理有关本报价的一切事宜。</w:t>
      </w:r>
    </w:p>
    <w:p w14:paraId="163FA360">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我方已完全明白</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的所有条款要求，并申明如下：</w:t>
      </w:r>
    </w:p>
    <w:p w14:paraId="480B8F11">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（一）按</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提供的全部货物与相关服务的投标总价详见《报价一览表》。</w:t>
      </w:r>
    </w:p>
    <w:p w14:paraId="6E4FB296">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（二）本</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的有效期为投标截止时间起</w:t>
      </w:r>
      <w:r>
        <w:rPr>
          <w:rFonts w:hint="eastAsia" w:ascii="仿宋" w:hAnsi="仿宋" w:eastAsia="仿宋" w:cs="仿宋"/>
          <w:color w:val="auto"/>
          <w:kern w:val="0"/>
          <w:sz w:val="24"/>
          <w:u w:val="single"/>
          <w:lang w:val="en-US" w:eastAsia="zh-CN"/>
        </w:rPr>
        <w:t>60</w:t>
      </w:r>
      <w:r>
        <w:rPr>
          <w:rFonts w:hint="eastAsia" w:ascii="仿宋" w:hAnsi="仿宋" w:eastAsia="仿宋" w:cs="仿宋"/>
          <w:color w:val="auto"/>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0E56FF1D">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（三）我方同意按照贵方可能提出的要求而提供与投标有关的任何其它数据、信息或资料。</w:t>
      </w:r>
    </w:p>
    <w:p w14:paraId="691C564D">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四</w:t>
      </w:r>
      <w:r>
        <w:rPr>
          <w:rFonts w:hint="eastAsia" w:ascii="仿宋" w:hAnsi="仿宋" w:eastAsia="仿宋" w:cs="仿宋"/>
          <w:color w:val="auto"/>
          <w:kern w:val="0"/>
          <w:sz w:val="24"/>
        </w:rPr>
        <w:t>）我方如果中标，将保证履行</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及其澄清、修改文件（如果有）中的全部责任和义务，按质、按量、按期完成《招标内容》及《合同书》中的全部任务。</w:t>
      </w:r>
    </w:p>
    <w:p w14:paraId="6B173575">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五</w:t>
      </w:r>
      <w:r>
        <w:rPr>
          <w:rFonts w:hint="eastAsia" w:ascii="仿宋" w:hAnsi="仿宋" w:eastAsia="仿宋" w:cs="仿宋"/>
          <w:color w:val="auto"/>
          <w:kern w:val="0"/>
          <w:sz w:val="24"/>
        </w:rPr>
        <w:t>）如我方被授予合同，我方承诺支付就本次招标应支付或将支付的中标服务费（详见按</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要求格式填写的《中标服务费支付承诺书》）。</w:t>
      </w:r>
    </w:p>
    <w:p w14:paraId="371905EA">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六</w:t>
      </w:r>
      <w:r>
        <w:rPr>
          <w:rFonts w:hint="eastAsia" w:ascii="仿宋" w:hAnsi="仿宋" w:eastAsia="仿宋" w:cs="仿宋"/>
          <w:color w:val="auto"/>
          <w:kern w:val="0"/>
          <w:sz w:val="24"/>
        </w:rPr>
        <w:t>）我方作为在法律、财务和运作上独立于采购人、招标代理机构的投标人，在此保证所提交的所有文件和全部说明是真实的和正确的。</w:t>
      </w:r>
    </w:p>
    <w:p w14:paraId="4E0A51F4">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七</w:t>
      </w:r>
      <w:r>
        <w:rPr>
          <w:rFonts w:hint="eastAsia" w:ascii="仿宋" w:hAnsi="仿宋" w:eastAsia="仿宋" w:cs="仿宋"/>
          <w:color w:val="auto"/>
          <w:kern w:val="0"/>
          <w:sz w:val="24"/>
        </w:rPr>
        <w:t>）我方投标报价已包含应向知识产权所有权人支付的所有相关税费，并保证采购人在中国使用我方提供的货物时，如有第三方提出侵犯其知识产权主张的，责任由我方承担。</w:t>
      </w:r>
    </w:p>
    <w:p w14:paraId="29BB7D52">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八</w:t>
      </w:r>
      <w:r>
        <w:rPr>
          <w:rFonts w:hint="eastAsia" w:ascii="仿宋" w:hAnsi="仿宋" w:eastAsia="仿宋" w:cs="仿宋"/>
          <w:color w:val="auto"/>
          <w:kern w:val="0"/>
          <w:sz w:val="24"/>
        </w:rPr>
        <w:t>）我方与其他投标人不存在单位负责人为同一人或者存在直接控股、管理关系。</w:t>
      </w:r>
    </w:p>
    <w:p w14:paraId="138786CF">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九</w:t>
      </w:r>
      <w:r>
        <w:rPr>
          <w:rFonts w:hint="eastAsia" w:ascii="仿宋" w:hAnsi="仿宋" w:eastAsia="仿宋" w:cs="仿宋"/>
          <w:color w:val="auto"/>
          <w:kern w:val="0"/>
          <w:sz w:val="24"/>
        </w:rPr>
        <w:t>）我方承诺未为本项目提供整体设计、规范编制或者项目管理、监理、检测等服务。</w:t>
      </w:r>
    </w:p>
    <w:p w14:paraId="109FEE78">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（十）我方具备《政府采购法》第二十二条规定的条件，承诺如下：</w:t>
      </w:r>
    </w:p>
    <w:p w14:paraId="543DBA0E">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（1）我方已依法缴纳了各项税费及社会保险费用，如有需要，可随时向采购人提供近三个月内的相关缴费证明，以便核查。</w:t>
      </w:r>
    </w:p>
    <w:p w14:paraId="567765C4">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（2）我方已依法建立健全的财务会计制度，如有需要，可随时向采购人提供相关的证明材料，以便核查。</w:t>
      </w:r>
    </w:p>
    <w:p w14:paraId="30716FAB">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（3）我方参加本项目政府采购活动前3年内在经营活动中没有重大违法记录。</w:t>
      </w:r>
    </w:p>
    <w:p w14:paraId="3439713F">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（4）我方具备履行合同所必需的设备和专业技术能力。</w:t>
      </w:r>
    </w:p>
    <w:p w14:paraId="14B0AB7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（5）我方符合法律、行政法规规定的其他条件。</w:t>
      </w:r>
    </w:p>
    <w:p w14:paraId="76603B2F">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以上内容如有虚假或与事实不符的，评审委员会可将我方做无效投标处理，我方愿意承担相应的法律责任。</w:t>
      </w:r>
    </w:p>
    <w:p w14:paraId="649A6A0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（十三）我方对在本函及</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中所作的所有承诺承担法律责任。</w:t>
      </w:r>
    </w:p>
    <w:p w14:paraId="4DF9A043">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（十四）所有与本招标有关的函件请发往下列地址：</w:t>
      </w:r>
    </w:p>
    <w:p w14:paraId="5DD741AB">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地    址：</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.邮政编码：</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231BF03B">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电    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657F4659">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传    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0844F32E">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代表姓名：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.职    务：</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389A3FDA">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（公章） </w:t>
      </w:r>
    </w:p>
    <w:p w14:paraId="357FCD3E">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法定代表人或委托人：</w:t>
      </w:r>
      <w:r>
        <w:rPr>
          <w:rFonts w:hint="eastAsia" w:ascii="仿宋" w:hAnsi="仿宋" w:eastAsia="仿宋" w:cs="仿宋"/>
          <w:color w:val="auto"/>
          <w:kern w:val="0"/>
          <w:sz w:val="24"/>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签字或盖章</w:t>
      </w:r>
      <w:r>
        <w:rPr>
          <w:rFonts w:hint="eastAsia" w:ascii="仿宋" w:hAnsi="仿宋" w:eastAsia="仿宋" w:cs="仿宋"/>
          <w:color w:val="auto"/>
          <w:kern w:val="0"/>
          <w:sz w:val="24"/>
        </w:rPr>
        <w:t xml:space="preserve">）  </w:t>
      </w:r>
    </w:p>
    <w:p w14:paraId="5F8F9576">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rPr>
        <w:tab/>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14:paraId="5A06026D">
      <w:pPr>
        <w:pStyle w:val="23"/>
        <w:rPr>
          <w:rFonts w:hint="eastAsia" w:ascii="仿宋" w:hAnsi="仿宋" w:eastAsia="仿宋" w:cs="仿宋"/>
          <w:color w:val="auto"/>
          <w:sz w:val="24"/>
          <w:highlight w:val="none"/>
        </w:rPr>
      </w:pPr>
      <w:r>
        <w:rPr>
          <w:rFonts w:hint="eastAsia" w:ascii="仿宋" w:hAnsi="仿宋" w:eastAsia="仿宋" w:cs="仿宋"/>
          <w:color w:val="auto"/>
        </w:rPr>
        <w:br w:type="page"/>
      </w:r>
    </w:p>
    <w:p w14:paraId="71BAC384">
      <w:pPr>
        <w:pStyle w:val="5"/>
        <w:shd w:val="clear" w:color="auto" w:fill="auto"/>
        <w:tabs>
          <w:tab w:val="left" w:pos="5580"/>
        </w:tabs>
        <w:spacing w:line="240" w:lineRule="atLeast"/>
        <w:ind w:firstLine="3364" w:firstLineChars="927"/>
        <w:jc w:val="both"/>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lang w:eastAsia="zh-CN"/>
        </w:rPr>
        <w:t>、</w:t>
      </w:r>
      <w:r>
        <w:rPr>
          <w:rFonts w:hint="eastAsia" w:ascii="仿宋" w:hAnsi="仿宋" w:eastAsia="仿宋" w:cs="仿宋"/>
          <w:b/>
          <w:bCs w:val="0"/>
          <w:color w:val="auto"/>
          <w:sz w:val="36"/>
          <w:szCs w:val="24"/>
          <w:highlight w:val="none"/>
        </w:rPr>
        <w:t>开标一览表</w:t>
      </w:r>
      <w:r>
        <w:rPr>
          <w:rFonts w:hint="eastAsia" w:ascii="仿宋" w:hAnsi="仿宋" w:eastAsia="仿宋" w:cs="仿宋"/>
          <w:b w:val="0"/>
          <w:bCs/>
          <w:color w:val="auto"/>
          <w:sz w:val="36"/>
          <w:szCs w:val="24"/>
          <w:highlight w:val="none"/>
        </w:rPr>
        <w:cr/>
      </w:r>
    </w:p>
    <w:p w14:paraId="7CFA2456">
      <w:pPr>
        <w:shd w:val="clear" w:color="auto" w:fill="auto"/>
        <w:adjustRightInd w:val="0"/>
        <w:snapToGrid w:val="0"/>
        <w:spacing w:line="5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招标项目名称： </w:t>
      </w:r>
      <w:r>
        <w:rPr>
          <w:rFonts w:hint="eastAsia" w:ascii="仿宋" w:hAnsi="仿宋" w:eastAsia="仿宋" w:cs="仿宋"/>
          <w:color w:val="auto"/>
          <w:szCs w:val="21"/>
          <w:highlight w:val="none"/>
          <w:u w:val="single"/>
        </w:rPr>
        <w:t xml:space="preserve">                         </w:t>
      </w:r>
    </w:p>
    <w:p w14:paraId="4A3AB03A">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招标项目编号：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14:paraId="3CB54453">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单位：元（人民币）</w:t>
      </w:r>
    </w:p>
    <w:tbl>
      <w:tblPr>
        <w:tblStyle w:val="18"/>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1A43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4F204CB4">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投标项目名称</w:t>
            </w:r>
          </w:p>
        </w:tc>
        <w:tc>
          <w:tcPr>
            <w:tcW w:w="6185" w:type="dxa"/>
            <w:vAlign w:val="center"/>
          </w:tcPr>
          <w:p w14:paraId="6F5ECC5D">
            <w:pPr>
              <w:shd w:val="clear" w:color="auto" w:fill="auto"/>
              <w:rPr>
                <w:rFonts w:hint="eastAsia" w:ascii="仿宋" w:hAnsi="仿宋" w:eastAsia="仿宋" w:cs="仿宋"/>
                <w:color w:val="auto"/>
                <w:szCs w:val="21"/>
                <w:highlight w:val="none"/>
              </w:rPr>
            </w:pPr>
          </w:p>
        </w:tc>
      </w:tr>
      <w:tr w14:paraId="1C7F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040BE7A6">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质保期</w:t>
            </w:r>
          </w:p>
        </w:tc>
        <w:tc>
          <w:tcPr>
            <w:tcW w:w="6185" w:type="dxa"/>
            <w:vAlign w:val="center"/>
          </w:tcPr>
          <w:p w14:paraId="3ECB90B3">
            <w:pPr>
              <w:shd w:val="clear" w:color="auto" w:fill="auto"/>
              <w:jc w:val="center"/>
              <w:rPr>
                <w:rFonts w:hint="eastAsia" w:ascii="仿宋" w:hAnsi="仿宋" w:eastAsia="仿宋" w:cs="仿宋"/>
                <w:color w:val="auto"/>
                <w:szCs w:val="21"/>
                <w:highlight w:val="none"/>
              </w:rPr>
            </w:pPr>
          </w:p>
        </w:tc>
      </w:tr>
      <w:tr w14:paraId="6499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13D64A99">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vAlign w:val="center"/>
          </w:tcPr>
          <w:p w14:paraId="4C11F6EB">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60天</w:t>
            </w:r>
          </w:p>
        </w:tc>
      </w:tr>
      <w:tr w14:paraId="1DAD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64BB5534">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投标</w:t>
            </w:r>
            <w:r>
              <w:rPr>
                <w:rFonts w:hint="eastAsia" w:ascii="仿宋" w:hAnsi="仿宋" w:eastAsia="仿宋" w:cs="仿宋"/>
                <w:color w:val="auto"/>
                <w:szCs w:val="21"/>
                <w:highlight w:val="none"/>
                <w:lang w:eastAsia="zh-CN"/>
              </w:rPr>
              <w:t>价格</w:t>
            </w:r>
          </w:p>
          <w:p w14:paraId="7D493851">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vAlign w:val="center"/>
          </w:tcPr>
          <w:p w14:paraId="0F7218A0">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vAlign w:val="center"/>
          </w:tcPr>
          <w:p w14:paraId="714793E0">
            <w:pPr>
              <w:shd w:val="clear" w:color="auto" w:fill="auto"/>
              <w:ind w:firstLine="1944" w:firstLineChars="800"/>
              <w:jc w:val="both"/>
              <w:rPr>
                <w:rFonts w:hint="default" w:ascii="仿宋" w:hAnsi="仿宋" w:eastAsia="仿宋" w:cs="仿宋"/>
                <w:color w:val="auto"/>
                <w:szCs w:val="21"/>
                <w:highlight w:val="none"/>
                <w:lang w:val="en-US" w:eastAsia="zh-CN"/>
              </w:rPr>
            </w:pPr>
          </w:p>
        </w:tc>
      </w:tr>
      <w:tr w14:paraId="6C33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7100F2ED">
            <w:pPr>
              <w:shd w:val="clear" w:color="auto" w:fill="auto"/>
              <w:jc w:val="center"/>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vAlign w:val="center"/>
          </w:tcPr>
          <w:p w14:paraId="5D5D918C">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vAlign w:val="center"/>
          </w:tcPr>
          <w:p w14:paraId="156C1D13">
            <w:pPr>
              <w:shd w:val="clear" w:color="auto" w:fill="auto"/>
              <w:ind w:firstLine="1944" w:firstLineChars="800"/>
              <w:jc w:val="both"/>
              <w:rPr>
                <w:rFonts w:hint="eastAsia" w:ascii="仿宋" w:hAnsi="仿宋" w:eastAsia="仿宋" w:cs="仿宋"/>
                <w:color w:val="auto"/>
                <w:szCs w:val="21"/>
                <w:highlight w:val="none"/>
              </w:rPr>
            </w:pPr>
          </w:p>
        </w:tc>
      </w:tr>
    </w:tbl>
    <w:p w14:paraId="2C5F31E7">
      <w:pPr>
        <w:shd w:val="clear" w:color="auto" w:fill="auto"/>
        <w:spacing w:line="500" w:lineRule="exact"/>
        <w:ind w:firstLine="475"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3B497E69">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1.开标时，本表中的内容与</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3684D7ED">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.投标总价为招标范围所列全部招标项目的报价总和，并应与投标报价明细表及分项价格表保持一致。</w:t>
      </w:r>
    </w:p>
    <w:p w14:paraId="3F03794D">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.必须在</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中装订。</w:t>
      </w:r>
    </w:p>
    <w:p w14:paraId="0410A50A">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.投标报价不得填报选择性报价。</w:t>
      </w:r>
    </w:p>
    <w:p w14:paraId="056D7535">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（加盖公章）     </w:t>
      </w:r>
      <w:r>
        <w:rPr>
          <w:rFonts w:hint="eastAsia" w:ascii="仿宋" w:hAnsi="仿宋" w:eastAsia="仿宋" w:cs="仿宋"/>
          <w:color w:val="auto"/>
          <w:szCs w:val="21"/>
          <w:highlight w:val="none"/>
        </w:rPr>
        <w:t xml:space="preserve">       </w:t>
      </w:r>
    </w:p>
    <w:p w14:paraId="73FD737E">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2C34CB21">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40E460BF">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11FAD35E">
      <w:pPr>
        <w:pStyle w:val="3"/>
        <w:numPr>
          <w:ilvl w:val="0"/>
          <w:numId w:val="0"/>
        </w:numPr>
        <w:shd w:val="clear" w:color="auto" w:fill="auto"/>
        <w:spacing w:before="0" w:line="240" w:lineRule="atLeast"/>
        <w:rPr>
          <w:rFonts w:hint="eastAsia" w:ascii="宋体" w:hAnsi="宋体" w:eastAsia="宋体" w:cs="宋体"/>
          <w:b/>
          <w:bCs/>
          <w:color w:val="auto"/>
          <w:sz w:val="24"/>
          <w:highlight w:val="none"/>
        </w:rPr>
      </w:pPr>
    </w:p>
    <w:p w14:paraId="3C7B675F">
      <w:pPr>
        <w:pStyle w:val="3"/>
        <w:numPr>
          <w:ilvl w:val="0"/>
          <w:numId w:val="0"/>
        </w:numPr>
        <w:shd w:val="clear" w:color="auto" w:fill="auto"/>
        <w:spacing w:before="0" w:line="240" w:lineRule="atLeast"/>
        <w:rPr>
          <w:rFonts w:hint="eastAsia" w:ascii="宋体" w:hAnsi="宋体" w:eastAsia="宋体" w:cs="宋体"/>
          <w:b/>
          <w:bCs/>
          <w:color w:val="auto"/>
          <w:sz w:val="24"/>
          <w:highlight w:val="none"/>
        </w:rPr>
      </w:pPr>
    </w:p>
    <w:p w14:paraId="5C5D9258">
      <w:pPr>
        <w:pStyle w:val="26"/>
        <w:keepNext/>
        <w:keepLines/>
        <w:spacing w:before="0" w:after="220"/>
        <w:jc w:val="center"/>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3、货物说明一览表</w:t>
      </w:r>
    </w:p>
    <w:p w14:paraId="6608E60B">
      <w:pPr>
        <w:pStyle w:val="9"/>
        <w:spacing w:line="240" w:lineRule="atLeast"/>
        <w:ind w:left="1164" w:leftChars="257" w:hanging="540"/>
        <w:rPr>
          <w:rFonts w:ascii="仿宋" w:hAnsi="仿宋" w:eastAsia="仿宋" w:cs="仿宋"/>
          <w:color w:val="auto"/>
          <w:highlight w:val="none"/>
          <w:lang w:eastAsia="zh-CN"/>
        </w:rPr>
      </w:pPr>
    </w:p>
    <w:p w14:paraId="22E31B4E">
      <w:pPr>
        <w:pStyle w:val="9"/>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项目名称:                           </w:t>
      </w:r>
    </w:p>
    <w:p w14:paraId="6F7C876D">
      <w:pPr>
        <w:pStyle w:val="9"/>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招标编号:                                           </w:t>
      </w:r>
    </w:p>
    <w:p w14:paraId="554C6E6E">
      <w:pPr>
        <w:pStyle w:val="9"/>
        <w:spacing w:line="240" w:lineRule="atLeast"/>
        <w:ind w:left="1164" w:leftChars="257" w:hanging="540"/>
        <w:rPr>
          <w:rFonts w:ascii="仿宋" w:hAnsi="仿宋" w:eastAsia="仿宋" w:cs="仿宋"/>
          <w:color w:val="auto"/>
          <w:highlight w:val="none"/>
          <w:lang w:eastAsia="zh-CN"/>
        </w:rPr>
      </w:pPr>
    </w:p>
    <w:tbl>
      <w:tblPr>
        <w:tblStyle w:val="18"/>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0"/>
        <w:gridCol w:w="1410"/>
        <w:gridCol w:w="1040"/>
        <w:gridCol w:w="1370"/>
        <w:gridCol w:w="1420"/>
        <w:gridCol w:w="1101"/>
      </w:tblGrid>
      <w:tr w14:paraId="3776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1" w:type="dxa"/>
            <w:vAlign w:val="center"/>
          </w:tcPr>
          <w:p w14:paraId="46DB7316">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序号</w:t>
            </w:r>
          </w:p>
        </w:tc>
        <w:tc>
          <w:tcPr>
            <w:tcW w:w="1400" w:type="dxa"/>
            <w:vAlign w:val="center"/>
          </w:tcPr>
          <w:p w14:paraId="25B42A5E">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货物名称</w:t>
            </w:r>
          </w:p>
        </w:tc>
        <w:tc>
          <w:tcPr>
            <w:tcW w:w="1410" w:type="dxa"/>
            <w:vAlign w:val="center"/>
          </w:tcPr>
          <w:p w14:paraId="1DE88EE6">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主要规格</w:t>
            </w:r>
          </w:p>
        </w:tc>
        <w:tc>
          <w:tcPr>
            <w:tcW w:w="1040" w:type="dxa"/>
            <w:vAlign w:val="center"/>
          </w:tcPr>
          <w:p w14:paraId="774CBD74">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数量</w:t>
            </w:r>
          </w:p>
        </w:tc>
        <w:tc>
          <w:tcPr>
            <w:tcW w:w="1370" w:type="dxa"/>
            <w:vAlign w:val="center"/>
          </w:tcPr>
          <w:p w14:paraId="3D1DBAF2">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供货期</w:t>
            </w:r>
          </w:p>
        </w:tc>
        <w:tc>
          <w:tcPr>
            <w:tcW w:w="1420" w:type="dxa"/>
            <w:vAlign w:val="center"/>
          </w:tcPr>
          <w:p w14:paraId="11B9CD84">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交货地点</w:t>
            </w:r>
          </w:p>
        </w:tc>
        <w:tc>
          <w:tcPr>
            <w:tcW w:w="1101" w:type="dxa"/>
            <w:vAlign w:val="center"/>
          </w:tcPr>
          <w:p w14:paraId="2F082FBA">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其它</w:t>
            </w:r>
          </w:p>
        </w:tc>
      </w:tr>
      <w:tr w14:paraId="00FE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009A807D">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2670FFEE">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1B852CF8">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18AB82D3">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5A09EDEA">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173C056C">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60B28B27">
            <w:pPr>
              <w:pStyle w:val="9"/>
              <w:spacing w:line="240" w:lineRule="atLeast"/>
              <w:ind w:left="1164" w:leftChars="257" w:hanging="540"/>
              <w:rPr>
                <w:rFonts w:ascii="仿宋" w:hAnsi="仿宋" w:eastAsia="仿宋" w:cs="仿宋"/>
                <w:color w:val="auto"/>
                <w:highlight w:val="none"/>
                <w:lang w:eastAsia="zh-CN"/>
              </w:rPr>
            </w:pPr>
          </w:p>
        </w:tc>
      </w:tr>
      <w:tr w14:paraId="1544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290F0562">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6CED6C92">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67B9CED0">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3EB80A05">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5D61466A">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3F5E7254">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7B3FAC7B">
            <w:pPr>
              <w:pStyle w:val="9"/>
              <w:spacing w:line="240" w:lineRule="atLeast"/>
              <w:ind w:left="1164" w:leftChars="257" w:hanging="540"/>
              <w:rPr>
                <w:rFonts w:ascii="仿宋" w:hAnsi="仿宋" w:eastAsia="仿宋" w:cs="仿宋"/>
                <w:color w:val="auto"/>
                <w:highlight w:val="none"/>
                <w:lang w:eastAsia="zh-CN"/>
              </w:rPr>
            </w:pPr>
          </w:p>
        </w:tc>
      </w:tr>
      <w:tr w14:paraId="5A4F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6E7B58DF">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55C9C377">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0DB82952">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398127E6">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32913E0C">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62211C1E">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0179BC57">
            <w:pPr>
              <w:pStyle w:val="9"/>
              <w:spacing w:line="240" w:lineRule="atLeast"/>
              <w:ind w:left="1164" w:leftChars="257" w:hanging="540"/>
              <w:rPr>
                <w:rFonts w:ascii="仿宋" w:hAnsi="仿宋" w:eastAsia="仿宋" w:cs="仿宋"/>
                <w:color w:val="auto"/>
                <w:highlight w:val="none"/>
                <w:lang w:eastAsia="zh-CN"/>
              </w:rPr>
            </w:pPr>
          </w:p>
        </w:tc>
      </w:tr>
      <w:tr w14:paraId="372B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76603E2F">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09EEDD21">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348D3FA8">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5DDD4D8D">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7EB8CCC4">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3F521AB7">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3A441F0C">
            <w:pPr>
              <w:pStyle w:val="9"/>
              <w:spacing w:line="240" w:lineRule="atLeast"/>
              <w:ind w:left="1164" w:leftChars="257" w:hanging="540"/>
              <w:rPr>
                <w:rFonts w:ascii="仿宋" w:hAnsi="仿宋" w:eastAsia="仿宋" w:cs="仿宋"/>
                <w:color w:val="auto"/>
                <w:highlight w:val="none"/>
                <w:lang w:eastAsia="zh-CN"/>
              </w:rPr>
            </w:pPr>
          </w:p>
        </w:tc>
      </w:tr>
      <w:tr w14:paraId="1627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 w:type="dxa"/>
          </w:tcPr>
          <w:p w14:paraId="4AB4D82F">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6A4EF0C6">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6B40B5D7">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08445C08">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6AD0BC06">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048A4D9C">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6A6D45C2">
            <w:pPr>
              <w:pStyle w:val="9"/>
              <w:spacing w:line="240" w:lineRule="atLeast"/>
              <w:ind w:left="1164" w:leftChars="257" w:hanging="540"/>
              <w:rPr>
                <w:rFonts w:ascii="仿宋" w:hAnsi="仿宋" w:eastAsia="仿宋" w:cs="仿宋"/>
                <w:color w:val="auto"/>
                <w:highlight w:val="none"/>
                <w:lang w:eastAsia="zh-CN"/>
              </w:rPr>
            </w:pPr>
          </w:p>
        </w:tc>
      </w:tr>
      <w:tr w14:paraId="3FD4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1" w:type="dxa"/>
          </w:tcPr>
          <w:p w14:paraId="60AE30B0">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79F3CD31">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2D5470B7">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65667968">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79326E1E">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5FD722DC">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6BE382F4">
            <w:pPr>
              <w:pStyle w:val="9"/>
              <w:spacing w:line="240" w:lineRule="atLeast"/>
              <w:ind w:left="1164" w:leftChars="257" w:hanging="540"/>
              <w:rPr>
                <w:rFonts w:ascii="仿宋" w:hAnsi="仿宋" w:eastAsia="仿宋" w:cs="仿宋"/>
                <w:color w:val="auto"/>
                <w:highlight w:val="none"/>
                <w:lang w:eastAsia="zh-CN"/>
              </w:rPr>
            </w:pPr>
          </w:p>
        </w:tc>
      </w:tr>
      <w:tr w14:paraId="4E04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1" w:type="dxa"/>
          </w:tcPr>
          <w:p w14:paraId="128CC848">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097C8898">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119A2EE7">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76B6DD40">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7BF2C851">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4B59795E">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26FAB752">
            <w:pPr>
              <w:pStyle w:val="9"/>
              <w:spacing w:line="240" w:lineRule="atLeast"/>
              <w:ind w:left="1164" w:leftChars="257" w:hanging="540"/>
              <w:rPr>
                <w:rFonts w:ascii="仿宋" w:hAnsi="仿宋" w:eastAsia="仿宋" w:cs="仿宋"/>
                <w:color w:val="auto"/>
                <w:highlight w:val="none"/>
                <w:lang w:eastAsia="zh-CN"/>
              </w:rPr>
            </w:pPr>
          </w:p>
        </w:tc>
      </w:tr>
      <w:tr w14:paraId="752C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 w:type="dxa"/>
          </w:tcPr>
          <w:p w14:paraId="17C07C28">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775B4C95">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0950A334">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1DF91A5C">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55E86F3A">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47DFCBC5">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11E68327">
            <w:pPr>
              <w:pStyle w:val="9"/>
              <w:spacing w:line="240" w:lineRule="atLeast"/>
              <w:ind w:left="1164" w:leftChars="257" w:hanging="540"/>
              <w:rPr>
                <w:rFonts w:ascii="仿宋" w:hAnsi="仿宋" w:eastAsia="仿宋" w:cs="仿宋"/>
                <w:color w:val="auto"/>
                <w:highlight w:val="none"/>
                <w:lang w:eastAsia="zh-CN"/>
              </w:rPr>
            </w:pPr>
          </w:p>
        </w:tc>
      </w:tr>
    </w:tbl>
    <w:p w14:paraId="5240E8B5">
      <w:pPr>
        <w:pStyle w:val="9"/>
        <w:spacing w:line="240" w:lineRule="atLeast"/>
        <w:ind w:left="1164" w:leftChars="257" w:hanging="540"/>
        <w:rPr>
          <w:rFonts w:ascii="仿宋" w:hAnsi="仿宋" w:eastAsia="仿宋" w:cs="仿宋"/>
          <w:color w:val="auto"/>
          <w:highlight w:val="none"/>
        </w:rPr>
      </w:pPr>
    </w:p>
    <w:p w14:paraId="468E2511">
      <w:pPr>
        <w:pStyle w:val="9"/>
        <w:spacing w:line="240" w:lineRule="atLeast"/>
        <w:ind w:left="1164"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法定代表人或其委托代理人签字:</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hAnsi="宋体" w:eastAsia="宋体" w:cs="宋体"/>
          <w:color w:val="auto"/>
          <w:highlight w:val="none"/>
          <w:u w:val="single"/>
          <w:lang w:eastAsia="zh-CN"/>
        </w:rPr>
        <w:t xml:space="preserve">         </w:t>
      </w:r>
    </w:p>
    <w:p w14:paraId="0FD2489A">
      <w:pPr>
        <w:pStyle w:val="9"/>
        <w:tabs>
          <w:tab w:val="left" w:pos="5370"/>
        </w:tabs>
        <w:spacing w:line="240" w:lineRule="atLeast"/>
        <w:ind w:left="1164" w:leftChars="257" w:hanging="540"/>
        <w:rPr>
          <w:rFonts w:ascii="仿宋" w:hAnsi="仿宋" w:eastAsia="仿宋" w:cs="仿宋"/>
          <w:color w:val="auto"/>
          <w:highlight w:val="none"/>
          <w:lang w:eastAsia="zh-CN"/>
        </w:rPr>
      </w:pPr>
    </w:p>
    <w:p w14:paraId="1771A988">
      <w:pPr>
        <w:pStyle w:val="9"/>
        <w:tabs>
          <w:tab w:val="left" w:pos="5370"/>
        </w:tabs>
        <w:spacing w:line="240" w:lineRule="atLeast"/>
        <w:ind w:left="1164" w:leftChars="257" w:hanging="54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供应商(盖单位章):</w:t>
      </w:r>
      <w:r>
        <w:rPr>
          <w:rFonts w:hint="eastAsia" w:ascii="仿宋" w:hAnsi="仿宋" w:eastAsia="仿宋" w:cs="仿宋"/>
          <w:color w:val="auto"/>
          <w:highlight w:val="none"/>
          <w:u w:val="single"/>
          <w:lang w:eastAsia="zh-CN"/>
        </w:rPr>
        <w:tab/>
      </w:r>
    </w:p>
    <w:p w14:paraId="0A862A09">
      <w:pPr>
        <w:pStyle w:val="9"/>
        <w:spacing w:line="240" w:lineRule="atLeast"/>
        <w:ind w:left="1164" w:leftChars="257" w:hanging="540"/>
        <w:rPr>
          <w:rFonts w:ascii="仿宋" w:hAnsi="仿宋" w:eastAsia="仿宋" w:cs="仿宋"/>
          <w:color w:val="auto"/>
          <w:highlight w:val="none"/>
          <w:lang w:eastAsia="zh-CN"/>
        </w:rPr>
      </w:pPr>
    </w:p>
    <w:p w14:paraId="47E47CD4">
      <w:pPr>
        <w:pStyle w:val="9"/>
        <w:spacing w:line="240" w:lineRule="atLeast"/>
        <w:ind w:left="1164"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注: 各项货物详细技术性能应另页描述</w:t>
      </w:r>
      <w:r>
        <w:rPr>
          <w:rFonts w:hint="eastAsia" w:hAnsi="宋体" w:eastAsia="宋体" w:cs="宋体"/>
          <w:color w:val="auto"/>
          <w:highlight w:val="none"/>
          <w:lang w:eastAsia="zh-CN"/>
        </w:rPr>
        <w:t>。</w:t>
      </w:r>
    </w:p>
    <w:p w14:paraId="7E5C67E7">
      <w:pPr>
        <w:pStyle w:val="9"/>
        <w:spacing w:line="240" w:lineRule="atLeast"/>
        <w:ind w:left="1164" w:leftChars="257" w:hanging="540"/>
        <w:jc w:val="center"/>
        <w:rPr>
          <w:rFonts w:hAnsi="宋体" w:eastAsia="宋体" w:cs="宋体"/>
          <w:color w:val="auto"/>
          <w:highlight w:val="none"/>
          <w:lang w:eastAsia="zh-CN"/>
        </w:rPr>
      </w:pPr>
    </w:p>
    <w:p w14:paraId="3D60F108">
      <w:pPr>
        <w:pStyle w:val="9"/>
        <w:spacing w:line="240" w:lineRule="atLeast"/>
        <w:ind w:left="1164" w:leftChars="257" w:hanging="540"/>
        <w:jc w:val="center"/>
        <w:rPr>
          <w:rFonts w:hAnsi="宋体" w:eastAsia="宋体" w:cs="宋体"/>
          <w:color w:val="auto"/>
          <w:highlight w:val="none"/>
          <w:lang w:eastAsia="zh-CN"/>
        </w:rPr>
        <w:sectPr>
          <w:footerReference r:id="rId5" w:type="default"/>
          <w:pgSz w:w="11905" w:h="16838"/>
          <w:pgMar w:top="1440" w:right="1797" w:bottom="1440" w:left="1797" w:header="850" w:footer="992" w:gutter="0"/>
          <w:cols w:space="720" w:num="1"/>
          <w:docGrid w:type="linesAndChars" w:linePitch="325" w:charSpace="635"/>
        </w:sectPr>
      </w:pPr>
    </w:p>
    <w:p w14:paraId="6CDA769A">
      <w:pPr>
        <w:pStyle w:val="26"/>
        <w:keepNext/>
        <w:keepLines/>
        <w:spacing w:before="0" w:after="220"/>
        <w:rPr>
          <w:rFonts w:ascii="仿宋" w:hAnsi="仿宋" w:eastAsia="仿宋" w:cs="仿宋"/>
          <w:b/>
          <w:bCs/>
          <w:color w:val="auto"/>
          <w:highlight w:val="none"/>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w:t>
      </w:r>
      <w:r>
        <w:rPr>
          <w:rFonts w:hint="eastAsia" w:ascii="仿宋" w:hAnsi="仿宋" w:eastAsia="仿宋" w:cs="仿宋"/>
          <w:b/>
          <w:color w:val="auto"/>
          <w:lang w:val="en-US" w:eastAsia="zh-CN"/>
        </w:rPr>
        <w:t>投标分项报价明细表</w:t>
      </w:r>
    </w:p>
    <w:p w14:paraId="72806C26">
      <w:pPr>
        <w:pStyle w:val="26"/>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646BD448">
      <w:pPr>
        <w:pStyle w:val="26"/>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招标编号:                </w:t>
      </w:r>
      <w:r>
        <w:rPr>
          <w:rFonts w:hint="eastAsia" w:ascii="仿宋" w:hAnsi="仿宋" w:eastAsia="仿宋" w:cs="仿宋"/>
          <w:color w:val="auto"/>
          <w:sz w:val="24"/>
          <w:highlight w:val="none"/>
          <w:lang w:val="en-US" w:eastAsia="zh-CN"/>
        </w:rPr>
        <w:t xml:space="preserve">                     </w:t>
      </w:r>
    </w:p>
    <w:p w14:paraId="01014C68">
      <w:pPr>
        <w:pStyle w:val="9"/>
        <w:spacing w:line="240" w:lineRule="atLeast"/>
        <w:ind w:left="1157" w:leftChars="257" w:hanging="54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单位：</w:t>
      </w:r>
      <w:r>
        <w:rPr>
          <w:rFonts w:hint="eastAsia" w:ascii="仿宋" w:hAnsi="仿宋" w:eastAsia="仿宋" w:cs="仿宋"/>
          <w:color w:val="auto"/>
          <w:szCs w:val="21"/>
          <w:highlight w:val="none"/>
          <w:lang w:eastAsia="zh-CN"/>
        </w:rPr>
        <w:t>元（人民币）</w:t>
      </w:r>
    </w:p>
    <w:tbl>
      <w:tblPr>
        <w:tblStyle w:val="18"/>
        <w:tblW w:w="88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185"/>
        <w:gridCol w:w="869"/>
        <w:gridCol w:w="1438"/>
        <w:gridCol w:w="716"/>
        <w:gridCol w:w="716"/>
        <w:gridCol w:w="709"/>
        <w:gridCol w:w="886"/>
        <w:gridCol w:w="820"/>
        <w:gridCol w:w="820"/>
      </w:tblGrid>
      <w:tr w14:paraId="1295AB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853DB14">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85" w:type="dxa"/>
            <w:tcBorders>
              <w:top w:val="single" w:color="auto" w:sz="4" w:space="0"/>
              <w:left w:val="single" w:color="auto" w:sz="4" w:space="0"/>
              <w:bottom w:val="single" w:color="auto" w:sz="4" w:space="0"/>
              <w:right w:val="single" w:color="auto" w:sz="4" w:space="0"/>
            </w:tcBorders>
            <w:vAlign w:val="center"/>
          </w:tcPr>
          <w:p w14:paraId="1A82A2E6">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869" w:type="dxa"/>
            <w:tcBorders>
              <w:top w:val="single" w:color="auto" w:sz="4" w:space="0"/>
              <w:left w:val="single" w:color="auto" w:sz="4" w:space="0"/>
              <w:bottom w:val="single" w:color="auto" w:sz="4" w:space="0"/>
              <w:right w:val="single" w:color="auto" w:sz="4" w:space="0"/>
            </w:tcBorders>
            <w:vAlign w:val="center"/>
          </w:tcPr>
          <w:p w14:paraId="3597096E">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参数</w:t>
            </w:r>
          </w:p>
        </w:tc>
        <w:tc>
          <w:tcPr>
            <w:tcW w:w="1438" w:type="dxa"/>
            <w:tcBorders>
              <w:top w:val="single" w:color="auto" w:sz="4" w:space="0"/>
              <w:left w:val="single" w:color="auto" w:sz="4" w:space="0"/>
              <w:bottom w:val="single" w:color="auto" w:sz="4" w:space="0"/>
              <w:right w:val="single" w:color="auto" w:sz="4" w:space="0"/>
            </w:tcBorders>
            <w:vAlign w:val="center"/>
          </w:tcPr>
          <w:p w14:paraId="6F277FE6">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规格型号</w:t>
            </w:r>
          </w:p>
        </w:tc>
        <w:tc>
          <w:tcPr>
            <w:tcW w:w="716" w:type="dxa"/>
            <w:tcBorders>
              <w:top w:val="single" w:color="auto" w:sz="4" w:space="0"/>
              <w:left w:val="single" w:color="auto" w:sz="4" w:space="0"/>
              <w:bottom w:val="single" w:color="auto" w:sz="4" w:space="0"/>
              <w:right w:val="single" w:color="auto" w:sz="4" w:space="0"/>
            </w:tcBorders>
            <w:vAlign w:val="center"/>
          </w:tcPr>
          <w:p w14:paraId="1664E8E3">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品牌</w:t>
            </w:r>
          </w:p>
        </w:tc>
        <w:tc>
          <w:tcPr>
            <w:tcW w:w="716" w:type="dxa"/>
            <w:tcBorders>
              <w:top w:val="single" w:color="auto" w:sz="4" w:space="0"/>
              <w:left w:val="single" w:color="auto" w:sz="4" w:space="0"/>
              <w:bottom w:val="single" w:color="auto" w:sz="4" w:space="0"/>
              <w:right w:val="single" w:color="auto" w:sz="4" w:space="0"/>
            </w:tcBorders>
            <w:vAlign w:val="center"/>
          </w:tcPr>
          <w:p w14:paraId="1FFBB57C">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771D1EFB">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单位</w:t>
            </w:r>
          </w:p>
        </w:tc>
        <w:tc>
          <w:tcPr>
            <w:tcW w:w="886" w:type="dxa"/>
            <w:tcBorders>
              <w:top w:val="single" w:color="auto" w:sz="4" w:space="0"/>
              <w:left w:val="single" w:color="auto" w:sz="4" w:space="0"/>
              <w:bottom w:val="single" w:color="auto" w:sz="4" w:space="0"/>
              <w:right w:val="single" w:color="auto" w:sz="4" w:space="0"/>
            </w:tcBorders>
            <w:vAlign w:val="center"/>
          </w:tcPr>
          <w:p w14:paraId="44691407">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单价（元）</w:t>
            </w:r>
          </w:p>
        </w:tc>
        <w:tc>
          <w:tcPr>
            <w:tcW w:w="820" w:type="dxa"/>
            <w:tcBorders>
              <w:top w:val="single" w:color="auto" w:sz="4" w:space="0"/>
              <w:left w:val="single" w:color="auto" w:sz="4" w:space="0"/>
              <w:bottom w:val="single" w:color="auto" w:sz="4" w:space="0"/>
              <w:right w:val="single" w:color="auto" w:sz="4" w:space="0"/>
            </w:tcBorders>
            <w:vAlign w:val="center"/>
          </w:tcPr>
          <w:p w14:paraId="406F42B2">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总价（元）</w:t>
            </w:r>
          </w:p>
        </w:tc>
        <w:tc>
          <w:tcPr>
            <w:tcW w:w="820" w:type="dxa"/>
            <w:tcBorders>
              <w:top w:val="single" w:color="auto" w:sz="4" w:space="0"/>
              <w:left w:val="single" w:color="auto" w:sz="4" w:space="0"/>
              <w:bottom w:val="single" w:color="auto" w:sz="4" w:space="0"/>
              <w:right w:val="single" w:color="auto" w:sz="4" w:space="0"/>
            </w:tcBorders>
            <w:vAlign w:val="center"/>
          </w:tcPr>
          <w:p w14:paraId="65162E06">
            <w:pPr>
              <w:spacing w:line="5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备注</w:t>
            </w:r>
          </w:p>
        </w:tc>
      </w:tr>
      <w:tr w14:paraId="1CC9A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983F3D0">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22DAE750">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2D7FB6A0">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13DC98C0">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68B3BD40">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48883923">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8B77745">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35E2183D">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2F24E453">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7C152B95">
            <w:pPr>
              <w:spacing w:line="500" w:lineRule="exact"/>
              <w:jc w:val="center"/>
              <w:rPr>
                <w:rFonts w:ascii="仿宋" w:hAnsi="仿宋" w:eastAsia="仿宋" w:cs="仿宋"/>
                <w:color w:val="auto"/>
                <w:szCs w:val="21"/>
                <w:highlight w:val="none"/>
              </w:rPr>
            </w:pPr>
          </w:p>
        </w:tc>
      </w:tr>
      <w:tr w14:paraId="0D260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E804F3E">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08CF020A">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69C4C758">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142A3CBD">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2DCF0416">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06937377">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37E9B0B">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1EDC4619">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7746668C">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2E7FFA6F">
            <w:pPr>
              <w:spacing w:line="500" w:lineRule="exact"/>
              <w:jc w:val="center"/>
              <w:rPr>
                <w:rFonts w:ascii="仿宋" w:hAnsi="仿宋" w:eastAsia="仿宋" w:cs="仿宋"/>
                <w:color w:val="auto"/>
                <w:szCs w:val="21"/>
                <w:highlight w:val="none"/>
              </w:rPr>
            </w:pPr>
          </w:p>
        </w:tc>
      </w:tr>
      <w:tr w14:paraId="3CE7F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0DF36E5">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18947DBC">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5EEC2142">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6BC42F3D">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64B126A5">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057B7C93">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D184CC4">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3D6F065D">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7502E745">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65A3FBA6">
            <w:pPr>
              <w:spacing w:line="500" w:lineRule="exact"/>
              <w:jc w:val="center"/>
              <w:rPr>
                <w:rFonts w:ascii="仿宋" w:hAnsi="仿宋" w:eastAsia="仿宋" w:cs="仿宋"/>
                <w:color w:val="auto"/>
                <w:szCs w:val="21"/>
                <w:highlight w:val="none"/>
              </w:rPr>
            </w:pPr>
          </w:p>
        </w:tc>
      </w:tr>
      <w:tr w14:paraId="1009A5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02C021E3">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15524347">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174699E2">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223B7736">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1131983C">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16545416">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4CD170B">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41E6E86C">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3DA938E0">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013D6017">
            <w:pPr>
              <w:spacing w:line="500" w:lineRule="exact"/>
              <w:jc w:val="center"/>
              <w:rPr>
                <w:rFonts w:ascii="仿宋" w:hAnsi="仿宋" w:eastAsia="仿宋" w:cs="仿宋"/>
                <w:color w:val="auto"/>
                <w:szCs w:val="21"/>
                <w:highlight w:val="none"/>
              </w:rPr>
            </w:pPr>
          </w:p>
        </w:tc>
      </w:tr>
      <w:tr w14:paraId="1088E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58D6189">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64FB2E1B">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4074C819">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55B0A8B1">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6380BBE0">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16239FCF">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F3420FE">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26838558">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104AE9C0">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7F72AE14">
            <w:pPr>
              <w:spacing w:line="500" w:lineRule="exact"/>
              <w:jc w:val="center"/>
              <w:rPr>
                <w:rFonts w:ascii="仿宋" w:hAnsi="仿宋" w:eastAsia="仿宋" w:cs="仿宋"/>
                <w:color w:val="auto"/>
                <w:szCs w:val="21"/>
                <w:highlight w:val="none"/>
              </w:rPr>
            </w:pPr>
          </w:p>
        </w:tc>
      </w:tr>
    </w:tbl>
    <w:p w14:paraId="5AAE2D6B">
      <w:pPr>
        <w:pStyle w:val="30"/>
        <w:spacing w:line="317"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所有价格均用人民币表示，单位为元。</w:t>
      </w:r>
    </w:p>
    <w:p w14:paraId="0382BCE2">
      <w:pPr>
        <w:pStyle w:val="30"/>
        <w:tabs>
          <w:tab w:val="left" w:pos="378"/>
        </w:tabs>
        <w:spacing w:line="317"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2.投标总价</w:t>
      </w:r>
      <w:r>
        <w:rPr>
          <w:rFonts w:hint="eastAsia" w:ascii="仿宋" w:hAnsi="仿宋" w:eastAsia="仿宋" w:cs="仿宋"/>
          <w:color w:val="auto"/>
          <w:sz w:val="24"/>
          <w:szCs w:val="24"/>
          <w:highlight w:val="none"/>
        </w:rPr>
        <w:t>报价必须与《</w:t>
      </w:r>
      <w:r>
        <w:rPr>
          <w:rFonts w:hint="eastAsia" w:ascii="仿宋" w:hAnsi="仿宋" w:eastAsia="仿宋" w:cs="仿宋"/>
          <w:color w:val="auto"/>
          <w:sz w:val="24"/>
          <w:szCs w:val="24"/>
          <w:highlight w:val="none"/>
          <w:lang w:eastAsia="zh-CN"/>
        </w:rPr>
        <w:t>开标一览表</w:t>
      </w:r>
      <w:r>
        <w:rPr>
          <w:rFonts w:hint="eastAsia" w:ascii="仿宋" w:hAnsi="仿宋" w:eastAsia="仿宋" w:cs="仿宋"/>
          <w:color w:val="auto"/>
          <w:sz w:val="24"/>
          <w:szCs w:val="24"/>
          <w:highlight w:val="none"/>
        </w:rPr>
        <w:t>》报价一致。</w:t>
      </w:r>
    </w:p>
    <w:p w14:paraId="41B60553">
      <w:pPr>
        <w:pStyle w:val="30"/>
        <w:tabs>
          <w:tab w:val="left" w:pos="493"/>
        </w:tabs>
        <w:spacing w:line="317" w:lineRule="exact"/>
        <w:ind w:left="240" w:leftChars="1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供应商必须按此表格式中的对应栏目内容填写，若需增加栏目，请在栏目</w:t>
      </w:r>
      <w:r>
        <w:rPr>
          <w:rFonts w:hint="eastAsia" w:ascii="仿宋" w:hAnsi="仿宋" w:eastAsia="仿宋" w:cs="仿宋"/>
          <w:color w:val="auto"/>
          <w:sz w:val="24"/>
          <w:szCs w:val="24"/>
          <w:highlight w:val="none"/>
          <w:lang w:val="zh-CN" w:eastAsia="zh-CN" w:bidi="zh-CN"/>
        </w:rPr>
        <w:t>“备注</w:t>
      </w:r>
      <w:r>
        <w:rPr>
          <w:rFonts w:hint="eastAsia" w:ascii="仿宋" w:hAnsi="仿宋" w:eastAsia="仿宋" w:cs="仿宋"/>
          <w:color w:val="auto"/>
          <w:sz w:val="24"/>
          <w:szCs w:val="24"/>
          <w:highlight w:val="none"/>
        </w:rPr>
        <w:t>”中填写，并作详细说明。</w:t>
      </w:r>
    </w:p>
    <w:p w14:paraId="0CECD0E9">
      <w:pPr>
        <w:pStyle w:val="30"/>
        <w:tabs>
          <w:tab w:val="left" w:pos="493"/>
        </w:tabs>
        <w:spacing w:line="317" w:lineRule="exact"/>
        <w:ind w:left="240" w:leftChars="100" w:firstLine="482" w:firstLineChars="20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4.装修部分请按谈判文件中“招标工程量清单”格式进行报价。</w:t>
      </w:r>
    </w:p>
    <w:p w14:paraId="783E63E4">
      <w:pPr>
        <w:pStyle w:val="30"/>
        <w:tabs>
          <w:tab w:val="left" w:pos="493"/>
        </w:tabs>
        <w:spacing w:line="317" w:lineRule="exact"/>
        <w:ind w:left="176"/>
        <w:rPr>
          <w:rFonts w:ascii="仿宋" w:hAnsi="仿宋" w:eastAsia="仿宋" w:cs="仿宋"/>
          <w:color w:val="auto"/>
          <w:sz w:val="20"/>
          <w:szCs w:val="20"/>
          <w:highlight w:val="none"/>
        </w:rPr>
      </w:pPr>
    </w:p>
    <w:p w14:paraId="1AAE239D">
      <w:pPr>
        <w:pStyle w:val="30"/>
        <w:tabs>
          <w:tab w:val="left" w:pos="493"/>
        </w:tabs>
        <w:spacing w:line="317" w:lineRule="exact"/>
        <w:ind w:left="176"/>
        <w:rPr>
          <w:rFonts w:ascii="仿宋" w:hAnsi="仿宋" w:eastAsia="仿宋" w:cs="仿宋"/>
          <w:color w:val="auto"/>
          <w:sz w:val="20"/>
          <w:szCs w:val="20"/>
          <w:highlight w:val="none"/>
        </w:rPr>
      </w:pPr>
    </w:p>
    <w:p w14:paraId="0C42D6FE">
      <w:pPr>
        <w:pStyle w:val="7"/>
        <w:numPr>
          <w:ilvl w:val="0"/>
          <w:numId w:val="0"/>
        </w:numPr>
        <w:tabs>
          <w:tab w:val="left" w:pos="8227"/>
          <w:tab w:val="clear" w:pos="780"/>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 xml:space="preserve"> </w:t>
      </w:r>
    </w:p>
    <w:p w14:paraId="13AD2BE2">
      <w:pPr>
        <w:pStyle w:val="7"/>
        <w:numPr>
          <w:ilvl w:val="0"/>
          <w:numId w:val="0"/>
        </w:numPr>
        <w:tabs>
          <w:tab w:val="left" w:pos="8227"/>
          <w:tab w:val="clear" w:pos="780"/>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（签章）</w:t>
      </w:r>
    </w:p>
    <w:p w14:paraId="32BF0202">
      <w:pPr>
        <w:pStyle w:val="7"/>
        <w:numPr>
          <w:ilvl w:val="0"/>
          <w:numId w:val="0"/>
        </w:numPr>
        <w:tabs>
          <w:tab w:val="left" w:pos="5551"/>
          <w:tab w:val="left" w:pos="6511"/>
          <w:tab w:val="left" w:pos="7111"/>
          <w:tab w:val="left" w:pos="7711"/>
          <w:tab w:val="clear" w:pos="780"/>
        </w:tabs>
        <w:kinsoku w:val="0"/>
        <w:overflowPunct w:val="0"/>
        <w:spacing w:before="46"/>
        <w:ind w:left="392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日</w:t>
      </w:r>
    </w:p>
    <w:p w14:paraId="08658AD3">
      <w:pPr>
        <w:pStyle w:val="7"/>
        <w:numPr>
          <w:ilvl w:val="0"/>
          <w:numId w:val="0"/>
        </w:numPr>
        <w:kinsoku w:val="0"/>
        <w:overflowPunct w:val="0"/>
        <w:spacing w:before="34" w:line="357" w:lineRule="auto"/>
        <w:ind w:left="480" w:right="126"/>
        <w:jc w:val="center"/>
        <w:rPr>
          <w:rFonts w:ascii="仿宋" w:hAnsi="仿宋" w:eastAsia="仿宋" w:cs="仿宋"/>
          <w:b/>
          <w:bCs/>
          <w:color w:val="auto"/>
          <w:sz w:val="36"/>
          <w:szCs w:val="36"/>
          <w:highlight w:val="none"/>
          <w:lang w:eastAsia="zh-CN"/>
        </w:rPr>
      </w:pPr>
    </w:p>
    <w:p w14:paraId="2497572D">
      <w:pPr>
        <w:pStyle w:val="7"/>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rPr>
      </w:pPr>
    </w:p>
    <w:p w14:paraId="7487BF77">
      <w:pPr>
        <w:pStyle w:val="7"/>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rPr>
      </w:pPr>
    </w:p>
    <w:p w14:paraId="5EAC6118">
      <w:pPr>
        <w:pStyle w:val="7"/>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rPr>
      </w:pPr>
    </w:p>
    <w:p w14:paraId="421CBE75">
      <w:pPr>
        <w:pStyle w:val="7"/>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rPr>
      </w:pPr>
    </w:p>
    <w:p w14:paraId="627F8A9F">
      <w:pPr>
        <w:pStyle w:val="7"/>
        <w:numPr>
          <w:ilvl w:val="0"/>
          <w:numId w:val="0"/>
        </w:numPr>
        <w:tabs>
          <w:tab w:val="clear" w:pos="780"/>
        </w:tabs>
        <w:kinsoku w:val="0"/>
        <w:overflowPunct w:val="0"/>
        <w:spacing w:before="46"/>
        <w:ind w:right="0" w:rightChars="0"/>
        <w:jc w:val="center"/>
        <w:rPr>
          <w:rFonts w:hint="eastAsia" w:ascii="仿宋" w:hAnsi="仿宋" w:eastAsia="仿宋" w:cs="仿宋"/>
          <w:b/>
          <w:bCs/>
          <w:color w:val="auto"/>
          <w:spacing w:val="0"/>
          <w:w w:val="100"/>
          <w:position w:val="0"/>
          <w:sz w:val="36"/>
          <w:szCs w:val="36"/>
          <w:lang w:val="en-US" w:eastAsia="zh-CN"/>
        </w:rPr>
      </w:pPr>
    </w:p>
    <w:p w14:paraId="1C741A97">
      <w:pPr>
        <w:rPr>
          <w:rFonts w:hint="default"/>
          <w:lang w:val="en-US" w:eastAsia="zh-CN"/>
        </w:rPr>
      </w:pPr>
    </w:p>
    <w:p w14:paraId="203B2BFA">
      <w:pPr>
        <w:pStyle w:val="7"/>
        <w:numPr>
          <w:ilvl w:val="0"/>
          <w:numId w:val="0"/>
        </w:numPr>
        <w:tabs>
          <w:tab w:val="clear" w:pos="780"/>
        </w:tabs>
        <w:kinsoku w:val="0"/>
        <w:overflowPunct w:val="0"/>
        <w:spacing w:before="46"/>
        <w:ind w:right="0" w:rightChars="0"/>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5、技术规格偏离表</w:t>
      </w:r>
    </w:p>
    <w:tbl>
      <w:tblPr>
        <w:tblStyle w:val="18"/>
        <w:tblW w:w="75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7"/>
        <w:gridCol w:w="1327"/>
      </w:tblGrid>
      <w:tr w14:paraId="1DF88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536D22B1">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1357" w:type="dxa"/>
            <w:vAlign w:val="center"/>
          </w:tcPr>
          <w:p w14:paraId="0FE967C5">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货物名称</w:t>
            </w:r>
          </w:p>
        </w:tc>
        <w:tc>
          <w:tcPr>
            <w:tcW w:w="1326" w:type="dxa"/>
            <w:vAlign w:val="center"/>
          </w:tcPr>
          <w:p w14:paraId="1191C86A">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谈判文件</w:t>
            </w:r>
            <w:r>
              <w:rPr>
                <w:rFonts w:hint="eastAsia" w:ascii="仿宋" w:hAnsi="仿宋" w:eastAsia="仿宋" w:cs="仿宋"/>
                <w:bCs/>
                <w:color w:val="auto"/>
                <w:sz w:val="24"/>
                <w:szCs w:val="24"/>
              </w:rPr>
              <w:t>要求规格</w:t>
            </w:r>
          </w:p>
        </w:tc>
        <w:tc>
          <w:tcPr>
            <w:tcW w:w="1326" w:type="dxa"/>
            <w:vAlign w:val="center"/>
          </w:tcPr>
          <w:p w14:paraId="4582ABE2">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投标规格</w:t>
            </w:r>
          </w:p>
        </w:tc>
        <w:tc>
          <w:tcPr>
            <w:tcW w:w="1327" w:type="dxa"/>
            <w:vAlign w:val="center"/>
          </w:tcPr>
          <w:p w14:paraId="5EADAD66">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偏离</w:t>
            </w:r>
          </w:p>
        </w:tc>
        <w:tc>
          <w:tcPr>
            <w:tcW w:w="1327" w:type="dxa"/>
            <w:vAlign w:val="center"/>
          </w:tcPr>
          <w:p w14:paraId="6306376D">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说明</w:t>
            </w:r>
          </w:p>
        </w:tc>
      </w:tr>
      <w:tr w14:paraId="06CA7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80DB32B">
            <w:pPr>
              <w:jc w:val="center"/>
              <w:rPr>
                <w:rFonts w:hint="eastAsia" w:ascii="仿宋" w:hAnsi="仿宋" w:eastAsia="仿宋" w:cs="仿宋"/>
                <w:b/>
                <w:bCs/>
                <w:color w:val="auto"/>
                <w:sz w:val="24"/>
                <w:szCs w:val="24"/>
              </w:rPr>
            </w:pPr>
          </w:p>
        </w:tc>
        <w:tc>
          <w:tcPr>
            <w:tcW w:w="1357" w:type="dxa"/>
          </w:tcPr>
          <w:p w14:paraId="35335D4E">
            <w:pPr>
              <w:jc w:val="center"/>
              <w:rPr>
                <w:rFonts w:hint="eastAsia" w:ascii="仿宋" w:hAnsi="仿宋" w:eastAsia="仿宋" w:cs="仿宋"/>
                <w:b/>
                <w:bCs/>
                <w:color w:val="auto"/>
                <w:sz w:val="24"/>
                <w:szCs w:val="24"/>
              </w:rPr>
            </w:pPr>
          </w:p>
        </w:tc>
        <w:tc>
          <w:tcPr>
            <w:tcW w:w="1326" w:type="dxa"/>
          </w:tcPr>
          <w:p w14:paraId="6F3F5FD4">
            <w:pPr>
              <w:jc w:val="center"/>
              <w:rPr>
                <w:rFonts w:hint="eastAsia" w:ascii="仿宋" w:hAnsi="仿宋" w:eastAsia="仿宋" w:cs="仿宋"/>
                <w:b/>
                <w:bCs/>
                <w:color w:val="auto"/>
                <w:sz w:val="24"/>
                <w:szCs w:val="24"/>
              </w:rPr>
            </w:pPr>
          </w:p>
        </w:tc>
        <w:tc>
          <w:tcPr>
            <w:tcW w:w="1326" w:type="dxa"/>
          </w:tcPr>
          <w:p w14:paraId="4C93566C">
            <w:pPr>
              <w:jc w:val="center"/>
              <w:rPr>
                <w:rFonts w:hint="eastAsia" w:ascii="仿宋" w:hAnsi="仿宋" w:eastAsia="仿宋" w:cs="仿宋"/>
                <w:b/>
                <w:bCs/>
                <w:color w:val="auto"/>
                <w:sz w:val="24"/>
                <w:szCs w:val="24"/>
              </w:rPr>
            </w:pPr>
          </w:p>
        </w:tc>
        <w:tc>
          <w:tcPr>
            <w:tcW w:w="1327" w:type="dxa"/>
          </w:tcPr>
          <w:p w14:paraId="25F866FE">
            <w:pPr>
              <w:jc w:val="center"/>
              <w:rPr>
                <w:rFonts w:hint="eastAsia" w:ascii="仿宋" w:hAnsi="仿宋" w:eastAsia="仿宋" w:cs="仿宋"/>
                <w:b/>
                <w:bCs/>
                <w:color w:val="auto"/>
                <w:sz w:val="24"/>
                <w:szCs w:val="24"/>
              </w:rPr>
            </w:pPr>
            <w:r>
              <w:rPr>
                <w:rFonts w:hint="eastAsia" w:ascii="仿宋" w:hAnsi="仿宋" w:eastAsia="仿宋" w:cs="仿宋"/>
                <w:bCs/>
                <w:color w:val="auto"/>
                <w:sz w:val="24"/>
                <w:szCs w:val="24"/>
                <w:lang w:val="en-US" w:eastAsia="zh-CN"/>
              </w:rPr>
              <w:t>如有正偏离需提供证明材料，证明材料附后(并注明页码)</w:t>
            </w:r>
          </w:p>
        </w:tc>
        <w:tc>
          <w:tcPr>
            <w:tcW w:w="1327" w:type="dxa"/>
          </w:tcPr>
          <w:p w14:paraId="76AFF765">
            <w:pPr>
              <w:jc w:val="center"/>
              <w:rPr>
                <w:rFonts w:hint="eastAsia" w:ascii="仿宋" w:hAnsi="仿宋" w:eastAsia="仿宋" w:cs="仿宋"/>
                <w:b/>
                <w:bCs/>
                <w:color w:val="auto"/>
                <w:sz w:val="24"/>
                <w:szCs w:val="24"/>
              </w:rPr>
            </w:pPr>
          </w:p>
        </w:tc>
      </w:tr>
      <w:tr w14:paraId="3B4BC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F1BA75F">
            <w:pPr>
              <w:jc w:val="center"/>
              <w:rPr>
                <w:rFonts w:hint="eastAsia" w:ascii="仿宋" w:hAnsi="仿宋" w:eastAsia="仿宋" w:cs="仿宋"/>
                <w:b/>
                <w:bCs/>
                <w:color w:val="auto"/>
                <w:sz w:val="24"/>
                <w:szCs w:val="24"/>
              </w:rPr>
            </w:pPr>
          </w:p>
        </w:tc>
        <w:tc>
          <w:tcPr>
            <w:tcW w:w="1357" w:type="dxa"/>
          </w:tcPr>
          <w:p w14:paraId="1FF71C79">
            <w:pPr>
              <w:jc w:val="center"/>
              <w:rPr>
                <w:rFonts w:hint="eastAsia" w:ascii="仿宋" w:hAnsi="仿宋" w:eastAsia="仿宋" w:cs="仿宋"/>
                <w:b/>
                <w:bCs/>
                <w:color w:val="auto"/>
                <w:sz w:val="24"/>
                <w:szCs w:val="24"/>
              </w:rPr>
            </w:pPr>
          </w:p>
        </w:tc>
        <w:tc>
          <w:tcPr>
            <w:tcW w:w="1326" w:type="dxa"/>
          </w:tcPr>
          <w:p w14:paraId="7564E98A">
            <w:pPr>
              <w:jc w:val="center"/>
              <w:rPr>
                <w:rFonts w:hint="eastAsia" w:ascii="仿宋" w:hAnsi="仿宋" w:eastAsia="仿宋" w:cs="仿宋"/>
                <w:b/>
                <w:bCs/>
                <w:color w:val="auto"/>
                <w:sz w:val="24"/>
                <w:szCs w:val="24"/>
              </w:rPr>
            </w:pPr>
          </w:p>
        </w:tc>
        <w:tc>
          <w:tcPr>
            <w:tcW w:w="1326" w:type="dxa"/>
          </w:tcPr>
          <w:p w14:paraId="12549725">
            <w:pPr>
              <w:jc w:val="center"/>
              <w:rPr>
                <w:rFonts w:hint="eastAsia" w:ascii="仿宋" w:hAnsi="仿宋" w:eastAsia="仿宋" w:cs="仿宋"/>
                <w:b/>
                <w:bCs/>
                <w:color w:val="auto"/>
                <w:sz w:val="24"/>
                <w:szCs w:val="24"/>
              </w:rPr>
            </w:pPr>
          </w:p>
        </w:tc>
        <w:tc>
          <w:tcPr>
            <w:tcW w:w="1327" w:type="dxa"/>
          </w:tcPr>
          <w:p w14:paraId="15F8F0D7">
            <w:pPr>
              <w:jc w:val="center"/>
              <w:rPr>
                <w:rFonts w:hint="eastAsia" w:ascii="仿宋" w:hAnsi="仿宋" w:eastAsia="仿宋" w:cs="仿宋"/>
                <w:b/>
                <w:bCs/>
                <w:color w:val="auto"/>
                <w:sz w:val="24"/>
                <w:szCs w:val="24"/>
              </w:rPr>
            </w:pPr>
          </w:p>
        </w:tc>
        <w:tc>
          <w:tcPr>
            <w:tcW w:w="1327" w:type="dxa"/>
          </w:tcPr>
          <w:p w14:paraId="0549FC3F">
            <w:pPr>
              <w:jc w:val="center"/>
              <w:rPr>
                <w:rFonts w:hint="eastAsia" w:ascii="仿宋" w:hAnsi="仿宋" w:eastAsia="仿宋" w:cs="仿宋"/>
                <w:b/>
                <w:bCs/>
                <w:color w:val="auto"/>
                <w:sz w:val="24"/>
                <w:szCs w:val="24"/>
              </w:rPr>
            </w:pPr>
          </w:p>
        </w:tc>
      </w:tr>
      <w:tr w14:paraId="03C87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7F1320AA">
            <w:pPr>
              <w:jc w:val="center"/>
              <w:rPr>
                <w:rFonts w:hint="eastAsia" w:ascii="仿宋" w:hAnsi="仿宋" w:eastAsia="仿宋" w:cs="仿宋"/>
                <w:b/>
                <w:bCs/>
                <w:color w:val="auto"/>
                <w:sz w:val="24"/>
                <w:szCs w:val="24"/>
              </w:rPr>
            </w:pPr>
          </w:p>
        </w:tc>
        <w:tc>
          <w:tcPr>
            <w:tcW w:w="1357" w:type="dxa"/>
          </w:tcPr>
          <w:p w14:paraId="267E833A">
            <w:pPr>
              <w:jc w:val="center"/>
              <w:rPr>
                <w:rFonts w:hint="eastAsia" w:ascii="仿宋" w:hAnsi="仿宋" w:eastAsia="仿宋" w:cs="仿宋"/>
                <w:b/>
                <w:bCs/>
                <w:color w:val="auto"/>
                <w:sz w:val="24"/>
                <w:szCs w:val="24"/>
              </w:rPr>
            </w:pPr>
          </w:p>
        </w:tc>
        <w:tc>
          <w:tcPr>
            <w:tcW w:w="1326" w:type="dxa"/>
          </w:tcPr>
          <w:p w14:paraId="7EBD80D7">
            <w:pPr>
              <w:jc w:val="center"/>
              <w:rPr>
                <w:rFonts w:hint="eastAsia" w:ascii="仿宋" w:hAnsi="仿宋" w:eastAsia="仿宋" w:cs="仿宋"/>
                <w:b/>
                <w:bCs/>
                <w:color w:val="auto"/>
                <w:sz w:val="24"/>
                <w:szCs w:val="24"/>
              </w:rPr>
            </w:pPr>
          </w:p>
        </w:tc>
        <w:tc>
          <w:tcPr>
            <w:tcW w:w="1326" w:type="dxa"/>
          </w:tcPr>
          <w:p w14:paraId="584BC4FC">
            <w:pPr>
              <w:jc w:val="center"/>
              <w:rPr>
                <w:rFonts w:hint="eastAsia" w:ascii="仿宋" w:hAnsi="仿宋" w:eastAsia="仿宋" w:cs="仿宋"/>
                <w:b/>
                <w:bCs/>
                <w:color w:val="auto"/>
                <w:sz w:val="24"/>
                <w:szCs w:val="24"/>
              </w:rPr>
            </w:pPr>
          </w:p>
        </w:tc>
        <w:tc>
          <w:tcPr>
            <w:tcW w:w="1327" w:type="dxa"/>
          </w:tcPr>
          <w:p w14:paraId="67190755">
            <w:pPr>
              <w:jc w:val="center"/>
              <w:rPr>
                <w:rFonts w:hint="eastAsia" w:ascii="仿宋" w:hAnsi="仿宋" w:eastAsia="仿宋" w:cs="仿宋"/>
                <w:b/>
                <w:bCs/>
                <w:color w:val="auto"/>
                <w:sz w:val="24"/>
                <w:szCs w:val="24"/>
              </w:rPr>
            </w:pPr>
          </w:p>
        </w:tc>
        <w:tc>
          <w:tcPr>
            <w:tcW w:w="1327" w:type="dxa"/>
          </w:tcPr>
          <w:p w14:paraId="2DEB40D7">
            <w:pPr>
              <w:jc w:val="center"/>
              <w:rPr>
                <w:rFonts w:hint="eastAsia" w:ascii="仿宋" w:hAnsi="仿宋" w:eastAsia="仿宋" w:cs="仿宋"/>
                <w:b/>
                <w:bCs/>
                <w:color w:val="auto"/>
                <w:sz w:val="24"/>
                <w:szCs w:val="24"/>
              </w:rPr>
            </w:pPr>
          </w:p>
        </w:tc>
      </w:tr>
      <w:tr w14:paraId="3EC3D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771B0D32">
            <w:pPr>
              <w:jc w:val="center"/>
              <w:rPr>
                <w:rFonts w:hint="eastAsia" w:ascii="仿宋" w:hAnsi="仿宋" w:eastAsia="仿宋" w:cs="仿宋"/>
                <w:b/>
                <w:bCs/>
                <w:color w:val="auto"/>
                <w:sz w:val="24"/>
                <w:szCs w:val="24"/>
              </w:rPr>
            </w:pPr>
          </w:p>
        </w:tc>
        <w:tc>
          <w:tcPr>
            <w:tcW w:w="1357" w:type="dxa"/>
          </w:tcPr>
          <w:p w14:paraId="60A3F386">
            <w:pPr>
              <w:jc w:val="center"/>
              <w:rPr>
                <w:rFonts w:hint="eastAsia" w:ascii="仿宋" w:hAnsi="仿宋" w:eastAsia="仿宋" w:cs="仿宋"/>
                <w:b/>
                <w:bCs/>
                <w:color w:val="auto"/>
                <w:sz w:val="24"/>
                <w:szCs w:val="24"/>
              </w:rPr>
            </w:pPr>
          </w:p>
        </w:tc>
        <w:tc>
          <w:tcPr>
            <w:tcW w:w="1326" w:type="dxa"/>
          </w:tcPr>
          <w:p w14:paraId="78AFB554">
            <w:pPr>
              <w:jc w:val="center"/>
              <w:rPr>
                <w:rFonts w:hint="eastAsia" w:ascii="仿宋" w:hAnsi="仿宋" w:eastAsia="仿宋" w:cs="仿宋"/>
                <w:b/>
                <w:bCs/>
                <w:color w:val="auto"/>
                <w:sz w:val="24"/>
                <w:szCs w:val="24"/>
              </w:rPr>
            </w:pPr>
          </w:p>
        </w:tc>
        <w:tc>
          <w:tcPr>
            <w:tcW w:w="1326" w:type="dxa"/>
          </w:tcPr>
          <w:p w14:paraId="57D53F98">
            <w:pPr>
              <w:jc w:val="center"/>
              <w:rPr>
                <w:rFonts w:hint="eastAsia" w:ascii="仿宋" w:hAnsi="仿宋" w:eastAsia="仿宋" w:cs="仿宋"/>
                <w:b/>
                <w:bCs/>
                <w:color w:val="auto"/>
                <w:sz w:val="24"/>
                <w:szCs w:val="24"/>
              </w:rPr>
            </w:pPr>
          </w:p>
        </w:tc>
        <w:tc>
          <w:tcPr>
            <w:tcW w:w="1327" w:type="dxa"/>
          </w:tcPr>
          <w:p w14:paraId="0765DB12">
            <w:pPr>
              <w:jc w:val="center"/>
              <w:rPr>
                <w:rFonts w:hint="eastAsia" w:ascii="仿宋" w:hAnsi="仿宋" w:eastAsia="仿宋" w:cs="仿宋"/>
                <w:b/>
                <w:bCs/>
                <w:color w:val="auto"/>
                <w:sz w:val="24"/>
                <w:szCs w:val="24"/>
              </w:rPr>
            </w:pPr>
          </w:p>
        </w:tc>
        <w:tc>
          <w:tcPr>
            <w:tcW w:w="1327" w:type="dxa"/>
          </w:tcPr>
          <w:p w14:paraId="6CA8AEEB">
            <w:pPr>
              <w:jc w:val="center"/>
              <w:rPr>
                <w:rFonts w:hint="eastAsia" w:ascii="仿宋" w:hAnsi="仿宋" w:eastAsia="仿宋" w:cs="仿宋"/>
                <w:b/>
                <w:bCs/>
                <w:color w:val="auto"/>
                <w:sz w:val="24"/>
                <w:szCs w:val="24"/>
              </w:rPr>
            </w:pPr>
          </w:p>
        </w:tc>
      </w:tr>
      <w:tr w14:paraId="22468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447B054F">
            <w:pPr>
              <w:jc w:val="center"/>
              <w:rPr>
                <w:rFonts w:hint="eastAsia" w:ascii="仿宋" w:hAnsi="仿宋" w:eastAsia="仿宋" w:cs="仿宋"/>
                <w:b/>
                <w:bCs/>
                <w:color w:val="auto"/>
                <w:sz w:val="24"/>
                <w:szCs w:val="24"/>
              </w:rPr>
            </w:pPr>
          </w:p>
        </w:tc>
        <w:tc>
          <w:tcPr>
            <w:tcW w:w="1357" w:type="dxa"/>
          </w:tcPr>
          <w:p w14:paraId="3FD0C829">
            <w:pPr>
              <w:jc w:val="center"/>
              <w:rPr>
                <w:rFonts w:hint="eastAsia" w:ascii="仿宋" w:hAnsi="仿宋" w:eastAsia="仿宋" w:cs="仿宋"/>
                <w:b/>
                <w:bCs/>
                <w:color w:val="auto"/>
                <w:sz w:val="24"/>
                <w:szCs w:val="24"/>
              </w:rPr>
            </w:pPr>
          </w:p>
        </w:tc>
        <w:tc>
          <w:tcPr>
            <w:tcW w:w="1326" w:type="dxa"/>
          </w:tcPr>
          <w:p w14:paraId="3D94DCCC">
            <w:pPr>
              <w:jc w:val="center"/>
              <w:rPr>
                <w:rFonts w:hint="eastAsia" w:ascii="仿宋" w:hAnsi="仿宋" w:eastAsia="仿宋" w:cs="仿宋"/>
                <w:b/>
                <w:bCs/>
                <w:color w:val="auto"/>
                <w:sz w:val="24"/>
                <w:szCs w:val="24"/>
              </w:rPr>
            </w:pPr>
          </w:p>
        </w:tc>
        <w:tc>
          <w:tcPr>
            <w:tcW w:w="1326" w:type="dxa"/>
          </w:tcPr>
          <w:p w14:paraId="47EC323D">
            <w:pPr>
              <w:jc w:val="center"/>
              <w:rPr>
                <w:rFonts w:hint="eastAsia" w:ascii="仿宋" w:hAnsi="仿宋" w:eastAsia="仿宋" w:cs="仿宋"/>
                <w:b/>
                <w:bCs/>
                <w:color w:val="auto"/>
                <w:sz w:val="24"/>
                <w:szCs w:val="24"/>
              </w:rPr>
            </w:pPr>
          </w:p>
        </w:tc>
        <w:tc>
          <w:tcPr>
            <w:tcW w:w="1327" w:type="dxa"/>
          </w:tcPr>
          <w:p w14:paraId="115C9EBC">
            <w:pPr>
              <w:jc w:val="center"/>
              <w:rPr>
                <w:rFonts w:hint="eastAsia" w:ascii="仿宋" w:hAnsi="仿宋" w:eastAsia="仿宋" w:cs="仿宋"/>
                <w:b/>
                <w:bCs/>
                <w:color w:val="auto"/>
                <w:sz w:val="24"/>
                <w:szCs w:val="24"/>
              </w:rPr>
            </w:pPr>
          </w:p>
        </w:tc>
        <w:tc>
          <w:tcPr>
            <w:tcW w:w="1327" w:type="dxa"/>
          </w:tcPr>
          <w:p w14:paraId="35D8F413">
            <w:pPr>
              <w:jc w:val="center"/>
              <w:rPr>
                <w:rFonts w:hint="eastAsia" w:ascii="仿宋" w:hAnsi="仿宋" w:eastAsia="仿宋" w:cs="仿宋"/>
                <w:b/>
                <w:bCs/>
                <w:color w:val="auto"/>
                <w:sz w:val="24"/>
                <w:szCs w:val="24"/>
              </w:rPr>
            </w:pPr>
          </w:p>
        </w:tc>
      </w:tr>
    </w:tbl>
    <w:p w14:paraId="608CF9D2">
      <w:pPr>
        <w:spacing w:line="360" w:lineRule="auto"/>
        <w:ind w:firstLine="475" w:firstLineChars="198"/>
        <w:jc w:val="left"/>
        <w:rPr>
          <w:rFonts w:hint="eastAsia" w:ascii="仿宋" w:hAnsi="仿宋" w:eastAsia="仿宋" w:cs="仿宋"/>
          <w:color w:val="auto"/>
          <w:sz w:val="24"/>
          <w:szCs w:val="24"/>
        </w:rPr>
      </w:pPr>
      <w:r>
        <w:rPr>
          <w:rFonts w:hint="eastAsia" w:ascii="仿宋" w:hAnsi="仿宋" w:eastAsia="仿宋" w:cs="仿宋"/>
          <w:color w:val="auto"/>
          <w:sz w:val="24"/>
          <w:szCs w:val="24"/>
        </w:rPr>
        <w:t>备注：投标人应根据其提供的货物，对照</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第</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章“技术标准和要求”中的要求，有差异的，则在此表中列明实际响应的内容提要并加以说明，以便查对。本表包括所有的技术响应及差异。无差异说明表示完全响应</w:t>
      </w:r>
      <w:r>
        <w:rPr>
          <w:rFonts w:hint="eastAsia" w:ascii="仿宋" w:hAnsi="仿宋" w:eastAsia="仿宋" w:cs="仿宋"/>
          <w:color w:val="auto"/>
          <w:sz w:val="24"/>
          <w:szCs w:val="24"/>
          <w:lang w:eastAsia="zh-CN"/>
        </w:rPr>
        <w:t>。</w:t>
      </w:r>
    </w:p>
    <w:p w14:paraId="22C066BA">
      <w:pPr>
        <w:pStyle w:val="9"/>
        <w:tabs>
          <w:tab w:val="left" w:pos="5580"/>
        </w:tabs>
        <w:spacing w:line="360" w:lineRule="auto"/>
        <w:ind w:firstLine="3120" w:firstLineChars="1300"/>
        <w:rPr>
          <w:rFonts w:hint="eastAsia" w:ascii="仿宋" w:hAnsi="仿宋" w:eastAsia="仿宋" w:cs="仿宋"/>
          <w:color w:val="auto"/>
          <w:sz w:val="24"/>
        </w:rPr>
      </w:pPr>
    </w:p>
    <w:p w14:paraId="62AF248A">
      <w:pPr>
        <w:pStyle w:val="9"/>
        <w:tabs>
          <w:tab w:val="left" w:pos="5580"/>
        </w:tabs>
        <w:spacing w:line="360" w:lineRule="auto"/>
        <w:ind w:firstLine="3120" w:firstLineChars="1300"/>
        <w:rPr>
          <w:rFonts w:hint="eastAsia" w:ascii="仿宋" w:hAnsi="仿宋" w:eastAsia="仿宋" w:cs="仿宋"/>
          <w:color w:val="auto"/>
          <w:sz w:val="24"/>
        </w:rPr>
      </w:pPr>
      <w:r>
        <w:rPr>
          <w:rFonts w:hint="eastAsia" w:ascii="仿宋" w:hAnsi="仿宋" w:eastAsia="仿宋" w:cs="仿宋"/>
          <w:color w:val="auto"/>
          <w:sz w:val="24"/>
        </w:rPr>
        <w:t>投标人（盖章）：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0B299ADB">
      <w:pPr>
        <w:pStyle w:val="9"/>
        <w:tabs>
          <w:tab w:val="left" w:pos="5580"/>
        </w:tabs>
        <w:spacing w:line="360" w:lineRule="auto"/>
        <w:ind w:firstLine="3120" w:firstLineChars="1300"/>
        <w:rPr>
          <w:rFonts w:hint="eastAsia" w:ascii="仿宋" w:hAnsi="仿宋" w:eastAsia="仿宋" w:cs="仿宋"/>
          <w:color w:val="auto"/>
          <w:kern w:val="0"/>
          <w:sz w:val="24"/>
          <w:szCs w:val="24"/>
          <w:u w:val="single"/>
          <w:lang w:val="en-US" w:eastAsia="zh-CN"/>
        </w:rPr>
      </w:pPr>
      <w:r>
        <w:rPr>
          <w:rFonts w:hint="eastAsia" w:ascii="仿宋" w:hAnsi="仿宋" w:eastAsia="仿宋" w:cs="仿宋"/>
          <w:color w:val="auto"/>
          <w:sz w:val="24"/>
          <w:lang w:eastAsia="zh-CN"/>
        </w:rPr>
        <w:t>法定代表人或</w:t>
      </w:r>
      <w:r>
        <w:rPr>
          <w:rFonts w:hint="eastAsia" w:ascii="仿宋" w:hAnsi="仿宋" w:eastAsia="仿宋" w:cs="仿宋"/>
          <w:color w:val="auto"/>
          <w:kern w:val="0"/>
          <w:sz w:val="24"/>
          <w:szCs w:val="24"/>
        </w:rPr>
        <w:t>委托代理人</w:t>
      </w:r>
      <w:r>
        <w:rPr>
          <w:rFonts w:hint="eastAsia" w:ascii="仿宋" w:hAnsi="仿宋" w:eastAsia="仿宋" w:cs="仿宋"/>
          <w:color w:val="auto"/>
          <w:sz w:val="24"/>
          <w:lang w:eastAsia="zh-CN"/>
        </w:rPr>
        <w:t>（签字或盖章）</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u w:val="single"/>
          <w:lang w:val="en-US" w:eastAsia="zh-CN"/>
        </w:rPr>
        <w:t xml:space="preserve">                   </w:t>
      </w:r>
    </w:p>
    <w:p w14:paraId="6DAFFBEC">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14:paraId="2B2893AF">
      <w:pPr>
        <w:pStyle w:val="4"/>
        <w:rPr>
          <w:rFonts w:hint="eastAsia" w:ascii="仿宋" w:hAnsi="仿宋" w:eastAsia="仿宋" w:cs="仿宋"/>
          <w:b/>
          <w:bCs/>
          <w:color w:val="auto"/>
          <w:sz w:val="36"/>
          <w:szCs w:val="36"/>
        </w:rPr>
      </w:pPr>
    </w:p>
    <w:p w14:paraId="5F89E49F">
      <w:pPr>
        <w:rPr>
          <w:rFonts w:hint="eastAsia" w:ascii="仿宋" w:hAnsi="仿宋" w:eastAsia="仿宋" w:cs="仿宋"/>
          <w:color w:val="auto"/>
        </w:rPr>
      </w:pPr>
    </w:p>
    <w:p w14:paraId="4302E88C">
      <w:pPr>
        <w:pStyle w:val="27"/>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C4EBE71">
      <w:pPr>
        <w:pStyle w:val="27"/>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0959F4D4">
      <w:pPr>
        <w:pStyle w:val="27"/>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D530045">
      <w:pPr>
        <w:pStyle w:val="27"/>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0C51FF0E">
      <w:pPr>
        <w:pStyle w:val="27"/>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4FB7B4CF">
      <w:pPr>
        <w:pStyle w:val="27"/>
        <w:keepNext w:val="0"/>
        <w:keepLines w:val="0"/>
        <w:widowControl w:val="0"/>
        <w:shd w:val="clear" w:color="auto" w:fill="auto"/>
        <w:bidi w:val="0"/>
        <w:spacing w:before="0" w:after="0" w:line="240" w:lineRule="auto"/>
        <w:ind w:left="0" w:leftChars="0" w:right="0" w:firstLine="0" w:firstLineChars="0"/>
        <w:jc w:val="both"/>
        <w:rPr>
          <w:rFonts w:hint="eastAsia" w:ascii="仿宋" w:hAnsi="仿宋" w:eastAsia="仿宋" w:cs="仿宋"/>
          <w:color w:val="auto"/>
          <w:spacing w:val="0"/>
          <w:w w:val="100"/>
          <w:position w:val="0"/>
          <w:sz w:val="36"/>
          <w:szCs w:val="36"/>
          <w:lang w:eastAsia="zh-CN"/>
        </w:rPr>
      </w:pPr>
    </w:p>
    <w:p w14:paraId="447B83D9">
      <w:pPr>
        <w:pStyle w:val="27"/>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p>
    <w:p w14:paraId="4DA673BB">
      <w:pPr>
        <w:pStyle w:val="27"/>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eastAsia="zh-CN"/>
        </w:rPr>
      </w:pPr>
      <w:r>
        <w:rPr>
          <w:rFonts w:hint="eastAsia" w:ascii="仿宋" w:hAnsi="仿宋" w:eastAsia="仿宋" w:cs="仿宋"/>
          <w:b/>
          <w:bCs/>
          <w:color w:val="auto"/>
          <w:spacing w:val="0"/>
          <w:w w:val="100"/>
          <w:position w:val="0"/>
          <w:sz w:val="36"/>
          <w:szCs w:val="36"/>
          <w:lang w:val="en-US" w:eastAsia="zh-CN"/>
        </w:rPr>
        <w:t>6</w:t>
      </w:r>
      <w:r>
        <w:rPr>
          <w:rFonts w:hint="eastAsia" w:ascii="仿宋" w:hAnsi="仿宋" w:eastAsia="仿宋" w:cs="仿宋"/>
          <w:b/>
          <w:bCs/>
          <w:color w:val="auto"/>
          <w:spacing w:val="0"/>
          <w:w w:val="100"/>
          <w:position w:val="0"/>
          <w:sz w:val="36"/>
          <w:szCs w:val="36"/>
        </w:rPr>
        <w:t>、</w:t>
      </w:r>
      <w:r>
        <w:rPr>
          <w:rFonts w:hint="eastAsia" w:ascii="仿宋" w:hAnsi="仿宋" w:eastAsia="仿宋" w:cs="仿宋"/>
          <w:b/>
          <w:bCs/>
          <w:color w:val="auto"/>
          <w:spacing w:val="0"/>
          <w:w w:val="100"/>
          <w:position w:val="0"/>
          <w:sz w:val="36"/>
          <w:szCs w:val="36"/>
          <w:lang w:eastAsia="zh-CN"/>
        </w:rPr>
        <w:t>商务条款偏离表</w:t>
      </w:r>
    </w:p>
    <w:tbl>
      <w:tblPr>
        <w:tblStyle w:val="18"/>
        <w:tblW w:w="7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746"/>
        <w:gridCol w:w="2708"/>
        <w:gridCol w:w="1130"/>
      </w:tblGrid>
      <w:tr w14:paraId="5E4B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64D9499">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序号</w:t>
            </w:r>
          </w:p>
        </w:tc>
        <w:tc>
          <w:tcPr>
            <w:tcW w:w="2746" w:type="dxa"/>
          </w:tcPr>
          <w:p w14:paraId="7B59BAFD">
            <w:pPr>
              <w:pStyle w:val="9"/>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谈判文件的商务条款</w:t>
            </w:r>
          </w:p>
        </w:tc>
        <w:tc>
          <w:tcPr>
            <w:tcW w:w="2708" w:type="dxa"/>
          </w:tcPr>
          <w:p w14:paraId="50903FD1">
            <w:pPr>
              <w:pStyle w:val="9"/>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响应文件的商务条款</w:t>
            </w:r>
          </w:p>
        </w:tc>
        <w:tc>
          <w:tcPr>
            <w:tcW w:w="1130" w:type="dxa"/>
          </w:tcPr>
          <w:p w14:paraId="6E96CDD8">
            <w:pPr>
              <w:pStyle w:val="9"/>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说明</w:t>
            </w:r>
          </w:p>
        </w:tc>
      </w:tr>
      <w:tr w14:paraId="0033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787F31DF">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w:t>
            </w:r>
          </w:p>
        </w:tc>
        <w:tc>
          <w:tcPr>
            <w:tcW w:w="2746" w:type="dxa"/>
            <w:vAlign w:val="center"/>
          </w:tcPr>
          <w:p w14:paraId="5FCD1081">
            <w:pPr>
              <w:rPr>
                <w:rFonts w:hint="eastAsia" w:ascii="仿宋" w:hAnsi="仿宋" w:eastAsia="仿宋" w:cs="仿宋"/>
                <w:color w:val="auto"/>
                <w:spacing w:val="-1"/>
                <w:kern w:val="0"/>
                <w:sz w:val="24"/>
              </w:rPr>
            </w:pPr>
          </w:p>
        </w:tc>
        <w:tc>
          <w:tcPr>
            <w:tcW w:w="2708" w:type="dxa"/>
            <w:vAlign w:val="center"/>
          </w:tcPr>
          <w:p w14:paraId="333FAC0E">
            <w:pPr>
              <w:rPr>
                <w:rFonts w:hint="eastAsia" w:ascii="仿宋" w:hAnsi="仿宋" w:eastAsia="仿宋" w:cs="仿宋"/>
                <w:color w:val="auto"/>
                <w:spacing w:val="-1"/>
                <w:kern w:val="0"/>
                <w:sz w:val="24"/>
              </w:rPr>
            </w:pPr>
          </w:p>
        </w:tc>
        <w:tc>
          <w:tcPr>
            <w:tcW w:w="1130" w:type="dxa"/>
            <w:vAlign w:val="center"/>
          </w:tcPr>
          <w:p w14:paraId="1911BDD8">
            <w:pPr>
              <w:rPr>
                <w:rFonts w:hint="eastAsia" w:ascii="仿宋" w:hAnsi="仿宋" w:eastAsia="仿宋" w:cs="仿宋"/>
                <w:color w:val="auto"/>
                <w:spacing w:val="-1"/>
                <w:kern w:val="0"/>
                <w:sz w:val="24"/>
              </w:rPr>
            </w:pPr>
          </w:p>
        </w:tc>
      </w:tr>
      <w:tr w14:paraId="7031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728DF61">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2</w:t>
            </w:r>
          </w:p>
        </w:tc>
        <w:tc>
          <w:tcPr>
            <w:tcW w:w="2746" w:type="dxa"/>
            <w:vAlign w:val="center"/>
          </w:tcPr>
          <w:p w14:paraId="24375419">
            <w:pPr>
              <w:rPr>
                <w:rFonts w:hint="eastAsia" w:ascii="仿宋" w:hAnsi="仿宋" w:eastAsia="仿宋" w:cs="仿宋"/>
                <w:color w:val="auto"/>
                <w:spacing w:val="-1"/>
                <w:kern w:val="0"/>
                <w:sz w:val="24"/>
              </w:rPr>
            </w:pPr>
          </w:p>
        </w:tc>
        <w:tc>
          <w:tcPr>
            <w:tcW w:w="2708" w:type="dxa"/>
            <w:vAlign w:val="center"/>
          </w:tcPr>
          <w:p w14:paraId="45173457">
            <w:pPr>
              <w:rPr>
                <w:rFonts w:hint="eastAsia" w:ascii="仿宋" w:hAnsi="仿宋" w:eastAsia="仿宋" w:cs="仿宋"/>
                <w:color w:val="auto"/>
                <w:spacing w:val="-1"/>
                <w:kern w:val="0"/>
                <w:sz w:val="24"/>
              </w:rPr>
            </w:pPr>
          </w:p>
        </w:tc>
        <w:tc>
          <w:tcPr>
            <w:tcW w:w="1130" w:type="dxa"/>
            <w:vAlign w:val="center"/>
          </w:tcPr>
          <w:p w14:paraId="591E8197">
            <w:pPr>
              <w:rPr>
                <w:rFonts w:hint="eastAsia" w:ascii="仿宋" w:hAnsi="仿宋" w:eastAsia="仿宋" w:cs="仿宋"/>
                <w:color w:val="auto"/>
                <w:spacing w:val="-1"/>
                <w:kern w:val="0"/>
                <w:sz w:val="24"/>
              </w:rPr>
            </w:pPr>
          </w:p>
        </w:tc>
      </w:tr>
      <w:tr w14:paraId="0E6E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B63C115">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3</w:t>
            </w:r>
          </w:p>
        </w:tc>
        <w:tc>
          <w:tcPr>
            <w:tcW w:w="2746" w:type="dxa"/>
            <w:vAlign w:val="center"/>
          </w:tcPr>
          <w:p w14:paraId="7F2A30A0">
            <w:pPr>
              <w:rPr>
                <w:rFonts w:hint="eastAsia" w:ascii="仿宋" w:hAnsi="仿宋" w:eastAsia="仿宋" w:cs="仿宋"/>
                <w:color w:val="auto"/>
                <w:spacing w:val="-1"/>
                <w:kern w:val="0"/>
                <w:sz w:val="24"/>
              </w:rPr>
            </w:pPr>
          </w:p>
        </w:tc>
        <w:tc>
          <w:tcPr>
            <w:tcW w:w="2708" w:type="dxa"/>
            <w:vAlign w:val="center"/>
          </w:tcPr>
          <w:p w14:paraId="07E71C31">
            <w:pPr>
              <w:rPr>
                <w:rFonts w:hint="eastAsia" w:ascii="仿宋" w:hAnsi="仿宋" w:eastAsia="仿宋" w:cs="仿宋"/>
                <w:color w:val="auto"/>
                <w:spacing w:val="-1"/>
                <w:kern w:val="0"/>
                <w:sz w:val="24"/>
              </w:rPr>
            </w:pPr>
          </w:p>
        </w:tc>
        <w:tc>
          <w:tcPr>
            <w:tcW w:w="1130" w:type="dxa"/>
            <w:vAlign w:val="center"/>
          </w:tcPr>
          <w:p w14:paraId="3BF08F1B">
            <w:pPr>
              <w:rPr>
                <w:rFonts w:hint="eastAsia" w:ascii="仿宋" w:hAnsi="仿宋" w:eastAsia="仿宋" w:cs="仿宋"/>
                <w:color w:val="auto"/>
                <w:spacing w:val="-1"/>
                <w:kern w:val="0"/>
                <w:sz w:val="24"/>
              </w:rPr>
            </w:pPr>
          </w:p>
        </w:tc>
      </w:tr>
      <w:tr w14:paraId="335A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664874BD">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4</w:t>
            </w:r>
          </w:p>
        </w:tc>
        <w:tc>
          <w:tcPr>
            <w:tcW w:w="2746" w:type="dxa"/>
            <w:vAlign w:val="center"/>
          </w:tcPr>
          <w:p w14:paraId="6A39FE68">
            <w:pPr>
              <w:rPr>
                <w:rFonts w:hint="eastAsia" w:ascii="仿宋" w:hAnsi="仿宋" w:eastAsia="仿宋" w:cs="仿宋"/>
                <w:color w:val="auto"/>
                <w:spacing w:val="-1"/>
                <w:kern w:val="0"/>
                <w:sz w:val="24"/>
              </w:rPr>
            </w:pPr>
          </w:p>
        </w:tc>
        <w:tc>
          <w:tcPr>
            <w:tcW w:w="2708" w:type="dxa"/>
            <w:vAlign w:val="center"/>
          </w:tcPr>
          <w:p w14:paraId="270EDF4F">
            <w:pPr>
              <w:rPr>
                <w:rFonts w:hint="eastAsia" w:ascii="仿宋" w:hAnsi="仿宋" w:eastAsia="仿宋" w:cs="仿宋"/>
                <w:color w:val="auto"/>
                <w:spacing w:val="-1"/>
                <w:kern w:val="0"/>
                <w:sz w:val="24"/>
              </w:rPr>
            </w:pPr>
          </w:p>
        </w:tc>
        <w:tc>
          <w:tcPr>
            <w:tcW w:w="1130" w:type="dxa"/>
            <w:vAlign w:val="center"/>
          </w:tcPr>
          <w:p w14:paraId="09CE3888">
            <w:pPr>
              <w:rPr>
                <w:rFonts w:hint="eastAsia" w:ascii="仿宋" w:hAnsi="仿宋" w:eastAsia="仿宋" w:cs="仿宋"/>
                <w:color w:val="auto"/>
                <w:spacing w:val="-1"/>
                <w:kern w:val="0"/>
                <w:sz w:val="24"/>
              </w:rPr>
            </w:pPr>
          </w:p>
        </w:tc>
      </w:tr>
      <w:tr w14:paraId="0A9B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69714118">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5</w:t>
            </w:r>
          </w:p>
        </w:tc>
        <w:tc>
          <w:tcPr>
            <w:tcW w:w="2746" w:type="dxa"/>
            <w:vAlign w:val="center"/>
          </w:tcPr>
          <w:p w14:paraId="744FC6C2">
            <w:pPr>
              <w:rPr>
                <w:rFonts w:hint="eastAsia" w:ascii="仿宋" w:hAnsi="仿宋" w:eastAsia="仿宋" w:cs="仿宋"/>
                <w:color w:val="auto"/>
                <w:spacing w:val="-1"/>
                <w:kern w:val="0"/>
                <w:sz w:val="24"/>
              </w:rPr>
            </w:pPr>
          </w:p>
        </w:tc>
        <w:tc>
          <w:tcPr>
            <w:tcW w:w="2708" w:type="dxa"/>
            <w:vAlign w:val="center"/>
          </w:tcPr>
          <w:p w14:paraId="257AB6FA">
            <w:pPr>
              <w:rPr>
                <w:rFonts w:hint="eastAsia" w:ascii="仿宋" w:hAnsi="仿宋" w:eastAsia="仿宋" w:cs="仿宋"/>
                <w:color w:val="auto"/>
                <w:spacing w:val="-1"/>
                <w:kern w:val="0"/>
                <w:sz w:val="24"/>
              </w:rPr>
            </w:pPr>
          </w:p>
        </w:tc>
        <w:tc>
          <w:tcPr>
            <w:tcW w:w="1130" w:type="dxa"/>
            <w:vAlign w:val="center"/>
          </w:tcPr>
          <w:p w14:paraId="435AE215">
            <w:pPr>
              <w:rPr>
                <w:rFonts w:hint="eastAsia" w:ascii="仿宋" w:hAnsi="仿宋" w:eastAsia="仿宋" w:cs="仿宋"/>
                <w:color w:val="auto"/>
                <w:spacing w:val="-1"/>
                <w:kern w:val="0"/>
                <w:sz w:val="24"/>
              </w:rPr>
            </w:pPr>
          </w:p>
        </w:tc>
      </w:tr>
      <w:tr w14:paraId="5E91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12B8718A">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6</w:t>
            </w:r>
          </w:p>
        </w:tc>
        <w:tc>
          <w:tcPr>
            <w:tcW w:w="2746" w:type="dxa"/>
            <w:vAlign w:val="center"/>
          </w:tcPr>
          <w:p w14:paraId="1BE15A5A">
            <w:pPr>
              <w:rPr>
                <w:rFonts w:hint="eastAsia" w:ascii="仿宋" w:hAnsi="仿宋" w:eastAsia="仿宋" w:cs="仿宋"/>
                <w:color w:val="auto"/>
                <w:spacing w:val="-1"/>
                <w:kern w:val="0"/>
                <w:sz w:val="24"/>
              </w:rPr>
            </w:pPr>
          </w:p>
        </w:tc>
        <w:tc>
          <w:tcPr>
            <w:tcW w:w="2708" w:type="dxa"/>
            <w:vAlign w:val="center"/>
          </w:tcPr>
          <w:p w14:paraId="0C92EE0A">
            <w:pPr>
              <w:rPr>
                <w:rFonts w:hint="eastAsia" w:ascii="仿宋" w:hAnsi="仿宋" w:eastAsia="仿宋" w:cs="仿宋"/>
                <w:color w:val="auto"/>
                <w:spacing w:val="-1"/>
                <w:kern w:val="0"/>
                <w:sz w:val="24"/>
              </w:rPr>
            </w:pPr>
          </w:p>
        </w:tc>
        <w:tc>
          <w:tcPr>
            <w:tcW w:w="1130" w:type="dxa"/>
            <w:vAlign w:val="center"/>
          </w:tcPr>
          <w:p w14:paraId="52AFA17D">
            <w:pPr>
              <w:rPr>
                <w:rFonts w:hint="eastAsia" w:ascii="仿宋" w:hAnsi="仿宋" w:eastAsia="仿宋" w:cs="仿宋"/>
                <w:color w:val="auto"/>
                <w:spacing w:val="-1"/>
                <w:kern w:val="0"/>
                <w:sz w:val="24"/>
              </w:rPr>
            </w:pPr>
          </w:p>
        </w:tc>
      </w:tr>
      <w:tr w14:paraId="085A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05E8A82">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7</w:t>
            </w:r>
          </w:p>
        </w:tc>
        <w:tc>
          <w:tcPr>
            <w:tcW w:w="2746" w:type="dxa"/>
            <w:vAlign w:val="center"/>
          </w:tcPr>
          <w:p w14:paraId="17C01760">
            <w:pPr>
              <w:rPr>
                <w:rFonts w:hint="eastAsia" w:ascii="仿宋" w:hAnsi="仿宋" w:eastAsia="仿宋" w:cs="仿宋"/>
                <w:color w:val="auto"/>
                <w:spacing w:val="-1"/>
                <w:kern w:val="0"/>
                <w:sz w:val="24"/>
              </w:rPr>
            </w:pPr>
          </w:p>
        </w:tc>
        <w:tc>
          <w:tcPr>
            <w:tcW w:w="2708" w:type="dxa"/>
            <w:vAlign w:val="center"/>
          </w:tcPr>
          <w:p w14:paraId="525843B1">
            <w:pPr>
              <w:rPr>
                <w:rFonts w:hint="eastAsia" w:ascii="仿宋" w:hAnsi="仿宋" w:eastAsia="仿宋" w:cs="仿宋"/>
                <w:color w:val="auto"/>
                <w:spacing w:val="-1"/>
                <w:kern w:val="0"/>
                <w:sz w:val="24"/>
              </w:rPr>
            </w:pPr>
          </w:p>
        </w:tc>
        <w:tc>
          <w:tcPr>
            <w:tcW w:w="1130" w:type="dxa"/>
            <w:vAlign w:val="center"/>
          </w:tcPr>
          <w:p w14:paraId="312CA51A">
            <w:pPr>
              <w:rPr>
                <w:rFonts w:hint="eastAsia" w:ascii="仿宋" w:hAnsi="仿宋" w:eastAsia="仿宋" w:cs="仿宋"/>
                <w:color w:val="auto"/>
                <w:spacing w:val="-1"/>
                <w:kern w:val="0"/>
                <w:sz w:val="24"/>
              </w:rPr>
            </w:pPr>
          </w:p>
        </w:tc>
      </w:tr>
      <w:tr w14:paraId="4899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3BFAB1CB">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8</w:t>
            </w:r>
          </w:p>
        </w:tc>
        <w:tc>
          <w:tcPr>
            <w:tcW w:w="2746" w:type="dxa"/>
            <w:vAlign w:val="center"/>
          </w:tcPr>
          <w:p w14:paraId="529959A1">
            <w:pPr>
              <w:rPr>
                <w:rFonts w:hint="eastAsia" w:ascii="仿宋" w:hAnsi="仿宋" w:eastAsia="仿宋" w:cs="仿宋"/>
                <w:color w:val="auto"/>
                <w:spacing w:val="-1"/>
                <w:kern w:val="0"/>
                <w:sz w:val="24"/>
              </w:rPr>
            </w:pPr>
          </w:p>
        </w:tc>
        <w:tc>
          <w:tcPr>
            <w:tcW w:w="2708" w:type="dxa"/>
            <w:vAlign w:val="center"/>
          </w:tcPr>
          <w:p w14:paraId="46700ECE">
            <w:pPr>
              <w:rPr>
                <w:rFonts w:hint="eastAsia" w:ascii="仿宋" w:hAnsi="仿宋" w:eastAsia="仿宋" w:cs="仿宋"/>
                <w:color w:val="auto"/>
                <w:spacing w:val="-1"/>
                <w:kern w:val="0"/>
                <w:sz w:val="24"/>
              </w:rPr>
            </w:pPr>
          </w:p>
        </w:tc>
        <w:tc>
          <w:tcPr>
            <w:tcW w:w="1130" w:type="dxa"/>
            <w:vAlign w:val="center"/>
          </w:tcPr>
          <w:p w14:paraId="0E883368">
            <w:pPr>
              <w:rPr>
                <w:rFonts w:hint="eastAsia" w:ascii="仿宋" w:hAnsi="仿宋" w:eastAsia="仿宋" w:cs="仿宋"/>
                <w:color w:val="auto"/>
                <w:spacing w:val="-1"/>
                <w:kern w:val="0"/>
                <w:sz w:val="24"/>
              </w:rPr>
            </w:pPr>
          </w:p>
        </w:tc>
      </w:tr>
      <w:tr w14:paraId="5F6CA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5FF08FC5">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9</w:t>
            </w:r>
          </w:p>
        </w:tc>
        <w:tc>
          <w:tcPr>
            <w:tcW w:w="2746" w:type="dxa"/>
            <w:vAlign w:val="center"/>
          </w:tcPr>
          <w:p w14:paraId="07C39939">
            <w:pPr>
              <w:rPr>
                <w:rFonts w:hint="eastAsia" w:ascii="仿宋" w:hAnsi="仿宋" w:eastAsia="仿宋" w:cs="仿宋"/>
                <w:color w:val="auto"/>
                <w:spacing w:val="-1"/>
                <w:kern w:val="0"/>
                <w:sz w:val="24"/>
              </w:rPr>
            </w:pPr>
          </w:p>
        </w:tc>
        <w:tc>
          <w:tcPr>
            <w:tcW w:w="2708" w:type="dxa"/>
            <w:vAlign w:val="center"/>
          </w:tcPr>
          <w:p w14:paraId="602A33D6">
            <w:pPr>
              <w:rPr>
                <w:rFonts w:hint="eastAsia" w:ascii="仿宋" w:hAnsi="仿宋" w:eastAsia="仿宋" w:cs="仿宋"/>
                <w:color w:val="auto"/>
                <w:spacing w:val="-1"/>
                <w:kern w:val="0"/>
                <w:sz w:val="24"/>
              </w:rPr>
            </w:pPr>
          </w:p>
        </w:tc>
        <w:tc>
          <w:tcPr>
            <w:tcW w:w="1130" w:type="dxa"/>
            <w:vAlign w:val="center"/>
          </w:tcPr>
          <w:p w14:paraId="30E1CF01">
            <w:pPr>
              <w:rPr>
                <w:rFonts w:hint="eastAsia" w:ascii="仿宋" w:hAnsi="仿宋" w:eastAsia="仿宋" w:cs="仿宋"/>
                <w:color w:val="auto"/>
                <w:spacing w:val="-1"/>
                <w:kern w:val="0"/>
                <w:sz w:val="24"/>
              </w:rPr>
            </w:pPr>
          </w:p>
        </w:tc>
      </w:tr>
      <w:tr w14:paraId="34F1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882E26A">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10</w:t>
            </w:r>
          </w:p>
        </w:tc>
        <w:tc>
          <w:tcPr>
            <w:tcW w:w="2746" w:type="dxa"/>
            <w:vAlign w:val="center"/>
          </w:tcPr>
          <w:p w14:paraId="04D45CF8">
            <w:pPr>
              <w:rPr>
                <w:rFonts w:hint="eastAsia" w:ascii="仿宋" w:hAnsi="仿宋" w:eastAsia="仿宋" w:cs="仿宋"/>
                <w:color w:val="auto"/>
                <w:spacing w:val="-1"/>
                <w:kern w:val="0"/>
                <w:sz w:val="24"/>
              </w:rPr>
            </w:pPr>
          </w:p>
        </w:tc>
        <w:tc>
          <w:tcPr>
            <w:tcW w:w="2708" w:type="dxa"/>
            <w:vAlign w:val="center"/>
          </w:tcPr>
          <w:p w14:paraId="606A380F">
            <w:pPr>
              <w:rPr>
                <w:rFonts w:hint="eastAsia" w:ascii="仿宋" w:hAnsi="仿宋" w:eastAsia="仿宋" w:cs="仿宋"/>
                <w:color w:val="auto"/>
                <w:spacing w:val="-1"/>
                <w:kern w:val="0"/>
                <w:sz w:val="24"/>
              </w:rPr>
            </w:pPr>
          </w:p>
        </w:tc>
        <w:tc>
          <w:tcPr>
            <w:tcW w:w="1130" w:type="dxa"/>
            <w:vAlign w:val="center"/>
          </w:tcPr>
          <w:p w14:paraId="5A814FF9">
            <w:pPr>
              <w:rPr>
                <w:rFonts w:hint="eastAsia" w:ascii="仿宋" w:hAnsi="仿宋" w:eastAsia="仿宋" w:cs="仿宋"/>
                <w:color w:val="auto"/>
                <w:spacing w:val="-1"/>
                <w:kern w:val="0"/>
                <w:sz w:val="24"/>
              </w:rPr>
            </w:pPr>
          </w:p>
        </w:tc>
      </w:tr>
      <w:tr w14:paraId="2C84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4E85403C">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11</w:t>
            </w:r>
          </w:p>
        </w:tc>
        <w:tc>
          <w:tcPr>
            <w:tcW w:w="2746" w:type="dxa"/>
            <w:vAlign w:val="center"/>
          </w:tcPr>
          <w:p w14:paraId="20394E54">
            <w:pPr>
              <w:rPr>
                <w:rFonts w:hint="eastAsia" w:ascii="仿宋" w:hAnsi="仿宋" w:eastAsia="仿宋" w:cs="仿宋"/>
                <w:color w:val="auto"/>
                <w:spacing w:val="-1"/>
                <w:kern w:val="0"/>
                <w:sz w:val="24"/>
              </w:rPr>
            </w:pPr>
          </w:p>
        </w:tc>
        <w:tc>
          <w:tcPr>
            <w:tcW w:w="2708" w:type="dxa"/>
            <w:vAlign w:val="center"/>
          </w:tcPr>
          <w:p w14:paraId="5F424635">
            <w:pPr>
              <w:rPr>
                <w:rFonts w:hint="eastAsia" w:ascii="仿宋" w:hAnsi="仿宋" w:eastAsia="仿宋" w:cs="仿宋"/>
                <w:color w:val="auto"/>
                <w:spacing w:val="-1"/>
                <w:kern w:val="0"/>
                <w:sz w:val="24"/>
              </w:rPr>
            </w:pPr>
          </w:p>
        </w:tc>
        <w:tc>
          <w:tcPr>
            <w:tcW w:w="1130" w:type="dxa"/>
            <w:vAlign w:val="center"/>
          </w:tcPr>
          <w:p w14:paraId="1B56C034">
            <w:pPr>
              <w:rPr>
                <w:rFonts w:hint="eastAsia" w:ascii="仿宋" w:hAnsi="仿宋" w:eastAsia="仿宋" w:cs="仿宋"/>
                <w:color w:val="auto"/>
                <w:spacing w:val="-1"/>
                <w:kern w:val="0"/>
                <w:sz w:val="24"/>
              </w:rPr>
            </w:pPr>
          </w:p>
        </w:tc>
      </w:tr>
      <w:tr w14:paraId="6BBC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54C5A2AC">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12</w:t>
            </w:r>
          </w:p>
        </w:tc>
        <w:tc>
          <w:tcPr>
            <w:tcW w:w="2746" w:type="dxa"/>
            <w:vAlign w:val="center"/>
          </w:tcPr>
          <w:p w14:paraId="04769F9C">
            <w:pPr>
              <w:rPr>
                <w:rFonts w:hint="eastAsia" w:ascii="仿宋" w:hAnsi="仿宋" w:eastAsia="仿宋" w:cs="仿宋"/>
                <w:color w:val="auto"/>
                <w:spacing w:val="-1"/>
                <w:kern w:val="0"/>
                <w:sz w:val="24"/>
              </w:rPr>
            </w:pPr>
          </w:p>
        </w:tc>
        <w:tc>
          <w:tcPr>
            <w:tcW w:w="2708" w:type="dxa"/>
            <w:vAlign w:val="center"/>
          </w:tcPr>
          <w:p w14:paraId="5C6444C4">
            <w:pPr>
              <w:rPr>
                <w:rFonts w:hint="eastAsia" w:ascii="仿宋" w:hAnsi="仿宋" w:eastAsia="仿宋" w:cs="仿宋"/>
                <w:color w:val="auto"/>
                <w:spacing w:val="-1"/>
                <w:kern w:val="0"/>
                <w:sz w:val="24"/>
              </w:rPr>
            </w:pPr>
          </w:p>
        </w:tc>
        <w:tc>
          <w:tcPr>
            <w:tcW w:w="1130" w:type="dxa"/>
            <w:vAlign w:val="center"/>
          </w:tcPr>
          <w:p w14:paraId="27D1F934">
            <w:pPr>
              <w:rPr>
                <w:rFonts w:hint="eastAsia" w:ascii="仿宋" w:hAnsi="仿宋" w:eastAsia="仿宋" w:cs="仿宋"/>
                <w:color w:val="auto"/>
                <w:spacing w:val="-1"/>
                <w:kern w:val="0"/>
                <w:sz w:val="24"/>
              </w:rPr>
            </w:pPr>
          </w:p>
        </w:tc>
      </w:tr>
      <w:tr w14:paraId="381B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2FE2ED8B">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13</w:t>
            </w:r>
          </w:p>
        </w:tc>
        <w:tc>
          <w:tcPr>
            <w:tcW w:w="2746" w:type="dxa"/>
            <w:vAlign w:val="center"/>
          </w:tcPr>
          <w:p w14:paraId="317B5C66">
            <w:pPr>
              <w:rPr>
                <w:rFonts w:hint="eastAsia" w:ascii="仿宋" w:hAnsi="仿宋" w:eastAsia="仿宋" w:cs="仿宋"/>
                <w:color w:val="auto"/>
                <w:spacing w:val="-1"/>
                <w:kern w:val="0"/>
                <w:sz w:val="24"/>
              </w:rPr>
            </w:pPr>
          </w:p>
        </w:tc>
        <w:tc>
          <w:tcPr>
            <w:tcW w:w="2708" w:type="dxa"/>
            <w:vAlign w:val="center"/>
          </w:tcPr>
          <w:p w14:paraId="3DE1BABD">
            <w:pPr>
              <w:rPr>
                <w:rFonts w:hint="eastAsia" w:ascii="仿宋" w:hAnsi="仿宋" w:eastAsia="仿宋" w:cs="仿宋"/>
                <w:color w:val="auto"/>
                <w:spacing w:val="-1"/>
                <w:kern w:val="0"/>
                <w:sz w:val="24"/>
              </w:rPr>
            </w:pPr>
          </w:p>
        </w:tc>
        <w:tc>
          <w:tcPr>
            <w:tcW w:w="1130" w:type="dxa"/>
            <w:vAlign w:val="center"/>
          </w:tcPr>
          <w:p w14:paraId="31CD086F">
            <w:pPr>
              <w:rPr>
                <w:rFonts w:hint="eastAsia" w:ascii="仿宋" w:hAnsi="仿宋" w:eastAsia="仿宋" w:cs="仿宋"/>
                <w:color w:val="auto"/>
                <w:spacing w:val="-1"/>
                <w:kern w:val="0"/>
                <w:sz w:val="24"/>
              </w:rPr>
            </w:pPr>
          </w:p>
        </w:tc>
      </w:tr>
      <w:tr w14:paraId="3A79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3AC0B1F">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14</w:t>
            </w:r>
          </w:p>
        </w:tc>
        <w:tc>
          <w:tcPr>
            <w:tcW w:w="2746" w:type="dxa"/>
            <w:vAlign w:val="center"/>
          </w:tcPr>
          <w:p w14:paraId="4922DD90">
            <w:pPr>
              <w:rPr>
                <w:rFonts w:hint="eastAsia" w:ascii="仿宋" w:hAnsi="仿宋" w:eastAsia="仿宋" w:cs="仿宋"/>
                <w:color w:val="auto"/>
                <w:spacing w:val="-1"/>
                <w:kern w:val="0"/>
                <w:sz w:val="24"/>
              </w:rPr>
            </w:pPr>
          </w:p>
        </w:tc>
        <w:tc>
          <w:tcPr>
            <w:tcW w:w="2708" w:type="dxa"/>
            <w:vAlign w:val="center"/>
          </w:tcPr>
          <w:p w14:paraId="26048431">
            <w:pPr>
              <w:rPr>
                <w:rFonts w:hint="eastAsia" w:ascii="仿宋" w:hAnsi="仿宋" w:eastAsia="仿宋" w:cs="仿宋"/>
                <w:color w:val="auto"/>
                <w:spacing w:val="-1"/>
                <w:kern w:val="0"/>
                <w:sz w:val="24"/>
              </w:rPr>
            </w:pPr>
          </w:p>
        </w:tc>
        <w:tc>
          <w:tcPr>
            <w:tcW w:w="1130" w:type="dxa"/>
            <w:vAlign w:val="center"/>
          </w:tcPr>
          <w:p w14:paraId="59F18F2D">
            <w:pPr>
              <w:rPr>
                <w:rFonts w:hint="eastAsia" w:ascii="仿宋" w:hAnsi="仿宋" w:eastAsia="仿宋" w:cs="仿宋"/>
                <w:color w:val="auto"/>
                <w:spacing w:val="-1"/>
                <w:kern w:val="0"/>
                <w:sz w:val="24"/>
              </w:rPr>
            </w:pPr>
          </w:p>
        </w:tc>
      </w:tr>
      <w:tr w14:paraId="733A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36F7BE52">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15</w:t>
            </w:r>
          </w:p>
        </w:tc>
        <w:tc>
          <w:tcPr>
            <w:tcW w:w="2746" w:type="dxa"/>
            <w:vAlign w:val="center"/>
          </w:tcPr>
          <w:p w14:paraId="3761546F">
            <w:pPr>
              <w:rPr>
                <w:rFonts w:hint="eastAsia" w:ascii="仿宋" w:hAnsi="仿宋" w:eastAsia="仿宋" w:cs="仿宋"/>
                <w:color w:val="auto"/>
                <w:spacing w:val="-1"/>
                <w:kern w:val="0"/>
                <w:sz w:val="24"/>
              </w:rPr>
            </w:pPr>
          </w:p>
        </w:tc>
        <w:tc>
          <w:tcPr>
            <w:tcW w:w="2708" w:type="dxa"/>
            <w:vAlign w:val="center"/>
          </w:tcPr>
          <w:p w14:paraId="0D962C78">
            <w:pPr>
              <w:rPr>
                <w:rFonts w:hint="eastAsia" w:ascii="仿宋" w:hAnsi="仿宋" w:eastAsia="仿宋" w:cs="仿宋"/>
                <w:color w:val="auto"/>
                <w:spacing w:val="-1"/>
                <w:kern w:val="0"/>
                <w:sz w:val="24"/>
              </w:rPr>
            </w:pPr>
          </w:p>
        </w:tc>
        <w:tc>
          <w:tcPr>
            <w:tcW w:w="1130" w:type="dxa"/>
            <w:vAlign w:val="center"/>
          </w:tcPr>
          <w:p w14:paraId="62545D01">
            <w:pPr>
              <w:rPr>
                <w:rFonts w:hint="eastAsia" w:ascii="仿宋" w:hAnsi="仿宋" w:eastAsia="仿宋" w:cs="仿宋"/>
                <w:color w:val="auto"/>
                <w:spacing w:val="-1"/>
                <w:kern w:val="0"/>
                <w:sz w:val="24"/>
              </w:rPr>
            </w:pPr>
          </w:p>
        </w:tc>
      </w:tr>
    </w:tbl>
    <w:p w14:paraId="2EE264ED">
      <w:pPr>
        <w:rPr>
          <w:rFonts w:hint="eastAsia" w:ascii="仿宋" w:hAnsi="仿宋" w:eastAsia="仿宋" w:cs="仿宋"/>
          <w:color w:val="auto"/>
          <w:spacing w:val="-1"/>
          <w:kern w:val="0"/>
          <w:sz w:val="24"/>
        </w:rPr>
      </w:pPr>
    </w:p>
    <w:p w14:paraId="62F11B35">
      <w:pPr>
        <w:ind w:firstLine="476" w:firstLineChars="200"/>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注：凡</w:t>
      </w:r>
      <w:r>
        <w:rPr>
          <w:rFonts w:hint="eastAsia" w:ascii="仿宋" w:hAnsi="仿宋" w:eastAsia="仿宋" w:cs="仿宋"/>
          <w:color w:val="auto"/>
          <w:spacing w:val="-1"/>
          <w:kern w:val="0"/>
          <w:sz w:val="24"/>
          <w:lang w:eastAsia="zh-CN"/>
        </w:rPr>
        <w:t>响应</w:t>
      </w:r>
      <w:r>
        <w:rPr>
          <w:rFonts w:hint="eastAsia" w:ascii="仿宋" w:hAnsi="仿宋" w:eastAsia="仿宋" w:cs="仿宋"/>
          <w:color w:val="auto"/>
          <w:spacing w:val="-1"/>
          <w:kern w:val="0"/>
          <w:sz w:val="24"/>
        </w:rPr>
        <w:t>文件中商务条款（包括供货期、付款</w:t>
      </w:r>
      <w:r>
        <w:rPr>
          <w:rFonts w:hint="eastAsia" w:ascii="仿宋" w:hAnsi="仿宋" w:eastAsia="仿宋" w:cs="仿宋"/>
          <w:color w:val="auto"/>
          <w:spacing w:val="-1"/>
          <w:kern w:val="0"/>
          <w:sz w:val="24"/>
          <w:lang w:eastAsia="zh-CN"/>
        </w:rPr>
        <w:t>方式</w:t>
      </w:r>
      <w:r>
        <w:rPr>
          <w:rFonts w:hint="eastAsia" w:ascii="仿宋" w:hAnsi="仿宋" w:eastAsia="仿宋" w:cs="仿宋"/>
          <w:color w:val="auto"/>
          <w:spacing w:val="-1"/>
          <w:kern w:val="0"/>
          <w:sz w:val="24"/>
        </w:rPr>
        <w:t>、</w:t>
      </w:r>
      <w:r>
        <w:rPr>
          <w:rFonts w:hint="eastAsia" w:ascii="仿宋" w:hAnsi="仿宋" w:eastAsia="仿宋" w:cs="仿宋"/>
          <w:color w:val="auto"/>
          <w:spacing w:val="-1"/>
          <w:kern w:val="0"/>
          <w:sz w:val="24"/>
          <w:lang w:eastAsia="zh-CN"/>
        </w:rPr>
        <w:t>投标保证金、</w:t>
      </w:r>
      <w:r>
        <w:rPr>
          <w:rFonts w:hint="eastAsia" w:ascii="仿宋" w:hAnsi="仿宋" w:eastAsia="仿宋" w:cs="仿宋"/>
          <w:color w:val="auto"/>
          <w:spacing w:val="-1"/>
          <w:kern w:val="0"/>
          <w:sz w:val="24"/>
        </w:rPr>
        <w:t>合同条款以及其它所有商务内容）与谈判文件存在正偏差的，均应在此表中列出（不允许存在负偏离），未在此表中列出的视同完全满足</w:t>
      </w:r>
      <w:r>
        <w:rPr>
          <w:rFonts w:hint="eastAsia" w:ascii="仿宋" w:hAnsi="仿宋" w:eastAsia="仿宋" w:cs="仿宋"/>
          <w:color w:val="auto"/>
          <w:spacing w:val="-1"/>
          <w:kern w:val="0"/>
          <w:sz w:val="24"/>
          <w:lang w:eastAsia="zh-CN"/>
        </w:rPr>
        <w:t>谈判文件</w:t>
      </w:r>
      <w:r>
        <w:rPr>
          <w:rFonts w:hint="eastAsia" w:ascii="仿宋" w:hAnsi="仿宋" w:eastAsia="仿宋" w:cs="仿宋"/>
          <w:color w:val="auto"/>
          <w:spacing w:val="-1"/>
          <w:kern w:val="0"/>
          <w:sz w:val="24"/>
        </w:rPr>
        <w:t>要求。</w:t>
      </w:r>
    </w:p>
    <w:p w14:paraId="40E3620A">
      <w:pPr>
        <w:rPr>
          <w:rFonts w:hint="eastAsia" w:ascii="仿宋" w:hAnsi="仿宋" w:eastAsia="仿宋" w:cs="仿宋"/>
          <w:color w:val="auto"/>
          <w:spacing w:val="-1"/>
          <w:kern w:val="0"/>
          <w:sz w:val="24"/>
        </w:rPr>
      </w:pPr>
    </w:p>
    <w:p w14:paraId="1EFEE0C9">
      <w:pPr>
        <w:pStyle w:val="7"/>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rPr>
      </w:pPr>
    </w:p>
    <w:p w14:paraId="29B09935">
      <w:pPr>
        <w:pStyle w:val="7"/>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rPr>
      </w:pPr>
    </w:p>
    <w:p w14:paraId="3BF9A1B3">
      <w:pPr>
        <w:pStyle w:val="7"/>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sz w:val="24"/>
          <w:szCs w:val="24"/>
        </w:rPr>
      </w:pPr>
    </w:p>
    <w:p w14:paraId="09806770">
      <w:pPr>
        <w:pStyle w:val="7"/>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14:paraId="28C56279">
      <w:pPr>
        <w:pStyle w:val="7"/>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签字或盖章</w:t>
      </w:r>
      <w:r>
        <w:rPr>
          <w:rFonts w:hint="eastAsia" w:ascii="仿宋" w:hAnsi="仿宋" w:eastAsia="仿宋" w:cs="仿宋"/>
          <w:color w:val="auto"/>
          <w:w w:val="95"/>
          <w:sz w:val="24"/>
          <w:szCs w:val="24"/>
        </w:rPr>
        <w:t>）</w:t>
      </w:r>
    </w:p>
    <w:p w14:paraId="3FE32399">
      <w:pPr>
        <w:pStyle w:val="27"/>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z w:val="24"/>
          <w:szCs w:val="24"/>
        </w:rPr>
      </w:pPr>
    </w:p>
    <w:p w14:paraId="438B26BD">
      <w:pPr>
        <w:pStyle w:val="27"/>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684889B6">
      <w:pPr>
        <w:pStyle w:val="27"/>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p>
    <w:p w14:paraId="170227B4">
      <w:pPr>
        <w:pStyle w:val="28"/>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5A741633">
      <w:pPr>
        <w:pStyle w:val="27"/>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p>
    <w:p w14:paraId="3C50D582">
      <w:pPr>
        <w:pStyle w:val="27"/>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7、投标人基本情况表</w:t>
      </w:r>
    </w:p>
    <w:p w14:paraId="0921AEDB">
      <w:pPr>
        <w:pStyle w:val="7"/>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18"/>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6F21E49A">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059DD26">
            <w:pPr>
              <w:pStyle w:val="31"/>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79C9CFB6">
            <w:pPr>
              <w:rPr>
                <w:rFonts w:hint="eastAsia" w:ascii="仿宋" w:hAnsi="仿宋" w:eastAsia="仿宋" w:cs="仿宋"/>
                <w:color w:val="auto"/>
              </w:rPr>
            </w:pPr>
          </w:p>
        </w:tc>
      </w:tr>
      <w:tr w14:paraId="6EDBFF9A">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0DADD61">
            <w:pPr>
              <w:pStyle w:val="31"/>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35FDD1E3">
            <w:pPr>
              <w:rPr>
                <w:rFonts w:hint="eastAsia" w:ascii="仿宋" w:hAnsi="仿宋" w:eastAsia="仿宋" w:cs="仿宋"/>
                <w:color w:val="auto"/>
              </w:rPr>
            </w:pPr>
          </w:p>
        </w:tc>
      </w:tr>
      <w:tr w14:paraId="1E673240">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0F06F60">
            <w:pPr>
              <w:pStyle w:val="31"/>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13BE2BF6">
            <w:pPr>
              <w:rPr>
                <w:rFonts w:hint="eastAsia" w:ascii="仿宋" w:hAnsi="仿宋" w:eastAsia="仿宋" w:cs="仿宋"/>
                <w:color w:val="auto"/>
              </w:rPr>
            </w:pPr>
          </w:p>
        </w:tc>
      </w:tr>
      <w:tr w14:paraId="38233D9F">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2FBC963">
            <w:pPr>
              <w:pStyle w:val="31"/>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73415285">
            <w:pPr>
              <w:rPr>
                <w:rFonts w:hint="eastAsia"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tcPr>
          <w:p w14:paraId="4F459D3B">
            <w:pPr>
              <w:pStyle w:val="31"/>
              <w:kinsoku w:val="0"/>
              <w:overflowPunct w:val="0"/>
              <w:spacing w:before="145"/>
              <w:ind w:left="181"/>
              <w:rPr>
                <w:rFonts w:hint="eastAsia"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640EF902">
            <w:pPr>
              <w:rPr>
                <w:rFonts w:hint="eastAsia" w:ascii="仿宋" w:hAnsi="仿宋" w:eastAsia="仿宋" w:cs="仿宋"/>
                <w:color w:val="auto"/>
              </w:rPr>
            </w:pPr>
          </w:p>
        </w:tc>
      </w:tr>
      <w:tr w14:paraId="0C982AAD">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D2ADCBE">
            <w:pPr>
              <w:pStyle w:val="31"/>
              <w:kinsoku w:val="0"/>
              <w:overflowPunct w:val="0"/>
              <w:spacing w:before="146"/>
              <w:ind w:left="137"/>
              <w:rPr>
                <w:rFonts w:hint="eastAsia" w:ascii="仿宋" w:hAnsi="仿宋" w:eastAsia="仿宋" w:cs="仿宋"/>
                <w:color w:val="auto"/>
              </w:rPr>
            </w:pPr>
            <w:r>
              <w:rPr>
                <w:rFonts w:hint="eastAsia" w:ascii="仿宋" w:hAnsi="仿宋" w:eastAsia="仿宋" w:cs="仿宋"/>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6CBF0B72">
            <w:pPr>
              <w:rPr>
                <w:rFonts w:hint="eastAsia" w:ascii="仿宋" w:hAnsi="仿宋" w:eastAsia="仿宋" w:cs="仿宋"/>
                <w:color w:val="auto"/>
              </w:rPr>
            </w:pPr>
          </w:p>
        </w:tc>
      </w:tr>
      <w:tr w14:paraId="5A184483">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0C590ED">
            <w:pPr>
              <w:pStyle w:val="31"/>
              <w:kinsoku w:val="0"/>
              <w:overflowPunct w:val="0"/>
              <w:spacing w:before="141" w:line="312" w:lineRule="exact"/>
              <w:ind w:left="257" w:right="133" w:hanging="120"/>
              <w:rPr>
                <w:rFonts w:hint="eastAsia" w:ascii="仿宋" w:hAnsi="仿宋" w:eastAsia="仿宋" w:cs="仿宋"/>
                <w:color w:val="auto"/>
              </w:rPr>
            </w:pPr>
            <w:r>
              <w:rPr>
                <w:rFonts w:hint="eastAsia" w:ascii="仿宋" w:hAnsi="仿宋" w:eastAsia="仿宋" w:cs="仿宋"/>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663D4A65">
            <w:pPr>
              <w:rPr>
                <w:rFonts w:hint="eastAsia"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tcPr>
          <w:p w14:paraId="5C3B81A7">
            <w:pPr>
              <w:pStyle w:val="31"/>
              <w:kinsoku w:val="0"/>
              <w:overflowPunct w:val="0"/>
              <w:spacing w:before="4"/>
              <w:rPr>
                <w:rFonts w:hint="eastAsia" w:ascii="仿宋" w:hAnsi="仿宋" w:eastAsia="仿宋" w:cs="仿宋"/>
                <w:b/>
                <w:bCs/>
                <w:color w:val="auto"/>
                <w:sz w:val="20"/>
                <w:szCs w:val="20"/>
              </w:rPr>
            </w:pPr>
          </w:p>
          <w:p w14:paraId="5B13CB0F">
            <w:pPr>
              <w:pStyle w:val="31"/>
              <w:kinsoku w:val="0"/>
              <w:overflowPunct w:val="0"/>
              <w:ind w:left="366"/>
              <w:rPr>
                <w:rFonts w:hint="eastAsia"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62136360">
            <w:pPr>
              <w:rPr>
                <w:rFonts w:hint="eastAsia"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tcPr>
          <w:p w14:paraId="65A286E3">
            <w:pPr>
              <w:pStyle w:val="31"/>
              <w:kinsoku w:val="0"/>
              <w:overflowPunct w:val="0"/>
              <w:spacing w:before="4"/>
              <w:rPr>
                <w:rFonts w:hint="eastAsia" w:ascii="仿宋" w:hAnsi="仿宋" w:eastAsia="仿宋" w:cs="仿宋"/>
                <w:b/>
                <w:bCs/>
                <w:color w:val="auto"/>
                <w:sz w:val="20"/>
                <w:szCs w:val="20"/>
              </w:rPr>
            </w:pPr>
          </w:p>
          <w:p w14:paraId="196BE224">
            <w:pPr>
              <w:pStyle w:val="31"/>
              <w:kinsoku w:val="0"/>
              <w:overflowPunct w:val="0"/>
              <w:ind w:left="383"/>
              <w:rPr>
                <w:rFonts w:hint="eastAsia"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tcPr>
          <w:p w14:paraId="3D939F5D">
            <w:pPr>
              <w:rPr>
                <w:rFonts w:hint="eastAsia" w:ascii="仿宋" w:hAnsi="仿宋" w:eastAsia="仿宋" w:cs="仿宋"/>
                <w:color w:val="auto"/>
              </w:rPr>
            </w:pPr>
          </w:p>
        </w:tc>
      </w:tr>
      <w:tr w14:paraId="60DF8512">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30D017B4">
            <w:pPr>
              <w:pStyle w:val="31"/>
              <w:kinsoku w:val="0"/>
              <w:overflowPunct w:val="0"/>
              <w:rPr>
                <w:rFonts w:hint="eastAsia" w:ascii="仿宋" w:hAnsi="仿宋" w:eastAsia="仿宋" w:cs="仿宋"/>
                <w:b/>
                <w:bCs/>
                <w:color w:val="auto"/>
              </w:rPr>
            </w:pPr>
          </w:p>
          <w:p w14:paraId="66E916D4">
            <w:pPr>
              <w:pStyle w:val="31"/>
              <w:kinsoku w:val="0"/>
              <w:overflowPunct w:val="0"/>
              <w:rPr>
                <w:rFonts w:hint="eastAsia" w:ascii="仿宋" w:hAnsi="仿宋" w:eastAsia="仿宋" w:cs="仿宋"/>
                <w:b/>
                <w:bCs/>
                <w:color w:val="auto"/>
              </w:rPr>
            </w:pPr>
          </w:p>
          <w:p w14:paraId="1074E24C">
            <w:pPr>
              <w:pStyle w:val="31"/>
              <w:kinsoku w:val="0"/>
              <w:overflowPunct w:val="0"/>
              <w:rPr>
                <w:rFonts w:hint="eastAsia" w:ascii="仿宋" w:hAnsi="仿宋" w:eastAsia="仿宋" w:cs="仿宋"/>
                <w:b/>
                <w:bCs/>
                <w:color w:val="auto"/>
              </w:rPr>
            </w:pPr>
          </w:p>
          <w:p w14:paraId="2C819F59">
            <w:pPr>
              <w:pStyle w:val="31"/>
              <w:kinsoku w:val="0"/>
              <w:overflowPunct w:val="0"/>
              <w:spacing w:line="475" w:lineRule="auto"/>
              <w:ind w:left="497" w:right="493"/>
              <w:jc w:val="both"/>
              <w:rPr>
                <w:rFonts w:hint="eastAsia" w:ascii="仿宋" w:hAnsi="仿宋" w:eastAsia="仿宋" w:cs="仿宋"/>
                <w:color w:val="auto"/>
              </w:rPr>
            </w:pPr>
            <w:r>
              <w:rPr>
                <w:rFonts w:hint="eastAsia" w:ascii="仿宋" w:hAnsi="仿宋" w:eastAsia="仿宋" w:cs="仿宋"/>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778E7CEA">
            <w:pPr>
              <w:pStyle w:val="31"/>
              <w:kinsoku w:val="0"/>
              <w:overflowPunct w:val="0"/>
              <w:spacing w:before="144"/>
              <w:ind w:left="236"/>
              <w:rPr>
                <w:rFonts w:hint="eastAsia"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0BCF9924">
            <w:pPr>
              <w:rPr>
                <w:rFonts w:hint="eastAsia"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tcPr>
          <w:p w14:paraId="6ADA0A64">
            <w:pPr>
              <w:pStyle w:val="31"/>
              <w:kinsoku w:val="0"/>
              <w:overflowPunct w:val="0"/>
              <w:spacing w:before="144"/>
              <w:ind w:left="118"/>
              <w:rPr>
                <w:rFonts w:hint="eastAsia" w:ascii="仿宋" w:hAnsi="仿宋" w:eastAsia="仿宋" w:cs="仿宋"/>
                <w:color w:val="auto"/>
              </w:rPr>
            </w:pPr>
            <w:r>
              <w:rPr>
                <w:rFonts w:hint="eastAsia" w:ascii="仿宋" w:hAnsi="仿宋" w:eastAsia="仿宋" w:cs="仿宋"/>
                <w:color w:val="auto"/>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72188595">
            <w:pPr>
              <w:rPr>
                <w:rFonts w:hint="eastAsia" w:ascii="仿宋" w:hAnsi="仿宋" w:eastAsia="仿宋" w:cs="仿宋"/>
                <w:color w:val="auto"/>
              </w:rPr>
            </w:pPr>
          </w:p>
        </w:tc>
      </w:tr>
      <w:tr w14:paraId="73ACA90B">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201C19FF">
            <w:pPr>
              <w:rPr>
                <w:rFonts w:hint="eastAsia" w:ascii="仿宋" w:hAnsi="仿宋" w:eastAsia="仿宋" w:cs="仿宋"/>
                <w:color w:val="auto"/>
              </w:rPr>
            </w:pPr>
          </w:p>
        </w:tc>
        <w:tc>
          <w:tcPr>
            <w:tcW w:w="7472" w:type="dxa"/>
            <w:gridSpan w:val="9"/>
            <w:tcBorders>
              <w:top w:val="single" w:color="000000" w:sz="4" w:space="0"/>
              <w:left w:val="single" w:color="000000" w:sz="4" w:space="0"/>
              <w:bottom w:val="single" w:color="000000" w:sz="4" w:space="0"/>
              <w:right w:val="single" w:color="000000" w:sz="4" w:space="0"/>
            </w:tcBorders>
          </w:tcPr>
          <w:p w14:paraId="6666A6FF">
            <w:pPr>
              <w:pStyle w:val="31"/>
              <w:kinsoku w:val="0"/>
              <w:overflowPunct w:val="0"/>
              <w:spacing w:before="145"/>
              <w:jc w:val="center"/>
              <w:rPr>
                <w:rFonts w:hint="eastAsia" w:ascii="仿宋" w:hAnsi="仿宋" w:eastAsia="仿宋" w:cs="仿宋"/>
                <w:color w:val="auto"/>
              </w:rPr>
            </w:pPr>
            <w:r>
              <w:rPr>
                <w:rFonts w:hint="eastAsia" w:ascii="仿宋" w:hAnsi="仿宋" w:eastAsia="仿宋" w:cs="仿宋"/>
                <w:color w:val="auto"/>
              </w:rPr>
              <w:t>单位行政和技术负责人</w:t>
            </w:r>
          </w:p>
        </w:tc>
      </w:tr>
      <w:tr w14:paraId="7BF66504">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FE6BEF1">
            <w:pPr>
              <w:pStyle w:val="31"/>
              <w:kinsoku w:val="0"/>
              <w:overflowPunct w:val="0"/>
              <w:spacing w:before="145"/>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20B288C6">
            <w:pPr>
              <w:pStyle w:val="31"/>
              <w:kinsoku w:val="0"/>
              <w:overflowPunct w:val="0"/>
              <w:spacing w:before="145"/>
              <w:ind w:left="416"/>
              <w:rPr>
                <w:rFonts w:hint="eastAsia"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70C56EEB">
            <w:pPr>
              <w:pStyle w:val="31"/>
              <w:kinsoku w:val="0"/>
              <w:overflowPunct w:val="0"/>
              <w:spacing w:before="145"/>
              <w:ind w:left="452"/>
              <w:rPr>
                <w:rFonts w:hint="eastAsia"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0942BFF1">
            <w:pPr>
              <w:pStyle w:val="31"/>
              <w:kinsoku w:val="0"/>
              <w:overflowPunct w:val="0"/>
              <w:spacing w:before="145"/>
              <w:ind w:left="450"/>
              <w:rPr>
                <w:rFonts w:hint="eastAsia"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0A9471B8">
            <w:pPr>
              <w:pStyle w:val="31"/>
              <w:tabs>
                <w:tab w:val="left" w:pos="479"/>
              </w:tabs>
              <w:kinsoku w:val="0"/>
              <w:overflowPunct w:val="0"/>
              <w:spacing w:before="145"/>
              <w:ind w:right="1"/>
              <w:jc w:val="center"/>
              <w:rPr>
                <w:rFonts w:hint="eastAsia" w:ascii="仿宋" w:hAnsi="仿宋" w:eastAsia="仿宋" w:cs="仿宋"/>
                <w:color w:val="auto"/>
              </w:rPr>
            </w:pPr>
            <w:r>
              <w:rPr>
                <w:rFonts w:hint="eastAsia" w:ascii="仿宋" w:hAnsi="仿宋" w:eastAsia="仿宋" w:cs="仿宋"/>
                <w:color w:val="auto"/>
              </w:rPr>
              <w:t>专</w:t>
            </w:r>
            <w:r>
              <w:rPr>
                <w:rFonts w:hint="eastAsia" w:ascii="仿宋" w:hAnsi="仿宋" w:eastAsia="仿宋" w:cs="仿宋"/>
                <w:color w:val="auto"/>
              </w:rPr>
              <w:tab/>
            </w:r>
            <w:r>
              <w:rPr>
                <w:rFonts w:hint="eastAsia" w:ascii="仿宋" w:hAnsi="仿宋" w:eastAsia="仿宋" w:cs="仿宋"/>
                <w:color w:val="auto"/>
              </w:rPr>
              <w:t>业</w:t>
            </w:r>
          </w:p>
        </w:tc>
      </w:tr>
      <w:tr w14:paraId="305E4294">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50489B83">
            <w:pPr>
              <w:pStyle w:val="31"/>
              <w:tabs>
                <w:tab w:val="left" w:pos="479"/>
              </w:tabs>
              <w:kinsoku w:val="0"/>
              <w:overflowPunct w:val="0"/>
              <w:spacing w:before="145"/>
              <w:ind w:right="1"/>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0D5A62D9">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6AA6AA48">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73A6DD98">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526B478B">
            <w:pPr>
              <w:rPr>
                <w:rFonts w:hint="eastAsia" w:ascii="仿宋" w:hAnsi="仿宋" w:eastAsia="仿宋" w:cs="仿宋"/>
                <w:color w:val="auto"/>
              </w:rPr>
            </w:pPr>
          </w:p>
        </w:tc>
      </w:tr>
      <w:tr w14:paraId="2687100A">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50D2361A">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63A6168B">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7E7271EA">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7EE8DBD3">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0FCF23D4">
            <w:pPr>
              <w:rPr>
                <w:rFonts w:hint="eastAsia" w:ascii="仿宋" w:hAnsi="仿宋" w:eastAsia="仿宋" w:cs="仿宋"/>
                <w:color w:val="auto"/>
              </w:rPr>
            </w:pPr>
          </w:p>
        </w:tc>
      </w:tr>
      <w:tr w14:paraId="25FC2AF1">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41A3A76D">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3A596A7A">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174D02C0">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0645A0A4">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4FE1D7E3">
            <w:pPr>
              <w:rPr>
                <w:rFonts w:hint="eastAsia" w:ascii="仿宋" w:hAnsi="仿宋" w:eastAsia="仿宋" w:cs="仿宋"/>
                <w:color w:val="auto"/>
              </w:rPr>
            </w:pPr>
          </w:p>
        </w:tc>
      </w:tr>
      <w:tr w14:paraId="7029609E">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39A21C0">
            <w:pPr>
              <w:pStyle w:val="31"/>
              <w:kinsoku w:val="0"/>
              <w:overflowPunct w:val="0"/>
              <w:spacing w:before="1"/>
              <w:rPr>
                <w:rFonts w:hint="eastAsia" w:ascii="仿宋" w:hAnsi="仿宋" w:eastAsia="仿宋" w:cs="仿宋"/>
                <w:b/>
                <w:bCs/>
                <w:color w:val="auto"/>
                <w:sz w:val="23"/>
                <w:szCs w:val="23"/>
              </w:rPr>
            </w:pPr>
          </w:p>
          <w:p w14:paraId="6A327193">
            <w:pPr>
              <w:pStyle w:val="31"/>
              <w:kinsoku w:val="0"/>
              <w:overflowPunct w:val="0"/>
              <w:spacing w:line="237" w:lineRule="auto"/>
              <w:ind w:left="497" w:right="493"/>
              <w:jc w:val="both"/>
              <w:rPr>
                <w:rFonts w:hint="eastAsia" w:ascii="仿宋" w:hAnsi="仿宋" w:eastAsia="仿宋" w:cs="仿宋"/>
                <w:color w:val="auto"/>
              </w:rPr>
            </w:pPr>
            <w:r>
              <w:rPr>
                <w:rFonts w:hint="eastAsia" w:ascii="仿宋" w:hAnsi="仿宋" w:eastAsia="仿宋" w:cs="仿宋"/>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2831C2AF">
            <w:pPr>
              <w:rPr>
                <w:rFonts w:hint="eastAsia" w:ascii="仿宋" w:hAnsi="仿宋" w:eastAsia="仿宋" w:cs="仿宋"/>
                <w:color w:val="auto"/>
              </w:rPr>
            </w:pPr>
          </w:p>
        </w:tc>
      </w:tr>
    </w:tbl>
    <w:p w14:paraId="1E8A57BD">
      <w:pPr>
        <w:pStyle w:val="28"/>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0C458B1D">
      <w:pPr>
        <w:pStyle w:val="28"/>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2D60C265">
      <w:pPr>
        <w:pStyle w:val="28"/>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11674D67">
      <w:pPr>
        <w:pStyle w:val="28"/>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3A8BB845">
      <w:pPr>
        <w:pStyle w:val="28"/>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46E758F7">
      <w:pPr>
        <w:pStyle w:val="28"/>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0FBF4775">
      <w:pPr>
        <w:pStyle w:val="28"/>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037EA0E9">
      <w:pPr>
        <w:pStyle w:val="28"/>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rPr>
      </w:pPr>
    </w:p>
    <w:p w14:paraId="07B813EB">
      <w:pPr>
        <w:jc w:val="center"/>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8、中标服务费支付承诺书</w:t>
      </w:r>
    </w:p>
    <w:p w14:paraId="137EAD3A">
      <w:pPr>
        <w:adjustRightInd w:val="0"/>
        <w:snapToGrid w:val="0"/>
        <w:spacing w:before="240" w:beforeLines="100" w:after="240" w:afterLines="10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致： </w:t>
      </w:r>
    </w:p>
    <w:p w14:paraId="4E144CF6">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i/>
          <w:color w:val="auto"/>
          <w:kern w:val="0"/>
          <w:sz w:val="24"/>
          <w:szCs w:val="24"/>
          <w:highlight w:val="none"/>
          <w:u w:val="single"/>
        </w:rPr>
        <w:t xml:space="preserve">       (投标人名称) </w:t>
      </w:r>
      <w:r>
        <w:rPr>
          <w:rFonts w:hint="eastAsia" w:ascii="仿宋" w:hAnsi="仿宋" w:eastAsia="仿宋" w:cs="仿宋"/>
          <w:color w:val="auto"/>
          <w:sz w:val="24"/>
          <w:szCs w:val="24"/>
          <w:highlight w:val="none"/>
        </w:rPr>
        <w:t>在参加贵公司举行的</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】招标中如获</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,保证在收到贵公司发出的《</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之前</w:t>
      </w:r>
      <w:r>
        <w:rPr>
          <w:rFonts w:hint="eastAsia" w:ascii="仿宋" w:hAnsi="仿宋" w:eastAsia="仿宋" w:cs="仿宋"/>
          <w:color w:val="auto"/>
          <w:sz w:val="24"/>
          <w:szCs w:val="24"/>
          <w:highlight w:val="none"/>
        </w:rPr>
        <w:t>向贵公司交纳招标文件规定的</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服务费。</w:t>
      </w:r>
    </w:p>
    <w:p w14:paraId="7F73FBE5">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如我公司违约,愿承担全部法律责任。</w:t>
      </w:r>
    </w:p>
    <w:p w14:paraId="47DBEE1F">
      <w:pPr>
        <w:spacing w:line="440" w:lineRule="exact"/>
        <w:ind w:firstLine="960" w:firstLineChars="400"/>
        <w:rPr>
          <w:rFonts w:hint="eastAsia" w:ascii="仿宋" w:hAnsi="仿宋" w:eastAsia="仿宋" w:cs="仿宋"/>
          <w:color w:val="auto"/>
          <w:sz w:val="24"/>
          <w:szCs w:val="24"/>
          <w:highlight w:val="none"/>
        </w:rPr>
      </w:pPr>
    </w:p>
    <w:p w14:paraId="11103BE9">
      <w:pPr>
        <w:spacing w:line="44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特此承诺!</w:t>
      </w:r>
    </w:p>
    <w:p w14:paraId="266DC7AA">
      <w:pPr>
        <w:autoSpaceDE w:val="0"/>
        <w:autoSpaceDN w:val="0"/>
        <w:adjustRightInd w:val="0"/>
        <w:spacing w:line="440" w:lineRule="exact"/>
        <w:jc w:val="left"/>
        <w:rPr>
          <w:rFonts w:hint="eastAsia" w:ascii="仿宋" w:hAnsi="仿宋" w:eastAsia="仿宋" w:cs="仿宋"/>
          <w:color w:val="auto"/>
          <w:kern w:val="0"/>
          <w:sz w:val="24"/>
          <w:szCs w:val="24"/>
          <w:highlight w:val="none"/>
        </w:rPr>
      </w:pPr>
    </w:p>
    <w:p w14:paraId="146714A0">
      <w:pPr>
        <w:adjustRightInd w:val="0"/>
        <w:snapToGrid w:val="0"/>
        <w:spacing w:line="440" w:lineRule="exact"/>
        <w:rPr>
          <w:rFonts w:hint="eastAsia" w:ascii="仿宋" w:hAnsi="仿宋" w:eastAsia="仿宋" w:cs="仿宋"/>
          <w:color w:val="auto"/>
          <w:sz w:val="24"/>
          <w:szCs w:val="24"/>
          <w:highlight w:val="none"/>
        </w:rPr>
      </w:pPr>
    </w:p>
    <w:p w14:paraId="3CE335B4">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（公章）</w:t>
      </w:r>
      <w:r>
        <w:rPr>
          <w:rFonts w:hint="eastAsia" w:ascii="仿宋" w:hAnsi="仿宋" w:eastAsia="仿宋" w:cs="仿宋"/>
          <w:color w:val="auto"/>
          <w:sz w:val="24"/>
          <w:szCs w:val="24"/>
          <w:highlight w:val="none"/>
        </w:rPr>
        <w:t xml:space="preserve">      </w:t>
      </w:r>
    </w:p>
    <w:p w14:paraId="4E4A355A">
      <w:pPr>
        <w:adjustRightInd w:val="0"/>
        <w:snapToGrid w:val="0"/>
        <w:spacing w:line="440" w:lineRule="exact"/>
        <w:rPr>
          <w:rFonts w:hint="eastAsia" w:ascii="仿宋" w:hAnsi="仿宋" w:eastAsia="仿宋" w:cs="仿宋"/>
          <w:color w:val="auto"/>
          <w:sz w:val="24"/>
          <w:szCs w:val="24"/>
          <w:highlight w:val="none"/>
        </w:rPr>
      </w:pPr>
    </w:p>
    <w:p w14:paraId="37570EC5">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53FD6368">
      <w:pPr>
        <w:adjustRightInd w:val="0"/>
        <w:snapToGrid w:val="0"/>
        <w:spacing w:line="440" w:lineRule="exact"/>
        <w:rPr>
          <w:rFonts w:hint="eastAsia" w:ascii="仿宋" w:hAnsi="仿宋" w:eastAsia="仿宋" w:cs="仿宋"/>
          <w:color w:val="auto"/>
          <w:sz w:val="24"/>
          <w:szCs w:val="24"/>
          <w:highlight w:val="none"/>
        </w:rPr>
      </w:pPr>
    </w:p>
    <w:p w14:paraId="3A33E242">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24E12243">
      <w:pPr>
        <w:spacing w:line="360" w:lineRule="auto"/>
        <w:jc w:val="center"/>
        <w:rPr>
          <w:rFonts w:hint="eastAsia" w:ascii="仿宋" w:hAnsi="仿宋" w:eastAsia="仿宋" w:cs="仿宋"/>
          <w:b/>
          <w:bCs w:val="0"/>
          <w:color w:val="auto"/>
          <w:kern w:val="0"/>
          <w:sz w:val="36"/>
          <w:szCs w:val="36"/>
          <w:lang w:val="en-US" w:eastAsia="zh-CN"/>
        </w:rPr>
      </w:pPr>
    </w:p>
    <w:p w14:paraId="5ED0D5A6">
      <w:pPr>
        <w:spacing w:line="360" w:lineRule="auto"/>
        <w:jc w:val="center"/>
        <w:rPr>
          <w:rFonts w:hint="eastAsia" w:ascii="仿宋" w:hAnsi="仿宋" w:eastAsia="仿宋" w:cs="仿宋"/>
          <w:b/>
          <w:bCs w:val="0"/>
          <w:color w:val="auto"/>
          <w:kern w:val="0"/>
          <w:sz w:val="36"/>
          <w:szCs w:val="36"/>
          <w:lang w:val="en-US" w:eastAsia="zh-CN"/>
        </w:rPr>
      </w:pPr>
    </w:p>
    <w:p w14:paraId="186FB93B">
      <w:pPr>
        <w:spacing w:line="360" w:lineRule="auto"/>
        <w:jc w:val="center"/>
        <w:rPr>
          <w:rFonts w:hint="eastAsia" w:ascii="仿宋" w:hAnsi="仿宋" w:eastAsia="仿宋" w:cs="仿宋"/>
          <w:b/>
          <w:bCs w:val="0"/>
          <w:color w:val="auto"/>
          <w:kern w:val="0"/>
          <w:sz w:val="36"/>
          <w:szCs w:val="36"/>
          <w:lang w:val="en-US" w:eastAsia="zh-CN"/>
        </w:rPr>
      </w:pPr>
    </w:p>
    <w:p w14:paraId="26169125">
      <w:pPr>
        <w:spacing w:line="360" w:lineRule="auto"/>
        <w:jc w:val="center"/>
        <w:rPr>
          <w:rFonts w:hint="eastAsia" w:ascii="仿宋" w:hAnsi="仿宋" w:eastAsia="仿宋" w:cs="仿宋"/>
          <w:b/>
          <w:bCs w:val="0"/>
          <w:color w:val="auto"/>
          <w:kern w:val="0"/>
          <w:sz w:val="36"/>
          <w:szCs w:val="36"/>
          <w:lang w:val="en-US" w:eastAsia="zh-CN"/>
        </w:rPr>
      </w:pPr>
    </w:p>
    <w:p w14:paraId="40351D4B">
      <w:pPr>
        <w:spacing w:line="360" w:lineRule="auto"/>
        <w:jc w:val="center"/>
        <w:rPr>
          <w:rFonts w:hint="eastAsia" w:ascii="仿宋" w:hAnsi="仿宋" w:eastAsia="仿宋" w:cs="仿宋"/>
          <w:b/>
          <w:bCs w:val="0"/>
          <w:color w:val="auto"/>
          <w:kern w:val="0"/>
          <w:sz w:val="36"/>
          <w:szCs w:val="36"/>
          <w:lang w:val="en-US" w:eastAsia="zh-CN"/>
        </w:rPr>
      </w:pPr>
    </w:p>
    <w:p w14:paraId="45A312A2">
      <w:pPr>
        <w:spacing w:line="360" w:lineRule="auto"/>
        <w:jc w:val="center"/>
        <w:rPr>
          <w:rFonts w:hint="eastAsia" w:ascii="仿宋" w:hAnsi="仿宋" w:eastAsia="仿宋" w:cs="仿宋"/>
          <w:b/>
          <w:bCs w:val="0"/>
          <w:color w:val="auto"/>
          <w:kern w:val="0"/>
          <w:sz w:val="36"/>
          <w:szCs w:val="36"/>
          <w:lang w:val="en-US" w:eastAsia="zh-CN"/>
        </w:rPr>
      </w:pPr>
    </w:p>
    <w:p w14:paraId="77D562B0">
      <w:pPr>
        <w:spacing w:line="360" w:lineRule="auto"/>
        <w:jc w:val="center"/>
        <w:rPr>
          <w:rFonts w:hint="eastAsia" w:ascii="仿宋" w:hAnsi="仿宋" w:eastAsia="仿宋" w:cs="仿宋"/>
          <w:b/>
          <w:bCs w:val="0"/>
          <w:color w:val="auto"/>
          <w:kern w:val="0"/>
          <w:sz w:val="36"/>
          <w:szCs w:val="36"/>
          <w:lang w:val="en-US" w:eastAsia="zh-CN"/>
        </w:rPr>
      </w:pPr>
    </w:p>
    <w:p w14:paraId="35D8D92B">
      <w:pPr>
        <w:spacing w:line="360" w:lineRule="auto"/>
        <w:jc w:val="center"/>
        <w:rPr>
          <w:rFonts w:hint="eastAsia" w:ascii="仿宋" w:hAnsi="仿宋" w:eastAsia="仿宋" w:cs="仿宋"/>
          <w:b/>
          <w:bCs w:val="0"/>
          <w:color w:val="auto"/>
          <w:kern w:val="0"/>
          <w:sz w:val="36"/>
          <w:szCs w:val="36"/>
          <w:lang w:val="en-US" w:eastAsia="zh-CN"/>
        </w:rPr>
      </w:pPr>
    </w:p>
    <w:p w14:paraId="1ACC24B2">
      <w:pPr>
        <w:spacing w:line="360" w:lineRule="auto"/>
        <w:jc w:val="center"/>
        <w:rPr>
          <w:rFonts w:hint="eastAsia" w:ascii="仿宋" w:hAnsi="仿宋" w:eastAsia="仿宋" w:cs="仿宋"/>
          <w:b/>
          <w:bCs w:val="0"/>
          <w:color w:val="auto"/>
          <w:kern w:val="0"/>
          <w:sz w:val="36"/>
          <w:szCs w:val="36"/>
          <w:lang w:val="en-US" w:eastAsia="zh-CN"/>
        </w:rPr>
      </w:pPr>
    </w:p>
    <w:p w14:paraId="1F6ED1B1">
      <w:pPr>
        <w:spacing w:line="360" w:lineRule="auto"/>
        <w:jc w:val="center"/>
        <w:rPr>
          <w:rFonts w:hint="eastAsia" w:ascii="仿宋" w:hAnsi="仿宋" w:eastAsia="仿宋" w:cs="仿宋"/>
          <w:b/>
          <w:bCs w:val="0"/>
          <w:color w:val="auto"/>
          <w:kern w:val="0"/>
          <w:sz w:val="36"/>
          <w:szCs w:val="36"/>
          <w:lang w:val="en-US" w:eastAsia="zh-CN"/>
        </w:rPr>
      </w:pPr>
    </w:p>
    <w:p w14:paraId="3252C831">
      <w:pPr>
        <w:spacing w:line="360" w:lineRule="auto"/>
        <w:jc w:val="center"/>
        <w:rPr>
          <w:rFonts w:ascii="仿宋" w:hAnsi="仿宋" w:eastAsia="仿宋" w:cs="仿宋"/>
          <w:b/>
          <w:color w:val="auto"/>
          <w:sz w:val="32"/>
          <w:szCs w:val="32"/>
          <w:highlight w:val="none"/>
          <w:lang w:eastAsia="zh-CN"/>
        </w:rPr>
      </w:pPr>
      <w:r>
        <w:rPr>
          <w:rFonts w:hint="eastAsia" w:ascii="仿宋" w:hAnsi="仿宋" w:eastAsia="仿宋" w:cs="仿宋"/>
          <w:b/>
          <w:bCs w:val="0"/>
          <w:color w:val="auto"/>
          <w:kern w:val="0"/>
          <w:sz w:val="36"/>
          <w:szCs w:val="36"/>
          <w:lang w:val="en-US" w:eastAsia="zh-CN"/>
        </w:rPr>
        <w:t>9</w:t>
      </w:r>
      <w:r>
        <w:rPr>
          <w:rFonts w:hint="eastAsia" w:ascii="仿宋" w:hAnsi="仿宋" w:eastAsia="仿宋" w:cs="仿宋"/>
          <w:b/>
          <w:bCs w:val="0"/>
          <w:color w:val="auto"/>
          <w:kern w:val="0"/>
          <w:sz w:val="36"/>
          <w:szCs w:val="36"/>
        </w:rPr>
        <w:t>、</w:t>
      </w:r>
      <w:r>
        <w:rPr>
          <w:rFonts w:hint="eastAsia" w:ascii="仿宋" w:hAnsi="仿宋" w:eastAsia="仿宋" w:cs="仿宋"/>
          <w:b/>
          <w:color w:val="auto"/>
          <w:sz w:val="36"/>
          <w:szCs w:val="36"/>
          <w:highlight w:val="none"/>
          <w:lang w:eastAsia="zh-CN"/>
        </w:rPr>
        <w:t>中小企业声明函(货物)（如有）</w:t>
      </w:r>
    </w:p>
    <w:p w14:paraId="42393E6C">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4569A371">
      <w:pPr>
        <w:numPr>
          <w:ilvl w:val="0"/>
          <w:numId w:val="14"/>
        </w:num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（采购文件中明确的所属行业）</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698A50D8">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2. </w:t>
      </w:r>
      <w:r>
        <w:rPr>
          <w:rFonts w:hint="eastAsia" w:ascii="仿宋" w:hAnsi="仿宋" w:eastAsia="仿宋" w:cs="仿宋"/>
          <w:color w:val="auto"/>
          <w:highlight w:val="none"/>
          <w:u w:val="single"/>
          <w:lang w:eastAsia="zh-CN"/>
        </w:rPr>
        <w:t xml:space="preserve"> （标的名称）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 xml:space="preserve">（采购文件明中确的所属行业） </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 xml:space="preserve"> （企业名称）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746A3468">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709646C8">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以上企业，不属于大企业的分支机构，不存在控股股东为大企业的情形，也不存在与大企业的负责人为同一人的情形。</w:t>
      </w:r>
    </w:p>
    <w:p w14:paraId="08E95A1B">
      <w:pPr>
        <w:spacing w:line="360" w:lineRule="auto"/>
        <w:ind w:firstLine="480" w:firstLineChars="200"/>
        <w:rPr>
          <w:rFonts w:ascii="仿宋" w:hAnsi="仿宋" w:eastAsia="仿宋" w:cs="仿宋"/>
          <w:color w:val="auto"/>
          <w:highlight w:val="none"/>
          <w:lang w:eastAsia="zh-CN"/>
        </w:rPr>
      </w:pPr>
    </w:p>
    <w:p w14:paraId="5991F7DF">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本企业对上述声明内容的真实性负责。如有虚假，将依法承担相应责任。</w:t>
      </w:r>
    </w:p>
    <w:p w14:paraId="1E3EF560">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7320D6A1">
      <w:pPr>
        <w:spacing w:line="360" w:lineRule="auto"/>
        <w:ind w:firstLine="480" w:firstLineChars="200"/>
        <w:rPr>
          <w:rFonts w:ascii="仿宋" w:hAnsi="仿宋" w:eastAsia="仿宋" w:cs="仿宋"/>
          <w:color w:val="auto"/>
          <w:highlight w:val="none"/>
          <w:lang w:eastAsia="zh-CN"/>
        </w:rPr>
      </w:pPr>
    </w:p>
    <w:p w14:paraId="0072770E">
      <w:pPr>
        <w:spacing w:line="360" w:lineRule="auto"/>
        <w:ind w:firstLine="4560" w:firstLineChars="19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企业名称（盖章）：</w:t>
      </w:r>
    </w:p>
    <w:p w14:paraId="2FBEC9CC">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日期：</w:t>
      </w:r>
    </w:p>
    <w:p w14:paraId="3CFADEB9">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p>
    <w:p w14:paraId="2F60C764">
      <w:pPr>
        <w:pStyle w:val="12"/>
        <w:rPr>
          <w:rFonts w:hint="eastAsia" w:ascii="仿宋" w:hAnsi="仿宋" w:eastAsia="仿宋" w:cs="仿宋"/>
          <w:color w:val="auto"/>
        </w:rPr>
      </w:pPr>
    </w:p>
    <w:p w14:paraId="4DFE9A18">
      <w:pPr>
        <w:pStyle w:val="12"/>
        <w:rPr>
          <w:rFonts w:hint="eastAsia" w:ascii="仿宋" w:hAnsi="仿宋" w:eastAsia="仿宋" w:cs="仿宋"/>
          <w:color w:val="auto"/>
        </w:rPr>
      </w:pPr>
    </w:p>
    <w:p w14:paraId="7CC42468">
      <w:pPr>
        <w:pStyle w:val="12"/>
        <w:rPr>
          <w:rFonts w:hint="eastAsia" w:ascii="仿宋" w:hAnsi="仿宋" w:eastAsia="仿宋" w:cs="仿宋"/>
          <w:color w:val="auto"/>
        </w:rPr>
      </w:pPr>
    </w:p>
    <w:p w14:paraId="762FBAB3">
      <w:pPr>
        <w:pStyle w:val="7"/>
        <w:numPr>
          <w:ilvl w:val="0"/>
          <w:numId w:val="0"/>
        </w:numPr>
        <w:ind w:left="360" w:leftChars="0"/>
        <w:rPr>
          <w:rFonts w:hint="eastAsia"/>
          <w:color w:val="auto"/>
        </w:rPr>
      </w:pPr>
    </w:p>
    <w:p w14:paraId="480A8C2D">
      <w:pPr>
        <w:pStyle w:val="12"/>
        <w:rPr>
          <w:rFonts w:hint="eastAsia" w:ascii="仿宋" w:hAnsi="仿宋" w:eastAsia="仿宋" w:cs="仿宋"/>
          <w:color w:val="auto"/>
        </w:rPr>
      </w:pPr>
    </w:p>
    <w:p w14:paraId="458A6C18">
      <w:pPr>
        <w:pStyle w:val="12"/>
        <w:rPr>
          <w:rFonts w:hint="eastAsia" w:ascii="仿宋" w:hAnsi="仿宋" w:eastAsia="仿宋" w:cs="仿宋"/>
          <w:color w:val="auto"/>
        </w:rPr>
      </w:pPr>
    </w:p>
    <w:p w14:paraId="61162539">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21ED8093">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36674F60">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65C9C557">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47C90537">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7488B661">
      <w:pPr>
        <w:tabs>
          <w:tab w:val="left" w:pos="3600"/>
        </w:tabs>
        <w:adjustRightInd w:val="0"/>
        <w:snapToGrid w:val="0"/>
        <w:spacing w:line="440" w:lineRule="exact"/>
        <w:jc w:val="center"/>
        <w:rPr>
          <w:rFonts w:hint="eastAsia" w:ascii="仿宋" w:hAnsi="仿宋" w:eastAsia="仿宋" w:cs="仿宋"/>
          <w:b/>
          <w:bCs/>
          <w:color w:val="auto"/>
          <w:spacing w:val="6"/>
          <w:kern w:val="0"/>
          <w:sz w:val="36"/>
          <w:szCs w:val="36"/>
        </w:rPr>
      </w:pPr>
      <w:r>
        <w:rPr>
          <w:rFonts w:hint="eastAsia" w:ascii="仿宋" w:hAnsi="仿宋" w:eastAsia="仿宋" w:cs="仿宋"/>
          <w:color w:val="auto"/>
          <w:spacing w:val="0"/>
          <w:w w:val="100"/>
          <w:position w:val="0"/>
          <w:sz w:val="36"/>
          <w:szCs w:val="36"/>
          <w:lang w:val="en-US" w:eastAsia="zh-CN"/>
        </w:rPr>
        <w:t>10</w:t>
      </w:r>
      <w:r>
        <w:rPr>
          <w:rFonts w:hint="eastAsia" w:ascii="仿宋" w:hAnsi="仿宋" w:eastAsia="仿宋" w:cs="仿宋"/>
          <w:color w:val="auto"/>
          <w:spacing w:val="0"/>
          <w:w w:val="100"/>
          <w:position w:val="0"/>
          <w:sz w:val="36"/>
          <w:szCs w:val="36"/>
          <w:lang w:eastAsia="zh-CN"/>
        </w:rPr>
        <w:t>、</w:t>
      </w:r>
      <w:r>
        <w:rPr>
          <w:rFonts w:hint="eastAsia" w:ascii="仿宋" w:hAnsi="仿宋" w:eastAsia="仿宋" w:cs="仿宋"/>
          <w:b/>
          <w:bCs/>
          <w:color w:val="auto"/>
          <w:spacing w:val="6"/>
          <w:kern w:val="0"/>
          <w:sz w:val="36"/>
          <w:szCs w:val="36"/>
        </w:rPr>
        <w:t>残疾人福利性单位声明函</w:t>
      </w:r>
    </w:p>
    <w:p w14:paraId="556CC46C">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p>
    <w:p w14:paraId="51DE902A">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D3C452B">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本单位对上述声明的真实性负责。如有虚假，将依法承担相应责任。</w:t>
      </w:r>
    </w:p>
    <w:p w14:paraId="519C3DB1">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w:t>
      </w:r>
    </w:p>
    <w:p w14:paraId="7F5459BD">
      <w:pPr>
        <w:widowControl/>
        <w:adjustRightInd w:val="0"/>
        <w:snapToGrid w:val="0"/>
        <w:spacing w:line="440" w:lineRule="exact"/>
        <w:ind w:firstLine="5544" w:firstLineChars="2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单位名称（盖章）：</w:t>
      </w:r>
    </w:p>
    <w:p w14:paraId="27B5693C">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日  期：</w:t>
      </w:r>
    </w:p>
    <w:p w14:paraId="7A03C117">
      <w:pPr>
        <w:pStyle w:val="3"/>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3F51E5C0">
      <w:pPr>
        <w:pStyle w:val="3"/>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12634229">
      <w:pPr>
        <w:pStyle w:val="3"/>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69FC1E74">
      <w:pPr>
        <w:rPr>
          <w:rFonts w:hint="eastAsia" w:ascii="仿宋" w:hAnsi="仿宋" w:eastAsia="仿宋" w:cs="仿宋"/>
          <w:b/>
          <w:bCs/>
          <w:color w:val="auto"/>
          <w:sz w:val="24"/>
          <w:highlight w:val="none"/>
          <w:lang w:val="en-US" w:eastAsia="zh-CN"/>
        </w:rPr>
      </w:pPr>
    </w:p>
    <w:p w14:paraId="14A235DE">
      <w:pPr>
        <w:pStyle w:val="23"/>
        <w:rPr>
          <w:rFonts w:hint="eastAsia" w:ascii="仿宋" w:hAnsi="仿宋" w:eastAsia="仿宋" w:cs="仿宋"/>
          <w:b/>
          <w:bCs/>
          <w:color w:val="auto"/>
          <w:sz w:val="24"/>
          <w:highlight w:val="none"/>
          <w:lang w:val="en-US" w:eastAsia="zh-CN"/>
        </w:rPr>
      </w:pPr>
    </w:p>
    <w:p w14:paraId="10653911">
      <w:pPr>
        <w:pStyle w:val="26"/>
        <w:keepNext/>
        <w:keepLines/>
        <w:spacing w:before="0" w:after="660"/>
        <w:ind w:firstLine="42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备注：不是残疾人福利性单位，无需提供声明函</w:t>
      </w:r>
    </w:p>
    <w:p w14:paraId="228482C9">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61DEF371">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0E96BE0F">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6FD85347">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0E7D86DE">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10D66F6A">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15782B2F">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75238E0E">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6AE3DDA2">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70A2111D">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3D0C1950">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08814383">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483C3DF7">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4347F535">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11、</w:t>
      </w:r>
      <w:r>
        <w:rPr>
          <w:rFonts w:hint="eastAsia" w:ascii="仿宋" w:hAnsi="仿宋" w:eastAsia="仿宋" w:cs="仿宋"/>
          <w:b/>
          <w:bCs w:val="0"/>
          <w:color w:val="auto"/>
          <w:kern w:val="0"/>
          <w:sz w:val="32"/>
          <w:szCs w:val="28"/>
          <w:highlight w:val="none"/>
          <w:lang w:val="en-US" w:eastAsia="zh-CN" w:bidi="ar-SA"/>
        </w:rPr>
        <w:t>质量保证及售后服务（格式自拟）</w:t>
      </w:r>
    </w:p>
    <w:p w14:paraId="74201A9B">
      <w:pPr>
        <w:rPr>
          <w:rFonts w:hint="eastAsia"/>
          <w:color w:val="auto"/>
          <w:lang w:val="en-US" w:eastAsia="zh-CN"/>
        </w:rPr>
      </w:pPr>
    </w:p>
    <w:p w14:paraId="6098194E">
      <w:pPr>
        <w:pStyle w:val="12"/>
        <w:numPr>
          <w:ilvl w:val="0"/>
          <w:numId w:val="0"/>
        </w:numPr>
        <w:rPr>
          <w:rFonts w:hint="eastAsia"/>
          <w:lang w:val="en-US" w:eastAsia="zh-CN"/>
        </w:rPr>
      </w:pPr>
    </w:p>
    <w:p w14:paraId="019229C0">
      <w:pPr>
        <w:spacing w:line="500" w:lineRule="exact"/>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售后服务须包括但不限于以下内容，主要根据招标需求的要求（格式自定）</w:t>
      </w:r>
    </w:p>
    <w:p w14:paraId="320BCF26">
      <w:pPr>
        <w:rPr>
          <w:rFonts w:hint="eastAsia" w:ascii="仿宋" w:hAnsi="仿宋" w:eastAsia="仿宋" w:cs="仿宋"/>
          <w:color w:val="auto"/>
          <w:sz w:val="24"/>
          <w:szCs w:val="24"/>
          <w:highlight w:val="none"/>
          <w:lang w:val="en-GB" w:eastAsia="zh-CN"/>
        </w:rPr>
      </w:pPr>
    </w:p>
    <w:p w14:paraId="378E015F">
      <w:pPr>
        <w:spacing w:line="500" w:lineRule="exact"/>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GB"/>
        </w:rPr>
        <w:t>质保期</w:t>
      </w:r>
    </w:p>
    <w:p w14:paraId="621BD694">
      <w:pPr>
        <w:spacing w:line="5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2、交货期</w:t>
      </w:r>
    </w:p>
    <w:p w14:paraId="63B58BE9">
      <w:pPr>
        <w:spacing w:line="500" w:lineRule="exact"/>
        <w:ind w:firstLine="480" w:firstLineChars="200"/>
        <w:jc w:val="left"/>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GB"/>
        </w:rPr>
        <w:t>售后</w:t>
      </w:r>
      <w:r>
        <w:rPr>
          <w:rFonts w:hint="eastAsia" w:ascii="仿宋" w:hAnsi="仿宋" w:eastAsia="仿宋" w:cs="仿宋"/>
          <w:color w:val="auto"/>
          <w:sz w:val="24"/>
          <w:szCs w:val="24"/>
          <w:highlight w:val="none"/>
          <w:lang w:val="en-GB" w:eastAsia="zh-CN"/>
        </w:rPr>
        <w:t>质量承诺</w:t>
      </w:r>
    </w:p>
    <w:p w14:paraId="458E18EE">
      <w:pPr>
        <w:spacing w:line="5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售后服务方案</w:t>
      </w:r>
    </w:p>
    <w:p w14:paraId="1E48986A">
      <w:pPr>
        <w:adjustRightInd w:val="0"/>
        <w:spacing w:line="400" w:lineRule="exact"/>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GB"/>
        </w:rPr>
        <w:t>其它服务承诺</w:t>
      </w:r>
    </w:p>
    <w:p w14:paraId="714F1819">
      <w:pPr>
        <w:rPr>
          <w:rFonts w:hint="eastAsia" w:ascii="仿宋" w:hAnsi="仿宋" w:eastAsia="仿宋" w:cs="仿宋"/>
          <w:b/>
          <w:bCs/>
          <w:color w:val="auto"/>
          <w:spacing w:val="0"/>
          <w:w w:val="100"/>
          <w:position w:val="0"/>
          <w:sz w:val="28"/>
          <w:szCs w:val="28"/>
          <w:lang w:val="en-US" w:eastAsia="zh-CN"/>
        </w:rPr>
      </w:pPr>
    </w:p>
    <w:p w14:paraId="18A56040">
      <w:pPr>
        <w:pStyle w:val="4"/>
        <w:rPr>
          <w:rFonts w:hint="eastAsia"/>
          <w:color w:val="auto"/>
          <w:lang w:val="en-US" w:eastAsia="zh-CN"/>
        </w:rPr>
      </w:pPr>
    </w:p>
    <w:p w14:paraId="6A517A95">
      <w:pPr>
        <w:rPr>
          <w:rFonts w:hint="eastAsia"/>
          <w:color w:val="auto"/>
          <w:lang w:val="en-US" w:eastAsia="zh-CN"/>
        </w:rPr>
      </w:pPr>
    </w:p>
    <w:p w14:paraId="3DED6869">
      <w:pPr>
        <w:spacing w:before="100" w:beforeAutospacing="1" w:after="100" w:afterAutospacing="1"/>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投标单位： </w:t>
      </w:r>
      <w:r>
        <w:rPr>
          <w:rFonts w:hint="eastAsia" w:ascii="仿宋" w:hAnsi="仿宋" w:eastAsia="仿宋" w:cs="仿宋"/>
          <w:color w:val="auto"/>
          <w:sz w:val="24"/>
          <w:szCs w:val="24"/>
          <w:u w:val="single"/>
        </w:rPr>
        <w:t xml:space="preserve">                       （公章）   </w:t>
      </w:r>
    </w:p>
    <w:p w14:paraId="74B07ADC">
      <w:pPr>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eastAsia="zh-CN"/>
        </w:rPr>
        <w:t>或授权委托人</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签字或盖章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w:t>
      </w:r>
    </w:p>
    <w:p w14:paraId="13861482">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36FE4851">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日期：   年   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日</w:t>
      </w:r>
    </w:p>
    <w:p w14:paraId="5818B9A1">
      <w:pPr>
        <w:pStyle w:val="17"/>
        <w:rPr>
          <w:rFonts w:hint="eastAsia"/>
          <w:color w:val="auto"/>
          <w:lang w:val="en-US" w:eastAsia="zh-CN"/>
        </w:rPr>
      </w:pPr>
    </w:p>
    <w:p w14:paraId="676C5EDB">
      <w:pPr>
        <w:pStyle w:val="17"/>
        <w:rPr>
          <w:rFonts w:hint="eastAsia"/>
          <w:color w:val="auto"/>
          <w:lang w:val="en-US" w:eastAsia="zh-CN"/>
        </w:rPr>
      </w:pPr>
    </w:p>
    <w:p w14:paraId="565C499F">
      <w:pPr>
        <w:pStyle w:val="17"/>
        <w:rPr>
          <w:rFonts w:hint="eastAsia"/>
          <w:color w:val="auto"/>
          <w:lang w:val="en-US" w:eastAsia="zh-CN"/>
        </w:rPr>
      </w:pPr>
    </w:p>
    <w:p w14:paraId="73B233C3">
      <w:pPr>
        <w:pStyle w:val="17"/>
        <w:rPr>
          <w:rFonts w:hint="eastAsia"/>
          <w:color w:val="auto"/>
          <w:lang w:val="en-US" w:eastAsia="zh-CN"/>
        </w:rPr>
      </w:pPr>
    </w:p>
    <w:p w14:paraId="40F09FB1">
      <w:pPr>
        <w:pStyle w:val="17"/>
        <w:rPr>
          <w:rFonts w:hint="eastAsia"/>
          <w:color w:val="auto"/>
          <w:lang w:val="en-US" w:eastAsia="zh-CN"/>
        </w:rPr>
      </w:pPr>
    </w:p>
    <w:p w14:paraId="1BEC6AF3">
      <w:pPr>
        <w:pStyle w:val="17"/>
        <w:rPr>
          <w:rFonts w:hint="eastAsia"/>
          <w:color w:val="auto"/>
          <w:lang w:val="en-US" w:eastAsia="zh-CN"/>
        </w:rPr>
      </w:pPr>
    </w:p>
    <w:p w14:paraId="1844234B">
      <w:pPr>
        <w:pStyle w:val="17"/>
        <w:rPr>
          <w:rFonts w:hint="eastAsia"/>
          <w:color w:val="auto"/>
          <w:lang w:val="en-US" w:eastAsia="zh-CN"/>
        </w:rPr>
      </w:pPr>
    </w:p>
    <w:p w14:paraId="5103FBAC">
      <w:pPr>
        <w:pStyle w:val="17"/>
        <w:rPr>
          <w:rFonts w:hint="eastAsia"/>
          <w:color w:val="auto"/>
          <w:lang w:val="en-US" w:eastAsia="zh-CN"/>
        </w:rPr>
      </w:pPr>
    </w:p>
    <w:p w14:paraId="0718D347">
      <w:pPr>
        <w:pStyle w:val="17"/>
        <w:rPr>
          <w:rFonts w:hint="eastAsia"/>
          <w:color w:val="auto"/>
          <w:lang w:val="en-US" w:eastAsia="zh-CN"/>
        </w:rPr>
      </w:pPr>
    </w:p>
    <w:p w14:paraId="7F569EC8">
      <w:pPr>
        <w:pStyle w:val="17"/>
        <w:rPr>
          <w:rFonts w:hint="eastAsia"/>
          <w:color w:val="auto"/>
          <w:lang w:val="en-US" w:eastAsia="zh-CN"/>
        </w:rPr>
      </w:pPr>
    </w:p>
    <w:p w14:paraId="09327340">
      <w:pPr>
        <w:pStyle w:val="17"/>
        <w:rPr>
          <w:rFonts w:hint="eastAsia"/>
          <w:color w:val="auto"/>
          <w:lang w:val="en-US" w:eastAsia="zh-CN"/>
        </w:rPr>
      </w:pPr>
    </w:p>
    <w:p w14:paraId="772AD263">
      <w:pPr>
        <w:pStyle w:val="17"/>
        <w:rPr>
          <w:rFonts w:hint="eastAsia"/>
          <w:color w:val="auto"/>
          <w:lang w:val="en-US" w:eastAsia="zh-CN"/>
        </w:rPr>
      </w:pPr>
    </w:p>
    <w:p w14:paraId="2BB53556">
      <w:pPr>
        <w:pStyle w:val="17"/>
        <w:rPr>
          <w:rFonts w:hint="eastAsia"/>
          <w:color w:val="auto"/>
          <w:lang w:val="en-US" w:eastAsia="zh-CN"/>
        </w:rPr>
      </w:pPr>
    </w:p>
    <w:p w14:paraId="7C8EFFF4">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36"/>
          <w:szCs w:val="36"/>
          <w:lang w:val="en-US" w:eastAsia="zh-CN"/>
        </w:rPr>
      </w:pPr>
      <w:r>
        <w:rPr>
          <w:rFonts w:hint="eastAsia" w:ascii="仿宋" w:hAnsi="仿宋" w:eastAsia="仿宋" w:cs="仿宋"/>
          <w:b/>
          <w:bCs/>
          <w:color w:val="auto"/>
          <w:spacing w:val="0"/>
          <w:w w:val="90"/>
          <w:position w:val="0"/>
          <w:sz w:val="36"/>
          <w:szCs w:val="36"/>
          <w:lang w:val="en-US" w:eastAsia="zh-CN"/>
        </w:rPr>
        <w:t>12、投标人认为有必要提供的其他证明材料</w:t>
      </w:r>
    </w:p>
    <w:p w14:paraId="1F881E6A">
      <w:pPr>
        <w:pStyle w:val="9"/>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14:paraId="547394F3">
      <w:pPr>
        <w:pStyle w:val="9"/>
        <w:shd w:val="clear" w:color="auto" w:fill="auto"/>
        <w:tabs>
          <w:tab w:val="left" w:pos="5580"/>
        </w:tabs>
        <w:spacing w:line="240" w:lineRule="atLeast"/>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说明：复印件上应加盖本单位章。</w:t>
      </w:r>
    </w:p>
    <w:p w14:paraId="2A7149E7">
      <w:pPr>
        <w:pStyle w:val="13"/>
        <w:rPr>
          <w:rFonts w:hint="eastAsia"/>
          <w:color w:val="auto"/>
        </w:rPr>
      </w:pPr>
    </w:p>
    <w:p w14:paraId="1B90475A">
      <w:pPr>
        <w:pStyle w:val="26"/>
        <w:keepNext/>
        <w:keepLines/>
        <w:spacing w:before="0" w:after="660"/>
        <w:ind w:firstLine="420"/>
        <w:rPr>
          <w:rFonts w:hint="eastAsia" w:ascii="仿宋" w:hAnsi="仿宋" w:eastAsia="仿宋" w:cs="仿宋"/>
          <w:color w:val="auto"/>
          <w:lang w:eastAsia="zh-CN"/>
        </w:rPr>
      </w:pPr>
    </w:p>
    <w:p w14:paraId="6FAE8872">
      <w:pPr>
        <w:pStyle w:val="26"/>
        <w:keepNext/>
        <w:keepLines/>
        <w:spacing w:before="0" w:after="660"/>
        <w:ind w:firstLine="420"/>
        <w:rPr>
          <w:rFonts w:hint="eastAsia" w:ascii="仿宋" w:hAnsi="仿宋" w:eastAsia="仿宋" w:cs="仿宋"/>
          <w:color w:val="auto"/>
          <w:lang w:eastAsia="zh-CN"/>
        </w:rPr>
      </w:pPr>
    </w:p>
    <w:p w14:paraId="193D25AD">
      <w:pPr>
        <w:pStyle w:val="26"/>
        <w:keepNext/>
        <w:keepLines/>
        <w:spacing w:before="0" w:after="660"/>
        <w:ind w:firstLine="420"/>
        <w:rPr>
          <w:rFonts w:hint="eastAsia" w:ascii="仿宋" w:hAnsi="仿宋" w:eastAsia="仿宋" w:cs="仿宋"/>
          <w:color w:val="auto"/>
          <w:lang w:eastAsia="zh-CN"/>
        </w:rPr>
      </w:pPr>
    </w:p>
    <w:bookmarkEnd w:id="68"/>
    <w:bookmarkEnd w:id="69"/>
    <w:bookmarkEnd w:id="70"/>
    <w:bookmarkEnd w:id="71"/>
    <w:bookmarkEnd w:id="72"/>
    <w:bookmarkEnd w:id="73"/>
    <w:bookmarkEnd w:id="74"/>
    <w:p w14:paraId="7C8830B7">
      <w:pPr>
        <w:pStyle w:val="28"/>
        <w:tabs>
          <w:tab w:val="left" w:pos="826"/>
        </w:tabs>
        <w:spacing w:line="470" w:lineRule="exact"/>
        <w:ind w:firstLine="0"/>
        <w:jc w:val="both"/>
        <w:rPr>
          <w:rFonts w:ascii="仿宋" w:hAnsi="仿宋" w:eastAsia="仿宋" w:cs="仿宋"/>
          <w:color w:val="auto"/>
          <w:sz w:val="21"/>
          <w:szCs w:val="21"/>
        </w:rPr>
      </w:pPr>
    </w:p>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1AABF">
    <w:pPr>
      <w:pStyle w:val="10"/>
      <w:ind w:right="360"/>
      <w:jc w:val="both"/>
    </w:pPr>
    <w:r>
      <w:rPr>
        <w:rFonts w:hint="eastAsia"/>
        <w:sz w:val="13"/>
        <w:szCs w:val="13"/>
      </w:rPr>
      <w:t xml:space="preserve"> </w:t>
    </w:r>
    <w:r>
      <w:rPr>
        <w:rFonts w:hint="eastAsia"/>
      </w:rPr>
      <w:t xml:space="preserve">  </w:t>
    </w:r>
  </w:p>
  <w:p w14:paraId="21ECEECF">
    <w:pPr>
      <w:pStyle w:val="10"/>
      <w:tabs>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4D165">
    <w:pPr>
      <w:pStyle w:val="10"/>
      <w:ind w:right="360"/>
      <w:jc w:val="both"/>
    </w:pPr>
    <w:r>
      <w:rPr>
        <w:sz w:val="1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91A5C">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0091A5C">
                    <w:pPr>
                      <w:pStyle w:val="10"/>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3"/>
        <w:szCs w:val="13"/>
      </w:rPr>
      <w:t xml:space="preserve"> </w:t>
    </w:r>
    <w:r>
      <w:rPr>
        <w:rFonts w:hint="eastAsia"/>
      </w:rPr>
      <w:t xml:space="preserve">  </w:t>
    </w:r>
  </w:p>
  <w:p w14:paraId="66D0E29B">
    <w:pPr>
      <w:pStyle w:val="10"/>
      <w:tabs>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1198C">
    <w:pPr>
      <w:pStyle w:val="10"/>
      <w:ind w:right="360"/>
      <w:jc w:val="both"/>
    </w:pPr>
    <w:r>
      <w:rPr>
        <w:sz w:val="24"/>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D94E348">
                          <w:pPr>
                            <w:pStyle w:val="10"/>
                          </w:pPr>
                          <w:r>
                            <w:fldChar w:fldCharType="begin"/>
                          </w:r>
                          <w:r>
                            <w:instrText xml:space="preserve"> PAGE  \* MERGEFORMAT </w:instrText>
                          </w:r>
                          <w:r>
                            <w:fldChar w:fldCharType="separate"/>
                          </w:r>
                          <w:r>
                            <w:t>74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7smsbIAQAAnQMAAA4AAAAAAAAAAQAgAAAAHgEAAGRycy9lMm9Eb2Mu&#10;eG1sUEsFBgAAAAAGAAYAWQEAAFgFAAAAAA==&#10;">
              <v:fill on="f" focussize="0,0"/>
              <v:stroke on="f"/>
              <v:imagedata o:title=""/>
              <o:lock v:ext="edit" aspectratio="f"/>
              <v:textbox inset="0mm,0mm,0mm,0mm" style="mso-fit-shape-to-text:t;">
                <w:txbxContent>
                  <w:p w14:paraId="1D94E348">
                    <w:pPr>
                      <w:pStyle w:val="10"/>
                    </w:pPr>
                    <w:r>
                      <w:fldChar w:fldCharType="begin"/>
                    </w:r>
                    <w:r>
                      <w:instrText xml:space="preserve"> PAGE  \* MERGEFORMAT </w:instrText>
                    </w:r>
                    <w:r>
                      <w:fldChar w:fldCharType="separate"/>
                    </w:r>
                    <w:r>
                      <w:t>74</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14:paraId="55260DEB">
    <w:pPr>
      <w:pStyle w:val="10"/>
      <w:autoSpaceDE w:val="0"/>
      <w:autoSpaceDN w:val="0"/>
      <w:adjustRightInd w:val="0"/>
      <w:ind w:left="7200" w:hanging="7200" w:hangingChars="4000"/>
      <w:jc w:val="both"/>
    </w:pPr>
  </w:p>
  <w:p w14:paraId="0FECFD7F">
    <w:pPr>
      <w:pStyle w:val="10"/>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9D53B">
    <w:pPr>
      <w:pStyle w:val="10"/>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07A8D0E">
                          <w:pPr>
                            <w:pStyle w:val="10"/>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I2peGXEAQAAiAMAAA4AAAAAAAAAAQAgAAAAHwEAAGRycy9lMm9Eb2MueG1s&#10;UEsFBgAAAAAGAAYAWQEAAFUFAAAAAA==&#10;">
              <v:fill on="f" focussize="0,0"/>
              <v:stroke on="f"/>
              <v:imagedata o:title=""/>
              <o:lock v:ext="edit" aspectratio="f"/>
              <v:textbox inset="0mm,0mm,0mm,0mm" style="mso-fit-shape-to-text:t;">
                <w:txbxContent>
                  <w:p w14:paraId="307A8D0E">
                    <w:pPr>
                      <w:pStyle w:val="10"/>
                    </w:pPr>
                    <w:r>
                      <w:fldChar w:fldCharType="begin"/>
                    </w:r>
                    <w:r>
                      <w:instrText xml:space="preserve"> PAGE  \* MERGEFORMAT </w:instrText>
                    </w:r>
                    <w:r>
                      <w:fldChar w:fldCharType="separate"/>
                    </w:r>
                    <w:r>
                      <w:t>55</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CBC36"/>
    <w:multiLevelType w:val="singleLevel"/>
    <w:tmpl w:val="970CBC36"/>
    <w:lvl w:ilvl="0" w:tentative="0">
      <w:start w:val="1"/>
      <w:numFmt w:val="decimal"/>
      <w:lvlText w:val="%1."/>
      <w:lvlJc w:val="left"/>
      <w:pPr>
        <w:tabs>
          <w:tab w:val="left" w:pos="312"/>
        </w:tabs>
      </w:pPr>
    </w:lvl>
  </w:abstractNum>
  <w:abstractNum w:abstractNumId="1">
    <w:nsid w:val="9B8770EA"/>
    <w:multiLevelType w:val="singleLevel"/>
    <w:tmpl w:val="9B8770EA"/>
    <w:lvl w:ilvl="0" w:tentative="0">
      <w:start w:val="1"/>
      <w:numFmt w:val="decimal"/>
      <w:suff w:val="nothing"/>
      <w:lvlText w:val="（%1）"/>
      <w:lvlJc w:val="left"/>
    </w:lvl>
  </w:abstractNum>
  <w:abstractNum w:abstractNumId="2">
    <w:nsid w:val="B2A4C461"/>
    <w:multiLevelType w:val="singleLevel"/>
    <w:tmpl w:val="B2A4C461"/>
    <w:lvl w:ilvl="0" w:tentative="0">
      <w:start w:val="1"/>
      <w:numFmt w:val="decimal"/>
      <w:lvlText w:val="%1."/>
      <w:lvlJc w:val="left"/>
      <w:pPr>
        <w:tabs>
          <w:tab w:val="left" w:pos="312"/>
        </w:tabs>
      </w:pPr>
    </w:lvl>
  </w:abstractNum>
  <w:abstractNum w:abstractNumId="3">
    <w:nsid w:val="CBFD7F0A"/>
    <w:multiLevelType w:val="singleLevel"/>
    <w:tmpl w:val="CBFD7F0A"/>
    <w:lvl w:ilvl="0" w:tentative="0">
      <w:start w:val="1"/>
      <w:numFmt w:val="decimal"/>
      <w:lvlText w:val="%1."/>
      <w:lvlJc w:val="left"/>
      <w:pPr>
        <w:tabs>
          <w:tab w:val="left" w:pos="312"/>
        </w:tabs>
      </w:pPr>
    </w:lvl>
  </w:abstractNum>
  <w:abstractNum w:abstractNumId="4">
    <w:nsid w:val="CF0DAD01"/>
    <w:multiLevelType w:val="singleLevel"/>
    <w:tmpl w:val="CF0DAD01"/>
    <w:lvl w:ilvl="0" w:tentative="0">
      <w:start w:val="1"/>
      <w:numFmt w:val="decimal"/>
      <w:suff w:val="space"/>
      <w:lvlText w:val="%1."/>
      <w:lvlJc w:val="left"/>
    </w:lvl>
  </w:abstractNum>
  <w:abstractNum w:abstractNumId="5">
    <w:nsid w:val="D5DD59E4"/>
    <w:multiLevelType w:val="singleLevel"/>
    <w:tmpl w:val="D5DD59E4"/>
    <w:lvl w:ilvl="0" w:tentative="0">
      <w:start w:val="1"/>
      <w:numFmt w:val="decimal"/>
      <w:lvlText w:val="%1."/>
      <w:lvlJc w:val="left"/>
      <w:pPr>
        <w:tabs>
          <w:tab w:val="left" w:pos="312"/>
        </w:tabs>
      </w:pPr>
    </w:lvl>
  </w:abstractNum>
  <w:abstractNum w:abstractNumId="6">
    <w:nsid w:val="00000002"/>
    <w:multiLevelType w:val="multilevel"/>
    <w:tmpl w:val="00000002"/>
    <w:lvl w:ilvl="0" w:tentative="0">
      <w:start w:val="1"/>
      <w:numFmt w:val="decimal"/>
      <w:pStyle w:val="7"/>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7">
    <w:nsid w:val="00000005"/>
    <w:multiLevelType w:val="singleLevel"/>
    <w:tmpl w:val="00000005"/>
    <w:lvl w:ilvl="0" w:tentative="0">
      <w:start w:val="1"/>
      <w:numFmt w:val="decimal"/>
      <w:suff w:val="nothing"/>
      <w:lvlText w:val="%1、"/>
      <w:lvlJc w:val="left"/>
    </w:lvl>
  </w:abstractNum>
  <w:abstractNum w:abstractNumId="8">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0">
    <w:nsid w:val="18734CA6"/>
    <w:multiLevelType w:val="singleLevel"/>
    <w:tmpl w:val="18734CA6"/>
    <w:lvl w:ilvl="0" w:tentative="0">
      <w:start w:val="2"/>
      <w:numFmt w:val="chineseCounting"/>
      <w:suff w:val="nothing"/>
      <w:lvlText w:val="%1、"/>
      <w:lvlJc w:val="left"/>
      <w:rPr>
        <w:rFonts w:hint="eastAsia"/>
      </w:rPr>
    </w:lvl>
  </w:abstractNum>
  <w:abstractNum w:abstractNumId="11">
    <w:nsid w:val="547B050A"/>
    <w:multiLevelType w:val="singleLevel"/>
    <w:tmpl w:val="547B050A"/>
    <w:lvl w:ilvl="0" w:tentative="0">
      <w:start w:val="1"/>
      <w:numFmt w:val="decimal"/>
      <w:lvlText w:val="%1."/>
      <w:lvlJc w:val="left"/>
      <w:pPr>
        <w:tabs>
          <w:tab w:val="left" w:pos="312"/>
        </w:tabs>
      </w:pPr>
    </w:lvl>
  </w:abstractNum>
  <w:abstractNum w:abstractNumId="12">
    <w:nsid w:val="55CD4C99"/>
    <w:multiLevelType w:val="singleLevel"/>
    <w:tmpl w:val="55CD4C99"/>
    <w:lvl w:ilvl="0" w:tentative="0">
      <w:start w:val="1"/>
      <w:numFmt w:val="chineseCounting"/>
      <w:suff w:val="nothing"/>
      <w:lvlText w:val="%1、"/>
      <w:lvlJc w:val="left"/>
    </w:lvl>
  </w:abstractNum>
  <w:abstractNum w:abstractNumId="13">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6"/>
  </w:num>
  <w:num w:numId="2">
    <w:abstractNumId w:val="10"/>
  </w:num>
  <w:num w:numId="3">
    <w:abstractNumId w:val="1"/>
  </w:num>
  <w:num w:numId="4">
    <w:abstractNumId w:val="12"/>
  </w:num>
  <w:num w:numId="5">
    <w:abstractNumId w:val="9"/>
  </w:num>
  <w:num w:numId="6">
    <w:abstractNumId w:val="13"/>
  </w:num>
  <w:num w:numId="7">
    <w:abstractNumId w:val="0"/>
  </w:num>
  <w:num w:numId="8">
    <w:abstractNumId w:val="5"/>
  </w:num>
  <w:num w:numId="9">
    <w:abstractNumId w:val="2"/>
  </w:num>
  <w:num w:numId="10">
    <w:abstractNumId w:val="3"/>
  </w:num>
  <w:num w:numId="11">
    <w:abstractNumId w:val="11"/>
  </w:num>
  <w:num w:numId="12">
    <w:abstractNumId w:val="8"/>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ODcxMTkxNmEwYzAzYTA5NzZlOTM1ZGVkNTE1NjQifQ=="/>
  </w:docVars>
  <w:rsids>
    <w:rsidRoot w:val="00000000"/>
    <w:rsid w:val="00D40EB3"/>
    <w:rsid w:val="01CA3E5B"/>
    <w:rsid w:val="01E11105"/>
    <w:rsid w:val="023C042A"/>
    <w:rsid w:val="029E31A0"/>
    <w:rsid w:val="02A76009"/>
    <w:rsid w:val="03C965AB"/>
    <w:rsid w:val="04161698"/>
    <w:rsid w:val="044840D2"/>
    <w:rsid w:val="04A723C3"/>
    <w:rsid w:val="04D21D6C"/>
    <w:rsid w:val="04D330E5"/>
    <w:rsid w:val="056106F1"/>
    <w:rsid w:val="05AC4062"/>
    <w:rsid w:val="05FB49D3"/>
    <w:rsid w:val="060C2D53"/>
    <w:rsid w:val="06E15B1B"/>
    <w:rsid w:val="06EE7AEB"/>
    <w:rsid w:val="07481B68"/>
    <w:rsid w:val="0797489E"/>
    <w:rsid w:val="080A722E"/>
    <w:rsid w:val="08D00067"/>
    <w:rsid w:val="0926412B"/>
    <w:rsid w:val="09512ED0"/>
    <w:rsid w:val="09736C45"/>
    <w:rsid w:val="09AC0935"/>
    <w:rsid w:val="09AC2863"/>
    <w:rsid w:val="0A0846B1"/>
    <w:rsid w:val="0A326B00"/>
    <w:rsid w:val="0AD100C7"/>
    <w:rsid w:val="0B1B64EB"/>
    <w:rsid w:val="0B316DB7"/>
    <w:rsid w:val="0B3B27D5"/>
    <w:rsid w:val="0B3F623F"/>
    <w:rsid w:val="0B7C7B95"/>
    <w:rsid w:val="0B835865"/>
    <w:rsid w:val="0B9F3C47"/>
    <w:rsid w:val="0C711B61"/>
    <w:rsid w:val="0C7358DA"/>
    <w:rsid w:val="0C7A57C2"/>
    <w:rsid w:val="0CAF4A89"/>
    <w:rsid w:val="0CC9374C"/>
    <w:rsid w:val="0CCB7B35"/>
    <w:rsid w:val="0CF112EE"/>
    <w:rsid w:val="0D0B5B12"/>
    <w:rsid w:val="0EC341CA"/>
    <w:rsid w:val="0F781459"/>
    <w:rsid w:val="0FD15502"/>
    <w:rsid w:val="0FE94879"/>
    <w:rsid w:val="10617D3B"/>
    <w:rsid w:val="10AE5F5D"/>
    <w:rsid w:val="11867876"/>
    <w:rsid w:val="12870707"/>
    <w:rsid w:val="131E4EDF"/>
    <w:rsid w:val="13344DBE"/>
    <w:rsid w:val="13D27439"/>
    <w:rsid w:val="13F15336"/>
    <w:rsid w:val="143F2238"/>
    <w:rsid w:val="15F640F5"/>
    <w:rsid w:val="16907932"/>
    <w:rsid w:val="16E97739"/>
    <w:rsid w:val="17523426"/>
    <w:rsid w:val="18341AE3"/>
    <w:rsid w:val="187D363C"/>
    <w:rsid w:val="1891512D"/>
    <w:rsid w:val="18BB0285"/>
    <w:rsid w:val="18BD7EDC"/>
    <w:rsid w:val="18E331A1"/>
    <w:rsid w:val="18EB6478"/>
    <w:rsid w:val="19045B0B"/>
    <w:rsid w:val="192026BA"/>
    <w:rsid w:val="19CE171F"/>
    <w:rsid w:val="19FE7E90"/>
    <w:rsid w:val="1A3343E7"/>
    <w:rsid w:val="1A3A5AFF"/>
    <w:rsid w:val="1A70750F"/>
    <w:rsid w:val="1AAE1C88"/>
    <w:rsid w:val="1AFB4833"/>
    <w:rsid w:val="1B457B59"/>
    <w:rsid w:val="1B803B6F"/>
    <w:rsid w:val="1B8D3B96"/>
    <w:rsid w:val="1C4D3300"/>
    <w:rsid w:val="1C5E1F0D"/>
    <w:rsid w:val="1C71674D"/>
    <w:rsid w:val="1CBD494F"/>
    <w:rsid w:val="1D490EEA"/>
    <w:rsid w:val="1D945258"/>
    <w:rsid w:val="1E114F52"/>
    <w:rsid w:val="1E165F1B"/>
    <w:rsid w:val="1E185388"/>
    <w:rsid w:val="1F3366D2"/>
    <w:rsid w:val="1FF64400"/>
    <w:rsid w:val="20452C91"/>
    <w:rsid w:val="21487F61"/>
    <w:rsid w:val="21D3134C"/>
    <w:rsid w:val="21F549B6"/>
    <w:rsid w:val="2220631A"/>
    <w:rsid w:val="22925F36"/>
    <w:rsid w:val="22B95948"/>
    <w:rsid w:val="22CE2FE9"/>
    <w:rsid w:val="22D67E6E"/>
    <w:rsid w:val="23C91E2B"/>
    <w:rsid w:val="248069F2"/>
    <w:rsid w:val="24BE74B6"/>
    <w:rsid w:val="24D42836"/>
    <w:rsid w:val="255B6AB3"/>
    <w:rsid w:val="256B6C60"/>
    <w:rsid w:val="27D84E00"/>
    <w:rsid w:val="281C407C"/>
    <w:rsid w:val="281D2D4A"/>
    <w:rsid w:val="28645A9F"/>
    <w:rsid w:val="289B1FDE"/>
    <w:rsid w:val="29311D6D"/>
    <w:rsid w:val="29BF147D"/>
    <w:rsid w:val="29FB0865"/>
    <w:rsid w:val="2A672285"/>
    <w:rsid w:val="2AA64C74"/>
    <w:rsid w:val="2AC11AAE"/>
    <w:rsid w:val="2B3D6AC0"/>
    <w:rsid w:val="2B6B53EC"/>
    <w:rsid w:val="2B9845BD"/>
    <w:rsid w:val="2BF660B0"/>
    <w:rsid w:val="2BFF241B"/>
    <w:rsid w:val="2BFF450D"/>
    <w:rsid w:val="2C0B0713"/>
    <w:rsid w:val="2C0B2969"/>
    <w:rsid w:val="2C9F5E1F"/>
    <w:rsid w:val="2CC177A2"/>
    <w:rsid w:val="2CDD6131"/>
    <w:rsid w:val="2DEE438F"/>
    <w:rsid w:val="2E1B4585"/>
    <w:rsid w:val="2E843394"/>
    <w:rsid w:val="2EFA733D"/>
    <w:rsid w:val="2FAD2601"/>
    <w:rsid w:val="30791D02"/>
    <w:rsid w:val="312132A7"/>
    <w:rsid w:val="31286B60"/>
    <w:rsid w:val="31351FE3"/>
    <w:rsid w:val="315B7E7B"/>
    <w:rsid w:val="32827E81"/>
    <w:rsid w:val="329950BE"/>
    <w:rsid w:val="32FF47DE"/>
    <w:rsid w:val="33122963"/>
    <w:rsid w:val="333713EB"/>
    <w:rsid w:val="33473D88"/>
    <w:rsid w:val="33741738"/>
    <w:rsid w:val="33A749A4"/>
    <w:rsid w:val="342C646D"/>
    <w:rsid w:val="34D938EB"/>
    <w:rsid w:val="34F36D08"/>
    <w:rsid w:val="35BD0A9B"/>
    <w:rsid w:val="37702EFF"/>
    <w:rsid w:val="381973EF"/>
    <w:rsid w:val="39606B90"/>
    <w:rsid w:val="398A338C"/>
    <w:rsid w:val="3A443B62"/>
    <w:rsid w:val="3A7C32FC"/>
    <w:rsid w:val="3AC85F81"/>
    <w:rsid w:val="3AF57248"/>
    <w:rsid w:val="3BE611A9"/>
    <w:rsid w:val="3C325184"/>
    <w:rsid w:val="3C9B3F0D"/>
    <w:rsid w:val="3D2008B6"/>
    <w:rsid w:val="3DD22D57"/>
    <w:rsid w:val="3E126451"/>
    <w:rsid w:val="3E2D0EBA"/>
    <w:rsid w:val="3E422C21"/>
    <w:rsid w:val="3E895FE7"/>
    <w:rsid w:val="3ECC33F5"/>
    <w:rsid w:val="3F5A3E02"/>
    <w:rsid w:val="402B55A8"/>
    <w:rsid w:val="409F16F7"/>
    <w:rsid w:val="40D448F7"/>
    <w:rsid w:val="42610D54"/>
    <w:rsid w:val="42CD6DEA"/>
    <w:rsid w:val="42EC15FD"/>
    <w:rsid w:val="42F56341"/>
    <w:rsid w:val="43A85162"/>
    <w:rsid w:val="43FC45D9"/>
    <w:rsid w:val="45407508"/>
    <w:rsid w:val="45915C44"/>
    <w:rsid w:val="45C61232"/>
    <w:rsid w:val="462818C0"/>
    <w:rsid w:val="46696E2A"/>
    <w:rsid w:val="46A379E2"/>
    <w:rsid w:val="4710374A"/>
    <w:rsid w:val="4746716B"/>
    <w:rsid w:val="476F5AB7"/>
    <w:rsid w:val="47C50B6E"/>
    <w:rsid w:val="47EE6C37"/>
    <w:rsid w:val="48DD6D65"/>
    <w:rsid w:val="4960095D"/>
    <w:rsid w:val="4AA95520"/>
    <w:rsid w:val="4AAF4784"/>
    <w:rsid w:val="4C023DEB"/>
    <w:rsid w:val="4C031AE7"/>
    <w:rsid w:val="4C8601E7"/>
    <w:rsid w:val="4D752558"/>
    <w:rsid w:val="4E3D65CD"/>
    <w:rsid w:val="4EA36C51"/>
    <w:rsid w:val="4EC56BC8"/>
    <w:rsid w:val="4EC70A42"/>
    <w:rsid w:val="4F351F9F"/>
    <w:rsid w:val="4FAF382B"/>
    <w:rsid w:val="4FDE3E71"/>
    <w:rsid w:val="5162069F"/>
    <w:rsid w:val="51C2552D"/>
    <w:rsid w:val="51E61378"/>
    <w:rsid w:val="52BA3ED8"/>
    <w:rsid w:val="53001630"/>
    <w:rsid w:val="53057EDB"/>
    <w:rsid w:val="53670B95"/>
    <w:rsid w:val="53D0673A"/>
    <w:rsid w:val="546A21DA"/>
    <w:rsid w:val="5470465A"/>
    <w:rsid w:val="54CB3595"/>
    <w:rsid w:val="55865260"/>
    <w:rsid w:val="55AB0460"/>
    <w:rsid w:val="55B347D2"/>
    <w:rsid w:val="5663290D"/>
    <w:rsid w:val="56BD76C2"/>
    <w:rsid w:val="56E1672E"/>
    <w:rsid w:val="570441D3"/>
    <w:rsid w:val="5785612B"/>
    <w:rsid w:val="58312464"/>
    <w:rsid w:val="58405A46"/>
    <w:rsid w:val="58736811"/>
    <w:rsid w:val="58F85895"/>
    <w:rsid w:val="58FF4D25"/>
    <w:rsid w:val="59164AA0"/>
    <w:rsid w:val="5980650D"/>
    <w:rsid w:val="5A8B7D9A"/>
    <w:rsid w:val="5ACE4C84"/>
    <w:rsid w:val="5AF8576B"/>
    <w:rsid w:val="5C780CE4"/>
    <w:rsid w:val="5CD462E6"/>
    <w:rsid w:val="5CE0036A"/>
    <w:rsid w:val="5DB333E2"/>
    <w:rsid w:val="5DBB165A"/>
    <w:rsid w:val="5DC54075"/>
    <w:rsid w:val="5DCA2A33"/>
    <w:rsid w:val="5DE0720E"/>
    <w:rsid w:val="5E0B1BB0"/>
    <w:rsid w:val="5E160F34"/>
    <w:rsid w:val="5E516861"/>
    <w:rsid w:val="5EB870AD"/>
    <w:rsid w:val="5F6412E9"/>
    <w:rsid w:val="5FEC48FC"/>
    <w:rsid w:val="60404FD1"/>
    <w:rsid w:val="60940AF0"/>
    <w:rsid w:val="61B7506F"/>
    <w:rsid w:val="627770C5"/>
    <w:rsid w:val="62797F9D"/>
    <w:rsid w:val="627D19E2"/>
    <w:rsid w:val="62EF30F4"/>
    <w:rsid w:val="632F0508"/>
    <w:rsid w:val="637C2FBD"/>
    <w:rsid w:val="63AF5FF8"/>
    <w:rsid w:val="63E62A2C"/>
    <w:rsid w:val="642777BB"/>
    <w:rsid w:val="65221B38"/>
    <w:rsid w:val="65366619"/>
    <w:rsid w:val="65A03EDF"/>
    <w:rsid w:val="65BF7C2E"/>
    <w:rsid w:val="662B2963"/>
    <w:rsid w:val="662B7800"/>
    <w:rsid w:val="66C01DCB"/>
    <w:rsid w:val="66C578C8"/>
    <w:rsid w:val="66CC2D91"/>
    <w:rsid w:val="67026FD1"/>
    <w:rsid w:val="6738057B"/>
    <w:rsid w:val="67791813"/>
    <w:rsid w:val="67D77961"/>
    <w:rsid w:val="683230C8"/>
    <w:rsid w:val="683D1EE1"/>
    <w:rsid w:val="6898557E"/>
    <w:rsid w:val="68D03D0D"/>
    <w:rsid w:val="695435CF"/>
    <w:rsid w:val="6B14065E"/>
    <w:rsid w:val="6B260BC5"/>
    <w:rsid w:val="6BA312EE"/>
    <w:rsid w:val="6BAD0860"/>
    <w:rsid w:val="6C60302B"/>
    <w:rsid w:val="6C786B34"/>
    <w:rsid w:val="6CDE381E"/>
    <w:rsid w:val="6D2532C1"/>
    <w:rsid w:val="6D390A55"/>
    <w:rsid w:val="6D8D20B0"/>
    <w:rsid w:val="6DC90575"/>
    <w:rsid w:val="6E126E81"/>
    <w:rsid w:val="6E2B0D75"/>
    <w:rsid w:val="6E77698D"/>
    <w:rsid w:val="6E9C6986"/>
    <w:rsid w:val="702C6118"/>
    <w:rsid w:val="70492241"/>
    <w:rsid w:val="709E041A"/>
    <w:rsid w:val="70D50190"/>
    <w:rsid w:val="71640AAD"/>
    <w:rsid w:val="719C1CF7"/>
    <w:rsid w:val="71B11502"/>
    <w:rsid w:val="71C34D91"/>
    <w:rsid w:val="71DE3BF6"/>
    <w:rsid w:val="722240E8"/>
    <w:rsid w:val="7246014F"/>
    <w:rsid w:val="72532D9D"/>
    <w:rsid w:val="72EE408F"/>
    <w:rsid w:val="72F661DA"/>
    <w:rsid w:val="73D55FAF"/>
    <w:rsid w:val="74115595"/>
    <w:rsid w:val="74DD7046"/>
    <w:rsid w:val="7530098F"/>
    <w:rsid w:val="75D532E5"/>
    <w:rsid w:val="76C9109B"/>
    <w:rsid w:val="76F63E01"/>
    <w:rsid w:val="7829452B"/>
    <w:rsid w:val="782A7918"/>
    <w:rsid w:val="7850607F"/>
    <w:rsid w:val="785E4C0A"/>
    <w:rsid w:val="788D60F9"/>
    <w:rsid w:val="79167E9C"/>
    <w:rsid w:val="798A66B0"/>
    <w:rsid w:val="7A2D3456"/>
    <w:rsid w:val="7A5A3B08"/>
    <w:rsid w:val="7B59194F"/>
    <w:rsid w:val="7B700A00"/>
    <w:rsid w:val="7B7E5375"/>
    <w:rsid w:val="7BAB6FC2"/>
    <w:rsid w:val="7C001F2C"/>
    <w:rsid w:val="7C374CF9"/>
    <w:rsid w:val="7C4411C4"/>
    <w:rsid w:val="7CEF1130"/>
    <w:rsid w:val="7D0A7D18"/>
    <w:rsid w:val="7D172435"/>
    <w:rsid w:val="7D284642"/>
    <w:rsid w:val="7D936163"/>
    <w:rsid w:val="7E5B6E67"/>
    <w:rsid w:val="7E704A33"/>
    <w:rsid w:val="7EE25C4A"/>
    <w:rsid w:val="7F007624"/>
    <w:rsid w:val="7F6B4B6A"/>
    <w:rsid w:val="7F733DE1"/>
    <w:rsid w:val="7F9E0BEB"/>
    <w:rsid w:val="7FEC4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line="360" w:lineRule="auto"/>
      <w:jc w:val="center"/>
      <w:outlineLvl w:val="0"/>
    </w:pPr>
    <w:rPr>
      <w:b/>
      <w:bCs/>
      <w:kern w:val="44"/>
      <w:sz w:val="44"/>
      <w:szCs w:val="44"/>
    </w:rPr>
  </w:style>
  <w:style w:type="paragraph" w:styleId="3">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0">
    <w:name w:val="Default Paragraph Font"/>
    <w:qFormat/>
    <w:uiPriority w:val="1"/>
  </w:style>
  <w:style w:type="table" w:default="1" w:styleId="18">
    <w:name w:val="Normal Table"/>
    <w:qFormat/>
    <w:uiPriority w:val="99"/>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pPr>
    <w:rPr>
      <w:rFonts w:ascii="宋体"/>
      <w:szCs w:val="20"/>
    </w:rPr>
  </w:style>
  <w:style w:type="paragraph" w:styleId="6">
    <w:name w:val="toa heading"/>
    <w:basedOn w:val="1"/>
    <w:next w:val="1"/>
    <w:qFormat/>
    <w:uiPriority w:val="0"/>
    <w:pPr>
      <w:spacing w:before="120"/>
    </w:pPr>
    <w:rPr>
      <w:rFonts w:ascii="Cambria" w:hAnsi="Cambria"/>
      <w:szCs w:val="20"/>
    </w:rPr>
  </w:style>
  <w:style w:type="paragraph" w:styleId="7">
    <w:name w:val="Body Text"/>
    <w:basedOn w:val="1"/>
    <w:next w:val="1"/>
    <w:qFormat/>
    <w:uiPriority w:val="99"/>
    <w:pPr>
      <w:numPr>
        <w:ilvl w:val="0"/>
        <w:numId w:val="1"/>
      </w:numPr>
    </w:pPr>
    <w:rPr>
      <w:rFonts w:ascii="黑体" w:eastAsia="黑体"/>
      <w:sz w:val="22"/>
    </w:rPr>
  </w:style>
  <w:style w:type="paragraph" w:styleId="8">
    <w:name w:val="Body Text Indent"/>
    <w:basedOn w:val="1"/>
    <w:qFormat/>
    <w:uiPriority w:val="0"/>
    <w:pPr>
      <w:spacing w:after="120"/>
      <w:ind w:left="200" w:leftChars="200"/>
    </w:pPr>
  </w:style>
  <w:style w:type="paragraph" w:styleId="9">
    <w:name w:val="Plain Text"/>
    <w:basedOn w:val="1"/>
    <w:qFormat/>
    <w:uiPriority w:val="0"/>
    <w:rPr>
      <w:rFonts w:ascii="宋体"/>
      <w:color w:val="000000"/>
      <w:szCs w:val="20"/>
      <w:u w:val="none" w:color="000000"/>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footnote text"/>
    <w:basedOn w:val="1"/>
    <w:next w:val="7"/>
    <w:qFormat/>
    <w:uiPriority w:val="99"/>
    <w:pPr>
      <w:snapToGrid w:val="0"/>
    </w:pPr>
    <w:rPr>
      <w:sz w:val="18"/>
      <w:szCs w:val="18"/>
    </w:rPr>
  </w:style>
  <w:style w:type="paragraph" w:styleId="13">
    <w:name w:val="index 7"/>
    <w:basedOn w:val="1"/>
    <w:next w:val="1"/>
    <w:qFormat/>
    <w:uiPriority w:val="0"/>
    <w:pPr>
      <w:autoSpaceDE/>
      <w:autoSpaceDN/>
      <w:adjustRightInd/>
      <w:ind w:left="1200" w:leftChars="1200"/>
    </w:pPr>
    <w:rPr>
      <w:color w:val="auto"/>
      <w:kern w:val="2"/>
      <w:szCs w:val="24"/>
    </w:rPr>
  </w:style>
  <w:style w:type="paragraph" w:styleId="14">
    <w:name w:val="Body Text 2"/>
    <w:basedOn w:val="1"/>
    <w:qFormat/>
    <w:uiPriority w:val="0"/>
    <w:pPr>
      <w:tabs>
        <w:tab w:val="left" w:pos="0"/>
      </w:tabs>
      <w:spacing w:line="400" w:lineRule="atLeast"/>
    </w:pPr>
    <w:rPr>
      <w:rFonts w:ascii="Arial" w:hAnsi="Arial"/>
    </w:rPr>
  </w:style>
  <w:style w:type="paragraph" w:styleId="15">
    <w:name w:val="Normal (Web)"/>
    <w:basedOn w:val="1"/>
    <w:qFormat/>
    <w:uiPriority w:val="99"/>
    <w:pPr>
      <w:widowControl/>
    </w:pPr>
    <w:rPr>
      <w:rFonts w:ascii="宋体" w:hAnsi="宋体" w:eastAsia="宋体" w:cs="宋体"/>
    </w:rPr>
  </w:style>
  <w:style w:type="paragraph" w:styleId="16">
    <w:name w:val="Body Text First Indent"/>
    <w:basedOn w:val="7"/>
    <w:next w:val="1"/>
    <w:qFormat/>
    <w:uiPriority w:val="99"/>
    <w:pPr>
      <w:tabs>
        <w:tab w:val="left" w:pos="567"/>
      </w:tabs>
      <w:ind w:firstLine="420" w:firstLineChars="100"/>
    </w:pPr>
  </w:style>
  <w:style w:type="paragraph" w:styleId="17">
    <w:name w:val="Body Text First Indent 2"/>
    <w:basedOn w:val="8"/>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otnote reference"/>
    <w:basedOn w:val="20"/>
    <w:qFormat/>
    <w:uiPriority w:val="99"/>
    <w:rPr>
      <w:vertAlign w:val="superscript"/>
    </w:rPr>
  </w:style>
  <w:style w:type="paragraph" w:customStyle="1" w:styleId="22">
    <w:name w:val="样式 样式 左侧:  2 字符 + 左侧:  0.85 厘米 首行缩进:  2 字符1"/>
    <w:basedOn w:val="1"/>
    <w:qFormat/>
    <w:uiPriority w:val="0"/>
    <w:pPr>
      <w:ind w:left="482" w:firstLine="200" w:firstLineChars="200"/>
    </w:pPr>
    <w:rPr>
      <w:rFonts w:cs="宋体"/>
      <w:szCs w:val="20"/>
    </w:rPr>
  </w:style>
  <w:style w:type="paragraph" w:customStyle="1" w:styleId="23">
    <w:name w:val="正文格式"/>
    <w:basedOn w:val="1"/>
    <w:qFormat/>
    <w:uiPriority w:val="99"/>
    <w:pPr>
      <w:widowControl/>
      <w:adjustRightInd w:val="0"/>
      <w:snapToGrid w:val="0"/>
      <w:spacing w:line="400" w:lineRule="atLeast"/>
      <w:ind w:firstLine="482"/>
      <w:textAlignment w:val="baseline"/>
    </w:p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_Style 2"/>
    <w:basedOn w:val="2"/>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26">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27">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28">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29">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0">
    <w:name w:val="Table caption|1"/>
    <w:basedOn w:val="1"/>
    <w:qFormat/>
    <w:uiPriority w:val="0"/>
    <w:rPr>
      <w:rFonts w:ascii="宋体" w:hAnsi="宋体" w:eastAsia="宋体" w:cs="宋体"/>
      <w:sz w:val="22"/>
      <w:szCs w:val="22"/>
      <w:lang w:val="zh-TW" w:eastAsia="zh-TW" w:bidi="zh-TW"/>
    </w:rPr>
  </w:style>
  <w:style w:type="paragraph" w:customStyle="1" w:styleId="31">
    <w:name w:val="Table Paragraph"/>
    <w:basedOn w:val="1"/>
    <w:qFormat/>
    <w:uiPriority w:val="1"/>
    <w:pPr>
      <w:autoSpaceDE w:val="0"/>
      <w:autoSpaceDN w:val="0"/>
      <w:adjustRightInd w:val="0"/>
    </w:pPr>
    <w:rPr>
      <w:rFonts w:eastAsia="宋体"/>
    </w:rPr>
  </w:style>
  <w:style w:type="paragraph" w:customStyle="1" w:styleId="32">
    <w:name w:val="BodyText"/>
    <w:basedOn w:val="1"/>
    <w:next w:val="1"/>
    <w:qFormat/>
    <w:uiPriority w:val="0"/>
    <w:pPr>
      <w:tabs>
        <w:tab w:val="left" w:pos="780"/>
      </w:tabs>
    </w:pPr>
    <w:rPr>
      <w:rFonts w:ascii="黑体" w:eastAsia="黑体"/>
      <w:sz w:val="22"/>
    </w:rPr>
  </w:style>
  <w:style w:type="character" w:customStyle="1" w:styleId="33">
    <w:name w:val="font01"/>
    <w:basedOn w:val="20"/>
    <w:qFormat/>
    <w:uiPriority w:val="0"/>
    <w:rPr>
      <w:rFonts w:hint="eastAsia" w:ascii="宋体" w:hAnsi="宋体" w:eastAsia="宋体" w:cs="宋体"/>
      <w:color w:val="000000"/>
      <w:sz w:val="22"/>
      <w:szCs w:val="22"/>
      <w:u w:val="none"/>
    </w:rPr>
  </w:style>
  <w:style w:type="character" w:customStyle="1" w:styleId="34">
    <w:name w:val="font11"/>
    <w:basedOn w:val="20"/>
    <w:qFormat/>
    <w:uiPriority w:val="0"/>
    <w:rPr>
      <w:rFonts w:ascii="Arial" w:hAnsi="Arial" w:cs="Arial"/>
      <w:color w:val="000000"/>
      <w:sz w:val="22"/>
      <w:szCs w:val="22"/>
      <w:u w:val="none"/>
    </w:rPr>
  </w:style>
  <w:style w:type="character" w:customStyle="1" w:styleId="35">
    <w:name w:val="font31"/>
    <w:basedOn w:val="20"/>
    <w:qFormat/>
    <w:uiPriority w:val="0"/>
    <w:rPr>
      <w:rFonts w:hint="eastAsia" w:ascii="宋体" w:hAnsi="宋体" w:eastAsia="宋体" w:cs="宋体"/>
      <w:color w:val="000000"/>
      <w:sz w:val="22"/>
      <w:szCs w:val="22"/>
      <w:u w:val="none"/>
    </w:rPr>
  </w:style>
  <w:style w:type="character" w:customStyle="1" w:styleId="36">
    <w:name w:val="font61"/>
    <w:basedOn w:val="20"/>
    <w:qFormat/>
    <w:uiPriority w:val="0"/>
    <w:rPr>
      <w:rFonts w:ascii="宋体" w:hAnsi="宋体" w:eastAsia="宋体" w:cs="宋体"/>
      <w:color w:val="000000"/>
      <w:sz w:val="22"/>
      <w:szCs w:val="22"/>
      <w:u w:val="none"/>
    </w:rPr>
  </w:style>
  <w:style w:type="paragraph" w:customStyle="1" w:styleId="37">
    <w:name w:val="BodyText1I2"/>
    <w:basedOn w:val="38"/>
    <w:qFormat/>
    <w:uiPriority w:val="0"/>
    <w:pPr>
      <w:spacing w:after="0" w:afterLines="0" w:line="500" w:lineRule="exact"/>
      <w:ind w:left="0" w:leftChars="0" w:firstLine="420" w:firstLineChars="200"/>
      <w:jc w:val="both"/>
    </w:pPr>
    <w:rPr>
      <w:kern w:val="2"/>
      <w:sz w:val="21"/>
      <w:szCs w:val="24"/>
      <w:lang w:bidi="ar-SA"/>
    </w:rPr>
  </w:style>
  <w:style w:type="paragraph" w:customStyle="1" w:styleId="38">
    <w:name w:val="BodyTextIndent"/>
    <w:basedOn w:val="1"/>
    <w:qFormat/>
    <w:uiPriority w:val="0"/>
    <w:pPr>
      <w:widowControl/>
      <w:spacing w:after="120" w:afterLines="0" w:line="240" w:lineRule="auto"/>
      <w:ind w:left="420" w:leftChars="200"/>
      <w:jc w:val="both"/>
    </w:pPr>
    <w:rPr>
      <w:rFonts w:ascii="宋体" w:hAnsi="宋体" w:eastAsia="宋体" w:cs="宋体"/>
      <w:kern w:val="2"/>
      <w:sz w:val="21"/>
      <w:szCs w:val="22"/>
      <w:lang w:eastAsia="en-US" w:bidi="ar-SA"/>
    </w:rPr>
  </w:style>
  <w:style w:type="table" w:customStyle="1" w:styleId="39">
    <w:name w:val="Table Normal"/>
    <w:semiHidden/>
    <w:unhideWhenUsed/>
    <w:qFormat/>
    <w:uiPriority w:val="0"/>
    <w:tblPr>
      <w:tblCellMar>
        <w:top w:w="0" w:type="dxa"/>
        <w:left w:w="0" w:type="dxa"/>
        <w:bottom w:w="0" w:type="dxa"/>
        <w:right w:w="0" w:type="dxa"/>
      </w:tblCellMar>
    </w:tblPr>
  </w:style>
  <w:style w:type="paragraph" w:customStyle="1" w:styleId="40">
    <w:name w:val="Table Text"/>
    <w:basedOn w:val="1"/>
    <w:semiHidden/>
    <w:qFormat/>
    <w:uiPriority w:val="0"/>
    <w:rPr>
      <w:rFonts w:ascii="仿宋" w:hAnsi="仿宋" w:eastAsia="仿宋" w:cs="仿宋"/>
      <w:sz w:val="22"/>
      <w:szCs w:val="22"/>
      <w:lang w:val="en-US" w:eastAsia="en-US" w:bidi="ar-SA"/>
    </w:rPr>
  </w:style>
  <w:style w:type="character" w:customStyle="1" w:styleId="41">
    <w:name w:val="font41"/>
    <w:basedOn w:val="20"/>
    <w:qFormat/>
    <w:uiPriority w:val="0"/>
    <w:rPr>
      <w:rFonts w:hint="eastAsia" w:ascii="新宋体" w:hAnsi="新宋体" w:eastAsia="新宋体" w:cs="新宋体"/>
      <w:b/>
      <w:bCs/>
      <w:color w:val="000000"/>
      <w:sz w:val="18"/>
      <w:szCs w:val="18"/>
      <w:u w:val="none"/>
    </w:rPr>
  </w:style>
  <w:style w:type="character" w:customStyle="1" w:styleId="42">
    <w:name w:val="font21"/>
    <w:basedOn w:val="20"/>
    <w:qFormat/>
    <w:uiPriority w:val="0"/>
    <w:rPr>
      <w:rFonts w:hint="eastAsia" w:ascii="新宋体" w:hAnsi="新宋体" w:eastAsia="新宋体" w:cs="新宋体"/>
      <w:color w:val="000000"/>
      <w:sz w:val="18"/>
      <w:szCs w:val="18"/>
      <w:u w:val="none"/>
    </w:rPr>
  </w:style>
  <w:style w:type="character" w:customStyle="1" w:styleId="43">
    <w:name w:val="font71"/>
    <w:basedOn w:val="20"/>
    <w:qFormat/>
    <w:uiPriority w:val="0"/>
    <w:rPr>
      <w:rFonts w:hint="eastAsia" w:ascii="宋体" w:hAnsi="宋体" w:eastAsia="宋体" w:cs="宋体"/>
      <w:color w:val="000000"/>
      <w:sz w:val="20"/>
      <w:szCs w:val="20"/>
      <w:u w:val="none"/>
    </w:rPr>
  </w:style>
  <w:style w:type="character" w:customStyle="1" w:styleId="44">
    <w:name w:val="font191"/>
    <w:basedOn w:val="20"/>
    <w:qFormat/>
    <w:uiPriority w:val="0"/>
    <w:rPr>
      <w:rFonts w:hint="eastAsia" w:ascii="宋体" w:hAnsi="宋体" w:eastAsia="宋体" w:cs="宋体"/>
      <w:color w:val="4874CB"/>
      <w:sz w:val="20"/>
      <w:szCs w:val="20"/>
      <w:u w:val="none"/>
    </w:rPr>
  </w:style>
  <w:style w:type="character" w:customStyle="1" w:styleId="45">
    <w:name w:val="font201"/>
    <w:basedOn w:val="20"/>
    <w:qFormat/>
    <w:uiPriority w:val="0"/>
    <w:rPr>
      <w:rFonts w:hint="eastAsia" w:ascii="宋体" w:hAnsi="宋体" w:eastAsia="宋体" w:cs="宋体"/>
      <w:color w:val="FF0000"/>
      <w:sz w:val="20"/>
      <w:szCs w:val="20"/>
      <w:u w:val="none"/>
    </w:rPr>
  </w:style>
  <w:style w:type="character" w:customStyle="1" w:styleId="46">
    <w:name w:val="font212"/>
    <w:basedOn w:val="20"/>
    <w:qFormat/>
    <w:uiPriority w:val="0"/>
    <w:rPr>
      <w:rFonts w:ascii="Calibri" w:hAnsi="Calibri" w:cs="Calibri"/>
      <w:color w:val="000000"/>
      <w:sz w:val="20"/>
      <w:szCs w:val="20"/>
      <w:u w:val="none"/>
    </w:rPr>
  </w:style>
  <w:style w:type="character" w:customStyle="1" w:styleId="47">
    <w:name w:val="font221"/>
    <w:basedOn w:val="20"/>
    <w:qFormat/>
    <w:uiPriority w:val="0"/>
    <w:rPr>
      <w:rFonts w:hint="default" w:ascii="Calibri" w:hAnsi="Calibri" w:cs="Calibri"/>
      <w:color w:val="000000"/>
      <w:sz w:val="20"/>
      <w:szCs w:val="20"/>
      <w:u w:val="none"/>
    </w:rPr>
  </w:style>
  <w:style w:type="character" w:customStyle="1" w:styleId="48">
    <w:name w:val="font231"/>
    <w:basedOn w:val="20"/>
    <w:qFormat/>
    <w:uiPriority w:val="0"/>
    <w:rPr>
      <w:rFonts w:hint="default" w:ascii="Arial" w:hAnsi="Arial" w:cs="Arial"/>
      <w:color w:val="000000"/>
      <w:sz w:val="20"/>
      <w:szCs w:val="20"/>
      <w:u w:val="none"/>
    </w:rPr>
  </w:style>
  <w:style w:type="character" w:customStyle="1" w:styleId="49">
    <w:name w:val="font241"/>
    <w:basedOn w:val="20"/>
    <w:qFormat/>
    <w:uiPriority w:val="0"/>
    <w:rPr>
      <w:rFonts w:hint="eastAsia" w:ascii="微软雅黑" w:hAnsi="微软雅黑" w:eastAsia="微软雅黑" w:cs="微软雅黑"/>
      <w:color w:val="000000"/>
      <w:sz w:val="18"/>
      <w:szCs w:val="18"/>
      <w:u w:val="single"/>
    </w:rPr>
  </w:style>
  <w:style w:type="character" w:customStyle="1" w:styleId="50">
    <w:name w:val="font251"/>
    <w:basedOn w:val="20"/>
    <w:qFormat/>
    <w:uiPriority w:val="0"/>
    <w:rPr>
      <w:rFonts w:hint="eastAsia" w:ascii="微软雅黑" w:hAnsi="微软雅黑" w:eastAsia="微软雅黑" w:cs="微软雅黑"/>
      <w:color w:val="000000"/>
      <w:sz w:val="18"/>
      <w:szCs w:val="18"/>
      <w:u w:val="none"/>
    </w:rPr>
  </w:style>
  <w:style w:type="character" w:customStyle="1" w:styleId="51">
    <w:name w:val="font261"/>
    <w:basedOn w:val="20"/>
    <w:qFormat/>
    <w:uiPriority w:val="0"/>
    <w:rPr>
      <w:rFonts w:hint="eastAsia" w:ascii="微软雅黑" w:hAnsi="微软雅黑" w:eastAsia="微软雅黑" w:cs="微软雅黑"/>
      <w:color w:val="FF0000"/>
      <w:sz w:val="18"/>
      <w:szCs w:val="18"/>
      <w:u w:val="none"/>
    </w:rPr>
  </w:style>
  <w:style w:type="character" w:customStyle="1" w:styleId="52">
    <w:name w:val="font51"/>
    <w:basedOn w:val="20"/>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107</Pages>
  <Words>15118</Words>
  <Characters>16328</Characters>
  <Paragraphs>2228</Paragraphs>
  <TotalTime>14</TotalTime>
  <ScaleCrop>false</ScaleCrop>
  <LinksUpToDate>false</LinksUpToDate>
  <CharactersWithSpaces>16550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何苦。</cp:lastModifiedBy>
  <cp:lastPrinted>2023-02-27T05:08:00Z</cp:lastPrinted>
  <dcterms:modified xsi:type="dcterms:W3CDTF">2025-06-26T05:35:13Z</dcterms:modified>
  <dc:title>克州职工基本医疗保险基金转为定期存款项目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99BBEEC160344BF6AB088796738FDFF0_13</vt:lpwstr>
  </property>
  <property fmtid="{D5CDD505-2E9C-101B-9397-08002B2CF9AE}" pid="4" name="KSOTemplateDocerSaveRecord">
    <vt:lpwstr>eyJoZGlkIjoiNmU5MjllMzUzMDk4NTllODhhMzBmMGJkNTQ5NzA1YWUiLCJ1c2VySWQiOiI0NjgzNDg1ODcifQ==</vt:lpwstr>
  </property>
</Properties>
</file>