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12CEA4">
      <w:pPr>
        <w:wordWrap w:val="0"/>
        <w:adjustRightInd w:val="0"/>
        <w:spacing w:line="360" w:lineRule="auto"/>
        <w:jc w:val="center"/>
        <w:textAlignment w:val="center"/>
        <w:rPr>
          <w:rFonts w:ascii="宋体" w:hAnsi="宋体" w:cs="宋体"/>
          <w:b/>
          <w:color w:val="auto"/>
          <w:szCs w:val="21"/>
          <w:highlight w:val="none"/>
        </w:rPr>
      </w:pPr>
    </w:p>
    <w:p w14:paraId="5CD3E329">
      <w:pPr>
        <w:wordWrap w:val="0"/>
        <w:spacing w:line="360" w:lineRule="auto"/>
        <w:jc w:val="center"/>
        <w:rPr>
          <w:rFonts w:hint="eastAsia" w:ascii="宋体" w:hAnsi="宋体" w:cs="宋体"/>
          <w:b/>
          <w:bCs/>
          <w:color w:val="auto"/>
          <w:sz w:val="36"/>
          <w:szCs w:val="36"/>
          <w:highlight w:val="none"/>
        </w:rPr>
      </w:pPr>
    </w:p>
    <w:p w14:paraId="1104A8F8">
      <w:pPr>
        <w:wordWrap w:val="0"/>
        <w:spacing w:line="360" w:lineRule="auto"/>
        <w:jc w:val="center"/>
        <w:rPr>
          <w:rFonts w:hint="eastAsia" w:ascii="宋体" w:hAnsi="宋体" w:cs="宋体"/>
          <w:b/>
          <w:bCs/>
          <w:color w:val="auto"/>
          <w:sz w:val="36"/>
          <w:szCs w:val="36"/>
          <w:highlight w:val="none"/>
        </w:rPr>
      </w:pPr>
    </w:p>
    <w:p w14:paraId="63EE0190">
      <w:pPr>
        <w:wordWrap w:val="0"/>
        <w:spacing w:line="360" w:lineRule="auto"/>
        <w:jc w:val="center"/>
        <w:rPr>
          <w:rFonts w:hint="eastAsia" w:ascii="宋体" w:hAnsi="宋体" w:eastAsia="宋体" w:cs="宋体"/>
          <w:b/>
          <w:bCs/>
          <w:color w:val="auto"/>
          <w:sz w:val="36"/>
          <w:szCs w:val="36"/>
          <w:highlight w:val="none"/>
          <w:lang w:eastAsia="zh-CN"/>
        </w:rPr>
      </w:pPr>
      <w:r>
        <w:rPr>
          <w:rFonts w:hint="eastAsia" w:ascii="宋体" w:hAnsi="宋体" w:cs="宋体"/>
          <w:b/>
          <w:bCs/>
          <w:color w:val="auto"/>
          <w:sz w:val="36"/>
          <w:szCs w:val="36"/>
          <w:highlight w:val="none"/>
          <w:lang w:eastAsia="zh-CN"/>
        </w:rPr>
        <w:t>新疆应用职业技术学院新图书馆智慧阅读设备采购项目</w:t>
      </w:r>
    </w:p>
    <w:p w14:paraId="2D9F3B73">
      <w:pPr>
        <w:wordWrap w:val="0"/>
        <w:spacing w:line="360" w:lineRule="auto"/>
        <w:jc w:val="left"/>
        <w:rPr>
          <w:rFonts w:ascii="宋体" w:hAnsi="宋体" w:cs="宋体"/>
          <w:color w:val="auto"/>
          <w:sz w:val="44"/>
          <w:highlight w:val="none"/>
        </w:rPr>
      </w:pPr>
    </w:p>
    <w:p w14:paraId="1AE1313A">
      <w:pPr>
        <w:wordWrap w:val="0"/>
        <w:spacing w:line="360" w:lineRule="auto"/>
        <w:jc w:val="left"/>
        <w:rPr>
          <w:rFonts w:ascii="宋体" w:hAnsi="宋体" w:cs="宋体"/>
          <w:color w:val="auto"/>
          <w:sz w:val="44"/>
          <w:highlight w:val="none"/>
        </w:rPr>
      </w:pPr>
    </w:p>
    <w:p w14:paraId="0E4611D3">
      <w:pPr>
        <w:pStyle w:val="31"/>
        <w:ind w:left="0"/>
        <w:rPr>
          <w:rFonts w:ascii="宋体" w:hAnsi="宋体" w:cs="宋体"/>
          <w:color w:val="auto"/>
          <w:sz w:val="44"/>
          <w:highlight w:val="none"/>
        </w:rPr>
      </w:pPr>
    </w:p>
    <w:p w14:paraId="43729062">
      <w:pPr>
        <w:pStyle w:val="31"/>
        <w:ind w:left="0"/>
        <w:rPr>
          <w:rFonts w:ascii="宋体" w:hAnsi="宋体" w:cs="宋体"/>
          <w:color w:val="auto"/>
          <w:sz w:val="44"/>
          <w:highlight w:val="none"/>
        </w:rPr>
      </w:pPr>
    </w:p>
    <w:p w14:paraId="718162C9">
      <w:pPr>
        <w:pStyle w:val="6"/>
        <w:wordWrap w:val="0"/>
        <w:spacing w:line="360" w:lineRule="auto"/>
        <w:ind w:firstLine="0"/>
        <w:jc w:val="left"/>
        <w:rPr>
          <w:rFonts w:ascii="宋体" w:hAnsi="宋体" w:cs="宋体"/>
          <w:color w:val="auto"/>
          <w:highlight w:val="none"/>
        </w:rPr>
      </w:pPr>
    </w:p>
    <w:p w14:paraId="175304F8">
      <w:pPr>
        <w:wordWrap w:val="0"/>
        <w:spacing w:line="360" w:lineRule="auto"/>
        <w:jc w:val="center"/>
        <w:rPr>
          <w:rFonts w:ascii="宋体" w:hAnsi="宋体" w:cs="宋体"/>
          <w:b/>
          <w:color w:val="auto"/>
          <w:sz w:val="84"/>
          <w:szCs w:val="84"/>
          <w:highlight w:val="none"/>
        </w:rPr>
      </w:pPr>
      <w:r>
        <w:rPr>
          <w:rFonts w:hint="eastAsia" w:ascii="宋体" w:hAnsi="宋体" w:cs="宋体"/>
          <w:b/>
          <w:color w:val="auto"/>
          <w:sz w:val="84"/>
          <w:szCs w:val="84"/>
          <w:highlight w:val="none"/>
        </w:rPr>
        <w:t>招 标 文 件</w:t>
      </w:r>
    </w:p>
    <w:p w14:paraId="02124384">
      <w:pPr>
        <w:wordWrap w:val="0"/>
        <w:adjustRightInd w:val="0"/>
        <w:spacing w:line="360" w:lineRule="auto"/>
        <w:jc w:val="left"/>
        <w:rPr>
          <w:rFonts w:ascii="宋体" w:hAnsi="宋体" w:cs="宋体"/>
          <w:b/>
          <w:color w:val="auto"/>
          <w:sz w:val="24"/>
          <w:szCs w:val="24"/>
          <w:highlight w:val="none"/>
        </w:rPr>
      </w:pPr>
    </w:p>
    <w:p w14:paraId="676654F7">
      <w:pPr>
        <w:wordWrap w:val="0"/>
        <w:adjustRightInd w:val="0"/>
        <w:spacing w:line="360" w:lineRule="auto"/>
        <w:jc w:val="left"/>
        <w:rPr>
          <w:rFonts w:ascii="宋体" w:hAnsi="宋体" w:cs="宋体"/>
          <w:color w:val="auto"/>
          <w:sz w:val="24"/>
          <w:szCs w:val="24"/>
          <w:highlight w:val="none"/>
        </w:rPr>
      </w:pPr>
    </w:p>
    <w:p w14:paraId="30BE59C7">
      <w:pPr>
        <w:wordWrap w:val="0"/>
        <w:spacing w:line="360" w:lineRule="auto"/>
        <w:jc w:val="left"/>
        <w:rPr>
          <w:rFonts w:ascii="宋体" w:hAnsi="宋体" w:cs="宋体"/>
          <w:color w:val="auto"/>
          <w:sz w:val="24"/>
          <w:szCs w:val="24"/>
          <w:highlight w:val="none"/>
        </w:rPr>
      </w:pPr>
    </w:p>
    <w:p w14:paraId="178F5241">
      <w:pPr>
        <w:pStyle w:val="6"/>
        <w:ind w:firstLine="0"/>
        <w:rPr>
          <w:rFonts w:ascii="宋体" w:hAnsi="宋体" w:cs="宋体"/>
          <w:color w:val="auto"/>
          <w:sz w:val="24"/>
          <w:szCs w:val="24"/>
          <w:highlight w:val="none"/>
        </w:rPr>
      </w:pPr>
    </w:p>
    <w:p w14:paraId="321A545C">
      <w:pPr>
        <w:pStyle w:val="7"/>
        <w:ind w:left="0"/>
        <w:rPr>
          <w:rFonts w:ascii="宋体" w:hAnsi="宋体" w:cs="宋体"/>
          <w:color w:val="auto"/>
          <w:sz w:val="24"/>
          <w:szCs w:val="24"/>
          <w:highlight w:val="none"/>
        </w:rPr>
      </w:pPr>
    </w:p>
    <w:p w14:paraId="0B67E348">
      <w:pPr>
        <w:rPr>
          <w:rFonts w:ascii="宋体" w:hAnsi="宋体" w:cs="宋体"/>
          <w:color w:val="auto"/>
          <w:highlight w:val="none"/>
        </w:rPr>
      </w:pPr>
    </w:p>
    <w:p w14:paraId="7491B77C">
      <w:pPr>
        <w:wordWrap w:val="0"/>
        <w:spacing w:line="360" w:lineRule="auto"/>
        <w:jc w:val="left"/>
        <w:rPr>
          <w:rFonts w:ascii="宋体" w:hAnsi="宋体" w:cs="宋体"/>
          <w:color w:val="auto"/>
          <w:sz w:val="24"/>
          <w:szCs w:val="24"/>
          <w:highlight w:val="none"/>
        </w:rPr>
      </w:pPr>
    </w:p>
    <w:p w14:paraId="53D65C0B">
      <w:pPr>
        <w:wordWrap w:val="0"/>
        <w:spacing w:line="360" w:lineRule="auto"/>
        <w:ind w:firstLine="1405" w:firstLineChars="500"/>
        <w:rPr>
          <w:rFonts w:ascii="宋体" w:hAnsi="宋体" w:cs="宋体"/>
          <w:b/>
          <w:color w:val="auto"/>
          <w:sz w:val="28"/>
          <w:szCs w:val="28"/>
          <w:highlight w:val="none"/>
        </w:rPr>
      </w:pPr>
      <w:r>
        <w:rPr>
          <w:rFonts w:hint="eastAsia" w:ascii="宋体" w:hAnsi="宋体" w:cs="宋体"/>
          <w:b/>
          <w:color w:val="auto"/>
          <w:sz w:val="28"/>
          <w:szCs w:val="28"/>
          <w:highlight w:val="none"/>
        </w:rPr>
        <w:t>采 购 人：新疆应用职业技术学院</w:t>
      </w:r>
    </w:p>
    <w:p w14:paraId="4801EEE4">
      <w:pPr>
        <w:wordWrap w:val="0"/>
        <w:spacing w:line="360" w:lineRule="auto"/>
        <w:ind w:left="2801" w:leftChars="665" w:hanging="1405" w:hangingChars="500"/>
        <w:rPr>
          <w:rFonts w:hint="eastAsia" w:ascii="宋体" w:hAnsi="宋体" w:eastAsia="宋体" w:cs="宋体"/>
          <w:b/>
          <w:bCs/>
          <w:color w:val="auto"/>
          <w:sz w:val="28"/>
          <w:szCs w:val="28"/>
          <w:highlight w:val="none"/>
          <w:lang w:eastAsia="zh-CN"/>
        </w:rPr>
      </w:pPr>
      <w:r>
        <w:rPr>
          <w:rFonts w:hint="eastAsia" w:ascii="宋体" w:hAnsi="宋体" w:cs="宋体"/>
          <w:b/>
          <w:color w:val="auto"/>
          <w:sz w:val="28"/>
          <w:szCs w:val="28"/>
          <w:highlight w:val="none"/>
        </w:rPr>
        <w:t>采购内容：</w:t>
      </w:r>
      <w:r>
        <w:rPr>
          <w:rFonts w:hint="eastAsia" w:ascii="宋体" w:hAnsi="宋体" w:cs="宋体"/>
          <w:b/>
          <w:color w:val="auto"/>
          <w:sz w:val="28"/>
          <w:szCs w:val="28"/>
          <w:highlight w:val="none"/>
          <w:lang w:eastAsia="zh-CN"/>
        </w:rPr>
        <w:t>新图书馆智慧阅读设备采购</w:t>
      </w:r>
    </w:p>
    <w:p w14:paraId="06439F92">
      <w:pPr>
        <w:wordWrap w:val="0"/>
        <w:adjustRightInd w:val="0"/>
        <w:spacing w:line="360" w:lineRule="auto"/>
        <w:ind w:firstLine="1405" w:firstLineChars="500"/>
        <w:rPr>
          <w:rFonts w:hint="eastAsia" w:ascii="宋体" w:hAnsi="宋体" w:eastAsia="宋体" w:cs="宋体"/>
          <w:b/>
          <w:color w:val="auto"/>
          <w:sz w:val="28"/>
          <w:szCs w:val="28"/>
          <w:highlight w:val="none"/>
          <w:lang w:eastAsia="zh-CN"/>
        </w:rPr>
      </w:pPr>
      <w:r>
        <w:rPr>
          <w:rFonts w:hint="eastAsia" w:ascii="宋体" w:hAnsi="宋体" w:cs="宋体"/>
          <w:b/>
          <w:color w:val="auto"/>
          <w:sz w:val="28"/>
          <w:szCs w:val="28"/>
          <w:highlight w:val="none"/>
        </w:rPr>
        <w:t>项目编号：XJLW-2025-206</w:t>
      </w:r>
    </w:p>
    <w:p w14:paraId="70F252B5">
      <w:pPr>
        <w:pStyle w:val="6"/>
        <w:wordWrap w:val="0"/>
        <w:ind w:firstLine="0"/>
        <w:rPr>
          <w:rFonts w:ascii="宋体" w:hAnsi="宋体" w:cs="宋体"/>
          <w:color w:val="auto"/>
          <w:sz w:val="21"/>
          <w:szCs w:val="21"/>
          <w:highlight w:val="none"/>
        </w:rPr>
      </w:pPr>
    </w:p>
    <w:p w14:paraId="7AAFE262">
      <w:pPr>
        <w:wordWrap w:val="0"/>
        <w:spacing w:line="360" w:lineRule="auto"/>
        <w:jc w:val="center"/>
        <w:rPr>
          <w:rFonts w:hint="eastAsia" w:ascii="宋体" w:hAnsi="宋体" w:eastAsia="宋体" w:cs="宋体"/>
          <w:b/>
          <w:color w:val="auto"/>
          <w:sz w:val="28"/>
          <w:szCs w:val="28"/>
          <w:highlight w:val="none"/>
          <w:lang w:eastAsia="zh-CN"/>
        </w:rPr>
      </w:pPr>
      <w:r>
        <w:rPr>
          <w:rFonts w:hint="eastAsia" w:ascii="宋体" w:hAnsi="宋体" w:cs="宋体"/>
          <w:b/>
          <w:color w:val="auto"/>
          <w:sz w:val="28"/>
          <w:szCs w:val="28"/>
          <w:highlight w:val="none"/>
          <w:lang w:eastAsia="zh-CN"/>
        </w:rPr>
        <w:t>新疆新建联项目管理咨询有限公司</w:t>
      </w:r>
    </w:p>
    <w:p w14:paraId="0116548D">
      <w:pPr>
        <w:wordWrap w:val="0"/>
        <w:spacing w:line="360" w:lineRule="auto"/>
        <w:jc w:val="center"/>
        <w:rPr>
          <w:rFonts w:ascii="宋体" w:hAnsi="宋体" w:cs="宋体"/>
          <w:b/>
          <w:color w:val="auto"/>
          <w:sz w:val="28"/>
          <w:szCs w:val="28"/>
          <w:highlight w:val="none"/>
        </w:rPr>
      </w:pPr>
      <w:r>
        <w:rPr>
          <w:rFonts w:hint="eastAsia" w:ascii="宋体" w:hAnsi="宋体" w:cs="宋体"/>
          <w:b/>
          <w:color w:val="auto"/>
          <w:sz w:val="28"/>
          <w:szCs w:val="28"/>
          <w:highlight w:val="none"/>
        </w:rPr>
        <w:t>二〇二</w:t>
      </w:r>
      <w:r>
        <w:rPr>
          <w:rFonts w:hint="eastAsia" w:ascii="宋体" w:hAnsi="宋体" w:cs="宋体"/>
          <w:b/>
          <w:color w:val="auto"/>
          <w:sz w:val="28"/>
          <w:szCs w:val="28"/>
          <w:highlight w:val="none"/>
          <w:lang w:val="en-US" w:eastAsia="zh-CN"/>
        </w:rPr>
        <w:t>五</w:t>
      </w:r>
      <w:r>
        <w:rPr>
          <w:rFonts w:hint="eastAsia" w:ascii="宋体" w:hAnsi="宋体" w:cs="宋体"/>
          <w:b/>
          <w:color w:val="auto"/>
          <w:sz w:val="28"/>
          <w:szCs w:val="28"/>
          <w:highlight w:val="none"/>
        </w:rPr>
        <w:t>年</w:t>
      </w:r>
      <w:r>
        <w:rPr>
          <w:rFonts w:hint="eastAsia" w:ascii="宋体" w:hAnsi="宋体" w:cs="宋体"/>
          <w:b/>
          <w:color w:val="auto"/>
          <w:sz w:val="28"/>
          <w:szCs w:val="28"/>
          <w:highlight w:val="none"/>
          <w:lang w:val="en-US" w:eastAsia="zh-CN"/>
        </w:rPr>
        <w:t>六</w:t>
      </w:r>
      <w:r>
        <w:rPr>
          <w:rFonts w:hint="eastAsia" w:ascii="宋体" w:hAnsi="宋体" w:cs="宋体"/>
          <w:b/>
          <w:color w:val="auto"/>
          <w:sz w:val="28"/>
          <w:szCs w:val="28"/>
          <w:highlight w:val="none"/>
        </w:rPr>
        <w:t>月</w:t>
      </w:r>
    </w:p>
    <w:p w14:paraId="4A1C9A0D">
      <w:pPr>
        <w:pStyle w:val="139"/>
        <w:widowControl w:val="0"/>
        <w:wordWrap w:val="0"/>
        <w:spacing w:before="0" w:line="360" w:lineRule="auto"/>
        <w:jc w:val="center"/>
        <w:rPr>
          <w:rFonts w:ascii="宋体" w:hAnsi="宋体" w:cs="宋体"/>
          <w:color w:val="auto"/>
          <w:sz w:val="44"/>
          <w:szCs w:val="44"/>
          <w:highlight w:val="none"/>
          <w:lang w:val="zh-CN"/>
        </w:rPr>
      </w:pPr>
      <w:r>
        <w:rPr>
          <w:rFonts w:hint="eastAsia" w:ascii="宋体" w:hAnsi="宋体" w:cs="宋体"/>
          <w:color w:val="auto"/>
          <w:sz w:val="36"/>
          <w:szCs w:val="36"/>
          <w:highlight w:val="none"/>
          <w:lang w:val="zh-CN"/>
        </w:rPr>
        <w:br w:type="page"/>
      </w:r>
      <w:bookmarkStart w:id="0" w:name="_Toc2113"/>
      <w:r>
        <w:rPr>
          <w:rFonts w:hint="eastAsia" w:ascii="宋体" w:hAnsi="宋体" w:cs="宋体"/>
          <w:color w:val="auto"/>
          <w:sz w:val="44"/>
          <w:szCs w:val="44"/>
          <w:highlight w:val="none"/>
          <w:lang w:val="zh-CN"/>
        </w:rPr>
        <w:t>目  录</w:t>
      </w:r>
      <w:bookmarkEnd w:id="0"/>
    </w:p>
    <w:p w14:paraId="1D11415A">
      <w:pPr>
        <w:pStyle w:val="30"/>
        <w:tabs>
          <w:tab w:val="clear" w:pos="9016"/>
        </w:tabs>
        <w:wordWrap w:val="0"/>
        <w:spacing w:line="360" w:lineRule="auto"/>
        <w:rPr>
          <w:rFonts w:cs="宋体"/>
          <w:color w:val="auto"/>
          <w:sz w:val="24"/>
          <w:szCs w:val="24"/>
          <w:highlight w:val="none"/>
        </w:rPr>
      </w:pPr>
      <w:r>
        <w:rPr>
          <w:rFonts w:hint="eastAsia" w:cs="宋体"/>
          <w:color w:val="auto"/>
          <w:sz w:val="24"/>
          <w:szCs w:val="24"/>
          <w:highlight w:val="none"/>
        </w:rPr>
        <w:fldChar w:fldCharType="begin"/>
      </w:r>
      <w:r>
        <w:rPr>
          <w:rFonts w:hint="eastAsia" w:cs="宋体"/>
          <w:color w:val="auto"/>
          <w:sz w:val="24"/>
          <w:szCs w:val="24"/>
          <w:highlight w:val="none"/>
        </w:rPr>
        <w:instrText xml:space="preserve"> TOC \o "1-3" \h \z \u </w:instrText>
      </w:r>
      <w:r>
        <w:rPr>
          <w:rFonts w:hint="eastAsia" w:cs="宋体"/>
          <w:color w:val="auto"/>
          <w:sz w:val="24"/>
          <w:szCs w:val="24"/>
          <w:highlight w:val="none"/>
        </w:rPr>
        <w:fldChar w:fldCharType="separate"/>
      </w:r>
    </w:p>
    <w:p w14:paraId="5F426833">
      <w:pPr>
        <w:pStyle w:val="123"/>
        <w:widowControl w:val="0"/>
        <w:tabs>
          <w:tab w:val="right" w:leader="dot" w:pos="8504"/>
        </w:tabs>
        <w:wordWrap w:val="0"/>
        <w:rPr>
          <w:rFonts w:ascii="宋体" w:hAnsi="宋体" w:cs="宋体"/>
          <w:color w:val="auto"/>
          <w:highlight w:val="none"/>
        </w:rPr>
      </w:pPr>
      <w:r>
        <w:rPr>
          <w:rFonts w:hint="eastAsia" w:ascii="宋体" w:hAnsi="宋体" w:cs="宋体"/>
          <w:color w:val="auto"/>
          <w:highlight w:val="none"/>
        </w:rPr>
        <w:fldChar w:fldCharType="begin"/>
      </w:r>
      <w:r>
        <w:rPr>
          <w:rFonts w:hint="eastAsia" w:ascii="宋体" w:hAnsi="宋体" w:cs="宋体"/>
          <w:color w:val="auto"/>
          <w:highlight w:val="none"/>
        </w:rPr>
        <w:instrText xml:space="preserve">TOC \o "1-1" \h \u </w:instrText>
      </w:r>
      <w:r>
        <w:rPr>
          <w:rFonts w:hint="eastAsia" w:ascii="宋体" w:hAnsi="宋体" w:cs="宋体"/>
          <w:color w:val="auto"/>
          <w:highlight w:val="none"/>
        </w:rPr>
        <w:fldChar w:fldCharType="separate"/>
      </w:r>
    </w:p>
    <w:p w14:paraId="5EA40D35">
      <w:pPr>
        <w:pStyle w:val="123"/>
        <w:widowControl w:val="0"/>
        <w:tabs>
          <w:tab w:val="right" w:leader="dot" w:pos="8504"/>
        </w:tabs>
        <w:wordWrap w:val="0"/>
        <w:spacing w:line="480" w:lineRule="auto"/>
        <w:rPr>
          <w:rFonts w:ascii="宋体" w:hAnsi="宋体" w:cs="宋体"/>
          <w:color w:val="auto"/>
          <w:sz w:val="24"/>
          <w:szCs w:val="24"/>
          <w:highlight w:val="none"/>
        </w:rPr>
      </w:pPr>
      <w:r>
        <w:rPr>
          <w:color w:val="auto"/>
          <w:highlight w:val="none"/>
        </w:rPr>
        <w:fldChar w:fldCharType="begin"/>
      </w:r>
      <w:r>
        <w:rPr>
          <w:color w:val="auto"/>
          <w:highlight w:val="none"/>
        </w:rPr>
        <w:instrText xml:space="preserve"> HYPERLINK \l "_Toc7745" </w:instrText>
      </w:r>
      <w:r>
        <w:rPr>
          <w:color w:val="auto"/>
          <w:highlight w:val="none"/>
        </w:rPr>
        <w:fldChar w:fldCharType="separate"/>
      </w:r>
      <w:r>
        <w:rPr>
          <w:rFonts w:hint="eastAsia" w:ascii="宋体" w:hAnsi="宋体" w:cs="宋体"/>
          <w:color w:val="auto"/>
          <w:sz w:val="24"/>
          <w:szCs w:val="24"/>
          <w:highlight w:val="none"/>
        </w:rPr>
        <w:t>第一章  招标公告</w:t>
      </w:r>
      <w:r>
        <w:rPr>
          <w:rFonts w:hint="eastAsia" w:ascii="宋体" w:hAnsi="宋体" w:cs="宋体"/>
          <w:color w:val="auto"/>
          <w:sz w:val="24"/>
          <w:szCs w:val="24"/>
          <w:highlight w:val="none"/>
        </w:rPr>
        <w:tab/>
      </w: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PAGEREF _Toc7745 \h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1</w:t>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rPr>
        <w:fldChar w:fldCharType="end"/>
      </w:r>
    </w:p>
    <w:p w14:paraId="2A4D78AD">
      <w:pPr>
        <w:pStyle w:val="123"/>
        <w:widowControl w:val="0"/>
        <w:tabs>
          <w:tab w:val="right" w:leader="dot" w:pos="8504"/>
        </w:tabs>
        <w:wordWrap w:val="0"/>
        <w:spacing w:line="480" w:lineRule="auto"/>
        <w:rPr>
          <w:rFonts w:hint="eastAsia" w:ascii="宋体" w:hAnsi="宋体" w:eastAsia="宋体" w:cs="宋体"/>
          <w:color w:val="auto"/>
          <w:sz w:val="24"/>
          <w:szCs w:val="24"/>
          <w:highlight w:val="none"/>
          <w:lang w:val="en-US" w:eastAsia="zh-CN"/>
        </w:rPr>
      </w:pPr>
      <w:r>
        <w:rPr>
          <w:color w:val="auto"/>
          <w:highlight w:val="none"/>
        </w:rPr>
        <w:fldChar w:fldCharType="begin"/>
      </w:r>
      <w:r>
        <w:rPr>
          <w:color w:val="auto"/>
          <w:highlight w:val="none"/>
        </w:rPr>
        <w:instrText xml:space="preserve"> HYPERLINK \l "_Toc19268" </w:instrText>
      </w:r>
      <w:r>
        <w:rPr>
          <w:color w:val="auto"/>
          <w:highlight w:val="none"/>
        </w:rPr>
        <w:fldChar w:fldCharType="separate"/>
      </w:r>
      <w:r>
        <w:rPr>
          <w:rFonts w:hint="eastAsia" w:ascii="宋体" w:hAnsi="宋体" w:cs="宋体"/>
          <w:color w:val="auto"/>
          <w:sz w:val="24"/>
          <w:szCs w:val="24"/>
          <w:highlight w:val="none"/>
        </w:rPr>
        <w:t>第二章  投标须知</w:t>
      </w:r>
      <w:r>
        <w:rPr>
          <w:rFonts w:hint="eastAsia" w:ascii="宋体" w:hAnsi="宋体" w:cs="宋体"/>
          <w:color w:val="auto"/>
          <w:sz w:val="24"/>
          <w:szCs w:val="24"/>
          <w:highlight w:val="none"/>
        </w:rPr>
        <w:tab/>
      </w:r>
      <w:r>
        <w:rPr>
          <w:rFonts w:hint="eastAsia" w:ascii="宋体" w:hAnsi="宋体" w:cs="宋体"/>
          <w:color w:val="auto"/>
          <w:sz w:val="24"/>
          <w:szCs w:val="24"/>
          <w:highlight w:val="none"/>
          <w:lang w:val="en-US" w:eastAsia="zh-CN"/>
        </w:rPr>
        <w:t>2</w:t>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lang w:val="en-US" w:eastAsia="zh-CN"/>
        </w:rPr>
        <w:t>2</w:t>
      </w:r>
    </w:p>
    <w:p w14:paraId="27E9589C">
      <w:pPr>
        <w:pStyle w:val="123"/>
        <w:widowControl w:val="0"/>
        <w:tabs>
          <w:tab w:val="right" w:leader="dot" w:pos="8504"/>
        </w:tabs>
        <w:wordWrap w:val="0"/>
        <w:spacing w:line="480" w:lineRule="auto"/>
        <w:rPr>
          <w:rFonts w:ascii="宋体" w:hAnsi="宋体" w:cs="宋体"/>
          <w:color w:val="auto"/>
          <w:sz w:val="24"/>
          <w:szCs w:val="24"/>
          <w:highlight w:val="none"/>
        </w:rPr>
      </w:pPr>
      <w:r>
        <w:rPr>
          <w:color w:val="auto"/>
          <w:highlight w:val="none"/>
        </w:rPr>
        <w:fldChar w:fldCharType="begin"/>
      </w:r>
      <w:r>
        <w:rPr>
          <w:color w:val="auto"/>
          <w:highlight w:val="none"/>
        </w:rPr>
        <w:instrText xml:space="preserve"> HYPERLINK \l "_Toc1210" </w:instrText>
      </w:r>
      <w:r>
        <w:rPr>
          <w:color w:val="auto"/>
          <w:highlight w:val="none"/>
        </w:rPr>
        <w:fldChar w:fldCharType="separate"/>
      </w:r>
      <w:r>
        <w:rPr>
          <w:rFonts w:hint="eastAsia" w:ascii="宋体" w:hAnsi="宋体" w:cs="宋体"/>
          <w:color w:val="auto"/>
          <w:sz w:val="24"/>
          <w:szCs w:val="24"/>
          <w:highlight w:val="none"/>
        </w:rPr>
        <w:t>第三章  评标方法及标准</w:t>
      </w:r>
      <w:r>
        <w:rPr>
          <w:rFonts w:hint="eastAsia" w:ascii="宋体" w:hAnsi="宋体" w:cs="宋体"/>
          <w:color w:val="auto"/>
          <w:sz w:val="24"/>
          <w:szCs w:val="24"/>
          <w:highlight w:val="none"/>
        </w:rPr>
        <w:tab/>
      </w: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PAGEREF _Toc1210 \h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52</w:t>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rPr>
        <w:fldChar w:fldCharType="end"/>
      </w:r>
    </w:p>
    <w:p w14:paraId="15F0A523">
      <w:pPr>
        <w:pStyle w:val="123"/>
        <w:widowControl w:val="0"/>
        <w:tabs>
          <w:tab w:val="right" w:leader="dot" w:pos="8504"/>
        </w:tabs>
        <w:wordWrap w:val="0"/>
        <w:spacing w:line="480" w:lineRule="auto"/>
        <w:rPr>
          <w:rFonts w:hint="eastAsia" w:ascii="宋体" w:hAnsi="宋体" w:eastAsia="宋体" w:cs="宋体"/>
          <w:color w:val="auto"/>
          <w:sz w:val="24"/>
          <w:szCs w:val="24"/>
          <w:highlight w:val="none"/>
          <w:lang w:eastAsia="zh-CN"/>
        </w:rPr>
      </w:pPr>
      <w:r>
        <w:rPr>
          <w:color w:val="auto"/>
          <w:highlight w:val="none"/>
        </w:rPr>
        <w:fldChar w:fldCharType="begin"/>
      </w:r>
      <w:r>
        <w:rPr>
          <w:color w:val="auto"/>
          <w:highlight w:val="none"/>
        </w:rPr>
        <w:instrText xml:space="preserve"> HYPERLINK \l "_Toc14265" </w:instrText>
      </w:r>
      <w:r>
        <w:rPr>
          <w:color w:val="auto"/>
          <w:highlight w:val="none"/>
        </w:rPr>
        <w:fldChar w:fldCharType="separate"/>
      </w:r>
      <w:r>
        <w:rPr>
          <w:rFonts w:hint="eastAsia" w:ascii="宋体" w:hAnsi="宋体" w:cs="宋体"/>
          <w:color w:val="auto"/>
          <w:sz w:val="24"/>
          <w:szCs w:val="24"/>
          <w:highlight w:val="none"/>
        </w:rPr>
        <w:t>第四章  采购合同主要条款</w:t>
      </w:r>
      <w:r>
        <w:rPr>
          <w:rFonts w:hint="eastAsia" w:ascii="宋体" w:hAnsi="宋体" w:cs="宋体"/>
          <w:color w:val="auto"/>
          <w:sz w:val="24"/>
          <w:szCs w:val="24"/>
          <w:highlight w:val="none"/>
        </w:rPr>
        <w:tab/>
      </w:r>
      <w:r>
        <w:rPr>
          <w:rFonts w:hint="eastAsia" w:ascii="宋体" w:hAnsi="宋体" w:cs="宋体"/>
          <w:color w:val="auto"/>
          <w:sz w:val="24"/>
          <w:szCs w:val="24"/>
          <w:highlight w:val="none"/>
          <w:lang w:val="en-US" w:eastAsia="zh-CN"/>
        </w:rPr>
        <w:t>6</w:t>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lang w:val="en-US" w:eastAsia="zh-CN"/>
        </w:rPr>
        <w:t>7</w:t>
      </w:r>
    </w:p>
    <w:p w14:paraId="696A1DCC">
      <w:pPr>
        <w:pStyle w:val="123"/>
        <w:widowControl w:val="0"/>
        <w:tabs>
          <w:tab w:val="right" w:leader="dot" w:pos="8504"/>
        </w:tabs>
        <w:wordWrap w:val="0"/>
        <w:spacing w:line="480" w:lineRule="auto"/>
        <w:rPr>
          <w:rFonts w:hint="eastAsia" w:ascii="宋体" w:hAnsi="宋体" w:eastAsia="宋体" w:cs="宋体"/>
          <w:color w:val="auto"/>
          <w:sz w:val="24"/>
          <w:szCs w:val="24"/>
          <w:highlight w:val="none"/>
          <w:lang w:eastAsia="zh-CN"/>
        </w:rPr>
      </w:pPr>
      <w:r>
        <w:rPr>
          <w:color w:val="auto"/>
          <w:highlight w:val="none"/>
        </w:rPr>
        <w:fldChar w:fldCharType="begin"/>
      </w:r>
      <w:r>
        <w:rPr>
          <w:color w:val="auto"/>
          <w:highlight w:val="none"/>
        </w:rPr>
        <w:instrText xml:space="preserve"> HYPERLINK \l "_Toc12867" </w:instrText>
      </w:r>
      <w:r>
        <w:rPr>
          <w:color w:val="auto"/>
          <w:highlight w:val="none"/>
        </w:rPr>
        <w:fldChar w:fldCharType="separate"/>
      </w:r>
      <w:r>
        <w:rPr>
          <w:rFonts w:hint="eastAsia" w:ascii="宋体" w:hAnsi="宋体" w:cs="宋体"/>
          <w:color w:val="auto"/>
          <w:sz w:val="24"/>
          <w:szCs w:val="24"/>
          <w:highlight w:val="none"/>
        </w:rPr>
        <w:t>第五章  采购需求</w:t>
      </w:r>
      <w:r>
        <w:rPr>
          <w:rFonts w:hint="eastAsia" w:ascii="宋体" w:hAnsi="宋体" w:cs="宋体"/>
          <w:color w:val="auto"/>
          <w:sz w:val="24"/>
          <w:szCs w:val="24"/>
          <w:highlight w:val="none"/>
        </w:rPr>
        <w:tab/>
      </w:r>
      <w:r>
        <w:rPr>
          <w:rFonts w:hint="eastAsia" w:ascii="宋体" w:hAnsi="宋体" w:cs="宋体"/>
          <w:color w:val="auto"/>
          <w:sz w:val="24"/>
          <w:szCs w:val="24"/>
          <w:highlight w:val="none"/>
          <w:lang w:val="en-US" w:eastAsia="zh-CN"/>
        </w:rPr>
        <w:t>7</w:t>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lang w:val="en-US" w:eastAsia="zh-CN"/>
        </w:rPr>
        <w:t>8</w:t>
      </w:r>
    </w:p>
    <w:p w14:paraId="1567FBD5">
      <w:pPr>
        <w:pStyle w:val="123"/>
        <w:widowControl w:val="0"/>
        <w:tabs>
          <w:tab w:val="right" w:leader="dot" w:pos="8504"/>
        </w:tabs>
        <w:wordWrap w:val="0"/>
        <w:spacing w:line="480" w:lineRule="auto"/>
        <w:rPr>
          <w:rFonts w:hint="eastAsia" w:ascii="宋体" w:hAnsi="宋体" w:eastAsia="宋体" w:cs="宋体"/>
          <w:color w:val="auto"/>
          <w:sz w:val="24"/>
          <w:szCs w:val="24"/>
          <w:highlight w:val="none"/>
          <w:lang w:eastAsia="zh-CN"/>
        </w:rPr>
      </w:pPr>
      <w:r>
        <w:rPr>
          <w:color w:val="auto"/>
          <w:highlight w:val="none"/>
        </w:rPr>
        <w:fldChar w:fldCharType="begin"/>
      </w:r>
      <w:r>
        <w:rPr>
          <w:color w:val="auto"/>
          <w:highlight w:val="none"/>
        </w:rPr>
        <w:instrText xml:space="preserve"> HYPERLINK \l "_Toc12680" </w:instrText>
      </w:r>
      <w:r>
        <w:rPr>
          <w:color w:val="auto"/>
          <w:highlight w:val="none"/>
        </w:rPr>
        <w:fldChar w:fldCharType="separate"/>
      </w:r>
      <w:r>
        <w:rPr>
          <w:rFonts w:hint="eastAsia" w:ascii="宋体" w:hAnsi="宋体" w:cs="宋体"/>
          <w:color w:val="auto"/>
          <w:sz w:val="24"/>
          <w:szCs w:val="24"/>
          <w:highlight w:val="none"/>
        </w:rPr>
        <w:t>第六章  投标文件格式</w:t>
      </w:r>
      <w:r>
        <w:rPr>
          <w:rFonts w:hint="eastAsia" w:ascii="宋体" w:hAnsi="宋体" w:cs="宋体"/>
          <w:color w:val="auto"/>
          <w:sz w:val="24"/>
          <w:szCs w:val="24"/>
          <w:highlight w:val="none"/>
        </w:rPr>
        <w:tab/>
      </w:r>
      <w:r>
        <w:rPr>
          <w:rFonts w:hint="eastAsia" w:ascii="宋体" w:hAnsi="宋体" w:cs="宋体"/>
          <w:color w:val="auto"/>
          <w:sz w:val="24"/>
          <w:szCs w:val="24"/>
          <w:highlight w:val="none"/>
          <w:lang w:val="en-US" w:eastAsia="zh-CN"/>
        </w:rPr>
        <w:t>1</w:t>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lang w:val="en-US" w:eastAsia="zh-CN"/>
        </w:rPr>
        <w:t>08</w:t>
      </w:r>
    </w:p>
    <w:p w14:paraId="756225D2">
      <w:pPr>
        <w:wordWrap w:val="0"/>
        <w:rPr>
          <w:rFonts w:ascii="宋体" w:hAnsi="宋体" w:cs="宋体"/>
          <w:color w:val="auto"/>
          <w:highlight w:val="none"/>
        </w:rPr>
      </w:pPr>
      <w:r>
        <w:rPr>
          <w:rFonts w:hint="eastAsia" w:ascii="宋体" w:hAnsi="宋体" w:cs="宋体"/>
          <w:color w:val="auto"/>
          <w:highlight w:val="none"/>
        </w:rPr>
        <w:fldChar w:fldCharType="end"/>
      </w:r>
    </w:p>
    <w:p w14:paraId="20972050">
      <w:pPr>
        <w:tabs>
          <w:tab w:val="right" w:leader="dot" w:pos="8789"/>
        </w:tabs>
        <w:wordWrap w:val="0"/>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fldChar w:fldCharType="end"/>
      </w:r>
    </w:p>
    <w:p w14:paraId="4FF298E2">
      <w:pPr>
        <w:pStyle w:val="89"/>
        <w:wordWrap w:val="0"/>
        <w:spacing w:line="360" w:lineRule="auto"/>
        <w:jc w:val="center"/>
        <w:rPr>
          <w:rFonts w:ascii="宋体" w:hAnsi="宋体" w:cs="宋体"/>
          <w:b/>
          <w:color w:val="auto"/>
          <w:highlight w:val="none"/>
        </w:rPr>
      </w:pPr>
    </w:p>
    <w:p w14:paraId="276DB26B">
      <w:pPr>
        <w:pStyle w:val="89"/>
        <w:wordWrap w:val="0"/>
        <w:spacing w:line="36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br w:type="page"/>
      </w:r>
    </w:p>
    <w:p w14:paraId="62A9BB6C">
      <w:pPr>
        <w:pStyle w:val="89"/>
        <w:wordWrap w:val="0"/>
        <w:spacing w:line="360" w:lineRule="auto"/>
        <w:jc w:val="center"/>
        <w:outlineLvl w:val="0"/>
        <w:rPr>
          <w:rFonts w:ascii="宋体" w:hAnsi="宋体" w:cs="宋体"/>
          <w:b/>
          <w:color w:val="auto"/>
          <w:sz w:val="36"/>
          <w:szCs w:val="36"/>
          <w:highlight w:val="none"/>
        </w:rPr>
      </w:pPr>
      <w:bookmarkStart w:id="1" w:name="_Toc30757"/>
      <w:r>
        <w:rPr>
          <w:rFonts w:hint="eastAsia" w:ascii="宋体" w:hAnsi="宋体" w:cs="宋体"/>
          <w:b/>
          <w:color w:val="auto"/>
          <w:sz w:val="36"/>
          <w:szCs w:val="36"/>
          <w:highlight w:val="none"/>
        </w:rPr>
        <w:t>特 别 提 示</w:t>
      </w:r>
      <w:bookmarkEnd w:id="1"/>
    </w:p>
    <w:p w14:paraId="764898BE">
      <w:pPr>
        <w:pStyle w:val="89"/>
        <w:wordWrap w:val="0"/>
        <w:spacing w:line="360" w:lineRule="auto"/>
        <w:jc w:val="center"/>
        <w:rPr>
          <w:rFonts w:ascii="宋体" w:hAnsi="宋体" w:cs="宋体"/>
          <w:b/>
          <w:color w:val="auto"/>
          <w:sz w:val="36"/>
          <w:szCs w:val="36"/>
          <w:highlight w:val="none"/>
        </w:rPr>
      </w:pPr>
    </w:p>
    <w:p w14:paraId="77F63FFD">
      <w:pPr>
        <w:pStyle w:val="89"/>
        <w:wordWrap w:val="0"/>
        <w:spacing w:line="360" w:lineRule="auto"/>
        <w:rPr>
          <w:rFonts w:ascii="宋体" w:hAnsi="宋体" w:cs="宋体"/>
          <w:b/>
          <w:color w:val="auto"/>
          <w:highlight w:val="none"/>
        </w:rPr>
      </w:pPr>
      <w:r>
        <w:rPr>
          <w:rFonts w:hint="eastAsia" w:ascii="宋体" w:hAnsi="宋体" w:cs="宋体"/>
          <w:b/>
          <w:color w:val="auto"/>
          <w:highlight w:val="none"/>
        </w:rPr>
        <w:t>各投标人：</w:t>
      </w:r>
    </w:p>
    <w:p w14:paraId="349102DD">
      <w:pPr>
        <w:pStyle w:val="89"/>
        <w:wordWrap w:val="0"/>
        <w:spacing w:line="360" w:lineRule="auto"/>
        <w:ind w:firstLine="482" w:firstLineChars="200"/>
        <w:rPr>
          <w:rFonts w:ascii="宋体" w:hAnsi="宋体" w:cs="宋体"/>
          <w:b/>
          <w:color w:val="auto"/>
          <w:highlight w:val="none"/>
        </w:rPr>
      </w:pPr>
      <w:r>
        <w:rPr>
          <w:rFonts w:hint="eastAsia" w:ascii="宋体" w:hAnsi="宋体" w:cs="宋体"/>
          <w:b/>
          <w:color w:val="auto"/>
          <w:highlight w:val="none"/>
        </w:rPr>
        <w:t>在参与本次招标项目投标时，请按招标文件中规定的可能导致无效投标、废标要求或黑体字、加注“▲”“</w:t>
      </w:r>
      <w:r>
        <w:rPr>
          <w:rFonts w:hint="eastAsia" w:ascii="宋体" w:hAnsi="宋体" w:cs="宋体"/>
          <w:b/>
          <w:bCs/>
          <w:color w:val="auto"/>
          <w:sz w:val="36"/>
          <w:szCs w:val="36"/>
          <w:highlight w:val="none"/>
        </w:rPr>
        <w:t>*</w:t>
      </w:r>
      <w:r>
        <w:rPr>
          <w:rFonts w:hint="eastAsia" w:ascii="宋体" w:hAnsi="宋体" w:cs="宋体"/>
          <w:b/>
          <w:color w:val="auto"/>
          <w:highlight w:val="none"/>
        </w:rPr>
        <w:t>”“★”符号的内容应符合要求或响应，若不符合要求或不响应将导致的后果由投标人自行承担。</w:t>
      </w:r>
    </w:p>
    <w:p w14:paraId="39867BF7">
      <w:pPr>
        <w:pStyle w:val="89"/>
        <w:wordWrap w:val="0"/>
        <w:spacing w:line="360" w:lineRule="auto"/>
        <w:rPr>
          <w:rFonts w:ascii="宋体" w:hAnsi="宋体" w:cs="宋体"/>
          <w:b/>
          <w:color w:val="auto"/>
          <w:highlight w:val="none"/>
        </w:rPr>
      </w:pPr>
    </w:p>
    <w:p w14:paraId="38F4D2E8">
      <w:pPr>
        <w:pStyle w:val="89"/>
        <w:wordWrap w:val="0"/>
        <w:spacing w:line="360" w:lineRule="auto"/>
        <w:rPr>
          <w:rFonts w:ascii="宋体" w:hAnsi="宋体" w:cs="宋体"/>
          <w:b/>
          <w:color w:val="auto"/>
          <w:highlight w:val="none"/>
        </w:rPr>
        <w:sectPr>
          <w:headerReference r:id="rId3" w:type="default"/>
          <w:type w:val="continuous"/>
          <w:pgSz w:w="11906" w:h="16838"/>
          <w:pgMar w:top="1417" w:right="1701" w:bottom="1417" w:left="1701" w:header="851" w:footer="992" w:gutter="0"/>
          <w:pgNumType w:start="1"/>
          <w:cols w:space="720" w:num="1"/>
          <w:docGrid w:type="lines" w:linePitch="312" w:charSpace="0"/>
        </w:sectPr>
      </w:pPr>
    </w:p>
    <w:p w14:paraId="4A73F10D">
      <w:pPr>
        <w:pStyle w:val="37"/>
        <w:wordWrap w:val="0"/>
        <w:spacing w:before="0" w:after="0" w:line="360" w:lineRule="auto"/>
        <w:rPr>
          <w:rFonts w:ascii="宋体" w:hAnsi="宋体" w:cs="宋体"/>
          <w:color w:val="auto"/>
          <w:highlight w:val="none"/>
        </w:rPr>
      </w:pPr>
      <w:bookmarkStart w:id="2" w:name="_Toc7745"/>
      <w:bookmarkStart w:id="3" w:name="_Toc529282252"/>
      <w:r>
        <w:rPr>
          <w:rFonts w:hint="eastAsia" w:ascii="宋体" w:hAnsi="宋体" w:cs="宋体"/>
          <w:color w:val="auto"/>
          <w:sz w:val="36"/>
          <w:szCs w:val="36"/>
          <w:highlight w:val="none"/>
        </w:rPr>
        <w:t>第一章  招标公告</w:t>
      </w:r>
      <w:bookmarkEnd w:id="2"/>
      <w:bookmarkEnd w:id="3"/>
    </w:p>
    <w:p w14:paraId="3416C2B1">
      <w:pPr>
        <w:pStyle w:val="36"/>
        <w:widowControl w:val="0"/>
        <w:wordWrap w:val="0"/>
        <w:spacing w:line="360" w:lineRule="auto"/>
        <w:jc w:val="both"/>
        <w:rPr>
          <w:color w:val="auto"/>
          <w:highlight w:val="none"/>
        </w:rPr>
      </w:pPr>
    </w:p>
    <w:tbl>
      <w:tblPr>
        <w:tblStyle w:val="40"/>
        <w:tblW w:w="894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946"/>
      </w:tblGrid>
      <w:tr w14:paraId="2EFC64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946" w:type="dxa"/>
          </w:tcPr>
          <w:p w14:paraId="3736801C">
            <w:pPr>
              <w:wordWrap w:val="0"/>
              <w:spacing w:line="360" w:lineRule="auto"/>
              <w:rPr>
                <w:rFonts w:ascii="宋体" w:hAnsi="宋体" w:cs="宋体"/>
                <w:color w:val="auto"/>
                <w:kern w:val="0"/>
                <w:szCs w:val="21"/>
                <w:highlight w:val="none"/>
              </w:rPr>
            </w:pPr>
            <w:r>
              <w:rPr>
                <w:rFonts w:hint="eastAsia" w:ascii="宋体" w:hAnsi="宋体" w:cs="宋体"/>
                <w:b/>
                <w:color w:val="auto"/>
                <w:kern w:val="0"/>
                <w:szCs w:val="21"/>
                <w:highlight w:val="none"/>
              </w:rPr>
              <w:t>项目概况</w:t>
            </w:r>
          </w:p>
          <w:p w14:paraId="46D65339">
            <w:pPr>
              <w:wordWrap w:val="0"/>
              <w:spacing w:line="360" w:lineRule="auto"/>
              <w:ind w:firstLine="630" w:firstLineChars="300"/>
              <w:jc w:val="left"/>
              <w:rPr>
                <w:rFonts w:ascii="宋体" w:hAnsi="宋体" w:cs="宋体"/>
                <w:color w:val="auto"/>
                <w:kern w:val="0"/>
                <w:szCs w:val="21"/>
                <w:highlight w:val="none"/>
              </w:rPr>
            </w:pPr>
            <w:r>
              <w:rPr>
                <w:rFonts w:hint="eastAsia" w:ascii="宋体" w:hAnsi="宋体" w:cs="宋体"/>
                <w:color w:val="auto"/>
                <w:kern w:val="0"/>
                <w:szCs w:val="21"/>
                <w:highlight w:val="none"/>
                <w:lang w:eastAsia="zh-CN"/>
              </w:rPr>
              <w:t>新疆应用职业技术学院新图书馆智慧阅读设备采购项目</w:t>
            </w:r>
            <w:r>
              <w:rPr>
                <w:rFonts w:hint="eastAsia" w:ascii="宋体" w:hAnsi="宋体" w:cs="宋体"/>
                <w:color w:val="auto"/>
                <w:kern w:val="0"/>
                <w:szCs w:val="21"/>
                <w:highlight w:val="none"/>
              </w:rPr>
              <w:t>的潜在投标人应在政采云平台线上获取招标文件，并于202</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年</w:t>
            </w:r>
            <w:r>
              <w:rPr>
                <w:rFonts w:hint="eastAsia" w:ascii="宋体" w:hAnsi="宋体" w:cs="宋体"/>
                <w:color w:val="auto"/>
                <w:kern w:val="0"/>
                <w:szCs w:val="21"/>
                <w:highlight w:val="none"/>
                <w:lang w:val="en-US" w:eastAsia="zh-CN"/>
              </w:rPr>
              <w:t xml:space="preserve"> 7 </w:t>
            </w:r>
            <w:r>
              <w:rPr>
                <w:rFonts w:hint="eastAsia" w:ascii="宋体" w:hAnsi="宋体" w:cs="宋体"/>
                <w:color w:val="auto"/>
                <w:kern w:val="0"/>
                <w:szCs w:val="21"/>
                <w:highlight w:val="none"/>
              </w:rPr>
              <w:t>月</w:t>
            </w:r>
            <w:r>
              <w:rPr>
                <w:rFonts w:hint="eastAsia" w:ascii="宋体" w:hAnsi="宋体" w:cs="宋体"/>
                <w:color w:val="auto"/>
                <w:kern w:val="0"/>
                <w:szCs w:val="21"/>
                <w:highlight w:val="none"/>
                <w:lang w:val="en-US" w:eastAsia="zh-CN"/>
              </w:rPr>
              <w:t xml:space="preserve"> 18 </w:t>
            </w:r>
            <w:r>
              <w:rPr>
                <w:rFonts w:hint="eastAsia" w:ascii="宋体" w:hAnsi="宋体" w:cs="宋体"/>
                <w:color w:val="auto"/>
                <w:kern w:val="0"/>
                <w:szCs w:val="21"/>
                <w:highlight w:val="none"/>
              </w:rPr>
              <w:t>日1</w:t>
            </w:r>
            <w:r>
              <w:rPr>
                <w:rFonts w:hint="eastAsia" w:ascii="宋体" w:hAnsi="宋体" w:cs="宋体"/>
                <w:color w:val="auto"/>
                <w:kern w:val="0"/>
                <w:szCs w:val="21"/>
                <w:highlight w:val="none"/>
                <w:lang w:val="en-US" w:eastAsia="zh-CN"/>
              </w:rPr>
              <w:t>1</w:t>
            </w:r>
            <w:r>
              <w:rPr>
                <w:rFonts w:hint="eastAsia" w:ascii="宋体" w:hAnsi="宋体" w:cs="宋体"/>
                <w:color w:val="auto"/>
                <w:kern w:val="0"/>
                <w:szCs w:val="21"/>
                <w:highlight w:val="none"/>
              </w:rPr>
              <w:t>:</w:t>
            </w:r>
            <w:r>
              <w:rPr>
                <w:rFonts w:hint="eastAsia" w:ascii="宋体" w:hAnsi="宋体" w:cs="宋体"/>
                <w:color w:val="auto"/>
                <w:kern w:val="0"/>
                <w:szCs w:val="21"/>
                <w:highlight w:val="none"/>
                <w:lang w:val="en-US" w:eastAsia="zh-CN"/>
              </w:rPr>
              <w:t>0</w:t>
            </w:r>
            <w:r>
              <w:rPr>
                <w:rFonts w:hint="eastAsia" w:ascii="宋体" w:hAnsi="宋体" w:cs="宋体"/>
                <w:color w:val="auto"/>
                <w:kern w:val="0"/>
                <w:szCs w:val="21"/>
                <w:highlight w:val="none"/>
              </w:rPr>
              <w:t>0（北京时间）前递交投标文件。</w:t>
            </w:r>
          </w:p>
        </w:tc>
      </w:tr>
    </w:tbl>
    <w:p w14:paraId="6AEC4113">
      <w:pPr>
        <w:wordWrap w:val="0"/>
        <w:spacing w:line="360" w:lineRule="auto"/>
        <w:ind w:firstLine="482" w:firstLineChars="200"/>
        <w:rPr>
          <w:rFonts w:ascii="宋体" w:hAnsi="宋体" w:cs="宋体"/>
          <w:b/>
          <w:color w:val="auto"/>
          <w:kern w:val="0"/>
          <w:sz w:val="24"/>
          <w:szCs w:val="24"/>
          <w:highlight w:val="none"/>
        </w:rPr>
      </w:pPr>
    </w:p>
    <w:p w14:paraId="03549DA8">
      <w:pPr>
        <w:wordWrap w:val="0"/>
        <w:spacing w:line="360" w:lineRule="auto"/>
        <w:rPr>
          <w:rFonts w:ascii="宋体" w:hAnsi="宋体" w:cs="宋体"/>
          <w:color w:val="auto"/>
          <w:kern w:val="0"/>
          <w:szCs w:val="21"/>
          <w:highlight w:val="none"/>
        </w:rPr>
      </w:pPr>
      <w:r>
        <w:rPr>
          <w:rFonts w:hint="eastAsia" w:ascii="宋体" w:hAnsi="宋体" w:cs="宋体"/>
          <w:b/>
          <w:color w:val="auto"/>
          <w:kern w:val="0"/>
          <w:szCs w:val="21"/>
          <w:highlight w:val="none"/>
        </w:rPr>
        <w:t>一、项目基本情况</w:t>
      </w:r>
    </w:p>
    <w:p w14:paraId="4BAE4B6F">
      <w:pPr>
        <w:wordWrap w:val="0"/>
        <w:spacing w:line="360" w:lineRule="auto"/>
        <w:ind w:firstLine="420" w:firstLineChars="200"/>
        <w:rPr>
          <w:rFonts w:hint="eastAsia" w:ascii="宋体" w:hAnsi="宋体" w:eastAsia="宋体" w:cs="宋体"/>
          <w:bCs/>
          <w:color w:val="auto"/>
          <w:kern w:val="0"/>
          <w:szCs w:val="21"/>
          <w:highlight w:val="none"/>
          <w:lang w:eastAsia="zh-CN"/>
        </w:rPr>
      </w:pPr>
      <w:r>
        <w:rPr>
          <w:rFonts w:hint="eastAsia" w:ascii="宋体" w:hAnsi="宋体" w:cs="宋体"/>
          <w:bCs/>
          <w:color w:val="auto"/>
          <w:kern w:val="0"/>
          <w:szCs w:val="21"/>
          <w:highlight w:val="none"/>
        </w:rPr>
        <w:t>项目编号：XJLW-2025-206</w:t>
      </w:r>
    </w:p>
    <w:p w14:paraId="6C757327">
      <w:pPr>
        <w:wordWrap w:val="0"/>
        <w:spacing w:line="360" w:lineRule="auto"/>
        <w:ind w:firstLine="420" w:firstLineChars="200"/>
        <w:rPr>
          <w:rFonts w:hint="eastAsia" w:ascii="宋体" w:hAnsi="宋体" w:eastAsia="宋体" w:cs="宋体"/>
          <w:bCs/>
          <w:color w:val="auto"/>
          <w:kern w:val="0"/>
          <w:szCs w:val="21"/>
          <w:highlight w:val="none"/>
          <w:lang w:eastAsia="zh-CN"/>
        </w:rPr>
      </w:pPr>
      <w:r>
        <w:rPr>
          <w:rFonts w:hint="eastAsia" w:ascii="宋体" w:hAnsi="宋体" w:cs="宋体"/>
          <w:bCs/>
          <w:color w:val="auto"/>
          <w:kern w:val="0"/>
          <w:szCs w:val="21"/>
          <w:highlight w:val="none"/>
        </w:rPr>
        <w:t>项目名称：</w:t>
      </w:r>
      <w:r>
        <w:rPr>
          <w:rFonts w:hint="eastAsia" w:ascii="宋体" w:hAnsi="宋体" w:cs="宋体"/>
          <w:bCs/>
          <w:color w:val="auto"/>
          <w:kern w:val="0"/>
          <w:szCs w:val="21"/>
          <w:highlight w:val="none"/>
          <w:lang w:eastAsia="zh-CN"/>
        </w:rPr>
        <w:t>新疆应用职业技术学院新图书馆智慧阅读设备采购项目</w:t>
      </w:r>
    </w:p>
    <w:p w14:paraId="665EF13E">
      <w:pPr>
        <w:wordWrap w:val="0"/>
        <w:spacing w:line="360" w:lineRule="auto"/>
        <w:ind w:firstLine="420" w:firstLineChars="200"/>
        <w:rPr>
          <w:rFonts w:ascii="宋体" w:hAnsi="宋体" w:cs="宋体"/>
          <w:bCs/>
          <w:color w:val="auto"/>
          <w:kern w:val="0"/>
          <w:szCs w:val="21"/>
          <w:highlight w:val="none"/>
        </w:rPr>
      </w:pPr>
      <w:r>
        <w:rPr>
          <w:rFonts w:hint="eastAsia" w:ascii="宋体" w:hAnsi="宋体" w:cs="宋体"/>
          <w:bCs/>
          <w:color w:val="auto"/>
          <w:kern w:val="0"/>
          <w:szCs w:val="21"/>
          <w:highlight w:val="none"/>
        </w:rPr>
        <w:t>采购方式：公开招标</w:t>
      </w:r>
    </w:p>
    <w:p w14:paraId="6CA6A84B">
      <w:pPr>
        <w:wordWrap w:val="0"/>
        <w:spacing w:line="360" w:lineRule="auto"/>
        <w:ind w:firstLine="420" w:firstLineChars="200"/>
        <w:rPr>
          <w:rFonts w:ascii="宋体" w:hAnsi="宋体" w:cs="宋体"/>
          <w:bCs/>
          <w:color w:val="auto"/>
          <w:kern w:val="0"/>
          <w:szCs w:val="21"/>
          <w:highlight w:val="none"/>
        </w:rPr>
      </w:pPr>
      <w:r>
        <w:rPr>
          <w:rFonts w:hint="eastAsia" w:ascii="宋体" w:hAnsi="宋体" w:cs="宋体"/>
          <w:bCs/>
          <w:color w:val="auto"/>
          <w:kern w:val="0"/>
          <w:szCs w:val="21"/>
          <w:highlight w:val="none"/>
        </w:rPr>
        <w:t>预算金额（元）：</w:t>
      </w:r>
      <w:r>
        <w:rPr>
          <w:rFonts w:hint="eastAsia" w:ascii="宋体" w:hAnsi="宋体" w:cs="宋体"/>
          <w:bCs/>
          <w:color w:val="auto"/>
          <w:kern w:val="0"/>
          <w:szCs w:val="21"/>
          <w:highlight w:val="none"/>
          <w:lang w:val="en-US" w:eastAsia="zh-CN"/>
        </w:rPr>
        <w:t>1600</w:t>
      </w:r>
      <w:r>
        <w:rPr>
          <w:rFonts w:hint="eastAsia" w:ascii="宋体" w:hAnsi="宋体" w:cs="宋体"/>
          <w:bCs/>
          <w:color w:val="auto"/>
          <w:kern w:val="0"/>
          <w:szCs w:val="21"/>
          <w:highlight w:val="none"/>
        </w:rPr>
        <w:t>000.00</w:t>
      </w:r>
    </w:p>
    <w:p w14:paraId="2D8E40DC">
      <w:pPr>
        <w:wordWrap w:val="0"/>
        <w:spacing w:line="360" w:lineRule="auto"/>
        <w:ind w:firstLine="420" w:firstLineChars="200"/>
        <w:rPr>
          <w:rFonts w:ascii="宋体" w:hAnsi="宋体" w:cs="宋体"/>
          <w:bCs/>
          <w:color w:val="auto"/>
          <w:kern w:val="0"/>
          <w:szCs w:val="21"/>
          <w:highlight w:val="none"/>
        </w:rPr>
      </w:pPr>
      <w:r>
        <w:rPr>
          <w:rFonts w:hint="eastAsia" w:ascii="宋体" w:hAnsi="宋体" w:cs="宋体"/>
          <w:bCs/>
          <w:color w:val="auto"/>
          <w:kern w:val="0"/>
          <w:szCs w:val="21"/>
          <w:highlight w:val="none"/>
        </w:rPr>
        <w:t>最高限价（元）：</w:t>
      </w:r>
      <w:r>
        <w:rPr>
          <w:rFonts w:hint="eastAsia" w:ascii="宋体" w:hAnsi="宋体" w:cs="宋体"/>
          <w:bCs/>
          <w:color w:val="auto"/>
          <w:kern w:val="0"/>
          <w:szCs w:val="21"/>
          <w:highlight w:val="none"/>
          <w:lang w:val="en-US" w:eastAsia="zh-CN"/>
        </w:rPr>
        <w:t>1600</w:t>
      </w:r>
      <w:r>
        <w:rPr>
          <w:rFonts w:hint="eastAsia" w:ascii="宋体" w:hAnsi="宋体" w:cs="宋体"/>
          <w:bCs/>
          <w:color w:val="auto"/>
          <w:kern w:val="0"/>
          <w:szCs w:val="21"/>
          <w:highlight w:val="none"/>
        </w:rPr>
        <w:t>000.00</w:t>
      </w:r>
    </w:p>
    <w:p w14:paraId="3FC56A99">
      <w:pPr>
        <w:wordWrap w:val="0"/>
        <w:spacing w:line="360" w:lineRule="auto"/>
        <w:ind w:firstLine="420" w:firstLineChars="200"/>
        <w:rPr>
          <w:rFonts w:ascii="宋体" w:hAnsi="宋体" w:cs="宋体"/>
          <w:bCs/>
          <w:color w:val="auto"/>
          <w:kern w:val="0"/>
          <w:szCs w:val="21"/>
          <w:highlight w:val="none"/>
        </w:rPr>
      </w:pPr>
      <w:r>
        <w:rPr>
          <w:rFonts w:hint="eastAsia" w:ascii="宋体" w:hAnsi="宋体" w:cs="宋体"/>
          <w:bCs/>
          <w:color w:val="auto"/>
          <w:kern w:val="0"/>
          <w:szCs w:val="21"/>
          <w:highlight w:val="none"/>
        </w:rPr>
        <w:t>采购需求：</w:t>
      </w:r>
    </w:p>
    <w:tbl>
      <w:tblPr>
        <w:tblStyle w:val="40"/>
        <w:tblW w:w="926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38"/>
        <w:gridCol w:w="2645"/>
        <w:gridCol w:w="704"/>
        <w:gridCol w:w="766"/>
        <w:gridCol w:w="2264"/>
        <w:gridCol w:w="2043"/>
      </w:tblGrid>
      <w:tr w14:paraId="76A802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838" w:type="dxa"/>
            <w:tcBorders>
              <w:top w:val="single" w:color="000000" w:sz="4" w:space="0"/>
              <w:left w:val="single" w:color="000000" w:sz="4" w:space="0"/>
              <w:bottom w:val="single" w:color="000000" w:sz="4" w:space="0"/>
              <w:right w:val="single" w:color="000000" w:sz="4" w:space="0"/>
            </w:tcBorders>
            <w:noWrap w:val="0"/>
            <w:vAlign w:val="center"/>
          </w:tcPr>
          <w:p w14:paraId="3906140A">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序号</w:t>
            </w:r>
          </w:p>
        </w:tc>
        <w:tc>
          <w:tcPr>
            <w:tcW w:w="2645" w:type="dxa"/>
            <w:tcBorders>
              <w:top w:val="single" w:color="000000" w:sz="4" w:space="0"/>
              <w:left w:val="single" w:color="000000" w:sz="4" w:space="0"/>
              <w:bottom w:val="single" w:color="000000" w:sz="4" w:space="0"/>
              <w:right w:val="single" w:color="000000" w:sz="4" w:space="0"/>
            </w:tcBorders>
            <w:noWrap w:val="0"/>
            <w:vAlign w:val="center"/>
          </w:tcPr>
          <w:p w14:paraId="0446D874">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产品名称</w:t>
            </w:r>
          </w:p>
        </w:tc>
        <w:tc>
          <w:tcPr>
            <w:tcW w:w="704" w:type="dxa"/>
            <w:tcBorders>
              <w:top w:val="single" w:color="000000" w:sz="4" w:space="0"/>
              <w:left w:val="single" w:color="000000" w:sz="4" w:space="0"/>
              <w:bottom w:val="single" w:color="000000" w:sz="4" w:space="0"/>
              <w:right w:val="single" w:color="000000" w:sz="4" w:space="0"/>
            </w:tcBorders>
            <w:noWrap w:val="0"/>
            <w:vAlign w:val="center"/>
          </w:tcPr>
          <w:p w14:paraId="6383D1F3">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数量</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044070E">
            <w:pPr>
              <w:keepNext w:val="0"/>
              <w:keepLines w:val="0"/>
              <w:widowControl/>
              <w:suppressLineNumbers w:val="0"/>
              <w:jc w:val="center"/>
              <w:textAlignment w:val="center"/>
              <w:rPr>
                <w:rFonts w:hint="eastAsia" w:ascii="宋体" w:hAnsi="宋体" w:eastAsia="宋体" w:cs="宋体"/>
                <w:b/>
                <w:bCs/>
                <w:i w:val="0"/>
                <w:iCs w:val="0"/>
                <w:color w:val="auto"/>
                <w:kern w:val="2"/>
                <w:sz w:val="21"/>
                <w:szCs w:val="21"/>
                <w:u w:val="none"/>
                <w:lang w:val="en-US" w:eastAsia="zh-CN" w:bidi="ar-SA"/>
              </w:rPr>
            </w:pPr>
            <w:r>
              <w:rPr>
                <w:rFonts w:hint="eastAsia" w:ascii="宋体" w:hAnsi="宋体" w:eastAsia="宋体" w:cs="宋体"/>
                <w:b/>
                <w:bCs/>
                <w:i w:val="0"/>
                <w:iCs w:val="0"/>
                <w:color w:val="auto"/>
                <w:kern w:val="0"/>
                <w:sz w:val="21"/>
                <w:szCs w:val="21"/>
                <w:u w:val="none"/>
                <w:lang w:val="en-US" w:eastAsia="zh-CN" w:bidi="ar"/>
              </w:rPr>
              <w:t>单位</w:t>
            </w:r>
          </w:p>
        </w:tc>
        <w:tc>
          <w:tcPr>
            <w:tcW w:w="2264" w:type="dxa"/>
            <w:tcBorders>
              <w:top w:val="single" w:color="000000" w:sz="4" w:space="0"/>
              <w:left w:val="single" w:color="000000" w:sz="4" w:space="0"/>
              <w:bottom w:val="single" w:color="000000" w:sz="4" w:space="0"/>
              <w:right w:val="single" w:color="000000" w:sz="4" w:space="0"/>
            </w:tcBorders>
            <w:noWrap w:val="0"/>
            <w:vAlign w:val="center"/>
          </w:tcPr>
          <w:p w14:paraId="60D5C534">
            <w:pPr>
              <w:keepNext w:val="0"/>
              <w:keepLines w:val="0"/>
              <w:widowControl/>
              <w:suppressLineNumbers w:val="0"/>
              <w:jc w:val="center"/>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b/>
                <w:bCs/>
                <w:i w:val="0"/>
                <w:iCs w:val="0"/>
                <w:color w:val="auto"/>
                <w:kern w:val="0"/>
                <w:sz w:val="21"/>
                <w:szCs w:val="21"/>
                <w:u w:val="none"/>
                <w:lang w:val="en-US" w:eastAsia="zh-CN" w:bidi="ar"/>
              </w:rPr>
              <w:t>中小企业划分标准所属行业</w:t>
            </w:r>
          </w:p>
        </w:tc>
        <w:tc>
          <w:tcPr>
            <w:tcW w:w="2043" w:type="dxa"/>
            <w:tcBorders>
              <w:top w:val="single" w:color="000000" w:sz="4" w:space="0"/>
              <w:left w:val="single" w:color="000000" w:sz="4" w:space="0"/>
              <w:bottom w:val="single" w:color="000000" w:sz="4" w:space="0"/>
              <w:right w:val="single" w:color="000000" w:sz="4" w:space="0"/>
            </w:tcBorders>
            <w:noWrap w:val="0"/>
            <w:vAlign w:val="center"/>
          </w:tcPr>
          <w:p w14:paraId="11884D60">
            <w:pPr>
              <w:keepNext w:val="0"/>
              <w:keepLines w:val="0"/>
              <w:widowControl/>
              <w:suppressLineNumbers w:val="0"/>
              <w:jc w:val="center"/>
              <w:textAlignment w:val="center"/>
              <w:rPr>
                <w:rFonts w:hint="default" w:ascii="宋体" w:hAnsi="宋体" w:eastAsia="宋体" w:cs="宋体"/>
                <w:b/>
                <w:bCs/>
                <w:i w:val="0"/>
                <w:iCs w:val="0"/>
                <w:color w:val="auto"/>
                <w:kern w:val="0"/>
                <w:sz w:val="21"/>
                <w:szCs w:val="21"/>
                <w:u w:val="none"/>
                <w:lang w:val="en-US" w:eastAsia="zh-CN" w:bidi="ar"/>
              </w:rPr>
            </w:pPr>
            <w:r>
              <w:rPr>
                <w:rFonts w:hint="eastAsia" w:ascii="宋体" w:hAnsi="宋体" w:cs="宋体"/>
                <w:b/>
                <w:bCs/>
                <w:i w:val="0"/>
                <w:iCs w:val="0"/>
                <w:color w:val="auto"/>
                <w:kern w:val="0"/>
                <w:sz w:val="21"/>
                <w:szCs w:val="21"/>
                <w:u w:val="none"/>
                <w:lang w:val="en-US" w:eastAsia="zh-CN" w:bidi="ar"/>
              </w:rPr>
              <w:t>备注</w:t>
            </w:r>
          </w:p>
        </w:tc>
      </w:tr>
      <w:tr w14:paraId="6BAAFA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838" w:type="dxa"/>
            <w:tcBorders>
              <w:top w:val="single" w:color="000000" w:sz="4" w:space="0"/>
              <w:left w:val="single" w:color="000000" w:sz="4" w:space="0"/>
              <w:bottom w:val="single" w:color="000000" w:sz="4" w:space="0"/>
              <w:right w:val="single" w:color="000000" w:sz="4" w:space="0"/>
            </w:tcBorders>
            <w:noWrap w:val="0"/>
            <w:vAlign w:val="center"/>
          </w:tcPr>
          <w:p w14:paraId="3E8CA73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18"/>
                <w:szCs w:val="18"/>
                <w:u w:val="none"/>
                <w:lang w:val="en-US" w:eastAsia="zh-CN" w:bidi="ar"/>
              </w:rPr>
              <w:t>1</w:t>
            </w:r>
          </w:p>
        </w:tc>
        <w:tc>
          <w:tcPr>
            <w:tcW w:w="2645" w:type="dxa"/>
            <w:tcBorders>
              <w:top w:val="single" w:color="000000" w:sz="4" w:space="0"/>
              <w:left w:val="single" w:color="000000" w:sz="4" w:space="0"/>
              <w:bottom w:val="single" w:color="000000" w:sz="4" w:space="0"/>
              <w:right w:val="single" w:color="000000" w:sz="4" w:space="0"/>
            </w:tcBorders>
            <w:noWrap w:val="0"/>
            <w:vAlign w:val="center"/>
          </w:tcPr>
          <w:p w14:paraId="6E37E042">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18"/>
                <w:szCs w:val="18"/>
                <w:u w:val="none"/>
                <w:lang w:val="en-US" w:eastAsia="zh-CN" w:bidi="ar"/>
              </w:rPr>
              <w:t>智能寄包柜</w:t>
            </w:r>
          </w:p>
        </w:tc>
        <w:tc>
          <w:tcPr>
            <w:tcW w:w="704" w:type="dxa"/>
            <w:tcBorders>
              <w:top w:val="single" w:color="000000" w:sz="4" w:space="0"/>
              <w:left w:val="single" w:color="000000" w:sz="4" w:space="0"/>
              <w:bottom w:val="single" w:color="000000" w:sz="4" w:space="0"/>
              <w:right w:val="single" w:color="000000" w:sz="4" w:space="0"/>
            </w:tcBorders>
            <w:noWrap w:val="0"/>
            <w:vAlign w:val="center"/>
          </w:tcPr>
          <w:p w14:paraId="6F1765D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18"/>
                <w:szCs w:val="18"/>
                <w:u w:val="none"/>
                <w:lang w:val="en-US" w:eastAsia="zh-CN" w:bidi="ar"/>
              </w:rPr>
              <w:t>10</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7B145C4">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18"/>
                <w:szCs w:val="18"/>
                <w:u w:val="none"/>
                <w:lang w:val="en-US" w:eastAsia="zh-CN" w:bidi="ar"/>
              </w:rPr>
              <w:t>套</w:t>
            </w:r>
          </w:p>
        </w:tc>
        <w:tc>
          <w:tcPr>
            <w:tcW w:w="2264" w:type="dxa"/>
            <w:tcBorders>
              <w:top w:val="single" w:color="000000" w:sz="4" w:space="0"/>
              <w:left w:val="single" w:color="000000" w:sz="4" w:space="0"/>
              <w:bottom w:val="single" w:color="000000" w:sz="4" w:space="0"/>
              <w:right w:val="single" w:color="000000" w:sz="4" w:space="0"/>
            </w:tcBorders>
            <w:noWrap w:val="0"/>
            <w:vAlign w:val="center"/>
          </w:tcPr>
          <w:p w14:paraId="7E41F23E">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cs="宋体"/>
                <w:color w:val="auto"/>
                <w:kern w:val="0"/>
                <w:sz w:val="18"/>
                <w:szCs w:val="18"/>
                <w:highlight w:val="none"/>
                <w:vertAlign w:val="baseline"/>
                <w:lang w:val="en-US" w:eastAsia="zh-CN" w:bidi="ar"/>
              </w:rPr>
              <w:t>软件和信息技术服务业</w:t>
            </w:r>
          </w:p>
        </w:tc>
        <w:tc>
          <w:tcPr>
            <w:tcW w:w="2043" w:type="dxa"/>
            <w:vMerge w:val="restart"/>
            <w:tcBorders>
              <w:top w:val="single" w:color="000000" w:sz="4" w:space="0"/>
              <w:left w:val="single" w:color="000000" w:sz="4" w:space="0"/>
              <w:right w:val="single" w:color="000000" w:sz="4" w:space="0"/>
            </w:tcBorders>
            <w:noWrap w:val="0"/>
            <w:vAlign w:val="center"/>
          </w:tcPr>
          <w:p w14:paraId="249AA0B6">
            <w:pPr>
              <w:keepNext w:val="0"/>
              <w:keepLines w:val="0"/>
              <w:widowControl/>
              <w:suppressLineNumbers w:val="0"/>
              <w:spacing w:line="360" w:lineRule="auto"/>
              <w:jc w:val="center"/>
              <w:textAlignment w:val="center"/>
              <w:rPr>
                <w:rFonts w:hint="eastAsia" w:cs="宋体"/>
                <w:color w:val="auto"/>
                <w:kern w:val="0"/>
                <w:sz w:val="18"/>
                <w:szCs w:val="18"/>
                <w:highlight w:val="none"/>
                <w:vertAlign w:val="baseline"/>
                <w:lang w:val="en-US" w:eastAsia="zh-CN" w:bidi="ar"/>
              </w:rPr>
            </w:pPr>
            <w:r>
              <w:rPr>
                <w:rFonts w:hint="eastAsia" w:cs="宋体"/>
                <w:color w:val="auto"/>
                <w:kern w:val="0"/>
                <w:sz w:val="18"/>
                <w:szCs w:val="18"/>
                <w:highlight w:val="none"/>
                <w:vertAlign w:val="baseline"/>
                <w:lang w:val="en-US" w:eastAsia="zh-CN" w:bidi="ar"/>
              </w:rPr>
              <w:t>行业划分标准按《国民经济行业分类》执行。</w:t>
            </w:r>
          </w:p>
          <w:p w14:paraId="6AC708EE">
            <w:pPr>
              <w:keepNext w:val="0"/>
              <w:keepLines w:val="0"/>
              <w:widowControl/>
              <w:suppressLineNumbers w:val="0"/>
              <w:spacing w:line="360" w:lineRule="auto"/>
              <w:jc w:val="center"/>
              <w:textAlignment w:val="center"/>
              <w:rPr>
                <w:rFonts w:hint="eastAsia" w:cs="宋体"/>
                <w:color w:val="auto"/>
                <w:kern w:val="0"/>
                <w:sz w:val="18"/>
                <w:szCs w:val="18"/>
                <w:highlight w:val="none"/>
                <w:vertAlign w:val="baseline"/>
                <w:lang w:val="en-US" w:eastAsia="zh-CN" w:bidi="ar"/>
              </w:rPr>
            </w:pPr>
            <w:r>
              <w:rPr>
                <w:rFonts w:hint="eastAsia" w:cs="宋体"/>
                <w:color w:val="auto"/>
                <w:kern w:val="0"/>
                <w:sz w:val="18"/>
                <w:szCs w:val="18"/>
                <w:highlight w:val="none"/>
                <w:vertAlign w:val="baseline"/>
                <w:lang w:val="en-US" w:eastAsia="zh-CN" w:bidi="ar"/>
              </w:rPr>
              <w:t>中小企业划分标准按《中小企业划型标准规定》（工信部联企业</w:t>
            </w:r>
          </w:p>
          <w:p w14:paraId="371F995D">
            <w:pPr>
              <w:keepNext w:val="0"/>
              <w:keepLines w:val="0"/>
              <w:widowControl/>
              <w:suppressLineNumbers w:val="0"/>
              <w:spacing w:line="360" w:lineRule="auto"/>
              <w:jc w:val="center"/>
              <w:textAlignment w:val="center"/>
              <w:rPr>
                <w:rFonts w:hint="eastAsia" w:cs="宋体"/>
                <w:color w:val="auto"/>
                <w:kern w:val="0"/>
                <w:sz w:val="18"/>
                <w:szCs w:val="18"/>
                <w:highlight w:val="none"/>
                <w:vertAlign w:val="baseline"/>
                <w:lang w:val="en-US" w:eastAsia="zh-CN" w:bidi="ar"/>
              </w:rPr>
            </w:pPr>
            <w:r>
              <w:rPr>
                <w:rFonts w:hint="eastAsia" w:cs="宋体"/>
                <w:color w:val="auto"/>
                <w:kern w:val="0"/>
                <w:sz w:val="18"/>
                <w:szCs w:val="18"/>
                <w:highlight w:val="none"/>
                <w:vertAlign w:val="baseline"/>
                <w:lang w:val="en-US" w:eastAsia="zh-CN" w:bidi="ar"/>
              </w:rPr>
              <w:t>[2011]300 号）文件规定执行。</w:t>
            </w:r>
          </w:p>
        </w:tc>
      </w:tr>
      <w:tr w14:paraId="55DDDF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838" w:type="dxa"/>
            <w:tcBorders>
              <w:top w:val="single" w:color="000000" w:sz="4" w:space="0"/>
              <w:left w:val="single" w:color="000000" w:sz="4" w:space="0"/>
              <w:bottom w:val="single" w:color="000000" w:sz="4" w:space="0"/>
              <w:right w:val="single" w:color="000000" w:sz="4" w:space="0"/>
            </w:tcBorders>
            <w:noWrap w:val="0"/>
            <w:vAlign w:val="center"/>
          </w:tcPr>
          <w:p w14:paraId="6D5E5F4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18"/>
                <w:szCs w:val="18"/>
                <w:u w:val="none"/>
                <w:lang w:val="en-US" w:eastAsia="zh-CN" w:bidi="ar"/>
              </w:rPr>
              <w:t>2</w:t>
            </w:r>
          </w:p>
        </w:tc>
        <w:tc>
          <w:tcPr>
            <w:tcW w:w="2645" w:type="dxa"/>
            <w:tcBorders>
              <w:top w:val="single" w:color="000000" w:sz="4" w:space="0"/>
              <w:left w:val="single" w:color="000000" w:sz="4" w:space="0"/>
              <w:bottom w:val="single" w:color="000000" w:sz="4" w:space="0"/>
              <w:right w:val="single" w:color="000000" w:sz="4" w:space="0"/>
            </w:tcBorders>
            <w:noWrap w:val="0"/>
            <w:vAlign w:val="center"/>
          </w:tcPr>
          <w:p w14:paraId="463AD6E6">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18"/>
                <w:szCs w:val="18"/>
                <w:u w:val="none"/>
                <w:lang w:val="en-US" w:eastAsia="zh-CN" w:bidi="ar"/>
              </w:rPr>
              <w:t>电子图书借阅机</w:t>
            </w:r>
          </w:p>
        </w:tc>
        <w:tc>
          <w:tcPr>
            <w:tcW w:w="704" w:type="dxa"/>
            <w:tcBorders>
              <w:top w:val="single" w:color="000000" w:sz="4" w:space="0"/>
              <w:left w:val="single" w:color="000000" w:sz="4" w:space="0"/>
              <w:bottom w:val="single" w:color="000000" w:sz="4" w:space="0"/>
              <w:right w:val="single" w:color="000000" w:sz="4" w:space="0"/>
            </w:tcBorders>
            <w:noWrap w:val="0"/>
            <w:vAlign w:val="center"/>
          </w:tcPr>
          <w:p w14:paraId="328D7E0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18"/>
                <w:szCs w:val="18"/>
                <w:u w:val="none"/>
                <w:lang w:val="en-US" w:eastAsia="zh-CN" w:bidi="ar"/>
              </w:rPr>
              <w:t>2</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158DA6A">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18"/>
                <w:szCs w:val="18"/>
                <w:u w:val="none"/>
                <w:lang w:val="en-US" w:eastAsia="zh-CN" w:bidi="ar"/>
              </w:rPr>
              <w:t>套</w:t>
            </w:r>
          </w:p>
        </w:tc>
        <w:tc>
          <w:tcPr>
            <w:tcW w:w="2264" w:type="dxa"/>
            <w:tcBorders>
              <w:top w:val="single" w:color="000000" w:sz="4" w:space="0"/>
              <w:left w:val="single" w:color="000000" w:sz="4" w:space="0"/>
              <w:bottom w:val="single" w:color="000000" w:sz="4" w:space="0"/>
              <w:right w:val="single" w:color="000000" w:sz="4" w:space="0"/>
            </w:tcBorders>
            <w:noWrap w:val="0"/>
            <w:vAlign w:val="center"/>
          </w:tcPr>
          <w:p w14:paraId="10ED1863">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cs="宋体"/>
                <w:color w:val="auto"/>
                <w:kern w:val="0"/>
                <w:sz w:val="18"/>
                <w:szCs w:val="18"/>
                <w:highlight w:val="none"/>
                <w:vertAlign w:val="baseline"/>
                <w:lang w:val="en-US" w:eastAsia="zh-CN" w:bidi="ar"/>
              </w:rPr>
              <w:t>软件和信息技术服务业</w:t>
            </w:r>
          </w:p>
        </w:tc>
        <w:tc>
          <w:tcPr>
            <w:tcW w:w="2043" w:type="dxa"/>
            <w:vMerge w:val="continue"/>
            <w:tcBorders>
              <w:left w:val="single" w:color="000000" w:sz="4" w:space="0"/>
              <w:right w:val="single" w:color="000000" w:sz="4" w:space="0"/>
            </w:tcBorders>
            <w:noWrap w:val="0"/>
            <w:vAlign w:val="center"/>
          </w:tcPr>
          <w:p w14:paraId="5DDA209A">
            <w:pPr>
              <w:keepNext w:val="0"/>
              <w:keepLines w:val="0"/>
              <w:widowControl/>
              <w:suppressLineNumbers w:val="0"/>
              <w:jc w:val="center"/>
              <w:textAlignment w:val="center"/>
              <w:rPr>
                <w:rFonts w:hint="eastAsia" w:cs="宋体"/>
                <w:color w:val="auto"/>
                <w:kern w:val="0"/>
                <w:sz w:val="18"/>
                <w:szCs w:val="18"/>
                <w:highlight w:val="none"/>
                <w:vertAlign w:val="baseline"/>
                <w:lang w:val="en-US" w:eastAsia="zh-CN" w:bidi="ar"/>
              </w:rPr>
            </w:pPr>
          </w:p>
        </w:tc>
      </w:tr>
      <w:tr w14:paraId="72AF25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838" w:type="dxa"/>
            <w:tcBorders>
              <w:top w:val="single" w:color="000000" w:sz="4" w:space="0"/>
              <w:left w:val="single" w:color="000000" w:sz="4" w:space="0"/>
              <w:bottom w:val="single" w:color="000000" w:sz="4" w:space="0"/>
              <w:right w:val="single" w:color="000000" w:sz="4" w:space="0"/>
            </w:tcBorders>
            <w:noWrap w:val="0"/>
            <w:vAlign w:val="center"/>
          </w:tcPr>
          <w:p w14:paraId="14F215C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18"/>
                <w:szCs w:val="18"/>
                <w:u w:val="none"/>
                <w:lang w:val="en-US" w:eastAsia="zh-CN" w:bidi="ar"/>
              </w:rPr>
              <w:t>3</w:t>
            </w:r>
          </w:p>
        </w:tc>
        <w:tc>
          <w:tcPr>
            <w:tcW w:w="2645" w:type="dxa"/>
            <w:tcBorders>
              <w:top w:val="single" w:color="000000" w:sz="4" w:space="0"/>
              <w:left w:val="single" w:color="000000" w:sz="4" w:space="0"/>
              <w:bottom w:val="single" w:color="000000" w:sz="4" w:space="0"/>
              <w:right w:val="single" w:color="000000" w:sz="4" w:space="0"/>
            </w:tcBorders>
            <w:noWrap w:val="0"/>
            <w:vAlign w:val="center"/>
          </w:tcPr>
          <w:p w14:paraId="01F046B7">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18"/>
                <w:szCs w:val="18"/>
                <w:u w:val="none"/>
                <w:lang w:val="en-US" w:eastAsia="zh-CN" w:bidi="ar"/>
              </w:rPr>
              <w:t>电子报刊借阅机</w:t>
            </w:r>
          </w:p>
        </w:tc>
        <w:tc>
          <w:tcPr>
            <w:tcW w:w="704" w:type="dxa"/>
            <w:tcBorders>
              <w:top w:val="single" w:color="000000" w:sz="4" w:space="0"/>
              <w:left w:val="single" w:color="000000" w:sz="4" w:space="0"/>
              <w:bottom w:val="single" w:color="000000" w:sz="4" w:space="0"/>
              <w:right w:val="single" w:color="000000" w:sz="4" w:space="0"/>
            </w:tcBorders>
            <w:noWrap w:val="0"/>
            <w:vAlign w:val="center"/>
          </w:tcPr>
          <w:p w14:paraId="1601045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18"/>
                <w:szCs w:val="18"/>
                <w:u w:val="none"/>
                <w:lang w:val="en-US" w:eastAsia="zh-CN" w:bidi="ar"/>
              </w:rPr>
              <w:t>2</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CEEBAEE">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18"/>
                <w:szCs w:val="18"/>
                <w:u w:val="none"/>
                <w:lang w:val="en-US" w:eastAsia="zh-CN" w:bidi="ar"/>
              </w:rPr>
              <w:t>套</w:t>
            </w:r>
          </w:p>
        </w:tc>
        <w:tc>
          <w:tcPr>
            <w:tcW w:w="2264" w:type="dxa"/>
            <w:tcBorders>
              <w:top w:val="single" w:color="000000" w:sz="4" w:space="0"/>
              <w:left w:val="single" w:color="000000" w:sz="4" w:space="0"/>
              <w:bottom w:val="single" w:color="000000" w:sz="4" w:space="0"/>
              <w:right w:val="single" w:color="000000" w:sz="4" w:space="0"/>
            </w:tcBorders>
            <w:noWrap w:val="0"/>
            <w:vAlign w:val="center"/>
          </w:tcPr>
          <w:p w14:paraId="3EFE769D">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cs="宋体"/>
                <w:color w:val="auto"/>
                <w:kern w:val="0"/>
                <w:sz w:val="18"/>
                <w:szCs w:val="18"/>
                <w:highlight w:val="none"/>
                <w:vertAlign w:val="baseline"/>
                <w:lang w:val="en-US" w:eastAsia="zh-CN" w:bidi="ar"/>
              </w:rPr>
              <w:t>软件和信息技术服务业</w:t>
            </w:r>
          </w:p>
        </w:tc>
        <w:tc>
          <w:tcPr>
            <w:tcW w:w="2043" w:type="dxa"/>
            <w:vMerge w:val="continue"/>
            <w:tcBorders>
              <w:left w:val="single" w:color="000000" w:sz="4" w:space="0"/>
              <w:right w:val="single" w:color="000000" w:sz="4" w:space="0"/>
            </w:tcBorders>
            <w:noWrap w:val="0"/>
            <w:vAlign w:val="center"/>
          </w:tcPr>
          <w:p w14:paraId="7A5B9790">
            <w:pPr>
              <w:keepNext w:val="0"/>
              <w:keepLines w:val="0"/>
              <w:widowControl/>
              <w:suppressLineNumbers w:val="0"/>
              <w:jc w:val="center"/>
              <w:textAlignment w:val="center"/>
              <w:rPr>
                <w:rFonts w:hint="eastAsia" w:cs="宋体"/>
                <w:color w:val="auto"/>
                <w:kern w:val="0"/>
                <w:sz w:val="18"/>
                <w:szCs w:val="18"/>
                <w:highlight w:val="none"/>
                <w:vertAlign w:val="baseline"/>
                <w:lang w:val="en-US" w:eastAsia="zh-CN" w:bidi="ar"/>
              </w:rPr>
            </w:pPr>
          </w:p>
        </w:tc>
      </w:tr>
      <w:tr w14:paraId="7FB5E0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838" w:type="dxa"/>
            <w:tcBorders>
              <w:top w:val="single" w:color="000000" w:sz="4" w:space="0"/>
              <w:left w:val="single" w:color="000000" w:sz="4" w:space="0"/>
              <w:bottom w:val="single" w:color="000000" w:sz="4" w:space="0"/>
              <w:right w:val="single" w:color="000000" w:sz="4" w:space="0"/>
            </w:tcBorders>
            <w:noWrap w:val="0"/>
            <w:vAlign w:val="center"/>
          </w:tcPr>
          <w:p w14:paraId="6F97F3F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18"/>
                <w:szCs w:val="18"/>
                <w:u w:val="none"/>
                <w:lang w:val="en-US" w:eastAsia="zh-CN" w:bidi="ar"/>
              </w:rPr>
              <w:t>4</w:t>
            </w:r>
          </w:p>
        </w:tc>
        <w:tc>
          <w:tcPr>
            <w:tcW w:w="2645" w:type="dxa"/>
            <w:tcBorders>
              <w:top w:val="single" w:color="000000" w:sz="4" w:space="0"/>
              <w:left w:val="single" w:color="000000" w:sz="4" w:space="0"/>
              <w:bottom w:val="single" w:color="000000" w:sz="4" w:space="0"/>
              <w:right w:val="single" w:color="000000" w:sz="4" w:space="0"/>
            </w:tcBorders>
            <w:noWrap w:val="0"/>
            <w:vAlign w:val="center"/>
          </w:tcPr>
          <w:p w14:paraId="1C63A952">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18"/>
                <w:szCs w:val="18"/>
                <w:u w:val="none"/>
                <w:lang w:val="en-US" w:eastAsia="zh-CN" w:bidi="ar"/>
              </w:rPr>
              <w:t>纸电一体化管理平台</w:t>
            </w:r>
          </w:p>
        </w:tc>
        <w:tc>
          <w:tcPr>
            <w:tcW w:w="704" w:type="dxa"/>
            <w:tcBorders>
              <w:top w:val="single" w:color="000000" w:sz="4" w:space="0"/>
              <w:left w:val="single" w:color="000000" w:sz="4" w:space="0"/>
              <w:bottom w:val="single" w:color="000000" w:sz="4" w:space="0"/>
              <w:right w:val="single" w:color="000000" w:sz="4" w:space="0"/>
            </w:tcBorders>
            <w:noWrap w:val="0"/>
            <w:vAlign w:val="center"/>
          </w:tcPr>
          <w:p w14:paraId="1471FD3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18"/>
                <w:szCs w:val="18"/>
                <w:u w:val="none"/>
                <w:lang w:val="en-US" w:eastAsia="zh-CN" w:bidi="ar"/>
              </w:rPr>
              <w:t>1</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AAC3B56">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18"/>
                <w:szCs w:val="18"/>
                <w:u w:val="none"/>
                <w:lang w:val="en-US" w:eastAsia="zh-CN" w:bidi="ar"/>
              </w:rPr>
              <w:t>套</w:t>
            </w:r>
          </w:p>
        </w:tc>
        <w:tc>
          <w:tcPr>
            <w:tcW w:w="2264" w:type="dxa"/>
            <w:tcBorders>
              <w:top w:val="single" w:color="000000" w:sz="4" w:space="0"/>
              <w:left w:val="single" w:color="000000" w:sz="4" w:space="0"/>
              <w:bottom w:val="single" w:color="000000" w:sz="4" w:space="0"/>
              <w:right w:val="single" w:color="000000" w:sz="4" w:space="0"/>
            </w:tcBorders>
            <w:noWrap w:val="0"/>
            <w:vAlign w:val="center"/>
          </w:tcPr>
          <w:p w14:paraId="4FEF6441">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cs="宋体"/>
                <w:color w:val="auto"/>
                <w:kern w:val="0"/>
                <w:sz w:val="18"/>
                <w:szCs w:val="18"/>
                <w:highlight w:val="none"/>
                <w:vertAlign w:val="baseline"/>
                <w:lang w:val="en-US" w:eastAsia="zh-CN" w:bidi="ar"/>
              </w:rPr>
              <w:t>软件和信息技术服务业</w:t>
            </w:r>
          </w:p>
        </w:tc>
        <w:tc>
          <w:tcPr>
            <w:tcW w:w="2043" w:type="dxa"/>
            <w:vMerge w:val="continue"/>
            <w:tcBorders>
              <w:left w:val="single" w:color="000000" w:sz="4" w:space="0"/>
              <w:right w:val="single" w:color="000000" w:sz="4" w:space="0"/>
            </w:tcBorders>
            <w:noWrap w:val="0"/>
            <w:vAlign w:val="center"/>
          </w:tcPr>
          <w:p w14:paraId="1BCB2BF7">
            <w:pPr>
              <w:keepNext w:val="0"/>
              <w:keepLines w:val="0"/>
              <w:widowControl/>
              <w:suppressLineNumbers w:val="0"/>
              <w:jc w:val="center"/>
              <w:textAlignment w:val="center"/>
              <w:rPr>
                <w:rFonts w:hint="eastAsia" w:cs="宋体"/>
                <w:color w:val="auto"/>
                <w:kern w:val="0"/>
                <w:sz w:val="18"/>
                <w:szCs w:val="18"/>
                <w:highlight w:val="none"/>
                <w:vertAlign w:val="baseline"/>
                <w:lang w:val="en-US" w:eastAsia="zh-CN" w:bidi="ar"/>
              </w:rPr>
            </w:pPr>
          </w:p>
        </w:tc>
      </w:tr>
      <w:tr w14:paraId="4DB8C6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838" w:type="dxa"/>
            <w:tcBorders>
              <w:top w:val="single" w:color="000000" w:sz="4" w:space="0"/>
              <w:left w:val="single" w:color="000000" w:sz="4" w:space="0"/>
              <w:bottom w:val="single" w:color="000000" w:sz="4" w:space="0"/>
              <w:right w:val="single" w:color="000000" w:sz="4" w:space="0"/>
            </w:tcBorders>
            <w:noWrap w:val="0"/>
            <w:vAlign w:val="center"/>
          </w:tcPr>
          <w:p w14:paraId="25CF41A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18"/>
                <w:szCs w:val="18"/>
                <w:u w:val="none"/>
                <w:lang w:val="en-US" w:eastAsia="zh-CN" w:bidi="ar"/>
              </w:rPr>
              <w:t>5</w:t>
            </w:r>
          </w:p>
        </w:tc>
        <w:tc>
          <w:tcPr>
            <w:tcW w:w="2645" w:type="dxa"/>
            <w:tcBorders>
              <w:top w:val="single" w:color="000000" w:sz="4" w:space="0"/>
              <w:left w:val="single" w:color="000000" w:sz="4" w:space="0"/>
              <w:bottom w:val="single" w:color="000000" w:sz="4" w:space="0"/>
              <w:right w:val="single" w:color="000000" w:sz="4" w:space="0"/>
            </w:tcBorders>
            <w:noWrap w:val="0"/>
            <w:vAlign w:val="center"/>
          </w:tcPr>
          <w:p w14:paraId="60CFC047">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18"/>
                <w:szCs w:val="18"/>
                <w:u w:val="none"/>
                <w:lang w:val="en-US" w:eastAsia="zh-CN" w:bidi="ar"/>
              </w:rPr>
              <w:t>智慧门户</w:t>
            </w:r>
          </w:p>
        </w:tc>
        <w:tc>
          <w:tcPr>
            <w:tcW w:w="704" w:type="dxa"/>
            <w:tcBorders>
              <w:top w:val="single" w:color="000000" w:sz="4" w:space="0"/>
              <w:left w:val="single" w:color="000000" w:sz="4" w:space="0"/>
              <w:bottom w:val="single" w:color="000000" w:sz="4" w:space="0"/>
              <w:right w:val="single" w:color="000000" w:sz="4" w:space="0"/>
            </w:tcBorders>
            <w:noWrap w:val="0"/>
            <w:vAlign w:val="center"/>
          </w:tcPr>
          <w:p w14:paraId="40E8437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18"/>
                <w:szCs w:val="18"/>
                <w:u w:val="none"/>
                <w:lang w:val="en-US" w:eastAsia="zh-CN" w:bidi="ar"/>
              </w:rPr>
              <w:t>1</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5FF685F">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18"/>
                <w:szCs w:val="18"/>
                <w:u w:val="none"/>
                <w:lang w:val="en-US" w:eastAsia="zh-CN" w:bidi="ar"/>
              </w:rPr>
              <w:t>套</w:t>
            </w:r>
          </w:p>
        </w:tc>
        <w:tc>
          <w:tcPr>
            <w:tcW w:w="2264" w:type="dxa"/>
            <w:tcBorders>
              <w:top w:val="single" w:color="000000" w:sz="4" w:space="0"/>
              <w:left w:val="single" w:color="000000" w:sz="4" w:space="0"/>
              <w:bottom w:val="single" w:color="000000" w:sz="4" w:space="0"/>
              <w:right w:val="single" w:color="000000" w:sz="4" w:space="0"/>
            </w:tcBorders>
            <w:noWrap w:val="0"/>
            <w:vAlign w:val="center"/>
          </w:tcPr>
          <w:p w14:paraId="6AD4B086">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cs="宋体"/>
                <w:color w:val="auto"/>
                <w:kern w:val="0"/>
                <w:sz w:val="18"/>
                <w:szCs w:val="18"/>
                <w:highlight w:val="none"/>
                <w:vertAlign w:val="baseline"/>
                <w:lang w:val="en-US" w:eastAsia="zh-CN" w:bidi="ar"/>
              </w:rPr>
              <w:t>软件和信息技术服务业</w:t>
            </w:r>
          </w:p>
        </w:tc>
        <w:tc>
          <w:tcPr>
            <w:tcW w:w="2043" w:type="dxa"/>
            <w:vMerge w:val="continue"/>
            <w:tcBorders>
              <w:left w:val="single" w:color="000000" w:sz="4" w:space="0"/>
              <w:right w:val="single" w:color="000000" w:sz="4" w:space="0"/>
            </w:tcBorders>
            <w:noWrap w:val="0"/>
            <w:vAlign w:val="center"/>
          </w:tcPr>
          <w:p w14:paraId="2C12F482">
            <w:pPr>
              <w:keepNext w:val="0"/>
              <w:keepLines w:val="0"/>
              <w:widowControl/>
              <w:suppressLineNumbers w:val="0"/>
              <w:jc w:val="center"/>
              <w:textAlignment w:val="center"/>
              <w:rPr>
                <w:rFonts w:hint="eastAsia" w:cs="宋体"/>
                <w:color w:val="auto"/>
                <w:kern w:val="0"/>
                <w:sz w:val="18"/>
                <w:szCs w:val="18"/>
                <w:highlight w:val="none"/>
                <w:vertAlign w:val="baseline"/>
                <w:lang w:val="en-US" w:eastAsia="zh-CN" w:bidi="ar"/>
              </w:rPr>
            </w:pPr>
          </w:p>
        </w:tc>
      </w:tr>
      <w:tr w14:paraId="202A88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838" w:type="dxa"/>
            <w:tcBorders>
              <w:top w:val="single" w:color="000000" w:sz="4" w:space="0"/>
              <w:left w:val="single" w:color="000000" w:sz="4" w:space="0"/>
              <w:bottom w:val="single" w:color="000000" w:sz="4" w:space="0"/>
              <w:right w:val="single" w:color="000000" w:sz="4" w:space="0"/>
            </w:tcBorders>
            <w:noWrap w:val="0"/>
            <w:vAlign w:val="center"/>
          </w:tcPr>
          <w:p w14:paraId="2684839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18"/>
                <w:szCs w:val="18"/>
                <w:u w:val="none"/>
                <w:lang w:val="en-US" w:eastAsia="zh-CN" w:bidi="ar"/>
              </w:rPr>
              <w:t>6</w:t>
            </w:r>
          </w:p>
        </w:tc>
        <w:tc>
          <w:tcPr>
            <w:tcW w:w="2645" w:type="dxa"/>
            <w:tcBorders>
              <w:top w:val="single" w:color="000000" w:sz="4" w:space="0"/>
              <w:left w:val="single" w:color="000000" w:sz="4" w:space="0"/>
              <w:bottom w:val="single" w:color="000000" w:sz="4" w:space="0"/>
              <w:right w:val="single" w:color="000000" w:sz="4" w:space="0"/>
            </w:tcBorders>
            <w:noWrap w:val="0"/>
            <w:vAlign w:val="center"/>
          </w:tcPr>
          <w:p w14:paraId="41AF1812">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18"/>
                <w:szCs w:val="18"/>
                <w:u w:val="none"/>
                <w:lang w:val="en-US" w:eastAsia="zh-CN" w:bidi="ar"/>
              </w:rPr>
              <w:t>电子资源管理</w:t>
            </w:r>
          </w:p>
        </w:tc>
        <w:tc>
          <w:tcPr>
            <w:tcW w:w="704" w:type="dxa"/>
            <w:tcBorders>
              <w:top w:val="single" w:color="000000" w:sz="4" w:space="0"/>
              <w:left w:val="single" w:color="000000" w:sz="4" w:space="0"/>
              <w:bottom w:val="single" w:color="000000" w:sz="4" w:space="0"/>
              <w:right w:val="single" w:color="000000" w:sz="4" w:space="0"/>
            </w:tcBorders>
            <w:noWrap w:val="0"/>
            <w:vAlign w:val="center"/>
          </w:tcPr>
          <w:p w14:paraId="1965A2A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18"/>
                <w:szCs w:val="18"/>
                <w:u w:val="none"/>
                <w:lang w:val="en-US" w:eastAsia="zh-CN" w:bidi="ar"/>
              </w:rPr>
              <w:t>1</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0886A7B">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18"/>
                <w:szCs w:val="18"/>
                <w:u w:val="none"/>
                <w:lang w:val="en-US" w:eastAsia="zh-CN" w:bidi="ar"/>
              </w:rPr>
              <w:t>套</w:t>
            </w:r>
          </w:p>
        </w:tc>
        <w:tc>
          <w:tcPr>
            <w:tcW w:w="2264" w:type="dxa"/>
            <w:tcBorders>
              <w:top w:val="single" w:color="000000" w:sz="4" w:space="0"/>
              <w:left w:val="single" w:color="000000" w:sz="4" w:space="0"/>
              <w:bottom w:val="single" w:color="000000" w:sz="4" w:space="0"/>
              <w:right w:val="single" w:color="000000" w:sz="4" w:space="0"/>
            </w:tcBorders>
            <w:noWrap w:val="0"/>
            <w:vAlign w:val="center"/>
          </w:tcPr>
          <w:p w14:paraId="100638D9">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cs="宋体"/>
                <w:color w:val="auto"/>
                <w:kern w:val="0"/>
                <w:sz w:val="18"/>
                <w:szCs w:val="18"/>
                <w:highlight w:val="none"/>
                <w:vertAlign w:val="baseline"/>
                <w:lang w:val="en-US" w:eastAsia="zh-CN" w:bidi="ar"/>
              </w:rPr>
              <w:t>软件和信息技术服务业</w:t>
            </w:r>
          </w:p>
        </w:tc>
        <w:tc>
          <w:tcPr>
            <w:tcW w:w="2043" w:type="dxa"/>
            <w:vMerge w:val="continue"/>
            <w:tcBorders>
              <w:left w:val="single" w:color="000000" w:sz="4" w:space="0"/>
              <w:right w:val="single" w:color="000000" w:sz="4" w:space="0"/>
            </w:tcBorders>
            <w:noWrap w:val="0"/>
            <w:vAlign w:val="center"/>
          </w:tcPr>
          <w:p w14:paraId="7BBD9728">
            <w:pPr>
              <w:keepNext w:val="0"/>
              <w:keepLines w:val="0"/>
              <w:widowControl/>
              <w:suppressLineNumbers w:val="0"/>
              <w:jc w:val="center"/>
              <w:textAlignment w:val="center"/>
              <w:rPr>
                <w:rFonts w:hint="eastAsia" w:cs="宋体"/>
                <w:color w:val="auto"/>
                <w:kern w:val="0"/>
                <w:sz w:val="18"/>
                <w:szCs w:val="18"/>
                <w:highlight w:val="none"/>
                <w:vertAlign w:val="baseline"/>
                <w:lang w:val="en-US" w:eastAsia="zh-CN" w:bidi="ar"/>
              </w:rPr>
            </w:pPr>
          </w:p>
        </w:tc>
      </w:tr>
      <w:tr w14:paraId="674025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838" w:type="dxa"/>
            <w:tcBorders>
              <w:top w:val="single" w:color="000000" w:sz="4" w:space="0"/>
              <w:left w:val="single" w:color="000000" w:sz="4" w:space="0"/>
              <w:bottom w:val="single" w:color="000000" w:sz="4" w:space="0"/>
              <w:right w:val="single" w:color="000000" w:sz="4" w:space="0"/>
            </w:tcBorders>
            <w:noWrap w:val="0"/>
            <w:vAlign w:val="center"/>
          </w:tcPr>
          <w:p w14:paraId="612CFB1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18"/>
                <w:szCs w:val="18"/>
                <w:u w:val="none"/>
                <w:lang w:val="en-US" w:eastAsia="zh-CN" w:bidi="ar"/>
              </w:rPr>
              <w:t>7</w:t>
            </w:r>
          </w:p>
        </w:tc>
        <w:tc>
          <w:tcPr>
            <w:tcW w:w="2645" w:type="dxa"/>
            <w:tcBorders>
              <w:top w:val="single" w:color="000000" w:sz="4" w:space="0"/>
              <w:left w:val="single" w:color="000000" w:sz="4" w:space="0"/>
              <w:bottom w:val="single" w:color="000000" w:sz="4" w:space="0"/>
              <w:right w:val="single" w:color="000000" w:sz="4" w:space="0"/>
            </w:tcBorders>
            <w:noWrap/>
            <w:vAlign w:val="center"/>
          </w:tcPr>
          <w:p w14:paraId="0CF215CF">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18"/>
                <w:szCs w:val="18"/>
                <w:u w:val="none"/>
                <w:lang w:val="en-US" w:eastAsia="zh-CN" w:bidi="ar"/>
              </w:rPr>
              <w:t>智能采选</w:t>
            </w:r>
          </w:p>
        </w:tc>
        <w:tc>
          <w:tcPr>
            <w:tcW w:w="704" w:type="dxa"/>
            <w:tcBorders>
              <w:top w:val="single" w:color="000000" w:sz="4" w:space="0"/>
              <w:left w:val="single" w:color="000000" w:sz="4" w:space="0"/>
              <w:bottom w:val="single" w:color="000000" w:sz="4" w:space="0"/>
              <w:right w:val="single" w:color="000000" w:sz="4" w:space="0"/>
            </w:tcBorders>
            <w:noWrap w:val="0"/>
            <w:vAlign w:val="center"/>
          </w:tcPr>
          <w:p w14:paraId="0AF867C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18"/>
                <w:szCs w:val="18"/>
                <w:u w:val="none"/>
                <w:lang w:val="en-US" w:eastAsia="zh-CN" w:bidi="ar"/>
              </w:rPr>
              <w:t>1</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8B9F31C">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18"/>
                <w:szCs w:val="18"/>
                <w:u w:val="none"/>
                <w:lang w:val="en-US" w:eastAsia="zh-CN" w:bidi="ar"/>
              </w:rPr>
              <w:t>套</w:t>
            </w:r>
          </w:p>
        </w:tc>
        <w:tc>
          <w:tcPr>
            <w:tcW w:w="2264" w:type="dxa"/>
            <w:tcBorders>
              <w:top w:val="single" w:color="000000" w:sz="4" w:space="0"/>
              <w:left w:val="single" w:color="000000" w:sz="4" w:space="0"/>
              <w:bottom w:val="single" w:color="000000" w:sz="4" w:space="0"/>
              <w:right w:val="single" w:color="000000" w:sz="4" w:space="0"/>
            </w:tcBorders>
            <w:noWrap w:val="0"/>
            <w:vAlign w:val="center"/>
          </w:tcPr>
          <w:p w14:paraId="4151F8FB">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cs="宋体"/>
                <w:color w:val="auto"/>
                <w:kern w:val="0"/>
                <w:sz w:val="18"/>
                <w:szCs w:val="18"/>
                <w:highlight w:val="none"/>
                <w:vertAlign w:val="baseline"/>
                <w:lang w:val="en-US" w:eastAsia="zh-CN" w:bidi="ar"/>
              </w:rPr>
              <w:t>软件和信息技术服务业</w:t>
            </w:r>
          </w:p>
        </w:tc>
        <w:tc>
          <w:tcPr>
            <w:tcW w:w="2043" w:type="dxa"/>
            <w:vMerge w:val="continue"/>
            <w:tcBorders>
              <w:left w:val="single" w:color="000000" w:sz="4" w:space="0"/>
              <w:right w:val="single" w:color="000000" w:sz="4" w:space="0"/>
            </w:tcBorders>
            <w:noWrap w:val="0"/>
            <w:vAlign w:val="center"/>
          </w:tcPr>
          <w:p w14:paraId="608A1518">
            <w:pPr>
              <w:keepNext w:val="0"/>
              <w:keepLines w:val="0"/>
              <w:widowControl/>
              <w:suppressLineNumbers w:val="0"/>
              <w:jc w:val="center"/>
              <w:textAlignment w:val="center"/>
              <w:rPr>
                <w:rFonts w:hint="eastAsia" w:cs="宋体"/>
                <w:color w:val="auto"/>
                <w:kern w:val="0"/>
                <w:sz w:val="18"/>
                <w:szCs w:val="18"/>
                <w:highlight w:val="none"/>
                <w:vertAlign w:val="baseline"/>
                <w:lang w:val="en-US" w:eastAsia="zh-CN" w:bidi="ar"/>
              </w:rPr>
            </w:pPr>
          </w:p>
        </w:tc>
      </w:tr>
      <w:tr w14:paraId="39061A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838" w:type="dxa"/>
            <w:tcBorders>
              <w:top w:val="single" w:color="000000" w:sz="4" w:space="0"/>
              <w:left w:val="single" w:color="000000" w:sz="4" w:space="0"/>
              <w:bottom w:val="single" w:color="000000" w:sz="4" w:space="0"/>
              <w:right w:val="single" w:color="000000" w:sz="4" w:space="0"/>
            </w:tcBorders>
            <w:noWrap w:val="0"/>
            <w:vAlign w:val="center"/>
          </w:tcPr>
          <w:p w14:paraId="4907775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18"/>
                <w:szCs w:val="18"/>
                <w:u w:val="none"/>
                <w:lang w:val="en-US" w:eastAsia="zh-CN" w:bidi="ar"/>
              </w:rPr>
              <w:t>8</w:t>
            </w:r>
          </w:p>
        </w:tc>
        <w:tc>
          <w:tcPr>
            <w:tcW w:w="2645" w:type="dxa"/>
            <w:tcBorders>
              <w:top w:val="single" w:color="000000" w:sz="4" w:space="0"/>
              <w:left w:val="single" w:color="000000" w:sz="4" w:space="0"/>
              <w:bottom w:val="single" w:color="000000" w:sz="4" w:space="0"/>
              <w:right w:val="single" w:color="000000" w:sz="4" w:space="0"/>
            </w:tcBorders>
            <w:noWrap/>
            <w:vAlign w:val="center"/>
          </w:tcPr>
          <w:p w14:paraId="31BB5172">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18"/>
                <w:szCs w:val="18"/>
                <w:u w:val="none"/>
                <w:lang w:val="en-US" w:eastAsia="zh-CN" w:bidi="ar"/>
              </w:rPr>
              <w:t>座位预约系统</w:t>
            </w:r>
          </w:p>
        </w:tc>
        <w:tc>
          <w:tcPr>
            <w:tcW w:w="704" w:type="dxa"/>
            <w:tcBorders>
              <w:top w:val="single" w:color="000000" w:sz="4" w:space="0"/>
              <w:left w:val="single" w:color="000000" w:sz="4" w:space="0"/>
              <w:bottom w:val="single" w:color="000000" w:sz="4" w:space="0"/>
              <w:right w:val="single" w:color="000000" w:sz="4" w:space="0"/>
            </w:tcBorders>
            <w:noWrap w:val="0"/>
            <w:vAlign w:val="center"/>
          </w:tcPr>
          <w:p w14:paraId="195B766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18"/>
                <w:szCs w:val="18"/>
                <w:u w:val="none"/>
                <w:lang w:val="en-US" w:eastAsia="zh-CN" w:bidi="ar"/>
              </w:rPr>
              <w:t>1</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91B7C3D">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18"/>
                <w:szCs w:val="18"/>
                <w:u w:val="none"/>
                <w:lang w:val="en-US" w:eastAsia="zh-CN" w:bidi="ar"/>
              </w:rPr>
              <w:t>套</w:t>
            </w:r>
          </w:p>
        </w:tc>
        <w:tc>
          <w:tcPr>
            <w:tcW w:w="2264" w:type="dxa"/>
            <w:tcBorders>
              <w:top w:val="single" w:color="000000" w:sz="4" w:space="0"/>
              <w:left w:val="single" w:color="000000" w:sz="4" w:space="0"/>
              <w:bottom w:val="single" w:color="000000" w:sz="4" w:space="0"/>
              <w:right w:val="single" w:color="000000" w:sz="4" w:space="0"/>
            </w:tcBorders>
            <w:noWrap w:val="0"/>
            <w:vAlign w:val="center"/>
          </w:tcPr>
          <w:p w14:paraId="1378F454">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cs="宋体"/>
                <w:color w:val="auto"/>
                <w:kern w:val="0"/>
                <w:sz w:val="18"/>
                <w:szCs w:val="18"/>
                <w:highlight w:val="none"/>
                <w:vertAlign w:val="baseline"/>
                <w:lang w:val="en-US" w:eastAsia="zh-CN" w:bidi="ar"/>
              </w:rPr>
              <w:t>软件和信息技术服务业</w:t>
            </w:r>
          </w:p>
        </w:tc>
        <w:tc>
          <w:tcPr>
            <w:tcW w:w="2043" w:type="dxa"/>
            <w:vMerge w:val="continue"/>
            <w:tcBorders>
              <w:left w:val="single" w:color="000000" w:sz="4" w:space="0"/>
              <w:right w:val="single" w:color="000000" w:sz="4" w:space="0"/>
            </w:tcBorders>
            <w:noWrap w:val="0"/>
            <w:vAlign w:val="center"/>
          </w:tcPr>
          <w:p w14:paraId="6C9C1BED">
            <w:pPr>
              <w:keepNext w:val="0"/>
              <w:keepLines w:val="0"/>
              <w:widowControl/>
              <w:suppressLineNumbers w:val="0"/>
              <w:jc w:val="center"/>
              <w:textAlignment w:val="center"/>
              <w:rPr>
                <w:rFonts w:hint="eastAsia" w:cs="宋体"/>
                <w:color w:val="auto"/>
                <w:kern w:val="0"/>
                <w:sz w:val="18"/>
                <w:szCs w:val="18"/>
                <w:highlight w:val="none"/>
                <w:vertAlign w:val="baseline"/>
                <w:lang w:val="en-US" w:eastAsia="zh-CN" w:bidi="ar"/>
              </w:rPr>
            </w:pPr>
          </w:p>
        </w:tc>
      </w:tr>
      <w:tr w14:paraId="7A69D8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838" w:type="dxa"/>
            <w:tcBorders>
              <w:top w:val="single" w:color="000000" w:sz="4" w:space="0"/>
              <w:left w:val="single" w:color="000000" w:sz="4" w:space="0"/>
              <w:bottom w:val="single" w:color="000000" w:sz="4" w:space="0"/>
              <w:right w:val="single" w:color="000000" w:sz="4" w:space="0"/>
            </w:tcBorders>
            <w:noWrap w:val="0"/>
            <w:vAlign w:val="center"/>
          </w:tcPr>
          <w:p w14:paraId="187DE67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18"/>
                <w:szCs w:val="18"/>
                <w:u w:val="none"/>
                <w:lang w:val="en-US" w:eastAsia="zh-CN" w:bidi="ar"/>
              </w:rPr>
              <w:t>9</w:t>
            </w:r>
          </w:p>
        </w:tc>
        <w:tc>
          <w:tcPr>
            <w:tcW w:w="2645" w:type="dxa"/>
            <w:tcBorders>
              <w:top w:val="single" w:color="000000" w:sz="4" w:space="0"/>
              <w:left w:val="single" w:color="000000" w:sz="4" w:space="0"/>
              <w:bottom w:val="single" w:color="000000" w:sz="4" w:space="0"/>
              <w:right w:val="single" w:color="000000" w:sz="4" w:space="0"/>
            </w:tcBorders>
            <w:noWrap w:val="0"/>
            <w:vAlign w:val="center"/>
          </w:tcPr>
          <w:p w14:paraId="7C06C296">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18"/>
                <w:szCs w:val="18"/>
                <w:u w:val="none"/>
                <w:lang w:val="en-US" w:eastAsia="zh-CN" w:bidi="ar"/>
              </w:rPr>
              <w:t>大数据分析展示系统</w:t>
            </w:r>
          </w:p>
        </w:tc>
        <w:tc>
          <w:tcPr>
            <w:tcW w:w="704" w:type="dxa"/>
            <w:tcBorders>
              <w:top w:val="single" w:color="000000" w:sz="4" w:space="0"/>
              <w:left w:val="single" w:color="000000" w:sz="4" w:space="0"/>
              <w:bottom w:val="single" w:color="000000" w:sz="4" w:space="0"/>
              <w:right w:val="single" w:color="000000" w:sz="4" w:space="0"/>
            </w:tcBorders>
            <w:noWrap w:val="0"/>
            <w:vAlign w:val="center"/>
          </w:tcPr>
          <w:p w14:paraId="54EE6F4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18"/>
                <w:szCs w:val="18"/>
                <w:u w:val="none"/>
                <w:lang w:val="en-US" w:eastAsia="zh-CN" w:bidi="ar"/>
              </w:rPr>
              <w:t>1</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4493645">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18"/>
                <w:szCs w:val="18"/>
                <w:u w:val="none"/>
                <w:lang w:val="en-US" w:eastAsia="zh-CN" w:bidi="ar"/>
              </w:rPr>
              <w:t>套</w:t>
            </w:r>
          </w:p>
        </w:tc>
        <w:tc>
          <w:tcPr>
            <w:tcW w:w="2264" w:type="dxa"/>
            <w:tcBorders>
              <w:top w:val="single" w:color="000000" w:sz="4" w:space="0"/>
              <w:left w:val="single" w:color="000000" w:sz="4" w:space="0"/>
              <w:bottom w:val="single" w:color="000000" w:sz="4" w:space="0"/>
              <w:right w:val="single" w:color="000000" w:sz="4" w:space="0"/>
            </w:tcBorders>
            <w:noWrap w:val="0"/>
            <w:vAlign w:val="center"/>
          </w:tcPr>
          <w:p w14:paraId="52C560F1">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cs="宋体"/>
                <w:color w:val="auto"/>
                <w:kern w:val="0"/>
                <w:sz w:val="18"/>
                <w:szCs w:val="18"/>
                <w:highlight w:val="none"/>
                <w:vertAlign w:val="baseline"/>
                <w:lang w:val="en-US" w:eastAsia="zh-CN" w:bidi="ar"/>
              </w:rPr>
              <w:t>软件和信息技术服务业</w:t>
            </w:r>
          </w:p>
        </w:tc>
        <w:tc>
          <w:tcPr>
            <w:tcW w:w="2043" w:type="dxa"/>
            <w:vMerge w:val="continue"/>
            <w:tcBorders>
              <w:left w:val="single" w:color="000000" w:sz="4" w:space="0"/>
              <w:right w:val="single" w:color="000000" w:sz="4" w:space="0"/>
            </w:tcBorders>
            <w:noWrap w:val="0"/>
            <w:vAlign w:val="center"/>
          </w:tcPr>
          <w:p w14:paraId="025231FF">
            <w:pPr>
              <w:keepNext w:val="0"/>
              <w:keepLines w:val="0"/>
              <w:widowControl/>
              <w:suppressLineNumbers w:val="0"/>
              <w:jc w:val="center"/>
              <w:textAlignment w:val="center"/>
              <w:rPr>
                <w:rFonts w:hint="eastAsia" w:cs="宋体"/>
                <w:color w:val="auto"/>
                <w:kern w:val="0"/>
                <w:sz w:val="18"/>
                <w:szCs w:val="18"/>
                <w:highlight w:val="none"/>
                <w:vertAlign w:val="baseline"/>
                <w:lang w:val="en-US" w:eastAsia="zh-CN" w:bidi="ar"/>
              </w:rPr>
            </w:pPr>
          </w:p>
        </w:tc>
      </w:tr>
      <w:tr w14:paraId="09FBFA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838" w:type="dxa"/>
            <w:tcBorders>
              <w:top w:val="single" w:color="000000" w:sz="4" w:space="0"/>
              <w:left w:val="single" w:color="000000" w:sz="4" w:space="0"/>
              <w:bottom w:val="single" w:color="000000" w:sz="4" w:space="0"/>
              <w:right w:val="single" w:color="000000" w:sz="4" w:space="0"/>
            </w:tcBorders>
            <w:noWrap w:val="0"/>
            <w:vAlign w:val="center"/>
          </w:tcPr>
          <w:p w14:paraId="3AE8482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18"/>
                <w:szCs w:val="18"/>
                <w:u w:val="none"/>
                <w:lang w:val="en-US" w:eastAsia="zh-CN" w:bidi="ar"/>
              </w:rPr>
              <w:t>10</w:t>
            </w:r>
          </w:p>
        </w:tc>
        <w:tc>
          <w:tcPr>
            <w:tcW w:w="2645" w:type="dxa"/>
            <w:tcBorders>
              <w:top w:val="single" w:color="000000" w:sz="4" w:space="0"/>
              <w:left w:val="single" w:color="000000" w:sz="4" w:space="0"/>
              <w:bottom w:val="single" w:color="000000" w:sz="4" w:space="0"/>
              <w:right w:val="single" w:color="000000" w:sz="4" w:space="0"/>
            </w:tcBorders>
            <w:noWrap w:val="0"/>
            <w:vAlign w:val="center"/>
          </w:tcPr>
          <w:p w14:paraId="523A5BCC">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18"/>
                <w:szCs w:val="18"/>
                <w:u w:val="none"/>
                <w:lang w:val="en-US" w:eastAsia="zh-CN" w:bidi="ar"/>
              </w:rPr>
              <w:t>移动图书馆</w:t>
            </w:r>
          </w:p>
        </w:tc>
        <w:tc>
          <w:tcPr>
            <w:tcW w:w="704" w:type="dxa"/>
            <w:tcBorders>
              <w:top w:val="single" w:color="000000" w:sz="4" w:space="0"/>
              <w:left w:val="single" w:color="000000" w:sz="4" w:space="0"/>
              <w:bottom w:val="single" w:color="000000" w:sz="4" w:space="0"/>
              <w:right w:val="single" w:color="000000" w:sz="4" w:space="0"/>
            </w:tcBorders>
            <w:noWrap w:val="0"/>
            <w:vAlign w:val="center"/>
          </w:tcPr>
          <w:p w14:paraId="247BCEF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2"/>
                <w:szCs w:val="22"/>
                <w:u w:val="none"/>
                <w:lang w:val="en-US" w:eastAsia="zh-CN" w:bidi="ar"/>
              </w:rPr>
              <w:t>1</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3B4798A">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18"/>
                <w:szCs w:val="18"/>
                <w:u w:val="none"/>
                <w:lang w:val="en-US" w:eastAsia="zh-CN" w:bidi="ar"/>
              </w:rPr>
              <w:t>套</w:t>
            </w:r>
          </w:p>
        </w:tc>
        <w:tc>
          <w:tcPr>
            <w:tcW w:w="2264" w:type="dxa"/>
            <w:tcBorders>
              <w:top w:val="single" w:color="000000" w:sz="4" w:space="0"/>
              <w:left w:val="single" w:color="000000" w:sz="4" w:space="0"/>
              <w:bottom w:val="single" w:color="000000" w:sz="4" w:space="0"/>
              <w:right w:val="single" w:color="000000" w:sz="4" w:space="0"/>
            </w:tcBorders>
            <w:noWrap w:val="0"/>
            <w:vAlign w:val="center"/>
          </w:tcPr>
          <w:p w14:paraId="15CA786E">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cs="宋体"/>
                <w:color w:val="auto"/>
                <w:kern w:val="0"/>
                <w:sz w:val="18"/>
                <w:szCs w:val="18"/>
                <w:highlight w:val="none"/>
                <w:vertAlign w:val="baseline"/>
                <w:lang w:val="en-US" w:eastAsia="zh-CN" w:bidi="ar"/>
              </w:rPr>
              <w:t>软件和信息技术服务业</w:t>
            </w:r>
          </w:p>
        </w:tc>
        <w:tc>
          <w:tcPr>
            <w:tcW w:w="2043" w:type="dxa"/>
            <w:vMerge w:val="continue"/>
            <w:tcBorders>
              <w:left w:val="single" w:color="000000" w:sz="4" w:space="0"/>
              <w:right w:val="single" w:color="000000" w:sz="4" w:space="0"/>
            </w:tcBorders>
            <w:noWrap w:val="0"/>
            <w:vAlign w:val="center"/>
          </w:tcPr>
          <w:p w14:paraId="01C59193">
            <w:pPr>
              <w:keepNext w:val="0"/>
              <w:keepLines w:val="0"/>
              <w:widowControl/>
              <w:suppressLineNumbers w:val="0"/>
              <w:jc w:val="center"/>
              <w:textAlignment w:val="center"/>
              <w:rPr>
                <w:rFonts w:hint="eastAsia" w:cs="宋体"/>
                <w:color w:val="auto"/>
                <w:kern w:val="0"/>
                <w:sz w:val="18"/>
                <w:szCs w:val="18"/>
                <w:highlight w:val="none"/>
                <w:vertAlign w:val="baseline"/>
                <w:lang w:val="en-US" w:eastAsia="zh-CN" w:bidi="ar"/>
              </w:rPr>
            </w:pPr>
          </w:p>
        </w:tc>
      </w:tr>
      <w:tr w14:paraId="25B25C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838" w:type="dxa"/>
            <w:tcBorders>
              <w:top w:val="single" w:color="000000" w:sz="4" w:space="0"/>
              <w:left w:val="single" w:color="000000" w:sz="4" w:space="0"/>
              <w:bottom w:val="single" w:color="000000" w:sz="4" w:space="0"/>
              <w:right w:val="single" w:color="000000" w:sz="4" w:space="0"/>
            </w:tcBorders>
            <w:noWrap w:val="0"/>
            <w:vAlign w:val="center"/>
          </w:tcPr>
          <w:p w14:paraId="3FC5204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18"/>
                <w:szCs w:val="18"/>
                <w:u w:val="none"/>
                <w:lang w:val="en-US" w:eastAsia="zh-CN" w:bidi="ar"/>
              </w:rPr>
              <w:t>11</w:t>
            </w:r>
          </w:p>
        </w:tc>
        <w:tc>
          <w:tcPr>
            <w:tcW w:w="2645" w:type="dxa"/>
            <w:tcBorders>
              <w:top w:val="single" w:color="000000" w:sz="4" w:space="0"/>
              <w:left w:val="single" w:color="000000" w:sz="4" w:space="0"/>
              <w:bottom w:val="single" w:color="000000" w:sz="4" w:space="0"/>
              <w:right w:val="single" w:color="000000" w:sz="4" w:space="0"/>
            </w:tcBorders>
            <w:noWrap w:val="0"/>
            <w:vAlign w:val="center"/>
          </w:tcPr>
          <w:p w14:paraId="3A152A8D">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18"/>
                <w:szCs w:val="18"/>
                <w:u w:val="none"/>
                <w:lang w:val="en-US" w:eastAsia="zh-CN" w:bidi="ar"/>
              </w:rPr>
              <w:t>阅读学分系统</w:t>
            </w:r>
          </w:p>
        </w:tc>
        <w:tc>
          <w:tcPr>
            <w:tcW w:w="704" w:type="dxa"/>
            <w:tcBorders>
              <w:top w:val="single" w:color="000000" w:sz="4" w:space="0"/>
              <w:left w:val="single" w:color="000000" w:sz="4" w:space="0"/>
              <w:bottom w:val="single" w:color="000000" w:sz="4" w:space="0"/>
              <w:right w:val="single" w:color="000000" w:sz="4" w:space="0"/>
            </w:tcBorders>
            <w:noWrap/>
            <w:vAlign w:val="center"/>
          </w:tcPr>
          <w:p w14:paraId="367F587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2"/>
                <w:szCs w:val="22"/>
                <w:u w:val="none"/>
                <w:lang w:val="en-US" w:eastAsia="zh-CN" w:bidi="ar"/>
              </w:rPr>
              <w:t>1</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91B088E">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18"/>
                <w:szCs w:val="18"/>
                <w:u w:val="none"/>
                <w:lang w:val="en-US" w:eastAsia="zh-CN" w:bidi="ar"/>
              </w:rPr>
              <w:t>套</w:t>
            </w:r>
          </w:p>
        </w:tc>
        <w:tc>
          <w:tcPr>
            <w:tcW w:w="2264" w:type="dxa"/>
            <w:tcBorders>
              <w:top w:val="single" w:color="000000" w:sz="4" w:space="0"/>
              <w:left w:val="single" w:color="000000" w:sz="4" w:space="0"/>
              <w:bottom w:val="single" w:color="000000" w:sz="4" w:space="0"/>
              <w:right w:val="single" w:color="000000" w:sz="4" w:space="0"/>
            </w:tcBorders>
            <w:noWrap w:val="0"/>
            <w:vAlign w:val="center"/>
          </w:tcPr>
          <w:p w14:paraId="0B093155">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cs="宋体"/>
                <w:color w:val="auto"/>
                <w:kern w:val="0"/>
                <w:sz w:val="18"/>
                <w:szCs w:val="18"/>
                <w:highlight w:val="none"/>
                <w:vertAlign w:val="baseline"/>
                <w:lang w:val="en-US" w:eastAsia="zh-CN" w:bidi="ar"/>
              </w:rPr>
              <w:t>软件和信息技术服务业</w:t>
            </w:r>
          </w:p>
        </w:tc>
        <w:tc>
          <w:tcPr>
            <w:tcW w:w="2043" w:type="dxa"/>
            <w:vMerge w:val="continue"/>
            <w:tcBorders>
              <w:left w:val="single" w:color="000000" w:sz="4" w:space="0"/>
              <w:right w:val="single" w:color="000000" w:sz="4" w:space="0"/>
            </w:tcBorders>
            <w:noWrap w:val="0"/>
            <w:vAlign w:val="center"/>
          </w:tcPr>
          <w:p w14:paraId="1840F249">
            <w:pPr>
              <w:keepNext w:val="0"/>
              <w:keepLines w:val="0"/>
              <w:widowControl/>
              <w:suppressLineNumbers w:val="0"/>
              <w:jc w:val="center"/>
              <w:textAlignment w:val="center"/>
              <w:rPr>
                <w:rFonts w:hint="eastAsia" w:cs="宋体"/>
                <w:color w:val="auto"/>
                <w:kern w:val="0"/>
                <w:sz w:val="18"/>
                <w:szCs w:val="18"/>
                <w:highlight w:val="none"/>
                <w:vertAlign w:val="baseline"/>
                <w:lang w:val="en-US" w:eastAsia="zh-CN" w:bidi="ar"/>
              </w:rPr>
            </w:pPr>
          </w:p>
        </w:tc>
      </w:tr>
      <w:tr w14:paraId="714C51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838" w:type="dxa"/>
            <w:tcBorders>
              <w:top w:val="single" w:color="000000" w:sz="4" w:space="0"/>
              <w:left w:val="single" w:color="000000" w:sz="4" w:space="0"/>
              <w:bottom w:val="single" w:color="000000" w:sz="4" w:space="0"/>
              <w:right w:val="single" w:color="000000" w:sz="4" w:space="0"/>
            </w:tcBorders>
            <w:noWrap w:val="0"/>
            <w:vAlign w:val="center"/>
          </w:tcPr>
          <w:p w14:paraId="5C368B8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18"/>
                <w:szCs w:val="18"/>
                <w:u w:val="none"/>
                <w:lang w:val="en-US" w:eastAsia="zh-CN" w:bidi="ar"/>
              </w:rPr>
              <w:t>12</w:t>
            </w:r>
          </w:p>
        </w:tc>
        <w:tc>
          <w:tcPr>
            <w:tcW w:w="2645" w:type="dxa"/>
            <w:tcBorders>
              <w:top w:val="single" w:color="000000" w:sz="4" w:space="0"/>
              <w:left w:val="single" w:color="000000" w:sz="4" w:space="0"/>
              <w:bottom w:val="single" w:color="000000" w:sz="4" w:space="0"/>
              <w:right w:val="single" w:color="000000" w:sz="4" w:space="0"/>
            </w:tcBorders>
            <w:noWrap w:val="0"/>
            <w:vAlign w:val="center"/>
          </w:tcPr>
          <w:p w14:paraId="1FCCFFD9">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18"/>
                <w:szCs w:val="18"/>
                <w:u w:val="none"/>
                <w:lang w:val="en-US" w:eastAsia="zh-CN" w:bidi="ar"/>
              </w:rPr>
              <w:t>图书馆</w:t>
            </w:r>
            <w:r>
              <w:rPr>
                <w:rStyle w:val="222"/>
                <w:rFonts w:eastAsia="宋体"/>
                <w:color w:val="auto"/>
                <w:lang w:val="en-US" w:eastAsia="zh-CN" w:bidi="ar"/>
              </w:rPr>
              <w:t>720</w:t>
            </w:r>
            <w:r>
              <w:rPr>
                <w:rStyle w:val="112"/>
                <w:color w:val="auto"/>
                <w:lang w:val="en-US" w:eastAsia="zh-CN" w:bidi="ar"/>
              </w:rPr>
              <w:t>度全景展示</w:t>
            </w:r>
          </w:p>
        </w:tc>
        <w:tc>
          <w:tcPr>
            <w:tcW w:w="704" w:type="dxa"/>
            <w:tcBorders>
              <w:top w:val="single" w:color="000000" w:sz="4" w:space="0"/>
              <w:left w:val="single" w:color="000000" w:sz="4" w:space="0"/>
              <w:bottom w:val="single" w:color="000000" w:sz="4" w:space="0"/>
              <w:right w:val="single" w:color="000000" w:sz="4" w:space="0"/>
            </w:tcBorders>
            <w:noWrap/>
            <w:vAlign w:val="center"/>
          </w:tcPr>
          <w:p w14:paraId="5D87315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18"/>
                <w:szCs w:val="18"/>
                <w:u w:val="none"/>
                <w:lang w:val="en-US" w:eastAsia="zh-CN" w:bidi="ar"/>
              </w:rPr>
              <w:t>1</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77B08A3">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18"/>
                <w:szCs w:val="18"/>
                <w:u w:val="none"/>
                <w:lang w:val="en-US" w:eastAsia="zh-CN" w:bidi="ar"/>
              </w:rPr>
              <w:t>套</w:t>
            </w:r>
          </w:p>
        </w:tc>
        <w:tc>
          <w:tcPr>
            <w:tcW w:w="2264" w:type="dxa"/>
            <w:tcBorders>
              <w:top w:val="single" w:color="000000" w:sz="4" w:space="0"/>
              <w:left w:val="single" w:color="000000" w:sz="4" w:space="0"/>
              <w:bottom w:val="single" w:color="000000" w:sz="4" w:space="0"/>
              <w:right w:val="single" w:color="000000" w:sz="4" w:space="0"/>
            </w:tcBorders>
            <w:noWrap w:val="0"/>
            <w:vAlign w:val="center"/>
          </w:tcPr>
          <w:p w14:paraId="4E0C5BC5">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cs="宋体"/>
                <w:color w:val="auto"/>
                <w:kern w:val="0"/>
                <w:sz w:val="18"/>
                <w:szCs w:val="18"/>
                <w:highlight w:val="none"/>
                <w:vertAlign w:val="baseline"/>
                <w:lang w:val="en-US" w:eastAsia="zh-CN" w:bidi="ar"/>
              </w:rPr>
              <w:t>软件和信息技术服务业</w:t>
            </w:r>
          </w:p>
        </w:tc>
        <w:tc>
          <w:tcPr>
            <w:tcW w:w="2043" w:type="dxa"/>
            <w:vMerge w:val="continue"/>
            <w:tcBorders>
              <w:left w:val="single" w:color="000000" w:sz="4" w:space="0"/>
              <w:right w:val="single" w:color="000000" w:sz="4" w:space="0"/>
            </w:tcBorders>
            <w:noWrap w:val="0"/>
            <w:vAlign w:val="center"/>
          </w:tcPr>
          <w:p w14:paraId="29BBD1F7">
            <w:pPr>
              <w:keepNext w:val="0"/>
              <w:keepLines w:val="0"/>
              <w:widowControl/>
              <w:suppressLineNumbers w:val="0"/>
              <w:jc w:val="center"/>
              <w:textAlignment w:val="center"/>
              <w:rPr>
                <w:rFonts w:hint="eastAsia" w:cs="宋体"/>
                <w:color w:val="auto"/>
                <w:kern w:val="0"/>
                <w:sz w:val="18"/>
                <w:szCs w:val="18"/>
                <w:highlight w:val="none"/>
                <w:vertAlign w:val="baseline"/>
                <w:lang w:val="en-US" w:eastAsia="zh-CN" w:bidi="ar"/>
              </w:rPr>
            </w:pPr>
          </w:p>
        </w:tc>
      </w:tr>
      <w:tr w14:paraId="66E26D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838" w:type="dxa"/>
            <w:tcBorders>
              <w:top w:val="single" w:color="000000" w:sz="4" w:space="0"/>
              <w:left w:val="single" w:color="000000" w:sz="4" w:space="0"/>
              <w:bottom w:val="single" w:color="000000" w:sz="4" w:space="0"/>
              <w:right w:val="single" w:color="000000" w:sz="4" w:space="0"/>
            </w:tcBorders>
            <w:noWrap w:val="0"/>
            <w:vAlign w:val="center"/>
          </w:tcPr>
          <w:p w14:paraId="25AA08A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18"/>
                <w:szCs w:val="18"/>
                <w:u w:val="none"/>
                <w:lang w:val="en-US" w:eastAsia="zh-CN" w:bidi="ar"/>
              </w:rPr>
              <w:t>13</w:t>
            </w:r>
          </w:p>
        </w:tc>
        <w:tc>
          <w:tcPr>
            <w:tcW w:w="2645" w:type="dxa"/>
            <w:tcBorders>
              <w:top w:val="single" w:color="000000" w:sz="4" w:space="0"/>
              <w:left w:val="single" w:color="000000" w:sz="4" w:space="0"/>
              <w:bottom w:val="single" w:color="000000" w:sz="4" w:space="0"/>
              <w:right w:val="single" w:color="000000" w:sz="4" w:space="0"/>
            </w:tcBorders>
            <w:noWrap w:val="0"/>
            <w:vAlign w:val="center"/>
          </w:tcPr>
          <w:p w14:paraId="136FB4B4">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18"/>
                <w:szCs w:val="18"/>
                <w:u w:val="none"/>
                <w:lang w:val="en-US" w:eastAsia="zh-CN" w:bidi="ar"/>
              </w:rPr>
              <w:t>阅读本自助借阅系统</w:t>
            </w:r>
          </w:p>
        </w:tc>
        <w:tc>
          <w:tcPr>
            <w:tcW w:w="704" w:type="dxa"/>
            <w:tcBorders>
              <w:top w:val="single" w:color="000000" w:sz="4" w:space="0"/>
              <w:left w:val="single" w:color="000000" w:sz="4" w:space="0"/>
              <w:bottom w:val="single" w:color="000000" w:sz="4" w:space="0"/>
              <w:right w:val="single" w:color="000000" w:sz="4" w:space="0"/>
            </w:tcBorders>
            <w:noWrap w:val="0"/>
            <w:vAlign w:val="center"/>
          </w:tcPr>
          <w:p w14:paraId="16315C9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18"/>
                <w:szCs w:val="18"/>
                <w:u w:val="none"/>
                <w:lang w:val="en-US" w:eastAsia="zh-CN" w:bidi="ar"/>
              </w:rPr>
              <w:t>1</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70BC0BF">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18"/>
                <w:szCs w:val="18"/>
                <w:u w:val="none"/>
                <w:lang w:val="en-US" w:eastAsia="zh-CN" w:bidi="ar"/>
              </w:rPr>
              <w:t>套</w:t>
            </w:r>
          </w:p>
        </w:tc>
        <w:tc>
          <w:tcPr>
            <w:tcW w:w="2264" w:type="dxa"/>
            <w:tcBorders>
              <w:top w:val="single" w:color="000000" w:sz="4" w:space="0"/>
              <w:left w:val="single" w:color="000000" w:sz="4" w:space="0"/>
              <w:bottom w:val="single" w:color="000000" w:sz="4" w:space="0"/>
              <w:right w:val="single" w:color="000000" w:sz="4" w:space="0"/>
            </w:tcBorders>
            <w:noWrap w:val="0"/>
            <w:vAlign w:val="center"/>
          </w:tcPr>
          <w:p w14:paraId="59ECAD1D">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cs="宋体"/>
                <w:color w:val="auto"/>
                <w:kern w:val="0"/>
                <w:sz w:val="18"/>
                <w:szCs w:val="18"/>
                <w:highlight w:val="none"/>
                <w:vertAlign w:val="baseline"/>
                <w:lang w:val="en-US" w:eastAsia="zh-CN" w:bidi="ar"/>
              </w:rPr>
              <w:t>软件和信息技术服务业</w:t>
            </w:r>
          </w:p>
        </w:tc>
        <w:tc>
          <w:tcPr>
            <w:tcW w:w="2043" w:type="dxa"/>
            <w:vMerge w:val="continue"/>
            <w:tcBorders>
              <w:left w:val="single" w:color="000000" w:sz="4" w:space="0"/>
              <w:right w:val="single" w:color="000000" w:sz="4" w:space="0"/>
            </w:tcBorders>
            <w:noWrap w:val="0"/>
            <w:vAlign w:val="center"/>
          </w:tcPr>
          <w:p w14:paraId="3E1A2BA4">
            <w:pPr>
              <w:keepNext w:val="0"/>
              <w:keepLines w:val="0"/>
              <w:widowControl/>
              <w:suppressLineNumbers w:val="0"/>
              <w:jc w:val="center"/>
              <w:textAlignment w:val="center"/>
              <w:rPr>
                <w:rFonts w:hint="eastAsia" w:cs="宋体"/>
                <w:color w:val="auto"/>
                <w:kern w:val="0"/>
                <w:sz w:val="18"/>
                <w:szCs w:val="18"/>
                <w:highlight w:val="none"/>
                <w:vertAlign w:val="baseline"/>
                <w:lang w:val="en-US" w:eastAsia="zh-CN" w:bidi="ar"/>
              </w:rPr>
            </w:pPr>
          </w:p>
        </w:tc>
      </w:tr>
      <w:tr w14:paraId="215413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83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18CAFAF">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14</w:t>
            </w:r>
          </w:p>
        </w:tc>
        <w:tc>
          <w:tcPr>
            <w:tcW w:w="26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F220F0A">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馆员管理终端</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DB6825A">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cs="宋体"/>
                <w:i w:val="0"/>
                <w:iCs w:val="0"/>
                <w:color w:val="000000"/>
                <w:kern w:val="0"/>
                <w:sz w:val="18"/>
                <w:szCs w:val="18"/>
                <w:highlight w:val="none"/>
                <w:u w:val="none"/>
                <w:lang w:val="en-US" w:eastAsia="zh-CN" w:bidi="ar"/>
              </w:rPr>
              <w:t>10</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73DE547">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台</w:t>
            </w:r>
          </w:p>
        </w:tc>
        <w:tc>
          <w:tcPr>
            <w:tcW w:w="2264" w:type="dxa"/>
            <w:tcBorders>
              <w:top w:val="single" w:color="000000" w:sz="4" w:space="0"/>
              <w:left w:val="single" w:color="000000" w:sz="4" w:space="0"/>
              <w:bottom w:val="single" w:color="000000" w:sz="4" w:space="0"/>
              <w:right w:val="single" w:color="000000" w:sz="4" w:space="0"/>
            </w:tcBorders>
            <w:noWrap w:val="0"/>
            <w:vAlign w:val="center"/>
          </w:tcPr>
          <w:p w14:paraId="1146862C">
            <w:pPr>
              <w:keepNext w:val="0"/>
              <w:keepLines w:val="0"/>
              <w:widowControl/>
              <w:suppressLineNumbers w:val="0"/>
              <w:jc w:val="center"/>
              <w:textAlignment w:val="center"/>
              <w:rPr>
                <w:rFonts w:hint="eastAsia" w:cs="宋体"/>
                <w:color w:val="auto"/>
                <w:kern w:val="0"/>
                <w:sz w:val="18"/>
                <w:szCs w:val="18"/>
                <w:highlight w:val="none"/>
                <w:vertAlign w:val="baseline"/>
                <w:lang w:val="en-US" w:eastAsia="zh-CN" w:bidi="ar"/>
              </w:rPr>
            </w:pPr>
            <w:r>
              <w:rPr>
                <w:rFonts w:hint="eastAsia" w:cs="宋体"/>
                <w:color w:val="auto"/>
                <w:kern w:val="0"/>
                <w:sz w:val="18"/>
                <w:szCs w:val="18"/>
                <w:highlight w:val="none"/>
                <w:vertAlign w:val="baseline"/>
                <w:lang w:val="en-US" w:eastAsia="zh-CN" w:bidi="ar"/>
              </w:rPr>
              <w:t>软件和信息技术服务业</w:t>
            </w:r>
          </w:p>
        </w:tc>
        <w:tc>
          <w:tcPr>
            <w:tcW w:w="2043" w:type="dxa"/>
            <w:vMerge w:val="continue"/>
            <w:tcBorders>
              <w:left w:val="single" w:color="000000" w:sz="4" w:space="0"/>
              <w:bottom w:val="single" w:color="000000" w:sz="4" w:space="0"/>
              <w:right w:val="single" w:color="000000" w:sz="4" w:space="0"/>
            </w:tcBorders>
            <w:noWrap w:val="0"/>
            <w:vAlign w:val="center"/>
          </w:tcPr>
          <w:p w14:paraId="4FF568FA">
            <w:pPr>
              <w:keepNext w:val="0"/>
              <w:keepLines w:val="0"/>
              <w:widowControl/>
              <w:suppressLineNumbers w:val="0"/>
              <w:jc w:val="center"/>
              <w:textAlignment w:val="center"/>
              <w:rPr>
                <w:rFonts w:hint="eastAsia" w:cs="宋体"/>
                <w:color w:val="auto"/>
                <w:kern w:val="0"/>
                <w:sz w:val="18"/>
                <w:szCs w:val="18"/>
                <w:highlight w:val="none"/>
                <w:vertAlign w:val="baseline"/>
                <w:lang w:val="en-US" w:eastAsia="zh-CN" w:bidi="ar"/>
              </w:rPr>
            </w:pPr>
          </w:p>
        </w:tc>
      </w:tr>
    </w:tbl>
    <w:p w14:paraId="59560C13">
      <w:pPr>
        <w:wordWrap w:val="0"/>
        <w:spacing w:line="360" w:lineRule="auto"/>
        <w:ind w:firstLine="420" w:firstLineChars="200"/>
        <w:rPr>
          <w:rFonts w:ascii="宋体" w:hAnsi="宋体" w:cs="宋体"/>
          <w:bCs/>
          <w:color w:val="auto"/>
          <w:kern w:val="0"/>
          <w:szCs w:val="21"/>
          <w:highlight w:val="none"/>
        </w:rPr>
      </w:pPr>
      <w:r>
        <w:rPr>
          <w:rFonts w:hint="eastAsia" w:ascii="宋体" w:hAnsi="宋体" w:cs="宋体"/>
          <w:bCs/>
          <w:color w:val="auto"/>
          <w:kern w:val="0"/>
          <w:szCs w:val="21"/>
          <w:highlight w:val="none"/>
        </w:rPr>
        <w:t>基本概况：本项目属于货物类采购，具体参数见采购需求表。</w:t>
      </w:r>
    </w:p>
    <w:p w14:paraId="06AF6E8E">
      <w:pPr>
        <w:pStyle w:val="6"/>
        <w:spacing w:line="360" w:lineRule="auto"/>
        <w:ind w:firstLineChars="200"/>
        <w:rPr>
          <w:rFonts w:ascii="宋体" w:hAnsi="宋体" w:cs="宋体"/>
          <w:color w:val="auto"/>
          <w:sz w:val="21"/>
          <w:szCs w:val="21"/>
          <w:highlight w:val="none"/>
        </w:rPr>
      </w:pPr>
      <w:r>
        <w:rPr>
          <w:rFonts w:hint="eastAsia" w:ascii="宋体" w:hAnsi="宋体" w:cs="宋体"/>
          <w:bCs/>
          <w:color w:val="auto"/>
          <w:sz w:val="21"/>
          <w:szCs w:val="21"/>
          <w:highlight w:val="none"/>
        </w:rPr>
        <w:t>供货期限：合同签订后</w:t>
      </w:r>
      <w:r>
        <w:rPr>
          <w:rFonts w:hint="eastAsia" w:ascii="宋体" w:hAnsi="宋体" w:cs="宋体"/>
          <w:bCs/>
          <w:color w:val="auto"/>
          <w:sz w:val="21"/>
          <w:szCs w:val="21"/>
          <w:highlight w:val="none"/>
          <w:lang w:val="en-US" w:eastAsia="zh-CN"/>
        </w:rPr>
        <w:t>3</w:t>
      </w:r>
      <w:r>
        <w:rPr>
          <w:rFonts w:hint="eastAsia" w:ascii="宋体" w:hAnsi="宋体" w:cs="宋体"/>
          <w:bCs/>
          <w:color w:val="auto"/>
          <w:sz w:val="21"/>
          <w:szCs w:val="21"/>
          <w:highlight w:val="none"/>
        </w:rPr>
        <w:t>0天之内货物到场，交货并安装调试完成。</w:t>
      </w:r>
    </w:p>
    <w:p w14:paraId="32D3C789">
      <w:pPr>
        <w:wordWrap w:val="0"/>
        <w:spacing w:line="360" w:lineRule="auto"/>
        <w:ind w:firstLine="420" w:firstLineChars="200"/>
        <w:rPr>
          <w:rFonts w:ascii="宋体" w:hAnsi="宋体" w:cs="宋体"/>
          <w:bCs/>
          <w:color w:val="auto"/>
          <w:kern w:val="0"/>
          <w:szCs w:val="21"/>
          <w:highlight w:val="none"/>
        </w:rPr>
      </w:pPr>
      <w:r>
        <w:rPr>
          <w:rFonts w:hint="eastAsia" w:ascii="宋体" w:hAnsi="宋体" w:cs="宋体"/>
          <w:bCs/>
          <w:color w:val="auto"/>
          <w:kern w:val="0"/>
          <w:szCs w:val="21"/>
          <w:highlight w:val="none"/>
        </w:rPr>
        <w:t>本项目不接受联合体投标。</w:t>
      </w:r>
    </w:p>
    <w:p w14:paraId="7CBE032B">
      <w:pPr>
        <w:wordWrap w:val="0"/>
        <w:spacing w:line="360" w:lineRule="auto"/>
        <w:rPr>
          <w:rFonts w:ascii="宋体" w:hAnsi="宋体" w:cs="宋体"/>
          <w:color w:val="auto"/>
          <w:kern w:val="0"/>
          <w:szCs w:val="21"/>
          <w:highlight w:val="none"/>
        </w:rPr>
      </w:pPr>
      <w:r>
        <w:rPr>
          <w:rFonts w:hint="eastAsia" w:ascii="宋体" w:hAnsi="宋体" w:cs="宋体"/>
          <w:b/>
          <w:color w:val="auto"/>
          <w:kern w:val="0"/>
          <w:szCs w:val="21"/>
          <w:highlight w:val="none"/>
        </w:rPr>
        <w:t>二、申请人的资格要求：</w:t>
      </w:r>
    </w:p>
    <w:p w14:paraId="42D08786">
      <w:pPr>
        <w:wordWrap w:val="0"/>
        <w:spacing w:line="360" w:lineRule="auto"/>
        <w:ind w:firstLine="367" w:firstLineChars="175"/>
        <w:rPr>
          <w:rFonts w:ascii="宋体" w:hAnsi="宋体" w:cs="宋体"/>
          <w:bCs/>
          <w:color w:val="auto"/>
          <w:kern w:val="0"/>
          <w:szCs w:val="21"/>
          <w:highlight w:val="none"/>
        </w:rPr>
      </w:pPr>
      <w:bookmarkStart w:id="4" w:name="_Toc35393631"/>
      <w:bookmarkStart w:id="5" w:name="_Toc35393800"/>
      <w:bookmarkStart w:id="6" w:name="_Toc28359091"/>
      <w:bookmarkStart w:id="7" w:name="_Toc28359014"/>
      <w:r>
        <w:rPr>
          <w:rFonts w:hint="eastAsia" w:ascii="宋体" w:hAnsi="宋体" w:cs="宋体"/>
          <w:bCs/>
          <w:color w:val="auto"/>
          <w:kern w:val="0"/>
          <w:szCs w:val="21"/>
          <w:highlight w:val="none"/>
        </w:rPr>
        <w:t>1.满足《中华人民共和国政府采购法》第二十二条规定</w:t>
      </w:r>
    </w:p>
    <w:p w14:paraId="3F613AA6">
      <w:pPr>
        <w:wordWrap w:val="0"/>
        <w:spacing w:line="360" w:lineRule="auto"/>
        <w:ind w:firstLine="367" w:firstLineChars="175"/>
        <w:rPr>
          <w:rFonts w:hint="eastAsia" w:ascii="宋体" w:hAnsi="宋体" w:eastAsia="宋体" w:cs="宋体"/>
          <w:bCs/>
          <w:color w:val="auto"/>
          <w:kern w:val="0"/>
          <w:sz w:val="21"/>
          <w:szCs w:val="21"/>
          <w:highlight w:val="none"/>
          <w:lang w:val="en-US" w:eastAsia="zh-CN" w:bidi="ar-SA"/>
        </w:rPr>
      </w:pPr>
      <w:r>
        <w:rPr>
          <w:rFonts w:hint="eastAsia" w:ascii="宋体" w:hAnsi="宋体" w:eastAsia="宋体" w:cs="宋体"/>
          <w:bCs/>
          <w:color w:val="auto"/>
          <w:kern w:val="0"/>
          <w:sz w:val="21"/>
          <w:szCs w:val="21"/>
          <w:highlight w:val="none"/>
          <w:lang w:val="en-US" w:eastAsia="zh-CN" w:bidi="ar-SA"/>
        </w:rPr>
        <w:t>（1）具备有效的营业执照；（2）具备202</w:t>
      </w:r>
      <w:r>
        <w:rPr>
          <w:rFonts w:hint="eastAsia" w:ascii="宋体" w:hAnsi="宋体" w:cs="宋体"/>
          <w:bCs/>
          <w:color w:val="auto"/>
          <w:kern w:val="0"/>
          <w:sz w:val="21"/>
          <w:szCs w:val="21"/>
          <w:highlight w:val="none"/>
          <w:lang w:val="en-US" w:eastAsia="zh-CN" w:bidi="ar-SA"/>
        </w:rPr>
        <w:t>4</w:t>
      </w:r>
      <w:r>
        <w:rPr>
          <w:rFonts w:hint="eastAsia" w:ascii="宋体" w:hAnsi="宋体" w:eastAsia="宋体" w:cs="宋体"/>
          <w:bCs/>
          <w:color w:val="auto"/>
          <w:kern w:val="0"/>
          <w:sz w:val="21"/>
          <w:szCs w:val="21"/>
          <w:highlight w:val="none"/>
          <w:lang w:val="en-US" w:eastAsia="zh-CN" w:bidi="ar-SA"/>
        </w:rPr>
        <w:t>年度经第三方审计的财务审计报告，若企业成立期限不足一年者以营业执照实际成立期限为准，并按实际成立期限之日起提供财务报表；（3）具备2025年1月至2025年5月缴纳税收的凭据（完税证、缴款书、印花税票、银行代扣/缴，转账凭证等均可），依法免税的供应商，须提供相应文件证明其依法免税；（4）具备2025年1月至2025年5月的社保缴纳证明材料（专用收据或社会保险缴纳清单），依法不需要缴纳社会保障资金的供应商，须提供相应文件证明其依法不需要缴纳社会保障资金，供应商为其他组织或自然人的，也需要按此项规定提供缴纳税收的凭据和缴纳社会保险的凭据。新成立不足3个月的供应商提供近期可提供的相应资料，如新成立不足一个月的可不提供本项资料。4.通过“信用中国”网站(www.creditchina.gov.cn)、中国政府采购网(www.ccgp.gov.cn)等渠道查询相关主体信用记录，被列入失信被执行人、重大税收违法案件当事人名单、政府采购严重违法失信行为记录名单、全国法院失信被执行人名单信息公布与查询平台查询记录（http://zxgk.court.gov.cn/shixin/）及其他不符合《中华人民共和国政府采购法》第二十二条规定条件的供应商，拒绝其参与政府采购活动。</w:t>
      </w:r>
    </w:p>
    <w:p w14:paraId="440433EE">
      <w:pPr>
        <w:wordWrap w:val="0"/>
        <w:spacing w:line="360" w:lineRule="auto"/>
        <w:ind w:firstLine="367" w:firstLineChars="175"/>
        <w:rPr>
          <w:rFonts w:ascii="宋体" w:hAnsi="宋体" w:cs="宋体"/>
          <w:bCs/>
          <w:color w:val="auto"/>
          <w:kern w:val="0"/>
          <w:szCs w:val="21"/>
          <w:highlight w:val="none"/>
        </w:rPr>
      </w:pPr>
      <w:r>
        <w:rPr>
          <w:rFonts w:ascii="宋体" w:hAnsi="宋体" w:cs="宋体"/>
          <w:bCs/>
          <w:color w:val="auto"/>
          <w:kern w:val="0"/>
          <w:szCs w:val="21"/>
          <w:highlight w:val="none"/>
        </w:rPr>
        <w:t>2、</w:t>
      </w:r>
      <w:r>
        <w:rPr>
          <w:rFonts w:hint="eastAsia" w:ascii="宋体" w:hAnsi="宋体" w:cs="宋体"/>
          <w:bCs/>
          <w:color w:val="auto"/>
          <w:kern w:val="0"/>
          <w:szCs w:val="21"/>
          <w:highlight w:val="none"/>
        </w:rPr>
        <w:t>落实政府采购政策需满足的资格要求：</w:t>
      </w:r>
      <w:r>
        <w:rPr>
          <w:rFonts w:hint="eastAsia" w:ascii="宋体" w:hAnsi="宋体" w:cs="宋体"/>
          <w:bCs/>
          <w:color w:val="auto"/>
          <w:kern w:val="0"/>
          <w:szCs w:val="21"/>
          <w:highlight w:val="none"/>
          <w:lang w:val="en-US" w:eastAsia="zh-CN"/>
        </w:rPr>
        <w:t>1.</w:t>
      </w:r>
      <w:r>
        <w:rPr>
          <w:rFonts w:hint="eastAsia" w:ascii="宋体" w:hAnsi="宋体" w:cs="宋体"/>
          <w:b/>
          <w:bCs w:val="0"/>
          <w:color w:val="auto"/>
          <w:kern w:val="0"/>
          <w:szCs w:val="21"/>
          <w:highlight w:val="none"/>
          <w:lang w:val="en-US" w:eastAsia="zh-CN"/>
        </w:rPr>
        <w:t>本项目为专门面向中小企业采购项目</w:t>
      </w:r>
      <w:r>
        <w:rPr>
          <w:rFonts w:hint="eastAsia" w:ascii="宋体" w:hAnsi="宋体" w:cs="宋体"/>
          <w:bCs/>
          <w:color w:val="auto"/>
          <w:kern w:val="0"/>
          <w:szCs w:val="21"/>
          <w:highlight w:val="none"/>
          <w:lang w:val="en-US" w:eastAsia="zh-CN"/>
        </w:rPr>
        <w:t>，参加投标的供应商需符合财政部、工业和信息化部《关于印发&lt;政府采购促进中小企业发展管理办法&gt;的通知》（财库〔2020〕46 号）对中小企业的要求，并提供《中小企业声明函》。（本办法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若供应商为监狱企业、残疾人福利企业，提供相应证明材料后享受中小企业同等政策。）。2.</w:t>
      </w:r>
      <w:r>
        <w:rPr>
          <w:rFonts w:hint="eastAsia" w:ascii="宋体" w:hAnsi="宋体" w:cs="宋体"/>
          <w:bCs/>
          <w:color w:val="auto"/>
          <w:kern w:val="0"/>
          <w:szCs w:val="21"/>
          <w:highlight w:val="none"/>
        </w:rPr>
        <w:t>财政部民政部中国残疾人联合会《关于促进残疾人就业政府采购政策的通知》财库〔2017〕141号；</w:t>
      </w:r>
      <w:r>
        <w:rPr>
          <w:rFonts w:hint="eastAsia" w:ascii="宋体" w:hAnsi="宋体" w:cs="宋体"/>
          <w:bCs/>
          <w:color w:val="auto"/>
          <w:kern w:val="0"/>
          <w:szCs w:val="21"/>
          <w:highlight w:val="none"/>
          <w:lang w:val="en-US" w:eastAsia="zh-CN"/>
        </w:rPr>
        <w:t>3.</w:t>
      </w:r>
      <w:r>
        <w:rPr>
          <w:rFonts w:hint="eastAsia" w:ascii="宋体" w:hAnsi="宋体" w:cs="宋体"/>
          <w:bCs/>
          <w:color w:val="auto"/>
          <w:kern w:val="0"/>
          <w:szCs w:val="21"/>
          <w:highlight w:val="none"/>
        </w:rPr>
        <w:t>财政部、司法部《关于政府采购支持监狱企业发展有关问题的通知》（财库〔2014〕68号文）；</w:t>
      </w:r>
      <w:r>
        <w:rPr>
          <w:rFonts w:hint="eastAsia" w:ascii="宋体" w:hAnsi="宋体" w:cs="宋体"/>
          <w:bCs/>
          <w:color w:val="auto"/>
          <w:kern w:val="0"/>
          <w:szCs w:val="21"/>
          <w:highlight w:val="none"/>
          <w:lang w:val="en-US" w:eastAsia="zh-CN"/>
        </w:rPr>
        <w:t>4.</w:t>
      </w:r>
      <w:r>
        <w:rPr>
          <w:rFonts w:hint="eastAsia" w:ascii="宋体" w:hAnsi="宋体" w:cs="宋体"/>
          <w:bCs/>
          <w:color w:val="auto"/>
          <w:kern w:val="0"/>
          <w:szCs w:val="21"/>
          <w:highlight w:val="none"/>
        </w:rPr>
        <w:t>财政部、工业和信息化部《关于印发&lt;政府采购促进中小企业发展管理办法&gt;的通知》（财库〔2020〕46号）。（中小企业优惠、监狱企业、节能产品、环境标志产品等）。</w:t>
      </w:r>
    </w:p>
    <w:p w14:paraId="721D1527">
      <w:pPr>
        <w:pStyle w:val="49"/>
        <w:spacing w:line="360" w:lineRule="auto"/>
        <w:ind w:left="0" w:leftChars="0" w:firstLine="420" w:firstLineChars="200"/>
        <w:rPr>
          <w:color w:val="auto"/>
          <w:highlight w:val="none"/>
        </w:rPr>
      </w:pPr>
      <w:r>
        <w:rPr>
          <w:rFonts w:hint="eastAsia" w:ascii="宋体" w:hAnsi="宋体" w:cs="宋体"/>
          <w:bCs/>
          <w:color w:val="auto"/>
          <w:kern w:val="0"/>
          <w:szCs w:val="21"/>
          <w:highlight w:val="none"/>
        </w:rPr>
        <w:t>3、单位负责人为同一人或者存在直接控股、管理关系的不同供应商，不得参加同一合同项下的政府采购活动，否则均作无效标处理。</w:t>
      </w:r>
    </w:p>
    <w:p w14:paraId="5BE7EC6A">
      <w:pPr>
        <w:wordWrap w:val="0"/>
        <w:spacing w:line="360" w:lineRule="auto"/>
        <w:ind w:firstLine="367" w:firstLineChars="175"/>
        <w:rPr>
          <w:rFonts w:ascii="宋体" w:hAnsi="宋体" w:cs="宋体"/>
          <w:bCs/>
          <w:color w:val="auto"/>
          <w:kern w:val="0"/>
          <w:szCs w:val="21"/>
          <w:highlight w:val="none"/>
        </w:rPr>
      </w:pPr>
      <w:r>
        <w:rPr>
          <w:rFonts w:hint="eastAsia" w:ascii="宋体" w:hAnsi="宋体" w:cs="宋体"/>
          <w:bCs/>
          <w:color w:val="auto"/>
          <w:kern w:val="0"/>
          <w:szCs w:val="21"/>
          <w:highlight w:val="none"/>
        </w:rPr>
        <w:t>4、本项目的特定资格要求：无。</w:t>
      </w:r>
    </w:p>
    <w:bookmarkEnd w:id="4"/>
    <w:bookmarkEnd w:id="5"/>
    <w:bookmarkEnd w:id="6"/>
    <w:bookmarkEnd w:id="7"/>
    <w:p w14:paraId="0383FB79">
      <w:pPr>
        <w:wordWrap w:val="0"/>
        <w:spacing w:line="360" w:lineRule="auto"/>
        <w:rPr>
          <w:rFonts w:ascii="宋体" w:hAnsi="宋体" w:cs="宋体"/>
          <w:color w:val="auto"/>
          <w:kern w:val="0"/>
          <w:szCs w:val="21"/>
          <w:highlight w:val="none"/>
        </w:rPr>
      </w:pPr>
      <w:r>
        <w:rPr>
          <w:rFonts w:hint="eastAsia" w:ascii="宋体" w:hAnsi="宋体" w:cs="宋体"/>
          <w:b/>
          <w:color w:val="auto"/>
          <w:kern w:val="0"/>
          <w:szCs w:val="21"/>
          <w:highlight w:val="none"/>
        </w:rPr>
        <w:t>三、获取招标文件</w:t>
      </w:r>
    </w:p>
    <w:p w14:paraId="6C5E966F">
      <w:pPr>
        <w:wordWrap w:val="0"/>
        <w:spacing w:line="360" w:lineRule="auto"/>
        <w:ind w:firstLine="420" w:firstLineChars="200"/>
        <w:rPr>
          <w:rFonts w:ascii="宋体" w:hAnsi="宋体" w:cs="宋体"/>
          <w:bCs/>
          <w:color w:val="auto"/>
          <w:kern w:val="0"/>
          <w:szCs w:val="21"/>
          <w:highlight w:val="none"/>
        </w:rPr>
      </w:pPr>
      <w:r>
        <w:rPr>
          <w:rFonts w:hint="eastAsia" w:ascii="宋体" w:hAnsi="宋体" w:cs="宋体"/>
          <w:bCs/>
          <w:color w:val="auto"/>
          <w:kern w:val="0"/>
          <w:szCs w:val="21"/>
          <w:highlight w:val="none"/>
        </w:rPr>
        <w:t>时间：</w:t>
      </w:r>
      <w:bookmarkStart w:id="8" w:name="OLE_LINK1"/>
      <w:r>
        <w:rPr>
          <w:rFonts w:hint="eastAsia" w:ascii="宋体" w:hAnsi="宋体" w:cs="宋体"/>
          <w:bCs/>
          <w:color w:val="auto"/>
          <w:kern w:val="0"/>
          <w:szCs w:val="21"/>
          <w:highlight w:val="none"/>
          <w:lang w:eastAsia="zh-CN"/>
        </w:rPr>
        <w:t>2025</w:t>
      </w:r>
      <w:r>
        <w:rPr>
          <w:rFonts w:hint="eastAsia" w:ascii="宋体" w:hAnsi="宋体" w:cs="宋体"/>
          <w:bCs/>
          <w:color w:val="auto"/>
          <w:kern w:val="0"/>
          <w:szCs w:val="21"/>
          <w:highlight w:val="none"/>
        </w:rPr>
        <w:t>年</w:t>
      </w:r>
      <w:r>
        <w:rPr>
          <w:rFonts w:hint="eastAsia" w:ascii="宋体" w:hAnsi="宋体" w:cs="宋体"/>
          <w:bCs/>
          <w:color w:val="auto"/>
          <w:kern w:val="0"/>
          <w:szCs w:val="21"/>
          <w:highlight w:val="none"/>
          <w:lang w:val="en-US" w:eastAsia="zh-CN"/>
        </w:rPr>
        <w:t xml:space="preserve"> 6 </w:t>
      </w:r>
      <w:r>
        <w:rPr>
          <w:rFonts w:hint="eastAsia" w:ascii="宋体" w:hAnsi="宋体" w:cs="宋体"/>
          <w:bCs/>
          <w:color w:val="auto"/>
          <w:kern w:val="0"/>
          <w:szCs w:val="21"/>
          <w:highlight w:val="none"/>
        </w:rPr>
        <w:t>月</w:t>
      </w:r>
      <w:r>
        <w:rPr>
          <w:rFonts w:hint="eastAsia" w:ascii="宋体" w:hAnsi="宋体" w:cs="宋体"/>
          <w:bCs/>
          <w:color w:val="auto"/>
          <w:kern w:val="0"/>
          <w:szCs w:val="21"/>
          <w:highlight w:val="none"/>
          <w:lang w:val="en-US" w:eastAsia="zh-CN"/>
        </w:rPr>
        <w:t xml:space="preserve"> 27 </w:t>
      </w:r>
      <w:r>
        <w:rPr>
          <w:rFonts w:hint="eastAsia" w:ascii="宋体" w:hAnsi="宋体" w:cs="宋体"/>
          <w:bCs/>
          <w:color w:val="auto"/>
          <w:kern w:val="0"/>
          <w:szCs w:val="21"/>
          <w:highlight w:val="none"/>
        </w:rPr>
        <w:t>日至</w:t>
      </w:r>
      <w:r>
        <w:rPr>
          <w:rFonts w:hint="eastAsia" w:ascii="宋体" w:hAnsi="宋体" w:cs="宋体"/>
          <w:bCs/>
          <w:color w:val="auto"/>
          <w:kern w:val="0"/>
          <w:szCs w:val="21"/>
          <w:highlight w:val="none"/>
          <w:lang w:eastAsia="zh-CN"/>
        </w:rPr>
        <w:t>2025</w:t>
      </w:r>
      <w:r>
        <w:rPr>
          <w:rFonts w:hint="eastAsia" w:ascii="宋体" w:hAnsi="宋体" w:cs="宋体"/>
          <w:bCs/>
          <w:color w:val="auto"/>
          <w:kern w:val="0"/>
          <w:szCs w:val="21"/>
          <w:highlight w:val="none"/>
        </w:rPr>
        <w:t xml:space="preserve"> 年</w:t>
      </w:r>
      <w:r>
        <w:rPr>
          <w:rFonts w:hint="eastAsia" w:ascii="宋体" w:hAnsi="宋体" w:cs="宋体"/>
          <w:bCs/>
          <w:color w:val="auto"/>
          <w:kern w:val="0"/>
          <w:szCs w:val="21"/>
          <w:highlight w:val="none"/>
          <w:lang w:val="en-US" w:eastAsia="zh-CN"/>
        </w:rPr>
        <w:t xml:space="preserve"> 7 </w:t>
      </w:r>
      <w:r>
        <w:rPr>
          <w:rFonts w:hint="eastAsia" w:ascii="宋体" w:hAnsi="宋体" w:cs="宋体"/>
          <w:bCs/>
          <w:color w:val="auto"/>
          <w:kern w:val="0"/>
          <w:szCs w:val="21"/>
          <w:highlight w:val="none"/>
        </w:rPr>
        <w:t>月</w:t>
      </w:r>
      <w:r>
        <w:rPr>
          <w:rFonts w:hint="eastAsia" w:ascii="宋体" w:hAnsi="宋体" w:cs="宋体"/>
          <w:bCs/>
          <w:color w:val="auto"/>
          <w:kern w:val="0"/>
          <w:szCs w:val="21"/>
          <w:highlight w:val="none"/>
          <w:lang w:val="en-US" w:eastAsia="zh-CN"/>
        </w:rPr>
        <w:t xml:space="preserve"> 4</w:t>
      </w:r>
      <w:bookmarkStart w:id="55" w:name="_GoBack"/>
      <w:bookmarkEnd w:id="55"/>
      <w:r>
        <w:rPr>
          <w:rFonts w:hint="eastAsia" w:ascii="宋体" w:hAnsi="宋体" w:cs="宋体"/>
          <w:bCs/>
          <w:color w:val="auto"/>
          <w:kern w:val="0"/>
          <w:szCs w:val="21"/>
          <w:highlight w:val="none"/>
          <w:lang w:val="en-US" w:eastAsia="zh-CN"/>
        </w:rPr>
        <w:t xml:space="preserve"> </w:t>
      </w:r>
      <w:r>
        <w:rPr>
          <w:rFonts w:hint="eastAsia" w:ascii="宋体" w:hAnsi="宋体" w:cs="宋体"/>
          <w:bCs/>
          <w:color w:val="auto"/>
          <w:kern w:val="0"/>
          <w:szCs w:val="21"/>
          <w:highlight w:val="none"/>
        </w:rPr>
        <w:t>日上午00:00至1</w:t>
      </w:r>
      <w:r>
        <w:rPr>
          <w:rFonts w:hint="eastAsia" w:ascii="宋体" w:hAnsi="宋体" w:cs="宋体"/>
          <w:bCs/>
          <w:color w:val="auto"/>
          <w:kern w:val="0"/>
          <w:szCs w:val="21"/>
          <w:highlight w:val="none"/>
          <w:lang w:val="en-US" w:eastAsia="zh-CN"/>
        </w:rPr>
        <w:t>4</w:t>
      </w:r>
      <w:r>
        <w:rPr>
          <w:rFonts w:hint="eastAsia" w:ascii="宋体" w:hAnsi="宋体" w:cs="宋体"/>
          <w:bCs/>
          <w:color w:val="auto"/>
          <w:kern w:val="0"/>
          <w:szCs w:val="21"/>
          <w:highlight w:val="none"/>
        </w:rPr>
        <w:t>:00，下午1</w:t>
      </w:r>
      <w:r>
        <w:rPr>
          <w:rFonts w:hint="eastAsia" w:ascii="宋体" w:hAnsi="宋体" w:cs="宋体"/>
          <w:bCs/>
          <w:color w:val="auto"/>
          <w:kern w:val="0"/>
          <w:szCs w:val="21"/>
          <w:highlight w:val="none"/>
          <w:lang w:val="en-US" w:eastAsia="zh-CN"/>
        </w:rPr>
        <w:t>4</w:t>
      </w:r>
      <w:r>
        <w:rPr>
          <w:rFonts w:hint="eastAsia" w:ascii="宋体" w:hAnsi="宋体" w:cs="宋体"/>
          <w:bCs/>
          <w:color w:val="auto"/>
          <w:kern w:val="0"/>
          <w:szCs w:val="21"/>
          <w:highlight w:val="none"/>
        </w:rPr>
        <w:t>:00至23:59</w:t>
      </w:r>
      <w:bookmarkEnd w:id="8"/>
    </w:p>
    <w:p w14:paraId="18DAC9E7">
      <w:pPr>
        <w:wordWrap w:val="0"/>
        <w:spacing w:line="360" w:lineRule="auto"/>
        <w:ind w:firstLine="420" w:firstLineChars="200"/>
        <w:rPr>
          <w:rFonts w:ascii="宋体" w:hAnsi="宋体" w:cs="宋体"/>
          <w:bCs/>
          <w:color w:val="auto"/>
          <w:kern w:val="0"/>
          <w:szCs w:val="21"/>
          <w:highlight w:val="none"/>
        </w:rPr>
      </w:pPr>
      <w:r>
        <w:rPr>
          <w:rFonts w:hint="eastAsia" w:ascii="宋体" w:hAnsi="宋体" w:cs="宋体"/>
          <w:bCs/>
          <w:color w:val="auto"/>
          <w:kern w:val="0"/>
          <w:szCs w:val="21"/>
          <w:highlight w:val="none"/>
        </w:rPr>
        <w:t>地点：政采云平台线上获取</w:t>
      </w:r>
    </w:p>
    <w:p w14:paraId="4A41C03F">
      <w:pPr>
        <w:wordWrap w:val="0"/>
        <w:spacing w:line="360" w:lineRule="auto"/>
        <w:ind w:firstLine="420" w:firstLineChars="200"/>
        <w:rPr>
          <w:rFonts w:ascii="宋体" w:hAnsi="宋体" w:cs="宋体"/>
          <w:bCs/>
          <w:color w:val="auto"/>
          <w:kern w:val="0"/>
          <w:szCs w:val="21"/>
          <w:highlight w:val="none"/>
        </w:rPr>
      </w:pPr>
      <w:r>
        <w:rPr>
          <w:rFonts w:hint="eastAsia" w:ascii="宋体" w:hAnsi="宋体" w:cs="宋体"/>
          <w:bCs/>
          <w:color w:val="auto"/>
          <w:kern w:val="0"/>
          <w:szCs w:val="21"/>
          <w:highlight w:val="none"/>
        </w:rPr>
        <w:t>方式：投标人登录政采云平台（http://www.zcygov.cn/）在线申请获取采购文件（进入“项目采购”应用，在获取采购文件菜单中选择项目，申请获取采购文件）。</w:t>
      </w:r>
    </w:p>
    <w:p w14:paraId="7457DB9C">
      <w:pPr>
        <w:wordWrap w:val="0"/>
        <w:spacing w:line="360" w:lineRule="auto"/>
        <w:ind w:firstLine="420" w:firstLineChars="200"/>
        <w:rPr>
          <w:rFonts w:ascii="宋体" w:hAnsi="宋体" w:cs="宋体"/>
          <w:bCs/>
          <w:color w:val="auto"/>
          <w:kern w:val="0"/>
          <w:szCs w:val="21"/>
          <w:highlight w:val="none"/>
        </w:rPr>
      </w:pPr>
      <w:r>
        <w:rPr>
          <w:rFonts w:hint="eastAsia" w:ascii="宋体" w:hAnsi="宋体" w:cs="宋体"/>
          <w:bCs/>
          <w:color w:val="auto"/>
          <w:kern w:val="0"/>
          <w:szCs w:val="21"/>
          <w:highlight w:val="none"/>
        </w:rPr>
        <w:t>售价（元）：0</w:t>
      </w:r>
    </w:p>
    <w:p w14:paraId="00C55CEF">
      <w:pPr>
        <w:wordWrap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四、提交投标文件截止时间、开标时间和地点</w:t>
      </w:r>
    </w:p>
    <w:p w14:paraId="48F063FD">
      <w:pPr>
        <w:wordWrap w:val="0"/>
        <w:spacing w:line="360" w:lineRule="auto"/>
        <w:ind w:firstLine="420" w:firstLineChars="200"/>
        <w:rPr>
          <w:rFonts w:ascii="宋体" w:hAnsi="宋体" w:cs="宋体"/>
          <w:bCs/>
          <w:color w:val="auto"/>
          <w:kern w:val="0"/>
          <w:szCs w:val="21"/>
          <w:highlight w:val="none"/>
        </w:rPr>
      </w:pPr>
      <w:r>
        <w:rPr>
          <w:rFonts w:hint="eastAsia" w:ascii="宋体" w:hAnsi="宋体" w:cs="宋体"/>
          <w:bCs/>
          <w:color w:val="auto"/>
          <w:kern w:val="0"/>
          <w:szCs w:val="21"/>
          <w:highlight w:val="none"/>
        </w:rPr>
        <w:t>提交投标文件截止时间：</w:t>
      </w:r>
      <w:bookmarkStart w:id="9" w:name="OLE_LINK2"/>
      <w:r>
        <w:rPr>
          <w:rFonts w:hint="eastAsia" w:ascii="宋体" w:hAnsi="宋体" w:cs="宋体"/>
          <w:bCs/>
          <w:color w:val="auto"/>
          <w:kern w:val="0"/>
          <w:szCs w:val="21"/>
          <w:highlight w:val="none"/>
          <w:lang w:eastAsia="zh-CN"/>
        </w:rPr>
        <w:t>2025</w:t>
      </w:r>
      <w:r>
        <w:rPr>
          <w:rFonts w:hint="eastAsia" w:ascii="宋体" w:hAnsi="宋体" w:cs="宋体"/>
          <w:bCs/>
          <w:color w:val="auto"/>
          <w:kern w:val="0"/>
          <w:szCs w:val="21"/>
          <w:highlight w:val="none"/>
        </w:rPr>
        <w:t>年</w:t>
      </w:r>
      <w:r>
        <w:rPr>
          <w:rFonts w:hint="eastAsia" w:ascii="宋体" w:hAnsi="宋体" w:cs="宋体"/>
          <w:bCs/>
          <w:color w:val="auto"/>
          <w:kern w:val="0"/>
          <w:szCs w:val="21"/>
          <w:highlight w:val="none"/>
          <w:lang w:val="en-US" w:eastAsia="zh-CN"/>
        </w:rPr>
        <w:t xml:space="preserve">  7 </w:t>
      </w:r>
      <w:r>
        <w:rPr>
          <w:rFonts w:hint="eastAsia" w:ascii="宋体" w:hAnsi="宋体" w:cs="宋体"/>
          <w:bCs/>
          <w:color w:val="auto"/>
          <w:kern w:val="0"/>
          <w:szCs w:val="21"/>
          <w:highlight w:val="none"/>
        </w:rPr>
        <w:t>月</w:t>
      </w:r>
      <w:r>
        <w:rPr>
          <w:rFonts w:hint="eastAsia" w:ascii="宋体" w:hAnsi="宋体" w:cs="宋体"/>
          <w:bCs/>
          <w:color w:val="auto"/>
          <w:kern w:val="0"/>
          <w:szCs w:val="21"/>
          <w:highlight w:val="none"/>
          <w:lang w:val="en-US" w:eastAsia="zh-CN"/>
        </w:rPr>
        <w:t xml:space="preserve"> 18 </w:t>
      </w:r>
      <w:r>
        <w:rPr>
          <w:rFonts w:hint="eastAsia" w:ascii="宋体" w:hAnsi="宋体" w:cs="宋体"/>
          <w:bCs/>
          <w:color w:val="auto"/>
          <w:kern w:val="0"/>
          <w:szCs w:val="21"/>
          <w:highlight w:val="none"/>
        </w:rPr>
        <w:t>日1</w:t>
      </w:r>
      <w:r>
        <w:rPr>
          <w:rFonts w:hint="eastAsia" w:ascii="宋体" w:hAnsi="宋体" w:cs="宋体"/>
          <w:bCs/>
          <w:color w:val="auto"/>
          <w:kern w:val="0"/>
          <w:szCs w:val="21"/>
          <w:highlight w:val="none"/>
          <w:lang w:val="en-US" w:eastAsia="zh-CN"/>
        </w:rPr>
        <w:t>1</w:t>
      </w:r>
      <w:r>
        <w:rPr>
          <w:rFonts w:hint="eastAsia" w:ascii="宋体" w:hAnsi="宋体" w:cs="宋体"/>
          <w:bCs/>
          <w:color w:val="auto"/>
          <w:kern w:val="0"/>
          <w:szCs w:val="21"/>
          <w:highlight w:val="none"/>
        </w:rPr>
        <w:t>:00</w:t>
      </w:r>
      <w:bookmarkEnd w:id="9"/>
      <w:r>
        <w:rPr>
          <w:rFonts w:hint="eastAsia" w:ascii="宋体" w:hAnsi="宋体" w:cs="宋体"/>
          <w:bCs/>
          <w:color w:val="auto"/>
          <w:kern w:val="0"/>
          <w:szCs w:val="21"/>
          <w:highlight w:val="none"/>
        </w:rPr>
        <w:t>（北京时间）</w:t>
      </w:r>
    </w:p>
    <w:p w14:paraId="2C7BE8E3">
      <w:pPr>
        <w:wordWrap w:val="0"/>
        <w:spacing w:line="360" w:lineRule="auto"/>
        <w:ind w:firstLine="420" w:firstLineChars="200"/>
        <w:rPr>
          <w:rFonts w:ascii="宋体" w:hAnsi="宋体" w:cs="宋体"/>
          <w:bCs/>
          <w:color w:val="auto"/>
          <w:kern w:val="0"/>
          <w:szCs w:val="21"/>
          <w:highlight w:val="none"/>
        </w:rPr>
      </w:pPr>
      <w:r>
        <w:rPr>
          <w:rFonts w:hint="eastAsia" w:ascii="宋体" w:hAnsi="宋体" w:cs="宋体"/>
          <w:bCs/>
          <w:color w:val="auto"/>
          <w:kern w:val="0"/>
          <w:szCs w:val="21"/>
          <w:highlight w:val="none"/>
        </w:rPr>
        <w:t>投标地点：请登录政采云投标客户端投标</w:t>
      </w:r>
    </w:p>
    <w:p w14:paraId="6FF586FB">
      <w:pPr>
        <w:wordWrap w:val="0"/>
        <w:spacing w:line="360" w:lineRule="auto"/>
        <w:ind w:firstLine="420" w:firstLineChars="200"/>
        <w:rPr>
          <w:rFonts w:ascii="宋体" w:hAnsi="宋体" w:cs="宋体"/>
          <w:bCs/>
          <w:color w:val="auto"/>
          <w:kern w:val="0"/>
          <w:szCs w:val="21"/>
          <w:highlight w:val="none"/>
        </w:rPr>
      </w:pPr>
      <w:r>
        <w:rPr>
          <w:rFonts w:hint="eastAsia" w:ascii="宋体" w:hAnsi="宋体" w:cs="宋体"/>
          <w:bCs/>
          <w:color w:val="auto"/>
          <w:kern w:val="0"/>
          <w:szCs w:val="21"/>
          <w:highlight w:val="none"/>
        </w:rPr>
        <w:t>开标时间：</w:t>
      </w:r>
      <w:r>
        <w:rPr>
          <w:rFonts w:hint="eastAsia" w:ascii="宋体" w:hAnsi="宋体" w:cs="宋体"/>
          <w:bCs/>
          <w:color w:val="auto"/>
          <w:kern w:val="0"/>
          <w:szCs w:val="21"/>
          <w:highlight w:val="none"/>
          <w:lang w:eastAsia="zh-CN"/>
        </w:rPr>
        <w:t>2025</w:t>
      </w:r>
      <w:r>
        <w:rPr>
          <w:rFonts w:hint="eastAsia" w:ascii="宋体" w:hAnsi="宋体" w:cs="宋体"/>
          <w:bCs/>
          <w:color w:val="auto"/>
          <w:kern w:val="0"/>
          <w:szCs w:val="21"/>
          <w:highlight w:val="none"/>
        </w:rPr>
        <w:t>年</w:t>
      </w:r>
      <w:r>
        <w:rPr>
          <w:rFonts w:hint="eastAsia" w:ascii="宋体" w:hAnsi="宋体" w:cs="宋体"/>
          <w:bCs/>
          <w:color w:val="auto"/>
          <w:kern w:val="0"/>
          <w:szCs w:val="21"/>
          <w:highlight w:val="none"/>
          <w:lang w:val="en-US" w:eastAsia="zh-CN"/>
        </w:rPr>
        <w:t xml:space="preserve">  7 </w:t>
      </w:r>
      <w:r>
        <w:rPr>
          <w:rFonts w:hint="eastAsia" w:ascii="宋体" w:hAnsi="宋体" w:cs="宋体"/>
          <w:bCs/>
          <w:color w:val="auto"/>
          <w:kern w:val="0"/>
          <w:szCs w:val="21"/>
          <w:highlight w:val="none"/>
        </w:rPr>
        <w:t>月</w:t>
      </w:r>
      <w:r>
        <w:rPr>
          <w:rFonts w:hint="eastAsia" w:ascii="宋体" w:hAnsi="宋体" w:cs="宋体"/>
          <w:bCs/>
          <w:color w:val="auto"/>
          <w:kern w:val="0"/>
          <w:szCs w:val="21"/>
          <w:highlight w:val="none"/>
          <w:lang w:val="en-US" w:eastAsia="zh-CN"/>
        </w:rPr>
        <w:t xml:space="preserve"> 18 </w:t>
      </w:r>
      <w:r>
        <w:rPr>
          <w:rFonts w:hint="eastAsia" w:ascii="宋体" w:hAnsi="宋体" w:cs="宋体"/>
          <w:bCs/>
          <w:color w:val="auto"/>
          <w:kern w:val="0"/>
          <w:szCs w:val="21"/>
          <w:highlight w:val="none"/>
        </w:rPr>
        <w:t>日1</w:t>
      </w:r>
      <w:r>
        <w:rPr>
          <w:rFonts w:hint="eastAsia" w:ascii="宋体" w:hAnsi="宋体" w:cs="宋体"/>
          <w:bCs/>
          <w:color w:val="auto"/>
          <w:kern w:val="0"/>
          <w:szCs w:val="21"/>
          <w:highlight w:val="none"/>
          <w:lang w:val="en-US" w:eastAsia="zh-CN"/>
        </w:rPr>
        <w:t>1</w:t>
      </w:r>
      <w:r>
        <w:rPr>
          <w:rFonts w:hint="eastAsia" w:ascii="宋体" w:hAnsi="宋体" w:cs="宋体"/>
          <w:bCs/>
          <w:color w:val="auto"/>
          <w:kern w:val="0"/>
          <w:szCs w:val="21"/>
          <w:highlight w:val="none"/>
        </w:rPr>
        <w:t>:00（北京时间）</w:t>
      </w:r>
    </w:p>
    <w:p w14:paraId="4648CC53">
      <w:pPr>
        <w:wordWrap w:val="0"/>
        <w:spacing w:line="360" w:lineRule="auto"/>
        <w:ind w:firstLine="420" w:firstLineChars="200"/>
        <w:rPr>
          <w:rFonts w:ascii="宋体" w:hAnsi="宋体" w:cs="宋体"/>
          <w:bCs/>
          <w:color w:val="auto"/>
          <w:kern w:val="0"/>
          <w:szCs w:val="21"/>
          <w:highlight w:val="none"/>
        </w:rPr>
      </w:pPr>
      <w:r>
        <w:rPr>
          <w:rFonts w:hint="eastAsia" w:ascii="宋体" w:hAnsi="宋体" w:cs="宋体"/>
          <w:bCs/>
          <w:color w:val="auto"/>
          <w:kern w:val="0"/>
          <w:szCs w:val="21"/>
          <w:highlight w:val="none"/>
        </w:rPr>
        <w:t>开标地点：本项目采用不见面开标（政采云平台http://www.zcygov.cn/）</w:t>
      </w:r>
    </w:p>
    <w:p w14:paraId="3B977240">
      <w:pPr>
        <w:wordWrap w:val="0"/>
        <w:spacing w:line="360" w:lineRule="auto"/>
        <w:rPr>
          <w:rFonts w:ascii="宋体" w:hAnsi="宋体" w:cs="宋体"/>
          <w:bCs/>
          <w:color w:val="auto"/>
          <w:kern w:val="0"/>
          <w:szCs w:val="21"/>
          <w:highlight w:val="none"/>
        </w:rPr>
      </w:pPr>
      <w:r>
        <w:rPr>
          <w:rFonts w:hint="eastAsia" w:ascii="宋体" w:hAnsi="宋体" w:cs="宋体"/>
          <w:b/>
          <w:color w:val="auto"/>
          <w:kern w:val="0"/>
          <w:szCs w:val="21"/>
          <w:highlight w:val="none"/>
        </w:rPr>
        <w:t>五、公告期限</w:t>
      </w:r>
    </w:p>
    <w:p w14:paraId="711DD5E0">
      <w:pPr>
        <w:wordWrap w:val="0"/>
        <w:spacing w:line="360" w:lineRule="auto"/>
        <w:ind w:firstLine="420" w:firstLineChars="200"/>
        <w:rPr>
          <w:rFonts w:ascii="宋体" w:hAnsi="宋体" w:cs="宋体"/>
          <w:bCs/>
          <w:color w:val="auto"/>
          <w:kern w:val="0"/>
          <w:szCs w:val="21"/>
          <w:highlight w:val="none"/>
        </w:rPr>
      </w:pPr>
      <w:r>
        <w:rPr>
          <w:rFonts w:hint="eastAsia" w:ascii="宋体" w:hAnsi="宋体" w:cs="宋体"/>
          <w:bCs/>
          <w:color w:val="auto"/>
          <w:kern w:val="0"/>
          <w:szCs w:val="21"/>
          <w:highlight w:val="none"/>
        </w:rPr>
        <w:t>自本公告发布之日起5个工作日。</w:t>
      </w:r>
    </w:p>
    <w:p w14:paraId="0A553D40">
      <w:pPr>
        <w:wordWrap w:val="0"/>
        <w:spacing w:line="360" w:lineRule="auto"/>
        <w:rPr>
          <w:rFonts w:ascii="宋体" w:hAnsi="宋体" w:cs="宋体"/>
          <w:bCs/>
          <w:color w:val="auto"/>
          <w:kern w:val="0"/>
          <w:szCs w:val="21"/>
          <w:highlight w:val="none"/>
        </w:rPr>
      </w:pPr>
      <w:r>
        <w:rPr>
          <w:rFonts w:hint="eastAsia" w:ascii="宋体" w:hAnsi="宋体" w:cs="宋体"/>
          <w:b/>
          <w:color w:val="auto"/>
          <w:kern w:val="0"/>
          <w:szCs w:val="21"/>
          <w:highlight w:val="none"/>
        </w:rPr>
        <w:t>六、其他补充事宜：</w:t>
      </w:r>
    </w:p>
    <w:p w14:paraId="6B8A661C">
      <w:pPr>
        <w:wordWrap w:val="0"/>
        <w:spacing w:line="360" w:lineRule="auto"/>
        <w:ind w:firstLine="420" w:firstLineChars="200"/>
        <w:rPr>
          <w:rFonts w:ascii="宋体" w:hAnsi="宋体" w:cs="宋体"/>
          <w:bCs/>
          <w:color w:val="auto"/>
          <w:kern w:val="0"/>
          <w:szCs w:val="21"/>
          <w:highlight w:val="none"/>
        </w:rPr>
      </w:pPr>
      <w:r>
        <w:rPr>
          <w:rFonts w:hint="eastAsia" w:ascii="宋体" w:hAnsi="宋体" w:cs="宋体"/>
          <w:bCs/>
          <w:color w:val="auto"/>
          <w:kern w:val="0"/>
          <w:szCs w:val="21"/>
          <w:highlight w:val="none"/>
        </w:rPr>
        <w:t>1、本项目实行网上投标，采用电子投标文件；</w:t>
      </w:r>
    </w:p>
    <w:p w14:paraId="6CA5AC4D">
      <w:pPr>
        <w:wordWrap w:val="0"/>
        <w:spacing w:line="360" w:lineRule="auto"/>
        <w:ind w:firstLine="420" w:firstLineChars="200"/>
        <w:rPr>
          <w:rFonts w:ascii="宋体" w:hAnsi="宋体" w:cs="宋体"/>
          <w:bCs/>
          <w:color w:val="auto"/>
          <w:kern w:val="0"/>
          <w:szCs w:val="21"/>
          <w:highlight w:val="none"/>
        </w:rPr>
      </w:pPr>
      <w:r>
        <w:rPr>
          <w:rFonts w:hint="eastAsia" w:ascii="宋体" w:hAnsi="宋体" w:cs="宋体"/>
          <w:bCs/>
          <w:color w:val="auto"/>
          <w:kern w:val="0"/>
          <w:szCs w:val="21"/>
          <w:highlight w:val="none"/>
        </w:rPr>
        <w:t>2、各投标人应在开标前应确保成为政采云平台投标人，并完成CA数字证书（符合国密标准）申领。因未注册入库、未办理CA数字证书等原因造成无法投标或投标失败等后果由投标人自行承担。有意向参与本采购项目电子开评标的投标人，可访问新疆数字证书认证中心官方网站（https://www.xjca.com.cn/）或下载“新疆政务通”APP自行进行申领。如需咨询，请联系新疆CA服务热线0991-2819290；</w:t>
      </w:r>
    </w:p>
    <w:p w14:paraId="21FB77B8">
      <w:pPr>
        <w:wordWrap w:val="0"/>
        <w:spacing w:line="360" w:lineRule="auto"/>
        <w:ind w:firstLine="420" w:firstLineChars="200"/>
        <w:rPr>
          <w:rFonts w:ascii="宋体" w:hAnsi="宋体" w:cs="宋体"/>
          <w:bCs/>
          <w:color w:val="auto"/>
          <w:kern w:val="0"/>
          <w:szCs w:val="21"/>
          <w:highlight w:val="none"/>
        </w:rPr>
      </w:pPr>
      <w:r>
        <w:rPr>
          <w:rFonts w:hint="eastAsia" w:ascii="宋体" w:hAnsi="宋体" w:cs="宋体"/>
          <w:bCs/>
          <w:color w:val="auto"/>
          <w:kern w:val="0"/>
          <w:szCs w:val="21"/>
          <w:highlight w:val="none"/>
        </w:rPr>
        <w:t>3、投标人将政采云电子交易客户端下载、安装完成后，可通过账号密码或CA登录客户端进行投标文件的制作。在使用政采云投标客户端时，建议使用WIN7（64位）及以上操作系统。客户端请至新疆政府采购网（http://www.ccgp-xinjiang.gov.cn/）下载专区查看，如有问题可拨打政采云客户服务热线400-881-7190进行咨询。如因投标人自身原因导致在规定时间内无法正常解密的（如：浏览器故障、未安装相关驱动、网络故障、加密CA与解密CA不一致等），采购中心/代理机构不予异常处理，视为投标人自动弃标。</w:t>
      </w:r>
    </w:p>
    <w:p w14:paraId="324A682E">
      <w:pPr>
        <w:wordWrap w:val="0"/>
        <w:spacing w:line="360" w:lineRule="auto"/>
        <w:rPr>
          <w:rFonts w:ascii="宋体" w:hAnsi="宋体" w:cs="宋体"/>
          <w:color w:val="auto"/>
          <w:kern w:val="0"/>
          <w:szCs w:val="21"/>
          <w:highlight w:val="none"/>
        </w:rPr>
      </w:pPr>
      <w:r>
        <w:rPr>
          <w:rFonts w:hint="eastAsia" w:ascii="宋体" w:hAnsi="宋体" w:cs="宋体"/>
          <w:b/>
          <w:color w:val="auto"/>
          <w:kern w:val="0"/>
          <w:szCs w:val="21"/>
          <w:highlight w:val="none"/>
        </w:rPr>
        <w:t>七、对本次采购提出询问，请按以下方式联系</w:t>
      </w:r>
    </w:p>
    <w:p w14:paraId="3943AA5F">
      <w:pPr>
        <w:wordWrap w:val="0"/>
        <w:spacing w:line="360" w:lineRule="auto"/>
        <w:ind w:firstLine="420" w:firstLineChars="200"/>
        <w:rPr>
          <w:rFonts w:ascii="宋体" w:hAnsi="宋体" w:cs="宋体"/>
          <w:bCs/>
          <w:color w:val="auto"/>
          <w:kern w:val="0"/>
          <w:szCs w:val="21"/>
          <w:highlight w:val="none"/>
        </w:rPr>
      </w:pPr>
      <w:r>
        <w:rPr>
          <w:rFonts w:hint="eastAsia" w:ascii="宋体" w:hAnsi="宋体" w:cs="宋体"/>
          <w:bCs/>
          <w:color w:val="auto"/>
          <w:kern w:val="0"/>
          <w:szCs w:val="21"/>
          <w:highlight w:val="none"/>
        </w:rPr>
        <w:t>1.招标人信息</w:t>
      </w:r>
    </w:p>
    <w:p w14:paraId="39C0A702">
      <w:pPr>
        <w:wordWrap w:val="0"/>
        <w:spacing w:line="360" w:lineRule="auto"/>
        <w:ind w:firstLine="420" w:firstLineChars="200"/>
        <w:rPr>
          <w:rFonts w:ascii="宋体" w:hAnsi="宋体" w:cs="宋体"/>
          <w:bCs/>
          <w:color w:val="auto"/>
          <w:kern w:val="0"/>
          <w:szCs w:val="21"/>
          <w:highlight w:val="none"/>
        </w:rPr>
      </w:pPr>
      <w:r>
        <w:rPr>
          <w:rFonts w:hint="eastAsia" w:ascii="宋体" w:hAnsi="宋体" w:cs="宋体"/>
          <w:bCs/>
          <w:color w:val="auto"/>
          <w:kern w:val="0"/>
          <w:szCs w:val="21"/>
          <w:highlight w:val="none"/>
        </w:rPr>
        <w:t>名    称：新疆应用职业技术学院</w:t>
      </w:r>
    </w:p>
    <w:p w14:paraId="177A1574">
      <w:pPr>
        <w:wordWrap w:val="0"/>
        <w:spacing w:line="360" w:lineRule="auto"/>
        <w:ind w:firstLine="420" w:firstLineChars="200"/>
        <w:rPr>
          <w:rFonts w:ascii="宋体" w:hAnsi="宋体" w:cs="宋体"/>
          <w:bCs/>
          <w:color w:val="auto"/>
          <w:kern w:val="0"/>
          <w:szCs w:val="21"/>
          <w:highlight w:val="none"/>
        </w:rPr>
      </w:pPr>
      <w:r>
        <w:rPr>
          <w:rFonts w:hint="eastAsia" w:ascii="宋体" w:hAnsi="宋体" w:cs="宋体"/>
          <w:bCs/>
          <w:color w:val="auto"/>
          <w:kern w:val="0"/>
          <w:szCs w:val="21"/>
          <w:highlight w:val="none"/>
        </w:rPr>
        <w:t>地    址：新疆奎屯市北京西路62号</w:t>
      </w:r>
    </w:p>
    <w:p w14:paraId="177D7007">
      <w:pPr>
        <w:wordWrap w:val="0"/>
        <w:spacing w:line="360" w:lineRule="auto"/>
        <w:ind w:firstLine="420" w:firstLineChars="200"/>
        <w:rPr>
          <w:rFonts w:hint="eastAsia" w:ascii="宋体" w:hAnsi="宋体" w:eastAsia="宋体" w:cs="宋体"/>
          <w:bCs/>
          <w:color w:val="auto"/>
          <w:kern w:val="0"/>
          <w:szCs w:val="21"/>
          <w:highlight w:val="none"/>
          <w:lang w:val="en-US" w:eastAsia="zh-CN"/>
        </w:rPr>
      </w:pPr>
      <w:r>
        <w:rPr>
          <w:rFonts w:hint="eastAsia" w:ascii="宋体" w:hAnsi="宋体" w:cs="宋体"/>
          <w:bCs/>
          <w:color w:val="auto"/>
          <w:kern w:val="0"/>
          <w:szCs w:val="21"/>
          <w:highlight w:val="none"/>
        </w:rPr>
        <w:t>联系人：</w:t>
      </w:r>
      <w:r>
        <w:rPr>
          <w:rFonts w:hint="eastAsia" w:ascii="宋体" w:hAnsi="宋体" w:cs="宋体"/>
          <w:bCs/>
          <w:color w:val="auto"/>
          <w:kern w:val="0"/>
          <w:szCs w:val="21"/>
          <w:highlight w:val="none"/>
          <w:lang w:val="en-US" w:eastAsia="zh-CN"/>
        </w:rPr>
        <w:t>李莉</w:t>
      </w:r>
    </w:p>
    <w:p w14:paraId="0222BCD9">
      <w:pPr>
        <w:wordWrap w:val="0"/>
        <w:spacing w:line="360" w:lineRule="auto"/>
        <w:ind w:firstLine="420" w:firstLineChars="200"/>
        <w:rPr>
          <w:rFonts w:hint="default" w:ascii="宋体" w:hAnsi="宋体" w:eastAsia="宋体" w:cs="宋体"/>
          <w:bCs/>
          <w:color w:val="auto"/>
          <w:kern w:val="0"/>
          <w:szCs w:val="21"/>
          <w:highlight w:val="none"/>
          <w:lang w:val="en-US" w:eastAsia="zh-CN"/>
        </w:rPr>
      </w:pPr>
      <w:r>
        <w:rPr>
          <w:rFonts w:hint="eastAsia" w:ascii="宋体" w:hAnsi="宋体" w:cs="宋体"/>
          <w:bCs/>
          <w:color w:val="auto"/>
          <w:kern w:val="0"/>
          <w:szCs w:val="21"/>
          <w:highlight w:val="none"/>
        </w:rPr>
        <w:t>联系方式：</w:t>
      </w:r>
      <w:r>
        <w:rPr>
          <w:rFonts w:hint="eastAsia" w:ascii="宋体" w:hAnsi="宋体" w:cs="宋体"/>
          <w:bCs/>
          <w:color w:val="auto"/>
          <w:kern w:val="0"/>
          <w:szCs w:val="21"/>
          <w:highlight w:val="none"/>
          <w:lang w:val="en-US" w:eastAsia="zh-CN"/>
        </w:rPr>
        <w:t>18609921657</w:t>
      </w:r>
    </w:p>
    <w:p w14:paraId="6BF3F886">
      <w:pPr>
        <w:wordWrap w:val="0"/>
        <w:spacing w:line="360" w:lineRule="auto"/>
        <w:ind w:firstLine="420" w:firstLineChars="200"/>
        <w:rPr>
          <w:rFonts w:ascii="宋体" w:hAnsi="宋体" w:cs="宋体"/>
          <w:bCs/>
          <w:color w:val="auto"/>
          <w:kern w:val="0"/>
          <w:szCs w:val="21"/>
          <w:highlight w:val="none"/>
        </w:rPr>
      </w:pPr>
      <w:r>
        <w:rPr>
          <w:rFonts w:hint="eastAsia" w:ascii="宋体" w:hAnsi="宋体" w:cs="宋体"/>
          <w:bCs/>
          <w:color w:val="auto"/>
          <w:kern w:val="0"/>
          <w:szCs w:val="21"/>
          <w:highlight w:val="none"/>
        </w:rPr>
        <w:t>2.采购代理机构信息</w:t>
      </w:r>
    </w:p>
    <w:p w14:paraId="49C8798E">
      <w:pPr>
        <w:wordWrap w:val="0"/>
        <w:spacing w:line="360" w:lineRule="auto"/>
        <w:ind w:firstLine="420" w:firstLineChars="200"/>
        <w:rPr>
          <w:rFonts w:hint="eastAsia" w:ascii="宋体" w:hAnsi="宋体" w:cs="宋体"/>
          <w:bCs/>
          <w:color w:val="auto"/>
          <w:kern w:val="0"/>
          <w:szCs w:val="21"/>
          <w:highlight w:val="none"/>
        </w:rPr>
      </w:pPr>
      <w:r>
        <w:rPr>
          <w:rFonts w:hint="eastAsia" w:ascii="宋体" w:hAnsi="宋体" w:cs="宋体"/>
          <w:bCs/>
          <w:color w:val="auto"/>
          <w:kern w:val="0"/>
          <w:szCs w:val="21"/>
          <w:highlight w:val="none"/>
        </w:rPr>
        <w:t xml:space="preserve">名称： </w:t>
      </w:r>
      <w:r>
        <w:rPr>
          <w:rFonts w:hint="eastAsia" w:ascii="宋体" w:hAnsi="宋体" w:cs="宋体"/>
          <w:bCs/>
          <w:color w:val="auto"/>
          <w:kern w:val="0"/>
          <w:szCs w:val="21"/>
          <w:highlight w:val="none"/>
          <w:lang w:val="en-US" w:eastAsia="zh-CN"/>
        </w:rPr>
        <w:t>新疆新建联项目管理咨询有限公司</w:t>
      </w:r>
      <w:r>
        <w:rPr>
          <w:rFonts w:hint="eastAsia" w:ascii="宋体" w:hAnsi="宋体" w:cs="宋体"/>
          <w:bCs/>
          <w:color w:val="auto"/>
          <w:kern w:val="0"/>
          <w:szCs w:val="21"/>
          <w:highlight w:val="none"/>
        </w:rPr>
        <w:t xml:space="preserve"> </w:t>
      </w:r>
    </w:p>
    <w:p w14:paraId="0249BF2B">
      <w:pPr>
        <w:wordWrap w:val="0"/>
        <w:spacing w:line="360" w:lineRule="auto"/>
        <w:ind w:firstLine="420" w:firstLineChars="200"/>
        <w:rPr>
          <w:rFonts w:hint="eastAsia" w:ascii="宋体" w:hAnsi="宋体" w:cs="宋体"/>
          <w:bCs/>
          <w:color w:val="auto"/>
          <w:kern w:val="0"/>
          <w:szCs w:val="21"/>
          <w:highlight w:val="none"/>
        </w:rPr>
      </w:pPr>
      <w:r>
        <w:rPr>
          <w:rFonts w:hint="eastAsia" w:ascii="宋体" w:hAnsi="宋体" w:cs="宋体"/>
          <w:bCs/>
          <w:color w:val="auto"/>
          <w:kern w:val="0"/>
          <w:szCs w:val="21"/>
          <w:highlight w:val="none"/>
        </w:rPr>
        <w:t xml:space="preserve">地址： 新疆乌鲁木齐市水磨沟区龙胜街898号万科中央公园S2栋商业综合楼1503室 </w:t>
      </w:r>
    </w:p>
    <w:p w14:paraId="207B878A">
      <w:pPr>
        <w:wordWrap w:val="0"/>
        <w:spacing w:line="360" w:lineRule="auto"/>
        <w:ind w:firstLine="420" w:firstLineChars="200"/>
        <w:rPr>
          <w:rFonts w:ascii="宋体" w:hAnsi="宋体" w:cs="宋体"/>
          <w:bCs/>
          <w:color w:val="auto"/>
          <w:kern w:val="0"/>
          <w:szCs w:val="21"/>
          <w:highlight w:val="none"/>
        </w:rPr>
      </w:pPr>
      <w:r>
        <w:rPr>
          <w:rFonts w:hint="eastAsia" w:ascii="宋体" w:hAnsi="宋体" w:cs="宋体"/>
          <w:bCs/>
          <w:color w:val="auto"/>
          <w:kern w:val="0"/>
          <w:szCs w:val="21"/>
          <w:highlight w:val="none"/>
        </w:rPr>
        <w:t xml:space="preserve">联系方式： </w:t>
      </w:r>
      <w:r>
        <w:rPr>
          <w:rFonts w:hint="eastAsia" w:ascii="宋体" w:hAnsi="宋体" w:cs="宋体"/>
          <w:bCs/>
          <w:color w:val="auto"/>
          <w:kern w:val="0"/>
          <w:szCs w:val="21"/>
          <w:highlight w:val="none"/>
          <w:lang w:val="en-US" w:eastAsia="zh-CN"/>
        </w:rPr>
        <w:t>13999102070</w:t>
      </w:r>
    </w:p>
    <w:p w14:paraId="2315D56A">
      <w:pPr>
        <w:pStyle w:val="36"/>
        <w:keepNext w:val="0"/>
        <w:keepLines w:val="0"/>
        <w:widowControl/>
        <w:suppressLineNumbers w:val="0"/>
        <w:spacing w:before="255" w:beforeAutospacing="0" w:after="255" w:afterAutospacing="0" w:line="450" w:lineRule="atLeast"/>
        <w:ind w:left="0" w:right="0" w:firstLine="0"/>
        <w:jc w:val="both"/>
        <w:rPr>
          <w:rFonts w:ascii="宋体" w:hAnsi="宋体" w:cs="宋体"/>
          <w:color w:val="auto"/>
          <w:szCs w:val="21"/>
          <w:highlight w:val="none"/>
        </w:rPr>
      </w:pPr>
      <w:r>
        <w:rPr>
          <w:rFonts w:hint="eastAsia"/>
          <w:color w:val="auto"/>
          <w:szCs w:val="21"/>
          <w:highlight w:val="none"/>
        </w:rPr>
        <w:br w:type="page"/>
      </w:r>
    </w:p>
    <w:p w14:paraId="510A5178">
      <w:pPr>
        <w:spacing w:line="360" w:lineRule="auto"/>
        <w:rPr>
          <w:rFonts w:ascii="宋体" w:hAnsi="宋体" w:cs="宋体"/>
          <w:color w:val="auto"/>
          <w:szCs w:val="21"/>
          <w:highlight w:val="none"/>
        </w:rPr>
      </w:pPr>
    </w:p>
    <w:p w14:paraId="0F5BBA24">
      <w:pPr>
        <w:pStyle w:val="36"/>
        <w:widowControl w:val="0"/>
        <w:wordWrap w:val="0"/>
        <w:spacing w:line="360" w:lineRule="auto"/>
        <w:jc w:val="center"/>
        <w:outlineLvl w:val="0"/>
        <w:rPr>
          <w:rStyle w:val="73"/>
          <w:rFonts w:ascii="宋体" w:hAnsi="宋体" w:cs="宋体"/>
          <w:color w:val="auto"/>
          <w:highlight w:val="none"/>
        </w:rPr>
      </w:pPr>
      <w:bookmarkStart w:id="10" w:name="_Toc529282259"/>
      <w:bookmarkStart w:id="11" w:name="_Toc19268"/>
      <w:r>
        <w:rPr>
          <w:rStyle w:val="73"/>
          <w:rFonts w:hint="eastAsia" w:ascii="宋体" w:hAnsi="宋体" w:cs="宋体"/>
          <w:color w:val="auto"/>
          <w:highlight w:val="none"/>
        </w:rPr>
        <w:t>第二章  投标须知</w:t>
      </w:r>
      <w:bookmarkEnd w:id="10"/>
      <w:bookmarkEnd w:id="11"/>
    </w:p>
    <w:p w14:paraId="2EF1164C">
      <w:pPr>
        <w:pStyle w:val="3"/>
        <w:wordWrap w:val="0"/>
        <w:spacing w:line="360" w:lineRule="auto"/>
        <w:rPr>
          <w:rFonts w:ascii="宋体" w:hAnsi="宋体" w:eastAsia="宋体" w:cs="宋体"/>
          <w:b/>
          <w:color w:val="auto"/>
          <w:sz w:val="32"/>
          <w:szCs w:val="32"/>
          <w:highlight w:val="none"/>
        </w:rPr>
      </w:pPr>
      <w:bookmarkStart w:id="12" w:name="_Toc499725005"/>
      <w:bookmarkStart w:id="13" w:name="_Toc529282260"/>
      <w:bookmarkStart w:id="14" w:name="_Toc9256"/>
      <w:r>
        <w:rPr>
          <w:rFonts w:hint="eastAsia" w:ascii="宋体" w:hAnsi="宋体" w:eastAsia="宋体" w:cs="宋体"/>
          <w:b/>
          <w:color w:val="auto"/>
          <w:sz w:val="32"/>
          <w:szCs w:val="32"/>
          <w:highlight w:val="none"/>
        </w:rPr>
        <w:t>投标须知前附表</w:t>
      </w:r>
      <w:bookmarkEnd w:id="12"/>
      <w:bookmarkEnd w:id="13"/>
      <w:bookmarkEnd w:id="14"/>
    </w:p>
    <w:p w14:paraId="5A1F6903">
      <w:pPr>
        <w:pStyle w:val="2"/>
        <w:keepNext/>
        <w:keepLines/>
        <w:pageBreakBefore w:val="0"/>
        <w:widowControl w:val="0"/>
        <w:numPr>
          <w:ilvl w:val="0"/>
          <w:numId w:val="0"/>
        </w:numPr>
        <w:kinsoku/>
        <w:wordWrap/>
        <w:overflowPunct/>
        <w:topLinePunct w:val="0"/>
        <w:autoSpaceDE/>
        <w:autoSpaceDN/>
        <w:bidi w:val="0"/>
        <w:adjustRightInd/>
        <w:snapToGrid/>
        <w:spacing w:before="80" w:after="80" w:line="360" w:lineRule="auto"/>
        <w:ind w:left="420" w:leftChars="0" w:hanging="420" w:firstLineChars="0"/>
        <w:textAlignment w:val="auto"/>
        <w:rPr>
          <w:rFonts w:hint="eastAsia" w:eastAsia="宋体" w:asciiTheme="majorHAnsi" w:hAnsiTheme="majorHAnsi" w:cstheme="majorBidi"/>
          <w:b/>
          <w:bCs/>
          <w:color w:val="auto"/>
          <w:kern w:val="2"/>
          <w:sz w:val="28"/>
          <w:szCs w:val="28"/>
          <w:highlight w:val="none"/>
          <w:lang w:val="en-US" w:eastAsia="zh-CN" w:bidi="ar-SA"/>
        </w:rPr>
      </w:pPr>
      <w:bookmarkStart w:id="15" w:name="_Toc155185868"/>
      <w:bookmarkStart w:id="16" w:name="_Toc6574"/>
      <w:r>
        <w:rPr>
          <w:rFonts w:hint="eastAsia" w:eastAsia="宋体" w:asciiTheme="majorHAnsi" w:hAnsiTheme="majorHAnsi" w:cstheme="majorBidi"/>
          <w:b/>
          <w:bCs/>
          <w:color w:val="auto"/>
          <w:kern w:val="2"/>
          <w:sz w:val="28"/>
          <w:szCs w:val="28"/>
          <w:highlight w:val="none"/>
          <w:lang w:val="en-US" w:eastAsia="zh-CN" w:bidi="ar-SA"/>
        </w:rPr>
        <w:t>一、投标人须知前附表</w:t>
      </w:r>
      <w:bookmarkEnd w:id="15"/>
      <w:bookmarkEnd w:id="16"/>
    </w:p>
    <w:p w14:paraId="7F3ACB7A">
      <w:pPr>
        <w:pStyle w:val="223"/>
        <w:rPr>
          <w:rFonts w:hint="default" w:eastAsia="宋体"/>
          <w:color w:val="auto"/>
          <w:sz w:val="24"/>
          <w:szCs w:val="24"/>
          <w:highlight w:val="none"/>
          <w:lang w:val="en-US" w:eastAsia="zh-CN"/>
        </w:rPr>
      </w:pPr>
      <w:r>
        <w:rPr>
          <w:rFonts w:hint="eastAsia"/>
          <w:color w:val="auto"/>
          <w:sz w:val="24"/>
          <w:szCs w:val="24"/>
          <w:highlight w:val="none"/>
        </w:rPr>
        <w:t>投标人应仔细阅读本招标文件的第二章“投标人须知”，下面所列资料是对“投标人须知”的具体补充和说明</w:t>
      </w:r>
      <w:r>
        <w:rPr>
          <w:rFonts w:hint="eastAsia"/>
          <w:color w:val="auto"/>
          <w:sz w:val="24"/>
          <w:szCs w:val="24"/>
          <w:highlight w:val="none"/>
          <w:lang w:eastAsia="zh-CN"/>
        </w:rPr>
        <w:t>，</w:t>
      </w:r>
      <w:r>
        <w:rPr>
          <w:rFonts w:hint="eastAsia"/>
          <w:color w:val="auto"/>
          <w:sz w:val="24"/>
          <w:szCs w:val="24"/>
          <w:highlight w:val="none"/>
        </w:rPr>
        <w:t>如有矛盾，应以本表为准。</w:t>
      </w:r>
      <w:r>
        <w:rPr>
          <w:rFonts w:hint="eastAsia"/>
          <w:color w:val="auto"/>
          <w:sz w:val="24"/>
          <w:szCs w:val="24"/>
          <w:highlight w:val="none"/>
          <w:lang w:val="en-US" w:eastAsia="zh-CN"/>
        </w:rPr>
        <w:t>标记“</w:t>
      </w:r>
      <w:r>
        <w:rPr>
          <w:rFonts w:hint="eastAsia" w:ascii="宋体" w:hAnsi="宋体" w:eastAsia="宋体"/>
          <w:color w:val="auto"/>
          <w:sz w:val="24"/>
          <w:szCs w:val="24"/>
          <w:highlight w:val="none"/>
          <w:lang w:val="en-US" w:eastAsia="zh-CN"/>
        </w:rPr>
        <w:t>☑”的选项意为适用于本项目，标记“□”的选项意为不适用于本项目。</w:t>
      </w:r>
    </w:p>
    <w:tbl>
      <w:tblPr>
        <w:tblStyle w:val="40"/>
        <w:tblW w:w="9408" w:type="dxa"/>
        <w:tblInd w:w="-352"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57" w:type="dxa"/>
          <w:left w:w="108" w:type="dxa"/>
          <w:bottom w:w="57" w:type="dxa"/>
          <w:right w:w="108" w:type="dxa"/>
        </w:tblCellMar>
      </w:tblPr>
      <w:tblGrid>
        <w:gridCol w:w="970"/>
        <w:gridCol w:w="1738"/>
        <w:gridCol w:w="6700"/>
      </w:tblGrid>
      <w:tr w14:paraId="1B64B25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373" w:hRule="atLeast"/>
          <w:tblHeader/>
        </w:trPr>
        <w:tc>
          <w:tcPr>
            <w:tcW w:w="970"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14:paraId="4C4440DB">
            <w:pPr>
              <w:pStyle w:val="224"/>
              <w:jc w:val="center"/>
              <w:rPr>
                <w:rFonts w:hint="eastAsia" w:ascii="宋体" w:hAnsi="宋体" w:eastAsia="宋体" w:cs="宋体"/>
                <w:b/>
                <w:bCs/>
                <w:color w:val="auto"/>
                <w:sz w:val="24"/>
                <w:szCs w:val="24"/>
                <w:highlight w:val="none"/>
              </w:rPr>
            </w:pPr>
            <w:r>
              <w:rPr>
                <w:rFonts w:hint="eastAsia" w:cs="宋体"/>
                <w:b/>
                <w:bCs/>
                <w:color w:val="auto"/>
                <w:sz w:val="24"/>
                <w:szCs w:val="24"/>
                <w:highlight w:val="none"/>
                <w:lang w:val="en-US" w:eastAsia="zh-CN"/>
              </w:rPr>
              <w:t>序</w:t>
            </w:r>
            <w:r>
              <w:rPr>
                <w:rFonts w:hint="eastAsia" w:ascii="宋体" w:hAnsi="宋体" w:eastAsia="宋体" w:cs="宋体"/>
                <w:b/>
                <w:bCs/>
                <w:color w:val="auto"/>
                <w:sz w:val="24"/>
                <w:szCs w:val="24"/>
                <w:highlight w:val="none"/>
              </w:rPr>
              <w:t>号</w:t>
            </w:r>
          </w:p>
        </w:tc>
        <w:tc>
          <w:tcPr>
            <w:tcW w:w="1738"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14:paraId="0B9EABEB">
            <w:pPr>
              <w:pStyle w:val="224"/>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条款名称</w:t>
            </w:r>
          </w:p>
        </w:tc>
        <w:tc>
          <w:tcPr>
            <w:tcW w:w="6700"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14:paraId="5C7B3B70">
            <w:pPr>
              <w:pStyle w:val="224"/>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内  容</w:t>
            </w:r>
          </w:p>
        </w:tc>
      </w:tr>
      <w:tr w14:paraId="46137A4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90" w:hRule="atLeast"/>
        </w:trPr>
        <w:tc>
          <w:tcPr>
            <w:tcW w:w="970" w:type="dxa"/>
            <w:vAlign w:val="center"/>
          </w:tcPr>
          <w:p w14:paraId="60441C76">
            <w:pPr>
              <w:pStyle w:val="224"/>
              <w:jc w:val="center"/>
              <w:rPr>
                <w:rFonts w:hint="default" w:ascii="宋体" w:hAnsi="宋体" w:eastAsia="宋体" w:cs="宋体"/>
                <w:color w:val="auto"/>
                <w:sz w:val="24"/>
                <w:szCs w:val="24"/>
                <w:highlight w:val="none"/>
                <w:lang w:val="en-US" w:eastAsia="zh-CN"/>
              </w:rPr>
            </w:pPr>
            <w:r>
              <w:rPr>
                <w:rFonts w:hint="eastAsia" w:cs="宋体"/>
                <w:color w:val="auto"/>
                <w:sz w:val="24"/>
                <w:szCs w:val="24"/>
                <w:highlight w:val="none"/>
                <w:lang w:val="en-US" w:eastAsia="zh-CN"/>
              </w:rPr>
              <w:t>1</w:t>
            </w:r>
          </w:p>
        </w:tc>
        <w:tc>
          <w:tcPr>
            <w:tcW w:w="1738" w:type="dxa"/>
            <w:vAlign w:val="center"/>
          </w:tcPr>
          <w:p w14:paraId="3D9DB5F0">
            <w:pPr>
              <w:pStyle w:val="224"/>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核心产品</w:t>
            </w:r>
          </w:p>
        </w:tc>
        <w:tc>
          <w:tcPr>
            <w:tcW w:w="6700" w:type="dxa"/>
            <w:vAlign w:val="center"/>
          </w:tcPr>
          <w:p w14:paraId="7BB22B3E">
            <w:pPr>
              <w:pStyle w:val="224"/>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□本项目第__包不适用。 </w:t>
            </w:r>
          </w:p>
          <w:p w14:paraId="3D32C559">
            <w:pPr>
              <w:pStyle w:val="224"/>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□本项目第__包为单一产品采购项目。 </w:t>
            </w:r>
          </w:p>
          <w:p w14:paraId="6BCC34C0">
            <w:pPr>
              <w:pStyle w:val="224"/>
              <w:rPr>
                <w:rFonts w:hint="eastAsia" w:ascii="宋体" w:hAnsi="宋体" w:eastAsia="宋体" w:cs="宋体"/>
                <w:color w:val="auto"/>
                <w:sz w:val="24"/>
                <w:szCs w:val="24"/>
                <w:highlight w:val="none"/>
                <w:lang w:val="en-US" w:eastAsia="zh-CN"/>
              </w:rPr>
            </w:pPr>
            <w:r>
              <w:rPr>
                <w:rFonts w:hint="eastAsia"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本项目第_</w:t>
            </w:r>
            <w:r>
              <w:rPr>
                <w:rFonts w:hint="eastAsia" w:cs="宋体"/>
                <w:color w:val="auto"/>
                <w:sz w:val="24"/>
                <w:szCs w:val="24"/>
                <w:highlight w:val="none"/>
                <w:lang w:val="en-US" w:eastAsia="zh-CN"/>
              </w:rPr>
              <w:t>1</w:t>
            </w:r>
            <w:r>
              <w:rPr>
                <w:rFonts w:hint="eastAsia" w:ascii="宋体" w:hAnsi="宋体" w:eastAsia="宋体" w:cs="宋体"/>
                <w:color w:val="auto"/>
                <w:sz w:val="24"/>
                <w:szCs w:val="24"/>
                <w:highlight w:val="none"/>
                <w:lang w:val="en-US" w:eastAsia="zh-CN"/>
              </w:rPr>
              <w:t>_包为非单一产品采购项目，其中核心产品为：_</w:t>
            </w:r>
            <w:r>
              <w:rPr>
                <w:rFonts w:hint="eastAsia" w:ascii="宋体" w:hAnsi="宋体" w:eastAsia="宋体" w:cs="宋体"/>
                <w:color w:val="auto"/>
                <w:sz w:val="24"/>
                <w:szCs w:val="24"/>
                <w:highlight w:val="none"/>
                <w:u w:val="single"/>
                <w:lang w:val="en-US" w:eastAsia="zh-CN"/>
              </w:rPr>
              <w:t>电子图书借阅机、电子报刊借阅机</w:t>
            </w:r>
            <w:r>
              <w:rPr>
                <w:rFonts w:hint="eastAsia" w:ascii="宋体" w:hAnsi="宋体" w:eastAsia="宋体" w:cs="宋体"/>
                <w:color w:val="auto"/>
                <w:sz w:val="24"/>
                <w:szCs w:val="24"/>
                <w:highlight w:val="none"/>
                <w:lang w:val="en-US" w:eastAsia="zh-CN"/>
              </w:rPr>
              <w:t>___。</w:t>
            </w:r>
          </w:p>
        </w:tc>
      </w:tr>
      <w:tr w14:paraId="2E76369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961" w:hRule="atLeast"/>
        </w:trPr>
        <w:tc>
          <w:tcPr>
            <w:tcW w:w="970" w:type="dxa"/>
            <w:shd w:val="clear" w:color="auto" w:fill="auto"/>
            <w:vAlign w:val="center"/>
          </w:tcPr>
          <w:p w14:paraId="1BF1D896">
            <w:pPr>
              <w:pStyle w:val="224"/>
              <w:jc w:val="center"/>
              <w:rPr>
                <w:rFonts w:hint="default" w:ascii="宋体" w:hAnsi="宋体" w:eastAsia="宋体" w:cs="宋体"/>
                <w:color w:val="auto"/>
                <w:kern w:val="2"/>
                <w:sz w:val="24"/>
                <w:szCs w:val="24"/>
                <w:highlight w:val="none"/>
                <w:lang w:val="en-US" w:eastAsia="zh-CN" w:bidi="ar-SA"/>
              </w:rPr>
            </w:pPr>
            <w:r>
              <w:rPr>
                <w:rFonts w:hint="eastAsia" w:cs="宋体"/>
                <w:color w:val="auto"/>
                <w:kern w:val="2"/>
                <w:sz w:val="24"/>
                <w:szCs w:val="24"/>
                <w:highlight w:val="none"/>
                <w:lang w:val="en-US" w:eastAsia="zh-CN" w:bidi="ar-SA"/>
              </w:rPr>
              <w:t>2</w:t>
            </w:r>
          </w:p>
        </w:tc>
        <w:tc>
          <w:tcPr>
            <w:tcW w:w="1738" w:type="dxa"/>
            <w:shd w:val="clear" w:color="auto" w:fill="auto"/>
            <w:vAlign w:val="center"/>
          </w:tcPr>
          <w:p w14:paraId="700F5EE9">
            <w:pPr>
              <w:keepNext w:val="0"/>
              <w:keepLines w:val="0"/>
              <w:widowControl/>
              <w:suppressLineNumbers w:val="0"/>
              <w:spacing w:line="240" w:lineRule="auto"/>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
              </w:rPr>
              <w:t>科研仪器设备</w:t>
            </w:r>
          </w:p>
        </w:tc>
        <w:tc>
          <w:tcPr>
            <w:tcW w:w="6700" w:type="dxa"/>
            <w:shd w:val="clear" w:color="auto" w:fill="auto"/>
            <w:vAlign w:val="center"/>
          </w:tcPr>
          <w:p w14:paraId="0F6FC5C1">
            <w:pPr>
              <w:keepNext w:val="0"/>
              <w:keepLines w:val="0"/>
              <w:widowControl/>
              <w:suppressLineNumbers w:val="0"/>
              <w:spacing w:line="240" w:lineRule="auto"/>
              <w:jc w:val="left"/>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 xml:space="preserve">是否属于科研仪器设备采购项目： </w:t>
            </w:r>
          </w:p>
          <w:p w14:paraId="4A1686C7">
            <w:pPr>
              <w:keepNext w:val="0"/>
              <w:keepLines w:val="0"/>
              <w:widowControl/>
              <w:suppressLineNumbers w:val="0"/>
              <w:spacing w:line="240" w:lineRule="auto"/>
              <w:jc w:val="left"/>
              <w:rPr>
                <w:rFonts w:hint="eastAsia" w:ascii="宋体" w:hAnsi="宋体" w:eastAsia="宋体" w:cs="宋体"/>
                <w:color w:val="auto"/>
                <w:kern w:val="0"/>
                <w:sz w:val="24"/>
                <w:szCs w:val="24"/>
                <w:highlight w:val="none"/>
                <w:lang w:val="en-US" w:eastAsia="zh-CN" w:bidi="ar"/>
              </w:rPr>
            </w:pPr>
            <w:r>
              <w:rPr>
                <w:rFonts w:hint="eastAsia" w:cs="宋体"/>
                <w:color w:val="auto"/>
                <w:sz w:val="24"/>
                <w:szCs w:val="24"/>
                <w:highlight w:val="none"/>
                <w:lang w:val="en-US" w:eastAsia="zh-CN"/>
              </w:rPr>
              <w:t>□</w:t>
            </w:r>
            <w:r>
              <w:rPr>
                <w:rFonts w:hint="eastAsia" w:ascii="宋体" w:hAnsi="宋体" w:eastAsia="宋体" w:cs="宋体"/>
                <w:color w:val="auto"/>
                <w:kern w:val="0"/>
                <w:sz w:val="24"/>
                <w:szCs w:val="24"/>
                <w:highlight w:val="none"/>
                <w:lang w:val="en-US" w:eastAsia="zh-CN" w:bidi="ar"/>
              </w:rPr>
              <w:t xml:space="preserve">是 </w:t>
            </w:r>
          </w:p>
          <w:p w14:paraId="7C9332C8">
            <w:pPr>
              <w:keepNext w:val="0"/>
              <w:keepLines w:val="0"/>
              <w:widowControl/>
              <w:suppressLineNumbers w:val="0"/>
              <w:spacing w:line="240" w:lineRule="auto"/>
              <w:jc w:val="left"/>
              <w:rPr>
                <w:rFonts w:hint="eastAsia" w:ascii="宋体" w:hAnsi="宋体" w:eastAsia="宋体" w:cs="宋体"/>
                <w:color w:val="auto"/>
                <w:kern w:val="0"/>
                <w:sz w:val="24"/>
                <w:szCs w:val="24"/>
                <w:highlight w:val="none"/>
                <w:lang w:val="en-US" w:eastAsia="zh-CN" w:bidi="ar"/>
              </w:rPr>
            </w:pPr>
            <w:r>
              <w:rPr>
                <w:rFonts w:hint="eastAsia" w:cs="宋体"/>
                <w:color w:val="auto"/>
                <w:sz w:val="24"/>
                <w:szCs w:val="24"/>
                <w:highlight w:val="none"/>
                <w:lang w:val="en-US" w:eastAsia="zh-CN"/>
              </w:rPr>
              <w:t>☑</w:t>
            </w:r>
            <w:r>
              <w:rPr>
                <w:rFonts w:hint="eastAsia" w:ascii="宋体" w:hAnsi="宋体" w:eastAsia="宋体" w:cs="宋体"/>
                <w:color w:val="auto"/>
                <w:kern w:val="0"/>
                <w:sz w:val="24"/>
                <w:szCs w:val="24"/>
                <w:highlight w:val="none"/>
                <w:lang w:val="en-US" w:eastAsia="zh-CN" w:bidi="ar"/>
              </w:rPr>
              <w:t>否</w:t>
            </w:r>
          </w:p>
        </w:tc>
      </w:tr>
      <w:tr w14:paraId="25C4682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1268" w:hRule="atLeast"/>
        </w:trPr>
        <w:tc>
          <w:tcPr>
            <w:tcW w:w="970" w:type="dxa"/>
            <w:vAlign w:val="center"/>
          </w:tcPr>
          <w:p w14:paraId="3FDFEF2B">
            <w:pPr>
              <w:pStyle w:val="224"/>
              <w:jc w:val="center"/>
              <w:rPr>
                <w:rFonts w:hint="eastAsia" w:ascii="宋体" w:hAnsi="宋体" w:eastAsia="宋体" w:cs="宋体"/>
                <w:color w:val="auto"/>
                <w:sz w:val="24"/>
                <w:szCs w:val="24"/>
                <w:highlight w:val="none"/>
              </w:rPr>
            </w:pPr>
            <w:r>
              <w:rPr>
                <w:rFonts w:hint="eastAsia" w:cs="宋体"/>
                <w:color w:val="auto"/>
                <w:sz w:val="24"/>
                <w:szCs w:val="24"/>
                <w:highlight w:val="none"/>
                <w:lang w:val="en-US" w:eastAsia="zh-CN"/>
              </w:rPr>
              <w:t>3</w:t>
            </w:r>
          </w:p>
        </w:tc>
        <w:tc>
          <w:tcPr>
            <w:tcW w:w="1738" w:type="dxa"/>
            <w:vAlign w:val="center"/>
          </w:tcPr>
          <w:p w14:paraId="117C18AE">
            <w:pPr>
              <w:pStyle w:val="224"/>
              <w:rPr>
                <w:rFonts w:hint="eastAsia" w:ascii="宋体" w:hAnsi="宋体" w:eastAsia="宋体" w:cs="宋体"/>
                <w:color w:val="auto"/>
                <w:sz w:val="24"/>
                <w:szCs w:val="24"/>
                <w:highlight w:val="none"/>
              </w:rPr>
            </w:pPr>
            <w:bookmarkStart w:id="17" w:name="_Hlk143529175"/>
            <w:r>
              <w:rPr>
                <w:rFonts w:hint="eastAsia" w:ascii="宋体" w:hAnsi="宋体" w:eastAsia="宋体" w:cs="宋体"/>
                <w:color w:val="auto"/>
                <w:sz w:val="24"/>
                <w:szCs w:val="24"/>
                <w:highlight w:val="none"/>
              </w:rPr>
              <w:t>现场考察</w:t>
            </w:r>
            <w:bookmarkEnd w:id="17"/>
          </w:p>
        </w:tc>
        <w:tc>
          <w:tcPr>
            <w:tcW w:w="6700" w:type="dxa"/>
            <w:vAlign w:val="center"/>
          </w:tcPr>
          <w:p w14:paraId="36549596">
            <w:pPr>
              <w:pStyle w:val="224"/>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sym w:font="Wingdings" w:char="00FE"/>
            </w:r>
            <w:r>
              <w:rPr>
                <w:rFonts w:hint="eastAsia" w:ascii="宋体" w:hAnsi="宋体" w:eastAsia="宋体" w:cs="宋体"/>
                <w:color w:val="auto"/>
                <w:sz w:val="24"/>
                <w:szCs w:val="24"/>
                <w:highlight w:val="none"/>
              </w:rPr>
              <w:t>不组织，投标人自行前往</w:t>
            </w:r>
            <w:r>
              <w:rPr>
                <w:rFonts w:hint="eastAsia" w:ascii="宋体" w:hAnsi="宋体" w:eastAsia="宋体" w:cs="宋体"/>
                <w:color w:val="auto"/>
                <w:sz w:val="24"/>
                <w:szCs w:val="24"/>
                <w:highlight w:val="none"/>
                <w:lang w:eastAsia="zh-CN"/>
              </w:rPr>
              <w:t>。</w:t>
            </w:r>
          </w:p>
          <w:p w14:paraId="70F71951">
            <w:pPr>
              <w:pStyle w:val="22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sym w:font="Wingdings" w:char="00A8"/>
            </w:r>
            <w:r>
              <w:rPr>
                <w:rFonts w:hint="eastAsia" w:ascii="宋体" w:hAnsi="宋体" w:eastAsia="宋体" w:cs="宋体"/>
                <w:color w:val="auto"/>
                <w:sz w:val="24"/>
                <w:szCs w:val="24"/>
                <w:highlight w:val="none"/>
              </w:rPr>
              <w:t>组织</w:t>
            </w:r>
          </w:p>
          <w:p w14:paraId="0A578DA1">
            <w:pPr>
              <w:pStyle w:val="224"/>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时间：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6FE8AF39">
            <w:pPr>
              <w:pStyle w:val="224"/>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地点：</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tc>
      </w:tr>
      <w:tr w14:paraId="31CF27F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1235" w:hRule="atLeast"/>
        </w:trPr>
        <w:tc>
          <w:tcPr>
            <w:tcW w:w="970" w:type="dxa"/>
            <w:vAlign w:val="center"/>
          </w:tcPr>
          <w:p w14:paraId="0D95D099">
            <w:pPr>
              <w:pStyle w:val="224"/>
              <w:jc w:val="center"/>
              <w:rPr>
                <w:rFonts w:hint="default" w:ascii="宋体" w:hAnsi="宋体" w:eastAsia="宋体" w:cs="宋体"/>
                <w:color w:val="auto"/>
                <w:sz w:val="24"/>
                <w:szCs w:val="24"/>
                <w:highlight w:val="none"/>
                <w:lang w:val="en-US" w:eastAsia="zh-CN"/>
              </w:rPr>
            </w:pPr>
            <w:r>
              <w:rPr>
                <w:rFonts w:hint="eastAsia" w:cs="宋体"/>
                <w:color w:val="auto"/>
                <w:sz w:val="24"/>
                <w:szCs w:val="24"/>
                <w:highlight w:val="none"/>
                <w:lang w:val="en-US" w:eastAsia="zh-CN"/>
              </w:rPr>
              <w:t>4</w:t>
            </w:r>
          </w:p>
        </w:tc>
        <w:tc>
          <w:tcPr>
            <w:tcW w:w="1738" w:type="dxa"/>
            <w:vAlign w:val="center"/>
          </w:tcPr>
          <w:p w14:paraId="4A5FE036">
            <w:pPr>
              <w:pStyle w:val="22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答疑会</w:t>
            </w:r>
          </w:p>
        </w:tc>
        <w:tc>
          <w:tcPr>
            <w:tcW w:w="6700" w:type="dxa"/>
            <w:vAlign w:val="center"/>
          </w:tcPr>
          <w:p w14:paraId="6B78B750">
            <w:pPr>
              <w:pStyle w:val="224"/>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sym w:font="Wingdings" w:char="00FE"/>
            </w:r>
            <w:r>
              <w:rPr>
                <w:rFonts w:hint="eastAsia" w:ascii="宋体" w:hAnsi="宋体" w:eastAsia="宋体" w:cs="宋体"/>
                <w:color w:val="auto"/>
                <w:sz w:val="24"/>
                <w:szCs w:val="24"/>
                <w:highlight w:val="none"/>
              </w:rPr>
              <w:t>不组织</w:t>
            </w:r>
          </w:p>
          <w:p w14:paraId="3C61F0CD">
            <w:pPr>
              <w:pStyle w:val="22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sym w:font="Wingdings" w:char="00A8"/>
            </w:r>
            <w:r>
              <w:rPr>
                <w:rFonts w:hint="eastAsia" w:ascii="宋体" w:hAnsi="宋体" w:eastAsia="宋体" w:cs="宋体"/>
                <w:color w:val="auto"/>
                <w:sz w:val="24"/>
                <w:szCs w:val="24"/>
                <w:highlight w:val="none"/>
              </w:rPr>
              <w:t>组织</w:t>
            </w:r>
          </w:p>
          <w:p w14:paraId="1279EA7E">
            <w:pPr>
              <w:pStyle w:val="224"/>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时间：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7368AD2C">
            <w:pPr>
              <w:pStyle w:val="224"/>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地点：</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tc>
      </w:tr>
      <w:tr w14:paraId="58EAFCE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970" w:type="dxa"/>
            <w:vAlign w:val="center"/>
          </w:tcPr>
          <w:p w14:paraId="09017C90">
            <w:pPr>
              <w:pStyle w:val="224"/>
              <w:jc w:val="center"/>
              <w:rPr>
                <w:rFonts w:hint="default" w:ascii="宋体" w:hAnsi="宋体" w:eastAsia="宋体" w:cs="宋体"/>
                <w:color w:val="auto"/>
                <w:kern w:val="2"/>
                <w:sz w:val="24"/>
                <w:szCs w:val="24"/>
                <w:highlight w:val="none"/>
                <w:lang w:val="en-US" w:eastAsia="zh-CN" w:bidi="ar-SA"/>
              </w:rPr>
            </w:pPr>
            <w:r>
              <w:rPr>
                <w:rFonts w:hint="eastAsia" w:cs="宋体"/>
                <w:color w:val="auto"/>
                <w:kern w:val="2"/>
                <w:sz w:val="24"/>
                <w:szCs w:val="24"/>
                <w:highlight w:val="none"/>
                <w:lang w:val="en-US" w:eastAsia="zh-CN" w:bidi="ar-SA"/>
              </w:rPr>
              <w:t>5</w:t>
            </w:r>
          </w:p>
        </w:tc>
        <w:tc>
          <w:tcPr>
            <w:tcW w:w="1738" w:type="dxa"/>
            <w:vAlign w:val="center"/>
          </w:tcPr>
          <w:p w14:paraId="14B3667D">
            <w:pPr>
              <w:pStyle w:val="224"/>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询问</w:t>
            </w:r>
          </w:p>
        </w:tc>
        <w:tc>
          <w:tcPr>
            <w:tcW w:w="6700" w:type="dxa"/>
            <w:vAlign w:val="center"/>
          </w:tcPr>
          <w:p w14:paraId="3D637E0D">
            <w:pPr>
              <w:pStyle w:val="22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方式：</w:t>
            </w:r>
          </w:p>
          <w:p w14:paraId="0DD19460">
            <w:pPr>
              <w:pStyle w:val="224"/>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在供应商客户端中按照格式填写询问函，并在生成询问函后加盖电子印章提交</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其他询问方式：</w:t>
            </w:r>
            <w:r>
              <w:rPr>
                <w:rFonts w:hint="eastAsia" w:ascii="宋体" w:hAnsi="宋体" w:eastAsia="宋体" w:cs="宋体"/>
                <w:color w:val="auto"/>
                <w:sz w:val="24"/>
                <w:szCs w:val="24"/>
                <w:highlight w:val="none"/>
                <w:u w:val="single"/>
              </w:rPr>
              <w:t xml:space="preserve">   </w:t>
            </w:r>
            <w:r>
              <w:rPr>
                <w:rFonts w:hint="eastAsia" w:cs="宋体"/>
                <w:color w:val="auto"/>
                <w:sz w:val="24"/>
                <w:szCs w:val="24"/>
                <w:highlight w:val="none"/>
                <w:u w:val="single"/>
                <w:lang w:val="en-US" w:eastAsia="zh-CN"/>
              </w:rPr>
              <w:t>不接受</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09E4A188">
            <w:pPr>
              <w:pStyle w:val="224"/>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时间</w:t>
            </w:r>
            <w:r>
              <w:rPr>
                <w:rFonts w:hint="eastAsia" w:ascii="宋体" w:hAnsi="宋体" w:eastAsia="宋体" w:cs="宋体"/>
                <w:color w:val="auto"/>
                <w:sz w:val="24"/>
                <w:szCs w:val="24"/>
                <w:highlight w:val="none"/>
                <w:lang w:val="en-US" w:eastAsia="zh-CN"/>
              </w:rPr>
              <w:t>要求</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u w:val="single"/>
              </w:rPr>
              <w:t xml:space="preserve"> </w:t>
            </w:r>
            <w:r>
              <w:rPr>
                <w:rFonts w:hint="eastAsia" w:cs="宋体"/>
                <w:color w:val="auto"/>
                <w:sz w:val="24"/>
                <w:szCs w:val="24"/>
                <w:highlight w:val="none"/>
                <w:u w:val="single"/>
                <w:lang w:val="en-US" w:eastAsia="zh-CN"/>
              </w:rPr>
              <w:t>全过程</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tc>
      </w:tr>
      <w:tr w14:paraId="0AF0F45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970" w:type="dxa"/>
            <w:vAlign w:val="center"/>
          </w:tcPr>
          <w:p w14:paraId="15E63DD7">
            <w:pPr>
              <w:pStyle w:val="224"/>
              <w:jc w:val="center"/>
              <w:rPr>
                <w:rFonts w:hint="default" w:ascii="宋体" w:hAnsi="宋体" w:eastAsia="宋体" w:cs="宋体"/>
                <w:color w:val="auto"/>
                <w:sz w:val="24"/>
                <w:szCs w:val="24"/>
                <w:highlight w:val="none"/>
                <w:lang w:val="en-US" w:eastAsia="zh-CN"/>
              </w:rPr>
            </w:pPr>
            <w:r>
              <w:rPr>
                <w:rFonts w:hint="eastAsia" w:cs="宋体"/>
                <w:color w:val="auto"/>
                <w:sz w:val="24"/>
                <w:szCs w:val="24"/>
                <w:highlight w:val="none"/>
                <w:lang w:val="en-US" w:eastAsia="zh-CN"/>
              </w:rPr>
              <w:t>6</w:t>
            </w:r>
          </w:p>
        </w:tc>
        <w:tc>
          <w:tcPr>
            <w:tcW w:w="1738" w:type="dxa"/>
            <w:vAlign w:val="center"/>
          </w:tcPr>
          <w:p w14:paraId="18C3267A">
            <w:pPr>
              <w:pStyle w:val="224"/>
              <w:rPr>
                <w:rFonts w:hint="default" w:ascii="宋体" w:hAnsi="宋体" w:eastAsia="宋体" w:cs="宋体"/>
                <w:color w:val="auto"/>
                <w:sz w:val="24"/>
                <w:szCs w:val="24"/>
                <w:highlight w:val="none"/>
                <w:lang w:val="en-US" w:eastAsia="zh-CN"/>
              </w:rPr>
            </w:pPr>
            <w:r>
              <w:rPr>
                <w:rFonts w:hint="eastAsia" w:cs="宋体"/>
                <w:color w:val="auto"/>
                <w:sz w:val="24"/>
                <w:szCs w:val="24"/>
                <w:highlight w:val="none"/>
                <w:lang w:val="en-US" w:eastAsia="zh-CN"/>
              </w:rPr>
              <w:t>投标最高限价</w:t>
            </w:r>
          </w:p>
        </w:tc>
        <w:tc>
          <w:tcPr>
            <w:tcW w:w="6700" w:type="dxa"/>
            <w:vAlign w:val="center"/>
          </w:tcPr>
          <w:p w14:paraId="1DAA20E6">
            <w:pPr>
              <w:pStyle w:val="224"/>
              <w:rPr>
                <w:rFonts w:hint="default" w:ascii="宋体" w:hAnsi="宋体" w:eastAsia="宋体" w:cs="宋体"/>
                <w:color w:val="auto"/>
                <w:sz w:val="24"/>
                <w:szCs w:val="24"/>
                <w:highlight w:val="none"/>
                <w:lang w:val="en-US" w:eastAsia="zh-CN"/>
              </w:rPr>
            </w:pPr>
            <w:r>
              <w:rPr>
                <w:rFonts w:hint="eastAsia" w:cs="宋体"/>
                <w:color w:val="auto"/>
                <w:sz w:val="24"/>
                <w:szCs w:val="24"/>
                <w:highlight w:val="none"/>
                <w:lang w:val="en-US" w:eastAsia="zh-CN"/>
              </w:rPr>
              <w:t>本项目最高限价为：壹佰陆拾万元整（￥1600000.00元）投标报价超出最高限价的，评标委员会将按无效投标处理。</w:t>
            </w:r>
          </w:p>
        </w:tc>
      </w:tr>
      <w:tr w14:paraId="67C3BC2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970" w:type="dxa"/>
            <w:vAlign w:val="center"/>
          </w:tcPr>
          <w:p w14:paraId="1A104107">
            <w:pPr>
              <w:pStyle w:val="224"/>
              <w:jc w:val="center"/>
              <w:rPr>
                <w:rFonts w:hint="eastAsia" w:ascii="宋体" w:hAnsi="宋体" w:eastAsia="宋体" w:cs="宋体"/>
                <w:color w:val="auto"/>
                <w:sz w:val="24"/>
                <w:szCs w:val="24"/>
                <w:highlight w:val="none"/>
                <w:lang w:val="en-US" w:eastAsia="zh-CN"/>
              </w:rPr>
            </w:pPr>
            <w:r>
              <w:rPr>
                <w:rFonts w:hint="eastAsia" w:cs="宋体"/>
                <w:color w:val="auto"/>
                <w:sz w:val="24"/>
                <w:szCs w:val="24"/>
                <w:highlight w:val="none"/>
                <w:lang w:val="en-US" w:eastAsia="zh-CN"/>
              </w:rPr>
              <w:t>7</w:t>
            </w:r>
          </w:p>
        </w:tc>
        <w:tc>
          <w:tcPr>
            <w:tcW w:w="1738" w:type="dxa"/>
            <w:vAlign w:val="center"/>
          </w:tcPr>
          <w:p w14:paraId="79A1D807">
            <w:pPr>
              <w:pStyle w:val="22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投标有效期</w:t>
            </w:r>
          </w:p>
        </w:tc>
        <w:tc>
          <w:tcPr>
            <w:tcW w:w="6700" w:type="dxa"/>
            <w:vAlign w:val="center"/>
          </w:tcPr>
          <w:p w14:paraId="41DD7733">
            <w:pPr>
              <w:pStyle w:val="22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投标截止</w:t>
            </w:r>
            <w:r>
              <w:rPr>
                <w:rFonts w:hint="eastAsia" w:ascii="宋体" w:hAnsi="宋体" w:eastAsia="宋体" w:cs="宋体"/>
                <w:color w:val="auto"/>
                <w:sz w:val="24"/>
                <w:szCs w:val="24"/>
                <w:highlight w:val="none"/>
                <w:lang w:val="en-US" w:eastAsia="zh-CN"/>
              </w:rPr>
              <w:t>时间</w:t>
            </w:r>
            <w:r>
              <w:rPr>
                <w:rFonts w:hint="eastAsia" w:ascii="宋体" w:hAnsi="宋体" w:eastAsia="宋体" w:cs="宋体"/>
                <w:color w:val="auto"/>
                <w:sz w:val="24"/>
                <w:szCs w:val="24"/>
                <w:highlight w:val="none"/>
              </w:rPr>
              <w:t>后</w:t>
            </w:r>
            <w:r>
              <w:rPr>
                <w:rFonts w:hint="eastAsia" w:ascii="宋体" w:hAnsi="宋体" w:eastAsia="宋体" w:cs="宋体"/>
                <w:color w:val="auto"/>
                <w:sz w:val="24"/>
                <w:szCs w:val="24"/>
                <w:highlight w:val="none"/>
                <w:u w:val="single"/>
              </w:rPr>
              <w:t>90</w:t>
            </w:r>
            <w:r>
              <w:rPr>
                <w:rFonts w:hint="eastAsia" w:ascii="宋体" w:hAnsi="宋体" w:eastAsia="宋体" w:cs="宋体"/>
                <w:color w:val="auto"/>
                <w:sz w:val="24"/>
                <w:szCs w:val="24"/>
                <w:highlight w:val="none"/>
              </w:rPr>
              <w:t>日历日。</w:t>
            </w:r>
          </w:p>
        </w:tc>
      </w:tr>
      <w:tr w14:paraId="2B4F47E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2357" w:hRule="atLeast"/>
        </w:trPr>
        <w:tc>
          <w:tcPr>
            <w:tcW w:w="970" w:type="dxa"/>
            <w:vAlign w:val="center"/>
          </w:tcPr>
          <w:p w14:paraId="3DB59B05">
            <w:pPr>
              <w:pStyle w:val="224"/>
              <w:jc w:val="center"/>
              <w:rPr>
                <w:rFonts w:hint="default" w:ascii="宋体" w:hAnsi="宋体" w:eastAsia="宋体" w:cs="宋体"/>
                <w:color w:val="auto"/>
                <w:sz w:val="24"/>
                <w:szCs w:val="24"/>
                <w:highlight w:val="none"/>
                <w:lang w:val="en-US" w:eastAsia="zh-CN"/>
              </w:rPr>
            </w:pPr>
            <w:r>
              <w:rPr>
                <w:rFonts w:hint="eastAsia" w:cs="宋体"/>
                <w:color w:val="auto"/>
                <w:sz w:val="24"/>
                <w:szCs w:val="24"/>
                <w:highlight w:val="none"/>
                <w:lang w:val="en-US" w:eastAsia="zh-CN"/>
              </w:rPr>
              <w:t>8</w:t>
            </w:r>
          </w:p>
        </w:tc>
        <w:tc>
          <w:tcPr>
            <w:tcW w:w="1738" w:type="dxa"/>
            <w:vAlign w:val="center"/>
          </w:tcPr>
          <w:p w14:paraId="02D54664">
            <w:pPr>
              <w:pStyle w:val="224"/>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投标保证金</w:t>
            </w:r>
          </w:p>
        </w:tc>
        <w:tc>
          <w:tcPr>
            <w:tcW w:w="6700" w:type="dxa"/>
            <w:vAlign w:val="center"/>
          </w:tcPr>
          <w:p w14:paraId="55C4E01D">
            <w:pPr>
              <w:pStyle w:val="225"/>
              <w:keepNext w:val="0"/>
              <w:keepLines w:val="0"/>
              <w:pageBreakBefore w:val="0"/>
              <w:widowControl w:val="0"/>
              <w:shd w:val="clear" w:color="auto" w:fill="auto"/>
              <w:kinsoku/>
              <w:wordWrap/>
              <w:overflowPunct/>
              <w:topLinePunct w:val="0"/>
              <w:autoSpaceDE/>
              <w:autoSpaceDN/>
              <w:bidi w:val="0"/>
              <w:adjustRightInd/>
              <w:snapToGrid/>
              <w:spacing w:line="3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金额：</w:t>
            </w:r>
          </w:p>
          <w:p w14:paraId="5D6B94AB">
            <w:pPr>
              <w:pStyle w:val="225"/>
              <w:keepNext w:val="0"/>
              <w:keepLines w:val="0"/>
              <w:pageBreakBefore w:val="0"/>
              <w:widowControl w:val="0"/>
              <w:shd w:val="clear" w:color="auto" w:fill="auto"/>
              <w:kinsoku/>
              <w:wordWrap/>
              <w:overflowPunct/>
              <w:topLinePunct w:val="0"/>
              <w:autoSpaceDE/>
              <w:autoSpaceDN/>
              <w:bidi w:val="0"/>
              <w:adjustRightInd/>
              <w:snapToGrid/>
              <w:spacing w:line="3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免收</w:t>
            </w:r>
          </w:p>
          <w:p w14:paraId="70D7E096">
            <w:pPr>
              <w:pStyle w:val="225"/>
              <w:keepNext w:val="0"/>
              <w:keepLines w:val="0"/>
              <w:pageBreakBefore w:val="0"/>
              <w:widowControl w:val="0"/>
              <w:shd w:val="clear" w:color="auto" w:fill="auto"/>
              <w:kinsoku/>
              <w:wordWrap/>
              <w:overflowPunct/>
              <w:topLinePunct w:val="0"/>
              <w:autoSpaceDE/>
              <w:autoSpaceDN/>
              <w:bidi w:val="0"/>
              <w:adjustRightInd/>
              <w:snapToGrid/>
              <w:spacing w:line="340"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预算金额</w:t>
            </w:r>
            <w:r>
              <w:rPr>
                <w:rFonts w:hint="eastAsia" w:ascii="宋体" w:hAnsi="宋体" w:eastAsia="宋体" w:cs="宋体"/>
                <w:color w:val="auto"/>
                <w:sz w:val="24"/>
                <w:szCs w:val="24"/>
                <w:highlight w:val="none"/>
              </w:rPr>
              <w:t>的   %</w:t>
            </w:r>
            <w:r>
              <w:rPr>
                <w:rFonts w:hint="eastAsia" w:ascii="宋体" w:hAnsi="宋体" w:eastAsia="宋体" w:cs="宋体"/>
                <w:color w:val="auto"/>
                <w:sz w:val="24"/>
                <w:szCs w:val="24"/>
                <w:highlight w:val="none"/>
                <w:lang w:eastAsia="zh-CN"/>
              </w:rPr>
              <w:t>。</w:t>
            </w:r>
          </w:p>
          <w:p w14:paraId="3FA466D7">
            <w:pPr>
              <w:pStyle w:val="225"/>
              <w:keepNext w:val="0"/>
              <w:keepLines w:val="0"/>
              <w:pageBreakBefore w:val="0"/>
              <w:widowControl w:val="0"/>
              <w:shd w:val="clear" w:color="auto" w:fill="auto"/>
              <w:kinsoku/>
              <w:wordWrap/>
              <w:overflowPunct/>
              <w:topLinePunct w:val="0"/>
              <w:autoSpaceDE/>
              <w:autoSpaceDN/>
              <w:bidi w:val="0"/>
              <w:adjustRightInd/>
              <w:snapToGrid/>
              <w:spacing w:line="340"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□定额收取：人民币       元</w:t>
            </w:r>
            <w:r>
              <w:rPr>
                <w:rFonts w:hint="eastAsia" w:ascii="宋体" w:hAnsi="宋体" w:eastAsia="宋体" w:cs="宋体"/>
                <w:color w:val="auto"/>
                <w:sz w:val="24"/>
                <w:szCs w:val="24"/>
                <w:highlight w:val="none"/>
                <w:lang w:eastAsia="zh-CN"/>
              </w:rPr>
              <w:t>。</w:t>
            </w:r>
          </w:p>
          <w:p w14:paraId="43D382F1">
            <w:pPr>
              <w:pStyle w:val="225"/>
              <w:keepNext w:val="0"/>
              <w:keepLines w:val="0"/>
              <w:pageBreakBefore w:val="0"/>
              <w:widowControl w:val="0"/>
              <w:shd w:val="clear" w:color="auto" w:fill="auto"/>
              <w:kinsoku/>
              <w:wordWrap/>
              <w:overflowPunct/>
              <w:topLinePunct w:val="0"/>
              <w:autoSpaceDE/>
              <w:autoSpaceDN/>
              <w:bidi w:val="0"/>
              <w:adjustRightInd/>
              <w:snapToGrid/>
              <w:spacing w:line="3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支付方式：</w:t>
            </w:r>
          </w:p>
          <w:p w14:paraId="4C1E371E">
            <w:pPr>
              <w:pStyle w:val="225"/>
              <w:keepNext w:val="0"/>
              <w:keepLines w:val="0"/>
              <w:pageBreakBefore w:val="0"/>
              <w:widowControl w:val="0"/>
              <w:shd w:val="clear" w:color="auto" w:fill="auto"/>
              <w:kinsoku/>
              <w:wordWrap/>
              <w:overflowPunct/>
              <w:topLinePunct w:val="0"/>
              <w:autoSpaceDE/>
              <w:autoSpaceDN/>
              <w:bidi w:val="0"/>
              <w:adjustRightInd/>
              <w:snapToGrid/>
              <w:spacing w:line="34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投标人可自主选择以支票、汇票、本票、电汇、转账、网银、保函等非现金形式缴纳或提交保证金。</w:t>
            </w:r>
          </w:p>
          <w:p w14:paraId="0B4D9C7C">
            <w:pPr>
              <w:pStyle w:val="225"/>
              <w:keepNext w:val="0"/>
              <w:keepLines w:val="0"/>
              <w:pageBreakBefore w:val="0"/>
              <w:widowControl w:val="0"/>
              <w:shd w:val="clear" w:color="auto" w:fill="auto"/>
              <w:kinsoku/>
              <w:wordWrap/>
              <w:overflowPunct/>
              <w:topLinePunct w:val="0"/>
              <w:autoSpaceDE/>
              <w:autoSpaceDN/>
              <w:bidi w:val="0"/>
              <w:adjustRightInd/>
              <w:snapToGrid/>
              <w:spacing w:line="3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 xml:space="preserve">收取单位：                            </w:t>
            </w:r>
          </w:p>
          <w:p w14:paraId="4AF9653E">
            <w:pPr>
              <w:pStyle w:val="225"/>
              <w:keepNext w:val="0"/>
              <w:keepLines w:val="0"/>
              <w:pageBreakBefore w:val="0"/>
              <w:widowControl w:val="0"/>
              <w:shd w:val="clear" w:color="auto" w:fill="auto"/>
              <w:kinsoku/>
              <w:wordWrap/>
              <w:overflowPunct/>
              <w:topLinePunct w:val="0"/>
              <w:autoSpaceDE/>
              <w:autoSpaceDN/>
              <w:bidi w:val="0"/>
              <w:adjustRightInd/>
              <w:snapToGrid/>
              <w:spacing w:line="3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4.收取账号：</w:t>
            </w:r>
            <w:r>
              <w:rPr>
                <w:rFonts w:hint="eastAsia" w:ascii="宋体" w:hAnsi="宋体" w:eastAsia="宋体" w:cs="宋体"/>
                <w:color w:val="auto"/>
                <w:sz w:val="24"/>
                <w:szCs w:val="24"/>
                <w:highlight w:val="none"/>
              </w:rPr>
              <w:t xml:space="preserve">              </w:t>
            </w:r>
          </w:p>
          <w:p w14:paraId="60379F49">
            <w:pPr>
              <w:pStyle w:val="225"/>
              <w:keepNext w:val="0"/>
              <w:keepLines w:val="0"/>
              <w:pageBreakBefore w:val="0"/>
              <w:widowControl w:val="0"/>
              <w:shd w:val="clear" w:color="auto" w:fill="auto"/>
              <w:kinsoku/>
              <w:wordWrap/>
              <w:overflowPunct/>
              <w:topLinePunct w:val="0"/>
              <w:autoSpaceDE/>
              <w:autoSpaceDN/>
              <w:bidi w:val="0"/>
              <w:adjustRightInd/>
              <w:snapToGrid/>
              <w:spacing w:line="3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 xml:space="preserve">退还时间：              </w:t>
            </w:r>
          </w:p>
          <w:p w14:paraId="5B366FD3">
            <w:pPr>
              <w:pStyle w:val="225"/>
              <w:keepNext w:val="0"/>
              <w:keepLines w:val="0"/>
              <w:pageBreakBefore w:val="0"/>
              <w:widowControl w:val="0"/>
              <w:shd w:val="clear" w:color="auto" w:fill="auto"/>
              <w:kinsoku/>
              <w:wordWrap/>
              <w:overflowPunct/>
              <w:topLinePunct w:val="0"/>
              <w:autoSpaceDE/>
              <w:autoSpaceDN/>
              <w:bidi w:val="0"/>
              <w:adjustRightInd/>
              <w:snapToGrid/>
              <w:spacing w:line="340" w:lineRule="exact"/>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注意事项：</w:t>
            </w:r>
          </w:p>
          <w:p w14:paraId="740C4A5D">
            <w:pPr>
              <w:pStyle w:val="225"/>
              <w:keepNext w:val="0"/>
              <w:keepLines w:val="0"/>
              <w:pageBreakBefore w:val="0"/>
              <w:widowControl w:val="0"/>
              <w:shd w:val="clear" w:color="auto" w:fill="auto"/>
              <w:kinsoku/>
              <w:wordWrap/>
              <w:overflowPunct/>
              <w:topLinePunct w:val="0"/>
              <w:autoSpaceDE/>
              <w:autoSpaceDN/>
              <w:bidi w:val="0"/>
              <w:adjustRightInd/>
              <w:snapToGrid/>
              <w:spacing w:line="340" w:lineRule="exact"/>
              <w:ind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以上各类机构出具的以担保函、保证保险承担责任的方式均须满足无条件见索即付条件。</w:t>
            </w:r>
          </w:p>
          <w:p w14:paraId="7F6F815C">
            <w:pPr>
              <w:pStyle w:val="225"/>
              <w:keepNext w:val="0"/>
              <w:keepLines w:val="0"/>
              <w:pageBreakBefore w:val="0"/>
              <w:widowControl w:val="0"/>
              <w:shd w:val="clear" w:color="auto" w:fill="auto"/>
              <w:kinsoku/>
              <w:wordWrap/>
              <w:overflowPunct/>
              <w:topLinePunct w:val="0"/>
              <w:autoSpaceDE/>
              <w:autoSpaceDN/>
              <w:bidi w:val="0"/>
              <w:adjustRightInd/>
              <w:snapToGrid/>
              <w:spacing w:line="340" w:lineRule="exact"/>
              <w:ind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以担保函、保证保险形式缴纳</w:t>
            </w:r>
            <w:r>
              <w:rPr>
                <w:rFonts w:hint="eastAsia" w:ascii="宋体" w:hAnsi="宋体" w:eastAsia="宋体" w:cs="宋体"/>
                <w:color w:val="auto"/>
                <w:sz w:val="24"/>
                <w:szCs w:val="24"/>
                <w:highlight w:val="none"/>
                <w:lang w:val="en-US" w:eastAsia="zh-CN"/>
              </w:rPr>
              <w:t>投标</w:t>
            </w:r>
            <w:r>
              <w:rPr>
                <w:rFonts w:hint="eastAsia" w:ascii="宋体" w:hAnsi="宋体" w:eastAsia="宋体" w:cs="宋体"/>
                <w:color w:val="auto"/>
                <w:sz w:val="24"/>
                <w:szCs w:val="24"/>
                <w:highlight w:val="none"/>
              </w:rPr>
              <w:t>保证金的，受益人和收取单位须为采购人。</w:t>
            </w:r>
          </w:p>
        </w:tc>
      </w:tr>
      <w:tr w14:paraId="4501EC8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3603" w:hRule="atLeast"/>
        </w:trPr>
        <w:tc>
          <w:tcPr>
            <w:tcW w:w="970" w:type="dxa"/>
            <w:vAlign w:val="center"/>
          </w:tcPr>
          <w:p w14:paraId="0FAEE6C9">
            <w:pPr>
              <w:pStyle w:val="224"/>
              <w:jc w:val="center"/>
              <w:rPr>
                <w:rFonts w:hint="eastAsia" w:ascii="宋体" w:hAnsi="宋体" w:eastAsia="宋体" w:cs="宋体"/>
                <w:color w:val="auto"/>
                <w:sz w:val="24"/>
                <w:szCs w:val="24"/>
                <w:highlight w:val="none"/>
                <w:lang w:val="en-US" w:eastAsia="zh-CN"/>
              </w:rPr>
            </w:pPr>
            <w:r>
              <w:rPr>
                <w:rFonts w:hint="eastAsia" w:cs="宋体"/>
                <w:color w:val="auto"/>
                <w:sz w:val="24"/>
                <w:szCs w:val="24"/>
                <w:highlight w:val="none"/>
                <w:lang w:val="en-US" w:eastAsia="zh-CN"/>
              </w:rPr>
              <w:t>9</w:t>
            </w:r>
          </w:p>
        </w:tc>
        <w:tc>
          <w:tcPr>
            <w:tcW w:w="1738" w:type="dxa"/>
            <w:vAlign w:val="center"/>
          </w:tcPr>
          <w:p w14:paraId="1A5D11C5">
            <w:pPr>
              <w:pStyle w:val="22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实物样品</w:t>
            </w:r>
          </w:p>
        </w:tc>
        <w:tc>
          <w:tcPr>
            <w:tcW w:w="6700" w:type="dxa"/>
            <w:vAlign w:val="center"/>
          </w:tcPr>
          <w:p w14:paraId="29F70D2B">
            <w:pPr>
              <w:pStyle w:val="22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投标样品递交： </w:t>
            </w:r>
          </w:p>
          <w:p w14:paraId="08448385">
            <w:pPr>
              <w:pStyle w:val="224"/>
              <w:rPr>
                <w:rFonts w:hint="eastAsia" w:ascii="宋体" w:hAnsi="宋体" w:eastAsia="宋体" w:cs="宋体"/>
                <w:color w:val="auto"/>
                <w:sz w:val="24"/>
                <w:szCs w:val="24"/>
                <w:highlight w:val="none"/>
              </w:rPr>
            </w:pPr>
            <w:r>
              <w:rPr>
                <w:rFonts w:hint="eastAsia"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 xml:space="preserve">不需要 </w:t>
            </w:r>
          </w:p>
          <w:p w14:paraId="75ABDCC9">
            <w:pPr>
              <w:pStyle w:val="22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□需要，具体要求如下： </w:t>
            </w:r>
          </w:p>
          <w:p w14:paraId="45E00831">
            <w:pPr>
              <w:pStyle w:val="22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1.样品制作的标准和要求：_________； </w:t>
            </w:r>
          </w:p>
          <w:p w14:paraId="636410A9">
            <w:pPr>
              <w:pStyle w:val="22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2.是否需要随样品提交相关检测报告： </w:t>
            </w:r>
          </w:p>
          <w:p w14:paraId="4042F79A">
            <w:pPr>
              <w:pStyle w:val="224"/>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□不需要 </w:t>
            </w:r>
          </w:p>
          <w:p w14:paraId="69ACDCB3">
            <w:pPr>
              <w:pStyle w:val="224"/>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□需要 </w:t>
            </w:r>
          </w:p>
          <w:p w14:paraId="2365C0AF">
            <w:pPr>
              <w:pStyle w:val="224"/>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3.样品递交要求：递交时间：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w:t>
            </w:r>
          </w:p>
          <w:p w14:paraId="0C201764">
            <w:pPr>
              <w:pStyle w:val="22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递交</w:t>
            </w:r>
            <w:r>
              <w:rPr>
                <w:rFonts w:hint="eastAsia" w:ascii="宋体" w:hAnsi="宋体" w:eastAsia="宋体" w:cs="宋体"/>
                <w:color w:val="auto"/>
                <w:sz w:val="24"/>
                <w:szCs w:val="24"/>
                <w:highlight w:val="none"/>
              </w:rPr>
              <w:t>地点：</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，逾期提供的样品将不予接受。</w:t>
            </w:r>
            <w:r>
              <w:rPr>
                <w:rFonts w:hint="eastAsia" w:ascii="宋体" w:hAnsi="宋体" w:eastAsia="宋体" w:cs="宋体"/>
                <w:color w:val="auto"/>
                <w:sz w:val="24"/>
                <w:szCs w:val="24"/>
                <w:highlight w:val="none"/>
                <w:lang w:val="en-US" w:eastAsia="zh-CN"/>
              </w:rPr>
              <w:t xml:space="preserve"> </w:t>
            </w:r>
          </w:p>
          <w:p w14:paraId="20C6A605">
            <w:pPr>
              <w:pStyle w:val="22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4.未中标人样品退还：</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en-US" w:eastAsia="zh-CN"/>
              </w:rPr>
              <w:t xml:space="preserve">； </w:t>
            </w:r>
          </w:p>
          <w:p w14:paraId="2FA55552">
            <w:pPr>
              <w:pStyle w:val="22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5.中标人样品保管、封存及退还：_________； </w:t>
            </w:r>
          </w:p>
          <w:p w14:paraId="5F60BBB0">
            <w:pPr>
              <w:pStyle w:val="22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6.其他要求（如有）：_________。 </w:t>
            </w:r>
          </w:p>
        </w:tc>
      </w:tr>
      <w:tr w14:paraId="1C643F0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970" w:type="dxa"/>
            <w:vAlign w:val="center"/>
          </w:tcPr>
          <w:p w14:paraId="03DA43E2">
            <w:pPr>
              <w:pStyle w:val="224"/>
              <w:jc w:val="center"/>
              <w:rPr>
                <w:rFonts w:hint="default" w:ascii="宋体" w:hAnsi="宋体" w:eastAsia="宋体" w:cs="宋体"/>
                <w:color w:val="auto"/>
                <w:sz w:val="24"/>
                <w:szCs w:val="24"/>
                <w:highlight w:val="none"/>
                <w:lang w:val="en-US" w:eastAsia="zh-CN"/>
              </w:rPr>
            </w:pPr>
            <w:r>
              <w:rPr>
                <w:rFonts w:hint="eastAsia" w:cs="宋体"/>
                <w:color w:val="auto"/>
                <w:sz w:val="24"/>
                <w:szCs w:val="24"/>
                <w:highlight w:val="none"/>
                <w:lang w:val="en-US" w:eastAsia="zh-CN"/>
              </w:rPr>
              <w:t>10</w:t>
            </w:r>
          </w:p>
        </w:tc>
        <w:tc>
          <w:tcPr>
            <w:tcW w:w="1738" w:type="dxa"/>
            <w:vAlign w:val="center"/>
          </w:tcPr>
          <w:p w14:paraId="22504622">
            <w:pPr>
              <w:pStyle w:val="22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演示</w:t>
            </w:r>
          </w:p>
        </w:tc>
        <w:tc>
          <w:tcPr>
            <w:tcW w:w="6700" w:type="dxa"/>
            <w:vAlign w:val="center"/>
          </w:tcPr>
          <w:p w14:paraId="7B2FDAC1">
            <w:pPr>
              <w:pStyle w:val="22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sym w:font="Wingdings" w:char="00FE"/>
            </w:r>
            <w:r>
              <w:rPr>
                <w:rFonts w:hint="eastAsia" w:ascii="宋体" w:hAnsi="宋体" w:eastAsia="宋体" w:cs="宋体"/>
                <w:color w:val="auto"/>
                <w:sz w:val="24"/>
                <w:szCs w:val="24"/>
                <w:highlight w:val="none"/>
              </w:rPr>
              <w:t>不进行</w:t>
            </w:r>
          </w:p>
          <w:p w14:paraId="7B0141AF">
            <w:pPr>
              <w:pStyle w:val="22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sym w:font="Wingdings" w:char="00A8"/>
            </w:r>
            <w:r>
              <w:rPr>
                <w:rFonts w:hint="eastAsia" w:ascii="宋体" w:hAnsi="宋体" w:eastAsia="宋体" w:cs="宋体"/>
                <w:color w:val="auto"/>
                <w:sz w:val="24"/>
                <w:szCs w:val="24"/>
                <w:highlight w:val="none"/>
              </w:rPr>
              <w:t>进行，远程线上演示/现场演示</w:t>
            </w:r>
          </w:p>
          <w:p w14:paraId="29D1FB67">
            <w:pPr>
              <w:pStyle w:val="224"/>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1.演示时间不得超过</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分钟；</w:t>
            </w:r>
          </w:p>
          <w:p w14:paraId="0D5B188D">
            <w:pPr>
              <w:pStyle w:val="224"/>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2.进行远程线上演示的，投标人应提前自行准备好演示的软硬配置环境和网络环境，做好演示的各项准备工作。因投标人自身原因无法演示或者演示效果不理想的，导致的后果由投标人自行承担；</w:t>
            </w:r>
          </w:p>
          <w:p w14:paraId="34ED7966">
            <w:pPr>
              <w:pStyle w:val="224"/>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3.进行现场演示的，演示人员不得超过</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人，演示现场提供</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tc>
      </w:tr>
      <w:tr w14:paraId="0976428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885" w:hRule="atLeast"/>
        </w:trPr>
        <w:tc>
          <w:tcPr>
            <w:tcW w:w="970" w:type="dxa"/>
            <w:vAlign w:val="center"/>
          </w:tcPr>
          <w:p w14:paraId="4CE72DC4">
            <w:pPr>
              <w:pStyle w:val="224"/>
              <w:jc w:val="center"/>
              <w:rPr>
                <w:rFonts w:hint="default" w:ascii="宋体" w:hAnsi="宋体" w:eastAsia="宋体" w:cs="宋体"/>
                <w:color w:val="auto"/>
                <w:sz w:val="24"/>
                <w:szCs w:val="24"/>
                <w:highlight w:val="none"/>
                <w:lang w:val="en-US" w:eastAsia="zh-CN"/>
              </w:rPr>
            </w:pPr>
            <w:r>
              <w:rPr>
                <w:rFonts w:hint="eastAsia" w:cs="宋体"/>
                <w:color w:val="auto"/>
                <w:sz w:val="24"/>
                <w:szCs w:val="24"/>
                <w:highlight w:val="none"/>
                <w:lang w:val="en-US" w:eastAsia="zh-CN"/>
              </w:rPr>
              <w:t>11</w:t>
            </w:r>
          </w:p>
        </w:tc>
        <w:tc>
          <w:tcPr>
            <w:tcW w:w="1738" w:type="dxa"/>
            <w:vAlign w:val="center"/>
          </w:tcPr>
          <w:p w14:paraId="35FB661A">
            <w:pPr>
              <w:pStyle w:val="22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解密投标文件的时限</w:t>
            </w:r>
          </w:p>
        </w:tc>
        <w:tc>
          <w:tcPr>
            <w:tcW w:w="6700" w:type="dxa"/>
            <w:vAlign w:val="center"/>
          </w:tcPr>
          <w:p w14:paraId="44601FEC">
            <w:pPr>
              <w:pStyle w:val="22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不见面开标默认解密时长：</w:t>
            </w:r>
            <w:r>
              <w:rPr>
                <w:rFonts w:hint="eastAsia" w:ascii="宋体" w:hAnsi="宋体" w:eastAsia="宋体" w:cs="宋体"/>
                <w:color w:val="auto"/>
                <w:sz w:val="24"/>
                <w:szCs w:val="24"/>
                <w:highlight w:val="none"/>
                <w:u w:val="single"/>
                <w:lang w:val="en-US" w:eastAsia="zh-CN"/>
              </w:rPr>
              <w:t xml:space="preserve"> </w:t>
            </w:r>
            <w:r>
              <w:rPr>
                <w:rFonts w:hint="eastAsia" w:cs="宋体"/>
                <w:color w:val="auto"/>
                <w:sz w:val="24"/>
                <w:szCs w:val="24"/>
                <w:highlight w:val="none"/>
                <w:u w:val="single"/>
                <w:lang w:val="en-US" w:eastAsia="zh-CN"/>
              </w:rPr>
              <w:t>30</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en-US" w:eastAsia="zh-CN"/>
              </w:rPr>
              <w:t>分钟。</w:t>
            </w:r>
            <w:r>
              <w:rPr>
                <w:rFonts w:hint="eastAsia" w:ascii="宋体" w:hAnsi="宋体" w:eastAsia="宋体" w:cs="宋体"/>
                <w:color w:val="auto"/>
                <w:sz w:val="24"/>
                <w:szCs w:val="24"/>
                <w:highlight w:val="none"/>
              </w:rPr>
              <w:t xml:space="preserve"> </w:t>
            </w:r>
          </w:p>
          <w:p w14:paraId="01B25268">
            <w:pPr>
              <w:pStyle w:val="22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除因交易平台发生故障导致投标文件无法按时解密外，投标文件未按时解密的，视为未按规定提交投标文件。</w:t>
            </w:r>
          </w:p>
        </w:tc>
      </w:tr>
      <w:tr w14:paraId="79EC872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90" w:hRule="atLeast"/>
        </w:trPr>
        <w:tc>
          <w:tcPr>
            <w:tcW w:w="970" w:type="dxa"/>
            <w:vAlign w:val="center"/>
          </w:tcPr>
          <w:p w14:paraId="23FC94CD">
            <w:pPr>
              <w:pStyle w:val="224"/>
              <w:jc w:val="center"/>
              <w:rPr>
                <w:rFonts w:hint="default" w:ascii="宋体" w:hAnsi="宋体" w:eastAsia="宋体" w:cs="宋体"/>
                <w:color w:val="auto"/>
                <w:sz w:val="24"/>
                <w:szCs w:val="24"/>
                <w:highlight w:val="none"/>
                <w:lang w:val="en-US" w:eastAsia="zh-CN"/>
              </w:rPr>
            </w:pPr>
            <w:r>
              <w:rPr>
                <w:rFonts w:hint="eastAsia" w:cs="宋体"/>
                <w:color w:val="auto"/>
                <w:sz w:val="24"/>
                <w:szCs w:val="24"/>
                <w:highlight w:val="none"/>
                <w:lang w:val="en-US" w:eastAsia="zh-CN"/>
              </w:rPr>
              <w:t>12</w:t>
            </w:r>
          </w:p>
        </w:tc>
        <w:tc>
          <w:tcPr>
            <w:tcW w:w="1738" w:type="dxa"/>
            <w:vAlign w:val="center"/>
          </w:tcPr>
          <w:p w14:paraId="5A1E858C">
            <w:pPr>
              <w:pStyle w:val="224"/>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评标方法</w:t>
            </w:r>
          </w:p>
        </w:tc>
        <w:tc>
          <w:tcPr>
            <w:tcW w:w="6700" w:type="dxa"/>
            <w:vAlign w:val="center"/>
          </w:tcPr>
          <w:p w14:paraId="49F2488F">
            <w:pPr>
              <w:pStyle w:val="224"/>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sym w:font="Wingdings" w:char="00FE"/>
            </w:r>
            <w:r>
              <w:rPr>
                <w:rFonts w:hint="eastAsia" w:ascii="宋体" w:hAnsi="宋体" w:eastAsia="宋体" w:cs="宋体"/>
                <w:color w:val="auto"/>
                <w:sz w:val="24"/>
                <w:szCs w:val="24"/>
                <w:highlight w:val="none"/>
                <w:lang w:val="en-US" w:eastAsia="zh-CN"/>
              </w:rPr>
              <w:t>综合评分法</w:t>
            </w:r>
          </w:p>
          <w:p w14:paraId="63A64BEE">
            <w:pPr>
              <w:pStyle w:val="224"/>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sym w:font="Wingdings" w:char="00A8"/>
            </w:r>
            <w:r>
              <w:rPr>
                <w:rFonts w:hint="eastAsia" w:ascii="宋体" w:hAnsi="宋体" w:eastAsia="宋体" w:cs="宋体"/>
                <w:color w:val="auto"/>
                <w:sz w:val="24"/>
                <w:szCs w:val="24"/>
                <w:highlight w:val="none"/>
                <w:lang w:val="en-US" w:eastAsia="zh-CN"/>
              </w:rPr>
              <w:t>最低评标价法</w:t>
            </w:r>
          </w:p>
        </w:tc>
      </w:tr>
      <w:tr w14:paraId="5A08727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567" w:hRule="atLeast"/>
        </w:trPr>
        <w:tc>
          <w:tcPr>
            <w:tcW w:w="970" w:type="dxa"/>
            <w:vAlign w:val="center"/>
          </w:tcPr>
          <w:p w14:paraId="42D57B39">
            <w:pPr>
              <w:pStyle w:val="224"/>
              <w:jc w:val="center"/>
              <w:rPr>
                <w:rFonts w:hint="default" w:ascii="宋体" w:hAnsi="宋体" w:eastAsia="宋体" w:cs="宋体"/>
                <w:color w:val="auto"/>
                <w:sz w:val="24"/>
                <w:szCs w:val="24"/>
                <w:highlight w:val="none"/>
                <w:lang w:val="en-US" w:eastAsia="zh-CN"/>
              </w:rPr>
            </w:pPr>
            <w:r>
              <w:rPr>
                <w:rFonts w:hint="eastAsia" w:cs="宋体"/>
                <w:color w:val="auto"/>
                <w:sz w:val="24"/>
                <w:szCs w:val="24"/>
                <w:highlight w:val="none"/>
                <w:lang w:val="en-US" w:eastAsia="zh-CN"/>
              </w:rPr>
              <w:t>13</w:t>
            </w:r>
          </w:p>
        </w:tc>
        <w:tc>
          <w:tcPr>
            <w:tcW w:w="1738" w:type="dxa"/>
            <w:vAlign w:val="center"/>
          </w:tcPr>
          <w:p w14:paraId="109515DE">
            <w:pPr>
              <w:pStyle w:val="22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推荐中标候选人</w:t>
            </w:r>
          </w:p>
        </w:tc>
        <w:tc>
          <w:tcPr>
            <w:tcW w:w="6700" w:type="dxa"/>
            <w:vAlign w:val="center"/>
          </w:tcPr>
          <w:p w14:paraId="0DB0E73E">
            <w:pPr>
              <w:pStyle w:val="22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中标候选人数量</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cs="宋体"/>
                <w:color w:val="auto"/>
                <w:sz w:val="24"/>
                <w:szCs w:val="24"/>
                <w:highlight w:val="none"/>
                <w:u w:val="single"/>
                <w:lang w:val="en-US" w:eastAsia="zh-CN"/>
              </w:rPr>
              <w:t>3</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家</w:t>
            </w:r>
          </w:p>
        </w:tc>
      </w:tr>
      <w:tr w14:paraId="176C1C0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613" w:hRule="atLeast"/>
        </w:trPr>
        <w:tc>
          <w:tcPr>
            <w:tcW w:w="970" w:type="dxa"/>
            <w:vAlign w:val="center"/>
          </w:tcPr>
          <w:p w14:paraId="4EEEE9B4">
            <w:pPr>
              <w:pStyle w:val="224"/>
              <w:jc w:val="center"/>
              <w:rPr>
                <w:rFonts w:hint="default" w:ascii="宋体" w:hAnsi="宋体" w:eastAsia="宋体" w:cs="宋体"/>
                <w:color w:val="auto"/>
                <w:sz w:val="24"/>
                <w:szCs w:val="24"/>
                <w:highlight w:val="none"/>
                <w:lang w:val="en-US" w:eastAsia="zh-CN"/>
              </w:rPr>
            </w:pPr>
            <w:r>
              <w:rPr>
                <w:rFonts w:hint="eastAsia" w:cs="宋体"/>
                <w:color w:val="auto"/>
                <w:sz w:val="24"/>
                <w:szCs w:val="24"/>
                <w:highlight w:val="none"/>
                <w:lang w:val="en-US" w:eastAsia="zh-CN"/>
              </w:rPr>
              <w:t>14</w:t>
            </w:r>
          </w:p>
        </w:tc>
        <w:tc>
          <w:tcPr>
            <w:tcW w:w="1738" w:type="dxa"/>
            <w:vAlign w:val="center"/>
          </w:tcPr>
          <w:p w14:paraId="266C355B">
            <w:pPr>
              <w:pStyle w:val="22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确定中标人</w:t>
            </w:r>
          </w:p>
        </w:tc>
        <w:tc>
          <w:tcPr>
            <w:tcW w:w="6700" w:type="dxa"/>
            <w:vAlign w:val="center"/>
          </w:tcPr>
          <w:p w14:paraId="3AF868A2">
            <w:pPr>
              <w:pStyle w:val="22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sym w:font="Wingdings" w:char="00FE"/>
            </w:r>
            <w:r>
              <w:rPr>
                <w:rFonts w:hint="eastAsia" w:ascii="宋体" w:hAnsi="宋体" w:eastAsia="宋体" w:cs="宋体"/>
                <w:color w:val="auto"/>
                <w:sz w:val="24"/>
                <w:szCs w:val="24"/>
                <w:highlight w:val="none"/>
              </w:rPr>
              <w:t>采购人按评审报告中推荐的中标候选人排序确定中标人。</w:t>
            </w:r>
          </w:p>
          <w:p w14:paraId="0911185A">
            <w:pPr>
              <w:pStyle w:val="22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sym w:font="Wingdings" w:char="00A8"/>
            </w:r>
            <w:r>
              <w:rPr>
                <w:rFonts w:hint="eastAsia" w:ascii="宋体" w:hAnsi="宋体" w:eastAsia="宋体" w:cs="宋体"/>
                <w:color w:val="auto"/>
                <w:sz w:val="24"/>
                <w:szCs w:val="24"/>
                <w:highlight w:val="none"/>
              </w:rPr>
              <w:t>采购人委托评标委员会直接确定中标人。</w:t>
            </w:r>
          </w:p>
        </w:tc>
      </w:tr>
      <w:tr w14:paraId="6F937C3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1201" w:hRule="atLeast"/>
        </w:trPr>
        <w:tc>
          <w:tcPr>
            <w:tcW w:w="970" w:type="dxa"/>
            <w:vAlign w:val="center"/>
          </w:tcPr>
          <w:p w14:paraId="55F094A5">
            <w:pPr>
              <w:pStyle w:val="224"/>
              <w:jc w:val="center"/>
              <w:rPr>
                <w:rFonts w:hint="default" w:ascii="宋体" w:hAnsi="宋体" w:eastAsia="宋体" w:cs="宋体"/>
                <w:color w:val="auto"/>
                <w:sz w:val="24"/>
                <w:szCs w:val="24"/>
                <w:highlight w:val="none"/>
                <w:lang w:val="en-US" w:eastAsia="zh-CN"/>
              </w:rPr>
            </w:pPr>
            <w:r>
              <w:rPr>
                <w:rFonts w:hint="eastAsia" w:cs="宋体"/>
                <w:color w:val="auto"/>
                <w:sz w:val="24"/>
                <w:szCs w:val="24"/>
                <w:highlight w:val="none"/>
                <w:lang w:val="en-US" w:eastAsia="zh-CN"/>
              </w:rPr>
              <w:t>15</w:t>
            </w:r>
          </w:p>
        </w:tc>
        <w:tc>
          <w:tcPr>
            <w:tcW w:w="1738" w:type="dxa"/>
            <w:vAlign w:val="center"/>
          </w:tcPr>
          <w:p w14:paraId="1B13E6FA">
            <w:pPr>
              <w:pStyle w:val="224"/>
              <w:rPr>
                <w:rFonts w:hint="eastAsia" w:ascii="宋体" w:hAnsi="宋体" w:eastAsia="宋体" w:cs="宋体"/>
                <w:color w:val="auto"/>
                <w:sz w:val="24"/>
                <w:szCs w:val="24"/>
                <w:highlight w:val="none"/>
                <w:lang w:val="en-US"/>
              </w:rPr>
            </w:pPr>
            <w:r>
              <w:rPr>
                <w:rFonts w:hint="eastAsia" w:ascii="宋体" w:hAnsi="宋体" w:eastAsia="宋体" w:cs="宋体"/>
                <w:color w:val="auto"/>
                <w:kern w:val="0"/>
                <w:sz w:val="24"/>
                <w:szCs w:val="24"/>
                <w:highlight w:val="none"/>
                <w:lang w:val="en-US" w:eastAsia="zh-CN" w:bidi="ar"/>
              </w:rPr>
              <w:t>提供相同品牌产品的不同投标人确定中标候选人的规定</w:t>
            </w:r>
          </w:p>
        </w:tc>
        <w:tc>
          <w:tcPr>
            <w:tcW w:w="6700" w:type="dxa"/>
            <w:vAlign w:val="center"/>
          </w:tcPr>
          <w:p w14:paraId="1B566793">
            <w:pPr>
              <w:pStyle w:val="224"/>
              <w:ind w:firstLine="480" w:firstLineChars="200"/>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sz w:val="24"/>
                <w:szCs w:val="24"/>
                <w:highlight w:val="none"/>
              </w:rPr>
              <w:sym w:font="Wingdings" w:char="00FE"/>
            </w:r>
            <w:r>
              <w:rPr>
                <w:rFonts w:hint="eastAsia" w:ascii="宋体" w:hAnsi="宋体" w:eastAsia="宋体" w:cs="宋体"/>
                <w:color w:val="auto"/>
                <w:kern w:val="0"/>
                <w:sz w:val="24"/>
                <w:szCs w:val="24"/>
                <w:highlight w:val="none"/>
                <w:lang w:val="en-US" w:eastAsia="zh-CN" w:bidi="ar"/>
              </w:rPr>
              <w:t>综合评分法的采购项目，提供相同品牌产品且通过资格审查、符合性审查的不同投标人参加同一合同项下投标的，按一家投标人计算，评审后得分相同的，按照</w:t>
            </w:r>
            <w:r>
              <w:rPr>
                <w:rFonts w:hint="eastAsia" w:ascii="宋体" w:hAnsi="宋体" w:eastAsia="宋体" w:cs="宋体"/>
                <w:color w:val="auto"/>
                <w:kern w:val="0"/>
                <w:sz w:val="24"/>
                <w:szCs w:val="24"/>
                <w:highlight w:val="none"/>
                <w:u w:val="single"/>
                <w:lang w:val="en-US" w:eastAsia="zh-CN" w:bidi="ar"/>
              </w:rPr>
              <w:t xml:space="preserve"> </w:t>
            </w:r>
            <w:r>
              <w:rPr>
                <w:rFonts w:hint="eastAsia" w:cs="宋体"/>
                <w:color w:val="auto"/>
                <w:kern w:val="0"/>
                <w:sz w:val="24"/>
                <w:szCs w:val="24"/>
                <w:highlight w:val="none"/>
                <w:u w:val="single"/>
                <w:lang w:val="en-US" w:eastAsia="zh-CN" w:bidi="ar"/>
              </w:rPr>
              <w:t>报价最低</w:t>
            </w:r>
            <w:r>
              <w:rPr>
                <w:rFonts w:hint="eastAsia" w:ascii="宋体" w:hAnsi="宋体" w:eastAsia="宋体" w:cs="宋体"/>
                <w:color w:val="auto"/>
                <w:kern w:val="0"/>
                <w:sz w:val="24"/>
                <w:szCs w:val="24"/>
                <w:highlight w:val="none"/>
                <w:u w:val="single"/>
                <w:lang w:val="en-US" w:eastAsia="zh-CN" w:bidi="ar"/>
              </w:rPr>
              <w:t xml:space="preserve"> </w:t>
            </w:r>
            <w:r>
              <w:rPr>
                <w:rFonts w:hint="eastAsia" w:ascii="宋体" w:hAnsi="宋体" w:eastAsia="宋体" w:cs="宋体"/>
                <w:color w:val="auto"/>
                <w:kern w:val="0"/>
                <w:sz w:val="24"/>
                <w:szCs w:val="24"/>
                <w:highlight w:val="none"/>
                <w:lang w:val="en-US" w:eastAsia="zh-CN" w:bidi="ar"/>
              </w:rPr>
              <w:t>方式确定一个投标人获得中标人推荐资格，其他同品牌投标人不作为中标候选人。</w:t>
            </w:r>
          </w:p>
          <w:p w14:paraId="0F6B6850">
            <w:pPr>
              <w:pStyle w:val="224"/>
              <w:ind w:firstLine="480" w:firstLineChars="200"/>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sz w:val="24"/>
                <w:szCs w:val="24"/>
                <w:highlight w:val="none"/>
              </w:rPr>
              <w:sym w:font="Wingdings" w:char="00A8"/>
            </w:r>
            <w:r>
              <w:rPr>
                <w:rFonts w:hint="eastAsia" w:ascii="宋体" w:hAnsi="宋体" w:eastAsia="宋体" w:cs="宋体"/>
                <w:color w:val="auto"/>
                <w:kern w:val="0"/>
                <w:sz w:val="24"/>
                <w:szCs w:val="24"/>
                <w:highlight w:val="none"/>
                <w:lang w:val="en-US" w:eastAsia="zh-CN" w:bidi="ar"/>
              </w:rPr>
              <w:t>最低评标价法的采购项目，提供相同品牌产品的不同投标人参加同一合同项下投标的，以其中通过资格审查、符合性审查且报价最低的参加评标；报价相同的，按照</w:t>
            </w:r>
            <w:r>
              <w:rPr>
                <w:rFonts w:hint="eastAsia" w:ascii="宋体" w:hAnsi="宋体" w:eastAsia="宋体" w:cs="宋体"/>
                <w:color w:val="auto"/>
                <w:kern w:val="0"/>
                <w:sz w:val="24"/>
                <w:szCs w:val="24"/>
                <w:highlight w:val="none"/>
                <w:u w:val="single"/>
                <w:lang w:val="en-US" w:eastAsia="zh-CN" w:bidi="ar"/>
              </w:rPr>
              <w:t xml:space="preserve">     </w:t>
            </w:r>
            <w:r>
              <w:rPr>
                <w:rFonts w:hint="eastAsia" w:ascii="宋体" w:hAnsi="宋体" w:eastAsia="宋体" w:cs="宋体"/>
                <w:color w:val="auto"/>
                <w:kern w:val="0"/>
                <w:sz w:val="24"/>
                <w:szCs w:val="24"/>
                <w:highlight w:val="none"/>
                <w:lang w:val="en-US" w:eastAsia="zh-CN" w:bidi="ar"/>
              </w:rPr>
              <w:t>方式确定一个参加评标的投标人，其他投标无效。</w:t>
            </w:r>
          </w:p>
        </w:tc>
      </w:tr>
      <w:tr w14:paraId="35A01A7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641" w:hRule="atLeast"/>
        </w:trPr>
        <w:tc>
          <w:tcPr>
            <w:tcW w:w="970" w:type="dxa"/>
            <w:vAlign w:val="center"/>
          </w:tcPr>
          <w:p w14:paraId="1D722A96">
            <w:pPr>
              <w:pStyle w:val="224"/>
              <w:jc w:val="center"/>
              <w:rPr>
                <w:rFonts w:hint="default" w:ascii="宋体" w:hAnsi="宋体" w:eastAsia="宋体" w:cs="宋体"/>
                <w:color w:val="auto"/>
                <w:sz w:val="24"/>
                <w:szCs w:val="24"/>
                <w:highlight w:val="none"/>
                <w:lang w:val="en-US" w:eastAsia="zh-CN"/>
              </w:rPr>
            </w:pPr>
            <w:r>
              <w:rPr>
                <w:rFonts w:hint="eastAsia" w:cs="宋体"/>
                <w:color w:val="auto"/>
                <w:sz w:val="24"/>
                <w:szCs w:val="24"/>
                <w:highlight w:val="none"/>
                <w:lang w:val="en-US" w:eastAsia="zh-CN"/>
              </w:rPr>
              <w:t>16</w:t>
            </w:r>
          </w:p>
        </w:tc>
        <w:tc>
          <w:tcPr>
            <w:tcW w:w="1738" w:type="dxa"/>
            <w:vAlign w:val="center"/>
          </w:tcPr>
          <w:p w14:paraId="0A6B190B">
            <w:pPr>
              <w:pStyle w:val="22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履约保证金</w:t>
            </w:r>
          </w:p>
        </w:tc>
        <w:tc>
          <w:tcPr>
            <w:tcW w:w="6700" w:type="dxa"/>
            <w:vAlign w:val="center"/>
          </w:tcPr>
          <w:p w14:paraId="52B73BFF">
            <w:pPr>
              <w:pStyle w:val="22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金额：</w:t>
            </w:r>
          </w:p>
          <w:p w14:paraId="2D4AA05F">
            <w:pPr>
              <w:pStyle w:val="224"/>
              <w:ind w:firstLine="480" w:firstLineChars="200"/>
              <w:rPr>
                <w:rFonts w:hint="eastAsia" w:ascii="宋体" w:hAnsi="宋体" w:eastAsia="宋体" w:cs="宋体"/>
                <w:color w:val="auto"/>
                <w:sz w:val="24"/>
                <w:szCs w:val="24"/>
                <w:highlight w:val="none"/>
              </w:rPr>
            </w:pPr>
            <w:r>
              <w:rPr>
                <w:rFonts w:hint="eastAsia" w:cs="宋体"/>
                <w:color w:val="auto"/>
                <w:sz w:val="24"/>
                <w:szCs w:val="24"/>
                <w:highlight w:val="none"/>
                <w:lang w:eastAsia="zh-CN"/>
              </w:rPr>
              <w:t>☑</w:t>
            </w:r>
            <w:r>
              <w:rPr>
                <w:rFonts w:hint="eastAsia" w:ascii="宋体" w:hAnsi="宋体" w:eastAsia="宋体" w:cs="宋体"/>
                <w:color w:val="auto"/>
                <w:sz w:val="24"/>
                <w:szCs w:val="24"/>
                <w:highlight w:val="none"/>
              </w:rPr>
              <w:t>免收</w:t>
            </w:r>
          </w:p>
          <w:p w14:paraId="185FFD88">
            <w:pPr>
              <w:pStyle w:val="224"/>
              <w:ind w:firstLine="480" w:firstLineChars="200"/>
              <w:rPr>
                <w:rFonts w:hint="eastAsia" w:ascii="宋体" w:hAnsi="宋体" w:eastAsia="宋体" w:cs="宋体"/>
                <w:color w:val="auto"/>
                <w:sz w:val="24"/>
                <w:szCs w:val="24"/>
                <w:highlight w:val="none"/>
              </w:rPr>
            </w:pPr>
            <w:r>
              <w:rPr>
                <w:rFonts w:hint="eastAsia" w:cs="宋体"/>
                <w:color w:val="auto"/>
                <w:sz w:val="24"/>
                <w:szCs w:val="24"/>
                <w:highlight w:val="none"/>
                <w:lang w:eastAsia="zh-CN"/>
              </w:rPr>
              <w:t>□</w:t>
            </w:r>
            <w:r>
              <w:rPr>
                <w:rFonts w:hint="eastAsia" w:ascii="宋体" w:hAnsi="宋体" w:eastAsia="宋体" w:cs="宋体"/>
                <w:color w:val="auto"/>
                <w:sz w:val="24"/>
                <w:szCs w:val="24"/>
                <w:highlight w:val="none"/>
              </w:rPr>
              <w:t>合同价的   %</w:t>
            </w:r>
          </w:p>
          <w:p w14:paraId="7DCA35D2">
            <w:pPr>
              <w:pStyle w:val="224"/>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□定额收取：人民币              元</w:t>
            </w:r>
          </w:p>
          <w:p w14:paraId="78911AAD">
            <w:pPr>
              <w:pStyle w:val="22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支付方式：</w:t>
            </w:r>
          </w:p>
          <w:p w14:paraId="12B7F8B1">
            <w:pPr>
              <w:pStyle w:val="225"/>
              <w:keepNext w:val="0"/>
              <w:keepLines w:val="0"/>
              <w:pageBreakBefore w:val="0"/>
              <w:widowControl w:val="0"/>
              <w:shd w:val="clear" w:color="auto" w:fill="auto"/>
              <w:kinsoku/>
              <w:wordWrap/>
              <w:overflowPunct/>
              <w:topLinePunct w:val="0"/>
              <w:autoSpaceDE/>
              <w:autoSpaceDN/>
              <w:bidi w:val="0"/>
              <w:adjustRightInd/>
              <w:snapToGrid/>
              <w:spacing w:line="34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2"/>
                <w:sz w:val="24"/>
                <w:szCs w:val="24"/>
                <w:highlight w:val="none"/>
                <w:lang w:val="en-US" w:eastAsia="zh-CN" w:bidi="ar-SA"/>
              </w:rPr>
              <w:t>投标人可自主选择以支票、汇票、本票、电汇、转账、网银、保函等非现金形式缴纳或提交保证金。</w:t>
            </w:r>
          </w:p>
          <w:p w14:paraId="20AB6ECE">
            <w:pPr>
              <w:pStyle w:val="22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3.</w:t>
            </w:r>
            <w:r>
              <w:rPr>
                <w:rFonts w:hint="eastAsia" w:ascii="宋体" w:hAnsi="宋体" w:eastAsia="宋体" w:cs="宋体"/>
                <w:color w:val="auto"/>
                <w:sz w:val="24"/>
                <w:szCs w:val="24"/>
                <w:highlight w:val="none"/>
              </w:rPr>
              <w:t xml:space="preserve">收取单位：                            </w:t>
            </w:r>
          </w:p>
          <w:p w14:paraId="4D83FA75">
            <w:pPr>
              <w:pStyle w:val="22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4.收取账号：</w:t>
            </w:r>
            <w:r>
              <w:rPr>
                <w:rFonts w:hint="eastAsia" w:ascii="宋体" w:hAnsi="宋体" w:eastAsia="宋体" w:cs="宋体"/>
                <w:color w:val="auto"/>
                <w:sz w:val="24"/>
                <w:szCs w:val="24"/>
                <w:highlight w:val="none"/>
              </w:rPr>
              <w:t xml:space="preserve">              </w:t>
            </w:r>
          </w:p>
          <w:p w14:paraId="2CF8CC08">
            <w:pPr>
              <w:pStyle w:val="22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5.</w:t>
            </w:r>
            <w:r>
              <w:rPr>
                <w:rFonts w:hint="eastAsia" w:ascii="宋体" w:hAnsi="宋体" w:eastAsia="宋体" w:cs="宋体"/>
                <w:color w:val="auto"/>
                <w:sz w:val="24"/>
                <w:szCs w:val="24"/>
                <w:highlight w:val="none"/>
              </w:rPr>
              <w:t xml:space="preserve">退还时间：              </w:t>
            </w:r>
          </w:p>
          <w:p w14:paraId="5BA146AB">
            <w:pPr>
              <w:pStyle w:val="224"/>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注意事项：</w:t>
            </w:r>
          </w:p>
          <w:p w14:paraId="43FE4EC8">
            <w:pPr>
              <w:pStyle w:val="22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以上各类机构出具的以担保函、保证保险承担责任的方式均须满足无条件见索即付条件。</w:t>
            </w:r>
          </w:p>
          <w:p w14:paraId="191E3959">
            <w:pPr>
              <w:pStyle w:val="22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以担保函、保证保险形式缴纳履约保证金的，受益人和收取单位须为采购人。</w:t>
            </w:r>
          </w:p>
        </w:tc>
      </w:tr>
      <w:tr w14:paraId="6B1F02A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1923" w:hRule="atLeast"/>
        </w:trPr>
        <w:tc>
          <w:tcPr>
            <w:tcW w:w="970" w:type="dxa"/>
            <w:vAlign w:val="center"/>
          </w:tcPr>
          <w:p w14:paraId="600814BC">
            <w:pPr>
              <w:pStyle w:val="224"/>
              <w:jc w:val="center"/>
              <w:rPr>
                <w:rFonts w:hint="default" w:ascii="宋体" w:hAnsi="宋体" w:eastAsia="宋体" w:cs="宋体"/>
                <w:color w:val="auto"/>
                <w:sz w:val="24"/>
                <w:szCs w:val="24"/>
                <w:highlight w:val="none"/>
                <w:lang w:val="en-US" w:eastAsia="zh-CN"/>
              </w:rPr>
            </w:pPr>
            <w:r>
              <w:rPr>
                <w:rFonts w:hint="eastAsia" w:cs="宋体"/>
                <w:color w:val="auto"/>
                <w:sz w:val="24"/>
                <w:szCs w:val="24"/>
                <w:highlight w:val="none"/>
                <w:lang w:val="en-US" w:eastAsia="zh-CN"/>
              </w:rPr>
              <w:t>17</w:t>
            </w:r>
          </w:p>
        </w:tc>
        <w:tc>
          <w:tcPr>
            <w:tcW w:w="1738" w:type="dxa"/>
            <w:vAlign w:val="center"/>
          </w:tcPr>
          <w:p w14:paraId="74D19386">
            <w:pPr>
              <w:pStyle w:val="224"/>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中标后分包</w:t>
            </w:r>
          </w:p>
        </w:tc>
        <w:tc>
          <w:tcPr>
            <w:tcW w:w="6700" w:type="dxa"/>
            <w:vAlign w:val="center"/>
          </w:tcPr>
          <w:p w14:paraId="4344EC45">
            <w:pPr>
              <w:pStyle w:val="224"/>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 xml:space="preserve">本项目的非主体、非关键性工作是否允许分包： </w:t>
            </w:r>
          </w:p>
          <w:p w14:paraId="3D901FC0">
            <w:pPr>
              <w:pStyle w:val="224"/>
              <w:ind w:firstLine="480" w:firstLineChars="200"/>
              <w:rPr>
                <w:rFonts w:hint="eastAsia" w:ascii="宋体" w:hAnsi="宋体" w:eastAsia="宋体" w:cs="宋体"/>
                <w:color w:val="auto"/>
                <w:kern w:val="2"/>
                <w:sz w:val="24"/>
                <w:szCs w:val="24"/>
                <w:highlight w:val="none"/>
                <w:lang w:val="en-US" w:eastAsia="zh-CN" w:bidi="ar-SA"/>
              </w:rPr>
            </w:pPr>
            <w:r>
              <w:rPr>
                <w:rFonts w:hint="eastAsia" w:cs="宋体"/>
                <w:color w:val="auto"/>
                <w:kern w:val="2"/>
                <w:sz w:val="24"/>
                <w:szCs w:val="24"/>
                <w:highlight w:val="none"/>
                <w:lang w:val="en-US" w:eastAsia="zh-CN" w:bidi="ar-SA"/>
              </w:rPr>
              <w:t>☑</w:t>
            </w:r>
            <w:r>
              <w:rPr>
                <w:rFonts w:hint="eastAsia" w:ascii="宋体" w:hAnsi="宋体" w:eastAsia="宋体" w:cs="宋体"/>
                <w:color w:val="auto"/>
                <w:kern w:val="2"/>
                <w:sz w:val="24"/>
                <w:szCs w:val="24"/>
                <w:highlight w:val="none"/>
                <w:lang w:val="en-US" w:eastAsia="zh-CN" w:bidi="ar-SA"/>
              </w:rPr>
              <w:t xml:space="preserve">不允许 </w:t>
            </w:r>
          </w:p>
          <w:p w14:paraId="56DFA0F7">
            <w:pPr>
              <w:pStyle w:val="224"/>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 xml:space="preserve">□允许，具体要求： </w:t>
            </w:r>
          </w:p>
          <w:p w14:paraId="6C445FF2">
            <w:pPr>
              <w:pStyle w:val="224"/>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 xml:space="preserve">     1.可以分包履行的具体内容：_____； </w:t>
            </w:r>
          </w:p>
          <w:p w14:paraId="71BE067E">
            <w:pPr>
              <w:pStyle w:val="224"/>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 xml:space="preserve">     2.允许分包的金额或者比例：_____； </w:t>
            </w:r>
          </w:p>
          <w:p w14:paraId="2F04DF99">
            <w:pPr>
              <w:pStyle w:val="224"/>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 xml:space="preserve">     3.其他要求：_____。 </w:t>
            </w:r>
          </w:p>
        </w:tc>
      </w:tr>
      <w:tr w14:paraId="19B129A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970" w:type="dxa"/>
            <w:vAlign w:val="center"/>
          </w:tcPr>
          <w:p w14:paraId="5BFFADC2">
            <w:pPr>
              <w:pStyle w:val="224"/>
              <w:jc w:val="center"/>
              <w:rPr>
                <w:rFonts w:hint="default" w:ascii="宋体" w:hAnsi="宋体" w:eastAsia="宋体" w:cs="宋体"/>
                <w:color w:val="auto"/>
                <w:sz w:val="24"/>
                <w:szCs w:val="24"/>
                <w:highlight w:val="none"/>
                <w:lang w:val="en-US" w:eastAsia="zh-CN"/>
              </w:rPr>
            </w:pPr>
            <w:r>
              <w:rPr>
                <w:rFonts w:hint="eastAsia" w:cs="宋体"/>
                <w:color w:val="auto"/>
                <w:sz w:val="24"/>
                <w:szCs w:val="24"/>
                <w:highlight w:val="none"/>
                <w:lang w:val="en-US" w:eastAsia="zh-CN"/>
              </w:rPr>
              <w:t>18</w:t>
            </w:r>
          </w:p>
        </w:tc>
        <w:tc>
          <w:tcPr>
            <w:tcW w:w="1738" w:type="dxa"/>
            <w:vAlign w:val="center"/>
          </w:tcPr>
          <w:p w14:paraId="6B25F509">
            <w:pPr>
              <w:pStyle w:val="22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质疑</w:t>
            </w:r>
          </w:p>
        </w:tc>
        <w:tc>
          <w:tcPr>
            <w:tcW w:w="6700" w:type="dxa"/>
            <w:vAlign w:val="center"/>
          </w:tcPr>
          <w:p w14:paraId="19F26822">
            <w:pPr>
              <w:pStyle w:val="226"/>
              <w:keepNext w:val="0"/>
              <w:keepLines w:val="0"/>
              <w:pageBreakBefore w:val="0"/>
              <w:widowControl w:val="0"/>
              <w:kinsoku/>
              <w:wordWrap/>
              <w:overflowPunct/>
              <w:topLinePunct w:val="0"/>
              <w:autoSpaceDE w:val="0"/>
              <w:autoSpaceDN w:val="0"/>
              <w:bidi w:val="0"/>
              <w:adjustRightInd w:val="0"/>
              <w:snapToGrid/>
              <w:spacing w:line="240" w:lineRule="auto"/>
              <w:textAlignment w:val="auto"/>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color w:val="auto"/>
                <w:kern w:val="2"/>
                <w:sz w:val="24"/>
                <w:szCs w:val="24"/>
                <w:highlight w:val="none"/>
                <w:lang w:val="zh-CN" w:eastAsia="zh-CN" w:bidi="ar-SA"/>
              </w:rPr>
              <w:t>递交方式：</w:t>
            </w:r>
            <w:r>
              <w:rPr>
                <w:rFonts w:hint="eastAsia" w:ascii="宋体" w:hAnsi="宋体" w:eastAsia="宋体" w:cs="宋体"/>
                <w:color w:val="auto"/>
                <w:sz w:val="24"/>
                <w:szCs w:val="24"/>
                <w:highlight w:val="none"/>
                <w:u w:val="single"/>
                <w:lang w:val="zh-CN" w:eastAsia="zh-CN"/>
              </w:rPr>
              <w:t>书面形式，原件直接送达并发送原件纸质版扫描件PDF至</w:t>
            </w:r>
            <w:r>
              <w:rPr>
                <w:rFonts w:hint="eastAsia" w:ascii="宋体" w:hAnsi="宋体" w:eastAsia="宋体" w:cs="宋体"/>
                <w:color w:val="auto"/>
                <w:sz w:val="24"/>
                <w:szCs w:val="24"/>
                <w:highlight w:val="none"/>
                <w:u w:val="single"/>
                <w:lang w:val="en-US" w:eastAsia="zh-CN"/>
              </w:rPr>
              <w:t>2963757709</w:t>
            </w:r>
            <w:r>
              <w:rPr>
                <w:rFonts w:hint="eastAsia" w:ascii="宋体" w:hAnsi="宋体" w:eastAsia="宋体" w:cs="宋体"/>
                <w:color w:val="auto"/>
                <w:sz w:val="24"/>
                <w:szCs w:val="24"/>
                <w:highlight w:val="none"/>
                <w:u w:val="single"/>
                <w:lang w:val="zh-CN" w:eastAsia="zh-CN"/>
              </w:rPr>
              <w:t>@qq.com（须随PDF版一并发送可编辑的WORD文档一份，如WORD文档内容与盖章的纸质版扫描件PDF内容不一致的，以盖章的纸质版原价内容为准）。</w:t>
            </w:r>
            <w:r>
              <w:rPr>
                <w:rFonts w:hint="eastAsia" w:ascii="宋体" w:hAnsi="宋体" w:eastAsia="宋体" w:cs="宋体"/>
                <w:color w:val="auto"/>
                <w:kern w:val="2"/>
                <w:sz w:val="24"/>
                <w:szCs w:val="24"/>
                <w:highlight w:val="none"/>
                <w:lang w:val="zh-CN" w:eastAsia="zh-CN" w:bidi="ar-SA"/>
              </w:rPr>
              <w:t xml:space="preserve">              </w:t>
            </w:r>
          </w:p>
          <w:p w14:paraId="33CC548F">
            <w:pPr>
              <w:pStyle w:val="226"/>
              <w:keepNext w:val="0"/>
              <w:keepLines w:val="0"/>
              <w:pageBreakBefore w:val="0"/>
              <w:widowControl w:val="0"/>
              <w:kinsoku/>
              <w:wordWrap/>
              <w:overflowPunct/>
              <w:topLinePunct w:val="0"/>
              <w:autoSpaceDE w:val="0"/>
              <w:autoSpaceDN w:val="0"/>
              <w:bidi w:val="0"/>
              <w:adjustRightInd w:val="0"/>
              <w:snapToGrid/>
              <w:spacing w:line="240" w:lineRule="auto"/>
              <w:textAlignment w:val="auto"/>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color w:val="auto"/>
                <w:kern w:val="2"/>
                <w:sz w:val="24"/>
                <w:szCs w:val="24"/>
                <w:highlight w:val="none"/>
                <w:lang w:val="zh-CN" w:eastAsia="zh-CN" w:bidi="ar-SA"/>
              </w:rPr>
              <w:t>接收部门：</w:t>
            </w:r>
            <w:r>
              <w:rPr>
                <w:rFonts w:hint="eastAsia" w:ascii="宋体" w:hAnsi="宋体" w:cs="宋体"/>
                <w:color w:val="auto"/>
                <w:sz w:val="24"/>
                <w:szCs w:val="24"/>
                <w:highlight w:val="none"/>
                <w:u w:val="single"/>
                <w:lang w:val="en-US" w:eastAsia="zh-CN"/>
              </w:rPr>
              <w:t>新疆新建联项目管理咨询有限公司</w:t>
            </w:r>
            <w:r>
              <w:rPr>
                <w:rFonts w:hint="eastAsia" w:ascii="宋体" w:hAnsi="宋体" w:eastAsia="宋体" w:cs="宋体"/>
                <w:color w:val="auto"/>
                <w:kern w:val="2"/>
                <w:sz w:val="24"/>
                <w:szCs w:val="24"/>
                <w:highlight w:val="none"/>
                <w:lang w:val="zh-CN" w:eastAsia="zh-CN" w:bidi="ar-SA"/>
              </w:rPr>
              <w:t xml:space="preserve">              </w:t>
            </w:r>
          </w:p>
          <w:p w14:paraId="4E9BBFA0">
            <w:pPr>
              <w:pStyle w:val="226"/>
              <w:keepNext w:val="0"/>
              <w:keepLines w:val="0"/>
              <w:pageBreakBefore w:val="0"/>
              <w:widowControl w:val="0"/>
              <w:kinsoku/>
              <w:wordWrap/>
              <w:overflowPunct/>
              <w:topLinePunct w:val="0"/>
              <w:autoSpaceDE w:val="0"/>
              <w:autoSpaceDN w:val="0"/>
              <w:bidi w:val="0"/>
              <w:adjustRightInd w:val="0"/>
              <w:snapToGrid/>
              <w:spacing w:line="240" w:lineRule="auto"/>
              <w:textAlignment w:val="auto"/>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color w:val="auto"/>
                <w:kern w:val="2"/>
                <w:sz w:val="24"/>
                <w:szCs w:val="24"/>
                <w:highlight w:val="none"/>
                <w:lang w:val="zh-CN" w:eastAsia="zh-CN" w:bidi="ar-SA"/>
              </w:rPr>
              <w:t>联系电话：</w:t>
            </w:r>
            <w:r>
              <w:rPr>
                <w:rFonts w:hint="eastAsia" w:ascii="宋体" w:hAnsi="宋体" w:cs="宋体"/>
                <w:color w:val="auto"/>
                <w:sz w:val="24"/>
                <w:szCs w:val="24"/>
                <w:highlight w:val="none"/>
                <w:u w:val="single"/>
                <w:lang w:val="en-US" w:eastAsia="zh-CN"/>
              </w:rPr>
              <w:t>13999102070</w:t>
            </w:r>
            <w:r>
              <w:rPr>
                <w:rFonts w:hint="eastAsia" w:ascii="宋体" w:hAnsi="宋体" w:eastAsia="宋体" w:cs="宋体"/>
                <w:color w:val="auto"/>
                <w:kern w:val="2"/>
                <w:sz w:val="24"/>
                <w:szCs w:val="24"/>
                <w:highlight w:val="none"/>
                <w:lang w:val="zh-CN" w:eastAsia="zh-CN" w:bidi="ar-SA"/>
              </w:rPr>
              <w:t xml:space="preserve">              </w:t>
            </w:r>
          </w:p>
          <w:p w14:paraId="30211831">
            <w:pPr>
              <w:pStyle w:val="226"/>
              <w:keepNext w:val="0"/>
              <w:keepLines w:val="0"/>
              <w:pageBreakBefore w:val="0"/>
              <w:widowControl w:val="0"/>
              <w:kinsoku/>
              <w:wordWrap/>
              <w:overflowPunct/>
              <w:topLinePunct w:val="0"/>
              <w:autoSpaceDE w:val="0"/>
              <w:autoSpaceDN w:val="0"/>
              <w:bidi w:val="0"/>
              <w:adjustRightInd w:val="0"/>
              <w:snapToGrid/>
              <w:spacing w:line="240" w:lineRule="auto"/>
              <w:textAlignment w:val="auto"/>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color w:val="auto"/>
                <w:kern w:val="2"/>
                <w:sz w:val="24"/>
                <w:szCs w:val="24"/>
                <w:highlight w:val="none"/>
                <w:lang w:val="zh-CN" w:eastAsia="zh-CN" w:bidi="ar-SA"/>
              </w:rPr>
              <w:t>通讯地址：</w:t>
            </w:r>
            <w:r>
              <w:rPr>
                <w:rFonts w:hint="eastAsia" w:ascii="宋体" w:hAnsi="宋体" w:cs="宋体"/>
                <w:color w:val="auto"/>
                <w:sz w:val="24"/>
                <w:szCs w:val="24"/>
                <w:highlight w:val="none"/>
                <w:u w:val="single"/>
                <w:lang w:val="zh-CN" w:eastAsia="zh-CN"/>
              </w:rPr>
              <w:t>新疆乌鲁木齐市水磨沟区龙胜街898号万科中央公园S2栋商业综合楼1503室</w:t>
            </w:r>
            <w:r>
              <w:rPr>
                <w:rFonts w:hint="eastAsia" w:ascii="宋体" w:hAnsi="宋体" w:eastAsia="宋体" w:cs="宋体"/>
                <w:color w:val="auto"/>
                <w:kern w:val="2"/>
                <w:sz w:val="24"/>
                <w:szCs w:val="24"/>
                <w:highlight w:val="none"/>
                <w:lang w:val="zh-CN" w:eastAsia="zh-CN" w:bidi="ar-SA"/>
              </w:rPr>
              <w:t xml:space="preserve">              </w:t>
            </w:r>
          </w:p>
        </w:tc>
      </w:tr>
      <w:tr w14:paraId="3C8ED12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1204" w:hRule="atLeast"/>
        </w:trPr>
        <w:tc>
          <w:tcPr>
            <w:tcW w:w="970" w:type="dxa"/>
            <w:vAlign w:val="center"/>
          </w:tcPr>
          <w:p w14:paraId="422A3CDD">
            <w:pPr>
              <w:pStyle w:val="224"/>
              <w:jc w:val="center"/>
              <w:rPr>
                <w:rFonts w:hint="default" w:ascii="宋体" w:hAnsi="宋体" w:eastAsia="宋体" w:cs="宋体"/>
                <w:color w:val="auto"/>
                <w:sz w:val="24"/>
                <w:szCs w:val="24"/>
                <w:highlight w:val="none"/>
                <w:lang w:val="en-US" w:eastAsia="zh-CN"/>
              </w:rPr>
            </w:pPr>
            <w:r>
              <w:rPr>
                <w:rFonts w:hint="eastAsia" w:cs="宋体"/>
                <w:color w:val="auto"/>
                <w:sz w:val="24"/>
                <w:szCs w:val="24"/>
                <w:highlight w:val="none"/>
                <w:lang w:val="en-US" w:eastAsia="zh-CN"/>
              </w:rPr>
              <w:t>19</w:t>
            </w:r>
          </w:p>
        </w:tc>
        <w:tc>
          <w:tcPr>
            <w:tcW w:w="1738" w:type="dxa"/>
            <w:vAlign w:val="center"/>
          </w:tcPr>
          <w:p w14:paraId="1782DE51">
            <w:pPr>
              <w:pStyle w:val="22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采购代理服务费</w:t>
            </w:r>
          </w:p>
        </w:tc>
        <w:tc>
          <w:tcPr>
            <w:tcW w:w="6700" w:type="dxa"/>
            <w:vAlign w:val="center"/>
          </w:tcPr>
          <w:p w14:paraId="572A09AD">
            <w:pPr>
              <w:pStyle w:val="22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收</w:t>
            </w:r>
            <w:r>
              <w:rPr>
                <w:rFonts w:hint="eastAsia" w:ascii="宋体" w:hAnsi="宋体" w:eastAsia="宋体" w:cs="宋体"/>
                <w:color w:val="auto"/>
                <w:sz w:val="24"/>
                <w:szCs w:val="24"/>
                <w:highlight w:val="none"/>
              </w:rPr>
              <w:t>费</w:t>
            </w:r>
            <w:r>
              <w:rPr>
                <w:rFonts w:hint="eastAsia" w:ascii="宋体" w:hAnsi="宋体" w:eastAsia="宋体" w:cs="宋体"/>
                <w:color w:val="auto"/>
                <w:sz w:val="24"/>
                <w:szCs w:val="24"/>
                <w:highlight w:val="none"/>
                <w:lang w:val="en-US" w:eastAsia="zh-CN"/>
              </w:rPr>
              <w:t>对象</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rPr>
              <w:sym w:font="Wingdings" w:char="00A8"/>
            </w:r>
            <w:r>
              <w:rPr>
                <w:rFonts w:hint="eastAsia" w:ascii="宋体" w:hAnsi="宋体" w:eastAsia="宋体" w:cs="宋体"/>
                <w:color w:val="auto"/>
                <w:sz w:val="24"/>
                <w:szCs w:val="24"/>
                <w:highlight w:val="none"/>
              </w:rPr>
              <w:t xml:space="preserve">采购人支付 </w:t>
            </w:r>
            <w:r>
              <w:rPr>
                <w:rFonts w:hint="eastAsia" w:ascii="宋体" w:hAnsi="宋体" w:eastAsia="宋体" w:cs="宋体"/>
                <w:color w:val="auto"/>
                <w:sz w:val="24"/>
                <w:szCs w:val="24"/>
                <w:highlight w:val="none"/>
              </w:rPr>
              <w:sym w:font="Wingdings" w:char="00FE"/>
            </w:r>
            <w:r>
              <w:rPr>
                <w:rFonts w:hint="eastAsia" w:ascii="宋体" w:hAnsi="宋体" w:eastAsia="宋体" w:cs="宋体"/>
                <w:color w:val="auto"/>
                <w:sz w:val="24"/>
                <w:szCs w:val="24"/>
                <w:highlight w:val="none"/>
              </w:rPr>
              <w:t xml:space="preserve">中标人支付 </w:t>
            </w:r>
          </w:p>
          <w:p w14:paraId="721F6699">
            <w:pPr>
              <w:pStyle w:val="224"/>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收费</w:t>
            </w:r>
            <w:r>
              <w:rPr>
                <w:rFonts w:hint="eastAsia" w:ascii="宋体" w:hAnsi="宋体" w:eastAsia="宋体" w:cs="宋体"/>
                <w:color w:val="auto"/>
                <w:sz w:val="24"/>
                <w:szCs w:val="24"/>
                <w:highlight w:val="none"/>
              </w:rPr>
              <w:t>标准：</w:t>
            </w:r>
            <w:r>
              <w:rPr>
                <w:rFonts w:hint="eastAsia" w:ascii="宋体" w:hAnsi="宋体" w:eastAsia="宋体" w:cs="宋体"/>
                <w:color w:val="auto"/>
                <w:sz w:val="24"/>
                <w:szCs w:val="24"/>
                <w:highlight w:val="none"/>
                <w:u w:val="single"/>
              </w:rPr>
              <w:t>参考《招标代理服务收费管理暂行办法》（计价</w:t>
            </w:r>
          </w:p>
          <w:p w14:paraId="49FEA7CF">
            <w:pPr>
              <w:pStyle w:val="224"/>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格〔2002〕1980 号）及《国家发展改革委办公厅关于招标代理</w:t>
            </w:r>
          </w:p>
          <w:p w14:paraId="596F0F57">
            <w:pPr>
              <w:pStyle w:val="224"/>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服务收费有关问题的通知》（发改办价格〔2003〕857 号）下</w:t>
            </w:r>
          </w:p>
          <w:p w14:paraId="75684927">
            <w:pPr>
              <w:pStyle w:val="22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浮</w:t>
            </w:r>
            <w:r>
              <w:rPr>
                <w:rFonts w:hint="eastAsia" w:cs="宋体"/>
                <w:color w:val="auto"/>
                <w:sz w:val="24"/>
                <w:szCs w:val="24"/>
                <w:highlight w:val="none"/>
                <w:u w:val="single"/>
                <w:lang w:val="en-US" w:eastAsia="zh-CN"/>
              </w:rPr>
              <w:t>2</w:t>
            </w:r>
            <w:r>
              <w:rPr>
                <w:rFonts w:hint="eastAsia" w:ascii="宋体" w:hAnsi="宋体" w:eastAsia="宋体" w:cs="宋体"/>
                <w:color w:val="auto"/>
                <w:sz w:val="24"/>
                <w:szCs w:val="24"/>
                <w:highlight w:val="none"/>
                <w:u w:val="single"/>
              </w:rPr>
              <w:t>0%收取，代理服务费由中标人支付。</w:t>
            </w:r>
          </w:p>
          <w:p w14:paraId="1368AF2C">
            <w:pPr>
              <w:pStyle w:val="22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val="en-US" w:eastAsia="zh-CN"/>
              </w:rPr>
              <w:t>收取</w:t>
            </w:r>
            <w:r>
              <w:rPr>
                <w:rFonts w:hint="eastAsia" w:ascii="宋体" w:hAnsi="宋体" w:eastAsia="宋体" w:cs="宋体"/>
                <w:color w:val="auto"/>
                <w:sz w:val="24"/>
                <w:szCs w:val="24"/>
                <w:highlight w:val="none"/>
              </w:rPr>
              <w:t>时间：</w:t>
            </w:r>
            <w:r>
              <w:rPr>
                <w:rFonts w:hint="eastAsia" w:ascii="宋体" w:hAnsi="宋体" w:eastAsia="宋体" w:cs="宋体"/>
                <w:color w:val="auto"/>
                <w:sz w:val="24"/>
                <w:szCs w:val="24"/>
                <w:highlight w:val="none"/>
                <w:u w:val="single"/>
              </w:rPr>
              <w:t>领取中标通知书时交纳。</w:t>
            </w:r>
          </w:p>
          <w:p w14:paraId="76384588">
            <w:pPr>
              <w:pStyle w:val="224"/>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lang w:val="en-US" w:eastAsia="zh-CN"/>
              </w:rPr>
              <w:t>收取</w:t>
            </w:r>
            <w:r>
              <w:rPr>
                <w:rFonts w:hint="eastAsia" w:ascii="宋体" w:hAnsi="宋体" w:eastAsia="宋体" w:cs="宋体"/>
                <w:color w:val="auto"/>
                <w:sz w:val="24"/>
                <w:szCs w:val="24"/>
                <w:highlight w:val="none"/>
              </w:rPr>
              <w:t>方式：</w:t>
            </w:r>
            <w:r>
              <w:rPr>
                <w:rFonts w:hint="eastAsia" w:ascii="宋体" w:hAnsi="宋体" w:eastAsia="宋体" w:cs="宋体"/>
                <w:color w:val="auto"/>
                <w:sz w:val="24"/>
                <w:szCs w:val="24"/>
                <w:highlight w:val="none"/>
                <w:u w:val="single"/>
              </w:rPr>
              <w:t>转账、电汇等形式</w:t>
            </w:r>
          </w:p>
          <w:p w14:paraId="76242C28">
            <w:pPr>
              <w:pStyle w:val="224"/>
              <w:rPr>
                <w:rFonts w:hint="eastAsia" w:ascii="宋体" w:hAnsi="宋体" w:eastAsia="宋体" w:cs="宋体"/>
                <w:color w:val="auto"/>
                <w:sz w:val="24"/>
                <w:szCs w:val="24"/>
                <w:highlight w:val="none"/>
                <w:u w:val="single"/>
              </w:rPr>
            </w:pPr>
            <w:r>
              <w:rPr>
                <w:rFonts w:hint="eastAsia" w:ascii="宋体" w:hAnsi="宋体"/>
                <w:color w:val="auto"/>
                <w:sz w:val="24"/>
                <w:szCs w:val="24"/>
                <w:highlight w:val="none"/>
              </w:rPr>
              <w:t>账户名称：新疆新建联项目管理咨询有限公司乌鲁木齐分公司</w:t>
            </w:r>
            <w:r>
              <w:rPr>
                <w:rFonts w:hint="eastAsia" w:ascii="宋体" w:hAnsi="宋体"/>
                <w:color w:val="auto"/>
                <w:sz w:val="24"/>
                <w:szCs w:val="24"/>
                <w:highlight w:val="none"/>
              </w:rPr>
              <w:br w:type="textWrapping"/>
            </w:r>
            <w:r>
              <w:rPr>
                <w:rFonts w:hint="eastAsia" w:ascii="宋体" w:hAnsi="宋体"/>
                <w:color w:val="auto"/>
                <w:sz w:val="24"/>
                <w:szCs w:val="24"/>
                <w:highlight w:val="none"/>
              </w:rPr>
              <w:t>税号：91650105MAE5GR7A4K</w:t>
            </w:r>
            <w:r>
              <w:rPr>
                <w:rFonts w:hint="eastAsia" w:ascii="宋体" w:hAnsi="宋体"/>
                <w:color w:val="auto"/>
                <w:sz w:val="24"/>
                <w:szCs w:val="24"/>
                <w:highlight w:val="none"/>
              </w:rPr>
              <w:br w:type="textWrapping"/>
            </w:r>
            <w:r>
              <w:rPr>
                <w:rFonts w:hint="eastAsia" w:ascii="宋体" w:hAnsi="宋体"/>
                <w:color w:val="auto"/>
                <w:sz w:val="24"/>
                <w:szCs w:val="24"/>
                <w:highlight w:val="none"/>
              </w:rPr>
              <w:t>开户银行名称：新疆银行股份有限公司乌鲁木齐光明路支行</w:t>
            </w:r>
            <w:r>
              <w:rPr>
                <w:rFonts w:hint="eastAsia" w:ascii="宋体" w:hAnsi="宋体"/>
                <w:color w:val="auto"/>
                <w:sz w:val="24"/>
                <w:szCs w:val="24"/>
                <w:highlight w:val="none"/>
              </w:rPr>
              <w:br w:type="textWrapping"/>
            </w:r>
            <w:r>
              <w:rPr>
                <w:rFonts w:hint="eastAsia" w:ascii="宋体" w:hAnsi="宋体"/>
                <w:color w:val="auto"/>
                <w:sz w:val="24"/>
                <w:szCs w:val="24"/>
                <w:highlight w:val="none"/>
              </w:rPr>
              <w:t>账号：0801240000017950</w:t>
            </w:r>
            <w:r>
              <w:rPr>
                <w:rFonts w:hint="eastAsia" w:ascii="宋体" w:hAnsi="宋体"/>
                <w:color w:val="auto"/>
                <w:sz w:val="24"/>
                <w:szCs w:val="24"/>
                <w:highlight w:val="none"/>
              </w:rPr>
              <w:br w:type="textWrapping"/>
            </w:r>
            <w:r>
              <w:rPr>
                <w:rFonts w:hint="eastAsia" w:ascii="宋体" w:hAnsi="宋体"/>
                <w:color w:val="auto"/>
                <w:sz w:val="24"/>
                <w:szCs w:val="24"/>
                <w:highlight w:val="none"/>
              </w:rPr>
              <w:t>开户银行地址：乌鲁木齐市天山区光明路199号；</w:t>
            </w:r>
          </w:p>
        </w:tc>
      </w:tr>
      <w:tr w14:paraId="30DE59A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742" w:hRule="atLeast"/>
        </w:trPr>
        <w:tc>
          <w:tcPr>
            <w:tcW w:w="970" w:type="dxa"/>
            <w:vAlign w:val="center"/>
          </w:tcPr>
          <w:p w14:paraId="6F1BF374">
            <w:pPr>
              <w:pStyle w:val="224"/>
              <w:jc w:val="center"/>
              <w:rPr>
                <w:rFonts w:hint="default" w:ascii="宋体" w:hAnsi="宋体" w:eastAsia="宋体" w:cs="宋体"/>
                <w:color w:val="auto"/>
                <w:sz w:val="24"/>
                <w:szCs w:val="24"/>
                <w:highlight w:val="none"/>
                <w:lang w:val="en-US" w:eastAsia="zh-CN"/>
              </w:rPr>
            </w:pPr>
            <w:r>
              <w:rPr>
                <w:rFonts w:hint="eastAsia" w:cs="宋体"/>
                <w:color w:val="auto"/>
                <w:sz w:val="24"/>
                <w:szCs w:val="24"/>
                <w:highlight w:val="none"/>
                <w:lang w:val="en-US" w:eastAsia="zh-CN"/>
              </w:rPr>
              <w:t>20</w:t>
            </w:r>
          </w:p>
        </w:tc>
        <w:tc>
          <w:tcPr>
            <w:tcW w:w="1738" w:type="dxa"/>
            <w:vAlign w:val="center"/>
          </w:tcPr>
          <w:p w14:paraId="5D860FC6">
            <w:pPr>
              <w:pStyle w:val="22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是否接受进口产品</w:t>
            </w:r>
          </w:p>
        </w:tc>
        <w:tc>
          <w:tcPr>
            <w:tcW w:w="6700" w:type="dxa"/>
            <w:vAlign w:val="center"/>
          </w:tcPr>
          <w:p w14:paraId="438B47DA">
            <w:pPr>
              <w:pStyle w:val="22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sym w:font="Wingdings" w:char="00FE"/>
            </w:r>
            <w:r>
              <w:rPr>
                <w:rFonts w:hint="eastAsia" w:ascii="宋体" w:hAnsi="宋体" w:eastAsia="宋体" w:cs="宋体"/>
                <w:color w:val="auto"/>
                <w:sz w:val="24"/>
                <w:szCs w:val="24"/>
                <w:highlight w:val="none"/>
              </w:rPr>
              <w:t>不接受</w:t>
            </w:r>
          </w:p>
          <w:p w14:paraId="1481386A">
            <w:pPr>
              <w:pStyle w:val="22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sym w:font="Wingdings" w:char="00A8"/>
            </w:r>
            <w:r>
              <w:rPr>
                <w:rFonts w:hint="eastAsia" w:ascii="宋体" w:hAnsi="宋体" w:eastAsia="宋体" w:cs="宋体"/>
                <w:color w:val="auto"/>
                <w:sz w:val="24"/>
                <w:szCs w:val="24"/>
                <w:highlight w:val="none"/>
                <w:lang w:val="zh-CN"/>
              </w:rPr>
              <w:t>接受</w:t>
            </w:r>
          </w:p>
        </w:tc>
      </w:tr>
      <w:tr w14:paraId="2539FC1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1829" w:hRule="atLeast"/>
        </w:trPr>
        <w:tc>
          <w:tcPr>
            <w:tcW w:w="970" w:type="dxa"/>
            <w:vAlign w:val="center"/>
          </w:tcPr>
          <w:p w14:paraId="06648806">
            <w:pPr>
              <w:pStyle w:val="224"/>
              <w:jc w:val="center"/>
              <w:rPr>
                <w:rFonts w:hint="default" w:ascii="宋体" w:hAnsi="宋体" w:eastAsia="宋体" w:cs="宋体"/>
                <w:color w:val="auto"/>
                <w:sz w:val="24"/>
                <w:szCs w:val="24"/>
                <w:highlight w:val="none"/>
                <w:lang w:val="en-US" w:eastAsia="zh-CN"/>
              </w:rPr>
            </w:pPr>
            <w:r>
              <w:rPr>
                <w:rFonts w:hint="eastAsia" w:cs="宋体"/>
                <w:color w:val="auto"/>
                <w:sz w:val="24"/>
                <w:szCs w:val="24"/>
                <w:highlight w:val="none"/>
                <w:lang w:val="en-US" w:eastAsia="zh-CN"/>
              </w:rPr>
              <w:t>21</w:t>
            </w:r>
          </w:p>
        </w:tc>
        <w:tc>
          <w:tcPr>
            <w:tcW w:w="1738" w:type="dxa"/>
            <w:vAlign w:val="center"/>
          </w:tcPr>
          <w:p w14:paraId="34AA4482">
            <w:pPr>
              <w:pStyle w:val="22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支持中小企业政策</w:t>
            </w:r>
            <w:r>
              <w:rPr>
                <w:rStyle w:val="43"/>
                <w:rFonts w:hint="eastAsia" w:ascii="宋体" w:hAnsi="宋体" w:eastAsia="宋体" w:cs="宋体"/>
                <w:b w:val="0"/>
                <w:color w:val="auto"/>
                <w:sz w:val="24"/>
                <w:szCs w:val="24"/>
                <w:highlight w:val="none"/>
                <w:lang w:val="en-US" w:eastAsia="zh-CN"/>
              </w:rPr>
              <w:t>（非专门面向中小企业采购项目适用）</w:t>
            </w:r>
          </w:p>
        </w:tc>
        <w:tc>
          <w:tcPr>
            <w:tcW w:w="6700" w:type="dxa"/>
            <w:vAlign w:val="center"/>
          </w:tcPr>
          <w:p w14:paraId="736B9D94">
            <w:pPr>
              <w:pStyle w:val="217"/>
              <w:widowControl w:val="0"/>
              <w:spacing w:before="0" w:beforeAutospacing="0" w:after="0" w:afterAutospacing="0" w:line="240" w:lineRule="auto"/>
              <w:jc w:val="both"/>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lang w:val="en-US" w:eastAsia="zh-CN"/>
              </w:rPr>
              <w:t xml:space="preserve"> </w:t>
            </w:r>
            <w:r>
              <w:rPr>
                <w:rFonts w:hint="eastAsia" w:ascii="宋体" w:hAnsi="宋体" w:eastAsia="宋体" w:cs="宋体"/>
                <w:b w:val="0"/>
                <w:color w:val="auto"/>
                <w:sz w:val="24"/>
                <w:szCs w:val="24"/>
                <w:highlight w:val="none"/>
              </w:rPr>
              <w:t>1</w:t>
            </w:r>
            <w:r>
              <w:rPr>
                <w:rFonts w:hint="eastAsia" w:ascii="宋体" w:hAnsi="宋体" w:eastAsia="宋体" w:cs="宋体"/>
                <w:b w:val="0"/>
                <w:color w:val="auto"/>
                <w:sz w:val="24"/>
                <w:szCs w:val="24"/>
                <w:highlight w:val="none"/>
                <w:lang w:val="en-US" w:eastAsia="zh-CN"/>
              </w:rPr>
              <w:t>.</w:t>
            </w:r>
            <w:r>
              <w:rPr>
                <w:rFonts w:hint="eastAsia" w:ascii="宋体" w:hAnsi="宋体" w:eastAsia="宋体" w:cs="宋体"/>
                <w:b w:val="0"/>
                <w:color w:val="auto"/>
                <w:sz w:val="24"/>
                <w:szCs w:val="24"/>
                <w:highlight w:val="none"/>
              </w:rPr>
              <w:t>小型和微型企业价格扣除：</w:t>
            </w:r>
            <w:r>
              <w:rPr>
                <w:rFonts w:hint="eastAsia" w:ascii="宋体" w:hAnsi="宋体" w:eastAsia="宋体" w:cs="宋体"/>
                <w:b w:val="0"/>
                <w:color w:val="auto"/>
                <w:sz w:val="24"/>
                <w:szCs w:val="24"/>
                <w:highlight w:val="none"/>
                <w:u w:val="single"/>
                <w:lang w:val="en-US" w:eastAsia="zh-CN"/>
              </w:rPr>
              <w:t xml:space="preserve">   </w:t>
            </w:r>
            <w:r>
              <w:rPr>
                <w:rFonts w:hint="eastAsia" w:cs="宋体"/>
                <w:b w:val="0"/>
                <w:color w:val="auto"/>
                <w:sz w:val="24"/>
                <w:szCs w:val="24"/>
                <w:highlight w:val="none"/>
                <w:u w:val="single"/>
                <w:lang w:val="en-US" w:eastAsia="zh-CN"/>
              </w:rPr>
              <w:t>/</w:t>
            </w:r>
            <w:r>
              <w:rPr>
                <w:rFonts w:hint="eastAsia" w:ascii="宋体" w:hAnsi="宋体" w:eastAsia="宋体" w:cs="宋体"/>
                <w:b w:val="0"/>
                <w:color w:val="auto"/>
                <w:sz w:val="24"/>
                <w:szCs w:val="24"/>
                <w:highlight w:val="none"/>
                <w:u w:val="single"/>
                <w:lang w:val="en-US" w:eastAsia="zh-CN"/>
              </w:rPr>
              <w:t xml:space="preserve">     </w:t>
            </w:r>
            <w:r>
              <w:rPr>
                <w:rFonts w:hint="eastAsia" w:ascii="宋体" w:hAnsi="宋体" w:eastAsia="宋体" w:cs="宋体"/>
                <w:b w:val="0"/>
                <w:color w:val="auto"/>
                <w:sz w:val="24"/>
                <w:szCs w:val="24"/>
                <w:highlight w:val="none"/>
              </w:rPr>
              <w:t>。</w:t>
            </w:r>
          </w:p>
          <w:p w14:paraId="3A14D5AD">
            <w:pPr>
              <w:pStyle w:val="217"/>
              <w:widowControl w:val="0"/>
              <w:spacing w:before="0" w:beforeAutospacing="0" w:after="0" w:afterAutospacing="0" w:line="240" w:lineRule="auto"/>
              <w:jc w:val="both"/>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lang w:val="en-US" w:eastAsia="zh-CN"/>
              </w:rPr>
              <w:t xml:space="preserve"> </w:t>
            </w:r>
            <w:r>
              <w:rPr>
                <w:rFonts w:hint="eastAsia" w:ascii="宋体" w:hAnsi="宋体" w:eastAsia="宋体" w:cs="宋体"/>
                <w:b w:val="0"/>
                <w:color w:val="auto"/>
                <w:sz w:val="24"/>
                <w:szCs w:val="24"/>
                <w:highlight w:val="none"/>
              </w:rPr>
              <w:t>2</w:t>
            </w:r>
            <w:r>
              <w:rPr>
                <w:rFonts w:hint="eastAsia" w:ascii="宋体" w:hAnsi="宋体" w:eastAsia="宋体" w:cs="宋体"/>
                <w:b w:val="0"/>
                <w:color w:val="auto"/>
                <w:sz w:val="24"/>
                <w:szCs w:val="24"/>
                <w:highlight w:val="none"/>
                <w:lang w:val="en-US" w:eastAsia="zh-CN"/>
              </w:rPr>
              <w:t>.</w:t>
            </w:r>
            <w:r>
              <w:rPr>
                <w:rFonts w:hint="eastAsia" w:ascii="宋体" w:hAnsi="宋体" w:eastAsia="宋体" w:cs="宋体"/>
                <w:b w:val="0"/>
                <w:color w:val="auto"/>
                <w:sz w:val="24"/>
                <w:szCs w:val="24"/>
                <w:highlight w:val="none"/>
              </w:rPr>
              <w:t>监狱企业价格扣除：</w:t>
            </w:r>
            <w:r>
              <w:rPr>
                <w:rFonts w:hint="eastAsia" w:ascii="宋体" w:hAnsi="宋体" w:eastAsia="宋体" w:cs="宋体"/>
                <w:b w:val="0"/>
                <w:color w:val="auto"/>
                <w:sz w:val="24"/>
                <w:szCs w:val="24"/>
                <w:highlight w:val="none"/>
                <w:u w:val="none"/>
              </w:rPr>
              <w:t>同小型和微型企业</w:t>
            </w:r>
            <w:r>
              <w:rPr>
                <w:rFonts w:hint="eastAsia" w:ascii="宋体" w:hAnsi="宋体" w:eastAsia="宋体" w:cs="宋体"/>
                <w:b w:val="0"/>
                <w:color w:val="auto"/>
                <w:sz w:val="24"/>
                <w:szCs w:val="24"/>
                <w:highlight w:val="none"/>
              </w:rPr>
              <w:t>。</w:t>
            </w:r>
          </w:p>
          <w:p w14:paraId="5CF7AA8F">
            <w:pPr>
              <w:pStyle w:val="217"/>
              <w:widowControl w:val="0"/>
              <w:spacing w:before="0" w:beforeAutospacing="0" w:after="0" w:afterAutospacing="0" w:line="240" w:lineRule="auto"/>
              <w:jc w:val="both"/>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lang w:val="en-US" w:eastAsia="zh-CN"/>
              </w:rPr>
              <w:t xml:space="preserve"> </w:t>
            </w:r>
            <w:r>
              <w:rPr>
                <w:rFonts w:hint="eastAsia" w:ascii="宋体" w:hAnsi="宋体" w:eastAsia="宋体" w:cs="宋体"/>
                <w:b w:val="0"/>
                <w:color w:val="auto"/>
                <w:sz w:val="24"/>
                <w:szCs w:val="24"/>
                <w:highlight w:val="none"/>
              </w:rPr>
              <w:t>3</w:t>
            </w:r>
            <w:r>
              <w:rPr>
                <w:rFonts w:hint="eastAsia" w:ascii="宋体" w:hAnsi="宋体" w:eastAsia="宋体" w:cs="宋体"/>
                <w:b w:val="0"/>
                <w:color w:val="auto"/>
                <w:sz w:val="24"/>
                <w:szCs w:val="24"/>
                <w:highlight w:val="none"/>
                <w:lang w:val="en-US" w:eastAsia="zh-CN"/>
              </w:rPr>
              <w:t>.</w:t>
            </w:r>
            <w:r>
              <w:rPr>
                <w:rFonts w:hint="eastAsia" w:ascii="宋体" w:hAnsi="宋体" w:eastAsia="宋体" w:cs="宋体"/>
                <w:b w:val="0"/>
                <w:color w:val="auto"/>
                <w:sz w:val="24"/>
                <w:szCs w:val="24"/>
                <w:highlight w:val="none"/>
              </w:rPr>
              <w:t>残疾人福利性单位价格扣除：</w:t>
            </w:r>
            <w:r>
              <w:rPr>
                <w:rFonts w:hint="eastAsia" w:ascii="宋体" w:hAnsi="宋体" w:eastAsia="宋体" w:cs="宋体"/>
                <w:b w:val="0"/>
                <w:color w:val="auto"/>
                <w:sz w:val="24"/>
                <w:szCs w:val="24"/>
                <w:highlight w:val="none"/>
                <w:u w:val="none"/>
              </w:rPr>
              <w:t>同小型和微型企业</w:t>
            </w:r>
            <w:r>
              <w:rPr>
                <w:rFonts w:hint="eastAsia" w:ascii="宋体" w:hAnsi="宋体" w:eastAsia="宋体" w:cs="宋体"/>
                <w:b w:val="0"/>
                <w:color w:val="auto"/>
                <w:sz w:val="24"/>
                <w:szCs w:val="24"/>
                <w:highlight w:val="none"/>
              </w:rPr>
              <w:t>。</w:t>
            </w:r>
          </w:p>
          <w:p w14:paraId="529022C4">
            <w:pPr>
              <w:pStyle w:val="217"/>
              <w:widowControl w:val="0"/>
              <w:spacing w:before="0" w:beforeAutospacing="0" w:after="0" w:afterAutospacing="0" w:line="240" w:lineRule="auto"/>
              <w:jc w:val="both"/>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lang w:val="en-US" w:eastAsia="zh-CN"/>
              </w:rPr>
              <w:t xml:space="preserve"> </w:t>
            </w:r>
            <w:r>
              <w:rPr>
                <w:rFonts w:hint="eastAsia" w:ascii="宋体" w:hAnsi="宋体" w:eastAsia="宋体" w:cs="宋体"/>
                <w:b w:val="0"/>
                <w:color w:val="auto"/>
                <w:sz w:val="24"/>
                <w:szCs w:val="24"/>
                <w:highlight w:val="none"/>
              </w:rPr>
              <w:t>4</w:t>
            </w:r>
            <w:r>
              <w:rPr>
                <w:rFonts w:hint="eastAsia" w:ascii="宋体" w:hAnsi="宋体" w:eastAsia="宋体" w:cs="宋体"/>
                <w:b w:val="0"/>
                <w:color w:val="auto"/>
                <w:sz w:val="24"/>
                <w:szCs w:val="24"/>
                <w:highlight w:val="none"/>
                <w:lang w:val="en-US" w:eastAsia="zh-CN"/>
              </w:rPr>
              <w:t>.</w:t>
            </w:r>
            <w:r>
              <w:rPr>
                <w:rFonts w:hint="eastAsia" w:ascii="宋体" w:hAnsi="宋体" w:eastAsia="宋体" w:cs="宋体"/>
                <w:b w:val="0"/>
                <w:color w:val="auto"/>
                <w:sz w:val="24"/>
                <w:szCs w:val="24"/>
                <w:highlight w:val="none"/>
              </w:rPr>
              <w:t>符合条件的联合体价格扣除：</w:t>
            </w:r>
            <w:r>
              <w:rPr>
                <w:rFonts w:hint="eastAsia" w:ascii="宋体" w:hAnsi="宋体" w:eastAsia="宋体" w:cs="宋体"/>
                <w:b w:val="0"/>
                <w:color w:val="auto"/>
                <w:sz w:val="24"/>
                <w:szCs w:val="24"/>
                <w:highlight w:val="none"/>
                <w:u w:val="single"/>
                <w:lang w:val="en-US" w:eastAsia="zh-CN"/>
              </w:rPr>
              <w:t xml:space="preserve">   </w:t>
            </w:r>
            <w:r>
              <w:rPr>
                <w:rFonts w:hint="eastAsia" w:cs="宋体"/>
                <w:b w:val="0"/>
                <w:color w:val="auto"/>
                <w:sz w:val="24"/>
                <w:szCs w:val="24"/>
                <w:highlight w:val="none"/>
                <w:u w:val="single"/>
                <w:lang w:val="en-US" w:eastAsia="zh-CN"/>
              </w:rPr>
              <w:t>/</w:t>
            </w:r>
            <w:r>
              <w:rPr>
                <w:rFonts w:hint="eastAsia" w:ascii="宋体" w:hAnsi="宋体" w:eastAsia="宋体" w:cs="宋体"/>
                <w:b w:val="0"/>
                <w:color w:val="auto"/>
                <w:sz w:val="24"/>
                <w:szCs w:val="24"/>
                <w:highlight w:val="none"/>
                <w:u w:val="single"/>
                <w:lang w:val="en-US" w:eastAsia="zh-CN"/>
              </w:rPr>
              <w:t xml:space="preserve">     </w:t>
            </w:r>
            <w:r>
              <w:rPr>
                <w:rFonts w:hint="eastAsia" w:ascii="宋体" w:hAnsi="宋体" w:eastAsia="宋体" w:cs="宋体"/>
                <w:b w:val="0"/>
                <w:color w:val="auto"/>
                <w:sz w:val="24"/>
                <w:szCs w:val="24"/>
                <w:highlight w:val="none"/>
              </w:rPr>
              <w:t>。</w:t>
            </w:r>
          </w:p>
          <w:p w14:paraId="1B996B16">
            <w:pPr>
              <w:pStyle w:val="217"/>
              <w:widowControl w:val="0"/>
              <w:spacing w:before="0" w:beforeAutospacing="0" w:after="0" w:afterAutospacing="0" w:line="240" w:lineRule="auto"/>
              <w:jc w:val="both"/>
              <w:rPr>
                <w:rFonts w:hint="eastAsia" w:ascii="宋体" w:hAnsi="宋体" w:eastAsia="宋体" w:cs="宋体"/>
                <w:b w:val="0"/>
                <w:bCs/>
                <w:color w:val="auto"/>
                <w:kern w:val="0"/>
                <w:sz w:val="24"/>
                <w:szCs w:val="24"/>
                <w:highlight w:val="none"/>
                <w:lang w:val="en-US" w:eastAsia="zh-CN" w:bidi="ar-SA"/>
              </w:rPr>
            </w:pPr>
            <w:r>
              <w:rPr>
                <w:rFonts w:hint="eastAsia" w:ascii="宋体" w:hAnsi="宋体" w:eastAsia="宋体" w:cs="宋体"/>
                <w:b w:val="0"/>
                <w:color w:val="auto"/>
                <w:sz w:val="24"/>
                <w:szCs w:val="24"/>
                <w:highlight w:val="none"/>
                <w:lang w:val="en-US" w:eastAsia="zh-CN"/>
              </w:rPr>
              <w:t xml:space="preserve"> </w:t>
            </w:r>
            <w:r>
              <w:rPr>
                <w:rFonts w:hint="eastAsia" w:ascii="宋体" w:hAnsi="宋体" w:eastAsia="宋体" w:cs="宋体"/>
                <w:b w:val="0"/>
                <w:color w:val="auto"/>
                <w:sz w:val="24"/>
                <w:szCs w:val="24"/>
                <w:highlight w:val="none"/>
              </w:rPr>
              <w:t>5</w:t>
            </w:r>
            <w:r>
              <w:rPr>
                <w:rFonts w:hint="eastAsia" w:ascii="宋体" w:hAnsi="宋体" w:eastAsia="宋体" w:cs="宋体"/>
                <w:b w:val="0"/>
                <w:color w:val="auto"/>
                <w:sz w:val="24"/>
                <w:szCs w:val="24"/>
                <w:highlight w:val="none"/>
                <w:lang w:val="en-US" w:eastAsia="zh-CN"/>
              </w:rPr>
              <w:t>.</w:t>
            </w:r>
            <w:r>
              <w:rPr>
                <w:rFonts w:hint="eastAsia" w:ascii="宋体" w:hAnsi="宋体" w:eastAsia="宋体" w:cs="宋体"/>
                <w:b w:val="0"/>
                <w:color w:val="auto"/>
                <w:sz w:val="24"/>
                <w:szCs w:val="24"/>
                <w:highlight w:val="none"/>
              </w:rPr>
              <w:t>符合条件的向小微企业分包的大中型企业价格扣除：</w:t>
            </w:r>
            <w:r>
              <w:rPr>
                <w:rFonts w:hint="eastAsia" w:ascii="宋体" w:hAnsi="宋体" w:eastAsia="宋体" w:cs="宋体"/>
                <w:b w:val="0"/>
                <w:color w:val="auto"/>
                <w:sz w:val="24"/>
                <w:szCs w:val="24"/>
                <w:highlight w:val="none"/>
                <w:u w:val="single"/>
                <w:lang w:val="en-US" w:eastAsia="zh-CN"/>
              </w:rPr>
              <w:t xml:space="preserve">  </w:t>
            </w:r>
            <w:r>
              <w:rPr>
                <w:rFonts w:hint="eastAsia" w:cs="宋体"/>
                <w:b w:val="0"/>
                <w:color w:val="auto"/>
                <w:sz w:val="24"/>
                <w:szCs w:val="24"/>
                <w:highlight w:val="none"/>
                <w:u w:val="single"/>
                <w:lang w:val="en-US" w:eastAsia="zh-CN"/>
              </w:rPr>
              <w:t>/</w:t>
            </w:r>
            <w:r>
              <w:rPr>
                <w:rFonts w:hint="eastAsia" w:ascii="宋体" w:hAnsi="宋体" w:eastAsia="宋体" w:cs="宋体"/>
                <w:b w:val="0"/>
                <w:color w:val="auto"/>
                <w:sz w:val="24"/>
                <w:szCs w:val="24"/>
                <w:highlight w:val="none"/>
                <w:u w:val="single"/>
                <w:lang w:val="en-US" w:eastAsia="zh-CN"/>
              </w:rPr>
              <w:t xml:space="preserve">  </w:t>
            </w:r>
            <w:r>
              <w:rPr>
                <w:rFonts w:hint="eastAsia" w:ascii="宋体" w:hAnsi="宋体" w:eastAsia="宋体" w:cs="宋体"/>
                <w:b w:val="0"/>
                <w:color w:val="auto"/>
                <w:sz w:val="24"/>
                <w:szCs w:val="24"/>
                <w:highlight w:val="none"/>
              </w:rPr>
              <w:t>。</w:t>
            </w:r>
            <w:r>
              <w:rPr>
                <w:rFonts w:hint="eastAsia" w:ascii="宋体" w:hAnsi="宋体" w:eastAsia="宋体" w:cs="宋体"/>
                <w:b w:val="0"/>
                <w:i w:val="0"/>
                <w:iCs/>
                <w:color w:val="auto"/>
                <w:sz w:val="24"/>
                <w:szCs w:val="24"/>
                <w:highlight w:val="none"/>
              </w:rPr>
              <w:t>（允许大中型企业向小微企业分包的项目适用）</w:t>
            </w:r>
          </w:p>
        </w:tc>
      </w:tr>
      <w:tr w14:paraId="707AAB8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2513" w:hRule="atLeast"/>
        </w:trPr>
        <w:tc>
          <w:tcPr>
            <w:tcW w:w="970" w:type="dxa"/>
            <w:vAlign w:val="center"/>
          </w:tcPr>
          <w:p w14:paraId="3AAFC5B3">
            <w:pPr>
              <w:pStyle w:val="224"/>
              <w:jc w:val="center"/>
              <w:rPr>
                <w:rFonts w:hint="default" w:ascii="宋体" w:hAnsi="宋体" w:eastAsia="宋体" w:cs="宋体"/>
                <w:color w:val="auto"/>
                <w:sz w:val="24"/>
                <w:szCs w:val="24"/>
                <w:highlight w:val="none"/>
                <w:lang w:val="en-US" w:eastAsia="zh-CN"/>
              </w:rPr>
            </w:pPr>
            <w:r>
              <w:rPr>
                <w:rFonts w:hint="eastAsia" w:cs="宋体"/>
                <w:color w:val="auto"/>
                <w:sz w:val="24"/>
                <w:szCs w:val="24"/>
                <w:highlight w:val="none"/>
                <w:lang w:val="en-US" w:eastAsia="zh-CN"/>
              </w:rPr>
              <w:t>22</w:t>
            </w:r>
          </w:p>
        </w:tc>
        <w:tc>
          <w:tcPr>
            <w:tcW w:w="1738" w:type="dxa"/>
            <w:vAlign w:val="center"/>
          </w:tcPr>
          <w:p w14:paraId="59931474">
            <w:pPr>
              <w:pStyle w:val="224"/>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标的所属行业</w:t>
            </w:r>
          </w:p>
          <w:p w14:paraId="27995733">
            <w:pPr>
              <w:pStyle w:val="224"/>
              <w:rPr>
                <w:rFonts w:hint="eastAsia" w:ascii="宋体" w:hAnsi="宋体" w:eastAsia="宋体" w:cs="宋体"/>
                <w:color w:val="auto"/>
                <w:sz w:val="24"/>
                <w:szCs w:val="24"/>
                <w:highlight w:val="none"/>
                <w:lang w:val="en-US" w:eastAsia="zh-CN"/>
              </w:rPr>
            </w:pPr>
            <w:r>
              <w:rPr>
                <w:rStyle w:val="43"/>
                <w:rFonts w:hint="eastAsia" w:ascii="宋体" w:hAnsi="宋体" w:eastAsia="宋体" w:cs="宋体"/>
                <w:b w:val="0"/>
                <w:color w:val="auto"/>
                <w:sz w:val="24"/>
                <w:szCs w:val="24"/>
                <w:highlight w:val="none"/>
                <w:lang w:val="en-US" w:eastAsia="zh-CN"/>
              </w:rPr>
              <w:t>参照后附</w:t>
            </w:r>
            <w:r>
              <w:rPr>
                <w:rStyle w:val="43"/>
                <w:rFonts w:hint="eastAsia" w:ascii="宋体" w:hAnsi="宋体" w:eastAsia="宋体" w:cs="宋体"/>
                <w:b w:val="0"/>
                <w:color w:val="auto"/>
                <w:sz w:val="24"/>
                <w:szCs w:val="24"/>
                <w:highlight w:val="none"/>
                <w:lang w:eastAsia="zh-CN"/>
              </w:rPr>
              <w:t>《</w:t>
            </w:r>
            <w:r>
              <w:rPr>
                <w:rStyle w:val="43"/>
                <w:rFonts w:hint="eastAsia" w:ascii="宋体" w:hAnsi="宋体" w:eastAsia="宋体" w:cs="宋体"/>
                <w:b w:val="0"/>
                <w:color w:val="auto"/>
                <w:sz w:val="24"/>
                <w:szCs w:val="24"/>
                <w:highlight w:val="none"/>
              </w:rPr>
              <w:t>工信部联企业〔2011〕300号</w:t>
            </w:r>
            <w:r>
              <w:rPr>
                <w:rStyle w:val="43"/>
                <w:rFonts w:hint="eastAsia" w:ascii="宋体" w:hAnsi="宋体" w:eastAsia="宋体" w:cs="宋体"/>
                <w:b w:val="0"/>
                <w:color w:val="auto"/>
                <w:sz w:val="24"/>
                <w:szCs w:val="24"/>
                <w:highlight w:val="none"/>
                <w:lang w:eastAsia="zh-CN"/>
              </w:rPr>
              <w:t>》</w:t>
            </w:r>
          </w:p>
        </w:tc>
        <w:tc>
          <w:tcPr>
            <w:tcW w:w="6700" w:type="dxa"/>
            <w:vAlign w:val="center"/>
          </w:tcPr>
          <w:p w14:paraId="6804F69E">
            <w:pPr>
              <w:keepNext w:val="0"/>
              <w:keepLines w:val="0"/>
              <w:widowControl/>
              <w:suppressLineNumbers w:val="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 xml:space="preserve">本项目采购标的对应的中小企业划分标准所属行业： </w:t>
            </w:r>
          </w:p>
          <w:tbl>
            <w:tblPr>
              <w:tblStyle w:val="41"/>
              <w:tblW w:w="61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7"/>
              <w:gridCol w:w="1824"/>
              <w:gridCol w:w="3245"/>
            </w:tblGrid>
            <w:tr w14:paraId="1CAADA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7" w:type="dxa"/>
                  <w:vAlign w:val="center"/>
                </w:tcPr>
                <w:p w14:paraId="7059451F">
                  <w:pPr>
                    <w:keepNext w:val="0"/>
                    <w:keepLines w:val="0"/>
                    <w:widowControl/>
                    <w:suppressLineNumbers w:val="0"/>
                    <w:jc w:val="center"/>
                    <w:rPr>
                      <w:rFonts w:hint="eastAsia" w:ascii="宋体" w:hAnsi="宋体" w:eastAsia="宋体" w:cs="宋体"/>
                      <w:color w:val="auto"/>
                      <w:kern w:val="0"/>
                      <w:sz w:val="24"/>
                      <w:szCs w:val="24"/>
                      <w:highlight w:val="none"/>
                      <w:vertAlign w:val="baseline"/>
                      <w:lang w:val="en-US" w:eastAsia="zh-CN" w:bidi="ar"/>
                    </w:rPr>
                  </w:pPr>
                  <w:r>
                    <w:rPr>
                      <w:rFonts w:hint="eastAsia" w:ascii="宋体" w:hAnsi="宋体" w:eastAsia="宋体" w:cs="宋体"/>
                      <w:color w:val="auto"/>
                      <w:kern w:val="0"/>
                      <w:sz w:val="24"/>
                      <w:szCs w:val="24"/>
                      <w:highlight w:val="none"/>
                      <w:lang w:val="en-US" w:eastAsia="zh-CN" w:bidi="ar"/>
                    </w:rPr>
                    <w:t>包号</w:t>
                  </w:r>
                </w:p>
              </w:tc>
              <w:tc>
                <w:tcPr>
                  <w:tcW w:w="1824" w:type="dxa"/>
                  <w:vAlign w:val="center"/>
                </w:tcPr>
                <w:p w14:paraId="334359A5">
                  <w:pPr>
                    <w:keepNext w:val="0"/>
                    <w:keepLines w:val="0"/>
                    <w:widowControl/>
                    <w:suppressLineNumbers w:val="0"/>
                    <w:jc w:val="center"/>
                    <w:rPr>
                      <w:rFonts w:hint="eastAsia" w:ascii="宋体" w:hAnsi="宋体" w:eastAsia="宋体" w:cs="宋体"/>
                      <w:color w:val="auto"/>
                      <w:kern w:val="0"/>
                      <w:sz w:val="24"/>
                      <w:szCs w:val="24"/>
                      <w:highlight w:val="none"/>
                      <w:vertAlign w:val="baseline"/>
                      <w:lang w:val="en-US" w:eastAsia="zh-CN" w:bidi="ar"/>
                    </w:rPr>
                  </w:pPr>
                  <w:r>
                    <w:rPr>
                      <w:rFonts w:hint="eastAsia" w:ascii="宋体" w:hAnsi="宋体" w:eastAsia="宋体" w:cs="宋体"/>
                      <w:color w:val="auto"/>
                      <w:kern w:val="0"/>
                      <w:sz w:val="24"/>
                      <w:szCs w:val="24"/>
                      <w:highlight w:val="none"/>
                      <w:lang w:val="en-US" w:eastAsia="zh-CN" w:bidi="ar"/>
                    </w:rPr>
                    <w:t>标的名称</w:t>
                  </w:r>
                </w:p>
              </w:tc>
              <w:tc>
                <w:tcPr>
                  <w:tcW w:w="3245" w:type="dxa"/>
                  <w:vAlign w:val="center"/>
                </w:tcPr>
                <w:p w14:paraId="6E9115BA">
                  <w:pPr>
                    <w:keepNext w:val="0"/>
                    <w:keepLines w:val="0"/>
                    <w:widowControl/>
                    <w:suppressLineNumbers w:val="0"/>
                    <w:jc w:val="center"/>
                    <w:rPr>
                      <w:rFonts w:hint="eastAsia" w:ascii="宋体" w:hAnsi="宋体" w:eastAsia="宋体" w:cs="宋体"/>
                      <w:color w:val="auto"/>
                      <w:kern w:val="0"/>
                      <w:sz w:val="24"/>
                      <w:szCs w:val="24"/>
                      <w:highlight w:val="none"/>
                      <w:vertAlign w:val="baseline"/>
                      <w:lang w:val="en-US" w:eastAsia="zh-CN" w:bidi="ar"/>
                    </w:rPr>
                  </w:pPr>
                  <w:r>
                    <w:rPr>
                      <w:rFonts w:hint="eastAsia" w:ascii="宋体" w:hAnsi="宋体" w:eastAsia="宋体" w:cs="宋体"/>
                      <w:color w:val="auto"/>
                      <w:kern w:val="0"/>
                      <w:sz w:val="24"/>
                      <w:szCs w:val="24"/>
                      <w:highlight w:val="none"/>
                      <w:lang w:val="en-US" w:eastAsia="zh-CN" w:bidi="ar"/>
                    </w:rPr>
                    <w:t>中小企业划分标准所属行业</w:t>
                  </w:r>
                </w:p>
              </w:tc>
            </w:tr>
            <w:tr w14:paraId="123944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1" w:hRule="atLeast"/>
              </w:trPr>
              <w:tc>
                <w:tcPr>
                  <w:tcW w:w="1087" w:type="dxa"/>
                  <w:vAlign w:val="center"/>
                </w:tcPr>
                <w:p w14:paraId="0F8AAE75">
                  <w:pPr>
                    <w:keepNext w:val="0"/>
                    <w:keepLines w:val="0"/>
                    <w:widowControl/>
                    <w:suppressLineNumbers w:val="0"/>
                    <w:jc w:val="center"/>
                    <w:rPr>
                      <w:rFonts w:hint="eastAsia" w:ascii="宋体" w:hAnsi="宋体" w:eastAsia="宋体" w:cs="宋体"/>
                      <w:color w:val="auto"/>
                      <w:kern w:val="0"/>
                      <w:sz w:val="24"/>
                      <w:szCs w:val="24"/>
                      <w:highlight w:val="none"/>
                      <w:vertAlign w:val="baseline"/>
                      <w:lang w:val="en-US" w:eastAsia="zh-CN" w:bidi="ar"/>
                    </w:rPr>
                  </w:pPr>
                  <w:r>
                    <w:rPr>
                      <w:rFonts w:hint="eastAsia" w:ascii="宋体" w:hAnsi="宋体" w:eastAsia="宋体" w:cs="宋体"/>
                      <w:color w:val="auto"/>
                      <w:kern w:val="0"/>
                      <w:sz w:val="24"/>
                      <w:szCs w:val="24"/>
                      <w:highlight w:val="none"/>
                      <w:vertAlign w:val="baseline"/>
                      <w:lang w:val="en-US" w:eastAsia="zh-CN" w:bidi="ar"/>
                    </w:rPr>
                    <w:t>第</w:t>
                  </w:r>
                  <w:r>
                    <w:rPr>
                      <w:rFonts w:hint="eastAsia" w:cs="宋体"/>
                      <w:color w:val="auto"/>
                      <w:kern w:val="0"/>
                      <w:sz w:val="24"/>
                      <w:szCs w:val="24"/>
                      <w:highlight w:val="none"/>
                      <w:vertAlign w:val="baseline"/>
                      <w:lang w:val="en-US" w:eastAsia="zh-CN" w:bidi="ar"/>
                    </w:rPr>
                    <w:t>1</w:t>
                  </w:r>
                  <w:r>
                    <w:rPr>
                      <w:rFonts w:hint="eastAsia" w:ascii="宋体" w:hAnsi="宋体" w:eastAsia="宋体" w:cs="宋体"/>
                      <w:color w:val="auto"/>
                      <w:kern w:val="0"/>
                      <w:sz w:val="24"/>
                      <w:szCs w:val="24"/>
                      <w:highlight w:val="none"/>
                      <w:vertAlign w:val="baseline"/>
                      <w:lang w:val="en-US" w:eastAsia="zh-CN" w:bidi="ar"/>
                    </w:rPr>
                    <w:t>包</w:t>
                  </w:r>
                </w:p>
              </w:tc>
              <w:tc>
                <w:tcPr>
                  <w:tcW w:w="1824" w:type="dxa"/>
                  <w:vAlign w:val="center"/>
                </w:tcPr>
                <w:p w14:paraId="1C0A0773">
                  <w:pPr>
                    <w:keepNext w:val="0"/>
                    <w:keepLines w:val="0"/>
                    <w:widowControl/>
                    <w:suppressLineNumbers w:val="0"/>
                    <w:jc w:val="center"/>
                    <w:rPr>
                      <w:rFonts w:hint="default"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详见第五章货物需求</w:t>
                  </w:r>
                </w:p>
              </w:tc>
              <w:tc>
                <w:tcPr>
                  <w:tcW w:w="3245" w:type="dxa"/>
                  <w:vAlign w:val="center"/>
                </w:tcPr>
                <w:p w14:paraId="22AB6EE5">
                  <w:pPr>
                    <w:keepNext w:val="0"/>
                    <w:keepLines w:val="0"/>
                    <w:widowControl/>
                    <w:suppressLineNumbers w:val="0"/>
                    <w:jc w:val="center"/>
                    <w:rPr>
                      <w:rFonts w:hint="default" w:ascii="宋体" w:hAnsi="宋体" w:eastAsia="宋体" w:cs="宋体"/>
                      <w:color w:val="auto"/>
                      <w:kern w:val="0"/>
                      <w:sz w:val="24"/>
                      <w:szCs w:val="24"/>
                      <w:highlight w:val="none"/>
                      <w:vertAlign w:val="baseline"/>
                      <w:lang w:val="en-US" w:eastAsia="zh-CN" w:bidi="ar"/>
                    </w:rPr>
                  </w:pPr>
                  <w:r>
                    <w:rPr>
                      <w:rFonts w:hint="default" w:ascii="宋体" w:hAnsi="宋体" w:eastAsia="宋体" w:cs="宋体"/>
                      <w:color w:val="auto"/>
                      <w:kern w:val="0"/>
                      <w:sz w:val="24"/>
                      <w:szCs w:val="24"/>
                      <w:highlight w:val="none"/>
                      <w:vertAlign w:val="baseline"/>
                      <w:lang w:val="en-US" w:eastAsia="zh-CN" w:bidi="ar"/>
                    </w:rPr>
                    <w:t>软件和信息技术服务业</w:t>
                  </w:r>
                </w:p>
              </w:tc>
            </w:tr>
          </w:tbl>
          <w:p w14:paraId="5AB06B2F">
            <w:pPr>
              <w:pStyle w:val="224"/>
              <w:rPr>
                <w:rFonts w:hint="default" w:ascii="宋体" w:hAnsi="宋体" w:eastAsia="宋体" w:cs="宋体"/>
                <w:color w:val="auto"/>
                <w:sz w:val="24"/>
                <w:szCs w:val="24"/>
                <w:highlight w:val="none"/>
                <w:lang w:val="en-US" w:eastAsia="zh-CN"/>
              </w:rPr>
            </w:pPr>
            <w:r>
              <w:rPr>
                <w:rFonts w:hint="eastAsia" w:cs="宋体"/>
                <w:color w:val="auto"/>
                <w:sz w:val="24"/>
                <w:szCs w:val="24"/>
                <w:highlight w:val="none"/>
                <w:lang w:val="en-US" w:eastAsia="zh-CN"/>
              </w:rPr>
              <w:t>注：按采购需求清单采购标的逐项列举。</w:t>
            </w:r>
          </w:p>
        </w:tc>
      </w:tr>
      <w:tr w14:paraId="2BD0113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925" w:hRule="atLeast"/>
        </w:trPr>
        <w:tc>
          <w:tcPr>
            <w:tcW w:w="970" w:type="dxa"/>
            <w:shd w:val="clear" w:color="auto" w:fill="auto"/>
            <w:vAlign w:val="center"/>
          </w:tcPr>
          <w:p w14:paraId="18792692">
            <w:pPr>
              <w:pStyle w:val="224"/>
              <w:jc w:val="center"/>
              <w:rPr>
                <w:rFonts w:hint="default" w:ascii="宋体" w:hAnsi="宋体" w:eastAsia="宋体" w:cs="宋体"/>
                <w:color w:val="auto"/>
                <w:kern w:val="2"/>
                <w:sz w:val="24"/>
                <w:szCs w:val="24"/>
                <w:highlight w:val="none"/>
                <w:lang w:val="en-US" w:eastAsia="zh-CN" w:bidi="ar-SA"/>
              </w:rPr>
            </w:pPr>
            <w:r>
              <w:rPr>
                <w:rFonts w:hint="eastAsia" w:cs="宋体"/>
                <w:color w:val="auto"/>
                <w:kern w:val="2"/>
                <w:sz w:val="24"/>
                <w:szCs w:val="24"/>
                <w:highlight w:val="none"/>
                <w:lang w:val="en-US" w:eastAsia="zh-CN" w:bidi="ar-SA"/>
              </w:rPr>
              <w:t>23</w:t>
            </w:r>
          </w:p>
        </w:tc>
        <w:tc>
          <w:tcPr>
            <w:tcW w:w="1738" w:type="dxa"/>
            <w:shd w:val="clear" w:color="auto" w:fill="auto"/>
            <w:vAlign w:val="center"/>
          </w:tcPr>
          <w:p w14:paraId="69CF29E9">
            <w:pPr>
              <w:pStyle w:val="224"/>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优先采购创新节能环保产品</w:t>
            </w:r>
          </w:p>
        </w:tc>
        <w:tc>
          <w:tcPr>
            <w:tcW w:w="6700" w:type="dxa"/>
            <w:shd w:val="clear" w:color="auto" w:fill="auto"/>
            <w:vAlign w:val="center"/>
          </w:tcPr>
          <w:p w14:paraId="0F1CFFAB">
            <w:pPr>
              <w:pStyle w:val="22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所投产品纳入创新产品应用示范推荐目录内企业、所投产品获得节能产品或环境标志产品认证证书的企业报价给予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cs="宋体"/>
                <w:color w:val="auto"/>
                <w:sz w:val="24"/>
                <w:szCs w:val="24"/>
                <w:highlight w:val="none"/>
                <w:u w:val="single"/>
                <w:lang w:val="en-US" w:eastAsia="zh-CN"/>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的价格扣除。</w:t>
            </w:r>
          </w:p>
          <w:p w14:paraId="0BD977A1">
            <w:pPr>
              <w:pStyle w:val="224"/>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按国家有关节能产品、环境标志产品政策执行：</w:t>
            </w:r>
          </w:p>
          <w:p w14:paraId="00FDFD7F">
            <w:pPr>
              <w:pStyle w:val="224"/>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（1）政府优先采购列入《节能产品政府采购清单》中的产品以及《环境标志产品政府采购清单》中的产品，对于同时列入环保清单和“节能产品政府采购清单”的产品，优先于只获得节能产品认证的产品。</w:t>
            </w:r>
          </w:p>
          <w:p w14:paraId="17FC6BEA">
            <w:pPr>
              <w:pStyle w:val="224"/>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（2）未列入节能清单的产品不属于政府优先采购和强制采购的范围。</w:t>
            </w:r>
          </w:p>
          <w:p w14:paraId="5DD0E475">
            <w:pPr>
              <w:pStyle w:val="224"/>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（3）未列入环保清单的产品不属于政府优先采购的环境标志产品范围。</w:t>
            </w:r>
          </w:p>
          <w:p w14:paraId="13E07D70">
            <w:pPr>
              <w:pStyle w:val="224"/>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w:t>
            </w:r>
            <w:r>
              <w:rPr>
                <w:rFonts w:hint="eastAsia" w:ascii="宋体" w:hAnsi="宋体" w:eastAsia="宋体" w:cs="宋体"/>
                <w:b/>
                <w:bCs/>
                <w:color w:val="auto"/>
                <w:sz w:val="24"/>
                <w:szCs w:val="24"/>
                <w:highlight w:val="none"/>
                <w:lang w:val="en-US" w:eastAsia="zh-CN"/>
              </w:rPr>
              <w:t>产品型号必须在《节能产品政府采购清单》《环保产品政府采购清单》中。且供应商应提供所投产品清单所在页（从发布以上清单目录的权威媒体网站上下载的网页公告、目录清单、证书等）并加盖单位公章作为响应文件的一部分一并提交</w:t>
            </w:r>
            <w:r>
              <w:rPr>
                <w:rFonts w:hint="eastAsia" w:ascii="宋体" w:hAnsi="宋体" w:eastAsia="宋体" w:cs="宋体"/>
                <w:color w:val="auto"/>
                <w:sz w:val="24"/>
                <w:szCs w:val="24"/>
                <w:highlight w:val="none"/>
                <w:lang w:val="en-US" w:eastAsia="zh-CN"/>
              </w:rPr>
              <w:t>。</w:t>
            </w:r>
          </w:p>
        </w:tc>
      </w:tr>
      <w:tr w14:paraId="48C9FD1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999" w:hRule="atLeast"/>
        </w:trPr>
        <w:tc>
          <w:tcPr>
            <w:tcW w:w="970" w:type="dxa"/>
            <w:tcBorders>
              <w:right w:val="single" w:color="auto" w:sz="4" w:space="0"/>
            </w:tcBorders>
            <w:vAlign w:val="center"/>
          </w:tcPr>
          <w:p w14:paraId="59449E7E">
            <w:pPr>
              <w:pStyle w:val="224"/>
              <w:jc w:val="center"/>
              <w:rPr>
                <w:rFonts w:hint="default" w:ascii="宋体" w:hAnsi="宋体" w:eastAsia="宋体" w:cs="宋体"/>
                <w:color w:val="auto"/>
                <w:sz w:val="24"/>
                <w:szCs w:val="24"/>
                <w:highlight w:val="none"/>
                <w:lang w:val="en-US" w:eastAsia="zh-CN"/>
              </w:rPr>
            </w:pPr>
            <w:r>
              <w:rPr>
                <w:rFonts w:hint="eastAsia" w:cs="宋体"/>
                <w:color w:val="auto"/>
                <w:sz w:val="24"/>
                <w:szCs w:val="24"/>
                <w:highlight w:val="none"/>
                <w:lang w:val="en-US" w:eastAsia="zh-CN"/>
              </w:rPr>
              <w:t>24</w:t>
            </w:r>
          </w:p>
        </w:tc>
        <w:tc>
          <w:tcPr>
            <w:tcW w:w="1738" w:type="dxa"/>
            <w:tcBorders>
              <w:right w:val="single" w:color="auto" w:sz="4" w:space="0"/>
            </w:tcBorders>
            <w:vAlign w:val="center"/>
          </w:tcPr>
          <w:p w14:paraId="7068A1E1">
            <w:pPr>
              <w:pStyle w:val="22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需要补充的其他内容</w:t>
            </w:r>
          </w:p>
        </w:tc>
        <w:tc>
          <w:tcPr>
            <w:tcW w:w="6700" w:type="dxa"/>
            <w:tcBorders>
              <w:left w:val="single" w:color="auto" w:sz="4" w:space="0"/>
            </w:tcBorders>
            <w:vAlign w:val="center"/>
          </w:tcPr>
          <w:p w14:paraId="090ABA4B">
            <w:pPr>
              <w:spacing w:line="360" w:lineRule="auto"/>
              <w:rPr>
                <w:rFonts w:hint="eastAsia" w:ascii="宋体" w:hAnsi="宋体" w:cs="宋体"/>
                <w:b w:val="0"/>
                <w:bCs w:val="0"/>
                <w:color w:val="auto"/>
                <w:sz w:val="24"/>
              </w:rPr>
            </w:pPr>
            <w:r>
              <w:rPr>
                <w:rFonts w:hint="eastAsia" w:cs="宋体"/>
                <w:b/>
                <w:bCs/>
                <w:color w:val="auto"/>
                <w:sz w:val="24"/>
                <w:lang w:val="en-US" w:eastAsia="zh-CN"/>
              </w:rPr>
              <w:t>1、</w:t>
            </w:r>
            <w:r>
              <w:rPr>
                <w:rFonts w:hint="eastAsia" w:ascii="宋体" w:hAnsi="宋体" w:cs="宋体"/>
                <w:b/>
                <w:bCs/>
                <w:color w:val="auto"/>
                <w:sz w:val="24"/>
              </w:rPr>
              <w:t>质量要求/质保期：</w:t>
            </w:r>
            <w:r>
              <w:rPr>
                <w:rFonts w:hint="eastAsia" w:ascii="宋体" w:hAnsi="宋体" w:cs="宋体"/>
                <w:b w:val="0"/>
                <w:bCs w:val="0"/>
                <w:color w:val="auto"/>
                <w:sz w:val="24"/>
              </w:rPr>
              <w:t>自验收通过之日起，中标供应商提供所投产品和服务原厂商3年免费质保。</w:t>
            </w:r>
          </w:p>
          <w:p w14:paraId="0AA36BAC">
            <w:pPr>
              <w:spacing w:line="360" w:lineRule="auto"/>
              <w:rPr>
                <w:rFonts w:hint="eastAsia"/>
                <w:b w:val="0"/>
                <w:bCs w:val="0"/>
                <w:color w:val="auto"/>
              </w:rPr>
            </w:pPr>
            <w:r>
              <w:rPr>
                <w:rFonts w:hint="eastAsia" w:cs="宋体"/>
                <w:b/>
                <w:bCs/>
                <w:color w:val="auto"/>
                <w:sz w:val="24"/>
                <w:lang w:val="en-US" w:eastAsia="zh-CN"/>
              </w:rPr>
              <w:t>2、</w:t>
            </w:r>
            <w:r>
              <w:rPr>
                <w:rFonts w:hint="eastAsia" w:ascii="宋体" w:hAnsi="宋体" w:cs="宋体"/>
                <w:b/>
                <w:bCs/>
                <w:color w:val="auto"/>
                <w:sz w:val="24"/>
              </w:rPr>
              <w:t>服务要求或标准：</w:t>
            </w:r>
            <w:r>
              <w:rPr>
                <w:rFonts w:hint="eastAsia" w:ascii="宋体" w:hAnsi="宋体" w:cs="宋体"/>
                <w:b w:val="0"/>
                <w:bCs w:val="0"/>
                <w:color w:val="auto"/>
                <w:sz w:val="24"/>
              </w:rPr>
              <w:t>免费维护期内的7天*24小时的售后服务，在接到用户故障报告后响应时间不超过2小时。</w:t>
            </w:r>
          </w:p>
          <w:p w14:paraId="36A28857">
            <w:pPr>
              <w:spacing w:line="360" w:lineRule="auto"/>
              <w:rPr>
                <w:rFonts w:hint="eastAsia" w:ascii="宋体" w:hAnsi="宋体" w:cs="宋体"/>
                <w:b w:val="0"/>
                <w:bCs w:val="0"/>
                <w:color w:val="auto"/>
                <w:sz w:val="24"/>
              </w:rPr>
            </w:pPr>
            <w:r>
              <w:rPr>
                <w:rFonts w:hint="eastAsia" w:cs="宋体"/>
                <w:b/>
                <w:bCs/>
                <w:color w:val="auto"/>
                <w:sz w:val="24"/>
                <w:lang w:val="en-US" w:eastAsia="zh-CN"/>
              </w:rPr>
              <w:t>3、</w:t>
            </w:r>
            <w:r>
              <w:rPr>
                <w:rFonts w:hint="eastAsia" w:ascii="宋体" w:hAnsi="宋体" w:cs="宋体"/>
                <w:b/>
                <w:bCs/>
                <w:color w:val="auto"/>
                <w:sz w:val="24"/>
              </w:rPr>
              <w:t>合同工期/服务期限/供货期限：</w:t>
            </w:r>
            <w:r>
              <w:rPr>
                <w:rFonts w:hint="eastAsia" w:ascii="宋体" w:hAnsi="宋体" w:cs="宋体"/>
                <w:b w:val="0"/>
                <w:bCs w:val="0"/>
                <w:color w:val="auto"/>
                <w:sz w:val="24"/>
              </w:rPr>
              <w:t>自合同签订之日起</w:t>
            </w:r>
            <w:r>
              <w:rPr>
                <w:rFonts w:hint="eastAsia" w:ascii="宋体" w:hAnsi="宋体" w:cs="宋体"/>
                <w:b w:val="0"/>
                <w:bCs w:val="0"/>
                <w:color w:val="auto"/>
                <w:sz w:val="24"/>
                <w:u w:val="single"/>
              </w:rPr>
              <w:t>30</w:t>
            </w:r>
            <w:r>
              <w:rPr>
                <w:rFonts w:hint="eastAsia" w:ascii="宋体" w:hAnsi="宋体" w:cs="宋体"/>
                <w:b w:val="0"/>
                <w:bCs w:val="0"/>
                <w:color w:val="auto"/>
                <w:sz w:val="24"/>
              </w:rPr>
              <w:t>日历日内交货并完成安装调试。</w:t>
            </w:r>
          </w:p>
          <w:p w14:paraId="1B8F7157">
            <w:pPr>
              <w:spacing w:line="360" w:lineRule="auto"/>
              <w:rPr>
                <w:rFonts w:hint="eastAsia" w:ascii="宋体" w:hAnsi="宋体" w:cs="宋体"/>
                <w:b w:val="0"/>
                <w:bCs w:val="0"/>
                <w:color w:val="auto"/>
                <w:sz w:val="24"/>
              </w:rPr>
            </w:pPr>
            <w:r>
              <w:rPr>
                <w:rFonts w:hint="eastAsia" w:cs="宋体"/>
                <w:b/>
                <w:bCs/>
                <w:color w:val="auto"/>
                <w:sz w:val="24"/>
                <w:lang w:val="en-US" w:eastAsia="zh-CN"/>
              </w:rPr>
              <w:t>4、</w:t>
            </w:r>
            <w:r>
              <w:rPr>
                <w:rFonts w:hint="eastAsia" w:ascii="宋体" w:hAnsi="宋体" w:cs="宋体"/>
                <w:b/>
                <w:bCs/>
                <w:color w:val="auto"/>
                <w:sz w:val="24"/>
              </w:rPr>
              <w:t>安装地点：</w:t>
            </w:r>
            <w:r>
              <w:rPr>
                <w:rFonts w:hint="eastAsia" w:ascii="宋体" w:hAnsi="宋体" w:cs="宋体"/>
                <w:b w:val="0"/>
                <w:bCs w:val="0"/>
                <w:color w:val="auto"/>
                <w:sz w:val="24"/>
              </w:rPr>
              <w:t>采购人指定。</w:t>
            </w:r>
          </w:p>
          <w:p w14:paraId="36705D19">
            <w:pPr>
              <w:spacing w:line="360" w:lineRule="auto"/>
              <w:rPr>
                <w:rFonts w:hint="eastAsia" w:ascii="宋体" w:hAnsi="宋体" w:cs="宋体"/>
                <w:color w:val="auto"/>
                <w:sz w:val="24"/>
              </w:rPr>
            </w:pPr>
            <w:r>
              <w:rPr>
                <w:rFonts w:hint="eastAsia" w:cs="宋体"/>
                <w:b/>
                <w:bCs/>
                <w:color w:val="auto"/>
                <w:sz w:val="24"/>
                <w:lang w:val="en-US" w:eastAsia="zh-CN"/>
              </w:rPr>
              <w:t>5、</w:t>
            </w:r>
            <w:r>
              <w:rPr>
                <w:rFonts w:hint="eastAsia" w:ascii="宋体" w:hAnsi="宋体" w:cs="宋体"/>
                <w:b/>
                <w:bCs/>
                <w:color w:val="auto"/>
                <w:sz w:val="24"/>
              </w:rPr>
              <w:t>售后标准：</w:t>
            </w:r>
            <w:r>
              <w:rPr>
                <w:rFonts w:hint="eastAsia" w:ascii="宋体" w:hAnsi="宋体" w:cs="宋体"/>
                <w:b w:val="0"/>
                <w:bCs w:val="0"/>
                <w:color w:val="auto"/>
                <w:sz w:val="24"/>
              </w:rPr>
              <w:t>提供3年的免费运维服务；在免费运维期内，必须提供7*24小时热线支持，并提供紧急情况下1小时内到现场、一般情况下2小时内到现场的快速响应。特殊情况无法修复的，质保期内中标供应商应无条件更换新系统或采取使系统可正常运转的措施。</w:t>
            </w:r>
          </w:p>
          <w:p w14:paraId="42480A23">
            <w:pPr>
              <w:pStyle w:val="224"/>
              <w:numPr>
                <w:ilvl w:val="0"/>
                <w:numId w:val="0"/>
              </w:numPr>
              <w:rPr>
                <w:rFonts w:hint="eastAsia" w:ascii="宋体" w:hAnsi="宋体" w:eastAsia="宋体" w:cs="宋体"/>
                <w:i w:val="0"/>
                <w:iCs w:val="0"/>
                <w:color w:val="auto"/>
                <w:sz w:val="24"/>
                <w:szCs w:val="24"/>
                <w:highlight w:val="none"/>
              </w:rPr>
            </w:pPr>
            <w:r>
              <w:rPr>
                <w:rFonts w:hint="eastAsia" w:cs="宋体"/>
                <w:b/>
                <w:bCs/>
                <w:color w:val="auto"/>
                <w:sz w:val="24"/>
                <w:lang w:val="en-US" w:eastAsia="zh-CN"/>
              </w:rPr>
              <w:t>6、</w:t>
            </w:r>
            <w:r>
              <w:rPr>
                <w:rFonts w:hint="eastAsia" w:ascii="宋体" w:hAnsi="宋体" w:cs="宋体"/>
                <w:b/>
                <w:bCs/>
                <w:color w:val="auto"/>
                <w:sz w:val="24"/>
              </w:rPr>
              <w:t>付款方式：</w:t>
            </w:r>
            <w:r>
              <w:rPr>
                <w:rFonts w:hint="eastAsia" w:ascii="宋体" w:hAnsi="宋体" w:cs="宋体"/>
                <w:b w:val="0"/>
                <w:bCs w:val="0"/>
                <w:color w:val="auto"/>
                <w:sz w:val="24"/>
              </w:rPr>
              <w:t>合同签订后，供货方先向采购方开具符合采购方财务需要的等额增值税普通发票。甲方收到上述发票后，向供货方支付 50%合同额。系统和各类设施设备到货、</w:t>
            </w:r>
            <w:r>
              <w:rPr>
                <w:rFonts w:hint="eastAsia" w:cs="宋体"/>
                <w:b w:val="0"/>
                <w:bCs w:val="0"/>
                <w:color w:val="auto"/>
                <w:sz w:val="24"/>
                <w:lang w:val="en-US" w:eastAsia="zh-CN"/>
              </w:rPr>
              <w:t>安装</w:t>
            </w:r>
            <w:r>
              <w:rPr>
                <w:rFonts w:hint="eastAsia" w:ascii="宋体" w:hAnsi="宋体" w:cs="宋体"/>
                <w:b w:val="0"/>
                <w:bCs w:val="0"/>
                <w:color w:val="auto"/>
                <w:sz w:val="24"/>
              </w:rPr>
              <w:t>调试完毕并验收合格，经采购方确认能够正常使用且内容、质量无误之后，支付剩余合同金额50%。</w:t>
            </w:r>
          </w:p>
          <w:p w14:paraId="76DC7738">
            <w:pPr>
              <w:pStyle w:val="224"/>
              <w:numPr>
                <w:ilvl w:val="0"/>
                <w:numId w:val="0"/>
              </w:numPr>
              <w:rPr>
                <w:rFonts w:hint="eastAsia" w:ascii="宋体" w:hAnsi="宋体" w:eastAsia="宋体" w:cs="宋体"/>
                <w:color w:val="auto"/>
                <w:sz w:val="24"/>
                <w:szCs w:val="24"/>
                <w:highlight w:val="none"/>
                <w:lang w:eastAsia="zh-CN"/>
              </w:rPr>
            </w:pPr>
            <w:r>
              <w:rPr>
                <w:rFonts w:hint="eastAsia" w:cs="宋体"/>
                <w:color w:val="auto"/>
                <w:sz w:val="24"/>
                <w:szCs w:val="24"/>
                <w:highlight w:val="none"/>
                <w:lang w:val="en-US" w:eastAsia="zh-CN"/>
              </w:rPr>
              <w:t>7、</w:t>
            </w:r>
            <w:r>
              <w:rPr>
                <w:rFonts w:ascii="宋体" w:hAnsi="宋体" w:eastAsia="宋体" w:cs="宋体"/>
                <w:color w:val="auto"/>
                <w:sz w:val="24"/>
                <w:szCs w:val="24"/>
                <w:highlight w:val="none"/>
              </w:rPr>
              <w:t>（1）中标</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成交</w:t>
            </w:r>
            <w:r>
              <w:rPr>
                <w:rFonts w:hint="eastAsia" w:ascii="宋体" w:hAnsi="宋体" w:eastAsia="宋体" w:cs="宋体"/>
                <w:color w:val="auto"/>
                <w:sz w:val="24"/>
                <w:szCs w:val="24"/>
                <w:highlight w:val="none"/>
                <w:lang w:eastAsia="zh-CN"/>
              </w:rPr>
              <w:t>）</w:t>
            </w:r>
            <w:r>
              <w:rPr>
                <w:rFonts w:ascii="宋体" w:hAnsi="宋体" w:eastAsia="宋体" w:cs="宋体"/>
                <w:color w:val="auto"/>
                <w:sz w:val="24"/>
                <w:szCs w:val="24"/>
                <w:highlight w:val="none"/>
              </w:rPr>
              <w:t>供应商在领取中标通知书前需要将纸质版</w:t>
            </w:r>
            <w:r>
              <w:rPr>
                <w:rFonts w:hint="eastAsia" w:ascii="宋体" w:hAnsi="宋体" w:eastAsia="宋体" w:cs="宋体"/>
                <w:color w:val="auto"/>
                <w:sz w:val="24"/>
                <w:szCs w:val="24"/>
                <w:highlight w:val="none"/>
                <w:lang w:val="en-US" w:eastAsia="zh-CN"/>
              </w:rPr>
              <w:t>投标（响应）</w:t>
            </w:r>
            <w:r>
              <w:rPr>
                <w:rFonts w:ascii="宋体" w:hAnsi="宋体" w:eastAsia="宋体" w:cs="宋体"/>
                <w:color w:val="auto"/>
                <w:sz w:val="24"/>
                <w:szCs w:val="24"/>
                <w:highlight w:val="none"/>
              </w:rPr>
              <w:t>交至代理机构处存档（正本1份，副本2份，签章齐全，建议双面打印）。如方便可以采取当面递交的方式，也可采用邮寄的方式，邮寄地址联系代理机构。（2）中中标</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成交</w:t>
            </w:r>
            <w:r>
              <w:rPr>
                <w:rFonts w:hint="eastAsia" w:ascii="宋体" w:hAnsi="宋体" w:eastAsia="宋体" w:cs="宋体"/>
                <w:color w:val="auto"/>
                <w:sz w:val="24"/>
                <w:szCs w:val="24"/>
                <w:highlight w:val="none"/>
                <w:lang w:eastAsia="zh-CN"/>
              </w:rPr>
              <w:t>）</w:t>
            </w:r>
            <w:r>
              <w:rPr>
                <w:rFonts w:ascii="宋体" w:hAnsi="宋体" w:eastAsia="宋体" w:cs="宋体"/>
                <w:color w:val="auto"/>
                <w:sz w:val="24"/>
                <w:szCs w:val="24"/>
                <w:highlight w:val="none"/>
              </w:rPr>
              <w:t>供应商提供的</w:t>
            </w:r>
            <w:r>
              <w:rPr>
                <w:rFonts w:hint="eastAsia" w:ascii="宋体" w:hAnsi="宋体" w:eastAsia="宋体" w:cs="宋体"/>
                <w:color w:val="auto"/>
                <w:sz w:val="24"/>
                <w:szCs w:val="24"/>
                <w:highlight w:val="none"/>
                <w:lang w:val="en-US" w:eastAsia="zh-CN"/>
              </w:rPr>
              <w:t>投标（响应）</w:t>
            </w:r>
            <w:r>
              <w:rPr>
                <w:rFonts w:ascii="宋体" w:hAnsi="宋体" w:eastAsia="宋体" w:cs="宋体"/>
                <w:color w:val="auto"/>
                <w:sz w:val="24"/>
                <w:szCs w:val="24"/>
                <w:highlight w:val="none"/>
              </w:rPr>
              <w:t>应将大小不一的文件材料用折叠的办法整理成A4纸面大小，左、下侧分别对齐，采用胶装（文件材料包括供应商所递交的所有资料，如</w:t>
            </w:r>
            <w:r>
              <w:rPr>
                <w:rFonts w:hint="eastAsia" w:ascii="宋体" w:hAnsi="宋体" w:eastAsia="宋体" w:cs="宋体"/>
                <w:color w:val="auto"/>
                <w:sz w:val="24"/>
                <w:szCs w:val="24"/>
                <w:highlight w:val="none"/>
                <w:lang w:val="en-US" w:eastAsia="zh-CN"/>
              </w:rPr>
              <w:t>投标（响应）</w:t>
            </w:r>
            <w:r>
              <w:rPr>
                <w:rFonts w:ascii="宋体" w:hAnsi="宋体" w:eastAsia="宋体" w:cs="宋体"/>
                <w:color w:val="auto"/>
                <w:sz w:val="24"/>
                <w:szCs w:val="24"/>
                <w:highlight w:val="none"/>
              </w:rPr>
              <w:t>文件、图纸等），装订应 牢固、不易拆散和换页，不得采用活页装订。</w:t>
            </w:r>
          </w:p>
        </w:tc>
      </w:tr>
      <w:tr w14:paraId="03F3FF3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999" w:hRule="atLeast"/>
        </w:trPr>
        <w:tc>
          <w:tcPr>
            <w:tcW w:w="970" w:type="dxa"/>
            <w:tcBorders>
              <w:right w:val="single" w:color="auto" w:sz="4" w:space="0"/>
            </w:tcBorders>
            <w:vAlign w:val="center"/>
          </w:tcPr>
          <w:p w14:paraId="467A6CBF">
            <w:pPr>
              <w:pStyle w:val="224"/>
              <w:jc w:val="center"/>
              <w:rPr>
                <w:rFonts w:hint="default" w:ascii="宋体" w:hAnsi="宋体" w:eastAsia="宋体" w:cs="宋体"/>
                <w:color w:val="auto"/>
                <w:sz w:val="24"/>
                <w:szCs w:val="24"/>
                <w:highlight w:val="none"/>
                <w:lang w:val="en-US" w:eastAsia="zh-CN"/>
              </w:rPr>
            </w:pPr>
            <w:r>
              <w:rPr>
                <w:rFonts w:hint="eastAsia" w:cs="宋体"/>
                <w:color w:val="auto"/>
                <w:sz w:val="24"/>
                <w:szCs w:val="24"/>
                <w:highlight w:val="none"/>
                <w:lang w:val="en-US" w:eastAsia="zh-CN"/>
              </w:rPr>
              <w:t>注意事项</w:t>
            </w:r>
          </w:p>
        </w:tc>
        <w:tc>
          <w:tcPr>
            <w:tcW w:w="8438" w:type="dxa"/>
            <w:gridSpan w:val="2"/>
            <w:vAlign w:val="center"/>
          </w:tcPr>
          <w:p w14:paraId="4A7817C7">
            <w:pPr>
              <w:pStyle w:val="224"/>
              <w:numPr>
                <w:ilvl w:val="0"/>
                <w:numId w:val="0"/>
              </w:num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、当出现下列情形之一，投标文件将予以退回：</w:t>
            </w:r>
          </w:p>
          <w:p w14:paraId="229247B5">
            <w:pPr>
              <w:pStyle w:val="224"/>
              <w:numPr>
                <w:ilvl w:val="0"/>
                <w:numId w:val="0"/>
              </w:num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（1）投标供应商在投标文件递交截止时间前未成功上传加密电子投标文件；</w:t>
            </w:r>
          </w:p>
          <w:p w14:paraId="113C1A46">
            <w:pPr>
              <w:pStyle w:val="224"/>
              <w:numPr>
                <w:ilvl w:val="0"/>
                <w:numId w:val="0"/>
              </w:num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（2）投标供应商使用解密的 CA 数字证书与上传加密投标文件使用的 CA 数字证书不一致；</w:t>
            </w:r>
          </w:p>
          <w:p w14:paraId="1117C499">
            <w:pPr>
              <w:pStyle w:val="224"/>
              <w:numPr>
                <w:ilvl w:val="0"/>
                <w:numId w:val="0"/>
              </w:num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（3）投标供应商解密时 CA 数字证书已过期，导致无法正常解密；</w:t>
            </w:r>
          </w:p>
          <w:p w14:paraId="5256DFC6">
            <w:pPr>
              <w:pStyle w:val="224"/>
              <w:numPr>
                <w:ilvl w:val="0"/>
                <w:numId w:val="0"/>
              </w:num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（4）加密投标文件时，CA 数字证书未过期，解密时，显示 CA 数字证书已过期，导致无法正常解密；</w:t>
            </w:r>
          </w:p>
          <w:p w14:paraId="41190E42">
            <w:pPr>
              <w:pStyle w:val="224"/>
              <w:numPr>
                <w:ilvl w:val="0"/>
                <w:numId w:val="0"/>
              </w:num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（5）未在规定的投标文件解密时间内进行解密的；</w:t>
            </w:r>
          </w:p>
          <w:p w14:paraId="6652EA60">
            <w:pPr>
              <w:pStyle w:val="224"/>
              <w:numPr>
                <w:ilvl w:val="0"/>
                <w:numId w:val="0"/>
              </w:num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（6）投标供应商个人原因导致无法解密的其他情形。</w:t>
            </w:r>
          </w:p>
          <w:p w14:paraId="583BF803">
            <w:pPr>
              <w:pStyle w:val="224"/>
              <w:numPr>
                <w:ilvl w:val="0"/>
                <w:numId w:val="0"/>
              </w:num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、投标供应商应在投标截止时间前将投标时使用的计算机安装相关的浏览器（推荐使用谷歌浏览器）、CA 驱动等软件，方便投标文件解密时能够正常解密。</w:t>
            </w:r>
          </w:p>
          <w:p w14:paraId="1C32E31F">
            <w:pPr>
              <w:pStyle w:val="224"/>
              <w:numPr>
                <w:ilvl w:val="0"/>
                <w:numId w:val="0"/>
              </w:num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、投标供应商需在投标截止时间前自行测试开标时使用的计算机，如因投标供应商自身原因导致投标文件解密失败的，由投标供应商自行承担相应后果。</w:t>
            </w:r>
          </w:p>
          <w:p w14:paraId="68A4B20C">
            <w:pPr>
              <w:pStyle w:val="224"/>
              <w:numPr>
                <w:ilvl w:val="0"/>
                <w:numId w:val="0"/>
              </w:num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、本次采购，供应商须按招标文件第二部分“供应商须知前附表”中第 7 项规定的内容提交资格审查资料、商务文件、技术文件和服务文件。并根据第六章“投标文件格式”中的全部内容进行投标文件的编制，在评标过程中若发现供应商的投标文件内容未按照招标文件编制，编制内容存在缺失或提供无效资料的，将导致投标被拒绝。所有资料均不允许在投标截止时间后补正。</w:t>
            </w:r>
          </w:p>
          <w:p w14:paraId="5EAFD522">
            <w:pPr>
              <w:pStyle w:val="224"/>
              <w:numPr>
                <w:ilvl w:val="0"/>
                <w:numId w:val="0"/>
              </w:numP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5、无论何种原因，在投标文件中未提供相应材料的，评标委员会将视同其未提</w:t>
            </w:r>
          </w:p>
          <w:p w14:paraId="3773F9C8">
            <w:pPr>
              <w:pStyle w:val="224"/>
              <w:numPr>
                <w:ilvl w:val="0"/>
                <w:numId w:val="0"/>
              </w:numP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供。</w:t>
            </w:r>
          </w:p>
          <w:p w14:paraId="5D772E65">
            <w:pPr>
              <w:pStyle w:val="224"/>
              <w:numPr>
                <w:ilvl w:val="0"/>
                <w:numId w:val="0"/>
              </w:numP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6、各供应商应在开标前应确保成为新疆政府采购网正式注册入库</w:t>
            </w:r>
          </w:p>
          <w:p w14:paraId="3CDF5A13">
            <w:pPr>
              <w:pStyle w:val="224"/>
              <w:numPr>
                <w:ilvl w:val="0"/>
                <w:numId w:val="0"/>
              </w:numP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供应商，并完成 CA 数字证书（符合国密标准）申领。如需咨询，请联系新疆 CA</w:t>
            </w:r>
          </w:p>
          <w:p w14:paraId="1611050A">
            <w:pPr>
              <w:pStyle w:val="224"/>
              <w:numPr>
                <w:ilvl w:val="0"/>
                <w:numId w:val="0"/>
              </w:numP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服务热线 0991-2819290；</w:t>
            </w:r>
          </w:p>
          <w:p w14:paraId="6EAC42E1">
            <w:pPr>
              <w:pStyle w:val="224"/>
              <w:numPr>
                <w:ilvl w:val="0"/>
                <w:numId w:val="0"/>
              </w:numP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3、供应商将政采云电子交易客户端下载、安装完成后，可通过账号密码或 CA登录客户端进行投标文件的制作。在使用政采云投标客户端时，建议使用 WIN7及以上操作系统。客户端请至新疆政府采购网下载专区查看，如有问题可拨打政采云客户服务热线 400-881-7190 进行咨询。</w:t>
            </w:r>
          </w:p>
          <w:p w14:paraId="16E5EE1C">
            <w:pPr>
              <w:pStyle w:val="224"/>
              <w:numPr>
                <w:ilvl w:val="0"/>
                <w:numId w:val="0"/>
              </w:numP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4、供应商首次参加政府采购活动的，可前往新疆政府采购网下载操作指南。</w:t>
            </w:r>
          </w:p>
        </w:tc>
      </w:tr>
      <w:tr w14:paraId="0C22694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9408" w:type="dxa"/>
            <w:gridSpan w:val="3"/>
            <w:vAlign w:val="center"/>
          </w:tcPr>
          <w:p w14:paraId="16CF3F9F">
            <w:pPr>
              <w:pStyle w:val="224"/>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备注:</w:t>
            </w:r>
          </w:p>
          <w:p w14:paraId="1ECD6A03">
            <w:pPr>
              <w:pStyle w:val="22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 除本招标文件另有规定外，招标文件中出现的类似于“近三年”或“前三年”、“近五年”或“前五年”均指递交投标文件</w:t>
            </w:r>
            <w:r>
              <w:rPr>
                <w:rFonts w:hint="eastAsia" w:ascii="宋体" w:hAnsi="宋体" w:eastAsia="宋体" w:cs="宋体"/>
                <w:color w:val="auto"/>
                <w:sz w:val="24"/>
                <w:szCs w:val="24"/>
                <w:highlight w:val="none"/>
                <w:lang w:val="en-US" w:eastAsia="zh-CN"/>
              </w:rPr>
              <w:t>截止</w:t>
            </w:r>
            <w:r>
              <w:rPr>
                <w:rFonts w:hint="eastAsia" w:ascii="宋体" w:hAnsi="宋体" w:eastAsia="宋体" w:cs="宋体"/>
                <w:color w:val="auto"/>
                <w:sz w:val="24"/>
                <w:szCs w:val="24"/>
                <w:highlight w:val="none"/>
              </w:rPr>
              <w:t>时间</w:t>
            </w:r>
            <w:r>
              <w:rPr>
                <w:rFonts w:hint="eastAsia" w:ascii="宋体" w:hAnsi="宋体" w:eastAsia="宋体" w:cs="宋体"/>
                <w:color w:val="auto"/>
                <w:sz w:val="24"/>
                <w:szCs w:val="24"/>
                <w:highlight w:val="none"/>
                <w:lang w:val="en-US" w:eastAsia="zh-CN"/>
              </w:rPr>
              <w:t>之</w:t>
            </w:r>
            <w:r>
              <w:rPr>
                <w:rFonts w:hint="eastAsia" w:ascii="宋体" w:hAnsi="宋体" w:eastAsia="宋体" w:cs="宋体"/>
                <w:color w:val="auto"/>
                <w:sz w:val="24"/>
                <w:szCs w:val="24"/>
                <w:highlight w:val="none"/>
              </w:rPr>
              <w:t>前三年或前五年，以此类推。</w:t>
            </w:r>
          </w:p>
          <w:p w14:paraId="6F66C892">
            <w:pPr>
              <w:pStyle w:val="22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 本招标文件所称的“以上”、“以下”、“内”、“以内”，包括本数；所称的“不足”，不包括本数。</w:t>
            </w:r>
          </w:p>
        </w:tc>
      </w:tr>
    </w:tbl>
    <w:p w14:paraId="3112EA9A">
      <w:pPr>
        <w:pStyle w:val="89"/>
        <w:wordWrap w:val="0"/>
        <w:spacing w:line="360" w:lineRule="auto"/>
        <w:jc w:val="center"/>
        <w:outlineLvl w:val="0"/>
        <w:rPr>
          <w:rFonts w:ascii="宋体" w:hAnsi="宋体" w:cs="宋体"/>
          <w:b/>
          <w:color w:val="auto"/>
          <w:sz w:val="36"/>
          <w:highlight w:val="none"/>
        </w:rPr>
      </w:pPr>
      <w:r>
        <w:rPr>
          <w:rFonts w:hint="eastAsia" w:ascii="宋体" w:hAnsi="宋体" w:cs="宋体"/>
          <w:b/>
          <w:color w:val="auto"/>
          <w:sz w:val="36"/>
          <w:highlight w:val="none"/>
        </w:rPr>
        <w:br w:type="page"/>
      </w:r>
      <w:bookmarkStart w:id="18" w:name="_Toc32744"/>
      <w:r>
        <w:rPr>
          <w:rFonts w:hint="eastAsia" w:ascii="宋体" w:hAnsi="宋体" w:cs="宋体"/>
          <w:b/>
          <w:color w:val="auto"/>
          <w:sz w:val="36"/>
          <w:highlight w:val="none"/>
        </w:rPr>
        <w:t>投标须知正文</w:t>
      </w:r>
      <w:bookmarkEnd w:id="18"/>
    </w:p>
    <w:p w14:paraId="02793B96">
      <w:pPr>
        <w:pStyle w:val="89"/>
        <w:wordWrap w:val="0"/>
        <w:spacing w:line="360" w:lineRule="auto"/>
        <w:jc w:val="center"/>
        <w:outlineLvl w:val="0"/>
        <w:rPr>
          <w:rFonts w:ascii="宋体" w:hAnsi="宋体" w:cs="宋体"/>
          <w:b/>
          <w:bCs/>
          <w:color w:val="auto"/>
          <w:sz w:val="32"/>
          <w:szCs w:val="32"/>
          <w:highlight w:val="none"/>
        </w:rPr>
      </w:pPr>
      <w:bookmarkStart w:id="19" w:name="_Toc26321"/>
      <w:r>
        <w:rPr>
          <w:rFonts w:hint="eastAsia" w:ascii="宋体" w:hAnsi="宋体" w:cs="宋体"/>
          <w:b/>
          <w:bCs/>
          <w:color w:val="auto"/>
          <w:sz w:val="32"/>
          <w:szCs w:val="32"/>
          <w:highlight w:val="none"/>
        </w:rPr>
        <w:t>一、总  则</w:t>
      </w:r>
      <w:bookmarkEnd w:id="19"/>
    </w:p>
    <w:p w14:paraId="2A1E35A1">
      <w:pPr>
        <w:wordWrap w:val="0"/>
        <w:adjustRightIn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1. 项目概况</w:t>
      </w:r>
    </w:p>
    <w:p w14:paraId="6B65AABF">
      <w:pPr>
        <w:pStyle w:val="89"/>
        <w:wordWrap w:val="0"/>
        <w:spacing w:line="360" w:lineRule="auto"/>
        <w:ind w:firstLine="420" w:firstLineChars="200"/>
        <w:jc w:val="both"/>
        <w:rPr>
          <w:rFonts w:ascii="宋体" w:hAnsi="宋体" w:cs="宋体"/>
          <w:color w:val="auto"/>
          <w:sz w:val="21"/>
          <w:szCs w:val="21"/>
          <w:highlight w:val="none"/>
        </w:rPr>
      </w:pPr>
      <w:r>
        <w:rPr>
          <w:rFonts w:hint="eastAsia" w:ascii="宋体" w:hAnsi="宋体" w:cs="宋体"/>
          <w:color w:val="auto"/>
          <w:sz w:val="21"/>
          <w:szCs w:val="21"/>
          <w:highlight w:val="none"/>
        </w:rPr>
        <w:t>1.1 项目名称：详见</w:t>
      </w:r>
      <w:r>
        <w:rPr>
          <w:rFonts w:hint="eastAsia" w:ascii="宋体" w:hAnsi="宋体" w:cs="宋体"/>
          <w:b/>
          <w:bCs/>
          <w:color w:val="auto"/>
          <w:sz w:val="21"/>
          <w:szCs w:val="21"/>
          <w:highlight w:val="none"/>
        </w:rPr>
        <w:t>投标须知前附表</w:t>
      </w:r>
      <w:r>
        <w:rPr>
          <w:rFonts w:hint="eastAsia" w:ascii="宋体" w:hAnsi="宋体" w:cs="宋体"/>
          <w:color w:val="auto"/>
          <w:sz w:val="21"/>
          <w:szCs w:val="21"/>
          <w:highlight w:val="none"/>
        </w:rPr>
        <w:t>；</w:t>
      </w:r>
    </w:p>
    <w:p w14:paraId="37006DAE">
      <w:pPr>
        <w:pStyle w:val="89"/>
        <w:wordWrap w:val="0"/>
        <w:spacing w:line="360" w:lineRule="auto"/>
        <w:ind w:firstLine="420" w:firstLineChars="200"/>
        <w:jc w:val="both"/>
        <w:rPr>
          <w:rFonts w:ascii="宋体" w:hAnsi="宋体" w:cs="宋体"/>
          <w:color w:val="auto"/>
          <w:sz w:val="21"/>
          <w:szCs w:val="21"/>
          <w:highlight w:val="none"/>
        </w:rPr>
      </w:pPr>
      <w:r>
        <w:rPr>
          <w:rFonts w:hint="eastAsia" w:ascii="宋体" w:hAnsi="宋体" w:cs="宋体"/>
          <w:color w:val="auto"/>
          <w:sz w:val="21"/>
          <w:szCs w:val="21"/>
          <w:highlight w:val="none"/>
        </w:rPr>
        <w:t>1.2 招标范围：详见</w:t>
      </w:r>
      <w:r>
        <w:rPr>
          <w:rFonts w:hint="eastAsia" w:ascii="宋体" w:hAnsi="宋体" w:cs="宋体"/>
          <w:b/>
          <w:bCs/>
          <w:color w:val="auto"/>
          <w:sz w:val="21"/>
          <w:szCs w:val="21"/>
          <w:highlight w:val="none"/>
        </w:rPr>
        <w:t>投标须知前附表</w:t>
      </w:r>
      <w:r>
        <w:rPr>
          <w:rFonts w:hint="eastAsia" w:ascii="宋体" w:hAnsi="宋体" w:cs="宋体"/>
          <w:color w:val="auto"/>
          <w:sz w:val="21"/>
          <w:szCs w:val="21"/>
          <w:highlight w:val="none"/>
        </w:rPr>
        <w:t>；</w:t>
      </w:r>
    </w:p>
    <w:p w14:paraId="5D701696">
      <w:pPr>
        <w:wordWrap w:val="0"/>
        <w:adjustRightIn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2. 定义</w:t>
      </w:r>
    </w:p>
    <w:p w14:paraId="6FDF12D4">
      <w:pPr>
        <w:pStyle w:val="89"/>
        <w:wordWrap w:val="0"/>
        <w:spacing w:line="360" w:lineRule="auto"/>
        <w:ind w:firstLine="420" w:firstLineChars="200"/>
        <w:jc w:val="both"/>
        <w:rPr>
          <w:rFonts w:ascii="宋体" w:hAnsi="宋体" w:cs="宋体"/>
          <w:color w:val="auto"/>
          <w:sz w:val="21"/>
          <w:szCs w:val="21"/>
          <w:highlight w:val="none"/>
        </w:rPr>
      </w:pPr>
      <w:r>
        <w:rPr>
          <w:rFonts w:hint="eastAsia" w:ascii="宋体" w:hAnsi="宋体" w:cs="宋体"/>
          <w:color w:val="auto"/>
          <w:sz w:val="21"/>
          <w:szCs w:val="21"/>
          <w:highlight w:val="none"/>
        </w:rPr>
        <w:t>2.1 “招标人”是指依法进行政府采购的国家机关、事业单位、团体组织。招标人名称、地址、电话、联系人见</w:t>
      </w:r>
      <w:r>
        <w:rPr>
          <w:rFonts w:hint="eastAsia" w:ascii="宋体" w:hAnsi="宋体" w:cs="宋体"/>
          <w:b/>
          <w:bCs/>
          <w:color w:val="auto"/>
          <w:sz w:val="21"/>
          <w:szCs w:val="21"/>
          <w:highlight w:val="none"/>
        </w:rPr>
        <w:t>投标须知前附表</w:t>
      </w:r>
      <w:r>
        <w:rPr>
          <w:rFonts w:hint="eastAsia" w:ascii="宋体" w:hAnsi="宋体" w:cs="宋体"/>
          <w:color w:val="auto"/>
          <w:sz w:val="21"/>
          <w:szCs w:val="21"/>
          <w:highlight w:val="none"/>
        </w:rPr>
        <w:t>。</w:t>
      </w:r>
    </w:p>
    <w:p w14:paraId="59C753D0">
      <w:pPr>
        <w:pStyle w:val="89"/>
        <w:wordWrap w:val="0"/>
        <w:spacing w:line="360" w:lineRule="auto"/>
        <w:ind w:firstLine="420" w:firstLineChars="200"/>
        <w:jc w:val="both"/>
        <w:rPr>
          <w:rFonts w:ascii="宋体" w:hAnsi="宋体" w:cs="宋体"/>
          <w:color w:val="auto"/>
          <w:sz w:val="21"/>
          <w:szCs w:val="21"/>
          <w:highlight w:val="none"/>
        </w:rPr>
      </w:pPr>
      <w:r>
        <w:rPr>
          <w:rFonts w:hint="eastAsia" w:ascii="宋体" w:hAnsi="宋体" w:cs="宋体"/>
          <w:color w:val="auto"/>
          <w:sz w:val="21"/>
          <w:szCs w:val="21"/>
          <w:highlight w:val="none"/>
        </w:rPr>
        <w:t>2.2 “采购代理机构”是指接受招标人委托，代理采购项目的集中采购机构和其他采购代理机构。采购代理机构名称、地址、电话、联系人见</w:t>
      </w:r>
      <w:r>
        <w:rPr>
          <w:rFonts w:hint="eastAsia" w:ascii="宋体" w:hAnsi="宋体" w:cs="宋体"/>
          <w:b/>
          <w:bCs/>
          <w:color w:val="auto"/>
          <w:sz w:val="21"/>
          <w:szCs w:val="21"/>
          <w:highlight w:val="none"/>
        </w:rPr>
        <w:t>投标须知前附表</w:t>
      </w:r>
      <w:r>
        <w:rPr>
          <w:rFonts w:hint="eastAsia" w:ascii="宋体" w:hAnsi="宋体" w:cs="宋体"/>
          <w:color w:val="auto"/>
          <w:sz w:val="21"/>
          <w:szCs w:val="21"/>
          <w:highlight w:val="none"/>
        </w:rPr>
        <w:t>。</w:t>
      </w:r>
    </w:p>
    <w:p w14:paraId="32FFC967">
      <w:pPr>
        <w:pStyle w:val="89"/>
        <w:wordWrap w:val="0"/>
        <w:spacing w:line="360" w:lineRule="auto"/>
        <w:ind w:firstLine="420" w:firstLineChars="200"/>
        <w:jc w:val="both"/>
        <w:rPr>
          <w:rFonts w:ascii="宋体" w:hAnsi="宋体" w:cs="宋体"/>
          <w:color w:val="auto"/>
          <w:sz w:val="21"/>
          <w:szCs w:val="21"/>
          <w:highlight w:val="none"/>
        </w:rPr>
      </w:pPr>
      <w:r>
        <w:rPr>
          <w:rFonts w:hint="eastAsia" w:ascii="宋体" w:hAnsi="宋体" w:cs="宋体"/>
          <w:color w:val="auto"/>
          <w:sz w:val="21"/>
          <w:szCs w:val="21"/>
          <w:highlight w:val="none"/>
        </w:rPr>
        <w:t>2.3 “投标人”是指响应招标、参加投标竞争的法人、其他组织或者自然人。</w:t>
      </w:r>
    </w:p>
    <w:p w14:paraId="548E33D8">
      <w:pPr>
        <w:pStyle w:val="89"/>
        <w:wordWrap w:val="0"/>
        <w:spacing w:line="360" w:lineRule="auto"/>
        <w:ind w:firstLine="420" w:firstLineChars="200"/>
        <w:jc w:val="both"/>
        <w:rPr>
          <w:rFonts w:ascii="宋体" w:hAnsi="宋体" w:cs="宋体"/>
          <w:color w:val="auto"/>
          <w:sz w:val="21"/>
          <w:szCs w:val="21"/>
          <w:highlight w:val="none"/>
        </w:rPr>
      </w:pPr>
      <w:r>
        <w:rPr>
          <w:rFonts w:hint="eastAsia" w:ascii="宋体" w:hAnsi="宋体" w:cs="宋体"/>
          <w:color w:val="auto"/>
          <w:sz w:val="21"/>
          <w:szCs w:val="21"/>
          <w:highlight w:val="none"/>
        </w:rPr>
        <w:t>2.4 “服务”系指根据本招标文件规定投标人须承担的相关服务及其他各项义务。</w:t>
      </w:r>
    </w:p>
    <w:p w14:paraId="42C4B4B2">
      <w:pPr>
        <w:pStyle w:val="89"/>
        <w:wordWrap w:val="0"/>
        <w:spacing w:line="360" w:lineRule="auto"/>
        <w:ind w:firstLine="420" w:firstLineChars="200"/>
        <w:jc w:val="both"/>
        <w:rPr>
          <w:rFonts w:ascii="宋体" w:hAnsi="宋体" w:cs="宋体"/>
          <w:color w:val="auto"/>
          <w:sz w:val="21"/>
          <w:szCs w:val="21"/>
          <w:highlight w:val="none"/>
        </w:rPr>
      </w:pPr>
      <w:r>
        <w:rPr>
          <w:rFonts w:hint="eastAsia" w:ascii="宋体" w:hAnsi="宋体" w:cs="宋体"/>
          <w:color w:val="auto"/>
          <w:sz w:val="21"/>
          <w:szCs w:val="21"/>
          <w:highlight w:val="none"/>
        </w:rPr>
        <w:t>2.5 偏离</w:t>
      </w:r>
    </w:p>
    <w:p w14:paraId="7C5C46CC">
      <w:pPr>
        <w:pStyle w:val="89"/>
        <w:wordWrap w:val="0"/>
        <w:spacing w:line="360" w:lineRule="auto"/>
        <w:ind w:firstLine="420" w:firstLineChars="200"/>
        <w:jc w:val="both"/>
        <w:rPr>
          <w:rFonts w:ascii="宋体" w:hAnsi="宋体" w:cs="宋体"/>
          <w:color w:val="auto"/>
          <w:sz w:val="21"/>
          <w:szCs w:val="21"/>
          <w:highlight w:val="none"/>
        </w:rPr>
      </w:pPr>
      <w:r>
        <w:rPr>
          <w:rFonts w:hint="eastAsia" w:ascii="宋体" w:hAnsi="宋体" w:cs="宋体"/>
          <w:color w:val="auto"/>
          <w:sz w:val="21"/>
          <w:szCs w:val="21"/>
          <w:highlight w:val="none"/>
        </w:rPr>
        <w:t>2.5.1 本条所称偏离为投标文件对招标文伴的偏离，即不满足、或不响应招标文件的要求。偏离分为对招标文件的实质性要求条款偏离和对招标文件的一般商务和技术条款偏离。</w:t>
      </w:r>
    </w:p>
    <w:p w14:paraId="20049D6D">
      <w:pPr>
        <w:pStyle w:val="89"/>
        <w:wordWrap w:val="0"/>
        <w:spacing w:line="360" w:lineRule="auto"/>
        <w:ind w:firstLine="422" w:firstLineChars="200"/>
        <w:jc w:val="both"/>
        <w:rPr>
          <w:rFonts w:ascii="宋体" w:hAnsi="宋体" w:cs="宋体"/>
          <w:color w:val="auto"/>
          <w:sz w:val="21"/>
          <w:szCs w:val="21"/>
          <w:highlight w:val="none"/>
        </w:rPr>
      </w:pPr>
      <w:r>
        <w:rPr>
          <w:rFonts w:hint="eastAsia" w:ascii="宋体" w:hAnsi="宋体" w:cs="宋体"/>
          <w:b/>
          <w:bCs/>
          <w:color w:val="auto"/>
          <w:sz w:val="21"/>
          <w:szCs w:val="21"/>
          <w:highlight w:val="none"/>
        </w:rPr>
        <w:t>2.5.2 除法律、法规和规章规定外，招标文件中用“拒绝”、“不接受”、“无效”、“不得”等文字规定或标注</w:t>
      </w:r>
      <w:r>
        <w:rPr>
          <w:rFonts w:hint="eastAsia" w:ascii="宋体" w:hAnsi="宋体" w:cs="宋体"/>
          <w:b/>
          <w:bCs/>
          <w:color w:val="auto"/>
          <w:sz w:val="36"/>
          <w:szCs w:val="36"/>
          <w:highlight w:val="none"/>
        </w:rPr>
        <w:t>*</w:t>
      </w:r>
      <w:r>
        <w:rPr>
          <w:rFonts w:hint="eastAsia" w:ascii="宋体" w:hAnsi="宋体" w:cs="宋体"/>
          <w:b/>
          <w:bCs/>
          <w:color w:val="auto"/>
          <w:sz w:val="21"/>
          <w:szCs w:val="21"/>
          <w:highlight w:val="none"/>
        </w:rPr>
        <w:t>符号的条款为实质性要求条款（即重要条款），对其中任何一条的偏离，导致的后果由投标人自行承担</w:t>
      </w:r>
      <w:r>
        <w:rPr>
          <w:rFonts w:hint="eastAsia" w:ascii="宋体" w:hAnsi="宋体" w:cs="宋体"/>
          <w:color w:val="auto"/>
          <w:sz w:val="21"/>
          <w:szCs w:val="21"/>
          <w:highlight w:val="none"/>
        </w:rPr>
        <w:t>。未用上述文字规定或符号标注的条款为非实质性要求条款（即一般条款）。</w:t>
      </w:r>
    </w:p>
    <w:p w14:paraId="46174BFB">
      <w:pPr>
        <w:wordWrap w:val="0"/>
        <w:adjustRightIn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2.6 若招标人员及相关人员与投标人有下列利害关系之一的，应当回避：</w:t>
      </w:r>
    </w:p>
    <w:p w14:paraId="413C66AD">
      <w:pPr>
        <w:wordWrap w:val="0"/>
        <w:adjustRightIn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2.6.1参加采购活动前3年内与投标人存在劳动关系；</w:t>
      </w:r>
    </w:p>
    <w:p w14:paraId="664783FE">
      <w:pPr>
        <w:wordWrap w:val="0"/>
        <w:adjustRightIn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2.6.2参加采购活动前3年内担任投标人的董事、监事；</w:t>
      </w:r>
    </w:p>
    <w:p w14:paraId="5274D15A">
      <w:pPr>
        <w:wordWrap w:val="0"/>
        <w:adjustRightIn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2.6.3参加采购活动前3年内是投标人的控股股东或者实际控制人；</w:t>
      </w:r>
    </w:p>
    <w:p w14:paraId="34EC11E4">
      <w:pPr>
        <w:wordWrap w:val="0"/>
        <w:adjustRightIn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2.6.4与投标人的法定代表人或者负责人有夫妻、直系血亲、三代以内旁系血亲或者近姻亲关系；</w:t>
      </w:r>
    </w:p>
    <w:p w14:paraId="2B8C371B">
      <w:pPr>
        <w:wordWrap w:val="0"/>
        <w:adjustRightIn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2.6.5与投标人有其他可能影响政府采购活动公平、公正进行的关系；</w:t>
      </w:r>
    </w:p>
    <w:p w14:paraId="311EF021">
      <w:pPr>
        <w:wordWrap w:val="0"/>
        <w:adjustRightIn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2.6.6投标人认为招标人员及相关人员与其他投标人有利害关系的，可以向招标人或者采购代理机构书面提出回避申请，并说明理由。招标人或者采购代理机构应当及时询问被申请回避人员，有利害关系的被申请回避人员应当回避。</w:t>
      </w:r>
    </w:p>
    <w:p w14:paraId="2801A5FC">
      <w:pPr>
        <w:wordWrap w:val="0"/>
        <w:adjustRightIn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2.7 招标人或者采购代理机构有下列情形之一的，属于以不合理的条件对投标人（即投标人）实行差别待遇或者歧视待遇：</w:t>
      </w:r>
    </w:p>
    <w:p w14:paraId="1F9A66A2">
      <w:pPr>
        <w:wordWrap w:val="0"/>
        <w:adjustRightIn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2.7.1就同一采购项目向投标人提供有差别的项目信息；</w:t>
      </w:r>
    </w:p>
    <w:p w14:paraId="4BFB9A77">
      <w:pPr>
        <w:wordWrap w:val="0"/>
        <w:adjustRightIn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2.7.2设定的资格、技术、商务条件与采购项目的具体特点和实际需要不相适应或者与合同履行无关；</w:t>
      </w:r>
    </w:p>
    <w:p w14:paraId="45224196">
      <w:pPr>
        <w:wordWrap w:val="0"/>
        <w:adjustRightIn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2.7.3采购需求中的技术、服务等要求指向特定投标人、特定产品；</w:t>
      </w:r>
    </w:p>
    <w:p w14:paraId="7FB4928E">
      <w:pPr>
        <w:wordWrap w:val="0"/>
        <w:adjustRightIn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2.7.4对投标人采取不同的资格审查或者评标标准；</w:t>
      </w:r>
    </w:p>
    <w:p w14:paraId="44176590">
      <w:pPr>
        <w:wordWrap w:val="0"/>
        <w:adjustRightIn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2.7.5限定或者指定特定的专利、商标、品牌或者投标人；</w:t>
      </w:r>
    </w:p>
    <w:p w14:paraId="198A2E78">
      <w:pPr>
        <w:wordWrap w:val="0"/>
        <w:adjustRightIn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2.7.6非法限定投标人的所有制形式、组织形式或者所在地；</w:t>
      </w:r>
    </w:p>
    <w:p w14:paraId="06F22CCA">
      <w:pPr>
        <w:wordWrap w:val="0"/>
        <w:adjustRightIn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2.7.7以其他不合理条件限制或者排斥潜在投标人。</w:t>
      </w:r>
    </w:p>
    <w:p w14:paraId="3837C35A">
      <w:pPr>
        <w:pStyle w:val="89"/>
        <w:wordWrap w:val="0"/>
        <w:spacing w:line="360" w:lineRule="auto"/>
        <w:ind w:firstLine="420" w:firstLineChars="200"/>
        <w:jc w:val="both"/>
        <w:rPr>
          <w:rFonts w:ascii="宋体" w:hAnsi="宋体" w:cs="宋体"/>
          <w:color w:val="auto"/>
          <w:sz w:val="21"/>
          <w:szCs w:val="21"/>
          <w:highlight w:val="none"/>
        </w:rPr>
      </w:pPr>
      <w:r>
        <w:rPr>
          <w:rFonts w:hint="eastAsia" w:ascii="宋体" w:hAnsi="宋体" w:cs="宋体"/>
          <w:color w:val="auto"/>
          <w:sz w:val="21"/>
          <w:szCs w:val="21"/>
          <w:highlight w:val="none"/>
        </w:rPr>
        <w:t>2.9 特别说明</w:t>
      </w:r>
    </w:p>
    <w:p w14:paraId="1930B1CB">
      <w:pPr>
        <w:pStyle w:val="89"/>
        <w:wordWrap w:val="0"/>
        <w:spacing w:line="360" w:lineRule="auto"/>
        <w:ind w:firstLine="420" w:firstLineChars="200"/>
        <w:jc w:val="both"/>
        <w:rPr>
          <w:rFonts w:ascii="宋体" w:hAnsi="宋体" w:cs="宋体"/>
          <w:color w:val="auto"/>
          <w:sz w:val="21"/>
          <w:szCs w:val="21"/>
          <w:highlight w:val="none"/>
        </w:rPr>
      </w:pPr>
      <w:r>
        <w:rPr>
          <w:rFonts w:hint="eastAsia" w:ascii="宋体" w:hAnsi="宋体" w:cs="宋体"/>
          <w:color w:val="auto"/>
          <w:sz w:val="21"/>
          <w:szCs w:val="21"/>
          <w:highlight w:val="none"/>
        </w:rPr>
        <w:t>2.8.1 投标人在本次招标活动中，必须遵循《中华人民共和国政府采购法》、《中华人民共和国政府采购法实施条例》、《政府采购货物和服务招标投标管理办法》（财政部令第87号）等相关法律、法规的规定。凡参加投标的投标人必须具有履行本招标文件规定的有关要求的能力，信誉良好；</w:t>
      </w:r>
    </w:p>
    <w:p w14:paraId="7331F0E2">
      <w:pPr>
        <w:pStyle w:val="89"/>
        <w:wordWrap w:val="0"/>
        <w:spacing w:line="360" w:lineRule="auto"/>
        <w:ind w:firstLine="420" w:firstLineChars="200"/>
        <w:jc w:val="both"/>
        <w:rPr>
          <w:rFonts w:ascii="宋体" w:hAnsi="宋体" w:cs="宋体"/>
          <w:color w:val="auto"/>
          <w:sz w:val="21"/>
          <w:szCs w:val="21"/>
          <w:highlight w:val="none"/>
        </w:rPr>
      </w:pPr>
      <w:r>
        <w:rPr>
          <w:rFonts w:hint="eastAsia" w:ascii="宋体" w:hAnsi="宋体" w:cs="宋体"/>
          <w:color w:val="auto"/>
          <w:sz w:val="21"/>
          <w:szCs w:val="21"/>
          <w:highlight w:val="none"/>
        </w:rPr>
        <w:t>2.8.2 投标人参加投标所使用的资格、信誉、荣誉与相关认证等必须为投标人所拥有；</w:t>
      </w:r>
    </w:p>
    <w:p w14:paraId="2ED26104">
      <w:pPr>
        <w:pStyle w:val="89"/>
        <w:wordWrap w:val="0"/>
        <w:spacing w:line="360" w:lineRule="auto"/>
        <w:ind w:firstLine="420" w:firstLineChars="200"/>
        <w:jc w:val="both"/>
        <w:rPr>
          <w:rFonts w:ascii="宋体" w:hAnsi="宋体" w:cs="宋体"/>
          <w:color w:val="auto"/>
          <w:sz w:val="21"/>
          <w:szCs w:val="21"/>
          <w:highlight w:val="none"/>
        </w:rPr>
      </w:pPr>
      <w:r>
        <w:rPr>
          <w:rFonts w:hint="eastAsia" w:ascii="宋体" w:hAnsi="宋体" w:cs="宋体"/>
          <w:color w:val="auto"/>
          <w:sz w:val="21"/>
          <w:szCs w:val="21"/>
          <w:highlight w:val="none"/>
        </w:rPr>
        <w:t>2.8.3 投标人应仔细阅读招标文件的所有内容，按照招标文件的要求提交投标文件，并对所提供的全部资料的真实性承担法律责任；</w:t>
      </w:r>
    </w:p>
    <w:p w14:paraId="0D8A8245">
      <w:pPr>
        <w:pStyle w:val="89"/>
        <w:wordWrap w:val="0"/>
        <w:spacing w:line="360" w:lineRule="auto"/>
        <w:ind w:firstLine="420" w:firstLineChars="200"/>
        <w:jc w:val="both"/>
        <w:rPr>
          <w:rFonts w:ascii="宋体" w:hAnsi="宋体" w:cs="宋体"/>
          <w:color w:val="auto"/>
          <w:sz w:val="21"/>
          <w:szCs w:val="21"/>
          <w:highlight w:val="none"/>
        </w:rPr>
      </w:pPr>
      <w:r>
        <w:rPr>
          <w:rFonts w:hint="eastAsia" w:ascii="宋体" w:hAnsi="宋体" w:cs="宋体"/>
          <w:color w:val="auto"/>
          <w:sz w:val="21"/>
          <w:szCs w:val="21"/>
          <w:highlight w:val="none"/>
        </w:rPr>
        <w:t>2.8.4 投标人在投标活动中提供任何虚假材料，其</w:t>
      </w:r>
      <w:r>
        <w:rPr>
          <w:rFonts w:hint="eastAsia" w:ascii="宋体" w:hAnsi="宋体" w:cs="宋体"/>
          <w:b/>
          <w:bCs/>
          <w:color w:val="auto"/>
          <w:sz w:val="21"/>
          <w:szCs w:val="21"/>
          <w:highlight w:val="none"/>
        </w:rPr>
        <w:t>投标无效</w:t>
      </w:r>
      <w:r>
        <w:rPr>
          <w:rFonts w:hint="eastAsia" w:ascii="宋体" w:hAnsi="宋体" w:cs="宋体"/>
          <w:color w:val="auto"/>
          <w:sz w:val="21"/>
          <w:szCs w:val="21"/>
          <w:highlight w:val="none"/>
        </w:rPr>
        <w:t>并承担相应法律责任。</w:t>
      </w:r>
    </w:p>
    <w:p w14:paraId="4A8484E8">
      <w:pPr>
        <w:wordWrap w:val="0"/>
        <w:adjustRightIn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3. 投标人的资格要求</w:t>
      </w:r>
    </w:p>
    <w:p w14:paraId="4722FB7A">
      <w:pPr>
        <w:pStyle w:val="89"/>
        <w:wordWrap w:val="0"/>
        <w:spacing w:line="360" w:lineRule="auto"/>
        <w:ind w:firstLine="420" w:firstLineChars="200"/>
        <w:jc w:val="both"/>
        <w:rPr>
          <w:rFonts w:ascii="宋体" w:hAnsi="宋体" w:cs="宋体"/>
          <w:color w:val="auto"/>
          <w:sz w:val="21"/>
          <w:szCs w:val="21"/>
          <w:highlight w:val="none"/>
        </w:rPr>
      </w:pPr>
      <w:r>
        <w:rPr>
          <w:rFonts w:hint="eastAsia" w:ascii="宋体" w:hAnsi="宋体" w:cs="宋体"/>
          <w:color w:val="auto"/>
          <w:sz w:val="21"/>
          <w:szCs w:val="21"/>
          <w:highlight w:val="none"/>
        </w:rPr>
        <w:t>3.1 投标人应当符合</w:t>
      </w:r>
      <w:r>
        <w:rPr>
          <w:rFonts w:hint="eastAsia" w:ascii="宋体" w:hAnsi="宋体" w:cs="宋体"/>
          <w:b/>
          <w:bCs/>
          <w:color w:val="auto"/>
          <w:sz w:val="21"/>
          <w:szCs w:val="21"/>
          <w:highlight w:val="none"/>
        </w:rPr>
        <w:t>投标须知前附表</w:t>
      </w:r>
      <w:r>
        <w:rPr>
          <w:rFonts w:hint="eastAsia" w:ascii="宋体" w:hAnsi="宋体" w:cs="宋体"/>
          <w:color w:val="auto"/>
          <w:sz w:val="21"/>
          <w:szCs w:val="21"/>
          <w:highlight w:val="none"/>
        </w:rPr>
        <w:t>中规定及下列要求：</w:t>
      </w:r>
    </w:p>
    <w:p w14:paraId="498FEB02">
      <w:pPr>
        <w:pStyle w:val="89"/>
        <w:wordWrap w:val="0"/>
        <w:spacing w:line="360" w:lineRule="auto"/>
        <w:ind w:firstLine="420" w:firstLineChars="200"/>
        <w:jc w:val="both"/>
        <w:rPr>
          <w:rFonts w:ascii="宋体" w:hAnsi="宋体" w:cs="宋体"/>
          <w:color w:val="auto"/>
          <w:sz w:val="21"/>
          <w:szCs w:val="21"/>
          <w:highlight w:val="none"/>
        </w:rPr>
      </w:pPr>
      <w:r>
        <w:rPr>
          <w:rFonts w:hint="eastAsia" w:ascii="宋体" w:hAnsi="宋体" w:cs="宋体"/>
          <w:color w:val="auto"/>
          <w:sz w:val="21"/>
          <w:szCs w:val="21"/>
          <w:highlight w:val="none"/>
        </w:rPr>
        <w:t>3.2 投标人不得存在下列情形之一：</w:t>
      </w:r>
    </w:p>
    <w:p w14:paraId="15F03A76">
      <w:pPr>
        <w:pStyle w:val="89"/>
        <w:wordWrap w:val="0"/>
        <w:spacing w:line="360" w:lineRule="auto"/>
        <w:ind w:firstLine="420" w:firstLineChars="200"/>
        <w:jc w:val="both"/>
        <w:rPr>
          <w:rFonts w:ascii="宋体" w:hAnsi="宋体" w:cs="宋体"/>
          <w:color w:val="auto"/>
          <w:sz w:val="21"/>
          <w:szCs w:val="21"/>
          <w:highlight w:val="none"/>
        </w:rPr>
      </w:pPr>
      <w:r>
        <w:rPr>
          <w:rFonts w:hint="eastAsia" w:ascii="宋体" w:hAnsi="宋体" w:cs="宋体"/>
          <w:color w:val="auto"/>
          <w:sz w:val="21"/>
          <w:szCs w:val="21"/>
          <w:highlight w:val="none"/>
        </w:rPr>
        <w:t>3.2.1 与招标人、采购代理机构存在利害关系；</w:t>
      </w:r>
    </w:p>
    <w:p w14:paraId="34FB0E37">
      <w:pPr>
        <w:pStyle w:val="89"/>
        <w:wordWrap w:val="0"/>
        <w:spacing w:line="360" w:lineRule="auto"/>
        <w:ind w:firstLine="420" w:firstLineChars="200"/>
        <w:jc w:val="both"/>
        <w:rPr>
          <w:rFonts w:ascii="宋体" w:hAnsi="宋体" w:cs="宋体"/>
          <w:color w:val="auto"/>
          <w:sz w:val="21"/>
          <w:szCs w:val="21"/>
          <w:highlight w:val="none"/>
        </w:rPr>
      </w:pPr>
      <w:r>
        <w:rPr>
          <w:rFonts w:hint="eastAsia" w:ascii="宋体" w:hAnsi="宋体" w:cs="宋体"/>
          <w:color w:val="auto"/>
          <w:sz w:val="21"/>
          <w:szCs w:val="21"/>
          <w:highlight w:val="none"/>
        </w:rPr>
        <w:t>3.2.2 受到刑事处罚，或者受到200万元以上的罚款、责令停产停业、在1至3年内禁止参加政府采购活动、暂扣或者吊销许可证、暂扣或者吊销执照等情形之一的行政处罚，或者存在财政部门认定的其他重大违法记录。</w:t>
      </w:r>
    </w:p>
    <w:p w14:paraId="3CB57B7E">
      <w:pPr>
        <w:pStyle w:val="89"/>
        <w:wordWrap w:val="0"/>
        <w:spacing w:line="360" w:lineRule="auto"/>
        <w:ind w:firstLine="420" w:firstLineChars="200"/>
        <w:jc w:val="both"/>
        <w:rPr>
          <w:rFonts w:ascii="宋体" w:hAnsi="宋体" w:cs="宋体"/>
          <w:color w:val="auto"/>
          <w:sz w:val="21"/>
          <w:szCs w:val="21"/>
          <w:highlight w:val="none"/>
        </w:rPr>
      </w:pPr>
      <w:r>
        <w:rPr>
          <w:rFonts w:hint="eastAsia" w:ascii="宋体" w:hAnsi="宋体" w:cs="宋体"/>
          <w:color w:val="auto"/>
          <w:sz w:val="21"/>
          <w:szCs w:val="21"/>
          <w:highlight w:val="none"/>
        </w:rPr>
        <w:t>3.3 投标人具有履行合同所必需的设备和专业技术能力，在人员、设备、资金等方面具有相应能力；投标人提供的的产品必须是成熟产品；在项目地具有技术支持和后续服务等能力。</w:t>
      </w:r>
    </w:p>
    <w:p w14:paraId="62182E84">
      <w:pPr>
        <w:wordWrap w:val="0"/>
        <w:adjustRightIn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4. 联合体投标（本项目不适用）</w:t>
      </w:r>
    </w:p>
    <w:p w14:paraId="192BC47E">
      <w:pPr>
        <w:pStyle w:val="89"/>
        <w:wordWrap w:val="0"/>
        <w:spacing w:line="360" w:lineRule="auto"/>
        <w:ind w:firstLine="420" w:firstLineChars="200"/>
        <w:jc w:val="both"/>
        <w:rPr>
          <w:rFonts w:ascii="宋体" w:hAnsi="宋体" w:cs="宋体"/>
          <w:color w:val="auto"/>
          <w:sz w:val="21"/>
          <w:szCs w:val="21"/>
          <w:highlight w:val="none"/>
        </w:rPr>
      </w:pPr>
      <w:r>
        <w:rPr>
          <w:rFonts w:hint="eastAsia" w:ascii="宋体" w:hAnsi="宋体" w:cs="宋体"/>
          <w:color w:val="auto"/>
          <w:sz w:val="21"/>
          <w:szCs w:val="21"/>
          <w:highlight w:val="none"/>
        </w:rPr>
        <w:t>4.1 除</w:t>
      </w:r>
      <w:r>
        <w:rPr>
          <w:rFonts w:hint="eastAsia" w:ascii="宋体" w:hAnsi="宋体" w:cs="宋体"/>
          <w:b/>
          <w:bCs/>
          <w:color w:val="auto"/>
          <w:sz w:val="21"/>
          <w:szCs w:val="21"/>
          <w:highlight w:val="none"/>
        </w:rPr>
        <w:t>投标须知前附表</w:t>
      </w:r>
      <w:r>
        <w:rPr>
          <w:rFonts w:hint="eastAsia" w:ascii="宋体" w:hAnsi="宋体" w:cs="宋体"/>
          <w:color w:val="auto"/>
          <w:sz w:val="21"/>
          <w:szCs w:val="21"/>
          <w:highlight w:val="none"/>
        </w:rPr>
        <w:t>中另有规定，本次招标采购接受以联合体形式投标的投标人。</w:t>
      </w:r>
    </w:p>
    <w:p w14:paraId="67D45FFC">
      <w:pPr>
        <w:pStyle w:val="89"/>
        <w:wordWrap w:val="0"/>
        <w:spacing w:line="360" w:lineRule="auto"/>
        <w:ind w:firstLine="420" w:firstLineChars="200"/>
        <w:jc w:val="both"/>
        <w:rPr>
          <w:rFonts w:ascii="宋体" w:hAnsi="宋体" w:cs="宋体"/>
          <w:color w:val="auto"/>
          <w:sz w:val="21"/>
          <w:szCs w:val="21"/>
          <w:highlight w:val="none"/>
        </w:rPr>
      </w:pPr>
      <w:r>
        <w:rPr>
          <w:rFonts w:hint="eastAsia" w:ascii="宋体" w:hAnsi="宋体" w:cs="宋体"/>
          <w:color w:val="auto"/>
          <w:sz w:val="21"/>
          <w:szCs w:val="21"/>
          <w:highlight w:val="none"/>
        </w:rPr>
        <w:t>4.2 两个以上的法人、其他组织或者自然人可以组成一个联合体，以一个投标人的身份共同参加政府采购活动。投标人为联合体形式的，除应符合本章第3条规定外，还应遵守以下规定：</w:t>
      </w:r>
    </w:p>
    <w:p w14:paraId="7C908036">
      <w:pPr>
        <w:pStyle w:val="89"/>
        <w:wordWrap w:val="0"/>
        <w:spacing w:line="360" w:lineRule="auto"/>
        <w:ind w:firstLine="420" w:firstLineChars="200"/>
        <w:jc w:val="both"/>
        <w:rPr>
          <w:rFonts w:ascii="宋体" w:hAnsi="宋体" w:cs="宋体"/>
          <w:color w:val="auto"/>
          <w:sz w:val="21"/>
          <w:szCs w:val="21"/>
          <w:highlight w:val="none"/>
        </w:rPr>
      </w:pPr>
      <w:r>
        <w:rPr>
          <w:rFonts w:hint="eastAsia" w:ascii="宋体" w:hAnsi="宋体" w:cs="宋体"/>
          <w:color w:val="auto"/>
          <w:sz w:val="21"/>
          <w:szCs w:val="21"/>
          <w:highlight w:val="none"/>
        </w:rPr>
        <w:t>4.2.1 联合体各方必须签订联合体协议书，明确联合体牵头人和各方的义务、工作、合同工作量比例；</w:t>
      </w:r>
    </w:p>
    <w:p w14:paraId="60DFC0E2">
      <w:pPr>
        <w:pStyle w:val="89"/>
        <w:wordWrap w:val="0"/>
        <w:spacing w:line="360" w:lineRule="auto"/>
        <w:ind w:firstLine="420" w:firstLineChars="200"/>
        <w:jc w:val="both"/>
        <w:rPr>
          <w:rFonts w:ascii="宋体" w:hAnsi="宋体" w:cs="宋体"/>
          <w:color w:val="auto"/>
          <w:sz w:val="21"/>
          <w:szCs w:val="21"/>
          <w:highlight w:val="none"/>
        </w:rPr>
      </w:pPr>
      <w:r>
        <w:rPr>
          <w:rFonts w:hint="eastAsia" w:ascii="宋体" w:hAnsi="宋体" w:cs="宋体"/>
          <w:color w:val="auto"/>
          <w:sz w:val="21"/>
          <w:szCs w:val="21"/>
          <w:highlight w:val="none"/>
        </w:rPr>
        <w:t>4.2.2 联合体各方均应当符合本章第3.1款规定的投标人基本资格条件；联合体中有同类资质的投标人按照联合体分工承担相同工作的，按照资质等级较低的投标人确定资质等级。</w:t>
      </w:r>
    </w:p>
    <w:p w14:paraId="1EEE03D4">
      <w:pPr>
        <w:pStyle w:val="89"/>
        <w:wordWrap w:val="0"/>
        <w:spacing w:line="360" w:lineRule="auto"/>
        <w:ind w:firstLine="420" w:firstLineChars="200"/>
        <w:jc w:val="both"/>
        <w:rPr>
          <w:rFonts w:ascii="宋体" w:hAnsi="宋体" w:cs="宋体"/>
          <w:color w:val="auto"/>
          <w:sz w:val="21"/>
          <w:szCs w:val="21"/>
          <w:highlight w:val="none"/>
        </w:rPr>
      </w:pPr>
      <w:r>
        <w:rPr>
          <w:rFonts w:hint="eastAsia" w:ascii="宋体" w:hAnsi="宋体" w:cs="宋体"/>
          <w:color w:val="auto"/>
          <w:sz w:val="21"/>
          <w:szCs w:val="21"/>
          <w:highlight w:val="none"/>
        </w:rPr>
        <w:t>4.2.3 除</w:t>
      </w:r>
      <w:r>
        <w:rPr>
          <w:rFonts w:hint="eastAsia" w:ascii="宋体" w:hAnsi="宋体" w:cs="宋体"/>
          <w:b/>
          <w:bCs/>
          <w:color w:val="auto"/>
          <w:sz w:val="21"/>
          <w:szCs w:val="21"/>
          <w:highlight w:val="none"/>
        </w:rPr>
        <w:t>投标须知前附表</w:t>
      </w:r>
      <w:r>
        <w:rPr>
          <w:rFonts w:hint="eastAsia" w:ascii="宋体" w:hAnsi="宋体" w:cs="宋体"/>
          <w:color w:val="auto"/>
          <w:sz w:val="21"/>
          <w:szCs w:val="21"/>
          <w:highlight w:val="none"/>
        </w:rPr>
        <w:t>中另有规定，联合体各方中至少有一方应当符合本章第3.1款规定的投标人特定资格条件。</w:t>
      </w:r>
    </w:p>
    <w:p w14:paraId="61175166">
      <w:pPr>
        <w:pStyle w:val="89"/>
        <w:wordWrap w:val="0"/>
        <w:spacing w:line="360" w:lineRule="auto"/>
        <w:ind w:firstLine="420" w:firstLineChars="200"/>
        <w:jc w:val="both"/>
        <w:rPr>
          <w:rFonts w:ascii="宋体" w:hAnsi="宋体" w:cs="宋体"/>
          <w:color w:val="auto"/>
          <w:sz w:val="21"/>
          <w:szCs w:val="21"/>
          <w:highlight w:val="none"/>
        </w:rPr>
      </w:pPr>
      <w:r>
        <w:rPr>
          <w:rFonts w:hint="eastAsia" w:ascii="宋体" w:hAnsi="宋体" w:cs="宋体"/>
          <w:color w:val="auto"/>
          <w:sz w:val="21"/>
          <w:szCs w:val="21"/>
          <w:highlight w:val="none"/>
        </w:rPr>
        <w:t>4.3 大中型企业和其他自然人、法人或者其他组织与小型、微型企业组成联合体，联合体协议中约定，小型、微型企业的协议合同金额占到联合体协议合同总金额30%以上的，可给予联合体4%的价格扣除。</w:t>
      </w:r>
    </w:p>
    <w:p w14:paraId="2BD731F0">
      <w:pPr>
        <w:pStyle w:val="89"/>
        <w:wordWrap w:val="0"/>
        <w:spacing w:line="360" w:lineRule="auto"/>
        <w:ind w:firstLine="420" w:firstLineChars="200"/>
        <w:jc w:val="both"/>
        <w:rPr>
          <w:rFonts w:ascii="宋体" w:hAnsi="宋体" w:cs="宋体"/>
          <w:color w:val="auto"/>
          <w:sz w:val="21"/>
          <w:szCs w:val="21"/>
          <w:highlight w:val="none"/>
        </w:rPr>
      </w:pPr>
      <w:r>
        <w:rPr>
          <w:rFonts w:hint="eastAsia" w:ascii="宋体" w:hAnsi="宋体" w:cs="宋体"/>
          <w:color w:val="auto"/>
          <w:sz w:val="21"/>
          <w:szCs w:val="21"/>
          <w:highlight w:val="none"/>
        </w:rPr>
        <w:t>联合体各方均为小型、微型企业的，联合体视同为小型、微型企业享受扶持政策。</w:t>
      </w:r>
    </w:p>
    <w:p w14:paraId="63681F32">
      <w:pPr>
        <w:pStyle w:val="89"/>
        <w:wordWrap w:val="0"/>
        <w:spacing w:line="360" w:lineRule="auto"/>
        <w:ind w:firstLine="420" w:firstLineChars="200"/>
        <w:jc w:val="both"/>
        <w:rPr>
          <w:rFonts w:ascii="宋体" w:hAnsi="宋体" w:cs="宋体"/>
          <w:color w:val="auto"/>
          <w:sz w:val="21"/>
          <w:szCs w:val="21"/>
          <w:highlight w:val="none"/>
        </w:rPr>
      </w:pPr>
      <w:r>
        <w:rPr>
          <w:rFonts w:hint="eastAsia" w:ascii="宋体" w:hAnsi="宋体" w:cs="宋体"/>
          <w:color w:val="auto"/>
          <w:sz w:val="21"/>
          <w:szCs w:val="21"/>
          <w:highlight w:val="none"/>
        </w:rPr>
        <w:t>组成联合体的大中型企业和其他自然人、法人或者其他组织，与小型、微型企业之间不得存在投资关系，并附协议书。</w:t>
      </w:r>
    </w:p>
    <w:p w14:paraId="0587B9C5">
      <w:pPr>
        <w:pStyle w:val="89"/>
        <w:wordWrap w:val="0"/>
        <w:spacing w:line="360" w:lineRule="auto"/>
        <w:ind w:firstLine="420" w:firstLineChars="200"/>
        <w:jc w:val="both"/>
        <w:rPr>
          <w:rFonts w:ascii="宋体" w:hAnsi="宋体" w:cs="宋体"/>
          <w:color w:val="auto"/>
          <w:sz w:val="21"/>
          <w:szCs w:val="21"/>
          <w:highlight w:val="none"/>
        </w:rPr>
      </w:pPr>
      <w:r>
        <w:rPr>
          <w:rFonts w:hint="eastAsia" w:ascii="宋体" w:hAnsi="宋体" w:cs="宋体"/>
          <w:color w:val="auto"/>
          <w:sz w:val="21"/>
          <w:szCs w:val="21"/>
          <w:highlight w:val="none"/>
        </w:rPr>
        <w:t>4.4 以联合体形式参加政府采购活动的，联合体各方不得再单独参加或者与其他投标人另外组成联合体参加同一合同项下的政府采购活动。</w:t>
      </w:r>
    </w:p>
    <w:p w14:paraId="4A50168D">
      <w:pPr>
        <w:wordWrap w:val="0"/>
        <w:adjustRightIn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5. 政府采购政策支持</w:t>
      </w:r>
    </w:p>
    <w:p w14:paraId="52EF3D08">
      <w:pPr>
        <w:wordWrap w:val="0"/>
        <w:adjustRightIn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5.1 采购人对符合《政府采购促进中小企业发展管理办法》（财库[2020]46号）规定的中型、小型和微型企业执行政府采购扶持政策，具体措施有预留采购份额、价格评审优惠、优先采购等。属于预留采购份额的项目，将专门面向中小企业或小微企业采购；不属于预留采购份额的项目，不专门面向中小企业或小微企业采购，采购人将对小型和微型企业给予价格评审优惠。本采购项目针对中小微企业执行政府采购扶持政策采用的具体措施及不专门面向中小企业采购项目的价格扣除比例见投标人须知前附表。</w:t>
      </w:r>
    </w:p>
    <w:p w14:paraId="4C4017AC">
      <w:pPr>
        <w:wordWrap w:val="0"/>
        <w:adjustRightIn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5.2 本招标文件所称中小企业，是指在中华人民共和国境内依法设立，依据《关于印发中小企业划型标准规定的通知》（工信部联企业〔2011〕300号）和国家统计局关于印发《统计上大中小微型企业划分办法（2017）》的通知的中小企业划分标准确定的中型企业、小型企业和微型企业，但与大企业的负责人为同一人，或者与大企业存在直接控股、管理关系的除外。本采购项目对应的中小企业划分标准所属行业见投标人须知前附表。</w:t>
      </w:r>
    </w:p>
    <w:p w14:paraId="3E45ABB8">
      <w:pPr>
        <w:wordWrap w:val="0"/>
        <w:adjustRightIn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5.3 投标人提供的货物既有中小企业制造货物，也有大型企业制造货物的，不享受本招标文件规定的小微企业价格评审优惠政策。</w:t>
      </w:r>
    </w:p>
    <w:p w14:paraId="345FB706">
      <w:pPr>
        <w:wordWrap w:val="0"/>
        <w:adjustRightIn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5.4 以联合体形式参加政府采购活动，联合体各方均为中小企业的，联合体视同中小企业。其中，联合体各方均为小微企业的，联合体视同小微企业。</w:t>
      </w:r>
    </w:p>
    <w:p w14:paraId="24F76AB8">
      <w:pPr>
        <w:wordWrap w:val="0"/>
        <w:adjustRightIn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5.5 符合中小企业划分标准的个体工商户，在政府采购活动中视同中小企业。其中，符合小型、微型企业划分标准的个体工商户，视同小微企业。</w:t>
      </w:r>
    </w:p>
    <w:p w14:paraId="510D2E8F">
      <w:pPr>
        <w:wordWrap w:val="0"/>
        <w:adjustRightIn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5.6 监狱企业视同小型、微型企业，享受与小微企业同等的政府采购扶持政策。监狱企业参加政府采购活动时，应当提供由省级以上监狱管理局、戒毒管理局（含新疆生产建设兵团）出具的属于监狱企业的证明文件。</w:t>
      </w:r>
    </w:p>
    <w:p w14:paraId="4E3F0671">
      <w:pPr>
        <w:wordWrap w:val="0"/>
        <w:adjustRightIn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5.7 残疾人福利性单位视同小型、微型企业，享受与小微企业同等的政府采购扶持政策。符合条件的残疾人福利性单位在参加政府采购活动时，应当提供本招标文件规定格式的《残疾人福利性单位声明函》，并对声明的真实性负责。</w:t>
      </w:r>
    </w:p>
    <w:p w14:paraId="1371B108">
      <w:pPr>
        <w:wordWrap w:val="0"/>
        <w:adjustRightIn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5.8 专门面向中小企业或小微企业采购的项目，投标人应为中小或小微企业，应当出具本招标文件规定格式的《中小企业声明函》。</w:t>
      </w:r>
    </w:p>
    <w:p w14:paraId="3BEA73B0">
      <w:pPr>
        <w:wordWrap w:val="0"/>
        <w:adjustRightIn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5.9 非预留份额不专门面向中小或小微企业采购的项目，采购人将按照《政府采购促进中小企业发展管理办法》（财库[2020]46号）、《关于进一步加大政府采购支持中小企业力度的通知》（财库〔2022〕19号）的规定对小微企业给予价格评审优惠，对其报价给予10%～20%的扣除，用扣除后的价格参加评审，本采购项目的价格扣除比例见本章5.1项。小微企业参加政府采购活动且拟享受价格评审优惠的，应当出具本招标文件规定格式的《中小企业声明函》，否则不享受价格评审优惠。</w:t>
      </w:r>
    </w:p>
    <w:p w14:paraId="13730D35">
      <w:pPr>
        <w:wordWrap w:val="0"/>
        <w:adjustRightIn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接受大中型企业与小微企业组成联合体或者允许大中型企业向一家或者多家小微企业分包的采购项目，对于联合体协议或者分包意向协议约定小微企业的合同份额占到合同总金额 30%以上的，对该联合体或者大中型企业的报价给予 4%～6% 的扣除，用扣除后的价格参加评审，本采购项目的价格扣除比例见投标人须知前附表。组成联合体或者接受分包的小微企业与联合体内其他企业、分包企业之间存在直接控股、管理关系的，不享受价格扣除优惠政策。</w:t>
      </w:r>
    </w:p>
    <w:p w14:paraId="0B133CE4">
      <w:pPr>
        <w:wordWrap w:val="0"/>
        <w:adjustRightIn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5.10 投标人应当对所提供的《中小企业声明函》、《残疾人福利性单位声明函》或监狱企业证明文件的真实性负责。审查材料与事实不符的，属于提供虚假材料谋取中标、成交，依照《政府采购法》第七十七条第一款的规定处理：“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0EE06DB8">
      <w:pPr>
        <w:wordWrap w:val="0"/>
        <w:adjustRightIn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6. 投标费用和知识产权</w:t>
      </w:r>
    </w:p>
    <w:p w14:paraId="599B958D">
      <w:pPr>
        <w:pStyle w:val="89"/>
        <w:wordWrap w:val="0"/>
        <w:spacing w:line="360" w:lineRule="auto"/>
        <w:ind w:firstLine="420" w:firstLineChars="200"/>
        <w:jc w:val="both"/>
        <w:rPr>
          <w:rFonts w:ascii="宋体" w:hAnsi="宋体" w:cs="宋体"/>
          <w:color w:val="auto"/>
          <w:sz w:val="21"/>
          <w:szCs w:val="21"/>
          <w:highlight w:val="none"/>
        </w:rPr>
      </w:pPr>
      <w:r>
        <w:rPr>
          <w:rFonts w:hint="eastAsia" w:ascii="宋体" w:hAnsi="宋体" w:cs="宋体"/>
          <w:color w:val="auto"/>
          <w:sz w:val="21"/>
          <w:szCs w:val="21"/>
          <w:highlight w:val="none"/>
        </w:rPr>
        <w:t>6.1 投标人应承担其参加本招标活动自身所发生的费用。招标文件所提供的资料，是招标人现有的能被投标人利用的资料，招标人对投标人做出的任何推论、理解和结论均不负责任。</w:t>
      </w:r>
    </w:p>
    <w:p w14:paraId="42FB4643">
      <w:pPr>
        <w:pStyle w:val="89"/>
        <w:wordWrap w:val="0"/>
        <w:spacing w:line="360" w:lineRule="auto"/>
        <w:ind w:firstLine="420" w:firstLineChars="200"/>
        <w:jc w:val="both"/>
        <w:rPr>
          <w:rFonts w:ascii="宋体" w:hAnsi="宋体" w:cs="宋体"/>
          <w:color w:val="auto"/>
          <w:sz w:val="21"/>
          <w:szCs w:val="21"/>
          <w:highlight w:val="none"/>
        </w:rPr>
      </w:pPr>
      <w:r>
        <w:rPr>
          <w:rFonts w:hint="eastAsia" w:ascii="宋体" w:hAnsi="宋体" w:cs="宋体"/>
          <w:color w:val="auto"/>
          <w:sz w:val="21"/>
          <w:szCs w:val="21"/>
          <w:highlight w:val="none"/>
        </w:rPr>
        <w:t>6.2 投标人应保证，在中华人民共和国境内使用投标成果、服务或其任何一部分时，不会产生因第三方提出侵犯其专利权或其它知识产权而引起的法律和经济纠纷。如投标人不拥有相应的知识产权，则在报价中须包括合法获取该知识产权的相关费用。</w:t>
      </w:r>
    </w:p>
    <w:p w14:paraId="64D4BB85">
      <w:pPr>
        <w:wordWrap w:val="0"/>
        <w:adjustRightIn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7. 授权委托</w:t>
      </w:r>
    </w:p>
    <w:p w14:paraId="752CCE80">
      <w:pPr>
        <w:pStyle w:val="89"/>
        <w:wordWrap w:val="0"/>
        <w:spacing w:line="360" w:lineRule="auto"/>
        <w:ind w:firstLine="420" w:firstLineChars="200"/>
        <w:jc w:val="both"/>
        <w:rPr>
          <w:rFonts w:ascii="宋体" w:hAnsi="宋体" w:cs="宋体"/>
          <w:color w:val="auto"/>
          <w:sz w:val="21"/>
          <w:szCs w:val="21"/>
          <w:highlight w:val="none"/>
        </w:rPr>
      </w:pPr>
      <w:r>
        <w:rPr>
          <w:rFonts w:hint="eastAsia" w:ascii="宋体" w:hAnsi="宋体" w:cs="宋体"/>
          <w:color w:val="auto"/>
          <w:sz w:val="21"/>
          <w:szCs w:val="21"/>
          <w:highlight w:val="none"/>
        </w:rPr>
        <w:t>7.1 投标人代表为投标人法定代表人的，应持有法定代表人身份证明。投标人代表不是投标人法定代表人的，应持有法定代表人授权书。</w:t>
      </w:r>
    </w:p>
    <w:p w14:paraId="11402F8B">
      <w:pPr>
        <w:pStyle w:val="89"/>
        <w:wordWrap w:val="0"/>
        <w:spacing w:line="360" w:lineRule="auto"/>
        <w:jc w:val="center"/>
        <w:outlineLvl w:val="0"/>
        <w:rPr>
          <w:rFonts w:ascii="宋体" w:hAnsi="宋体" w:cs="宋体"/>
          <w:color w:val="auto"/>
          <w:sz w:val="32"/>
          <w:szCs w:val="32"/>
          <w:highlight w:val="none"/>
        </w:rPr>
      </w:pPr>
      <w:bookmarkStart w:id="20" w:name="_Toc31559"/>
      <w:r>
        <w:rPr>
          <w:rFonts w:hint="eastAsia" w:ascii="宋体" w:hAnsi="宋体" w:cs="宋体"/>
          <w:b/>
          <w:bCs/>
          <w:color w:val="auto"/>
          <w:sz w:val="32"/>
          <w:szCs w:val="32"/>
          <w:highlight w:val="none"/>
        </w:rPr>
        <w:t>二、招标文件</w:t>
      </w:r>
      <w:bookmarkEnd w:id="20"/>
    </w:p>
    <w:p w14:paraId="12A539C0">
      <w:pPr>
        <w:wordWrap w:val="0"/>
        <w:adjustRightIn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8. 招标文件的组成</w:t>
      </w:r>
    </w:p>
    <w:p w14:paraId="5C63AA29">
      <w:pPr>
        <w:wordWrap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8.1 招标文件用以阐明所需货物和服务、招标投标程序和商务合同主要条款，本招标文件由下列文件组成：</w:t>
      </w:r>
    </w:p>
    <w:p w14:paraId="13AAC6A2">
      <w:pPr>
        <w:wordWrap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第一章 招标公告</w:t>
      </w:r>
    </w:p>
    <w:p w14:paraId="103F6638">
      <w:pPr>
        <w:wordWrap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第二章 投标须知</w:t>
      </w:r>
    </w:p>
    <w:p w14:paraId="61F74ADC">
      <w:pPr>
        <w:wordWrap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第三章 评标方法及标准</w:t>
      </w:r>
    </w:p>
    <w:p w14:paraId="4EE24A0A">
      <w:pPr>
        <w:wordWrap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第四章 采购合同格式</w:t>
      </w:r>
    </w:p>
    <w:p w14:paraId="1C482BCC">
      <w:pPr>
        <w:wordWrap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笫五章 采购需求</w:t>
      </w:r>
    </w:p>
    <w:p w14:paraId="0ABACFF3">
      <w:pPr>
        <w:wordWrap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第六章 投标文件格式</w:t>
      </w:r>
    </w:p>
    <w:p w14:paraId="6C76EAE3">
      <w:pPr>
        <w:wordWrap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8.2 本章第12.1款规定的提交投标文件截止时间前对招标文件澄清或者修改内容，是招标文件的组成部分。</w:t>
      </w:r>
    </w:p>
    <w:p w14:paraId="1E70DBE3">
      <w:pPr>
        <w:wordWrap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8.3 投标人应仔细阅读招标文件的全部内容，按照招标文件要求编制投标文件。任何对招标文件的忽略或误解不能作为投标文件存在缺陷或瑕疵的理由，如果没有按照招标文件要求提交全部资料或者投标文件没有对招标文件做出实质性响应，其投标文件可能被拒绝，其风险由投标人承担。</w:t>
      </w:r>
    </w:p>
    <w:p w14:paraId="39ED2C51">
      <w:pPr>
        <w:wordWrap w:val="0"/>
        <w:adjustRightIn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9. 提交投标文件的截止时间</w:t>
      </w:r>
    </w:p>
    <w:p w14:paraId="12BC2BD1">
      <w:pPr>
        <w:wordWrap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 xml:space="preserve">9.1 </w:t>
      </w:r>
      <w:r>
        <w:rPr>
          <w:rFonts w:hint="eastAsia" w:ascii="宋体" w:hAnsi="宋体" w:cs="宋体"/>
          <w:color w:val="auto"/>
          <w:szCs w:val="21"/>
          <w:highlight w:val="none"/>
        </w:rPr>
        <w:t>投标人</w:t>
      </w:r>
      <w:r>
        <w:rPr>
          <w:rFonts w:hint="eastAsia" w:ascii="宋体" w:hAnsi="宋体" w:cs="宋体"/>
          <w:color w:val="auto"/>
          <w:kern w:val="0"/>
          <w:szCs w:val="21"/>
          <w:highlight w:val="none"/>
        </w:rPr>
        <w:t>提交投标文件的截止时间见投标须知前附表。</w:t>
      </w:r>
    </w:p>
    <w:p w14:paraId="6F47576F">
      <w:pPr>
        <w:wordWrap w:val="0"/>
        <w:adjustRightIn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10. 招标文件的澄清或者修改</w:t>
      </w:r>
    </w:p>
    <w:p w14:paraId="37FC3C96">
      <w:pPr>
        <w:wordWrap w:val="0"/>
        <w:adjustRightIn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10.1 招标人或者采购代理机构对己发出的招标文件进行必要澄清或者修改的，澄清或者修改的内容可能影响投标文件编制的，招标人或者采购代理机构应当在投标截止时间至少15日前，以书面形式通知所有获取招标文件的潜在</w:t>
      </w:r>
      <w:r>
        <w:rPr>
          <w:rFonts w:hint="eastAsia" w:ascii="宋体" w:hAnsi="宋体" w:cs="宋体"/>
          <w:color w:val="auto"/>
          <w:szCs w:val="21"/>
          <w:highlight w:val="none"/>
        </w:rPr>
        <w:t>投标人，并在招标公告发布媒体上发布澄清或变更公告</w:t>
      </w:r>
      <w:r>
        <w:rPr>
          <w:rFonts w:hint="eastAsia" w:ascii="宋体" w:hAnsi="宋体" w:cs="宋体"/>
          <w:color w:val="auto"/>
          <w:kern w:val="0"/>
          <w:szCs w:val="21"/>
          <w:highlight w:val="none"/>
        </w:rPr>
        <w:t>。该澄清或者修改的内容为招标文件的组成部分。</w:t>
      </w:r>
    </w:p>
    <w:p w14:paraId="09855196">
      <w:pPr>
        <w:wordWrap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10.2 如果澄清或者修改发出的时间距规定的投标截止时间不足15日且可能影响投标人编制投标文件，招标人将相应顺延投标截止时间。</w:t>
      </w:r>
    </w:p>
    <w:p w14:paraId="76E41F8F">
      <w:pPr>
        <w:wordWrap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10.3 投标人认为招标文件存在歧视性条款或其它异议，应在收到招标文件之日或者招标文件公告期限届满之日起7个工作日内以书面形式向招标人或者采购代理机构提出。</w:t>
      </w:r>
    </w:p>
    <w:p w14:paraId="408605BB">
      <w:pPr>
        <w:pStyle w:val="89"/>
        <w:wordWrap w:val="0"/>
        <w:spacing w:line="360" w:lineRule="auto"/>
        <w:jc w:val="center"/>
        <w:outlineLvl w:val="0"/>
        <w:rPr>
          <w:rFonts w:ascii="宋体" w:hAnsi="宋体" w:cs="宋体"/>
          <w:b/>
          <w:bCs/>
          <w:color w:val="auto"/>
          <w:sz w:val="32"/>
          <w:szCs w:val="32"/>
          <w:highlight w:val="none"/>
        </w:rPr>
      </w:pPr>
      <w:bookmarkStart w:id="21" w:name="_Toc31554"/>
      <w:r>
        <w:rPr>
          <w:rFonts w:hint="eastAsia" w:ascii="宋体" w:hAnsi="宋体" w:cs="宋体"/>
          <w:b/>
          <w:bCs/>
          <w:color w:val="auto"/>
          <w:sz w:val="32"/>
          <w:szCs w:val="32"/>
          <w:highlight w:val="none"/>
        </w:rPr>
        <w:t>三、投标文件</w:t>
      </w:r>
      <w:bookmarkEnd w:id="21"/>
    </w:p>
    <w:p w14:paraId="63536EA2">
      <w:pPr>
        <w:wordWrap w:val="0"/>
        <w:adjustRightIn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11. 一般要求</w:t>
      </w:r>
    </w:p>
    <w:p w14:paraId="3D7D80FC">
      <w:pPr>
        <w:wordWrap w:val="0"/>
        <w:adjustRightInd w:val="0"/>
        <w:spacing w:line="360" w:lineRule="auto"/>
        <w:ind w:firstLine="420" w:firstLineChars="200"/>
        <w:rPr>
          <w:rFonts w:ascii="宋体" w:hAnsi="宋体" w:cs="宋体"/>
          <w:color w:val="auto"/>
          <w:szCs w:val="21"/>
          <w:highlight w:val="none"/>
        </w:rPr>
      </w:pPr>
      <w:r>
        <w:rPr>
          <w:rFonts w:hint="eastAsia" w:ascii="宋体" w:hAnsi="宋体" w:cs="宋体"/>
          <w:color w:val="auto"/>
          <w:kern w:val="0"/>
          <w:szCs w:val="21"/>
          <w:highlight w:val="none"/>
        </w:rPr>
        <w:t>11.1 投标人应仔细阅读招标文件的所有内容，</w:t>
      </w:r>
      <w:r>
        <w:rPr>
          <w:rFonts w:hint="eastAsia" w:ascii="宋体" w:hAnsi="宋体" w:cs="宋体"/>
          <w:color w:val="auto"/>
          <w:szCs w:val="21"/>
          <w:highlight w:val="none"/>
        </w:rPr>
        <w:t>在充分理解招标文件提出的各项条款和要求后，制作投标文件。</w:t>
      </w:r>
    </w:p>
    <w:p w14:paraId="6D25A85C">
      <w:pPr>
        <w:wordWrap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szCs w:val="21"/>
          <w:highlight w:val="none"/>
        </w:rPr>
        <w:t>11.2 投标人制作的投标文件应当对招标文件作出实质性响应，且</w:t>
      </w:r>
      <w:r>
        <w:rPr>
          <w:rFonts w:hint="eastAsia" w:ascii="宋体" w:hAnsi="宋体" w:cs="宋体"/>
          <w:color w:val="auto"/>
          <w:kern w:val="0"/>
          <w:szCs w:val="21"/>
          <w:highlight w:val="none"/>
        </w:rPr>
        <w:t>投标人应保证所提供的全部资料的真实性。</w:t>
      </w:r>
    </w:p>
    <w:p w14:paraId="17C9326B">
      <w:pPr>
        <w:wordWrap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 xml:space="preserve">11.3 </w:t>
      </w:r>
      <w:r>
        <w:rPr>
          <w:rFonts w:hint="eastAsia" w:ascii="宋体" w:hAnsi="宋体" w:cs="宋体"/>
          <w:color w:val="auto"/>
          <w:szCs w:val="21"/>
          <w:highlight w:val="none"/>
        </w:rPr>
        <w:t>投标人对招标文件所要求的任何条款有偏离的，均应按本招标文件所附的技术或商务偏离表格式逐一填报，如未在偏离表中填报，则招标人/采购代理机构有充分理由认为投标人已响应或满足招标文件的部分或全部条款。</w:t>
      </w:r>
    </w:p>
    <w:p w14:paraId="02587BE5">
      <w:pPr>
        <w:wordWrap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11.4 投标语言</w:t>
      </w:r>
    </w:p>
    <w:p w14:paraId="7F0D209E">
      <w:pPr>
        <w:wordWrap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11.4.1 投标人提交的投标文件及投标人与招标人或采购代理机构就有关招标活动的所有来往函电均应使用中文。</w:t>
      </w:r>
      <w:r>
        <w:rPr>
          <w:rFonts w:hint="eastAsia" w:ascii="宋体" w:hAnsi="宋体" w:cs="宋体"/>
          <w:color w:val="auto"/>
          <w:szCs w:val="21"/>
          <w:highlight w:val="none"/>
        </w:rPr>
        <w:t>如果投标人提供的文件资料以其它语言书写，投标人应将其译成中文作为投标的语言，如有差异，以中文为准。</w:t>
      </w:r>
    </w:p>
    <w:p w14:paraId="634450F6">
      <w:pPr>
        <w:wordWrap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11.5 计量单位</w:t>
      </w:r>
    </w:p>
    <w:p w14:paraId="053234FD">
      <w:pPr>
        <w:wordWrap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11.5.1 投标文件应使用我国法定计量单位，未注明计量单位的默认为我国法定计量单位。</w:t>
      </w:r>
    </w:p>
    <w:p w14:paraId="5A19FC86">
      <w:pPr>
        <w:wordWrap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11.6 投标文件应采用书面形式，传真、电子邮件形式的投标文件概不接受。</w:t>
      </w:r>
    </w:p>
    <w:p w14:paraId="6EC44C54">
      <w:pPr>
        <w:wordWrap w:val="0"/>
        <w:adjustRightInd w:val="0"/>
        <w:spacing w:line="360" w:lineRule="auto"/>
        <w:ind w:firstLine="420" w:firstLineChars="200"/>
        <w:rPr>
          <w:rFonts w:ascii="宋体" w:hAnsi="宋体" w:cs="宋体"/>
          <w:color w:val="auto"/>
          <w:szCs w:val="21"/>
          <w:highlight w:val="none"/>
        </w:rPr>
      </w:pPr>
      <w:r>
        <w:rPr>
          <w:rFonts w:hint="eastAsia" w:ascii="宋体" w:hAnsi="宋体" w:cs="宋体"/>
          <w:color w:val="auto"/>
          <w:kern w:val="0"/>
          <w:szCs w:val="21"/>
          <w:highlight w:val="none"/>
        </w:rPr>
        <w:t xml:space="preserve">11.7 </w:t>
      </w:r>
      <w:r>
        <w:rPr>
          <w:rFonts w:hint="eastAsia" w:ascii="宋体" w:hAnsi="宋体" w:cs="宋体"/>
          <w:color w:val="auto"/>
          <w:szCs w:val="21"/>
          <w:highlight w:val="none"/>
        </w:rPr>
        <w:t>投标人</w:t>
      </w:r>
      <w:r>
        <w:rPr>
          <w:rFonts w:hint="eastAsia" w:ascii="宋体" w:hAnsi="宋体" w:cs="宋体"/>
          <w:color w:val="auto"/>
          <w:kern w:val="0"/>
          <w:szCs w:val="21"/>
          <w:highlight w:val="none"/>
        </w:rPr>
        <w:t>应按招标文件中提供的投标文件格式填写。</w:t>
      </w:r>
      <w:r>
        <w:rPr>
          <w:rFonts w:hint="eastAsia" w:ascii="宋体" w:hAnsi="宋体" w:cs="宋体"/>
          <w:color w:val="auto"/>
          <w:szCs w:val="21"/>
          <w:highlight w:val="none"/>
        </w:rPr>
        <w:t>本招标文件提供了一部分用于编制投标文件时的必要格式，投标人应按所提供的格式填报，格式可扩展。对于招标文件中未提供格式的投标内容，由投标人自行编制。</w:t>
      </w:r>
    </w:p>
    <w:p w14:paraId="5C6EA045">
      <w:pPr>
        <w:wordWrap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11.8 投标文件全部采用电子文档，除投标人须知前附表另有规定外，投标文件所附证书证件均为原件扫描件，并采用单位和个人数字证书，</w:t>
      </w:r>
      <w:r>
        <w:rPr>
          <w:rFonts w:hint="eastAsia" w:ascii="宋体" w:hAnsi="宋体" w:cs="宋体"/>
          <w:b/>
          <w:bCs/>
          <w:color w:val="auto"/>
          <w:sz w:val="36"/>
          <w:szCs w:val="36"/>
          <w:highlight w:val="none"/>
        </w:rPr>
        <w:t>*</w:t>
      </w:r>
      <w:r>
        <w:rPr>
          <w:rFonts w:hint="eastAsia" w:ascii="宋体" w:hAnsi="宋体" w:cs="宋体"/>
          <w:color w:val="auto"/>
          <w:kern w:val="0"/>
          <w:szCs w:val="21"/>
          <w:highlight w:val="none"/>
        </w:rPr>
        <w:t>按招标文件要求在相应位置加盖单位公章。由投标人的法定代表人（单位负责人）签字或盖章的，应附法定代表人（单位负责人）身份证明，由代理人签字的，应附由法定代表人（单位负责人）签署的授权委托书。</w:t>
      </w:r>
    </w:p>
    <w:p w14:paraId="4FA61C2F">
      <w:pPr>
        <w:wordWrap w:val="0"/>
        <w:adjustRightIn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12. 投标文件的组成及编制</w:t>
      </w:r>
    </w:p>
    <w:p w14:paraId="1C236351">
      <w:pPr>
        <w:wordWrap w:val="0"/>
        <w:adjustRightInd w:val="0"/>
        <w:spacing w:line="360" w:lineRule="auto"/>
        <w:ind w:firstLine="420" w:firstLineChars="200"/>
        <w:rPr>
          <w:rFonts w:ascii="宋体" w:hAnsi="宋体" w:cs="宋体"/>
          <w:color w:val="auto"/>
          <w:kern w:val="0"/>
          <w:szCs w:val="21"/>
          <w:highlight w:val="none"/>
        </w:rPr>
      </w:pPr>
      <w:bookmarkStart w:id="22" w:name="_Hlk45871536"/>
      <w:r>
        <w:rPr>
          <w:rFonts w:hint="eastAsia" w:ascii="宋体" w:hAnsi="宋体" w:cs="宋体"/>
          <w:color w:val="auto"/>
          <w:kern w:val="0"/>
          <w:szCs w:val="21"/>
          <w:highlight w:val="none"/>
        </w:rPr>
        <w:t>12.1 投标文件必须按照第六章投标文件格式编制，</w:t>
      </w:r>
      <w:r>
        <w:rPr>
          <w:rFonts w:hint="eastAsia" w:ascii="宋体" w:hAnsi="宋体" w:cs="宋体"/>
          <w:color w:val="auto"/>
          <w:szCs w:val="21"/>
          <w:highlight w:val="none"/>
        </w:rPr>
        <w:t>投标人应按照下列内容和顺序编制投标文件</w:t>
      </w:r>
      <w:r>
        <w:rPr>
          <w:rFonts w:hint="eastAsia" w:ascii="宋体" w:hAnsi="宋体" w:cs="宋体"/>
          <w:color w:val="auto"/>
          <w:kern w:val="0"/>
          <w:szCs w:val="21"/>
          <w:highlight w:val="none"/>
        </w:rPr>
        <w:t>：</w:t>
      </w:r>
    </w:p>
    <w:p w14:paraId="67528DC8">
      <w:pPr>
        <w:pStyle w:val="172"/>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一、投标函</w:t>
      </w:r>
    </w:p>
    <w:p w14:paraId="500933B2">
      <w:pPr>
        <w:pStyle w:val="172"/>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二、投标保证金</w:t>
      </w:r>
    </w:p>
    <w:p w14:paraId="2AA3FA55">
      <w:pPr>
        <w:pStyle w:val="172"/>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三、联合体协议书（本项目不适用）</w:t>
      </w:r>
    </w:p>
    <w:p w14:paraId="4CCA9E1B">
      <w:pPr>
        <w:pStyle w:val="172"/>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四、开标一览表及投标报价明细表</w:t>
      </w:r>
    </w:p>
    <w:p w14:paraId="7BD8F8C7">
      <w:pPr>
        <w:pStyle w:val="172"/>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五、投标投标人基本情况表</w:t>
      </w:r>
    </w:p>
    <w:p w14:paraId="641D868A">
      <w:pPr>
        <w:pStyle w:val="172"/>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六、资格审查资料</w:t>
      </w:r>
    </w:p>
    <w:p w14:paraId="73BD0196">
      <w:pPr>
        <w:pStyle w:val="172"/>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七、类似项目业绩表</w:t>
      </w:r>
    </w:p>
    <w:p w14:paraId="7DABA1D8">
      <w:pPr>
        <w:pStyle w:val="172"/>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八、服务承诺书</w:t>
      </w:r>
    </w:p>
    <w:p w14:paraId="4215B922">
      <w:pPr>
        <w:pStyle w:val="172"/>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九、技术/商务响应与偏离表</w:t>
      </w:r>
    </w:p>
    <w:p w14:paraId="44F3A9F4">
      <w:pPr>
        <w:pStyle w:val="172"/>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十、投标人自行编写的技术文件</w:t>
      </w:r>
    </w:p>
    <w:p w14:paraId="2456984E">
      <w:pPr>
        <w:pStyle w:val="172"/>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十一、投标人自行编写的服务方案</w:t>
      </w:r>
    </w:p>
    <w:p w14:paraId="64F9088F">
      <w:pPr>
        <w:pStyle w:val="172"/>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十二、投标人认为需要提供的其他资料</w:t>
      </w:r>
    </w:p>
    <w:bookmarkEnd w:id="22"/>
    <w:p w14:paraId="4F70524A">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12.2 招标文件第六章提供了一部分用于编制投标文件时的必要格式，投标人应按所提供的格式填报，填写时可根据项目具体情况调整和扩展。对于招标文件中未提供格式的投标内容，由投标人自行编制。</w:t>
      </w:r>
    </w:p>
    <w:p w14:paraId="07EB2703">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12.3 投标人应充分结合本招标文件第三章《评标办法》中的评标细则，编制投标文件。</w:t>
      </w:r>
    </w:p>
    <w:p w14:paraId="484D32E6">
      <w:pPr>
        <w:wordWrap w:val="0"/>
        <w:adjustRightIn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12.4 </w:t>
      </w:r>
      <w:r>
        <w:rPr>
          <w:rFonts w:hint="eastAsia" w:ascii="宋体" w:hAnsi="宋体" w:cs="宋体"/>
          <w:b/>
          <w:bCs/>
          <w:color w:val="auto"/>
          <w:sz w:val="36"/>
          <w:szCs w:val="36"/>
          <w:highlight w:val="none"/>
        </w:rPr>
        <w:t>*</w:t>
      </w:r>
      <w:r>
        <w:rPr>
          <w:rFonts w:hint="eastAsia" w:ascii="宋体" w:hAnsi="宋体" w:cs="宋体"/>
          <w:b/>
          <w:color w:val="auto"/>
          <w:szCs w:val="21"/>
          <w:highlight w:val="none"/>
        </w:rPr>
        <w:t>投标文件</w:t>
      </w:r>
      <w:r>
        <w:rPr>
          <w:rFonts w:hint="eastAsia" w:ascii="宋体" w:hAnsi="宋体" w:cs="宋体"/>
          <w:color w:val="auto"/>
          <w:szCs w:val="21"/>
          <w:highlight w:val="none"/>
        </w:rPr>
        <w:t>在首页编制“投标文件目录”并标注准确的页码索引。投标文件封面应标明采购项目名称、采购内容、项目编号、招标人名称、投标人名称、投标人地址、联系人、联系方式等内容。</w:t>
      </w:r>
    </w:p>
    <w:p w14:paraId="1C622AC8">
      <w:pPr>
        <w:wordWrap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szCs w:val="21"/>
          <w:highlight w:val="none"/>
        </w:rPr>
        <w:t>12.5 投标人应按《投标人须知前附表》要求的份数同时提供电子版（光盘）和纸质版投标文件。</w:t>
      </w:r>
    </w:p>
    <w:p w14:paraId="3F92BFC8">
      <w:pPr>
        <w:wordWrap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12.6 根据《中华人民共和国政府采购法》第四十二条的规定，投标人无论中标与否，其投标文件均不予退还。</w:t>
      </w:r>
    </w:p>
    <w:p w14:paraId="1EFC10B6">
      <w:pPr>
        <w:wordWrap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12.7 投标人根据招标文件的规定和采购项目的实际情况，拟在中标后将中标项目的非主体、非关键性工作分包的，应当在投标文件中载明分包承担主体，分包承担主体应当具备相应资质条件且不得再次分包，该部分应与“投标人的资格证明材料”编制在同一章节，列表说明拟分包项目的具体内容、分包承担主体及其资质条件，并附入分包承担主体的法人营业执照副本及其它资质证明文件。</w:t>
      </w:r>
    </w:p>
    <w:p w14:paraId="36058639">
      <w:pPr>
        <w:wordWrap w:val="0"/>
        <w:adjustRightIn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13. 投标报价</w:t>
      </w:r>
    </w:p>
    <w:p w14:paraId="08EA5E16">
      <w:pPr>
        <w:wordWrap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13.1 投标货币</w:t>
      </w:r>
    </w:p>
    <w:p w14:paraId="52C4641A">
      <w:pPr>
        <w:wordWrap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以人民币报价，以元为单位，保留小数点后两位。</w:t>
      </w:r>
    </w:p>
    <w:p w14:paraId="4747DC87">
      <w:pPr>
        <w:wordWrap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13.2 投标报价是履行合同的最终价格，应包括为完成本项目招标范围内所有内容产生的全部费用。</w:t>
      </w:r>
    </w:p>
    <w:p w14:paraId="6FC51FB3">
      <w:pPr>
        <w:wordWrap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13.3 投标报价应按填报准确、齐全，</w:t>
      </w:r>
      <w:r>
        <w:rPr>
          <w:rFonts w:hint="eastAsia" w:ascii="宋体" w:hAnsi="宋体" w:cs="宋体"/>
          <w:color w:val="auto"/>
          <w:szCs w:val="21"/>
          <w:highlight w:val="none"/>
        </w:rPr>
        <w:t>投标人免费提供的项目，应注明免费。</w:t>
      </w:r>
      <w:r>
        <w:rPr>
          <w:rFonts w:hint="eastAsia" w:ascii="宋体" w:hAnsi="宋体" w:cs="宋体"/>
          <w:color w:val="auto"/>
          <w:kern w:val="0"/>
          <w:szCs w:val="21"/>
          <w:highlight w:val="none"/>
        </w:rPr>
        <w:t>投标人漏报、少报的费用，视为已包含在其他报价中，中标后不予调整。</w:t>
      </w:r>
      <w:r>
        <w:rPr>
          <w:rFonts w:hint="eastAsia" w:ascii="宋体" w:hAnsi="宋体" w:cs="宋体"/>
          <w:b/>
          <w:bCs/>
          <w:color w:val="auto"/>
          <w:sz w:val="36"/>
          <w:szCs w:val="36"/>
          <w:highlight w:val="none"/>
        </w:rPr>
        <w:t>*</w:t>
      </w:r>
      <w:r>
        <w:rPr>
          <w:rFonts w:hint="eastAsia" w:ascii="宋体" w:hAnsi="宋体" w:cs="宋体"/>
          <w:b/>
          <w:color w:val="auto"/>
          <w:kern w:val="0"/>
          <w:szCs w:val="21"/>
          <w:highlight w:val="none"/>
        </w:rPr>
        <w:t>任何有选择性的投标报价将被认为未实质响应招标文件而被视为投标无效。</w:t>
      </w:r>
    </w:p>
    <w:p w14:paraId="75827A09">
      <w:pPr>
        <w:wordWrap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13.4投标人应按第六章“投标文件格式”所提供的报价表格式填写。若投标人在本章第11.1款规定的提交投标文件截止时间前修改开标一览表中的报价，应同时修改其按第六章要求填写的相应报价表中的报价。此修改须符合本章第21.1款的有关要求。</w:t>
      </w:r>
    </w:p>
    <w:p w14:paraId="383B9E12">
      <w:pPr>
        <w:wordWrap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13.5 投标文件中标明的价格在合同执行过程中是固定不变的，投标人不得以任何理由予以变更。</w:t>
      </w:r>
    </w:p>
    <w:p w14:paraId="7D1E6A0A">
      <w:pPr>
        <w:wordWrap w:val="0"/>
        <w:adjustRightInd w:val="0"/>
        <w:spacing w:line="360" w:lineRule="auto"/>
        <w:ind w:firstLine="420" w:firstLineChars="200"/>
        <w:rPr>
          <w:rFonts w:ascii="宋体" w:hAnsi="宋体" w:cs="宋体"/>
          <w:b/>
          <w:color w:val="auto"/>
          <w:kern w:val="0"/>
          <w:szCs w:val="21"/>
          <w:highlight w:val="none"/>
        </w:rPr>
      </w:pPr>
      <w:r>
        <w:rPr>
          <w:rFonts w:hint="eastAsia" w:ascii="宋体" w:hAnsi="宋体" w:cs="宋体"/>
          <w:color w:val="auto"/>
          <w:kern w:val="0"/>
          <w:szCs w:val="21"/>
          <w:highlight w:val="none"/>
        </w:rPr>
        <w:t>13.6 本采购项目预算详见投标须知前附表，</w:t>
      </w:r>
      <w:r>
        <w:rPr>
          <w:rFonts w:hint="eastAsia" w:ascii="宋体" w:hAnsi="宋体" w:cs="宋体"/>
          <w:b/>
          <w:bCs/>
          <w:color w:val="auto"/>
          <w:sz w:val="36"/>
          <w:szCs w:val="36"/>
          <w:highlight w:val="none"/>
        </w:rPr>
        <w:t>*</w:t>
      </w:r>
      <w:r>
        <w:rPr>
          <w:rFonts w:hint="eastAsia" w:ascii="宋体" w:hAnsi="宋体" w:cs="宋体"/>
          <w:b/>
          <w:color w:val="auto"/>
          <w:kern w:val="0"/>
          <w:szCs w:val="21"/>
          <w:highlight w:val="none"/>
        </w:rPr>
        <w:t>投标人的报价不得超过采购项目预算，否则投标无效。</w:t>
      </w:r>
    </w:p>
    <w:p w14:paraId="30AFC4B2">
      <w:pPr>
        <w:wordWrap w:val="0"/>
        <w:adjustRightIn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14. 投标人符合招标文件规定的证明文件</w:t>
      </w:r>
    </w:p>
    <w:p w14:paraId="62BFA8E4">
      <w:pPr>
        <w:wordWrap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14.1 投标人应提供资格证明材料，以证实其各项条件能满足本章第3.1款规定的投标人资格条件要求。</w:t>
      </w:r>
    </w:p>
    <w:p w14:paraId="1A06FEF6">
      <w:pPr>
        <w:wordWrap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14.2 投标人为联合体形式的，则应提交联合体各方资格文件、联合体协议，否则将视为非实质投标而被拒绝。</w:t>
      </w:r>
    </w:p>
    <w:p w14:paraId="64D3D1B9">
      <w:pPr>
        <w:wordWrap w:val="0"/>
        <w:adjustRightIn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15. 投标保证金</w:t>
      </w:r>
    </w:p>
    <w:p w14:paraId="4212B336">
      <w:pPr>
        <w:wordWrap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15.1</w:t>
      </w:r>
      <w:r>
        <w:rPr>
          <w:rFonts w:hint="eastAsia" w:ascii="宋体" w:hAnsi="宋体" w:cs="宋体"/>
          <w:b/>
          <w:bCs/>
          <w:color w:val="auto"/>
          <w:sz w:val="36"/>
          <w:szCs w:val="36"/>
          <w:highlight w:val="none"/>
        </w:rPr>
        <w:t>*</w:t>
      </w:r>
      <w:r>
        <w:rPr>
          <w:rFonts w:hint="eastAsia" w:ascii="宋体" w:hAnsi="宋体" w:cs="宋体"/>
          <w:b/>
          <w:color w:val="auto"/>
          <w:kern w:val="0"/>
          <w:szCs w:val="21"/>
          <w:highlight w:val="none"/>
        </w:rPr>
        <w:t>投标须知前附表规定提交投标保证金的，投标人应按投标须知前附表规定的形式、金额，在本章第11.1款规定的提交投标文件截止时间前，提交投标保证金。投标保证金有效期应当与本章第15.1款规定的投标文件有效期一致。</w:t>
      </w:r>
    </w:p>
    <w:p w14:paraId="4BEC6E4F">
      <w:pPr>
        <w:wordWrap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15.2 投标人为联合体的，可以由联合体中的主办方或者联合体各方共同提交投标保证金，其提交的投标保证金，对联合体各方均具有约束力。</w:t>
      </w:r>
    </w:p>
    <w:p w14:paraId="58776A84">
      <w:pPr>
        <w:wordWrap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15.3 投标人在投标截止时间前撤回已递交的投标文件的，招标人或者采购代理机构应当自收到投标人书面撤回通知之日起5个工作日内，退还已收取的投标保证金，但因投标人自身原因导致无法及时退还的除外。</w:t>
      </w:r>
    </w:p>
    <w:p w14:paraId="0A662409">
      <w:pPr>
        <w:wordWrap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招标人或者采购代理机构应当自中标通知书发出之日起5个工作日内退还未中标人的投标保证金，自采购合同签订之日起5个工作日内退还中标人的投标保证金或者转为中标人的履约保证金。</w:t>
      </w:r>
    </w:p>
    <w:p w14:paraId="40AA85AD">
      <w:pPr>
        <w:wordWrap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 xml:space="preserve">15.4 </w:t>
      </w:r>
      <w:r>
        <w:rPr>
          <w:rFonts w:hint="eastAsia" w:ascii="宋体" w:hAnsi="宋体" w:cs="宋体"/>
          <w:b/>
          <w:bCs/>
          <w:color w:val="auto"/>
          <w:sz w:val="36"/>
          <w:szCs w:val="36"/>
          <w:highlight w:val="none"/>
        </w:rPr>
        <w:t>*</w:t>
      </w:r>
      <w:r>
        <w:rPr>
          <w:rFonts w:hint="eastAsia" w:ascii="宋体" w:hAnsi="宋体" w:cs="宋体"/>
          <w:b/>
          <w:color w:val="auto"/>
          <w:kern w:val="0"/>
          <w:szCs w:val="21"/>
          <w:highlight w:val="none"/>
        </w:rPr>
        <w:t>有下列情形之一的，投标保证金不予退还：</w:t>
      </w:r>
    </w:p>
    <w:p w14:paraId="056D7EB0">
      <w:pPr>
        <w:wordWrap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15.4.1 投标人在投标有效期内撤销投标文件的；</w:t>
      </w:r>
    </w:p>
    <w:p w14:paraId="177FBBE0">
      <w:pPr>
        <w:wordWrap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15.4.2 中标后无正当理由不与招标人签订合同的；</w:t>
      </w:r>
    </w:p>
    <w:p w14:paraId="22AFAF2A">
      <w:pPr>
        <w:wordWrap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15.4.3 将中标项目转让给他人，或者在投标文件中未说明，且未经招标人同意，将中标项目转包或部分分包给他人的；</w:t>
      </w:r>
    </w:p>
    <w:p w14:paraId="38B18596">
      <w:pPr>
        <w:wordWrap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15.4.4 中标人未按招标文件规定缴纳履约保证金的；</w:t>
      </w:r>
    </w:p>
    <w:p w14:paraId="0B3F1BB1">
      <w:pPr>
        <w:wordWrap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15.4.5 拒绝履行合同义务的。</w:t>
      </w:r>
    </w:p>
    <w:p w14:paraId="54746304">
      <w:pPr>
        <w:wordWrap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15.4.6 投标人恶意串通，妨碍其他投标人的竞争行为，损害招标人或者其他投标人的合法权益的。</w:t>
      </w:r>
    </w:p>
    <w:p w14:paraId="53DDADEB">
      <w:pPr>
        <w:wordWrap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15.4.7 投标人出现本章23.7款所述情形之一的，视为投标人串通投标，其投标无效。</w:t>
      </w:r>
    </w:p>
    <w:p w14:paraId="0789C5D9">
      <w:pPr>
        <w:wordWrap w:val="0"/>
        <w:adjustRightIn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16. 投标有效期</w:t>
      </w:r>
    </w:p>
    <w:p w14:paraId="5E9BB490">
      <w:pPr>
        <w:wordWrap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16.1 投标有效期见投标须知前附表，在此期间投标文件对投标人具有法律约束力，从本章第11.1款规定的提交投标文件截止时间之日起计算。</w:t>
      </w:r>
      <w:r>
        <w:rPr>
          <w:rFonts w:hint="eastAsia" w:ascii="宋体" w:hAnsi="宋体" w:cs="宋体"/>
          <w:b/>
          <w:bCs/>
          <w:color w:val="auto"/>
          <w:sz w:val="36"/>
          <w:szCs w:val="36"/>
          <w:highlight w:val="none"/>
        </w:rPr>
        <w:t>*</w:t>
      </w:r>
      <w:r>
        <w:rPr>
          <w:rFonts w:hint="eastAsia" w:ascii="宋体" w:hAnsi="宋体" w:cs="宋体"/>
          <w:b/>
          <w:color w:val="auto"/>
          <w:kern w:val="0"/>
          <w:szCs w:val="21"/>
          <w:highlight w:val="none"/>
        </w:rPr>
        <w:t>投标有效期不足的投标将被视为无效投标</w:t>
      </w:r>
      <w:r>
        <w:rPr>
          <w:rFonts w:hint="eastAsia" w:ascii="宋体" w:hAnsi="宋体" w:cs="宋体"/>
          <w:color w:val="auto"/>
          <w:kern w:val="0"/>
          <w:szCs w:val="21"/>
          <w:highlight w:val="none"/>
        </w:rPr>
        <w:t>。</w:t>
      </w:r>
    </w:p>
    <w:p w14:paraId="123582E3">
      <w:pPr>
        <w:wordWrap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16.2 投标文件中承诺的投标有效期应当不少于招标文件中载明的投标有效期。投标有效期内投标人撤销投标文件的，招标人或者采购代理机构可以不退还投标保证金。</w:t>
      </w:r>
    </w:p>
    <w:p w14:paraId="183D6662">
      <w:pPr>
        <w:wordWrap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16.3若遇特殊情况，招标人/采购代理机构可要求投标人同意延长投标有效期。相应的要求应以书面、电传、传真形式送达投标人，投标人应在规定的时间内书面答复招标人/采购代理机构。如果投标人接受延期，投标保证金的有效期也应相应延长。投标人也可以拒绝延期要求而无须以其投标保证金为抵押。任何同意延期的投标人都不会被要求或被允许修改其投标文件。</w:t>
      </w:r>
    </w:p>
    <w:p w14:paraId="4D3C452F">
      <w:pPr>
        <w:wordWrap w:val="0"/>
        <w:adjustRightIn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17. 投标文件的份数</w:t>
      </w:r>
    </w:p>
    <w:p w14:paraId="67FEAC10">
      <w:pPr>
        <w:wordWrap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17.1 投标文件的份数见投标须知前附表。</w:t>
      </w:r>
    </w:p>
    <w:p w14:paraId="60E1F507">
      <w:pPr>
        <w:pStyle w:val="89"/>
        <w:wordWrap w:val="0"/>
        <w:spacing w:line="360" w:lineRule="auto"/>
        <w:jc w:val="center"/>
        <w:outlineLvl w:val="0"/>
        <w:rPr>
          <w:rFonts w:ascii="宋体" w:hAnsi="宋体" w:cs="宋体"/>
          <w:b/>
          <w:bCs/>
          <w:color w:val="auto"/>
          <w:sz w:val="32"/>
          <w:szCs w:val="32"/>
          <w:highlight w:val="none"/>
        </w:rPr>
      </w:pPr>
      <w:bookmarkStart w:id="23" w:name="_Toc14447"/>
      <w:r>
        <w:rPr>
          <w:rFonts w:hint="eastAsia" w:ascii="宋体" w:hAnsi="宋体" w:cs="宋体"/>
          <w:b/>
          <w:bCs/>
          <w:color w:val="auto"/>
          <w:sz w:val="32"/>
          <w:szCs w:val="32"/>
          <w:highlight w:val="none"/>
        </w:rPr>
        <w:t>四、投标文件的递交</w:t>
      </w:r>
      <w:bookmarkEnd w:id="23"/>
    </w:p>
    <w:p w14:paraId="680039FB">
      <w:pPr>
        <w:wordWrap w:val="0"/>
        <w:adjustRightIn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18. 投标文件的密封和标记</w:t>
      </w:r>
    </w:p>
    <w:p w14:paraId="6FA9DE89">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18.1 投标人应当按照招标文件和电子招标投标交易平台的要求加密投标文件，具体要求见投标人须知前附表。</w:t>
      </w:r>
    </w:p>
    <w:p w14:paraId="04491C7A">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18.2未按本规定密封的投标文件，招标人将予以拒收。</w:t>
      </w:r>
    </w:p>
    <w:p w14:paraId="4B1CFB0B">
      <w:pPr>
        <w:wordWrap w:val="0"/>
        <w:adjustRightIn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19. 投标文件的补充、修改和撤回</w:t>
      </w:r>
    </w:p>
    <w:p w14:paraId="3B951E52">
      <w:pPr>
        <w:wordWrap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19.1 投标人在投标截止时间前，可以通过电子招标投标交易平台对所提交的投标文件进行补充、修改或者撤回。补充、修改的内容应当按照招标文件要求签署、盖章、密封后上传至电子招标投标交易平台。</w:t>
      </w:r>
    </w:p>
    <w:p w14:paraId="1161124E">
      <w:pPr>
        <w:wordWrap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19.2 补充、修改的内容与投标文件不一致时，以补充、修改的内容为准。</w:t>
      </w:r>
    </w:p>
    <w:p w14:paraId="0A4141AC">
      <w:pPr>
        <w:wordWrap w:val="0"/>
        <w:adjustRightIn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19.3 除非招标人/采购代理机构要求，投标人在投标截止时间后不得修改和补充其投标文件。</w:t>
      </w:r>
    </w:p>
    <w:p w14:paraId="15CC2F76">
      <w:pPr>
        <w:wordWrap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szCs w:val="21"/>
          <w:highlight w:val="none"/>
        </w:rPr>
        <w:t>19.4 投标人不得在投标截止时间起至投标文件有效期满前撤回投标文件，否则其投标保证金将不予退还。</w:t>
      </w:r>
    </w:p>
    <w:p w14:paraId="288EF42F">
      <w:pPr>
        <w:wordWrap w:val="0"/>
        <w:adjustRightIn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20. 投标文件的递交</w:t>
      </w:r>
    </w:p>
    <w:p w14:paraId="6793A6ED">
      <w:pPr>
        <w:wordWrap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20.1 投标人应在投标人须知前附表规定的投标截止时间前递交投标文件。</w:t>
      </w:r>
    </w:p>
    <w:p w14:paraId="6305BAA7">
      <w:pPr>
        <w:wordWrap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20.2 投标人通过下载招标文件的电子招标投标交易平台递交电子投标文件。</w:t>
      </w:r>
    </w:p>
    <w:p w14:paraId="7C2FF32B">
      <w:pPr>
        <w:wordWrap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20.3 除投标人须知前附表另有规定外，投标人所递交的投标文件不予退还。</w:t>
      </w:r>
    </w:p>
    <w:p w14:paraId="159A0A15">
      <w:pPr>
        <w:wordWrap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20.4 投标人完成电子投标文件上传后，电子招标投标交易平台即时向投标人发出递交回执通知。递交时间以递交回执通知载明的传输完成时间为准。</w:t>
      </w:r>
    </w:p>
    <w:p w14:paraId="16778E7E">
      <w:pPr>
        <w:wordWrap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20.5 逾期送达的投标文件，电子招标投标交易平台将予以拒收。</w:t>
      </w:r>
    </w:p>
    <w:p w14:paraId="4DFA7C29">
      <w:pPr>
        <w:pStyle w:val="89"/>
        <w:wordWrap w:val="0"/>
        <w:spacing w:line="360" w:lineRule="auto"/>
        <w:jc w:val="center"/>
        <w:outlineLvl w:val="0"/>
        <w:rPr>
          <w:rFonts w:ascii="宋体" w:hAnsi="宋体" w:cs="宋体"/>
          <w:b/>
          <w:bCs/>
          <w:color w:val="auto"/>
          <w:sz w:val="32"/>
          <w:szCs w:val="32"/>
          <w:highlight w:val="none"/>
        </w:rPr>
      </w:pPr>
      <w:bookmarkStart w:id="24" w:name="_Toc10750"/>
      <w:r>
        <w:rPr>
          <w:rFonts w:hint="eastAsia" w:ascii="宋体" w:hAnsi="宋体" w:cs="宋体"/>
          <w:b/>
          <w:bCs/>
          <w:color w:val="auto"/>
          <w:sz w:val="32"/>
          <w:szCs w:val="32"/>
          <w:highlight w:val="none"/>
        </w:rPr>
        <w:t>五、开标和评标</w:t>
      </w:r>
      <w:bookmarkEnd w:id="24"/>
    </w:p>
    <w:p w14:paraId="4ADFAFEB">
      <w:pPr>
        <w:wordWrap w:val="0"/>
        <w:adjustRightIn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21. 开标</w:t>
      </w:r>
    </w:p>
    <w:p w14:paraId="1651432A">
      <w:pPr>
        <w:wordWrap w:val="0"/>
        <w:adjustRightInd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21.1 招标人、采购代理机构在投标须知前附表规定的投标截止时间（开标时间）,通过电子招标投标交易平台公开开标，所有投标人的法定代表人（单位负责人）或其委托代理人应当准时参加。</w:t>
      </w:r>
    </w:p>
    <w:p w14:paraId="75B1B666">
      <w:pPr>
        <w:wordWrap w:val="0"/>
        <w:adjustRightInd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21.2 主持人按下列程序进行开标：</w:t>
      </w:r>
    </w:p>
    <w:p w14:paraId="54B8CD9F">
      <w:pPr>
        <w:wordWrap w:val="0"/>
        <w:adjustRightInd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（1）宣布开标纪律；</w:t>
      </w:r>
    </w:p>
    <w:p w14:paraId="5704F5B6">
      <w:pPr>
        <w:wordWrap w:val="0"/>
        <w:adjustRightInd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（2）公布在投标截止时间前递交投标文件的投标人名称；</w:t>
      </w:r>
    </w:p>
    <w:p w14:paraId="047BE24E">
      <w:pPr>
        <w:wordWrap w:val="0"/>
        <w:adjustRightInd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（3）宣布开标人、唱标人、记录人、监标人等有关人员姓名；</w:t>
      </w:r>
    </w:p>
    <w:p w14:paraId="35C4419E">
      <w:pPr>
        <w:wordWrap w:val="0"/>
        <w:adjustRightInd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4）投标人通过电子招标投标交易平台对已递交的电子投标文件进行解密，公布招标项目名称、投标人名称、投标保证金的递交情况、投标报价、交付日期、交付地点及招标文件规定的需要宣布的其他内容，并记录在案；</w:t>
      </w:r>
    </w:p>
    <w:p w14:paraId="3F0BDEC0">
      <w:pPr>
        <w:wordWrap w:val="0"/>
        <w:adjustRightInd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（5）投标人代表、招标人代表、监标人、记录人等有关人员使用本人的电子印章在开标记录上签字确认；</w:t>
      </w:r>
    </w:p>
    <w:p w14:paraId="24DA4E25">
      <w:pPr>
        <w:wordWrap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bCs/>
          <w:color w:val="auto"/>
          <w:szCs w:val="21"/>
          <w:highlight w:val="none"/>
        </w:rPr>
        <w:t>（6）开标结束。</w:t>
      </w:r>
    </w:p>
    <w:p w14:paraId="23459C5B">
      <w:pPr>
        <w:wordWrap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21.3 开标结束后，招标人或者采购代理机构应当依法对投标人的资格进行审查。</w:t>
      </w:r>
    </w:p>
    <w:p w14:paraId="7530072C">
      <w:pPr>
        <w:wordWrap w:val="0"/>
        <w:adjustRightInd w:val="0"/>
        <w:spacing w:line="360" w:lineRule="auto"/>
        <w:ind w:firstLine="422" w:firstLineChars="200"/>
        <w:rPr>
          <w:rFonts w:ascii="宋体" w:hAnsi="宋体" w:cs="宋体"/>
          <w:b/>
          <w:color w:val="auto"/>
          <w:kern w:val="0"/>
          <w:szCs w:val="21"/>
          <w:highlight w:val="none"/>
        </w:rPr>
      </w:pPr>
      <w:r>
        <w:rPr>
          <w:rFonts w:hint="eastAsia" w:ascii="宋体" w:hAnsi="宋体" w:cs="宋体"/>
          <w:b/>
          <w:color w:val="auto"/>
          <w:kern w:val="0"/>
          <w:szCs w:val="21"/>
          <w:highlight w:val="none"/>
        </w:rPr>
        <w:t>如果资格审查合格的投标人不足3家，将不进行评标，</w:t>
      </w:r>
      <w:r>
        <w:rPr>
          <w:rFonts w:hint="eastAsia" w:ascii="宋体" w:hAnsi="宋体" w:cs="宋体"/>
          <w:b/>
          <w:color w:val="auto"/>
          <w:szCs w:val="21"/>
          <w:highlight w:val="none"/>
        </w:rPr>
        <w:t>招标人将依法重新组织招标或采用其它采购方式采购。</w:t>
      </w:r>
    </w:p>
    <w:p w14:paraId="56900C0B">
      <w:pPr>
        <w:wordWrap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21.6 投标人应当遵循公平竞争的原则，不得恶意串通，不得妨碍其他投标人的竞争行为，不得损害招标人或者其他投标人的合法权益。</w:t>
      </w:r>
    </w:p>
    <w:p w14:paraId="14AA9D04">
      <w:pPr>
        <w:wordWrap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在评标过程中发现投标人有上述情形的，评标委员会应当认定其</w:t>
      </w:r>
      <w:r>
        <w:rPr>
          <w:rFonts w:hint="eastAsia" w:ascii="宋体" w:hAnsi="宋体" w:cs="宋体"/>
          <w:b/>
          <w:color w:val="auto"/>
          <w:kern w:val="0"/>
          <w:szCs w:val="21"/>
          <w:highlight w:val="none"/>
        </w:rPr>
        <w:t>投标无效</w:t>
      </w:r>
      <w:r>
        <w:rPr>
          <w:rFonts w:hint="eastAsia" w:ascii="宋体" w:hAnsi="宋体" w:cs="宋体"/>
          <w:color w:val="auto"/>
          <w:kern w:val="0"/>
          <w:szCs w:val="21"/>
          <w:highlight w:val="none"/>
        </w:rPr>
        <w:t>，并书面报告本级财政部门。</w:t>
      </w:r>
    </w:p>
    <w:p w14:paraId="54A1409C">
      <w:pPr>
        <w:wordWrap w:val="0"/>
        <w:adjustRightInd w:val="0"/>
        <w:spacing w:line="360" w:lineRule="auto"/>
        <w:ind w:firstLine="422" w:firstLineChars="200"/>
        <w:rPr>
          <w:rFonts w:ascii="宋体" w:hAnsi="宋体" w:cs="宋体"/>
          <w:b/>
          <w:color w:val="auto"/>
          <w:kern w:val="0"/>
          <w:szCs w:val="21"/>
          <w:highlight w:val="none"/>
        </w:rPr>
      </w:pPr>
      <w:r>
        <w:rPr>
          <w:rFonts w:hint="eastAsia" w:ascii="宋体" w:hAnsi="宋体" w:cs="宋体"/>
          <w:b/>
          <w:color w:val="auto"/>
          <w:kern w:val="0"/>
          <w:szCs w:val="21"/>
          <w:highlight w:val="none"/>
        </w:rPr>
        <w:t xml:space="preserve">21.7 </w:t>
      </w:r>
      <w:r>
        <w:rPr>
          <w:rFonts w:hint="eastAsia" w:ascii="宋体" w:hAnsi="宋体" w:cs="宋体"/>
          <w:b/>
          <w:bCs/>
          <w:color w:val="auto"/>
          <w:sz w:val="36"/>
          <w:szCs w:val="36"/>
          <w:highlight w:val="none"/>
        </w:rPr>
        <w:t>*</w:t>
      </w:r>
      <w:r>
        <w:rPr>
          <w:rFonts w:hint="eastAsia" w:ascii="宋体" w:hAnsi="宋体" w:cs="宋体"/>
          <w:b/>
          <w:color w:val="auto"/>
          <w:kern w:val="0"/>
          <w:szCs w:val="21"/>
          <w:highlight w:val="none"/>
        </w:rPr>
        <w:t>有下列情形之一的，视为投标人串通投标，其投标无效，并对投标人依照《政府采购法》第七十七条的规定追究法律责任：</w:t>
      </w:r>
    </w:p>
    <w:p w14:paraId="2518072A">
      <w:pPr>
        <w:wordWrap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21.7.1 不同投标人的投标文件由同一单位或者个人编制；</w:t>
      </w:r>
    </w:p>
    <w:p w14:paraId="7F855C17">
      <w:pPr>
        <w:wordWrap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21.7.2 不同投标人委托同一单位或者个人办理投标事宜；</w:t>
      </w:r>
    </w:p>
    <w:p w14:paraId="71AFCBFD">
      <w:pPr>
        <w:wordWrap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21.7.3 不同投标人的投标文件载明的项目管理成员或者联系人员为同一人；</w:t>
      </w:r>
    </w:p>
    <w:p w14:paraId="09FEB6FE">
      <w:pPr>
        <w:wordWrap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21.7.4 不同投标人的投标文件异常一致或者投标报价呈规律性差异；</w:t>
      </w:r>
    </w:p>
    <w:p w14:paraId="3FF3652C">
      <w:pPr>
        <w:wordWrap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21.7.5 不同投标人的投标文件相互混装；</w:t>
      </w:r>
    </w:p>
    <w:p w14:paraId="216E148C">
      <w:pPr>
        <w:wordWrap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21.7.6 不同投标人的投标保证金从同一单位或者个人的账户转出。</w:t>
      </w:r>
    </w:p>
    <w:p w14:paraId="624AF966">
      <w:pPr>
        <w:wordWrap w:val="0"/>
        <w:adjustRightIn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22. 评标委员会</w:t>
      </w:r>
    </w:p>
    <w:p w14:paraId="69B94890">
      <w:pPr>
        <w:wordWrap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22.1 招标人或者采购代理机构负责组织评标工作，并履行下列职责：</w:t>
      </w:r>
    </w:p>
    <w:p w14:paraId="2A2C4A41">
      <w:pPr>
        <w:wordWrap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22.1.1核对评标专家身份和招标人代表授权函，对评标专家在政府采购活动中的职责履行情况予以记录，并及时将有关违法违规行为向财政部门报告；</w:t>
      </w:r>
    </w:p>
    <w:p w14:paraId="3A2DD24F">
      <w:pPr>
        <w:wordWrap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22.1.2宣布评标纪律；</w:t>
      </w:r>
    </w:p>
    <w:p w14:paraId="13AA2F61">
      <w:pPr>
        <w:wordWrap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22.1.3公布投标人名单，告知评标专家应当回避的情形；</w:t>
      </w:r>
    </w:p>
    <w:p w14:paraId="5725392E">
      <w:pPr>
        <w:wordWrap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22.1.4组织评标委员会推选评标组长，招标人代表不得担任组长；</w:t>
      </w:r>
    </w:p>
    <w:p w14:paraId="6819F154">
      <w:pPr>
        <w:wordWrap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22.1.5在评标期间采取必要的通讯管理措施，保证评标活动不受外界干扰；</w:t>
      </w:r>
    </w:p>
    <w:p w14:paraId="25718D4E">
      <w:pPr>
        <w:wordWrap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22.1.6根据评标委员会的要求介绍政府采购相关政策法规、招标文件；</w:t>
      </w:r>
    </w:p>
    <w:p w14:paraId="7754B291">
      <w:pPr>
        <w:wordWrap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22.1.7维护评标秩序，监督评标委员会依照招标文件规定的评标程序、方法和标准进行独立评标，及时制止和纠正招标人代表、评标专家的倾向性言论或者违法违规行为；</w:t>
      </w:r>
    </w:p>
    <w:p w14:paraId="53E9A0C7">
      <w:pPr>
        <w:wordWrap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22.1.8核对评标结果，有本招标文件投标须知正文第22.10条规定情形的，要求评标委员会复核或者书面说明理由，评标委员会拒绝的，应予记录并向本级财政部门报告；</w:t>
      </w:r>
    </w:p>
    <w:p w14:paraId="45D738DB">
      <w:pPr>
        <w:wordWrap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22.1.9评标工作完成后，按照规定向评标专家支付劳务报酬和异地评标差旅费，不得向评标专家以外的其他人员支付评标劳务报酬；</w:t>
      </w:r>
    </w:p>
    <w:p w14:paraId="5D590443">
      <w:pPr>
        <w:wordWrap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22.1.10处理与评标有关的其他事项。</w:t>
      </w:r>
    </w:p>
    <w:p w14:paraId="23F68246">
      <w:pPr>
        <w:wordWrap w:val="0"/>
        <w:adjustRightInd w:val="0"/>
        <w:spacing w:line="360" w:lineRule="auto"/>
        <w:ind w:firstLine="422" w:firstLineChars="200"/>
        <w:rPr>
          <w:rFonts w:ascii="宋体" w:hAnsi="宋体" w:cs="宋体"/>
          <w:b/>
          <w:color w:val="auto"/>
          <w:kern w:val="0"/>
          <w:szCs w:val="21"/>
          <w:highlight w:val="none"/>
        </w:rPr>
      </w:pPr>
      <w:r>
        <w:rPr>
          <w:rFonts w:hint="eastAsia" w:ascii="宋体" w:hAnsi="宋体" w:cs="宋体"/>
          <w:b/>
          <w:color w:val="auto"/>
          <w:kern w:val="0"/>
          <w:szCs w:val="21"/>
          <w:highlight w:val="none"/>
        </w:rPr>
        <w:t>招标人可以在评标前说明项目背景和采购需求，说明内容不得含有歧视性、倾向性意见，不得超出招标文件所述范围。说明应当提交书面材料，并随采购文件一并存档。</w:t>
      </w:r>
    </w:p>
    <w:p w14:paraId="5E579A7A">
      <w:pPr>
        <w:wordWrap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22.2 评标委员会负责具体评标事务，并独立履行下列职责：</w:t>
      </w:r>
    </w:p>
    <w:p w14:paraId="2239D238">
      <w:pPr>
        <w:wordWrap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22.2.1审查、评价投标文件是否符合招标文件的商务、技术等实质性要求；</w:t>
      </w:r>
    </w:p>
    <w:p w14:paraId="45ED99AD">
      <w:pPr>
        <w:wordWrap w:val="0"/>
        <w:adjustRightInd w:val="0"/>
        <w:spacing w:line="360" w:lineRule="auto"/>
        <w:ind w:firstLine="420" w:firstLineChars="200"/>
        <w:rPr>
          <w:rFonts w:ascii="宋体" w:hAnsi="宋体" w:cs="宋体"/>
          <w:color w:val="auto"/>
          <w:kern w:val="0"/>
          <w:szCs w:val="21"/>
          <w:highlight w:val="none"/>
        </w:rPr>
      </w:pPr>
      <w:bookmarkStart w:id="25" w:name="OLE_LINK4"/>
      <w:r>
        <w:rPr>
          <w:rFonts w:hint="eastAsia" w:ascii="宋体" w:hAnsi="宋体" w:cs="宋体"/>
          <w:color w:val="auto"/>
          <w:kern w:val="0"/>
          <w:szCs w:val="21"/>
          <w:highlight w:val="none"/>
        </w:rPr>
        <w:t>22.2.</w:t>
      </w:r>
      <w:bookmarkEnd w:id="25"/>
      <w:r>
        <w:rPr>
          <w:rFonts w:hint="eastAsia" w:ascii="宋体" w:hAnsi="宋体" w:cs="宋体"/>
          <w:color w:val="auto"/>
          <w:kern w:val="0"/>
          <w:szCs w:val="21"/>
          <w:highlight w:val="none"/>
        </w:rPr>
        <w:t>2要求投标人对投标文件有关事项作出澄清或者说明；</w:t>
      </w:r>
    </w:p>
    <w:p w14:paraId="2EC7DF46">
      <w:pPr>
        <w:wordWrap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22.2.3对投标文件进行比较和评价；</w:t>
      </w:r>
    </w:p>
    <w:p w14:paraId="59F0FFE4">
      <w:pPr>
        <w:wordWrap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22.2.4确定中标候选人名单，或者根据招标人委托直接确定中标人；</w:t>
      </w:r>
    </w:p>
    <w:p w14:paraId="01BDD9D6">
      <w:pPr>
        <w:wordWrap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22.2.5向招标人、采购代理机构或者有关部门报告评标中发现的违法行为。</w:t>
      </w:r>
    </w:p>
    <w:p w14:paraId="65810A9B">
      <w:pPr>
        <w:wordWrap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22.3 评标委员会由招标人代表和评标专家组成，成员人数应当为5人以上单数，其中评标专家不得少于成员总数的三分之二。评标委员会成员与投标人存在利害关系的，应当回避。</w:t>
      </w:r>
    </w:p>
    <w:p w14:paraId="532884D3">
      <w:pPr>
        <w:wordWrap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22.3.1 采购项目符合下列情形之一的，评标委员会成员人数应当为7人以上单数：</w:t>
      </w:r>
    </w:p>
    <w:p w14:paraId="748CD100">
      <w:pPr>
        <w:wordWrap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（1）采购预算金额在1000万元以上；</w:t>
      </w:r>
    </w:p>
    <w:p w14:paraId="0F008307">
      <w:pPr>
        <w:wordWrap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（2）技术复杂；</w:t>
      </w:r>
    </w:p>
    <w:p w14:paraId="20BA9460">
      <w:pPr>
        <w:wordWrap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（3）社会影响较大。</w:t>
      </w:r>
    </w:p>
    <w:p w14:paraId="37EC3CB0">
      <w:pPr>
        <w:wordWrap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22.3.2 评标专家对本单位的采购项目只能作为招标人代表参与评标，对技术复杂、专业性强的采购项目，通过随机方式难以确定合适评标专家的，经主管预算单位同意，招标人可以自行选定相应专业领域的评标专家情形除外。采购代理机构工作人员不得参加由本机构代理的政府采购项目的评标。</w:t>
      </w:r>
    </w:p>
    <w:p w14:paraId="53DB2477">
      <w:pPr>
        <w:wordWrap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22.3.3 评标委员会成员名单在评标结果公告前应当保密。</w:t>
      </w:r>
    </w:p>
    <w:p w14:paraId="16D4B1B2">
      <w:pPr>
        <w:wordWrap w:val="0"/>
        <w:adjustRightInd w:val="0"/>
        <w:spacing w:line="360" w:lineRule="auto"/>
        <w:ind w:firstLine="422" w:firstLineChars="200"/>
        <w:rPr>
          <w:rFonts w:ascii="宋体" w:hAnsi="宋体" w:cs="宋体"/>
          <w:b/>
          <w:color w:val="auto"/>
          <w:kern w:val="0"/>
          <w:szCs w:val="21"/>
          <w:highlight w:val="none"/>
        </w:rPr>
      </w:pPr>
      <w:r>
        <w:rPr>
          <w:rFonts w:hint="eastAsia" w:ascii="宋体" w:hAnsi="宋体" w:cs="宋体"/>
          <w:b/>
          <w:color w:val="auto"/>
          <w:kern w:val="0"/>
          <w:szCs w:val="21"/>
          <w:highlight w:val="none"/>
        </w:rPr>
        <w:t>22.4 招标人或者采购代理机构应当从省级以上财政部门设立的政府采购评标专家库中，通过随机方式抽取评标专家。本项目评标专家在政采云平台随机抽取。</w:t>
      </w:r>
    </w:p>
    <w:p w14:paraId="6AF2B34D">
      <w:pPr>
        <w:wordWrap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对技术复杂、专业性强的采购项目，通过随机方式难以确定合适评标专家的，经主管预算单位同意，招标人可以自行选定相应专业领域的评标专家。</w:t>
      </w:r>
    </w:p>
    <w:p w14:paraId="58A0C585">
      <w:pPr>
        <w:wordWrap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22.5 评标中因评标委员会成员缺席、回避或者健康等特殊原因导致评标委员会组成不符合《中华人民共和国政府采购法》、《中华人民共和国政府采购法实施条例》、《政府采购货物和服务招标投标管理办法》相关规定的，招标人或者采购代理机构应当依法补足后继续评标。被更换的评标委员会成员所作出的评标意见无效。</w:t>
      </w:r>
    </w:p>
    <w:p w14:paraId="6A1D8D13">
      <w:pPr>
        <w:wordWrap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无法及时补足评标委员会成员的，招标人或者采购代理机构应当停止评标活动，封存所有投标文件和开标、评标资料，依法重新组建评标委员会进行评标。原评标委员会所作出的评标意见无效。</w:t>
      </w:r>
    </w:p>
    <w:p w14:paraId="3B3C1115">
      <w:pPr>
        <w:wordWrap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招标人或者采购代理机构应当将变更、重新组建评标委员会的情况予以记录，并随采购文件一并存档。</w:t>
      </w:r>
    </w:p>
    <w:p w14:paraId="4C3791DA">
      <w:pPr>
        <w:wordWrap w:val="0"/>
        <w:adjustRightInd w:val="0"/>
        <w:spacing w:line="360" w:lineRule="auto"/>
        <w:ind w:firstLine="422" w:firstLineChars="200"/>
        <w:rPr>
          <w:rFonts w:ascii="宋体" w:hAnsi="宋体" w:cs="宋体"/>
          <w:b/>
          <w:color w:val="auto"/>
          <w:kern w:val="0"/>
          <w:szCs w:val="21"/>
          <w:highlight w:val="none"/>
        </w:rPr>
      </w:pPr>
      <w:r>
        <w:rPr>
          <w:rFonts w:hint="eastAsia" w:ascii="宋体" w:hAnsi="宋体" w:cs="宋体"/>
          <w:b/>
          <w:color w:val="auto"/>
          <w:kern w:val="0"/>
          <w:szCs w:val="21"/>
          <w:highlight w:val="none"/>
        </w:rPr>
        <w:t>22.6  招标人委派代表参加评标委员会的，应当向采购代理机构出具授权函，招标人代表不得担任评标委员会主任委员。除授权代表外，招标人可以委派纪检监察等相关人员进入评标现场，对评标工作实施监督，但不得超过2人。</w:t>
      </w:r>
    </w:p>
    <w:p w14:paraId="3F24E155">
      <w:pPr>
        <w:wordWrap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22.7  评标委员会成员应认真执行《中华人民共和国政府采购法》、《中华人民共和国政府采购法实施条例》、《政府采购货物和服务招标投标管理办法》及相关法规规定，同时维护招标人与投标人的合法权益。</w:t>
      </w:r>
    </w:p>
    <w:p w14:paraId="465D9BBB">
      <w:pPr>
        <w:wordWrap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22.8 评标委员会及其成员不得有下列行为：</w:t>
      </w:r>
    </w:p>
    <w:p w14:paraId="1C1E0D0C">
      <w:pPr>
        <w:wordWrap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（1）确定参与评标至评标结束前私自接触投标人；</w:t>
      </w:r>
    </w:p>
    <w:p w14:paraId="4E3C50D9">
      <w:pPr>
        <w:wordWrap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（2）接受投标人提出的与投标文件不一致的澄清或者说明，本招标文件投标须知正文第22.2条规定的情形除外；</w:t>
      </w:r>
    </w:p>
    <w:p w14:paraId="63665CA9">
      <w:pPr>
        <w:wordWrap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（3）违反评标纪律发表倾向性意见或者征询招标人的倾向性意见；</w:t>
      </w:r>
    </w:p>
    <w:p w14:paraId="50A48C27">
      <w:pPr>
        <w:wordWrap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（4）对需要专业判断的主观评标因素协商评分；</w:t>
      </w:r>
    </w:p>
    <w:p w14:paraId="1B32083C">
      <w:pPr>
        <w:wordWrap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（5）在评标过程中擅离职守，影响评标程序正常进行的；</w:t>
      </w:r>
    </w:p>
    <w:p w14:paraId="43BEBFE6">
      <w:pPr>
        <w:wordWrap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（6）记录、复制或者带走任何评标资料；</w:t>
      </w:r>
    </w:p>
    <w:p w14:paraId="5AF24E4A">
      <w:pPr>
        <w:wordWrap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（7）其他不遵守评标纪律的行为。</w:t>
      </w:r>
    </w:p>
    <w:p w14:paraId="3926450A">
      <w:pPr>
        <w:wordWrap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评标委员会成员有以上任何一项行为之一的，其评标意见无效，并不得获取评标劳务报酬和报销异地评标差旅费。</w:t>
      </w:r>
    </w:p>
    <w:p w14:paraId="25D75860">
      <w:pPr>
        <w:wordWrap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22.9评标委员会成员要严格遵守评标时间，主动出具身份证明，遵守评标工作纪律和评标回避的相关规定。在评标工作开始前，将手机等通讯工具或相关电子设备交由招标人或采购代理机构统一保管，拒不上交的，招标人或采购代理机构可以拒绝其参加评标工作并向财政部门报告。</w:t>
      </w:r>
    </w:p>
    <w:p w14:paraId="11AB453D">
      <w:pPr>
        <w:wordWrap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评标委员会成员和评标工作有关人员不得干预或者影响正常评标工作，不得明示或者暗示其倾向性、引导性意见，不得修改或细化采购文件确定的评标程序、评标方法、评标因素和评标标准，不得接受投标人主动提出的澄清和解释，不得征询招标人代表的倾向性意见，不得协商评分，不得记录、复制或带走任何评标资料。评标结果汇总完成后，招标人、采购代理机构和评标委员会均不得修改评标结果或者要求重新评标，但资格性检查认定错误、分值汇总计算错误、分项评分超出评分标准范围、客观分评分不一致、经评标委员会一致认定评分畸高、畸低的情形除外。出现上述除外情形的，评标委员会应当现场修改评标结果，并在评标报告中明确记载。</w:t>
      </w:r>
    </w:p>
    <w:p w14:paraId="20D94C63">
      <w:pPr>
        <w:wordWrap w:val="0"/>
        <w:adjustRightIn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23. 评标</w:t>
      </w:r>
    </w:p>
    <w:p w14:paraId="69E74C60">
      <w:pPr>
        <w:wordWrap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23.1 评标委员会按照第三章“评标方法及标准”规定的评标方法、评标因素、标准和程序以及有关法律、法规及规章对投标文件进行评标，评标委员会应当对符合资格的投标人的投标文件进行符合性审查，以确定其是否满足招标文件的实质性要求。</w:t>
      </w:r>
    </w:p>
    <w:p w14:paraId="63457A21">
      <w:pPr>
        <w:wordWrap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23.2 对于投标文件中含义不明确、同类问题表述不一致或者有明显文字和计算错误的内容，评标委员会应当以书面形式要求投标人作出必要的澄清、说明或者补正。</w:t>
      </w:r>
    </w:p>
    <w:p w14:paraId="2E9EEE1B">
      <w:pPr>
        <w:wordWrap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投标人的澄清、说明或者补正应当采用书面形式，并加盖公章或者由法定代表人或其授权的代表签字。投标人的澄清、说明或者补正不得超出投标文件的范围或者改变投标文件的实质性内容。</w:t>
      </w:r>
    </w:p>
    <w:p w14:paraId="0F0E6D8C">
      <w:pPr>
        <w:wordWrap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23.3 投标文件报价出现前后不一致的，除招标文件另有规定外，按照下列规定修正：</w:t>
      </w:r>
    </w:p>
    <w:p w14:paraId="72F696E7">
      <w:pPr>
        <w:wordWrap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23.3.1 投标文件中</w:t>
      </w:r>
      <w:r>
        <w:rPr>
          <w:rFonts w:hint="eastAsia" w:ascii="宋体" w:hAnsi="宋体" w:cs="宋体"/>
          <w:b/>
          <w:color w:val="auto"/>
          <w:kern w:val="0"/>
          <w:szCs w:val="21"/>
          <w:highlight w:val="none"/>
        </w:rPr>
        <w:t>开标一览表（报价表）内容与投标文件中相应内容不一致的，以开标一览表（报价表）为准</w:t>
      </w:r>
      <w:r>
        <w:rPr>
          <w:rFonts w:hint="eastAsia" w:ascii="宋体" w:hAnsi="宋体" w:cs="宋体"/>
          <w:color w:val="auto"/>
          <w:kern w:val="0"/>
          <w:szCs w:val="21"/>
          <w:highlight w:val="none"/>
        </w:rPr>
        <w:t>；</w:t>
      </w:r>
    </w:p>
    <w:p w14:paraId="38238862">
      <w:pPr>
        <w:wordWrap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23.3.2 大写金额和小写金额不一致的，以大写金额为准；</w:t>
      </w:r>
    </w:p>
    <w:p w14:paraId="3FDE5750">
      <w:pPr>
        <w:wordWrap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23.3.3 单价金额小数点或者百分比有明显错位的，以开标一览表的总价为准，并修改单价；</w:t>
      </w:r>
    </w:p>
    <w:p w14:paraId="4280B42E">
      <w:pPr>
        <w:wordWrap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23.3.4 总价金额与按单价汇总金额不一致的，以单价金额计算结果为准。</w:t>
      </w:r>
    </w:p>
    <w:p w14:paraId="00DF635E">
      <w:pPr>
        <w:wordWrap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同时出现两种以上不一致的，按照前款规定的顺序修正。修正后的报价按照本招标文件投标须知正文第25.2款的规定经投标人确认后产生约束力，</w:t>
      </w:r>
      <w:r>
        <w:rPr>
          <w:rFonts w:hint="eastAsia" w:ascii="宋体" w:hAnsi="宋体" w:cs="宋体"/>
          <w:b/>
          <w:bCs/>
          <w:color w:val="auto"/>
          <w:sz w:val="36"/>
          <w:szCs w:val="36"/>
          <w:highlight w:val="none"/>
        </w:rPr>
        <w:t>*</w:t>
      </w:r>
      <w:r>
        <w:rPr>
          <w:rFonts w:hint="eastAsia" w:ascii="宋体" w:hAnsi="宋体" w:cs="宋体"/>
          <w:b/>
          <w:color w:val="auto"/>
          <w:kern w:val="0"/>
          <w:szCs w:val="21"/>
          <w:highlight w:val="none"/>
        </w:rPr>
        <w:t>投标人拒绝确认的，其投标无效</w:t>
      </w:r>
      <w:r>
        <w:rPr>
          <w:rFonts w:hint="eastAsia" w:ascii="宋体" w:hAnsi="宋体" w:cs="宋体"/>
          <w:color w:val="auto"/>
          <w:kern w:val="0"/>
          <w:szCs w:val="21"/>
          <w:highlight w:val="none"/>
        </w:rPr>
        <w:t>。</w:t>
      </w:r>
    </w:p>
    <w:p w14:paraId="29649B84">
      <w:pPr>
        <w:wordWrap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23.4 评标委员会认为投标人的报价明显低于其他通过符合性审查投标人的报价，有可能影响产品质量或者不能诚信履约的，应当要求其在评标现场合理的时间内提供书面说明，必要时提交相关证明材料；</w:t>
      </w:r>
      <w:r>
        <w:rPr>
          <w:rFonts w:hint="eastAsia" w:ascii="宋体" w:hAnsi="宋体" w:cs="宋体"/>
          <w:b/>
          <w:bCs/>
          <w:color w:val="auto"/>
          <w:sz w:val="36"/>
          <w:szCs w:val="36"/>
          <w:highlight w:val="none"/>
        </w:rPr>
        <w:t>*</w:t>
      </w:r>
      <w:r>
        <w:rPr>
          <w:rFonts w:hint="eastAsia" w:ascii="宋体" w:hAnsi="宋体" w:cs="宋体"/>
          <w:b/>
          <w:color w:val="auto"/>
          <w:kern w:val="0"/>
          <w:szCs w:val="21"/>
          <w:highlight w:val="none"/>
        </w:rPr>
        <w:t>投标人不能证明其报价合理性的，评标委员会应当将其作为无效投标处理</w:t>
      </w:r>
      <w:r>
        <w:rPr>
          <w:rFonts w:hint="eastAsia" w:ascii="宋体" w:hAnsi="宋体" w:cs="宋体"/>
          <w:color w:val="auto"/>
          <w:kern w:val="0"/>
          <w:szCs w:val="21"/>
          <w:highlight w:val="none"/>
        </w:rPr>
        <w:t>。</w:t>
      </w:r>
    </w:p>
    <w:p w14:paraId="239D5A43">
      <w:pPr>
        <w:wordWrap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23.5 评标委员会成员对需要共同认定的事项存在争议的，应当按照少数服从多数的原则作出结论。持不同意见的评标委员会成员应当在评标报告上签署不同意见及理由，否则视为同意评标报告。</w:t>
      </w:r>
    </w:p>
    <w:p w14:paraId="13FFF83A">
      <w:pPr>
        <w:wordWrap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23.6 评标委员会应当按照招标文件中规定的评标方法和标准，对资格性审查、符合性审查合格的投标文件进行商务和技术评估，综合比较与评价。</w:t>
      </w:r>
    </w:p>
    <w:p w14:paraId="35BD9D24">
      <w:pPr>
        <w:wordWrap w:val="0"/>
        <w:adjustRightInd w:val="0"/>
        <w:spacing w:line="360" w:lineRule="auto"/>
        <w:ind w:firstLine="422" w:firstLineChars="200"/>
        <w:rPr>
          <w:rFonts w:ascii="宋体" w:hAnsi="宋体" w:cs="宋体"/>
          <w:b/>
          <w:color w:val="auto"/>
          <w:kern w:val="0"/>
          <w:szCs w:val="21"/>
          <w:highlight w:val="none"/>
        </w:rPr>
      </w:pPr>
      <w:r>
        <w:rPr>
          <w:rFonts w:hint="eastAsia" w:ascii="宋体" w:hAnsi="宋体" w:cs="宋体"/>
          <w:b/>
          <w:color w:val="auto"/>
          <w:kern w:val="0"/>
          <w:szCs w:val="21"/>
          <w:highlight w:val="none"/>
        </w:rPr>
        <w:t>23.7 本项目评标方法为：综合评分法。</w:t>
      </w:r>
    </w:p>
    <w:p w14:paraId="1522D1E6">
      <w:pPr>
        <w:wordWrap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 xml:space="preserve">23.7.1 </w:t>
      </w:r>
      <w:r>
        <w:rPr>
          <w:rFonts w:hint="eastAsia" w:ascii="宋体" w:hAnsi="宋体" w:cs="宋体"/>
          <w:b/>
          <w:color w:val="auto"/>
          <w:kern w:val="0"/>
          <w:szCs w:val="21"/>
          <w:highlight w:val="none"/>
        </w:rPr>
        <w:t>综合评分法</w:t>
      </w:r>
      <w:r>
        <w:rPr>
          <w:rFonts w:hint="eastAsia" w:ascii="宋体" w:hAnsi="宋体" w:cs="宋体"/>
          <w:color w:val="auto"/>
          <w:kern w:val="0"/>
          <w:szCs w:val="21"/>
          <w:highlight w:val="none"/>
        </w:rPr>
        <w:t>，是指投标文件满足招标文件全部实质性要求，且按照评标因素的量化指标评标得分最高的投标人为中标候选人的评标方法。</w:t>
      </w:r>
    </w:p>
    <w:p w14:paraId="00CD6753">
      <w:pPr>
        <w:wordWrap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23.7.2 评标时，评标委员会各成员应当独立对每个投标人的投标文件进行评价，并汇总每个投标人的得分。</w:t>
      </w:r>
    </w:p>
    <w:p w14:paraId="4A072EEF">
      <w:pPr>
        <w:wordWrap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23.7.3 评标过程中，不得去掉报价中的最高报价和最低报价。</w:t>
      </w:r>
    </w:p>
    <w:p w14:paraId="7D14CEDE">
      <w:pPr>
        <w:wordWrap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23.7.4 因落实政府采购政策进行价格调整的，以调整后的价格计算评标基准价和投标报价。</w:t>
      </w:r>
    </w:p>
    <w:p w14:paraId="3E87AF82">
      <w:pPr>
        <w:wordWrap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23.8 评标结果按评标后得分由高到低顺序排列，得分相同的，按投标报价由低到高顺序排列。得分且投标报价相同的并列。投标文件满足招标文件全部实质性要求，且按照评标因素的量化指标评标得分最高的投标人为排名第一的中标候选人。</w:t>
      </w:r>
    </w:p>
    <w:p w14:paraId="67FB15A3">
      <w:pPr>
        <w:wordWrap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23.9 评标委员会发现招标文件存在歧义、重大缺陷导致评标工作无法进行，或者招标文件内容违反国家有关强制性规定的，应当停止评标工作，与招标人或者采购代理机构沟通并作书面记录。招标人或者采购代理机构确认后，应当修改招标文件，重新组织采购活动。</w:t>
      </w:r>
    </w:p>
    <w:p w14:paraId="526E55F2">
      <w:pPr>
        <w:wordWrap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23.10 评标结果汇总完成后，除下列情形外，任何人不得修改评标结果：</w:t>
      </w:r>
    </w:p>
    <w:p w14:paraId="25367613">
      <w:pPr>
        <w:wordWrap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（1）分值汇总计算错误的；</w:t>
      </w:r>
    </w:p>
    <w:p w14:paraId="00C47C52">
      <w:pPr>
        <w:wordWrap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（2）分项评分超出评分标准范围的；</w:t>
      </w:r>
    </w:p>
    <w:p w14:paraId="33ED5F14">
      <w:pPr>
        <w:wordWrap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（3）评标委员会成员对客观评标因素评分不一致的；</w:t>
      </w:r>
    </w:p>
    <w:p w14:paraId="3E3FF071">
      <w:pPr>
        <w:wordWrap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（4）经评标委员会认定评分畸高、畸低的。</w:t>
      </w:r>
    </w:p>
    <w:p w14:paraId="0A28F2EE">
      <w:pPr>
        <w:wordWrap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评标报告签署前，经复核发现存在以上情形之一的，评标委员会应当当场修改评标结果，并在评标报告中记载；评标报告签署后，招标人或者采购代理机构发现存在以上情形之一的，应当组织原评标委员会进行重新评标，重新评标改变评标结果的，书面报告本级财政部门。</w:t>
      </w:r>
    </w:p>
    <w:p w14:paraId="30759F6F">
      <w:pPr>
        <w:wordWrap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投标人对上述（1）～（4）项提出质疑的，招标人或者采购代理机构可以组织原评标委员会进行重新评标，重新评标改变评标结果的，应当书面报告本级财政部门。</w:t>
      </w:r>
    </w:p>
    <w:p w14:paraId="7C13C760">
      <w:pPr>
        <w:wordWrap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23.11 评标委员会根据全体评标成员签字的原始评标记录和评标结果编写评标报告。评标报告应当包括以下内容：</w:t>
      </w:r>
    </w:p>
    <w:p w14:paraId="754D5BB2">
      <w:pPr>
        <w:wordWrap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（1）招标公告刊登的媒体名称、开标日期和地点；</w:t>
      </w:r>
    </w:p>
    <w:p w14:paraId="79A4B871">
      <w:pPr>
        <w:wordWrap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（2）投标人名单和评标委员会成员名单；</w:t>
      </w:r>
    </w:p>
    <w:p w14:paraId="4F8E6B5C">
      <w:pPr>
        <w:wordWrap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（3）评标方法和标准；</w:t>
      </w:r>
    </w:p>
    <w:p w14:paraId="58EE2F5C">
      <w:pPr>
        <w:wordWrap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（4）开标记录和评标情况及说明，包括无效投标人名单及原因；</w:t>
      </w:r>
    </w:p>
    <w:p w14:paraId="7E6DEA2D">
      <w:pPr>
        <w:wordWrap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（5）评标结果，确定的中标候选人名单或者经招标人委托直接确定的中标人；</w:t>
      </w:r>
    </w:p>
    <w:p w14:paraId="3EE2FDF6">
      <w:pPr>
        <w:wordWrap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（6）其他需要说明的情况，包括评标过程中投标人根据评标委员会要求进行的澄清、说明或者补正，评标委员会成员的更换等。</w:t>
      </w:r>
    </w:p>
    <w:p w14:paraId="2D5F3DEA">
      <w:pPr>
        <w:wordWrap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23.12 招标人、采购代理机构应当采取必要措施加强评标现场管理，与评标工作无关的人员不得进入评标现场，保证评标在严格保密的情况下进行。除招标人代表、评标现场组织人员外，招标人的其他工作人员以及与评标工作无关的人员不得进入评标现场。评标委员会成员及其它有关人员对评标情况以及在评标过程中获悉的国家秘密、商业秘密负有保密责任。</w:t>
      </w:r>
    </w:p>
    <w:p w14:paraId="3281B813">
      <w:pPr>
        <w:wordWrap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23.13 评标委员会或者其成员存在下列情形导致评标结果无效的，招标人、采购代理机构可以重新组建评标委员会进行评标，并书面报告本级财政部门，但采购合同已经履行的除外：</w:t>
      </w:r>
    </w:p>
    <w:p w14:paraId="4CB6013D">
      <w:pPr>
        <w:wordWrap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（1）评标委员会组成不符合本招标文件规定的；</w:t>
      </w:r>
    </w:p>
    <w:p w14:paraId="25DFB7D7">
      <w:pPr>
        <w:wordWrap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（2）有《政府采购货物和服务招标投标管理办法》（财政部令第87号）第六十二条第一至五项（即：本招标文件投标须知正文第25.8条第（1）至（5）项）情形的；</w:t>
      </w:r>
    </w:p>
    <w:p w14:paraId="02FF671B">
      <w:pPr>
        <w:wordWrap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（3）评标委员会及其成员独立评标受到非法干预的；</w:t>
      </w:r>
    </w:p>
    <w:p w14:paraId="72611CC6">
      <w:pPr>
        <w:wordWrap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（4）有《政府采购法实施条例》第七十五条规定的违法行为的。</w:t>
      </w:r>
    </w:p>
    <w:p w14:paraId="1628E737">
      <w:pPr>
        <w:wordWrap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有违法违规行为的原评标委员会成员不得参加重新组建的评标委员会。</w:t>
      </w:r>
    </w:p>
    <w:p w14:paraId="5D2E7C18">
      <w:pPr>
        <w:wordWrap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23.14 评标委员会发现采购文件存在歧义、重大缺陷导致评标工作无法进行，或者采购文件内容违反国家有关规定的，要停止评标工作并向招标人或采购代理机构书面说明情况，招标人或采购代理机构应当修改采购文件后重新组织采购活动；发现投标人提供虚假材料、串通等违法违规行为的，要及时向招标人或采购代理机构报告。</w:t>
      </w:r>
    </w:p>
    <w:p w14:paraId="60D2613B">
      <w:pPr>
        <w:wordWrap w:val="0"/>
        <w:adjustRightIn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24. 确定中标人</w:t>
      </w:r>
    </w:p>
    <w:p w14:paraId="055FDD62">
      <w:pPr>
        <w:wordWrap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24.1 定标</w:t>
      </w:r>
    </w:p>
    <w:p w14:paraId="40ED620E">
      <w:pPr>
        <w:wordWrap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24.1.1 采购代理机构应当在评标结束后2个工作日内将评标报告送招标人。</w:t>
      </w:r>
    </w:p>
    <w:p w14:paraId="596FFD5F">
      <w:pPr>
        <w:wordWrap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24.1.2 招标人应当自收到评标报告之日起5个工作日内，在评标报告确定的中标候选人名单中按顺序确定中标人。中标候选人并列的，由招标人或者招标人委托评标委员会按照招标文件规定的方式确定中标人；招标文件未规定的，采取随机抽取的方式确定。</w:t>
      </w:r>
    </w:p>
    <w:p w14:paraId="0A965956">
      <w:pPr>
        <w:wordWrap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24.1.3 招标人应当确定排名第一的中标候选人为中标人。排名第一的中标候选人拒绝签订合同而放弃中标、或因不可抗力提出不能履行合同，或者招标文件规定应当提交履约保证金而在规定的期限内未能提交的，招标人可以确定排名第二的中标候选人为中标人，以此类推。</w:t>
      </w:r>
    </w:p>
    <w:p w14:paraId="7661A503">
      <w:pPr>
        <w:wordWrap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24.1.4 招标人在收到评标报告5个工作日内未按评标报告推荐的中标候选人顺序确定中标人，又不能说明合法理由的，视同按评标报告推荐的顺序确定排名第一的中标候选人为中标人。</w:t>
      </w:r>
    </w:p>
    <w:p w14:paraId="59C03777">
      <w:pPr>
        <w:wordWrap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24.2 中标结果公告</w:t>
      </w:r>
    </w:p>
    <w:p w14:paraId="02F6514A">
      <w:pPr>
        <w:wordWrap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24.2.1 招标人或者采购代理机构应当自中标人确定之日起2个工作日内，在省级及以上财政部门指定的媒体上公告中标结果，招标文件应当随中标结果同时公告。</w:t>
      </w:r>
    </w:p>
    <w:p w14:paraId="30B23B38">
      <w:pPr>
        <w:wordWrap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24.2.2 中标结果公告内容应当包括招标人及其委托的采购代理机构的名称、地址、联系方式，项目名称和项目编号，中标人名称、地址和中标金额，主要中标标的的名称、内容、数量、中标价格、中标公告期限以及评标专家名单。</w:t>
      </w:r>
    </w:p>
    <w:p w14:paraId="157CC942">
      <w:pPr>
        <w:wordWrap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24.2.3 中标公告期限为1个工作日。</w:t>
      </w:r>
    </w:p>
    <w:p w14:paraId="66E465DC">
      <w:pPr>
        <w:wordWrap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24.2.4 在公告中标结果的同时，招标人或者采购代理机构应当向中标人发出中标通知书；对未通过资格审查的投标人，应当告知其未通过的原因；采用综合评分法评标的，还应当告知未中标人本人的评标得分与排序。</w:t>
      </w:r>
    </w:p>
    <w:p w14:paraId="1FACE895">
      <w:pPr>
        <w:wordWrap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24.3 招标人不保证将合同授予最低投标报价的投标人。</w:t>
      </w:r>
    </w:p>
    <w:p w14:paraId="56095CB7">
      <w:pPr>
        <w:wordWrap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24.4 在确定中标人前，招标采购单位不得与投标人就投标价格、投标方案等实质性内容进行谈判。</w:t>
      </w:r>
    </w:p>
    <w:p w14:paraId="07F2762E">
      <w:pPr>
        <w:wordWrap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24.5 招标人有权在定标之前拒绝任何有不正当行为或扰乱正常招标工作的投标人，由此对投标人造成的损失不负任何责任，同时对此也不做任何解释。</w:t>
      </w:r>
    </w:p>
    <w:p w14:paraId="1F9C013D">
      <w:pPr>
        <w:wordWrap w:val="0"/>
        <w:adjustRightIn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25. 招标终止</w:t>
      </w:r>
    </w:p>
    <w:p w14:paraId="084BE623">
      <w:pPr>
        <w:wordWrap w:val="0"/>
        <w:adjustRightInd w:val="0"/>
        <w:spacing w:line="360" w:lineRule="auto"/>
        <w:ind w:firstLine="422" w:firstLineChars="200"/>
        <w:rPr>
          <w:rFonts w:ascii="宋体" w:hAnsi="宋体" w:cs="宋体"/>
          <w:b/>
          <w:color w:val="auto"/>
          <w:kern w:val="0"/>
          <w:szCs w:val="21"/>
          <w:highlight w:val="none"/>
        </w:rPr>
      </w:pPr>
      <w:r>
        <w:rPr>
          <w:rFonts w:hint="eastAsia" w:ascii="宋体" w:hAnsi="宋体" w:cs="宋体"/>
          <w:b/>
          <w:color w:val="auto"/>
          <w:kern w:val="0"/>
          <w:szCs w:val="21"/>
          <w:highlight w:val="none"/>
        </w:rPr>
        <w:t>25.1 在招标采购中，出现下列情形之一的，应予废标：</w:t>
      </w:r>
    </w:p>
    <w:p w14:paraId="087D00C5">
      <w:pPr>
        <w:wordWrap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（1）符合专业条件的投标人或者对招标文件作实质响应的投标人不足三家的；</w:t>
      </w:r>
    </w:p>
    <w:p w14:paraId="56EAD23A">
      <w:pPr>
        <w:wordWrap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（2）出现影响采购公正的违法、违规行为的；</w:t>
      </w:r>
    </w:p>
    <w:p w14:paraId="14E2F25B">
      <w:pPr>
        <w:wordWrap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（3）投标人的报价均超过了采购预算，招标人不能支付的；</w:t>
      </w:r>
    </w:p>
    <w:p w14:paraId="1EA93F25">
      <w:pPr>
        <w:wordWrap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（4）因重大变故，采购任务取消的。</w:t>
      </w:r>
    </w:p>
    <w:p w14:paraId="6D350025">
      <w:pPr>
        <w:wordWrap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废标后，招标人应当将废标理由通知所有投标人。</w:t>
      </w:r>
    </w:p>
    <w:p w14:paraId="6E3131B2">
      <w:pPr>
        <w:wordWrap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废标后，除采购任务取消情形外，应当重新组织招标；需要采取其他方式采购的，应当在采购活动开始前获得设区的市、自治州以上人民政府采购监督管理部门或者政府有关部门批准。</w:t>
      </w:r>
    </w:p>
    <w:p w14:paraId="05C62C91">
      <w:pPr>
        <w:wordWrap w:val="0"/>
        <w:adjustRightInd w:val="0"/>
        <w:spacing w:line="360" w:lineRule="auto"/>
        <w:ind w:firstLine="422" w:firstLineChars="200"/>
        <w:rPr>
          <w:rFonts w:ascii="宋体" w:hAnsi="宋体" w:cs="宋体"/>
          <w:b/>
          <w:color w:val="auto"/>
          <w:kern w:val="0"/>
          <w:szCs w:val="21"/>
          <w:highlight w:val="none"/>
        </w:rPr>
      </w:pPr>
      <w:r>
        <w:rPr>
          <w:rFonts w:hint="eastAsia" w:ascii="宋体" w:hAnsi="宋体" w:cs="宋体"/>
          <w:b/>
          <w:color w:val="auto"/>
          <w:kern w:val="0"/>
          <w:szCs w:val="21"/>
          <w:highlight w:val="none"/>
        </w:rPr>
        <w:t>25.2 出现下列情形之一的，招标人或者采购代理机构应当终止招标采购活动，在财政部门指定的媒体上发布项目终止公告并说明原因，重新开展采购活动：</w:t>
      </w:r>
    </w:p>
    <w:p w14:paraId="5EADF2E2">
      <w:pPr>
        <w:wordWrap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25.2.1 因情况变化，不再符合规定的招标采购方式适用情形的；</w:t>
      </w:r>
    </w:p>
    <w:p w14:paraId="2B39AC25">
      <w:pPr>
        <w:wordWrap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25.2.2 出现影响采购公正的违法、违规行为的；</w:t>
      </w:r>
    </w:p>
    <w:p w14:paraId="583E2F75">
      <w:pPr>
        <w:wordWrap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25.2.3 已确定中标人但尚未签订政府采购合同的，中标结果无效，需从合格的中标候选人中另行确定中标人但没有合格的中标候选人的；</w:t>
      </w:r>
    </w:p>
    <w:p w14:paraId="619EB261">
      <w:pPr>
        <w:wordWrap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25.2.4 政府采购合同已签订但尚未履行的，撤销合同，需从合格的中标候选人中另行确定中标人但没有合格的中标候选人的；</w:t>
      </w:r>
    </w:p>
    <w:p w14:paraId="409FA00F">
      <w:pPr>
        <w:wordWrap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25.2.5 因重大变故，采购任务取消的。</w:t>
      </w:r>
    </w:p>
    <w:p w14:paraId="0004392F">
      <w:pPr>
        <w:wordWrap w:val="0"/>
        <w:adjustRightIn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26. 重新评标</w:t>
      </w:r>
    </w:p>
    <w:p w14:paraId="5AFB081B">
      <w:pPr>
        <w:wordWrap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26.1 除本须知第23.10所述情形外，招标人或者采购代理机构不能以任何理由组织重新评标。招标人、采购代理机构发现评标委员会未按照招标文件规定的评标标准进行评标的，应当重新开展采购活动，并同时书面报告本级财政部门。</w:t>
      </w:r>
    </w:p>
    <w:p w14:paraId="7EE422D9">
      <w:pPr>
        <w:wordWrap w:val="0"/>
        <w:adjustRightIn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27. 保密与纪律事项</w:t>
      </w:r>
    </w:p>
    <w:p w14:paraId="7B3DDEF7">
      <w:pPr>
        <w:wordWrap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27.1 评标委员会成员以及与评标工作有关的人员不得泄露评标情况以及评标过程中获悉的国家秘密、商业秘密。</w:t>
      </w:r>
    </w:p>
    <w:p w14:paraId="52A319C0">
      <w:pPr>
        <w:wordWrap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评标过程保密是指评标开始后评标委员会对投标人资格审查开始至中标公告期结束、中标通知书发出等与项目相关所有的文字、评标委员会的对话、音视频等相关资料的保密，如与采购项目相关的招标人、采购代理机构、评标委员会及公共资源交易中心人员及其他相关人员泄密，从而导致评标结果出现不公正性，有关行政主管部门将根据《政府采购法》、《政府采购法实施条例》及相关法律法规规定将责任人提请上级行政主管部门追究其责任；构成犯罪的，将提请司法机关依法追究其刑事责任。</w:t>
      </w:r>
    </w:p>
    <w:p w14:paraId="0B46F8D5">
      <w:pPr>
        <w:wordWrap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27.2 投标人不得与招标人、采购代理机构、其他投标人恶意串通；不得向招标人、采购代理机构或者评标委员会成员行贿或者提供其他不正当利益；不得提供虚假材料谋取中标；不得以任何方式干扰、影响采购工作。</w:t>
      </w:r>
    </w:p>
    <w:p w14:paraId="7AA592F2">
      <w:pPr>
        <w:wordWrap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27.3 有下列情形之一的，属于恶意串通，投标无效，并依照《政府采购法》第七十七条的规定追究法律责任：</w:t>
      </w:r>
    </w:p>
    <w:p w14:paraId="15313195">
      <w:pPr>
        <w:wordWrap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（1）投标人直接或者间接从招标人、采购代理机构获得其他投标人的投标情况，并修改其投标文件的；</w:t>
      </w:r>
    </w:p>
    <w:p w14:paraId="1958423D">
      <w:pPr>
        <w:wordWrap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（2）投标人按照招标人或采购代理机构授意撤换、修改投标文件的；</w:t>
      </w:r>
    </w:p>
    <w:p w14:paraId="6A59A87F">
      <w:pPr>
        <w:wordWrap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（3）投标人之间协商技术方案、合同条款以及报价等投标文件实质性内容的；</w:t>
      </w:r>
    </w:p>
    <w:p w14:paraId="4D8B5597">
      <w:pPr>
        <w:wordWrap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（4）属于同一集团、协会、商会等组织成员的投标人按照该组织要求协同参加政府采购活动的；</w:t>
      </w:r>
    </w:p>
    <w:p w14:paraId="112C9F6A">
      <w:pPr>
        <w:wordWrap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（5）投标人之间事先约定由某一特定投标人中标的；</w:t>
      </w:r>
    </w:p>
    <w:p w14:paraId="26F0B40D">
      <w:pPr>
        <w:wordWrap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（6）投标人之间商定部分投标人放弃提交投标文件或者退出招标或者放弃中标的；</w:t>
      </w:r>
    </w:p>
    <w:p w14:paraId="28B7EB2E">
      <w:pPr>
        <w:wordWrap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（7）投标人与招标人、采购代理机构以及评标委员会成员之间、投标人相互之间，为谋求特定投标人中标或者排斥其他投标人的其他串通行为的。</w:t>
      </w:r>
    </w:p>
    <w:p w14:paraId="46EEB19A">
      <w:pPr>
        <w:wordWrap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（8）法律、行政法规或规章规定的其他串通行为。</w:t>
      </w:r>
    </w:p>
    <w:p w14:paraId="263A3529">
      <w:pPr>
        <w:wordWrap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27.4 投标人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39A8858A">
      <w:pPr>
        <w:wordWrap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（1）提供虚假材料谋取中标的；</w:t>
      </w:r>
    </w:p>
    <w:p w14:paraId="70F20528">
      <w:pPr>
        <w:wordWrap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（2）采取不正当手段诋毁、排挤其他投标人的；</w:t>
      </w:r>
    </w:p>
    <w:p w14:paraId="1A7214CB">
      <w:pPr>
        <w:wordWrap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（3）与招标人、其他投标人或者采购代理机构恶意串通的；</w:t>
      </w:r>
    </w:p>
    <w:p w14:paraId="5975C586">
      <w:pPr>
        <w:wordWrap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（4）向招标人、采购代理机构行贿或者提供其他不正当利益的；</w:t>
      </w:r>
    </w:p>
    <w:p w14:paraId="7ED5B43A">
      <w:pPr>
        <w:wordWrap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（5）在招标采购过程中与招标人进行协商谈判的；</w:t>
      </w:r>
    </w:p>
    <w:p w14:paraId="2C18A913">
      <w:pPr>
        <w:wordWrap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（6）拒绝有关部门监督检查或者提供虚假情况的。</w:t>
      </w:r>
    </w:p>
    <w:p w14:paraId="51CDF5D3">
      <w:pPr>
        <w:wordWrap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投标人有上述第（1）至（5）项情形之一的，中标无效。</w:t>
      </w:r>
    </w:p>
    <w:p w14:paraId="561A86EA">
      <w:pPr>
        <w:wordWrap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27.5 投标人有下列情形之一的，依照《政府采购法》第七十七条第一款的规定追究法律责任：</w:t>
      </w:r>
    </w:p>
    <w:p w14:paraId="19D87B28">
      <w:pPr>
        <w:wordWrap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（1）向评标委员会成员行贿或者提供其他不正当利益；</w:t>
      </w:r>
    </w:p>
    <w:p w14:paraId="12295181">
      <w:pPr>
        <w:wordWrap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（2）中标后无正当理由拒不与招标人签订政府采购合同；</w:t>
      </w:r>
    </w:p>
    <w:p w14:paraId="251B6A20">
      <w:pPr>
        <w:wordWrap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（3）未按照采购文件确定的事项签订政府采购合同；</w:t>
      </w:r>
    </w:p>
    <w:p w14:paraId="72566A39">
      <w:pPr>
        <w:wordWrap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（4）将政府采购合同转包；</w:t>
      </w:r>
    </w:p>
    <w:p w14:paraId="79524489">
      <w:pPr>
        <w:wordWrap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（5）提供假冒伪劣产品；</w:t>
      </w:r>
    </w:p>
    <w:p w14:paraId="78B1CE94">
      <w:pPr>
        <w:wordWrap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（6）擅自变更、中止或者终止政府采购合同。</w:t>
      </w:r>
    </w:p>
    <w:p w14:paraId="7CC79235">
      <w:pPr>
        <w:wordWrap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投标人有上述第一项规定情形的，中标无效。评标阶段资格发生变化，投标人未依照《政府采购法实施条例》第二十一条的规定通知招标人和采购代理机构的，处以采购金额5‰的罚款，列入不良行为记录名单，中标无效。</w:t>
      </w:r>
    </w:p>
    <w:p w14:paraId="30A3366B">
      <w:pPr>
        <w:wordWrap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27.6 投标人捏造事实、提供虚假材料或者以非法手段取得证明材料进行投诉的，由财政部门列入不良行为记录名单，禁止其1至3年内参加政府采购活动。</w:t>
      </w:r>
    </w:p>
    <w:p w14:paraId="2C291B9E">
      <w:pPr>
        <w:pStyle w:val="89"/>
        <w:wordWrap w:val="0"/>
        <w:spacing w:line="360" w:lineRule="auto"/>
        <w:jc w:val="center"/>
        <w:outlineLvl w:val="0"/>
        <w:rPr>
          <w:rFonts w:ascii="宋体" w:hAnsi="宋体" w:cs="宋体"/>
          <w:b/>
          <w:bCs/>
          <w:color w:val="auto"/>
          <w:sz w:val="32"/>
          <w:szCs w:val="32"/>
          <w:highlight w:val="none"/>
        </w:rPr>
      </w:pPr>
      <w:bookmarkStart w:id="26" w:name="_Toc30906"/>
      <w:r>
        <w:rPr>
          <w:rFonts w:hint="eastAsia" w:ascii="宋体" w:hAnsi="宋体" w:cs="宋体"/>
          <w:b/>
          <w:bCs/>
          <w:color w:val="auto"/>
          <w:sz w:val="32"/>
          <w:szCs w:val="32"/>
          <w:highlight w:val="none"/>
        </w:rPr>
        <w:t>六、中标结果信息公布与授予合同</w:t>
      </w:r>
      <w:bookmarkEnd w:id="26"/>
    </w:p>
    <w:p w14:paraId="4851AA22">
      <w:pPr>
        <w:wordWrap w:val="0"/>
        <w:adjustRightIn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28. 中标信息的公布</w:t>
      </w:r>
    </w:p>
    <w:p w14:paraId="1243B54F">
      <w:pPr>
        <w:wordWrap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28.1 招标人或者采购代理机构应当自中标人确定之日起2个工作日内，发出中标通知书，并在省级及以上人民政府财政部门指定的媒体上公告中标结果，招标文件随中标结果同时公告。</w:t>
      </w:r>
    </w:p>
    <w:p w14:paraId="0AE9F8F1">
      <w:pPr>
        <w:wordWrap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28.2 中标通知书对招标人和中标人具有同等法律效力。</w:t>
      </w:r>
    </w:p>
    <w:p w14:paraId="15F2820C">
      <w:pPr>
        <w:wordWrap w:val="0"/>
        <w:adjustRightIn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29. 询问及质疑</w:t>
      </w:r>
    </w:p>
    <w:p w14:paraId="5A7D431F">
      <w:pPr>
        <w:wordWrap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29.1 投标人对政府采购活动事项有疑问的，可以向招标人或采购代理机构提出询问，招标人或采购代理机构将在三个工作日内作出答复。</w:t>
      </w:r>
    </w:p>
    <w:p w14:paraId="1CA825C7">
      <w:pPr>
        <w:wordWrap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29.2 投标人若认为招标文件、招标过程和中标结果使自己的权益受到损害，应当在下列时间内以书面形式向招标人或采购代理机构提出：</w:t>
      </w:r>
    </w:p>
    <w:p w14:paraId="1863BFF0">
      <w:pPr>
        <w:wordWrap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29.2.1 对可以质疑的招标文件提出质疑的，应在收到招标文件之日7个工作日内。</w:t>
      </w:r>
    </w:p>
    <w:p w14:paraId="1943CB06">
      <w:pPr>
        <w:wordWrap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29.2.2 对采购过程提出质疑的，应在该采购程序环节结束之日起7个工作日内提出。</w:t>
      </w:r>
    </w:p>
    <w:p w14:paraId="2251ABF5">
      <w:pPr>
        <w:wordWrap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29.2.3 关于中标结果的质疑，应在中标结果信息发布后7个工作日内提出。</w:t>
      </w:r>
    </w:p>
    <w:p w14:paraId="15F64D36">
      <w:pPr>
        <w:wordWrap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29.3 投标人提出质疑的，应提供质疑书原件。招标人或采购代理机构应当向质疑投标人签收回执。</w:t>
      </w:r>
    </w:p>
    <w:p w14:paraId="7BB30388">
      <w:pPr>
        <w:wordWrap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29.4 质疑书应当包括下列内容：</w:t>
      </w:r>
    </w:p>
    <w:p w14:paraId="2E49954D">
      <w:pPr>
        <w:wordWrap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29.4.1 质疑投标人的名称、地址及有效联系方式；</w:t>
      </w:r>
    </w:p>
    <w:p w14:paraId="3D76538D">
      <w:pPr>
        <w:wordWrap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29.4.2 质疑事项；</w:t>
      </w:r>
    </w:p>
    <w:p w14:paraId="790E684F">
      <w:pPr>
        <w:wordWrap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29.4.3 事实依据及相关证明材料；</w:t>
      </w:r>
    </w:p>
    <w:p w14:paraId="0EE0CC7A">
      <w:pPr>
        <w:wordWrap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29.4.4 相关请求及主张。</w:t>
      </w:r>
    </w:p>
    <w:p w14:paraId="51AD7522">
      <w:pPr>
        <w:wordWrap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29.5 质疑书应当由投标人法定代表人或其授权代表签字并加盖投标人单位章，质疑书由授权代表签字的应附投标人法定代表人委托授权书。</w:t>
      </w:r>
    </w:p>
    <w:p w14:paraId="503C8148">
      <w:pPr>
        <w:wordWrap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29.6 招标人或采购代理机构将在签收回执之日起7个工作日内作出书面答复，并以书面形式通知质疑投标投标人和其他有关的投标人。招标人、采购代理机构认为投标人质疑不成立，或者成立但未对中标结果构成影响的，将继续开展采购活动。</w:t>
      </w:r>
    </w:p>
    <w:p w14:paraId="297AC4F0">
      <w:pPr>
        <w:wordWrap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29.7 投标人对招标人或采购代理机构的答复不满意，或者招标人或采购代理机构未在规定的期限作出答复的，可在答复期满后15个工作日内，按政府采购相关法律法规的规定及程序，向同级财政部门提出投诉。</w:t>
      </w:r>
    </w:p>
    <w:p w14:paraId="1E326580">
      <w:pPr>
        <w:wordWrap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29.8 参与政府采购活动的投标人对评标过程或者结果提出质疑的，招标人或采购代理机构可以组织原评标委员会协助处理质疑事项，并依据评标委员会出具的意见进行答复。质疑答复导致中标结果改变的，招标人或采购代理机构应当将相关情况报财政部门备案。</w:t>
      </w:r>
    </w:p>
    <w:p w14:paraId="25401C63">
      <w:pPr>
        <w:wordWrap w:val="0"/>
        <w:adjustRightIn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30. 中标通知</w:t>
      </w:r>
    </w:p>
    <w:p w14:paraId="1BB06BA0">
      <w:pPr>
        <w:wordWrap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30.1 中标人确定后，招标人或采购代理机构将以书面形式向中标人发出中标通知书。中标通知书对招标人和中标人具有同等法律效力。中标通知书发出后，招标人不得违法改变中标结果，中标人无正当理由不得放弃中标。</w:t>
      </w:r>
    </w:p>
    <w:p w14:paraId="63E24AB7">
      <w:pPr>
        <w:wordWrap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30.2 投标须知前附表规定了需提交履约担保的，中标人在收到中标通知书后10日内，应按照投标须知前附表的规定，向招标人提交履约担保。联合体中标的，履约担保由联合体各方或联合体中牵头人的名义提交。</w:t>
      </w:r>
    </w:p>
    <w:p w14:paraId="0F54D1E8">
      <w:pPr>
        <w:wordWrap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30.3 招标文件要求中标人提交履约保证金的，中标人应当以电汇、支票、汇票、本票或者金融机构、担保机构出具的保函等非现金形式提交。中标人没有按照规定提交履约担保的，视为放弃中标资格，其投标保证金不予退还。</w:t>
      </w:r>
    </w:p>
    <w:p w14:paraId="17D6A5CB">
      <w:pPr>
        <w:wordWrap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30.4 中标人拒绝与招标人签订合同的，招标人可以按照评标报告推荐的中标候选人名单排序，确定下一候选人为中标人，也可以重新开展政府采购活动。</w:t>
      </w:r>
    </w:p>
    <w:p w14:paraId="54C94834">
      <w:pPr>
        <w:wordWrap w:val="0"/>
        <w:adjustRightIn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31. 签订合同</w:t>
      </w:r>
    </w:p>
    <w:p w14:paraId="5B58EF6C">
      <w:pPr>
        <w:wordWrap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31.1 招标人应当自中标通知书发出之日起30日内，按照招标文件和中标人投标文件的规定，与中标人签订书面合同。所签订的合同不得对招标文件确定的事项和中标人投标文件作实质性修改。中标通知书是合同文件的组成部分。</w:t>
      </w:r>
    </w:p>
    <w:p w14:paraId="7D85681E">
      <w:pPr>
        <w:wordWrap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招标人不得向中标人提出任何不合理的要求作为签订合同的条件。</w:t>
      </w:r>
    </w:p>
    <w:p w14:paraId="3AC5C774">
      <w:pPr>
        <w:wordWrap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31.2 政府采购合同应当包括招标人与中标人的名称和住所、标的、数量、质量、价款或者报酬、履行期限及地点和方式、验收要求、违约责任、解决争议的方法等内容。</w:t>
      </w:r>
    </w:p>
    <w:p w14:paraId="6A657FA1">
      <w:pPr>
        <w:wordWrap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31.3 招标人与中标人应当根据合同的约定依法履行合同义务。</w:t>
      </w:r>
    </w:p>
    <w:p w14:paraId="5645C819">
      <w:pPr>
        <w:wordWrap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政府采购合同的履行、违约责任和解决争议的方法等适用《中华人民共和国民法典》。</w:t>
      </w:r>
    </w:p>
    <w:p w14:paraId="2D5E630B">
      <w:pPr>
        <w:wordWrap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31.4 招标人应当及时对采购项目进行验收。招标人可以邀请参加本项目的其他投标人或者第三方机构参与验收。参与验收的投标人或者第三方机构的意见作为验收书的参考资料一并存档。</w:t>
      </w:r>
    </w:p>
    <w:p w14:paraId="338F1BA2">
      <w:pPr>
        <w:wordWrap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31.5 招标人应当加强对中标人的履约管理，并按照采购合同约定，及时向中标人支付采购资金。对于中标人违反采购合同约定的行为，招标人应当及时处理，依法追究其违约责任。</w:t>
      </w:r>
    </w:p>
    <w:p w14:paraId="5FBDE607">
      <w:pPr>
        <w:wordWrap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31.6 中标人应当按照合同约定履行义务。中标人不得向他人转让中标项目，也不得将中标项目分包后分别向他人转让。合同分包需在投标文件中予以说明，并需经招标人同意。否则，招标人有权取消中标人的中标资格。</w:t>
      </w:r>
    </w:p>
    <w:p w14:paraId="3C57FFDE">
      <w:pPr>
        <w:wordWrap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31.7 中标人有下列情形之一的，责令限期改正，情节严重的，列入不良行为记录名单，在1至3年内禁止参加政府采购活动，并予以通报：</w:t>
      </w:r>
    </w:p>
    <w:p w14:paraId="4C0D31FF">
      <w:pPr>
        <w:wordWrap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31.7.1 中标后无正当理由不与招标人签订合同的；</w:t>
      </w:r>
    </w:p>
    <w:p w14:paraId="5684BC22">
      <w:pPr>
        <w:wordWrap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31.7.2 未按照招标文件确定的事项签订政府采购合同，或者与招标人另行订立背离合同实质性内容的协议的；</w:t>
      </w:r>
    </w:p>
    <w:p w14:paraId="355CEDBB">
      <w:pPr>
        <w:wordWrap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31.7.3 拒绝履行合同义务的；</w:t>
      </w:r>
    </w:p>
    <w:p w14:paraId="4BDD2F86">
      <w:pPr>
        <w:wordWrap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31.7.4 违反法律、规章、规范性文件规定的。</w:t>
      </w:r>
    </w:p>
    <w:p w14:paraId="568F21BF">
      <w:pPr>
        <w:wordWrap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31.8 政府采购合同的双方当事人不得擅自变更、中止或者终止合同。</w:t>
      </w:r>
    </w:p>
    <w:p w14:paraId="45028112">
      <w:pPr>
        <w:wordWrap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政府采购合同继续履行将损害国家利益和社会公共利益的，双方当事人应当变更、中止或者终止合同。有过错的一方应当承担赔偿责任，双方都有过错的，各自承担相应的责任。</w:t>
      </w:r>
    </w:p>
    <w:p w14:paraId="5ED031CD">
      <w:pPr>
        <w:wordWrap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31.9 招标人应当自政府采购合同签订之日起2个工作日内，将政府采购合同在省级以上人民政府财政部门指定的媒体上公告，但政府采购合同中涉及国家秘密、商业秘密的内容除外。</w:t>
      </w:r>
    </w:p>
    <w:p w14:paraId="616DEA35">
      <w:pPr>
        <w:wordWrap w:val="0"/>
        <w:adjustRightIn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32. 政府采购合同履行中数量的变更</w:t>
      </w:r>
    </w:p>
    <w:p w14:paraId="2D7A7354">
      <w:pPr>
        <w:wordWrap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32.1 政府采购合同履行中，招标人需追加与合同标的相同的货物、工程或者服务的，在不改变合同其他条款的前提下，可以与中标人协商签订补充合同，但所有补充合同的采购金额不得超过原合同采购金额的10%。</w:t>
      </w:r>
    </w:p>
    <w:p w14:paraId="1140E2BE">
      <w:pPr>
        <w:pStyle w:val="89"/>
        <w:wordWrap w:val="0"/>
        <w:spacing w:line="360" w:lineRule="auto"/>
        <w:jc w:val="center"/>
        <w:outlineLvl w:val="0"/>
        <w:rPr>
          <w:rFonts w:ascii="宋体" w:hAnsi="宋体" w:cs="宋体"/>
          <w:b/>
          <w:bCs/>
          <w:color w:val="auto"/>
          <w:sz w:val="32"/>
          <w:szCs w:val="32"/>
          <w:highlight w:val="none"/>
        </w:rPr>
      </w:pPr>
      <w:bookmarkStart w:id="27" w:name="_Toc1598"/>
      <w:r>
        <w:rPr>
          <w:rFonts w:hint="eastAsia" w:ascii="宋体" w:hAnsi="宋体" w:cs="宋体"/>
          <w:b/>
          <w:bCs/>
          <w:color w:val="auto"/>
          <w:sz w:val="32"/>
          <w:szCs w:val="32"/>
          <w:highlight w:val="none"/>
        </w:rPr>
        <w:t>七、其他规定</w:t>
      </w:r>
      <w:bookmarkEnd w:id="27"/>
    </w:p>
    <w:p w14:paraId="4F31ABAD">
      <w:pPr>
        <w:wordWrap w:val="0"/>
        <w:adjustRightIn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33. 招标代理服务费</w:t>
      </w:r>
    </w:p>
    <w:p w14:paraId="6B883D3F">
      <w:pPr>
        <w:wordWrap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33.1 中标人应按投标须知前附表规定交纳招标代理服务费。</w:t>
      </w:r>
    </w:p>
    <w:p w14:paraId="4193A2A0">
      <w:pPr>
        <w:wordWrap w:val="0"/>
        <w:adjustRightIn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34. 履约保证金</w:t>
      </w:r>
    </w:p>
    <w:p w14:paraId="52FFFE22">
      <w:pPr>
        <w:wordWrap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34.1 中标人应按投标须知前附表规定交纳履约保证金。</w:t>
      </w:r>
    </w:p>
    <w:p w14:paraId="5DFD4F28">
      <w:pPr>
        <w:wordWrap w:val="0"/>
        <w:adjustRightIn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35. 其他规定</w:t>
      </w:r>
    </w:p>
    <w:p w14:paraId="54EBB6B9">
      <w:pPr>
        <w:wordWrap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35.1 招标人、采购代理机构应当建立真实完整的招标采购档案，妥善保存每项采购活动的采购文件。</w:t>
      </w:r>
    </w:p>
    <w:p w14:paraId="5D3453E9">
      <w:pPr>
        <w:wordWrap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35.2 招标文件的其他规定见投标须知前附表。</w:t>
      </w:r>
    </w:p>
    <w:p w14:paraId="149350AE">
      <w:pPr>
        <w:wordWrap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35.3 本招标文件是根据《中华人民共和国政府采购法》、《中华人民共和国政府采购法实施条例》和《政府采购货物和服务招标投标管理办法》（财政部令第87号）的规定编制，解释权属</w:t>
      </w:r>
      <w:r>
        <w:rPr>
          <w:rFonts w:hint="eastAsia" w:ascii="宋体" w:hAnsi="宋体" w:cs="宋体"/>
          <w:color w:val="auto"/>
          <w:kern w:val="0"/>
          <w:szCs w:val="21"/>
          <w:highlight w:val="none"/>
          <w:lang w:eastAsia="zh-CN"/>
        </w:rPr>
        <w:t>新疆新建联项目管理咨询有限公司</w:t>
      </w:r>
      <w:r>
        <w:rPr>
          <w:rFonts w:hint="eastAsia" w:ascii="宋体" w:hAnsi="宋体" w:cs="宋体"/>
          <w:color w:val="auto"/>
          <w:kern w:val="0"/>
          <w:szCs w:val="21"/>
          <w:highlight w:val="none"/>
        </w:rPr>
        <w:t>。</w:t>
      </w:r>
    </w:p>
    <w:p w14:paraId="02DF7D49">
      <w:pPr>
        <w:pStyle w:val="37"/>
        <w:wordWrap w:val="0"/>
        <w:spacing w:before="0" w:after="0" w:line="360" w:lineRule="auto"/>
        <w:rPr>
          <w:rFonts w:ascii="宋体" w:hAnsi="宋体" w:cs="宋体"/>
          <w:color w:val="auto"/>
          <w:sz w:val="36"/>
          <w:szCs w:val="36"/>
          <w:highlight w:val="none"/>
        </w:rPr>
      </w:pPr>
      <w:r>
        <w:rPr>
          <w:rFonts w:hint="eastAsia" w:ascii="宋体" w:hAnsi="宋体" w:cs="宋体"/>
          <w:color w:val="auto"/>
          <w:highlight w:val="none"/>
        </w:rPr>
        <w:br w:type="page"/>
      </w:r>
      <w:bookmarkStart w:id="28" w:name="_Toc1210"/>
      <w:bookmarkStart w:id="29" w:name="_Toc529282261"/>
      <w:r>
        <w:rPr>
          <w:rFonts w:hint="eastAsia" w:ascii="宋体" w:hAnsi="宋体" w:cs="宋体"/>
          <w:color w:val="auto"/>
          <w:sz w:val="36"/>
          <w:szCs w:val="36"/>
          <w:highlight w:val="none"/>
        </w:rPr>
        <w:t>第三章  评标方法及标准</w:t>
      </w:r>
      <w:bookmarkEnd w:id="28"/>
      <w:bookmarkEnd w:id="29"/>
    </w:p>
    <w:p w14:paraId="0024F283">
      <w:pPr>
        <w:pStyle w:val="89"/>
        <w:wordWrap w:val="0"/>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一、总则</w:t>
      </w:r>
    </w:p>
    <w:p w14:paraId="16107FDC">
      <w:pPr>
        <w:wordWrap w:val="0"/>
        <w:adjustRightIn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1. 评标委员会</w:t>
      </w:r>
    </w:p>
    <w:p w14:paraId="3E9323D2">
      <w:pPr>
        <w:wordWrap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1.1 评标由依法组建的评标委员会负责，其成员构成方式详见投标须知正文。</w:t>
      </w:r>
    </w:p>
    <w:p w14:paraId="0EF42153">
      <w:pPr>
        <w:wordWrap w:val="0"/>
        <w:adjustRightIn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2. 评标方法</w:t>
      </w:r>
    </w:p>
    <w:p w14:paraId="615B4993">
      <w:pPr>
        <w:wordWrap w:val="0"/>
        <w:adjustRightInd w:val="0"/>
        <w:spacing w:line="360" w:lineRule="auto"/>
        <w:ind w:firstLine="422" w:firstLineChars="200"/>
        <w:rPr>
          <w:rFonts w:ascii="宋体" w:hAnsi="宋体" w:cs="宋体"/>
          <w:b/>
          <w:color w:val="auto"/>
          <w:kern w:val="0"/>
          <w:szCs w:val="21"/>
          <w:highlight w:val="none"/>
        </w:rPr>
      </w:pPr>
      <w:r>
        <w:rPr>
          <w:rFonts w:hint="eastAsia" w:ascii="宋体" w:hAnsi="宋体" w:cs="宋体"/>
          <w:b/>
          <w:color w:val="auto"/>
          <w:kern w:val="0"/>
          <w:szCs w:val="21"/>
          <w:highlight w:val="none"/>
        </w:rPr>
        <w:t>2.1 本项目评标方法为：综合评分法。</w:t>
      </w:r>
    </w:p>
    <w:p w14:paraId="45E29C51">
      <w:pPr>
        <w:wordWrap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2.1.1 综合评分法，是投标文件满足招标文件全部实质性要求，且按照评标因素的量化指标评标得分最高的投标人为中标候选人的评标方法。</w:t>
      </w:r>
    </w:p>
    <w:p w14:paraId="06B1A9D4">
      <w:pPr>
        <w:wordWrap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评标因素的设定与投标人所提供货物服务的质量相关，包括投标报价、技术或者服务水平、履约能力、售后服务等。资格条件不得作为评标因素。</w:t>
      </w:r>
    </w:p>
    <w:p w14:paraId="7AFF07B3">
      <w:pPr>
        <w:wordWrap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2.1.2 评标时，评标委员会各成员应当独立对每个投标人的投标文件进行评价，并汇总每个投标人的得分。</w:t>
      </w:r>
    </w:p>
    <w:p w14:paraId="733A2343">
      <w:pPr>
        <w:wordWrap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2.1.3 评标过程中，不得去掉报价中的最高报价和最低报价。</w:t>
      </w:r>
    </w:p>
    <w:p w14:paraId="218074EB">
      <w:pPr>
        <w:wordWrap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2.1.4 因落实政府采购政策进行价格调整的，以调整后的价格计算评标基准价和投标报价。</w:t>
      </w:r>
    </w:p>
    <w:p w14:paraId="6C965EA7">
      <w:pPr>
        <w:wordWrap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2.2 评标结果按评标后得分由高到低顺序排列，得分相同的，按投标报价由低到高顺序排列。得分且投标报价相同的并列。投标文件满足招标文件全部实质性要求，且按照评标因素的量化指标评标得分最高的投标人为排名第一的中标候选人。</w:t>
      </w:r>
    </w:p>
    <w:p w14:paraId="51078B86">
      <w:pPr>
        <w:wordWrap w:val="0"/>
        <w:adjustRightIn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3. 评标原则和评标纪律</w:t>
      </w:r>
    </w:p>
    <w:p w14:paraId="589E01D7">
      <w:pPr>
        <w:wordWrap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3.1 评标委员会成员应当按照客观、公正、审慎的原则，根据招标文件规定的评标程序、评标方法和评标标准进行独立评标。评标委员会发现招标文件存在歧义、重大缺陷导致评标工作无法进行，或者招标文件内容违反国家有关强制性规定的，应当停止评标工作，与招标人或者采购代理机构沟通并作书面记录。招标人或者采购代理机构确认后，应当修改招标文件，重新组织采购活动。</w:t>
      </w:r>
    </w:p>
    <w:p w14:paraId="1D55F1D7">
      <w:pPr>
        <w:wordWrap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3.2 评标委员会成员应当在评标报告上签字，对自己的评标意见承担法律责任。评标委员会成员对需要共同认定的事项存在争议的，应当按照少数服从多数的原则作出结论。持不同意见的评标委员会成员应当在评标报告上签署不同意见及理由，否则视为同意评标报告。</w:t>
      </w:r>
    </w:p>
    <w:p w14:paraId="6C9E7156">
      <w:pPr>
        <w:wordWrap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3.3 评标纪律</w:t>
      </w:r>
    </w:p>
    <w:p w14:paraId="5D0E4146">
      <w:pPr>
        <w:wordWrap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3.3.1 招标人委派代表参加评标委员会的，应当向采购代理机构出具授权函。除授权代表外，招标人可以委派纪检监察等相关人员进入评标现场，对评标工作实施监督，但不得超过2人。招标人需要在评标前介绍项目背景和技术需求的，应当事先提交书面介绍材料，介绍内容不得存在歧视性、倾向性意见，不得超出采购文件所述范围，书面介绍材料作为采购项目文件随其他文件一并存档。</w:t>
      </w:r>
      <w:r>
        <w:rPr>
          <w:rFonts w:hint="eastAsia" w:ascii="宋体" w:hAnsi="宋体" w:cs="宋体"/>
          <w:b/>
          <w:color w:val="auto"/>
          <w:kern w:val="0"/>
          <w:szCs w:val="21"/>
          <w:highlight w:val="none"/>
        </w:rPr>
        <w:t>评标委员会应当推选组长，但招标人代表不得担任组长</w:t>
      </w:r>
      <w:r>
        <w:rPr>
          <w:rFonts w:hint="eastAsia" w:ascii="宋体" w:hAnsi="宋体" w:cs="宋体"/>
          <w:color w:val="auto"/>
          <w:kern w:val="0"/>
          <w:szCs w:val="21"/>
          <w:highlight w:val="none"/>
        </w:rPr>
        <w:t>。</w:t>
      </w:r>
    </w:p>
    <w:p w14:paraId="7630DEF4">
      <w:pPr>
        <w:wordWrap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3.3.2 评标委员会成员要严格遵守评标时间，主动出具身份证明，遵守评标工作纪律和评标回避的相关规定。在评标工作开始前，将手机等通讯工具或相关电子设备交由招标人或采购代理机构统一保管，拒不上交的，招标人或采购代理机构可以拒绝其参加评标工作并向财政部门报告。</w:t>
      </w:r>
    </w:p>
    <w:p w14:paraId="3CB696C6">
      <w:pPr>
        <w:wordWrap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3.3.3 评标委员会成员和评标工作有关人员不得干预或者影响正常评标工作，不得明示或者暗示其倾向性、引导性意见，不得修改或细化采购文件确定的评标程序、评标方法、评标因素和评标标准，不得接受投标人主动提出的澄清和解释，不得征询招标人代表的倾向性意见，不得协商评分，不得记录、复制或带走任何评标资料。评标结果汇总完成后，招标人、采购代理机构和评标委员会均不得修改评标结果或者要求重新评标，但资格性检查认定错误、分值汇总计算错误、分项评分超出评分标准范围、客观分评分不一致、经评标委员会一致认定评分畸高、畸低的情形除外。出现上述除外情形的，评标委员会应当现场修改评标结果，并在评标报告中明确记载。</w:t>
      </w:r>
    </w:p>
    <w:p w14:paraId="15919F63">
      <w:pPr>
        <w:wordWrap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3.3.4 评标委员会成员不得私自泄露评标内容。评标过程应严格遵守保密制度。开标后，直到授予中标人合同止，凡是属于审查、澄清、评价和比较的有关资料以及授标建议等均不得向投标人或其他无关的人员透露。</w:t>
      </w:r>
    </w:p>
    <w:p w14:paraId="5E08AAE5">
      <w:pPr>
        <w:wordWrap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3.3.5 招标人、采购代理机构要加强评标现场管理，与评标工作无关的人员不得进入评标现场。各级财政部门对评标活动相关各方违反评标工作纪律及要求的行为，将依法严肃处理。</w:t>
      </w:r>
    </w:p>
    <w:p w14:paraId="72BC0AC6">
      <w:pPr>
        <w:wordWrap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3.4 评标委员会成员应当履行的义务</w:t>
      </w:r>
    </w:p>
    <w:p w14:paraId="0C13F31C">
      <w:pPr>
        <w:wordWrap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3.4.1 评标委员会成员应根据政府采购法律法规和采购文件所载明的评标方法、标准进行评标，遵纪守法，客观、公正、廉洁地履行职责。</w:t>
      </w:r>
    </w:p>
    <w:p w14:paraId="6A07DC27">
      <w:pPr>
        <w:wordWrap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3.4.2 评标委员会成员应熟悉和理解采购文件，认真阅读所有投标人的投标文件，对所有投标文件逐一进行资格性、符合性检查，按采购文件规定的评标方法和标准，进行比较和评价；</w:t>
      </w:r>
    </w:p>
    <w:p w14:paraId="3ABC0FB0">
      <w:pPr>
        <w:wordWrap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3.4.3 对投标人的价格分等客观评分项的评分应当一致，对其他需要借助专业知识评判的主观评分项，应当严格按照评分细则公正评分。</w:t>
      </w:r>
    </w:p>
    <w:p w14:paraId="31426AE1">
      <w:pPr>
        <w:wordWrap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3.4.4 评标委员会如需要投标人对投标文件有关事项作出澄清的，应当给予投标人必要的反馈时间，但澄清事项不得超出投标文件的范围，不得实质性改变投标文件的内容，不得通过澄清等方式对投标人实行差别对待。</w:t>
      </w:r>
    </w:p>
    <w:p w14:paraId="47B62586">
      <w:pPr>
        <w:wordWrap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3.4.5 评标委员会应对评分汇总情况进行复核，特别是对排名第一的、报价最低的投标或相应文件被认定为无效的情形进行重点复核，并根据评标结果推荐中标候选人，或者根据招标人委托协议规定直接确定中标人，起草并签署评标报告。</w:t>
      </w:r>
    </w:p>
    <w:p w14:paraId="75420D22">
      <w:pPr>
        <w:wordWrap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3.4.6 评标委员会应在采购项目招标失败时，出具招标文件是否存在不合理条款的论证意见，并协助招标人、采购代理机构、财政部门答复质疑或处理投诉事项。</w:t>
      </w:r>
    </w:p>
    <w:p w14:paraId="2C04A048">
      <w:pPr>
        <w:wordWrap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3.4.7 评标委员会应对评标过程和结果以及投标人的商业秘密保密。</w:t>
      </w:r>
    </w:p>
    <w:p w14:paraId="2A6618B4">
      <w:pPr>
        <w:pStyle w:val="89"/>
        <w:wordWrap w:val="0"/>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二、评标程序</w:t>
      </w:r>
    </w:p>
    <w:p w14:paraId="068BFDDA">
      <w:pPr>
        <w:wordWrap w:val="0"/>
        <w:adjustRightIn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4. 投标文件的初步评标</w:t>
      </w:r>
    </w:p>
    <w:p w14:paraId="3B30E98C">
      <w:pPr>
        <w:wordWrap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4.1 初步评标分为资格性检查和符合性检查。</w:t>
      </w:r>
    </w:p>
    <w:p w14:paraId="46ECDCE8">
      <w:pPr>
        <w:wordWrap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4.1.1 资格性检查</w:t>
      </w:r>
    </w:p>
    <w:p w14:paraId="4DA9F993">
      <w:pPr>
        <w:wordWrap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根据法律法规和招标文件的规定，对投标文件中的资格证明文件、投标保证金等进行审查，以确定投标投标人是否具备投标资格。审查事项如下表：</w:t>
      </w:r>
    </w:p>
    <w:p w14:paraId="1CE90DD7">
      <w:pPr>
        <w:wordWrap w:val="0"/>
        <w:spacing w:line="500" w:lineRule="exact"/>
        <w:jc w:val="center"/>
        <w:rPr>
          <w:rFonts w:ascii="宋体" w:hAnsi="宋体" w:cs="宋体"/>
          <w:b/>
          <w:bCs/>
          <w:color w:val="auto"/>
          <w:kern w:val="0"/>
          <w:sz w:val="32"/>
          <w:szCs w:val="32"/>
          <w:highlight w:val="none"/>
        </w:rPr>
      </w:pPr>
      <w:r>
        <w:rPr>
          <w:rFonts w:hint="eastAsia" w:ascii="宋体" w:hAnsi="宋体" w:cs="宋体"/>
          <w:b/>
          <w:bCs/>
          <w:color w:val="auto"/>
          <w:kern w:val="0"/>
          <w:sz w:val="32"/>
          <w:szCs w:val="32"/>
          <w:highlight w:val="none"/>
        </w:rPr>
        <w:t>资格性检查表</w:t>
      </w:r>
    </w:p>
    <w:tbl>
      <w:tblPr>
        <w:tblStyle w:val="40"/>
        <w:tblW w:w="95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723"/>
        <w:gridCol w:w="1100"/>
        <w:gridCol w:w="2834"/>
        <w:gridCol w:w="4939"/>
      </w:tblGrid>
      <w:tr w14:paraId="2C925E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6" w:hRule="atLeast"/>
          <w:tblHeader/>
          <w:jc w:val="center"/>
        </w:trPr>
        <w:tc>
          <w:tcPr>
            <w:tcW w:w="723" w:type="dxa"/>
            <w:vAlign w:val="center"/>
          </w:tcPr>
          <w:p w14:paraId="29C93FC8">
            <w:pPr>
              <w:wordWrap w:val="0"/>
              <w:spacing w:line="360" w:lineRule="auto"/>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序号</w:t>
            </w:r>
          </w:p>
        </w:tc>
        <w:tc>
          <w:tcPr>
            <w:tcW w:w="3934" w:type="dxa"/>
            <w:gridSpan w:val="2"/>
            <w:vAlign w:val="center"/>
          </w:tcPr>
          <w:p w14:paraId="2BBA5479">
            <w:pPr>
              <w:wordWrap w:val="0"/>
              <w:spacing w:line="360" w:lineRule="auto"/>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检查因素</w:t>
            </w:r>
          </w:p>
        </w:tc>
        <w:tc>
          <w:tcPr>
            <w:tcW w:w="4939" w:type="dxa"/>
            <w:vAlign w:val="center"/>
          </w:tcPr>
          <w:p w14:paraId="7D737378">
            <w:pPr>
              <w:wordWrap w:val="0"/>
              <w:spacing w:line="360" w:lineRule="auto"/>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检查内容</w:t>
            </w:r>
          </w:p>
        </w:tc>
      </w:tr>
      <w:tr w14:paraId="041B6C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723" w:type="dxa"/>
            <w:vMerge w:val="restart"/>
            <w:vAlign w:val="center"/>
          </w:tcPr>
          <w:p w14:paraId="75E6B0E3">
            <w:pPr>
              <w:wordWrap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1</w:t>
            </w:r>
          </w:p>
        </w:tc>
        <w:tc>
          <w:tcPr>
            <w:tcW w:w="1100" w:type="dxa"/>
            <w:vMerge w:val="restart"/>
            <w:vAlign w:val="center"/>
          </w:tcPr>
          <w:p w14:paraId="52CC095C">
            <w:pPr>
              <w:wordWrap w:val="0"/>
              <w:spacing w:line="360" w:lineRule="auto"/>
              <w:jc w:val="left"/>
              <w:rPr>
                <w:rFonts w:ascii="宋体" w:hAnsi="宋体" w:cs="宋体"/>
                <w:color w:val="auto"/>
                <w:szCs w:val="21"/>
                <w:highlight w:val="none"/>
                <w:lang w:val="zh-CN"/>
              </w:rPr>
            </w:pPr>
            <w:r>
              <w:rPr>
                <w:rFonts w:hint="eastAsia" w:ascii="宋体" w:hAnsi="宋体" w:cs="宋体"/>
                <w:color w:val="auto"/>
                <w:szCs w:val="21"/>
                <w:highlight w:val="none"/>
                <w:lang w:val="zh-CN"/>
              </w:rPr>
              <w:t>符合《中华人民共和国政府采购法》第二十二条规定，提供：</w:t>
            </w:r>
          </w:p>
        </w:tc>
        <w:tc>
          <w:tcPr>
            <w:tcW w:w="2834" w:type="dxa"/>
            <w:vAlign w:val="center"/>
          </w:tcPr>
          <w:p w14:paraId="4AD8B586">
            <w:pPr>
              <w:wordWrap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（1）具有独立承担民事责任的能力</w:t>
            </w:r>
          </w:p>
        </w:tc>
        <w:tc>
          <w:tcPr>
            <w:tcW w:w="4939" w:type="dxa"/>
            <w:vAlign w:val="center"/>
          </w:tcPr>
          <w:p w14:paraId="589C0138">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投标人营业执照（营业执照应具有统一社会信用代码，否则应同时提供组织机构代码证和税务登记证），自然人的身份证明复印件，以证明投标人具有独立承担民事责任的能力。</w:t>
            </w:r>
          </w:p>
        </w:tc>
      </w:tr>
      <w:tr w14:paraId="07AE68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723" w:type="dxa"/>
            <w:vMerge w:val="continue"/>
            <w:vAlign w:val="center"/>
          </w:tcPr>
          <w:p w14:paraId="77010973">
            <w:pPr>
              <w:wordWrap w:val="0"/>
              <w:spacing w:line="360" w:lineRule="auto"/>
              <w:jc w:val="center"/>
              <w:rPr>
                <w:rFonts w:ascii="宋体" w:hAnsi="宋体" w:cs="宋体"/>
                <w:color w:val="auto"/>
                <w:szCs w:val="21"/>
                <w:highlight w:val="none"/>
              </w:rPr>
            </w:pPr>
          </w:p>
        </w:tc>
        <w:tc>
          <w:tcPr>
            <w:tcW w:w="1100" w:type="dxa"/>
            <w:vMerge w:val="continue"/>
            <w:vAlign w:val="center"/>
          </w:tcPr>
          <w:p w14:paraId="5AA2F026">
            <w:pPr>
              <w:wordWrap w:val="0"/>
              <w:spacing w:line="360" w:lineRule="auto"/>
              <w:jc w:val="left"/>
              <w:rPr>
                <w:rFonts w:ascii="宋体" w:hAnsi="宋体" w:cs="宋体"/>
                <w:color w:val="auto"/>
                <w:szCs w:val="21"/>
                <w:highlight w:val="none"/>
                <w:lang w:val="zh-CN"/>
              </w:rPr>
            </w:pPr>
          </w:p>
        </w:tc>
        <w:tc>
          <w:tcPr>
            <w:tcW w:w="2834" w:type="dxa"/>
            <w:vAlign w:val="center"/>
          </w:tcPr>
          <w:p w14:paraId="1DE958E9">
            <w:pPr>
              <w:wordWrap w:val="0"/>
              <w:spacing w:line="360" w:lineRule="auto"/>
              <w:jc w:val="left"/>
              <w:rPr>
                <w:rFonts w:ascii="宋体" w:hAnsi="宋体" w:cs="宋体"/>
                <w:color w:val="auto"/>
                <w:szCs w:val="21"/>
                <w:highlight w:val="none"/>
              </w:rPr>
            </w:pPr>
            <w:r>
              <w:rPr>
                <w:rFonts w:hint="eastAsia" w:ascii="宋体" w:hAnsi="宋体" w:cs="宋体"/>
                <w:color w:val="auto"/>
                <w:szCs w:val="21"/>
                <w:highlight w:val="none"/>
                <w:lang w:val="zh-CN"/>
              </w:rPr>
              <w:t>（2）</w:t>
            </w:r>
            <w:r>
              <w:rPr>
                <w:rFonts w:hint="eastAsia" w:ascii="宋体" w:hAnsi="宋体" w:cs="宋体"/>
                <w:color w:val="auto"/>
                <w:szCs w:val="21"/>
                <w:highlight w:val="none"/>
              </w:rPr>
              <w:t>具有良好的商业信誉和健全的财务会计制度</w:t>
            </w:r>
          </w:p>
        </w:tc>
        <w:tc>
          <w:tcPr>
            <w:tcW w:w="4939" w:type="dxa"/>
            <w:vAlign w:val="center"/>
          </w:tcPr>
          <w:p w14:paraId="52C8805B">
            <w:pPr>
              <w:wordWrap w:val="0"/>
              <w:spacing w:line="360" w:lineRule="auto"/>
              <w:rPr>
                <w:rFonts w:ascii="宋体" w:hAnsi="宋体" w:cs="宋体"/>
                <w:color w:val="auto"/>
                <w:szCs w:val="21"/>
                <w:highlight w:val="none"/>
              </w:rPr>
            </w:pPr>
            <w:r>
              <w:rPr>
                <w:rFonts w:hint="eastAsia" w:ascii="宋体" w:hAnsi="宋体" w:cs="宋体"/>
                <w:bCs/>
                <w:color w:val="auto"/>
                <w:kern w:val="0"/>
                <w:sz w:val="21"/>
                <w:szCs w:val="21"/>
                <w:highlight w:val="none"/>
                <w:lang w:val="en-US" w:eastAsia="zh-CN" w:bidi="ar-SA"/>
              </w:rPr>
              <w:t>提供</w:t>
            </w:r>
            <w:r>
              <w:rPr>
                <w:rFonts w:hint="eastAsia" w:ascii="宋体" w:hAnsi="宋体" w:eastAsia="宋体" w:cs="宋体"/>
                <w:bCs/>
                <w:color w:val="auto"/>
                <w:kern w:val="0"/>
                <w:sz w:val="21"/>
                <w:szCs w:val="21"/>
                <w:highlight w:val="none"/>
                <w:lang w:val="en-US" w:eastAsia="zh-CN" w:bidi="ar-SA"/>
              </w:rPr>
              <w:t>202</w:t>
            </w:r>
            <w:r>
              <w:rPr>
                <w:rFonts w:hint="eastAsia" w:ascii="宋体" w:hAnsi="宋体" w:cs="宋体"/>
                <w:bCs/>
                <w:color w:val="auto"/>
                <w:kern w:val="0"/>
                <w:sz w:val="21"/>
                <w:szCs w:val="21"/>
                <w:highlight w:val="none"/>
                <w:lang w:val="en-US" w:eastAsia="zh-CN" w:bidi="ar-SA"/>
              </w:rPr>
              <w:t>4</w:t>
            </w:r>
            <w:r>
              <w:rPr>
                <w:rFonts w:hint="eastAsia" w:ascii="宋体" w:hAnsi="宋体" w:eastAsia="宋体" w:cs="宋体"/>
                <w:bCs/>
                <w:color w:val="auto"/>
                <w:kern w:val="0"/>
                <w:sz w:val="21"/>
                <w:szCs w:val="21"/>
                <w:highlight w:val="none"/>
                <w:lang w:val="en-US" w:eastAsia="zh-CN" w:bidi="ar-SA"/>
              </w:rPr>
              <w:t>年度经第三方审计的财务审计报告，若企业成立期限不足一年者以营业执照实际成立期限为准，并按实际成立期限之日起提供财务报表；</w:t>
            </w:r>
          </w:p>
        </w:tc>
      </w:tr>
      <w:tr w14:paraId="5D1D54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723" w:type="dxa"/>
            <w:vMerge w:val="continue"/>
            <w:vAlign w:val="center"/>
          </w:tcPr>
          <w:p w14:paraId="74622336">
            <w:pPr>
              <w:wordWrap w:val="0"/>
              <w:spacing w:line="360" w:lineRule="auto"/>
              <w:jc w:val="center"/>
              <w:rPr>
                <w:rFonts w:ascii="宋体" w:hAnsi="宋体" w:cs="宋体"/>
                <w:color w:val="auto"/>
                <w:szCs w:val="21"/>
                <w:highlight w:val="none"/>
              </w:rPr>
            </w:pPr>
          </w:p>
        </w:tc>
        <w:tc>
          <w:tcPr>
            <w:tcW w:w="1100" w:type="dxa"/>
            <w:vMerge w:val="continue"/>
            <w:vAlign w:val="center"/>
          </w:tcPr>
          <w:p w14:paraId="74209A4F">
            <w:pPr>
              <w:wordWrap w:val="0"/>
              <w:spacing w:line="360" w:lineRule="auto"/>
              <w:jc w:val="left"/>
              <w:rPr>
                <w:rFonts w:ascii="宋体" w:hAnsi="宋体" w:cs="宋体"/>
                <w:color w:val="auto"/>
                <w:szCs w:val="21"/>
                <w:highlight w:val="none"/>
                <w:lang w:val="zh-CN"/>
              </w:rPr>
            </w:pPr>
          </w:p>
        </w:tc>
        <w:tc>
          <w:tcPr>
            <w:tcW w:w="2834" w:type="dxa"/>
            <w:vAlign w:val="center"/>
          </w:tcPr>
          <w:p w14:paraId="61C0AB96">
            <w:pPr>
              <w:wordWrap w:val="0"/>
              <w:spacing w:line="360" w:lineRule="auto"/>
              <w:jc w:val="left"/>
              <w:rPr>
                <w:rFonts w:ascii="宋体" w:hAnsi="宋体" w:cs="宋体"/>
                <w:color w:val="auto"/>
                <w:szCs w:val="21"/>
                <w:highlight w:val="none"/>
                <w:lang w:val="zh-CN"/>
              </w:rPr>
            </w:pPr>
            <w:r>
              <w:rPr>
                <w:rFonts w:hint="eastAsia" w:ascii="宋体" w:hAnsi="宋体" w:cs="宋体"/>
                <w:color w:val="auto"/>
                <w:szCs w:val="21"/>
                <w:highlight w:val="none"/>
                <w:lang w:val="zh-CN"/>
              </w:rPr>
              <w:t>（3）具有履行合同所必须的专业技术能力</w:t>
            </w:r>
          </w:p>
        </w:tc>
        <w:tc>
          <w:tcPr>
            <w:tcW w:w="4939" w:type="dxa"/>
            <w:vAlign w:val="center"/>
          </w:tcPr>
          <w:p w14:paraId="4BB4977C">
            <w:pPr>
              <w:autoSpaceDE w:val="0"/>
              <w:autoSpaceDN w:val="0"/>
              <w:adjustRightIn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提供具有履行合同所必需的设备和专业技术能力的承诺书；</w:t>
            </w:r>
          </w:p>
        </w:tc>
      </w:tr>
      <w:tr w14:paraId="145FE4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723" w:type="dxa"/>
            <w:vMerge w:val="continue"/>
            <w:vAlign w:val="center"/>
          </w:tcPr>
          <w:p w14:paraId="74AD14DB">
            <w:pPr>
              <w:wordWrap w:val="0"/>
              <w:spacing w:line="360" w:lineRule="auto"/>
              <w:jc w:val="center"/>
              <w:rPr>
                <w:rFonts w:ascii="宋体" w:hAnsi="宋体" w:cs="宋体"/>
                <w:color w:val="auto"/>
                <w:szCs w:val="21"/>
                <w:highlight w:val="none"/>
              </w:rPr>
            </w:pPr>
          </w:p>
        </w:tc>
        <w:tc>
          <w:tcPr>
            <w:tcW w:w="1100" w:type="dxa"/>
            <w:vMerge w:val="continue"/>
            <w:vAlign w:val="center"/>
          </w:tcPr>
          <w:p w14:paraId="1C4555B0">
            <w:pPr>
              <w:wordWrap w:val="0"/>
              <w:spacing w:line="360" w:lineRule="auto"/>
              <w:jc w:val="left"/>
              <w:rPr>
                <w:rFonts w:ascii="宋体" w:hAnsi="宋体" w:cs="宋体"/>
                <w:color w:val="auto"/>
                <w:szCs w:val="21"/>
                <w:highlight w:val="none"/>
                <w:lang w:val="zh-CN"/>
              </w:rPr>
            </w:pPr>
          </w:p>
        </w:tc>
        <w:tc>
          <w:tcPr>
            <w:tcW w:w="2834" w:type="dxa"/>
            <w:vAlign w:val="center"/>
          </w:tcPr>
          <w:p w14:paraId="61B64FCA">
            <w:pPr>
              <w:wordWrap w:val="0"/>
              <w:spacing w:line="360" w:lineRule="auto"/>
              <w:jc w:val="left"/>
              <w:rPr>
                <w:rFonts w:ascii="宋体" w:hAnsi="宋体" w:cs="宋体"/>
                <w:color w:val="auto"/>
                <w:szCs w:val="21"/>
                <w:highlight w:val="none"/>
                <w:lang w:val="zh-CN"/>
              </w:rPr>
            </w:pPr>
            <w:r>
              <w:rPr>
                <w:rFonts w:hint="eastAsia" w:ascii="宋体" w:hAnsi="宋体" w:cs="宋体"/>
                <w:color w:val="auto"/>
                <w:szCs w:val="21"/>
                <w:highlight w:val="none"/>
                <w:lang w:val="zh-CN"/>
              </w:rPr>
              <w:t>（4）有依法缴纳税收和社会保障金的良好记录</w:t>
            </w:r>
          </w:p>
        </w:tc>
        <w:tc>
          <w:tcPr>
            <w:tcW w:w="4939" w:type="dxa"/>
            <w:vAlign w:val="center"/>
          </w:tcPr>
          <w:p w14:paraId="3E72703E">
            <w:pPr>
              <w:wordWrap w:val="0"/>
              <w:spacing w:line="360" w:lineRule="auto"/>
              <w:rPr>
                <w:rFonts w:ascii="宋体" w:hAnsi="宋体" w:cs="宋体"/>
                <w:color w:val="auto"/>
                <w:szCs w:val="21"/>
                <w:highlight w:val="none"/>
              </w:rPr>
            </w:pPr>
            <w:r>
              <w:rPr>
                <w:rFonts w:hint="eastAsia"/>
                <w:color w:val="auto"/>
                <w:highlight w:val="none"/>
              </w:rPr>
              <w:t>提供</w:t>
            </w:r>
            <w:r>
              <w:rPr>
                <w:rFonts w:hint="eastAsia"/>
                <w:color w:val="auto"/>
                <w:highlight w:val="none"/>
                <w:lang w:eastAsia="zh-CN"/>
              </w:rPr>
              <w:t>：</w:t>
            </w:r>
            <w:r>
              <w:rPr>
                <w:rFonts w:hint="eastAsia" w:ascii="宋体" w:hAnsi="宋体" w:cs="宋体"/>
                <w:bCs/>
                <w:color w:val="auto"/>
                <w:kern w:val="0"/>
                <w:sz w:val="21"/>
                <w:szCs w:val="21"/>
                <w:highlight w:val="none"/>
                <w:lang w:val="en-US" w:eastAsia="zh-CN" w:bidi="ar-SA"/>
              </w:rPr>
              <w:t>1、</w:t>
            </w:r>
            <w:r>
              <w:rPr>
                <w:rFonts w:hint="eastAsia" w:ascii="宋体" w:hAnsi="宋体" w:eastAsia="宋体" w:cs="宋体"/>
                <w:bCs/>
                <w:color w:val="auto"/>
                <w:kern w:val="0"/>
                <w:sz w:val="21"/>
                <w:szCs w:val="21"/>
                <w:highlight w:val="none"/>
                <w:lang w:val="en-US" w:eastAsia="zh-CN" w:bidi="ar-SA"/>
              </w:rPr>
              <w:t>2025年1月至2025年5月缴纳税收的凭据（完税证、缴款书、印花税票、银行代扣/缴，转账凭证等均可），依法免税的供应商，须提供相应文件证明其依法免税；</w:t>
            </w:r>
            <w:r>
              <w:rPr>
                <w:rFonts w:hint="eastAsia" w:ascii="宋体" w:hAnsi="宋体" w:cs="宋体"/>
                <w:bCs/>
                <w:color w:val="auto"/>
                <w:kern w:val="0"/>
                <w:sz w:val="21"/>
                <w:szCs w:val="21"/>
                <w:highlight w:val="none"/>
                <w:lang w:val="en-US" w:eastAsia="zh-CN" w:bidi="ar-SA"/>
              </w:rPr>
              <w:t>2、</w:t>
            </w:r>
            <w:r>
              <w:rPr>
                <w:rFonts w:hint="eastAsia" w:ascii="宋体" w:hAnsi="宋体" w:eastAsia="宋体" w:cs="宋体"/>
                <w:bCs/>
                <w:color w:val="auto"/>
                <w:kern w:val="0"/>
                <w:sz w:val="21"/>
                <w:szCs w:val="21"/>
                <w:highlight w:val="none"/>
                <w:lang w:val="en-US" w:eastAsia="zh-CN" w:bidi="ar-SA"/>
              </w:rPr>
              <w:t>2025年1月至2025年5月的社保缴纳证明材料（专用收据或社会保险缴纳清单），依法不需要缴纳社会保障资金的供应商，须提供相应文件证明其依法不需要缴纳社会保障资金，供应商为其他组织或自然人的，也需要按此项规定提供缴纳税收的凭据和缴纳社会保险的凭据。新成立不足3个月的供应商提供近期可提供的相应资料，如新成立不足一个月的可不提供本项资料。</w:t>
            </w:r>
          </w:p>
        </w:tc>
      </w:tr>
      <w:tr w14:paraId="54A2D9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723" w:type="dxa"/>
            <w:vMerge w:val="continue"/>
            <w:vAlign w:val="center"/>
          </w:tcPr>
          <w:p w14:paraId="531A4947">
            <w:pPr>
              <w:wordWrap w:val="0"/>
              <w:spacing w:line="360" w:lineRule="auto"/>
              <w:jc w:val="center"/>
              <w:rPr>
                <w:rFonts w:ascii="宋体" w:hAnsi="宋体" w:cs="宋体"/>
                <w:color w:val="auto"/>
                <w:szCs w:val="21"/>
                <w:highlight w:val="none"/>
              </w:rPr>
            </w:pPr>
          </w:p>
        </w:tc>
        <w:tc>
          <w:tcPr>
            <w:tcW w:w="1100" w:type="dxa"/>
            <w:vMerge w:val="continue"/>
            <w:vAlign w:val="center"/>
          </w:tcPr>
          <w:p w14:paraId="0F7DD8CE">
            <w:pPr>
              <w:wordWrap w:val="0"/>
              <w:spacing w:line="360" w:lineRule="auto"/>
              <w:jc w:val="left"/>
              <w:rPr>
                <w:rFonts w:ascii="宋体" w:hAnsi="宋体" w:cs="宋体"/>
                <w:color w:val="auto"/>
                <w:szCs w:val="21"/>
                <w:highlight w:val="none"/>
                <w:lang w:val="zh-CN"/>
              </w:rPr>
            </w:pPr>
          </w:p>
        </w:tc>
        <w:tc>
          <w:tcPr>
            <w:tcW w:w="2834" w:type="dxa"/>
            <w:vAlign w:val="center"/>
          </w:tcPr>
          <w:p w14:paraId="4727FFFE">
            <w:pPr>
              <w:wordWrap w:val="0"/>
              <w:spacing w:line="360" w:lineRule="auto"/>
              <w:jc w:val="left"/>
              <w:rPr>
                <w:rFonts w:ascii="宋体" w:hAnsi="宋体" w:cs="宋体"/>
                <w:color w:val="auto"/>
                <w:szCs w:val="21"/>
                <w:highlight w:val="none"/>
                <w:lang w:val="zh-CN"/>
              </w:rPr>
            </w:pPr>
            <w:r>
              <w:rPr>
                <w:rFonts w:hint="eastAsia" w:ascii="宋体" w:hAnsi="宋体" w:cs="宋体"/>
                <w:color w:val="auto"/>
                <w:szCs w:val="21"/>
                <w:highlight w:val="none"/>
              </w:rPr>
              <w:t>（5）参加政府采购活动近3年内，在经营活动中没有重大违法记录</w:t>
            </w:r>
          </w:p>
        </w:tc>
        <w:tc>
          <w:tcPr>
            <w:tcW w:w="4939" w:type="dxa"/>
            <w:vAlign w:val="center"/>
          </w:tcPr>
          <w:p w14:paraId="36D5A3BA">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参加政府采购活动前3年内在经营活动中没有重大违法记录的书面声明；</w:t>
            </w:r>
          </w:p>
          <w:p w14:paraId="1422DBAC">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“重大违法记录”是指投标人因违法经营受到刑事处罚或者责令停产停业、吊销许可证或者执照、200万元以上罚款等行政处罚。</w:t>
            </w:r>
          </w:p>
          <w:p w14:paraId="409EC64A">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投标人在参加政府采购活动前3年内因违法经营被禁止在一定期限内参加政府采购活动，期限届满的，可以参加政府采购活动。有前述情形的，投标人应提供相应的证明材料。</w:t>
            </w:r>
          </w:p>
        </w:tc>
      </w:tr>
      <w:tr w14:paraId="59F06A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723" w:type="dxa"/>
            <w:vMerge w:val="continue"/>
            <w:vAlign w:val="center"/>
          </w:tcPr>
          <w:p w14:paraId="6C37D1B0">
            <w:pPr>
              <w:wordWrap w:val="0"/>
              <w:spacing w:line="360" w:lineRule="auto"/>
              <w:jc w:val="center"/>
              <w:rPr>
                <w:rFonts w:ascii="宋体" w:hAnsi="宋体" w:cs="宋体"/>
                <w:color w:val="auto"/>
                <w:szCs w:val="21"/>
                <w:highlight w:val="none"/>
              </w:rPr>
            </w:pPr>
          </w:p>
        </w:tc>
        <w:tc>
          <w:tcPr>
            <w:tcW w:w="1100" w:type="dxa"/>
            <w:vMerge w:val="continue"/>
            <w:vAlign w:val="center"/>
          </w:tcPr>
          <w:p w14:paraId="78A2DAEC">
            <w:pPr>
              <w:wordWrap w:val="0"/>
              <w:spacing w:line="360" w:lineRule="auto"/>
              <w:jc w:val="left"/>
              <w:rPr>
                <w:rFonts w:ascii="宋体" w:hAnsi="宋体" w:cs="宋体"/>
                <w:color w:val="auto"/>
                <w:szCs w:val="21"/>
                <w:highlight w:val="none"/>
                <w:lang w:val="zh-CN"/>
              </w:rPr>
            </w:pPr>
          </w:p>
        </w:tc>
        <w:tc>
          <w:tcPr>
            <w:tcW w:w="2834" w:type="dxa"/>
            <w:vAlign w:val="center"/>
          </w:tcPr>
          <w:p w14:paraId="2A5E7866">
            <w:pPr>
              <w:wordWrap w:val="0"/>
              <w:spacing w:line="360" w:lineRule="auto"/>
              <w:jc w:val="left"/>
              <w:rPr>
                <w:rFonts w:ascii="宋体" w:hAnsi="宋体" w:cs="宋体"/>
                <w:color w:val="auto"/>
                <w:szCs w:val="21"/>
                <w:highlight w:val="none"/>
              </w:rPr>
            </w:pPr>
            <w:r>
              <w:rPr>
                <w:rFonts w:hint="eastAsia" w:ascii="宋体" w:hAnsi="宋体" w:cs="宋体"/>
                <w:color w:val="auto"/>
                <w:szCs w:val="21"/>
                <w:highlight w:val="none"/>
                <w:lang w:val="zh-CN"/>
              </w:rPr>
              <w:t>（</w:t>
            </w:r>
            <w:r>
              <w:rPr>
                <w:rFonts w:hint="eastAsia" w:ascii="宋体" w:hAnsi="宋体" w:cs="宋体"/>
                <w:color w:val="auto"/>
                <w:szCs w:val="21"/>
                <w:highlight w:val="none"/>
              </w:rPr>
              <w:t>6</w:t>
            </w:r>
            <w:r>
              <w:rPr>
                <w:rFonts w:hint="eastAsia" w:ascii="宋体" w:hAnsi="宋体" w:cs="宋体"/>
                <w:color w:val="auto"/>
                <w:szCs w:val="21"/>
                <w:highlight w:val="none"/>
                <w:lang w:val="zh-CN"/>
              </w:rPr>
              <w:t>）法律、行政法规规定的其他条件</w:t>
            </w:r>
          </w:p>
        </w:tc>
        <w:tc>
          <w:tcPr>
            <w:tcW w:w="4939" w:type="dxa"/>
            <w:vAlign w:val="center"/>
          </w:tcPr>
          <w:p w14:paraId="4002D2DB">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投标人不能是被列入“信用中国”网站(www.creditchina.gov.cn)失信被执行人、重大税收违法案件当事人名单的供应商，不能是被列入“中国政府采购网”网站（www.ccgp.gov.cn）政府采购严重违法失信行为记录名单中仍在处罚期被禁止参加政府采购活动的供应商（由采购人或采购代理机构开启投标文件后现场查询）。</w:t>
            </w:r>
          </w:p>
        </w:tc>
      </w:tr>
      <w:tr w14:paraId="4A967E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723" w:type="dxa"/>
            <w:vAlign w:val="center"/>
          </w:tcPr>
          <w:p w14:paraId="5C8771A9">
            <w:pPr>
              <w:wordWrap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2</w:t>
            </w:r>
          </w:p>
        </w:tc>
        <w:tc>
          <w:tcPr>
            <w:tcW w:w="3934" w:type="dxa"/>
            <w:gridSpan w:val="2"/>
            <w:vAlign w:val="center"/>
          </w:tcPr>
          <w:p w14:paraId="305FB412">
            <w:pPr>
              <w:wordWrap w:val="0"/>
              <w:spacing w:line="360" w:lineRule="auto"/>
              <w:rPr>
                <w:rFonts w:ascii="宋体" w:hAnsi="宋体" w:cs="宋体"/>
                <w:color w:val="auto"/>
                <w:szCs w:val="21"/>
                <w:highlight w:val="none"/>
                <w:lang w:val="zh-CN"/>
              </w:rPr>
            </w:pPr>
            <w:r>
              <w:rPr>
                <w:rFonts w:hint="eastAsia" w:ascii="宋体" w:hAnsi="宋体" w:cs="宋体"/>
                <w:color w:val="auto"/>
                <w:szCs w:val="21"/>
                <w:highlight w:val="none"/>
                <w:lang w:val="zh-CN"/>
              </w:rPr>
              <w:t>落实政府采购政策需满足的资格要求</w:t>
            </w:r>
          </w:p>
        </w:tc>
        <w:tc>
          <w:tcPr>
            <w:tcW w:w="4939" w:type="dxa"/>
            <w:vAlign w:val="center"/>
          </w:tcPr>
          <w:p w14:paraId="1B195AE2">
            <w:pPr>
              <w:wordWrap w:val="0"/>
              <w:spacing w:line="360" w:lineRule="auto"/>
              <w:rPr>
                <w:color w:val="auto"/>
                <w:highlight w:val="none"/>
              </w:rPr>
            </w:pPr>
            <w:r>
              <w:rPr>
                <w:rFonts w:hint="eastAsia"/>
                <w:color w:val="auto"/>
                <w:highlight w:val="none"/>
                <w:lang w:val="en-US" w:eastAsia="zh-CN"/>
              </w:rPr>
              <w:t>1.</w:t>
            </w:r>
            <w:r>
              <w:rPr>
                <w:rFonts w:hint="eastAsia"/>
                <w:b/>
                <w:bCs/>
                <w:color w:val="auto"/>
                <w:highlight w:val="none"/>
                <w:lang w:val="en-US" w:eastAsia="zh-CN"/>
              </w:rPr>
              <w:t>本项目为专门面向中小企业采购项目</w:t>
            </w:r>
            <w:r>
              <w:rPr>
                <w:rFonts w:hint="eastAsia"/>
                <w:color w:val="auto"/>
                <w:highlight w:val="none"/>
                <w:lang w:val="en-US" w:eastAsia="zh-CN"/>
              </w:rPr>
              <w:t>，参加投标的供应商需符合财政部、工业和信息化部《关于印发&lt;政府采购促进中小企业发展管理办法&gt;的通知》（财库〔2020〕46 号）对中小企业的要求，并提供《中小企业声明函》。（本办法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若供应商为监狱企业、残疾人福利企业，提供相应证明材料后享受中小企业同等政策。）。2.</w:t>
            </w:r>
            <w:r>
              <w:rPr>
                <w:rFonts w:hint="eastAsia"/>
                <w:color w:val="auto"/>
                <w:highlight w:val="none"/>
              </w:rPr>
              <w:t>财政部民政部中国残疾人联合会《关于促进残疾人就业政府采购政策的通知》财库〔2017〕141号；</w:t>
            </w:r>
            <w:r>
              <w:rPr>
                <w:rFonts w:hint="eastAsia"/>
                <w:color w:val="auto"/>
                <w:highlight w:val="none"/>
                <w:lang w:val="en-US" w:eastAsia="zh-CN"/>
              </w:rPr>
              <w:t>3.</w:t>
            </w:r>
            <w:r>
              <w:rPr>
                <w:rFonts w:hint="eastAsia"/>
                <w:color w:val="auto"/>
                <w:highlight w:val="none"/>
              </w:rPr>
              <w:t>财政部、司法部《关于政府采购支持监狱企业发展有关问题的通知》（财库〔2014〕68号文）；</w:t>
            </w:r>
            <w:r>
              <w:rPr>
                <w:rFonts w:hint="eastAsia"/>
                <w:color w:val="auto"/>
                <w:highlight w:val="none"/>
                <w:lang w:val="en-US" w:eastAsia="zh-CN"/>
              </w:rPr>
              <w:t>4.</w:t>
            </w:r>
            <w:r>
              <w:rPr>
                <w:rFonts w:hint="eastAsia"/>
                <w:color w:val="auto"/>
                <w:highlight w:val="none"/>
              </w:rPr>
              <w:t>财政部、工业和信息化部《关于印发&lt;政府采购促进中小企业发展管理办法&gt;的通知》（财库〔2020〕46号）。（中小企业优惠、监狱企业、节能产品、环境标志产品等）</w:t>
            </w:r>
          </w:p>
        </w:tc>
      </w:tr>
      <w:tr w14:paraId="39A31C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98" w:hRule="atLeast"/>
          <w:jc w:val="center"/>
        </w:trPr>
        <w:tc>
          <w:tcPr>
            <w:tcW w:w="723" w:type="dxa"/>
            <w:vAlign w:val="center"/>
          </w:tcPr>
          <w:p w14:paraId="3FC00E8F">
            <w:pPr>
              <w:wordWrap w:val="0"/>
              <w:spacing w:line="360" w:lineRule="auto"/>
              <w:jc w:val="center"/>
              <w:rPr>
                <w:rFonts w:ascii="宋体" w:hAnsi="宋体" w:cs="宋体"/>
                <w:color w:val="auto"/>
                <w:szCs w:val="21"/>
                <w:highlight w:val="none"/>
              </w:rPr>
            </w:pPr>
            <w:r>
              <w:rPr>
                <w:rFonts w:ascii="宋体" w:hAnsi="宋体" w:cs="宋体"/>
                <w:color w:val="auto"/>
                <w:szCs w:val="21"/>
                <w:highlight w:val="none"/>
              </w:rPr>
              <w:t>3</w:t>
            </w:r>
          </w:p>
        </w:tc>
        <w:tc>
          <w:tcPr>
            <w:tcW w:w="3934" w:type="dxa"/>
            <w:gridSpan w:val="2"/>
            <w:vAlign w:val="center"/>
          </w:tcPr>
          <w:p w14:paraId="4EA25B41">
            <w:pPr>
              <w:wordWrap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本项目的特定资格要求</w:t>
            </w:r>
          </w:p>
        </w:tc>
        <w:tc>
          <w:tcPr>
            <w:tcW w:w="4939" w:type="dxa"/>
            <w:vAlign w:val="center"/>
          </w:tcPr>
          <w:p w14:paraId="302AFE41">
            <w:pPr>
              <w:wordWrap w:val="0"/>
              <w:spacing w:line="360" w:lineRule="auto"/>
              <w:rPr>
                <w:rFonts w:ascii="宋体" w:hAnsi="宋体" w:cs="宋体"/>
                <w:color w:val="auto"/>
                <w:szCs w:val="21"/>
                <w:highlight w:val="none"/>
              </w:rPr>
            </w:pPr>
            <w:r>
              <w:rPr>
                <w:rFonts w:hint="eastAsia" w:ascii="宋体" w:hAnsi="宋体" w:cs="宋体"/>
                <w:bCs/>
                <w:color w:val="auto"/>
                <w:kern w:val="0"/>
                <w:szCs w:val="21"/>
                <w:highlight w:val="none"/>
              </w:rPr>
              <w:t>无</w:t>
            </w:r>
          </w:p>
        </w:tc>
      </w:tr>
      <w:tr w14:paraId="467073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723" w:type="dxa"/>
            <w:vAlign w:val="center"/>
          </w:tcPr>
          <w:p w14:paraId="2C3389FA">
            <w:pPr>
              <w:wordWrap w:val="0"/>
              <w:spacing w:line="360" w:lineRule="auto"/>
              <w:jc w:val="center"/>
              <w:rPr>
                <w:rFonts w:ascii="宋体" w:hAnsi="宋体" w:cs="宋体"/>
                <w:color w:val="auto"/>
                <w:szCs w:val="21"/>
                <w:highlight w:val="none"/>
              </w:rPr>
            </w:pPr>
            <w:r>
              <w:rPr>
                <w:rFonts w:ascii="宋体" w:hAnsi="宋体" w:cs="宋体"/>
                <w:color w:val="auto"/>
                <w:szCs w:val="21"/>
                <w:highlight w:val="none"/>
              </w:rPr>
              <w:t>4</w:t>
            </w:r>
          </w:p>
        </w:tc>
        <w:tc>
          <w:tcPr>
            <w:tcW w:w="3934" w:type="dxa"/>
            <w:gridSpan w:val="2"/>
            <w:vAlign w:val="center"/>
          </w:tcPr>
          <w:p w14:paraId="2C5B377D">
            <w:pPr>
              <w:wordWrap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代理人的授权文件和身份证明</w:t>
            </w:r>
          </w:p>
        </w:tc>
        <w:tc>
          <w:tcPr>
            <w:tcW w:w="4939" w:type="dxa"/>
            <w:vAlign w:val="center"/>
          </w:tcPr>
          <w:p w14:paraId="5C3407BE">
            <w:pPr>
              <w:wordWrap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法定代表人授权书原件和代理人的身份证复印件。</w:t>
            </w:r>
          </w:p>
        </w:tc>
      </w:tr>
      <w:tr w14:paraId="6762C5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723" w:type="dxa"/>
            <w:vAlign w:val="center"/>
          </w:tcPr>
          <w:p w14:paraId="4E4B6AA7">
            <w:pPr>
              <w:wordWrap w:val="0"/>
              <w:spacing w:line="360" w:lineRule="auto"/>
              <w:jc w:val="center"/>
              <w:rPr>
                <w:rFonts w:ascii="宋体" w:hAnsi="宋体" w:cs="宋体"/>
                <w:color w:val="auto"/>
                <w:szCs w:val="21"/>
                <w:highlight w:val="none"/>
              </w:rPr>
            </w:pPr>
            <w:r>
              <w:rPr>
                <w:rFonts w:ascii="宋体" w:hAnsi="宋体" w:cs="宋体"/>
                <w:color w:val="auto"/>
                <w:szCs w:val="21"/>
                <w:highlight w:val="none"/>
              </w:rPr>
              <w:t>5</w:t>
            </w:r>
          </w:p>
        </w:tc>
        <w:tc>
          <w:tcPr>
            <w:tcW w:w="3934" w:type="dxa"/>
            <w:gridSpan w:val="2"/>
            <w:vAlign w:val="center"/>
          </w:tcPr>
          <w:p w14:paraId="3C5C97AE">
            <w:pPr>
              <w:wordWrap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投标保证金</w:t>
            </w:r>
          </w:p>
        </w:tc>
        <w:tc>
          <w:tcPr>
            <w:tcW w:w="4939" w:type="dxa"/>
            <w:vAlign w:val="center"/>
          </w:tcPr>
          <w:p w14:paraId="4FB765E5">
            <w:pPr>
              <w:wordWrap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符合本招标文件关于投标保证金的</w:t>
            </w:r>
            <w:r>
              <w:rPr>
                <w:rFonts w:hint="eastAsia" w:ascii="宋体" w:hAnsi="宋体" w:cs="宋体"/>
                <w:color w:val="auto"/>
                <w:szCs w:val="21"/>
                <w:highlight w:val="none"/>
                <w:lang w:val="zh-CN"/>
              </w:rPr>
              <w:t>规定。</w:t>
            </w:r>
          </w:p>
        </w:tc>
      </w:tr>
      <w:tr w14:paraId="5D8908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723" w:type="dxa"/>
            <w:vAlign w:val="center"/>
          </w:tcPr>
          <w:p w14:paraId="14E8008C">
            <w:pPr>
              <w:wordWrap w:val="0"/>
              <w:spacing w:line="360" w:lineRule="auto"/>
              <w:jc w:val="center"/>
              <w:rPr>
                <w:rFonts w:ascii="宋体" w:hAnsi="宋体" w:cs="宋体"/>
                <w:color w:val="auto"/>
                <w:szCs w:val="21"/>
                <w:highlight w:val="none"/>
              </w:rPr>
            </w:pPr>
            <w:r>
              <w:rPr>
                <w:rFonts w:ascii="宋体" w:hAnsi="宋体" w:cs="宋体"/>
                <w:color w:val="auto"/>
                <w:szCs w:val="21"/>
                <w:highlight w:val="none"/>
              </w:rPr>
              <w:t>6</w:t>
            </w:r>
          </w:p>
        </w:tc>
        <w:tc>
          <w:tcPr>
            <w:tcW w:w="3934" w:type="dxa"/>
            <w:gridSpan w:val="2"/>
            <w:vAlign w:val="center"/>
          </w:tcPr>
          <w:p w14:paraId="277826AA">
            <w:pPr>
              <w:wordWrap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联合体</w:t>
            </w:r>
          </w:p>
        </w:tc>
        <w:tc>
          <w:tcPr>
            <w:tcW w:w="4939" w:type="dxa"/>
            <w:vAlign w:val="center"/>
          </w:tcPr>
          <w:p w14:paraId="4684223C">
            <w:pPr>
              <w:wordWrap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本项目不接受联合体。</w:t>
            </w:r>
          </w:p>
        </w:tc>
      </w:tr>
    </w:tbl>
    <w:p w14:paraId="664B03BE">
      <w:pPr>
        <w:wordWrap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4.1.2 符合性检查</w:t>
      </w:r>
    </w:p>
    <w:p w14:paraId="59EDD193">
      <w:pPr>
        <w:wordWrap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4.1.2.1 依据招标文件的规定，从投标文件的有效性、完整性和对招标文件的响应程度进行审查，以确定是否对招标文件的实质性要求作出响应。评标委员会评标投标文件的响应性只根据投标文件真实无误的内容，而不依据外部的证据，但投标文件有不真实、不正确的内容时除外。</w:t>
      </w:r>
    </w:p>
    <w:p w14:paraId="2536FA93">
      <w:pPr>
        <w:wordWrap w:val="0"/>
        <w:adjustRightInd w:val="0"/>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4.1.2.2 投标人不得通过修正或撤销不符合要求的偏离从而使其投标成为实质上响应的投标。</w:t>
      </w:r>
    </w:p>
    <w:p w14:paraId="0618198D">
      <w:pPr>
        <w:wordWrap w:val="0"/>
        <w:adjustRightInd w:val="0"/>
        <w:spacing w:line="360" w:lineRule="auto"/>
        <w:ind w:firstLine="420" w:firstLineChars="200"/>
        <w:rPr>
          <w:rFonts w:hint="eastAsia" w:ascii="宋体" w:hAnsi="宋体" w:cs="宋体"/>
          <w:color w:val="auto"/>
          <w:kern w:val="0"/>
          <w:szCs w:val="21"/>
          <w:highlight w:val="none"/>
        </w:rPr>
      </w:pPr>
    </w:p>
    <w:p w14:paraId="22F42235">
      <w:pPr>
        <w:wordWrap w:val="0"/>
        <w:adjustRightInd w:val="0"/>
        <w:spacing w:line="360" w:lineRule="auto"/>
        <w:ind w:firstLine="420" w:firstLineChars="200"/>
        <w:rPr>
          <w:rFonts w:hint="eastAsia" w:ascii="宋体" w:hAnsi="宋体" w:cs="宋体"/>
          <w:color w:val="auto"/>
          <w:kern w:val="0"/>
          <w:szCs w:val="21"/>
          <w:highlight w:val="none"/>
        </w:rPr>
      </w:pPr>
    </w:p>
    <w:p w14:paraId="28FC406F">
      <w:pPr>
        <w:wordWrap w:val="0"/>
        <w:spacing w:line="500" w:lineRule="exact"/>
        <w:jc w:val="center"/>
        <w:rPr>
          <w:rFonts w:ascii="宋体" w:hAnsi="宋体" w:cs="宋体"/>
          <w:b/>
          <w:bCs/>
          <w:color w:val="auto"/>
          <w:kern w:val="0"/>
          <w:sz w:val="32"/>
          <w:szCs w:val="32"/>
          <w:highlight w:val="none"/>
        </w:rPr>
      </w:pPr>
      <w:r>
        <w:rPr>
          <w:rFonts w:hint="eastAsia" w:ascii="宋体" w:hAnsi="宋体" w:cs="宋体"/>
          <w:b/>
          <w:bCs/>
          <w:color w:val="auto"/>
          <w:kern w:val="0"/>
          <w:sz w:val="32"/>
          <w:szCs w:val="32"/>
          <w:highlight w:val="none"/>
        </w:rPr>
        <w:t>符合性检查表</w:t>
      </w:r>
    </w:p>
    <w:tbl>
      <w:tblPr>
        <w:tblStyle w:val="40"/>
        <w:tblW w:w="90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675"/>
        <w:gridCol w:w="993"/>
        <w:gridCol w:w="2161"/>
        <w:gridCol w:w="5255"/>
      </w:tblGrid>
      <w:tr w14:paraId="2B7A93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tblHeader/>
          <w:jc w:val="center"/>
        </w:trPr>
        <w:tc>
          <w:tcPr>
            <w:tcW w:w="675" w:type="dxa"/>
            <w:vAlign w:val="center"/>
          </w:tcPr>
          <w:p w14:paraId="159FC406">
            <w:pPr>
              <w:wordWrap w:val="0"/>
              <w:spacing w:line="360" w:lineRule="auto"/>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序号</w:t>
            </w:r>
          </w:p>
        </w:tc>
        <w:tc>
          <w:tcPr>
            <w:tcW w:w="3154" w:type="dxa"/>
            <w:gridSpan w:val="2"/>
            <w:vAlign w:val="center"/>
          </w:tcPr>
          <w:p w14:paraId="560B04D9">
            <w:pPr>
              <w:wordWrap w:val="0"/>
              <w:spacing w:line="360" w:lineRule="auto"/>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评标因素</w:t>
            </w:r>
          </w:p>
        </w:tc>
        <w:tc>
          <w:tcPr>
            <w:tcW w:w="5255" w:type="dxa"/>
            <w:vAlign w:val="center"/>
          </w:tcPr>
          <w:p w14:paraId="08247ECB">
            <w:pPr>
              <w:wordWrap w:val="0"/>
              <w:spacing w:line="360" w:lineRule="auto"/>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评标标准</w:t>
            </w:r>
          </w:p>
        </w:tc>
      </w:tr>
      <w:tr w14:paraId="67B43C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jc w:val="center"/>
        </w:trPr>
        <w:tc>
          <w:tcPr>
            <w:tcW w:w="675" w:type="dxa"/>
            <w:vMerge w:val="restart"/>
            <w:vAlign w:val="center"/>
          </w:tcPr>
          <w:p w14:paraId="515C135C">
            <w:pPr>
              <w:wordWrap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993" w:type="dxa"/>
            <w:vMerge w:val="restart"/>
            <w:vAlign w:val="center"/>
          </w:tcPr>
          <w:p w14:paraId="7950D537">
            <w:pPr>
              <w:wordWrap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有效性</w:t>
            </w:r>
          </w:p>
          <w:p w14:paraId="31BB736A">
            <w:pPr>
              <w:wordWrap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审查</w:t>
            </w:r>
          </w:p>
        </w:tc>
        <w:tc>
          <w:tcPr>
            <w:tcW w:w="2161" w:type="dxa"/>
            <w:vAlign w:val="center"/>
          </w:tcPr>
          <w:p w14:paraId="67902398">
            <w:pPr>
              <w:wordWrap w:val="0"/>
              <w:spacing w:line="360" w:lineRule="auto"/>
              <w:jc w:val="center"/>
              <w:rPr>
                <w:rFonts w:ascii="宋体" w:hAnsi="宋体" w:cs="宋体"/>
                <w:color w:val="auto"/>
                <w:kern w:val="0"/>
                <w:szCs w:val="21"/>
                <w:highlight w:val="none"/>
              </w:rPr>
            </w:pPr>
            <w:r>
              <w:rPr>
                <w:rFonts w:hint="eastAsia" w:ascii="宋体" w:hAnsi="宋体" w:cs="宋体"/>
                <w:color w:val="auto"/>
                <w:szCs w:val="21"/>
                <w:highlight w:val="none"/>
              </w:rPr>
              <w:t>投标文件签署</w:t>
            </w:r>
          </w:p>
        </w:tc>
        <w:tc>
          <w:tcPr>
            <w:tcW w:w="5255" w:type="dxa"/>
            <w:vAlign w:val="center"/>
          </w:tcPr>
          <w:p w14:paraId="6451F56C">
            <w:pPr>
              <w:wordWrap w:val="0"/>
              <w:spacing w:line="240" w:lineRule="auto"/>
              <w:jc w:val="left"/>
              <w:rPr>
                <w:rFonts w:ascii="宋体" w:hAnsi="宋体" w:cs="宋体"/>
                <w:color w:val="auto"/>
                <w:kern w:val="0"/>
                <w:szCs w:val="21"/>
                <w:highlight w:val="none"/>
              </w:rPr>
            </w:pPr>
            <w:r>
              <w:rPr>
                <w:rFonts w:hint="eastAsia" w:ascii="宋体" w:hAnsi="宋体" w:cs="宋体"/>
                <w:color w:val="auto"/>
                <w:szCs w:val="21"/>
                <w:highlight w:val="none"/>
              </w:rPr>
              <w:t>投标文件上法定代表人或其授权代理人的签字、投标人的单位章齐全符合招标文件规定。</w:t>
            </w:r>
          </w:p>
        </w:tc>
      </w:tr>
      <w:tr w14:paraId="188570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83" w:hRule="atLeast"/>
          <w:jc w:val="center"/>
        </w:trPr>
        <w:tc>
          <w:tcPr>
            <w:tcW w:w="675" w:type="dxa"/>
            <w:vMerge w:val="continue"/>
            <w:vAlign w:val="center"/>
          </w:tcPr>
          <w:p w14:paraId="6E9F6E2E">
            <w:pPr>
              <w:wordWrap w:val="0"/>
              <w:spacing w:line="360" w:lineRule="auto"/>
              <w:jc w:val="center"/>
              <w:rPr>
                <w:rFonts w:ascii="宋体" w:hAnsi="宋体" w:cs="宋体"/>
                <w:color w:val="auto"/>
                <w:kern w:val="0"/>
                <w:szCs w:val="21"/>
                <w:highlight w:val="none"/>
              </w:rPr>
            </w:pPr>
          </w:p>
        </w:tc>
        <w:tc>
          <w:tcPr>
            <w:tcW w:w="993" w:type="dxa"/>
            <w:vMerge w:val="continue"/>
            <w:vAlign w:val="center"/>
          </w:tcPr>
          <w:p w14:paraId="528DBDD4">
            <w:pPr>
              <w:wordWrap w:val="0"/>
              <w:spacing w:line="360" w:lineRule="auto"/>
              <w:jc w:val="center"/>
              <w:rPr>
                <w:rFonts w:ascii="宋体" w:hAnsi="宋体" w:cs="宋体"/>
                <w:color w:val="auto"/>
                <w:kern w:val="0"/>
                <w:szCs w:val="21"/>
                <w:highlight w:val="none"/>
              </w:rPr>
            </w:pPr>
          </w:p>
        </w:tc>
        <w:tc>
          <w:tcPr>
            <w:tcW w:w="2161" w:type="dxa"/>
            <w:vAlign w:val="center"/>
          </w:tcPr>
          <w:p w14:paraId="465874FC">
            <w:pPr>
              <w:wordWrap w:val="0"/>
              <w:spacing w:line="360" w:lineRule="auto"/>
              <w:jc w:val="center"/>
              <w:rPr>
                <w:rFonts w:ascii="宋体" w:hAnsi="宋体" w:cs="宋体"/>
                <w:color w:val="auto"/>
                <w:szCs w:val="21"/>
                <w:highlight w:val="none"/>
                <w:lang w:val="zh-CN"/>
              </w:rPr>
            </w:pPr>
            <w:r>
              <w:rPr>
                <w:rFonts w:hint="eastAsia" w:ascii="宋体" w:hAnsi="宋体" w:cs="宋体"/>
                <w:color w:val="auto"/>
                <w:szCs w:val="21"/>
                <w:highlight w:val="none"/>
                <w:lang w:val="zh-CN"/>
              </w:rPr>
              <w:t>投标方案</w:t>
            </w:r>
          </w:p>
        </w:tc>
        <w:tc>
          <w:tcPr>
            <w:tcW w:w="5255" w:type="dxa"/>
            <w:vAlign w:val="center"/>
          </w:tcPr>
          <w:p w14:paraId="3498AA17">
            <w:pPr>
              <w:wordWrap w:val="0"/>
              <w:spacing w:line="360" w:lineRule="auto"/>
              <w:jc w:val="left"/>
              <w:rPr>
                <w:rFonts w:ascii="宋体" w:hAnsi="宋体" w:cs="宋体"/>
                <w:color w:val="auto"/>
                <w:kern w:val="0"/>
                <w:szCs w:val="21"/>
                <w:highlight w:val="none"/>
              </w:rPr>
            </w:pPr>
            <w:r>
              <w:rPr>
                <w:rFonts w:hint="eastAsia" w:ascii="宋体" w:hAnsi="宋体" w:cs="宋体"/>
                <w:color w:val="auto"/>
                <w:szCs w:val="21"/>
                <w:highlight w:val="none"/>
                <w:lang w:val="zh-CN"/>
              </w:rPr>
              <w:t>只有一个方案投标。</w:t>
            </w:r>
          </w:p>
        </w:tc>
      </w:tr>
      <w:tr w14:paraId="4F097E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76" w:hRule="atLeast"/>
          <w:jc w:val="center"/>
        </w:trPr>
        <w:tc>
          <w:tcPr>
            <w:tcW w:w="675" w:type="dxa"/>
            <w:vMerge w:val="continue"/>
            <w:vAlign w:val="center"/>
          </w:tcPr>
          <w:p w14:paraId="3CCCAE56">
            <w:pPr>
              <w:wordWrap w:val="0"/>
              <w:spacing w:line="360" w:lineRule="auto"/>
              <w:jc w:val="center"/>
              <w:rPr>
                <w:rFonts w:ascii="宋体" w:hAnsi="宋体" w:cs="宋体"/>
                <w:color w:val="auto"/>
                <w:kern w:val="0"/>
                <w:szCs w:val="21"/>
                <w:highlight w:val="none"/>
              </w:rPr>
            </w:pPr>
          </w:p>
        </w:tc>
        <w:tc>
          <w:tcPr>
            <w:tcW w:w="993" w:type="dxa"/>
            <w:vMerge w:val="continue"/>
            <w:vAlign w:val="center"/>
          </w:tcPr>
          <w:p w14:paraId="01996B84">
            <w:pPr>
              <w:wordWrap w:val="0"/>
              <w:spacing w:line="360" w:lineRule="auto"/>
              <w:jc w:val="center"/>
              <w:rPr>
                <w:rFonts w:ascii="宋体" w:hAnsi="宋体" w:cs="宋体"/>
                <w:color w:val="auto"/>
                <w:kern w:val="0"/>
                <w:szCs w:val="21"/>
                <w:highlight w:val="none"/>
              </w:rPr>
            </w:pPr>
          </w:p>
        </w:tc>
        <w:tc>
          <w:tcPr>
            <w:tcW w:w="2161" w:type="dxa"/>
            <w:vAlign w:val="center"/>
          </w:tcPr>
          <w:p w14:paraId="033909D9">
            <w:pPr>
              <w:wordWrap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报价唯一</w:t>
            </w:r>
          </w:p>
        </w:tc>
        <w:tc>
          <w:tcPr>
            <w:tcW w:w="5255" w:type="dxa"/>
            <w:vAlign w:val="center"/>
          </w:tcPr>
          <w:p w14:paraId="490CBF4E">
            <w:pPr>
              <w:wordWrap w:val="0"/>
              <w:spacing w:line="360" w:lineRule="auto"/>
              <w:jc w:val="left"/>
              <w:rPr>
                <w:rFonts w:ascii="宋体" w:hAnsi="宋体" w:cs="宋体"/>
                <w:color w:val="auto"/>
                <w:szCs w:val="21"/>
                <w:highlight w:val="none"/>
                <w:lang w:val="zh-CN"/>
              </w:rPr>
            </w:pPr>
            <w:r>
              <w:rPr>
                <w:rFonts w:hint="eastAsia" w:ascii="宋体" w:hAnsi="宋体" w:cs="宋体"/>
                <w:color w:val="auto"/>
                <w:szCs w:val="21"/>
                <w:highlight w:val="none"/>
                <w:lang w:val="zh-CN"/>
              </w:rPr>
              <w:t>投标总报价未超过采购预算金额，且只有一个有效报价，不得提交选择性报价。</w:t>
            </w:r>
          </w:p>
        </w:tc>
      </w:tr>
      <w:tr w14:paraId="146F93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3" w:hRule="atLeast"/>
          <w:jc w:val="center"/>
        </w:trPr>
        <w:tc>
          <w:tcPr>
            <w:tcW w:w="675" w:type="dxa"/>
            <w:vMerge w:val="continue"/>
            <w:vAlign w:val="center"/>
          </w:tcPr>
          <w:p w14:paraId="76FF0202">
            <w:pPr>
              <w:wordWrap w:val="0"/>
              <w:spacing w:line="360" w:lineRule="auto"/>
              <w:jc w:val="center"/>
              <w:rPr>
                <w:rFonts w:ascii="宋体" w:hAnsi="宋体" w:cs="宋体"/>
                <w:color w:val="auto"/>
                <w:kern w:val="0"/>
                <w:szCs w:val="21"/>
                <w:highlight w:val="none"/>
              </w:rPr>
            </w:pPr>
          </w:p>
        </w:tc>
        <w:tc>
          <w:tcPr>
            <w:tcW w:w="993" w:type="dxa"/>
            <w:vMerge w:val="continue"/>
            <w:vAlign w:val="center"/>
          </w:tcPr>
          <w:p w14:paraId="224B6FE4">
            <w:pPr>
              <w:wordWrap w:val="0"/>
              <w:spacing w:line="360" w:lineRule="auto"/>
              <w:jc w:val="center"/>
              <w:rPr>
                <w:rFonts w:ascii="宋体" w:hAnsi="宋体" w:cs="宋体"/>
                <w:color w:val="auto"/>
                <w:kern w:val="0"/>
                <w:szCs w:val="21"/>
                <w:highlight w:val="none"/>
              </w:rPr>
            </w:pPr>
          </w:p>
        </w:tc>
        <w:tc>
          <w:tcPr>
            <w:tcW w:w="2161" w:type="dxa"/>
            <w:vAlign w:val="center"/>
          </w:tcPr>
          <w:p w14:paraId="618F50D3">
            <w:pPr>
              <w:wordWrap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投标保证金</w:t>
            </w:r>
          </w:p>
        </w:tc>
        <w:tc>
          <w:tcPr>
            <w:tcW w:w="5255" w:type="dxa"/>
            <w:vAlign w:val="center"/>
          </w:tcPr>
          <w:p w14:paraId="57C9CC3B">
            <w:pPr>
              <w:wordWrap w:val="0"/>
              <w:spacing w:line="360" w:lineRule="auto"/>
              <w:jc w:val="left"/>
              <w:rPr>
                <w:rFonts w:ascii="宋体" w:hAnsi="宋体" w:cs="宋体"/>
                <w:color w:val="auto"/>
                <w:szCs w:val="21"/>
                <w:highlight w:val="none"/>
                <w:lang w:val="zh-CN"/>
              </w:rPr>
            </w:pPr>
            <w:r>
              <w:rPr>
                <w:rFonts w:hint="eastAsia" w:ascii="宋体" w:hAnsi="宋体" w:cs="宋体"/>
                <w:color w:val="auto"/>
                <w:szCs w:val="21"/>
                <w:highlight w:val="none"/>
                <w:lang w:val="en-US" w:eastAsia="zh-CN"/>
              </w:rPr>
              <w:t>按投标人须知前附表规定</w:t>
            </w:r>
            <w:r>
              <w:rPr>
                <w:rFonts w:hint="eastAsia" w:ascii="宋体" w:hAnsi="宋体" w:cs="宋体"/>
                <w:color w:val="auto"/>
                <w:szCs w:val="21"/>
                <w:highlight w:val="none"/>
                <w:lang w:val="zh-CN"/>
              </w:rPr>
              <w:t>按时、足额缴纳投标保证金。</w:t>
            </w:r>
          </w:p>
        </w:tc>
      </w:tr>
      <w:tr w14:paraId="73D4E6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28" w:hRule="atLeast"/>
          <w:jc w:val="center"/>
        </w:trPr>
        <w:tc>
          <w:tcPr>
            <w:tcW w:w="675" w:type="dxa"/>
            <w:vMerge w:val="restart"/>
            <w:vAlign w:val="center"/>
          </w:tcPr>
          <w:p w14:paraId="7F68AFE3">
            <w:pPr>
              <w:wordWrap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2</w:t>
            </w:r>
          </w:p>
        </w:tc>
        <w:tc>
          <w:tcPr>
            <w:tcW w:w="993" w:type="dxa"/>
            <w:vMerge w:val="restart"/>
            <w:vAlign w:val="center"/>
          </w:tcPr>
          <w:p w14:paraId="68973B61">
            <w:pPr>
              <w:wordWrap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完整性</w:t>
            </w:r>
          </w:p>
          <w:p w14:paraId="680B5B87">
            <w:pPr>
              <w:wordWrap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审查</w:t>
            </w:r>
          </w:p>
        </w:tc>
        <w:tc>
          <w:tcPr>
            <w:tcW w:w="2161" w:type="dxa"/>
            <w:vAlign w:val="center"/>
          </w:tcPr>
          <w:p w14:paraId="5B97DE57">
            <w:pPr>
              <w:wordWrap w:val="0"/>
              <w:spacing w:line="360" w:lineRule="auto"/>
              <w:jc w:val="center"/>
              <w:rPr>
                <w:rFonts w:ascii="宋体" w:hAnsi="宋体" w:cs="宋体"/>
                <w:color w:val="auto"/>
                <w:kern w:val="0"/>
                <w:szCs w:val="21"/>
                <w:highlight w:val="none"/>
              </w:rPr>
            </w:pPr>
            <w:r>
              <w:rPr>
                <w:rFonts w:hint="eastAsia" w:ascii="宋体" w:hAnsi="宋体" w:cs="宋体"/>
                <w:color w:val="auto"/>
                <w:szCs w:val="21"/>
                <w:highlight w:val="none"/>
                <w:lang w:val="zh-CN"/>
              </w:rPr>
              <w:t>投标文件</w:t>
            </w:r>
          </w:p>
        </w:tc>
        <w:tc>
          <w:tcPr>
            <w:tcW w:w="5255" w:type="dxa"/>
            <w:vAlign w:val="center"/>
          </w:tcPr>
          <w:p w14:paraId="1BBFEE75">
            <w:pPr>
              <w:wordWrap w:val="0"/>
              <w:spacing w:line="360" w:lineRule="auto"/>
              <w:jc w:val="left"/>
              <w:rPr>
                <w:rFonts w:ascii="宋体" w:hAnsi="宋体" w:cs="宋体"/>
                <w:color w:val="auto"/>
                <w:kern w:val="0"/>
                <w:szCs w:val="21"/>
                <w:highlight w:val="none"/>
              </w:rPr>
            </w:pPr>
            <w:r>
              <w:rPr>
                <w:rFonts w:hint="eastAsia" w:ascii="宋体" w:hAnsi="宋体" w:cs="宋体"/>
                <w:color w:val="auto"/>
                <w:szCs w:val="21"/>
                <w:highlight w:val="none"/>
                <w:lang w:val="zh-CN"/>
              </w:rPr>
              <w:t>投标文件符合招标文件要求。</w:t>
            </w:r>
          </w:p>
        </w:tc>
      </w:tr>
      <w:tr w14:paraId="69446C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40" w:hRule="atLeast"/>
          <w:jc w:val="center"/>
        </w:trPr>
        <w:tc>
          <w:tcPr>
            <w:tcW w:w="675" w:type="dxa"/>
            <w:vMerge w:val="continue"/>
            <w:vAlign w:val="center"/>
          </w:tcPr>
          <w:p w14:paraId="1F0A1DB4">
            <w:pPr>
              <w:wordWrap w:val="0"/>
              <w:spacing w:line="360" w:lineRule="auto"/>
              <w:jc w:val="center"/>
              <w:rPr>
                <w:rFonts w:ascii="宋体" w:hAnsi="宋体" w:cs="宋体"/>
                <w:color w:val="auto"/>
                <w:kern w:val="0"/>
                <w:szCs w:val="21"/>
                <w:highlight w:val="none"/>
              </w:rPr>
            </w:pPr>
          </w:p>
        </w:tc>
        <w:tc>
          <w:tcPr>
            <w:tcW w:w="993" w:type="dxa"/>
            <w:vMerge w:val="continue"/>
            <w:vAlign w:val="center"/>
          </w:tcPr>
          <w:p w14:paraId="41960FA0">
            <w:pPr>
              <w:wordWrap w:val="0"/>
              <w:spacing w:line="360" w:lineRule="auto"/>
              <w:jc w:val="center"/>
              <w:rPr>
                <w:rFonts w:ascii="宋体" w:hAnsi="宋体" w:cs="宋体"/>
                <w:color w:val="auto"/>
                <w:kern w:val="0"/>
                <w:szCs w:val="21"/>
                <w:highlight w:val="none"/>
              </w:rPr>
            </w:pPr>
          </w:p>
        </w:tc>
        <w:tc>
          <w:tcPr>
            <w:tcW w:w="2161" w:type="dxa"/>
            <w:vAlign w:val="center"/>
          </w:tcPr>
          <w:p w14:paraId="32130C3F">
            <w:pPr>
              <w:wordWrap w:val="0"/>
              <w:spacing w:line="360" w:lineRule="auto"/>
              <w:jc w:val="center"/>
              <w:rPr>
                <w:rFonts w:ascii="宋体" w:hAnsi="宋体" w:cs="宋体"/>
                <w:color w:val="auto"/>
                <w:szCs w:val="21"/>
                <w:highlight w:val="none"/>
                <w:lang w:val="zh-CN"/>
              </w:rPr>
            </w:pPr>
            <w:r>
              <w:rPr>
                <w:rFonts w:hint="eastAsia" w:ascii="宋体" w:hAnsi="宋体" w:cs="宋体"/>
                <w:color w:val="auto"/>
                <w:szCs w:val="21"/>
                <w:highlight w:val="none"/>
                <w:lang w:val="zh-CN"/>
              </w:rPr>
              <w:t>投标文件内容</w:t>
            </w:r>
          </w:p>
        </w:tc>
        <w:tc>
          <w:tcPr>
            <w:tcW w:w="5255" w:type="dxa"/>
            <w:vAlign w:val="center"/>
          </w:tcPr>
          <w:p w14:paraId="42890C4D">
            <w:pPr>
              <w:wordWrap w:val="0"/>
              <w:spacing w:line="360" w:lineRule="auto"/>
              <w:jc w:val="left"/>
              <w:rPr>
                <w:rFonts w:ascii="宋体" w:hAnsi="宋体" w:cs="宋体"/>
                <w:color w:val="auto"/>
                <w:szCs w:val="21"/>
                <w:highlight w:val="none"/>
                <w:lang w:val="zh-CN"/>
              </w:rPr>
            </w:pPr>
            <w:r>
              <w:rPr>
                <w:rFonts w:hint="eastAsia" w:ascii="宋体" w:hAnsi="宋体" w:cs="宋体"/>
                <w:color w:val="auto"/>
                <w:szCs w:val="21"/>
                <w:highlight w:val="none"/>
                <w:lang w:val="zh-CN"/>
              </w:rPr>
              <w:t>投标文件应按照第六章《投标文件格式》规定的内容编制，内容齐全、字迹清晰可辨、无遗漏。</w:t>
            </w:r>
          </w:p>
        </w:tc>
      </w:tr>
      <w:tr w14:paraId="2F572B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94" w:hRule="atLeast"/>
          <w:jc w:val="center"/>
        </w:trPr>
        <w:tc>
          <w:tcPr>
            <w:tcW w:w="675" w:type="dxa"/>
            <w:vMerge w:val="continue"/>
            <w:vAlign w:val="center"/>
          </w:tcPr>
          <w:p w14:paraId="1B08EDF5">
            <w:pPr>
              <w:wordWrap w:val="0"/>
              <w:spacing w:line="360" w:lineRule="auto"/>
              <w:jc w:val="center"/>
              <w:rPr>
                <w:rFonts w:ascii="宋体" w:hAnsi="宋体" w:cs="宋体"/>
                <w:color w:val="auto"/>
                <w:kern w:val="0"/>
                <w:szCs w:val="21"/>
                <w:highlight w:val="none"/>
              </w:rPr>
            </w:pPr>
          </w:p>
        </w:tc>
        <w:tc>
          <w:tcPr>
            <w:tcW w:w="993" w:type="dxa"/>
            <w:vMerge w:val="continue"/>
            <w:vAlign w:val="center"/>
          </w:tcPr>
          <w:p w14:paraId="409D7FF5">
            <w:pPr>
              <w:wordWrap w:val="0"/>
              <w:spacing w:line="360" w:lineRule="auto"/>
              <w:jc w:val="center"/>
              <w:rPr>
                <w:rFonts w:ascii="宋体" w:hAnsi="宋体" w:cs="宋体"/>
                <w:color w:val="auto"/>
                <w:kern w:val="0"/>
                <w:szCs w:val="21"/>
                <w:highlight w:val="none"/>
              </w:rPr>
            </w:pPr>
          </w:p>
        </w:tc>
        <w:tc>
          <w:tcPr>
            <w:tcW w:w="2161" w:type="dxa"/>
            <w:vAlign w:val="center"/>
          </w:tcPr>
          <w:p w14:paraId="7542BD6E">
            <w:pPr>
              <w:wordWrap w:val="0"/>
              <w:spacing w:line="360" w:lineRule="auto"/>
              <w:jc w:val="center"/>
              <w:rPr>
                <w:rFonts w:ascii="宋体" w:hAnsi="宋体" w:cs="宋体"/>
                <w:color w:val="auto"/>
                <w:szCs w:val="21"/>
                <w:highlight w:val="none"/>
                <w:lang w:val="zh-CN"/>
              </w:rPr>
            </w:pPr>
            <w:r>
              <w:rPr>
                <w:rFonts w:hint="eastAsia" w:ascii="宋体" w:hAnsi="宋体" w:cs="宋体"/>
                <w:color w:val="auto"/>
                <w:szCs w:val="21"/>
                <w:highlight w:val="none"/>
                <w:lang w:val="zh-CN"/>
              </w:rPr>
              <w:t>电子投标文件</w:t>
            </w:r>
            <w:r>
              <w:rPr>
                <w:rFonts w:hint="eastAsia" w:ascii="宋体" w:hAnsi="宋体" w:cs="宋体"/>
                <w:color w:val="auto"/>
                <w:szCs w:val="21"/>
                <w:highlight w:val="none"/>
              </w:rPr>
              <w:t>完整性</w:t>
            </w:r>
          </w:p>
        </w:tc>
        <w:tc>
          <w:tcPr>
            <w:tcW w:w="5255" w:type="dxa"/>
            <w:vAlign w:val="center"/>
          </w:tcPr>
          <w:p w14:paraId="1C6A2697">
            <w:pPr>
              <w:wordWrap w:val="0"/>
              <w:spacing w:line="240" w:lineRule="auto"/>
              <w:jc w:val="left"/>
              <w:rPr>
                <w:rFonts w:ascii="宋体" w:hAnsi="宋体" w:cs="宋体"/>
                <w:color w:val="auto"/>
                <w:szCs w:val="21"/>
                <w:highlight w:val="none"/>
                <w:lang w:val="zh-CN"/>
              </w:rPr>
            </w:pPr>
            <w:r>
              <w:rPr>
                <w:rFonts w:hint="eastAsia" w:ascii="宋体" w:hAnsi="宋体" w:cs="宋体"/>
                <w:color w:val="auto"/>
                <w:szCs w:val="21"/>
                <w:highlight w:val="none"/>
                <w:lang w:val="zh-CN"/>
              </w:rPr>
              <w:t>投标人在政采云平台上传的电子投标文件（</w:t>
            </w:r>
            <w:r>
              <w:rPr>
                <w:rFonts w:hint="eastAsia" w:ascii="宋体" w:hAnsi="宋体" w:cs="宋体"/>
                <w:color w:val="auto"/>
                <w:szCs w:val="21"/>
                <w:highlight w:val="none"/>
              </w:rPr>
              <w:t>资格响应文件、商务技术响应文件、报价要求响应文件</w:t>
            </w:r>
            <w:r>
              <w:rPr>
                <w:rFonts w:hint="eastAsia" w:ascii="宋体" w:hAnsi="宋体" w:cs="宋体"/>
                <w:color w:val="auto"/>
                <w:szCs w:val="21"/>
                <w:highlight w:val="none"/>
                <w:lang w:val="zh-CN"/>
              </w:rPr>
              <w:t>）内容</w:t>
            </w:r>
            <w:r>
              <w:rPr>
                <w:rFonts w:hint="eastAsia" w:ascii="宋体" w:hAnsi="宋体" w:cs="宋体"/>
                <w:color w:val="auto"/>
                <w:szCs w:val="21"/>
                <w:highlight w:val="none"/>
              </w:rPr>
              <w:t>完整并按照投标须知前附表及新疆政府采购网要求上传电子投标文件。</w:t>
            </w:r>
          </w:p>
        </w:tc>
      </w:tr>
      <w:tr w14:paraId="6A7CEF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68" w:hRule="atLeast"/>
          <w:jc w:val="center"/>
        </w:trPr>
        <w:tc>
          <w:tcPr>
            <w:tcW w:w="675" w:type="dxa"/>
            <w:vMerge w:val="restart"/>
            <w:vAlign w:val="center"/>
          </w:tcPr>
          <w:p w14:paraId="4C27F674">
            <w:pPr>
              <w:wordWrap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3</w:t>
            </w:r>
          </w:p>
        </w:tc>
        <w:tc>
          <w:tcPr>
            <w:tcW w:w="993" w:type="dxa"/>
            <w:vMerge w:val="restart"/>
            <w:vAlign w:val="center"/>
          </w:tcPr>
          <w:p w14:paraId="61FFD89C">
            <w:pPr>
              <w:wordWrap w:val="0"/>
              <w:spacing w:line="360" w:lineRule="auto"/>
              <w:jc w:val="center"/>
              <w:rPr>
                <w:rFonts w:ascii="宋体" w:hAnsi="宋体" w:cs="宋体"/>
                <w:color w:val="auto"/>
                <w:szCs w:val="21"/>
                <w:highlight w:val="none"/>
                <w:lang w:val="zh-CN"/>
              </w:rPr>
            </w:pPr>
            <w:r>
              <w:rPr>
                <w:rFonts w:hint="eastAsia" w:ascii="宋体" w:hAnsi="宋体" w:cs="宋体"/>
                <w:color w:val="auto"/>
                <w:kern w:val="0"/>
                <w:szCs w:val="21"/>
                <w:highlight w:val="none"/>
              </w:rPr>
              <w:t>对招标文件的响应程度审查</w:t>
            </w:r>
          </w:p>
        </w:tc>
        <w:tc>
          <w:tcPr>
            <w:tcW w:w="2161" w:type="dxa"/>
            <w:vAlign w:val="center"/>
          </w:tcPr>
          <w:p w14:paraId="0F846C3F">
            <w:pPr>
              <w:wordWrap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投标内容</w:t>
            </w:r>
          </w:p>
        </w:tc>
        <w:tc>
          <w:tcPr>
            <w:tcW w:w="5255" w:type="dxa"/>
            <w:vAlign w:val="center"/>
          </w:tcPr>
          <w:p w14:paraId="181FB994">
            <w:pPr>
              <w:wordWrap w:val="0"/>
              <w:spacing w:line="360" w:lineRule="auto"/>
              <w:jc w:val="left"/>
              <w:rPr>
                <w:rFonts w:ascii="宋体" w:hAnsi="宋体" w:cs="宋体"/>
                <w:color w:val="auto"/>
                <w:szCs w:val="21"/>
                <w:highlight w:val="none"/>
                <w:lang w:val="zh-CN"/>
              </w:rPr>
            </w:pPr>
            <w:r>
              <w:rPr>
                <w:rFonts w:hint="eastAsia" w:ascii="宋体" w:hAnsi="宋体" w:cs="宋体"/>
                <w:color w:val="auto"/>
                <w:szCs w:val="21"/>
                <w:highlight w:val="none"/>
                <w:lang w:val="zh-CN"/>
              </w:rPr>
              <w:t>符合本采购项目的招标范围。</w:t>
            </w:r>
          </w:p>
        </w:tc>
      </w:tr>
      <w:tr w14:paraId="336A8F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73" w:hRule="atLeast"/>
          <w:jc w:val="center"/>
        </w:trPr>
        <w:tc>
          <w:tcPr>
            <w:tcW w:w="675" w:type="dxa"/>
            <w:vMerge w:val="continue"/>
            <w:vAlign w:val="center"/>
          </w:tcPr>
          <w:p w14:paraId="68F825F1">
            <w:pPr>
              <w:wordWrap w:val="0"/>
              <w:spacing w:line="360" w:lineRule="auto"/>
              <w:jc w:val="center"/>
              <w:rPr>
                <w:rFonts w:ascii="宋体" w:hAnsi="宋体" w:cs="宋体"/>
                <w:color w:val="auto"/>
                <w:kern w:val="0"/>
                <w:szCs w:val="21"/>
                <w:highlight w:val="none"/>
              </w:rPr>
            </w:pPr>
          </w:p>
        </w:tc>
        <w:tc>
          <w:tcPr>
            <w:tcW w:w="993" w:type="dxa"/>
            <w:vMerge w:val="continue"/>
            <w:vAlign w:val="center"/>
          </w:tcPr>
          <w:p w14:paraId="2BCBCBEA">
            <w:pPr>
              <w:wordWrap w:val="0"/>
              <w:spacing w:line="360" w:lineRule="auto"/>
              <w:jc w:val="center"/>
              <w:rPr>
                <w:rFonts w:ascii="宋体" w:hAnsi="宋体" w:cs="宋体"/>
                <w:color w:val="auto"/>
                <w:kern w:val="0"/>
                <w:szCs w:val="21"/>
                <w:highlight w:val="none"/>
              </w:rPr>
            </w:pPr>
          </w:p>
        </w:tc>
        <w:tc>
          <w:tcPr>
            <w:tcW w:w="2161" w:type="dxa"/>
            <w:vAlign w:val="center"/>
          </w:tcPr>
          <w:p w14:paraId="0F854D38">
            <w:pPr>
              <w:wordWrap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供货范围</w:t>
            </w:r>
          </w:p>
        </w:tc>
        <w:tc>
          <w:tcPr>
            <w:tcW w:w="5255" w:type="dxa"/>
            <w:vAlign w:val="center"/>
          </w:tcPr>
          <w:p w14:paraId="278320FD">
            <w:pPr>
              <w:wordWrap w:val="0"/>
              <w:spacing w:line="360" w:lineRule="auto"/>
              <w:jc w:val="left"/>
              <w:rPr>
                <w:rFonts w:ascii="宋体" w:hAnsi="宋体" w:cs="宋体"/>
                <w:color w:val="auto"/>
                <w:szCs w:val="21"/>
                <w:highlight w:val="none"/>
                <w:lang w:val="zh-CN"/>
              </w:rPr>
            </w:pPr>
            <w:r>
              <w:rPr>
                <w:rFonts w:hint="eastAsia" w:ascii="宋体" w:hAnsi="宋体" w:cs="宋体"/>
                <w:color w:val="auto"/>
                <w:szCs w:val="21"/>
                <w:highlight w:val="none"/>
                <w:lang w:val="zh-CN"/>
              </w:rPr>
              <w:t>对招标文件规定的供货范围全部作出响应。</w:t>
            </w:r>
          </w:p>
        </w:tc>
      </w:tr>
      <w:tr w14:paraId="5DDCE5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16" w:hRule="atLeast"/>
          <w:jc w:val="center"/>
        </w:trPr>
        <w:tc>
          <w:tcPr>
            <w:tcW w:w="675" w:type="dxa"/>
            <w:vMerge w:val="continue"/>
            <w:vAlign w:val="center"/>
          </w:tcPr>
          <w:p w14:paraId="638E08CC">
            <w:pPr>
              <w:wordWrap w:val="0"/>
              <w:spacing w:line="360" w:lineRule="auto"/>
              <w:jc w:val="center"/>
              <w:rPr>
                <w:rFonts w:ascii="宋体" w:hAnsi="宋体" w:cs="宋体"/>
                <w:color w:val="auto"/>
                <w:kern w:val="0"/>
                <w:szCs w:val="21"/>
                <w:highlight w:val="none"/>
              </w:rPr>
            </w:pPr>
          </w:p>
        </w:tc>
        <w:tc>
          <w:tcPr>
            <w:tcW w:w="993" w:type="dxa"/>
            <w:vMerge w:val="continue"/>
            <w:vAlign w:val="center"/>
          </w:tcPr>
          <w:p w14:paraId="485F8FF9">
            <w:pPr>
              <w:wordWrap w:val="0"/>
              <w:spacing w:line="360" w:lineRule="auto"/>
              <w:rPr>
                <w:rFonts w:ascii="宋体" w:hAnsi="宋体" w:cs="宋体"/>
                <w:color w:val="auto"/>
                <w:kern w:val="0"/>
                <w:szCs w:val="21"/>
                <w:highlight w:val="none"/>
              </w:rPr>
            </w:pPr>
          </w:p>
        </w:tc>
        <w:tc>
          <w:tcPr>
            <w:tcW w:w="2161" w:type="dxa"/>
            <w:vAlign w:val="center"/>
          </w:tcPr>
          <w:p w14:paraId="5034AB0C">
            <w:pPr>
              <w:wordWrap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供货期限</w:t>
            </w:r>
          </w:p>
        </w:tc>
        <w:tc>
          <w:tcPr>
            <w:tcW w:w="5255" w:type="dxa"/>
            <w:vAlign w:val="center"/>
          </w:tcPr>
          <w:p w14:paraId="50569336">
            <w:pPr>
              <w:wordWrap w:val="0"/>
              <w:spacing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满足招标文件要求。</w:t>
            </w:r>
          </w:p>
        </w:tc>
      </w:tr>
      <w:tr w14:paraId="598E7D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31" w:hRule="atLeast"/>
          <w:jc w:val="center"/>
        </w:trPr>
        <w:tc>
          <w:tcPr>
            <w:tcW w:w="675" w:type="dxa"/>
            <w:vMerge w:val="continue"/>
            <w:vAlign w:val="center"/>
          </w:tcPr>
          <w:p w14:paraId="03DFE08C">
            <w:pPr>
              <w:wordWrap w:val="0"/>
              <w:spacing w:line="360" w:lineRule="auto"/>
              <w:jc w:val="center"/>
              <w:rPr>
                <w:rFonts w:ascii="宋体" w:hAnsi="宋体" w:cs="宋体"/>
                <w:color w:val="auto"/>
                <w:kern w:val="0"/>
                <w:szCs w:val="21"/>
                <w:highlight w:val="none"/>
              </w:rPr>
            </w:pPr>
          </w:p>
        </w:tc>
        <w:tc>
          <w:tcPr>
            <w:tcW w:w="993" w:type="dxa"/>
            <w:vMerge w:val="continue"/>
            <w:vAlign w:val="center"/>
          </w:tcPr>
          <w:p w14:paraId="706022B1">
            <w:pPr>
              <w:wordWrap w:val="0"/>
              <w:spacing w:line="360" w:lineRule="auto"/>
              <w:rPr>
                <w:rFonts w:ascii="宋体" w:hAnsi="宋体" w:cs="宋体"/>
                <w:color w:val="auto"/>
                <w:kern w:val="0"/>
                <w:szCs w:val="21"/>
                <w:highlight w:val="none"/>
              </w:rPr>
            </w:pPr>
          </w:p>
        </w:tc>
        <w:tc>
          <w:tcPr>
            <w:tcW w:w="2161" w:type="dxa"/>
            <w:vAlign w:val="center"/>
          </w:tcPr>
          <w:p w14:paraId="1E12679E">
            <w:pPr>
              <w:wordWrap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质保期及售后服务</w:t>
            </w:r>
          </w:p>
        </w:tc>
        <w:tc>
          <w:tcPr>
            <w:tcW w:w="5255" w:type="dxa"/>
            <w:vAlign w:val="center"/>
          </w:tcPr>
          <w:p w14:paraId="6C48129E">
            <w:pPr>
              <w:wordWrap w:val="0"/>
              <w:spacing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满足招标文件要求。</w:t>
            </w:r>
          </w:p>
        </w:tc>
      </w:tr>
      <w:tr w14:paraId="09F9C0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12" w:hRule="atLeast"/>
          <w:jc w:val="center"/>
        </w:trPr>
        <w:tc>
          <w:tcPr>
            <w:tcW w:w="675" w:type="dxa"/>
            <w:vMerge w:val="continue"/>
            <w:vAlign w:val="center"/>
          </w:tcPr>
          <w:p w14:paraId="61EFA245">
            <w:pPr>
              <w:wordWrap w:val="0"/>
              <w:spacing w:line="360" w:lineRule="auto"/>
              <w:jc w:val="center"/>
              <w:rPr>
                <w:rFonts w:ascii="宋体" w:hAnsi="宋体" w:cs="宋体"/>
                <w:color w:val="auto"/>
                <w:kern w:val="0"/>
                <w:szCs w:val="21"/>
                <w:highlight w:val="none"/>
              </w:rPr>
            </w:pPr>
          </w:p>
        </w:tc>
        <w:tc>
          <w:tcPr>
            <w:tcW w:w="993" w:type="dxa"/>
            <w:vMerge w:val="continue"/>
            <w:vAlign w:val="center"/>
          </w:tcPr>
          <w:p w14:paraId="0059AB65">
            <w:pPr>
              <w:wordWrap w:val="0"/>
              <w:spacing w:line="360" w:lineRule="auto"/>
              <w:rPr>
                <w:rFonts w:ascii="宋体" w:hAnsi="宋体" w:cs="宋体"/>
                <w:color w:val="auto"/>
                <w:kern w:val="0"/>
                <w:szCs w:val="21"/>
                <w:highlight w:val="none"/>
              </w:rPr>
            </w:pPr>
          </w:p>
        </w:tc>
        <w:tc>
          <w:tcPr>
            <w:tcW w:w="2161" w:type="dxa"/>
            <w:vAlign w:val="center"/>
          </w:tcPr>
          <w:p w14:paraId="0B23FDE4">
            <w:pPr>
              <w:wordWrap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投标有效期</w:t>
            </w:r>
          </w:p>
        </w:tc>
        <w:tc>
          <w:tcPr>
            <w:tcW w:w="5255" w:type="dxa"/>
            <w:vAlign w:val="center"/>
          </w:tcPr>
          <w:p w14:paraId="52AD84BB">
            <w:pPr>
              <w:wordWrap w:val="0"/>
              <w:spacing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满足招标文件</w:t>
            </w:r>
            <w:r>
              <w:rPr>
                <w:rFonts w:hint="eastAsia" w:ascii="宋体" w:hAnsi="宋体" w:cs="宋体"/>
                <w:color w:val="auto"/>
                <w:szCs w:val="21"/>
                <w:highlight w:val="none"/>
                <w:lang w:val="zh-CN"/>
              </w:rPr>
              <w:t>规定。</w:t>
            </w:r>
          </w:p>
        </w:tc>
      </w:tr>
      <w:tr w14:paraId="71FBFD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82" w:hRule="atLeast"/>
          <w:jc w:val="center"/>
        </w:trPr>
        <w:tc>
          <w:tcPr>
            <w:tcW w:w="675" w:type="dxa"/>
            <w:vMerge w:val="continue"/>
            <w:vAlign w:val="center"/>
          </w:tcPr>
          <w:p w14:paraId="593BAE83">
            <w:pPr>
              <w:wordWrap w:val="0"/>
              <w:spacing w:line="360" w:lineRule="auto"/>
              <w:jc w:val="center"/>
              <w:rPr>
                <w:rFonts w:ascii="宋体" w:hAnsi="宋体" w:cs="宋体"/>
                <w:color w:val="auto"/>
                <w:kern w:val="0"/>
                <w:szCs w:val="21"/>
                <w:highlight w:val="none"/>
              </w:rPr>
            </w:pPr>
          </w:p>
        </w:tc>
        <w:tc>
          <w:tcPr>
            <w:tcW w:w="993" w:type="dxa"/>
            <w:vMerge w:val="continue"/>
            <w:vAlign w:val="center"/>
          </w:tcPr>
          <w:p w14:paraId="61A2BB51">
            <w:pPr>
              <w:wordWrap w:val="0"/>
              <w:spacing w:line="360" w:lineRule="auto"/>
              <w:rPr>
                <w:rFonts w:ascii="宋体" w:hAnsi="宋体" w:cs="宋体"/>
                <w:color w:val="auto"/>
                <w:kern w:val="0"/>
                <w:szCs w:val="21"/>
                <w:highlight w:val="none"/>
              </w:rPr>
            </w:pPr>
          </w:p>
        </w:tc>
        <w:tc>
          <w:tcPr>
            <w:tcW w:w="2161" w:type="dxa"/>
            <w:vAlign w:val="center"/>
          </w:tcPr>
          <w:p w14:paraId="3AF90990">
            <w:pPr>
              <w:wordWrap w:val="0"/>
              <w:spacing w:line="360" w:lineRule="auto"/>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分包人资格</w:t>
            </w:r>
          </w:p>
        </w:tc>
        <w:tc>
          <w:tcPr>
            <w:tcW w:w="5255" w:type="dxa"/>
            <w:vAlign w:val="center"/>
          </w:tcPr>
          <w:p w14:paraId="7EF0ABCE">
            <w:pPr>
              <w:wordWrap w:val="0"/>
              <w:spacing w:line="360" w:lineRule="auto"/>
              <w:jc w:val="left"/>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本项目 不允许分包</w:t>
            </w:r>
          </w:p>
        </w:tc>
      </w:tr>
      <w:tr w14:paraId="0222DD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10" w:hRule="atLeast"/>
          <w:jc w:val="center"/>
        </w:trPr>
        <w:tc>
          <w:tcPr>
            <w:tcW w:w="675" w:type="dxa"/>
            <w:vMerge w:val="continue"/>
            <w:vAlign w:val="center"/>
          </w:tcPr>
          <w:p w14:paraId="347AD06D">
            <w:pPr>
              <w:wordWrap w:val="0"/>
              <w:spacing w:line="360" w:lineRule="auto"/>
              <w:jc w:val="center"/>
              <w:rPr>
                <w:rFonts w:ascii="宋体" w:hAnsi="宋体" w:cs="宋体"/>
                <w:color w:val="auto"/>
                <w:kern w:val="0"/>
                <w:szCs w:val="21"/>
                <w:highlight w:val="none"/>
              </w:rPr>
            </w:pPr>
          </w:p>
        </w:tc>
        <w:tc>
          <w:tcPr>
            <w:tcW w:w="993" w:type="dxa"/>
            <w:vMerge w:val="continue"/>
            <w:vAlign w:val="center"/>
          </w:tcPr>
          <w:p w14:paraId="20631131">
            <w:pPr>
              <w:wordWrap w:val="0"/>
              <w:spacing w:line="360" w:lineRule="auto"/>
              <w:rPr>
                <w:rFonts w:ascii="宋体" w:hAnsi="宋体" w:cs="宋体"/>
                <w:color w:val="auto"/>
                <w:szCs w:val="21"/>
                <w:highlight w:val="none"/>
                <w:lang w:val="zh-CN"/>
              </w:rPr>
            </w:pPr>
          </w:p>
        </w:tc>
        <w:tc>
          <w:tcPr>
            <w:tcW w:w="2161" w:type="dxa"/>
            <w:tcBorders>
              <w:bottom w:val="single" w:color="auto" w:sz="4" w:space="0"/>
            </w:tcBorders>
            <w:vAlign w:val="center"/>
          </w:tcPr>
          <w:p w14:paraId="38BD3BE2">
            <w:pPr>
              <w:wordWrap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其他</w:t>
            </w:r>
          </w:p>
        </w:tc>
        <w:tc>
          <w:tcPr>
            <w:tcW w:w="5255" w:type="dxa"/>
            <w:tcBorders>
              <w:bottom w:val="single" w:color="auto" w:sz="4" w:space="0"/>
            </w:tcBorders>
            <w:vAlign w:val="center"/>
          </w:tcPr>
          <w:p w14:paraId="6D2E4B74">
            <w:pPr>
              <w:wordWrap w:val="0"/>
              <w:spacing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投标文件未附有招标人不能接受的附加条件及法律、法规和招标文件规定的其他无效情形。</w:t>
            </w:r>
          </w:p>
        </w:tc>
      </w:tr>
    </w:tbl>
    <w:p w14:paraId="101DBB32">
      <w:pPr>
        <w:wordWrap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4.2 有下列情形之一时，评标委员会应予废标，并将理由通知所有投标人：</w:t>
      </w:r>
    </w:p>
    <w:p w14:paraId="46C3378B">
      <w:pPr>
        <w:wordWrap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（1）符合专业条件的投标人或者对招标文件作实质性响应的投标人不足三家的；</w:t>
      </w:r>
    </w:p>
    <w:p w14:paraId="01F26CAB">
      <w:pPr>
        <w:wordWrap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（2）出现影响招标公正的违法、违规行为的；</w:t>
      </w:r>
    </w:p>
    <w:p w14:paraId="33DD522A">
      <w:pPr>
        <w:wordWrap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（3）投标人的报价均超过了采购预算，招标人不能支付的；</w:t>
      </w:r>
    </w:p>
    <w:p w14:paraId="4F6E4C8C">
      <w:pPr>
        <w:wordWrap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（4）因重大变故，采购任务取消的。</w:t>
      </w:r>
    </w:p>
    <w:p w14:paraId="494396D3">
      <w:pPr>
        <w:pStyle w:val="6"/>
        <w:wordWrap w:val="0"/>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5）如发现有二份及以上投标文件的相互之间有相同或高度相似之处，且无合理解释的，经评标委员会半数以上成员认定有串通投标嫌疑的，其投标文件按无效标处理，予以废除，不再对其进行评审，也不影响招标工作继续评标。</w:t>
      </w:r>
    </w:p>
    <w:p w14:paraId="3CB09C14">
      <w:pPr>
        <w:wordWrap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4.3 废标后，除采购任务取消情形外，招标采购单位应当重新组织招标。需要采取其他采购方式的，应当在采购活动开始前获得设区的市、自治州以上人民政府财政部门的批准。</w:t>
      </w:r>
    </w:p>
    <w:p w14:paraId="6E190ED0">
      <w:pPr>
        <w:wordWrap w:val="0"/>
        <w:adjustRightIn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5．澄清有关问题</w:t>
      </w:r>
    </w:p>
    <w:p w14:paraId="4CB95F97">
      <w:pPr>
        <w:wordWrap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5.1 对于投标文件中含义不明确、同类问题表述不一致或者有明显文字和计算错误的内容，评标委员会应当以书面形式要求投标人作出必要的澄清、说明或者补正。</w:t>
      </w:r>
    </w:p>
    <w:p w14:paraId="536C0B75">
      <w:pPr>
        <w:wordWrap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投标人的澄清、说明或者补正应当采用书面形式，并加盖公章，或者由法定代表人或其授权的代表签字。投标人的澄清、说明或者补正不得超出投标文件的范围或者改变投标文件的实质性内容。</w:t>
      </w:r>
    </w:p>
    <w:p w14:paraId="415FE048">
      <w:pPr>
        <w:wordWrap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5.2 投标人不得对下列内容进行澄清或补充：</w:t>
      </w:r>
    </w:p>
    <w:p w14:paraId="1C0107C1">
      <w:pPr>
        <w:wordWrap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（1）投标报价、质量标准、合同履行期限等实质性内容。</w:t>
      </w:r>
    </w:p>
    <w:p w14:paraId="11ABAF82">
      <w:pPr>
        <w:wordWrap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（2）不满足第二章投标须知第2.10款规定的实质性要求的投标文件内容。</w:t>
      </w:r>
    </w:p>
    <w:p w14:paraId="20D15022">
      <w:pPr>
        <w:wordWrap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5.3 投标文件报价出现前后不一致的，除招标文件另有规定外，按照下列规定修正：</w:t>
      </w:r>
    </w:p>
    <w:p w14:paraId="53F145B4">
      <w:pPr>
        <w:wordWrap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（1）投标文件中开标一览表（报价表）内容与投标文件中相应内容不一致的，以开标一览表（报价表）为准；</w:t>
      </w:r>
    </w:p>
    <w:p w14:paraId="7FF5E576">
      <w:pPr>
        <w:wordWrap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（2）大写金额和小写金额不一致的，以大写金额为准；</w:t>
      </w:r>
    </w:p>
    <w:p w14:paraId="3A517F7E">
      <w:pPr>
        <w:wordWrap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（3）单价金额小数点或者百分比有明显错位的，以开标一览表的总价为准，并修改单价；</w:t>
      </w:r>
    </w:p>
    <w:p w14:paraId="2C7E3469">
      <w:pPr>
        <w:wordWrap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（4）总价金额与按单价汇总金额不一致的，以单价金额计算结果为准。</w:t>
      </w:r>
    </w:p>
    <w:p w14:paraId="1F0072D3">
      <w:pPr>
        <w:wordWrap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同时出现两种以上不一致的，按照前款规定的顺序修正。修正后的报价按照本章5.1款的规定经投标人确认后产生约束力，</w:t>
      </w:r>
      <w:r>
        <w:rPr>
          <w:rFonts w:hint="eastAsia" w:ascii="宋体" w:hAnsi="宋体" w:cs="宋体"/>
          <w:b/>
          <w:bCs/>
          <w:color w:val="auto"/>
          <w:sz w:val="36"/>
          <w:szCs w:val="36"/>
          <w:highlight w:val="none"/>
        </w:rPr>
        <w:t>*</w:t>
      </w:r>
      <w:r>
        <w:rPr>
          <w:rFonts w:hint="eastAsia" w:ascii="宋体" w:hAnsi="宋体" w:cs="宋体"/>
          <w:b/>
          <w:color w:val="auto"/>
          <w:kern w:val="0"/>
          <w:szCs w:val="21"/>
          <w:highlight w:val="none"/>
        </w:rPr>
        <w:t>投标人不确认或拒绝修正的，其投标无效</w:t>
      </w:r>
      <w:r>
        <w:rPr>
          <w:rFonts w:hint="eastAsia" w:ascii="宋体" w:hAnsi="宋体" w:cs="宋体"/>
          <w:color w:val="auto"/>
          <w:kern w:val="0"/>
          <w:szCs w:val="21"/>
          <w:highlight w:val="none"/>
        </w:rPr>
        <w:t>。</w:t>
      </w:r>
    </w:p>
    <w:p w14:paraId="7A073C68">
      <w:pPr>
        <w:wordWrap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5.4 投标人按照评标委员会要求提供的有效书面澄清材料，是投标文件的补充材料，成为其投标文件的组成部分。</w:t>
      </w:r>
    </w:p>
    <w:p w14:paraId="7E422DD8">
      <w:pPr>
        <w:wordWrap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5.5 评标委员会认为投标人的报价明显低于其他通过符合性审查投标人的报价，有可能影响产品质量或者不能诚信履约的，应当要求其在评标现场合理的时间内提供书面说明，必要时提交相关证明材料；</w:t>
      </w:r>
      <w:r>
        <w:rPr>
          <w:rFonts w:hint="eastAsia" w:ascii="宋体" w:hAnsi="宋体" w:cs="宋体"/>
          <w:b/>
          <w:bCs/>
          <w:color w:val="auto"/>
          <w:sz w:val="36"/>
          <w:szCs w:val="36"/>
          <w:highlight w:val="none"/>
        </w:rPr>
        <w:t>*</w:t>
      </w:r>
      <w:r>
        <w:rPr>
          <w:rFonts w:hint="eastAsia" w:ascii="宋体" w:hAnsi="宋体" w:cs="宋体"/>
          <w:b/>
          <w:color w:val="auto"/>
          <w:kern w:val="0"/>
          <w:szCs w:val="21"/>
          <w:highlight w:val="none"/>
        </w:rPr>
        <w:t>投标人规定的时间内不能证明其报价合理性的，评标委员会应当将其作为无效投标处理</w:t>
      </w:r>
      <w:r>
        <w:rPr>
          <w:rFonts w:hint="eastAsia" w:ascii="宋体" w:hAnsi="宋体" w:cs="宋体"/>
          <w:color w:val="auto"/>
          <w:kern w:val="0"/>
          <w:szCs w:val="21"/>
          <w:highlight w:val="none"/>
        </w:rPr>
        <w:t>。</w:t>
      </w:r>
    </w:p>
    <w:p w14:paraId="5021C55A">
      <w:pPr>
        <w:wordWrap w:val="0"/>
        <w:adjustRightIn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6．详细评标</w:t>
      </w:r>
    </w:p>
    <w:p w14:paraId="3935CC1D">
      <w:pPr>
        <w:wordWrap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6.1 评标委员会应按照招标文件中规定的评标方法、标准和评标因素，对资格性检查和符合性检查合格的投标文件进行商务和技术评估，综合比较与评价。</w:t>
      </w:r>
    </w:p>
    <w:p w14:paraId="79CCC203">
      <w:pPr>
        <w:wordWrap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6.2 评标时，评标委员会各成员应当独立对每个投标人的投标文件进行评价、评分，然后汇总每个投标人每项评分因素的得分。</w:t>
      </w:r>
    </w:p>
    <w:p w14:paraId="6CF48E89">
      <w:pPr>
        <w:wordWrap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6.3 投标人在评标过程中，所进行的试图影响评标结果的不符合招标规则的活动，可能导致其被取消中标资格。</w:t>
      </w:r>
    </w:p>
    <w:p w14:paraId="76918DD4">
      <w:pPr>
        <w:wordWrap w:val="0"/>
        <w:adjustRightInd w:val="0"/>
        <w:spacing w:line="360" w:lineRule="auto"/>
        <w:ind w:firstLine="480" w:firstLineChars="200"/>
        <w:rPr>
          <w:rFonts w:ascii="宋体" w:hAnsi="宋体" w:cs="宋体"/>
          <w:b/>
          <w:bCs/>
          <w:color w:val="auto"/>
          <w:sz w:val="28"/>
          <w:szCs w:val="28"/>
          <w:highlight w:val="none"/>
        </w:rPr>
      </w:pPr>
      <w:r>
        <w:rPr>
          <w:rFonts w:hint="eastAsia" w:ascii="宋体" w:hAnsi="宋体" w:cs="宋体"/>
          <w:color w:val="auto"/>
          <w:kern w:val="0"/>
          <w:sz w:val="24"/>
          <w:highlight w:val="none"/>
        </w:rPr>
        <w:t>6.4 评分标准：（一标段）</w:t>
      </w:r>
    </w:p>
    <w:p w14:paraId="57819166">
      <w:pPr>
        <w:wordWrap w:val="0"/>
        <w:spacing w:line="360" w:lineRule="auto"/>
        <w:ind w:firstLine="422" w:firstLineChars="200"/>
        <w:outlineLvl w:val="0"/>
        <w:rPr>
          <w:rFonts w:ascii="宋体" w:hAnsi="宋体" w:cs="宋体"/>
          <w:b/>
          <w:color w:val="auto"/>
          <w:szCs w:val="21"/>
          <w:highlight w:val="none"/>
        </w:rPr>
      </w:pPr>
      <w:bookmarkStart w:id="30" w:name="_Toc6040"/>
      <w:r>
        <w:rPr>
          <w:rFonts w:hint="eastAsia" w:ascii="宋体" w:hAnsi="宋体" w:cs="宋体"/>
          <w:b/>
          <w:color w:val="auto"/>
          <w:szCs w:val="21"/>
          <w:highlight w:val="none"/>
        </w:rPr>
        <w:t>6.4.1 权重取值</w:t>
      </w:r>
      <w:r>
        <w:rPr>
          <w:rStyle w:val="47"/>
          <w:rFonts w:hint="eastAsia"/>
          <w:b/>
          <w:bCs/>
          <w:color w:val="auto"/>
          <w:kern w:val="0"/>
          <w:highlight w:val="none"/>
        </w:rPr>
        <w:t>（一标段）</w:t>
      </w:r>
    </w:p>
    <w:tbl>
      <w:tblPr>
        <w:tblStyle w:val="40"/>
        <w:tblW w:w="83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
        <w:gridCol w:w="4139"/>
        <w:gridCol w:w="3410"/>
      </w:tblGrid>
      <w:tr w14:paraId="65F6A1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 w:type="dxa"/>
            <w:vAlign w:val="center"/>
          </w:tcPr>
          <w:p w14:paraId="18916B0D">
            <w:pPr>
              <w:wordWrap w:val="0"/>
              <w:adjustRightIn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序号</w:t>
            </w:r>
          </w:p>
        </w:tc>
        <w:tc>
          <w:tcPr>
            <w:tcW w:w="4139" w:type="dxa"/>
            <w:vAlign w:val="center"/>
          </w:tcPr>
          <w:p w14:paraId="21533714">
            <w:pPr>
              <w:wordWrap w:val="0"/>
              <w:adjustRightIn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评标内容</w:t>
            </w:r>
          </w:p>
        </w:tc>
        <w:tc>
          <w:tcPr>
            <w:tcW w:w="3410" w:type="dxa"/>
            <w:vAlign w:val="center"/>
          </w:tcPr>
          <w:p w14:paraId="2007FCF5">
            <w:pPr>
              <w:wordWrap w:val="0"/>
              <w:adjustRightIn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单项最高得分</w:t>
            </w:r>
          </w:p>
        </w:tc>
      </w:tr>
      <w:tr w14:paraId="46D999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 w:type="dxa"/>
            <w:vAlign w:val="center"/>
          </w:tcPr>
          <w:p w14:paraId="3C31EE1C">
            <w:pPr>
              <w:wordWrap w:val="0"/>
              <w:adjustRightIn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一</w:t>
            </w:r>
          </w:p>
        </w:tc>
        <w:tc>
          <w:tcPr>
            <w:tcW w:w="4139" w:type="dxa"/>
            <w:vAlign w:val="center"/>
          </w:tcPr>
          <w:p w14:paraId="39A6C6F9">
            <w:pPr>
              <w:wordWrap w:val="0"/>
              <w:adjustRightIn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经济标（报价）</w:t>
            </w:r>
          </w:p>
        </w:tc>
        <w:tc>
          <w:tcPr>
            <w:tcW w:w="3410" w:type="dxa"/>
            <w:vAlign w:val="center"/>
          </w:tcPr>
          <w:p w14:paraId="5785C2B6">
            <w:pPr>
              <w:wordWrap w:val="0"/>
              <w:adjustRightInd w:val="0"/>
              <w:spacing w:line="360" w:lineRule="auto"/>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40</w:t>
            </w:r>
          </w:p>
        </w:tc>
      </w:tr>
      <w:tr w14:paraId="26A6A5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 w:type="dxa"/>
            <w:vAlign w:val="center"/>
          </w:tcPr>
          <w:p w14:paraId="19628C68">
            <w:pPr>
              <w:wordWrap w:val="0"/>
              <w:adjustRightIn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二</w:t>
            </w:r>
          </w:p>
        </w:tc>
        <w:tc>
          <w:tcPr>
            <w:tcW w:w="4139" w:type="dxa"/>
            <w:vAlign w:val="center"/>
          </w:tcPr>
          <w:p w14:paraId="0B7F4391">
            <w:pPr>
              <w:wordWrap w:val="0"/>
              <w:adjustRightIn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商务标</w:t>
            </w:r>
          </w:p>
        </w:tc>
        <w:tc>
          <w:tcPr>
            <w:tcW w:w="3410" w:type="dxa"/>
            <w:vAlign w:val="center"/>
          </w:tcPr>
          <w:p w14:paraId="77D87EE7">
            <w:pPr>
              <w:wordWrap w:val="0"/>
              <w:adjustRightInd w:val="0"/>
              <w:spacing w:line="360" w:lineRule="auto"/>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10</w:t>
            </w:r>
          </w:p>
        </w:tc>
      </w:tr>
      <w:tr w14:paraId="26DD24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 w:type="dxa"/>
            <w:vAlign w:val="center"/>
          </w:tcPr>
          <w:p w14:paraId="47D56473">
            <w:pPr>
              <w:wordWrap w:val="0"/>
              <w:adjustRightIn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三</w:t>
            </w:r>
          </w:p>
        </w:tc>
        <w:tc>
          <w:tcPr>
            <w:tcW w:w="4139" w:type="dxa"/>
            <w:vAlign w:val="center"/>
          </w:tcPr>
          <w:p w14:paraId="3CA719CC">
            <w:pPr>
              <w:wordWrap w:val="0"/>
              <w:adjustRightIn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技术标</w:t>
            </w:r>
          </w:p>
        </w:tc>
        <w:tc>
          <w:tcPr>
            <w:tcW w:w="3410" w:type="dxa"/>
            <w:vAlign w:val="center"/>
          </w:tcPr>
          <w:p w14:paraId="573CC949">
            <w:pPr>
              <w:wordWrap w:val="0"/>
              <w:adjustRightInd w:val="0"/>
              <w:spacing w:line="360" w:lineRule="auto"/>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50</w:t>
            </w:r>
          </w:p>
        </w:tc>
      </w:tr>
    </w:tbl>
    <w:p w14:paraId="7577C142">
      <w:pPr>
        <w:wordWrap w:val="0"/>
        <w:spacing w:line="360" w:lineRule="auto"/>
        <w:ind w:firstLine="422" w:firstLineChars="200"/>
        <w:outlineLvl w:val="0"/>
        <w:rPr>
          <w:rFonts w:hint="eastAsia" w:ascii="宋体" w:hAnsi="宋体" w:cs="宋体"/>
          <w:b/>
          <w:color w:val="auto"/>
          <w:szCs w:val="21"/>
          <w:highlight w:val="none"/>
        </w:rPr>
      </w:pPr>
    </w:p>
    <w:p w14:paraId="671B090C">
      <w:pPr>
        <w:jc w:val="center"/>
        <w:rPr>
          <w:rFonts w:hint="eastAsia"/>
          <w:b/>
          <w:bCs/>
          <w:color w:val="auto"/>
          <w:sz w:val="28"/>
          <w:szCs w:val="32"/>
        </w:rPr>
      </w:pPr>
      <w:r>
        <w:rPr>
          <w:rFonts w:hint="eastAsia" w:ascii="宋体" w:hAnsi="宋体" w:cs="宋体"/>
          <w:b/>
          <w:color w:val="auto"/>
          <w:szCs w:val="21"/>
          <w:highlight w:val="none"/>
        </w:rPr>
        <w:t xml:space="preserve">6.4.2 </w:t>
      </w:r>
      <w:bookmarkEnd w:id="30"/>
      <w:r>
        <w:rPr>
          <w:rFonts w:hint="eastAsia"/>
          <w:b/>
          <w:bCs/>
          <w:color w:val="auto"/>
          <w:sz w:val="28"/>
          <w:szCs w:val="32"/>
        </w:rPr>
        <w:t>评分标准</w:t>
      </w:r>
    </w:p>
    <w:tbl>
      <w:tblPr>
        <w:tblStyle w:val="40"/>
        <w:tblW w:w="90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5"/>
        <w:gridCol w:w="857"/>
        <w:gridCol w:w="611"/>
        <w:gridCol w:w="6739"/>
      </w:tblGrid>
      <w:tr w14:paraId="6F6806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12" w:type="dxa"/>
            <w:gridSpan w:val="2"/>
            <w:noWrap w:val="0"/>
            <w:vAlign w:val="center"/>
          </w:tcPr>
          <w:p w14:paraId="46E76878">
            <w:pPr>
              <w:pStyle w:val="203"/>
              <w:spacing w:line="276" w:lineRule="auto"/>
              <w:ind w:firstLine="0" w:firstLineChars="0"/>
              <w:rPr>
                <w:rFonts w:hint="eastAsia" w:ascii="宋体" w:hAnsi="宋体" w:eastAsia="宋体" w:cs="仿宋"/>
                <w:bCs/>
                <w:color w:val="auto"/>
                <w:kern w:val="0"/>
                <w:sz w:val="18"/>
                <w:szCs w:val="18"/>
              </w:rPr>
            </w:pPr>
            <w:r>
              <w:rPr>
                <w:rFonts w:hint="eastAsia" w:ascii="宋体" w:hAnsi="宋体" w:eastAsia="宋体" w:cs="仿宋"/>
                <w:bCs/>
                <w:color w:val="auto"/>
                <w:kern w:val="0"/>
                <w:sz w:val="18"/>
                <w:szCs w:val="18"/>
              </w:rPr>
              <w:t>评审项目</w:t>
            </w:r>
          </w:p>
        </w:tc>
        <w:tc>
          <w:tcPr>
            <w:tcW w:w="611" w:type="dxa"/>
            <w:noWrap w:val="0"/>
            <w:vAlign w:val="center"/>
          </w:tcPr>
          <w:p w14:paraId="61FD02C5">
            <w:pPr>
              <w:pStyle w:val="203"/>
              <w:spacing w:line="276" w:lineRule="auto"/>
              <w:ind w:firstLine="0" w:firstLineChars="0"/>
              <w:rPr>
                <w:rFonts w:hint="eastAsia" w:ascii="宋体" w:hAnsi="宋体" w:eastAsia="宋体" w:cs="仿宋"/>
                <w:bCs/>
                <w:color w:val="auto"/>
                <w:kern w:val="0"/>
                <w:sz w:val="18"/>
                <w:szCs w:val="18"/>
              </w:rPr>
            </w:pPr>
            <w:r>
              <w:rPr>
                <w:rFonts w:hint="eastAsia" w:ascii="宋体" w:hAnsi="宋体" w:eastAsia="宋体" w:cs="仿宋"/>
                <w:bCs/>
                <w:color w:val="auto"/>
                <w:kern w:val="0"/>
                <w:sz w:val="18"/>
                <w:szCs w:val="18"/>
              </w:rPr>
              <w:t>标准分</w:t>
            </w:r>
          </w:p>
        </w:tc>
        <w:tc>
          <w:tcPr>
            <w:tcW w:w="6739" w:type="dxa"/>
            <w:noWrap w:val="0"/>
            <w:vAlign w:val="center"/>
          </w:tcPr>
          <w:p w14:paraId="73A3D1C0">
            <w:pPr>
              <w:pStyle w:val="203"/>
              <w:spacing w:line="276" w:lineRule="auto"/>
              <w:ind w:firstLine="0" w:firstLineChars="0"/>
              <w:rPr>
                <w:rFonts w:hint="eastAsia" w:ascii="宋体" w:hAnsi="宋体" w:eastAsia="宋体" w:cs="仿宋"/>
                <w:bCs/>
                <w:color w:val="auto"/>
                <w:kern w:val="0"/>
                <w:sz w:val="18"/>
                <w:szCs w:val="18"/>
              </w:rPr>
            </w:pPr>
            <w:r>
              <w:rPr>
                <w:rFonts w:hint="eastAsia" w:ascii="宋体" w:hAnsi="宋体" w:eastAsia="宋体" w:cs="仿宋"/>
                <w:bCs/>
                <w:color w:val="auto"/>
                <w:kern w:val="0"/>
                <w:sz w:val="18"/>
                <w:szCs w:val="18"/>
              </w:rPr>
              <w:t>内    容</w:t>
            </w:r>
          </w:p>
        </w:tc>
      </w:tr>
      <w:tr w14:paraId="68F0E2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5" w:type="dxa"/>
            <w:noWrap w:val="0"/>
            <w:vAlign w:val="center"/>
          </w:tcPr>
          <w:p w14:paraId="05579340">
            <w:pPr>
              <w:pStyle w:val="203"/>
              <w:spacing w:line="276" w:lineRule="auto"/>
              <w:ind w:firstLine="0" w:firstLineChars="0"/>
              <w:rPr>
                <w:rFonts w:hint="eastAsia" w:ascii="宋体" w:hAnsi="宋体" w:eastAsia="宋体" w:cs="仿宋"/>
                <w:bCs/>
                <w:color w:val="auto"/>
                <w:kern w:val="0"/>
                <w:sz w:val="18"/>
                <w:szCs w:val="18"/>
              </w:rPr>
            </w:pPr>
            <w:r>
              <w:rPr>
                <w:rFonts w:hint="eastAsia" w:ascii="宋体" w:hAnsi="宋体" w:eastAsia="宋体" w:cs="仿宋"/>
                <w:bCs/>
                <w:color w:val="auto"/>
                <w:kern w:val="0"/>
                <w:sz w:val="18"/>
                <w:szCs w:val="18"/>
              </w:rPr>
              <w:t>价格部分</w:t>
            </w:r>
          </w:p>
        </w:tc>
        <w:tc>
          <w:tcPr>
            <w:tcW w:w="857" w:type="dxa"/>
            <w:noWrap w:val="0"/>
            <w:vAlign w:val="center"/>
          </w:tcPr>
          <w:p w14:paraId="56DE7FB0">
            <w:pPr>
              <w:pStyle w:val="203"/>
              <w:spacing w:line="276" w:lineRule="auto"/>
              <w:ind w:firstLine="0" w:firstLineChars="0"/>
              <w:rPr>
                <w:rFonts w:hint="eastAsia" w:ascii="宋体" w:hAnsi="宋体" w:eastAsia="宋体" w:cs="仿宋"/>
                <w:b w:val="0"/>
                <w:color w:val="auto"/>
                <w:kern w:val="0"/>
                <w:sz w:val="18"/>
                <w:szCs w:val="18"/>
              </w:rPr>
            </w:pPr>
            <w:r>
              <w:rPr>
                <w:rFonts w:hint="eastAsia" w:ascii="宋体" w:hAnsi="宋体" w:eastAsia="宋体" w:cs="仿宋"/>
                <w:b w:val="0"/>
                <w:color w:val="auto"/>
                <w:kern w:val="0"/>
                <w:sz w:val="18"/>
                <w:szCs w:val="18"/>
              </w:rPr>
              <w:t>报价</w:t>
            </w:r>
          </w:p>
        </w:tc>
        <w:tc>
          <w:tcPr>
            <w:tcW w:w="611" w:type="dxa"/>
            <w:noWrap w:val="0"/>
            <w:vAlign w:val="center"/>
          </w:tcPr>
          <w:p w14:paraId="5155F21F">
            <w:pPr>
              <w:pStyle w:val="203"/>
              <w:spacing w:line="276" w:lineRule="auto"/>
              <w:ind w:firstLine="0" w:firstLineChars="0"/>
              <w:rPr>
                <w:rFonts w:hint="eastAsia" w:ascii="宋体" w:hAnsi="宋体" w:eastAsia="宋体" w:cs="仿宋"/>
                <w:b w:val="0"/>
                <w:color w:val="auto"/>
                <w:kern w:val="0"/>
                <w:sz w:val="18"/>
                <w:szCs w:val="18"/>
              </w:rPr>
            </w:pPr>
            <w:r>
              <w:rPr>
                <w:rFonts w:hint="eastAsia" w:ascii="宋体" w:hAnsi="宋体" w:eastAsia="宋体" w:cs="仿宋"/>
                <w:b w:val="0"/>
                <w:color w:val="auto"/>
                <w:kern w:val="0"/>
                <w:sz w:val="18"/>
                <w:szCs w:val="18"/>
                <w:lang w:val="en-US" w:eastAsia="zh-CN"/>
              </w:rPr>
              <w:t>4</w:t>
            </w:r>
            <w:r>
              <w:rPr>
                <w:rFonts w:hint="eastAsia" w:ascii="宋体" w:hAnsi="宋体" w:eastAsia="宋体" w:cs="仿宋"/>
                <w:b w:val="0"/>
                <w:color w:val="auto"/>
                <w:kern w:val="0"/>
                <w:sz w:val="18"/>
                <w:szCs w:val="18"/>
              </w:rPr>
              <w:t>0</w:t>
            </w:r>
          </w:p>
        </w:tc>
        <w:tc>
          <w:tcPr>
            <w:tcW w:w="6739" w:type="dxa"/>
            <w:noWrap w:val="0"/>
            <w:vAlign w:val="center"/>
          </w:tcPr>
          <w:p w14:paraId="1DF393BA">
            <w:pPr>
              <w:pStyle w:val="203"/>
              <w:spacing w:line="240" w:lineRule="auto"/>
              <w:ind w:firstLine="0" w:firstLineChars="0"/>
              <w:jc w:val="left"/>
              <w:rPr>
                <w:rFonts w:hint="eastAsia" w:ascii="宋体" w:hAnsi="宋体" w:eastAsia="宋体" w:cs="仿宋"/>
                <w:b w:val="0"/>
                <w:bCs/>
                <w:color w:val="auto"/>
                <w:kern w:val="0"/>
                <w:sz w:val="18"/>
                <w:szCs w:val="18"/>
              </w:rPr>
            </w:pPr>
            <w:r>
              <w:rPr>
                <w:rFonts w:hint="eastAsia" w:ascii="宋体" w:hAnsi="宋体" w:eastAsia="宋体" w:cs="仿宋"/>
                <w:b w:val="0"/>
                <w:bCs w:val="0"/>
                <w:color w:val="auto"/>
                <w:kern w:val="0"/>
                <w:sz w:val="18"/>
                <w:szCs w:val="18"/>
              </w:rPr>
              <w:t>价格分采用低价优先法计算，即满足本招标文件要求的最低投标报价为评标基准价，其价格分为满分，其它投标人的价格分统一按照下列公式计算：投标报价得分=（评标基准价／投标报价）×价格分分值（精确到小数点后两位）。超过了采购项目预算或最高限价的，为无效投标。</w:t>
            </w:r>
          </w:p>
        </w:tc>
      </w:tr>
      <w:tr w14:paraId="08C6AB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5" w:type="dxa"/>
            <w:vMerge w:val="restart"/>
            <w:tcBorders>
              <w:top w:val="single" w:color="auto" w:sz="4" w:space="0"/>
              <w:left w:val="single" w:color="auto" w:sz="4" w:space="0"/>
              <w:right w:val="single" w:color="auto" w:sz="4" w:space="0"/>
            </w:tcBorders>
            <w:noWrap w:val="0"/>
            <w:vAlign w:val="center"/>
          </w:tcPr>
          <w:p w14:paraId="062C8B9D">
            <w:pPr>
              <w:widowControl/>
              <w:spacing w:line="276" w:lineRule="auto"/>
              <w:jc w:val="center"/>
              <w:rPr>
                <w:rFonts w:hint="eastAsia" w:ascii="宋体" w:hAnsi="宋体" w:cs="仿宋"/>
                <w:b/>
                <w:color w:val="auto"/>
                <w:kern w:val="0"/>
                <w:sz w:val="18"/>
                <w:szCs w:val="18"/>
              </w:rPr>
            </w:pPr>
            <w:r>
              <w:rPr>
                <w:rFonts w:hint="eastAsia" w:ascii="宋体" w:hAnsi="宋体" w:cs="仿宋"/>
                <w:b/>
                <w:color w:val="auto"/>
                <w:kern w:val="0"/>
                <w:sz w:val="18"/>
                <w:szCs w:val="18"/>
              </w:rPr>
              <w:t>商务</w:t>
            </w:r>
          </w:p>
          <w:p w14:paraId="4D4D75AE">
            <w:pPr>
              <w:widowControl/>
              <w:spacing w:line="276" w:lineRule="auto"/>
              <w:jc w:val="center"/>
              <w:rPr>
                <w:rFonts w:hint="eastAsia" w:ascii="宋体" w:hAnsi="宋体" w:cs="仿宋"/>
                <w:b/>
                <w:color w:val="auto"/>
                <w:kern w:val="0"/>
                <w:sz w:val="18"/>
                <w:szCs w:val="18"/>
                <w:highlight w:val="yellow"/>
              </w:rPr>
            </w:pPr>
            <w:r>
              <w:rPr>
                <w:rFonts w:hint="eastAsia" w:ascii="宋体" w:hAnsi="宋体" w:cs="仿宋"/>
                <w:b/>
                <w:color w:val="auto"/>
                <w:kern w:val="0"/>
                <w:sz w:val="18"/>
                <w:szCs w:val="18"/>
              </w:rPr>
              <w:t>部分</w:t>
            </w:r>
          </w:p>
        </w:tc>
        <w:tc>
          <w:tcPr>
            <w:tcW w:w="857" w:type="dxa"/>
            <w:tcBorders>
              <w:top w:val="single" w:color="auto" w:sz="4" w:space="0"/>
              <w:left w:val="single" w:color="auto" w:sz="4" w:space="0"/>
              <w:right w:val="single" w:color="auto" w:sz="4" w:space="0"/>
            </w:tcBorders>
            <w:noWrap w:val="0"/>
            <w:vAlign w:val="center"/>
          </w:tcPr>
          <w:p w14:paraId="2D1A0341">
            <w:pPr>
              <w:pStyle w:val="203"/>
              <w:spacing w:line="276" w:lineRule="auto"/>
              <w:ind w:firstLine="0" w:firstLineChars="0"/>
              <w:rPr>
                <w:rFonts w:hint="eastAsia" w:ascii="宋体" w:hAnsi="宋体" w:eastAsia="宋体" w:cs="仿宋"/>
                <w:b w:val="0"/>
                <w:bCs/>
                <w:color w:val="auto"/>
                <w:kern w:val="0"/>
                <w:sz w:val="18"/>
                <w:szCs w:val="18"/>
              </w:rPr>
            </w:pPr>
            <w:r>
              <w:rPr>
                <w:rFonts w:hint="eastAsia" w:ascii="宋体" w:hAnsi="宋体" w:eastAsia="宋体" w:cs="仿宋"/>
                <w:b w:val="0"/>
                <w:bCs/>
                <w:color w:val="auto"/>
                <w:kern w:val="0"/>
                <w:sz w:val="18"/>
                <w:szCs w:val="18"/>
              </w:rPr>
              <w:t>企业类似业绩</w:t>
            </w:r>
          </w:p>
        </w:tc>
        <w:tc>
          <w:tcPr>
            <w:tcW w:w="611" w:type="dxa"/>
            <w:tcBorders>
              <w:top w:val="single" w:color="auto" w:sz="4" w:space="0"/>
              <w:left w:val="single" w:color="auto" w:sz="4" w:space="0"/>
              <w:bottom w:val="single" w:color="auto" w:sz="4" w:space="0"/>
              <w:right w:val="single" w:color="auto" w:sz="4" w:space="0"/>
            </w:tcBorders>
            <w:noWrap w:val="0"/>
            <w:vAlign w:val="center"/>
          </w:tcPr>
          <w:p w14:paraId="324A8A30">
            <w:pPr>
              <w:pStyle w:val="203"/>
              <w:spacing w:line="276" w:lineRule="auto"/>
              <w:ind w:firstLine="0" w:firstLineChars="0"/>
              <w:rPr>
                <w:rFonts w:hint="default" w:ascii="宋体" w:hAnsi="宋体" w:eastAsia="宋体" w:cs="仿宋"/>
                <w:b w:val="0"/>
                <w:bCs/>
                <w:color w:val="auto"/>
                <w:kern w:val="0"/>
                <w:sz w:val="18"/>
                <w:szCs w:val="18"/>
                <w:highlight w:val="none"/>
                <w:lang w:val="en-US" w:eastAsia="zh-CN"/>
              </w:rPr>
            </w:pPr>
            <w:r>
              <w:rPr>
                <w:rFonts w:hint="eastAsia" w:ascii="宋体" w:hAnsi="宋体" w:eastAsia="宋体" w:cs="仿宋"/>
                <w:b w:val="0"/>
                <w:bCs/>
                <w:color w:val="auto"/>
                <w:kern w:val="0"/>
                <w:sz w:val="18"/>
                <w:szCs w:val="18"/>
                <w:highlight w:val="none"/>
                <w:lang w:val="en-US" w:eastAsia="zh-CN"/>
              </w:rPr>
              <w:t>4</w:t>
            </w:r>
          </w:p>
        </w:tc>
        <w:tc>
          <w:tcPr>
            <w:tcW w:w="6739" w:type="dxa"/>
            <w:tcBorders>
              <w:top w:val="single" w:color="auto" w:sz="4" w:space="0"/>
              <w:left w:val="single" w:color="auto" w:sz="4" w:space="0"/>
              <w:bottom w:val="single" w:color="auto" w:sz="4" w:space="0"/>
              <w:right w:val="single" w:color="auto" w:sz="4" w:space="0"/>
            </w:tcBorders>
            <w:noWrap w:val="0"/>
            <w:vAlign w:val="center"/>
          </w:tcPr>
          <w:p w14:paraId="52B4A58D">
            <w:pPr>
              <w:pStyle w:val="203"/>
              <w:spacing w:line="240" w:lineRule="auto"/>
              <w:ind w:firstLine="0" w:firstLineChars="0"/>
              <w:jc w:val="left"/>
              <w:rPr>
                <w:rFonts w:hint="eastAsia" w:ascii="宋体" w:hAnsi="宋体" w:eastAsia="宋体" w:cs="仿宋"/>
                <w:b w:val="0"/>
                <w:bCs/>
                <w:color w:val="auto"/>
                <w:kern w:val="0"/>
                <w:sz w:val="18"/>
                <w:szCs w:val="18"/>
                <w:highlight w:val="none"/>
              </w:rPr>
            </w:pPr>
            <w:r>
              <w:rPr>
                <w:rFonts w:hint="eastAsia" w:ascii="宋体" w:hAnsi="宋体" w:eastAsia="宋体" w:cs="仿宋"/>
                <w:b w:val="0"/>
                <w:bCs/>
                <w:color w:val="auto"/>
                <w:kern w:val="0"/>
                <w:sz w:val="18"/>
                <w:szCs w:val="18"/>
                <w:highlight w:val="none"/>
              </w:rPr>
              <w:t>根据投标人提供2022年1月1日至投标截止的同类项目业绩进行综合评定，每提供一个合同案例得</w:t>
            </w:r>
            <w:r>
              <w:rPr>
                <w:rFonts w:hint="eastAsia" w:ascii="宋体" w:hAnsi="宋体" w:eastAsia="宋体" w:cs="仿宋"/>
                <w:b w:val="0"/>
                <w:bCs/>
                <w:color w:val="auto"/>
                <w:kern w:val="0"/>
                <w:sz w:val="18"/>
                <w:szCs w:val="18"/>
                <w:highlight w:val="none"/>
                <w:lang w:val="en-US" w:eastAsia="zh-CN"/>
              </w:rPr>
              <w:t>1</w:t>
            </w:r>
            <w:r>
              <w:rPr>
                <w:rFonts w:hint="eastAsia" w:ascii="宋体" w:hAnsi="宋体" w:eastAsia="宋体" w:cs="仿宋"/>
                <w:b w:val="0"/>
                <w:bCs/>
                <w:color w:val="auto"/>
                <w:kern w:val="0"/>
                <w:sz w:val="18"/>
                <w:szCs w:val="18"/>
                <w:highlight w:val="none"/>
              </w:rPr>
              <w:t>分，最多</w:t>
            </w:r>
            <w:r>
              <w:rPr>
                <w:rFonts w:hint="eastAsia" w:ascii="宋体" w:hAnsi="宋体" w:eastAsia="宋体" w:cs="仿宋"/>
                <w:b w:val="0"/>
                <w:bCs/>
                <w:color w:val="auto"/>
                <w:kern w:val="0"/>
                <w:sz w:val="18"/>
                <w:szCs w:val="18"/>
                <w:highlight w:val="none"/>
                <w:lang w:val="en-US" w:eastAsia="zh-CN"/>
              </w:rPr>
              <w:t>4</w:t>
            </w:r>
            <w:r>
              <w:rPr>
                <w:rFonts w:hint="eastAsia" w:ascii="宋体" w:hAnsi="宋体" w:eastAsia="宋体" w:cs="仿宋"/>
                <w:b w:val="0"/>
                <w:bCs/>
                <w:color w:val="auto"/>
                <w:kern w:val="0"/>
                <w:sz w:val="18"/>
                <w:szCs w:val="18"/>
                <w:highlight w:val="none"/>
              </w:rPr>
              <w:t>分，未提供或提供的非同类项目合同的不得分。（注：响应文件中提供合同扫描件，以合同为准，且不得遮盖任何关键信息，提供复印件加盖投标人公章作为证明材料）</w:t>
            </w:r>
          </w:p>
        </w:tc>
      </w:tr>
      <w:tr w14:paraId="63DAE4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5" w:type="dxa"/>
            <w:vMerge w:val="continue"/>
            <w:tcBorders>
              <w:left w:val="single" w:color="auto" w:sz="4" w:space="0"/>
              <w:right w:val="single" w:color="auto" w:sz="4" w:space="0"/>
            </w:tcBorders>
            <w:noWrap w:val="0"/>
            <w:vAlign w:val="center"/>
          </w:tcPr>
          <w:p w14:paraId="01BAA485">
            <w:pPr>
              <w:widowControl/>
              <w:spacing w:line="276" w:lineRule="auto"/>
              <w:jc w:val="left"/>
              <w:rPr>
                <w:rFonts w:hint="eastAsia" w:ascii="宋体" w:hAnsi="宋体" w:cs="仿宋"/>
                <w:b/>
                <w:color w:val="auto"/>
                <w:kern w:val="0"/>
                <w:sz w:val="18"/>
                <w:szCs w:val="18"/>
                <w:highlight w:val="yellow"/>
              </w:rPr>
            </w:pPr>
          </w:p>
        </w:tc>
        <w:tc>
          <w:tcPr>
            <w:tcW w:w="857" w:type="dxa"/>
            <w:tcBorders>
              <w:left w:val="single" w:color="auto" w:sz="4" w:space="0"/>
              <w:right w:val="single" w:color="auto" w:sz="4" w:space="0"/>
            </w:tcBorders>
            <w:noWrap w:val="0"/>
            <w:vAlign w:val="center"/>
          </w:tcPr>
          <w:p w14:paraId="760C7095">
            <w:pPr>
              <w:pStyle w:val="203"/>
              <w:spacing w:line="276" w:lineRule="auto"/>
              <w:ind w:firstLine="0" w:firstLineChars="0"/>
              <w:rPr>
                <w:rFonts w:hint="eastAsia" w:ascii="宋体" w:hAnsi="宋体" w:eastAsia="宋体" w:cs="仿宋"/>
                <w:b w:val="0"/>
                <w:bCs/>
                <w:color w:val="auto"/>
                <w:kern w:val="0"/>
                <w:sz w:val="18"/>
                <w:szCs w:val="18"/>
              </w:rPr>
            </w:pPr>
            <w:r>
              <w:rPr>
                <w:rFonts w:hint="eastAsia" w:ascii="宋体" w:hAnsi="宋体" w:eastAsia="宋体" w:cs="仿宋"/>
                <w:b w:val="0"/>
                <w:bCs/>
                <w:color w:val="auto"/>
                <w:kern w:val="0"/>
                <w:sz w:val="18"/>
                <w:szCs w:val="18"/>
              </w:rPr>
              <w:t>企业实力</w:t>
            </w:r>
          </w:p>
        </w:tc>
        <w:tc>
          <w:tcPr>
            <w:tcW w:w="611" w:type="dxa"/>
            <w:tcBorders>
              <w:top w:val="single" w:color="auto" w:sz="4" w:space="0"/>
              <w:left w:val="single" w:color="auto" w:sz="4" w:space="0"/>
              <w:bottom w:val="single" w:color="auto" w:sz="4" w:space="0"/>
              <w:right w:val="single" w:color="auto" w:sz="4" w:space="0"/>
            </w:tcBorders>
            <w:noWrap w:val="0"/>
            <w:vAlign w:val="center"/>
          </w:tcPr>
          <w:p w14:paraId="0985395A">
            <w:pPr>
              <w:pStyle w:val="203"/>
              <w:spacing w:line="276" w:lineRule="auto"/>
              <w:ind w:firstLine="0" w:firstLineChars="0"/>
              <w:rPr>
                <w:rFonts w:hint="eastAsia" w:ascii="宋体" w:hAnsi="宋体" w:eastAsia="宋体" w:cs="仿宋"/>
                <w:b w:val="0"/>
                <w:bCs/>
                <w:color w:val="auto"/>
                <w:kern w:val="0"/>
                <w:sz w:val="18"/>
                <w:szCs w:val="18"/>
                <w:lang w:eastAsia="zh-CN"/>
              </w:rPr>
            </w:pPr>
            <w:r>
              <w:rPr>
                <w:rFonts w:hint="eastAsia" w:ascii="宋体" w:hAnsi="宋体" w:eastAsia="宋体" w:cs="仿宋"/>
                <w:b w:val="0"/>
                <w:bCs/>
                <w:color w:val="auto"/>
                <w:kern w:val="0"/>
                <w:sz w:val="18"/>
                <w:szCs w:val="18"/>
                <w:lang w:val="en-US" w:eastAsia="zh-CN"/>
              </w:rPr>
              <w:t>6</w:t>
            </w:r>
          </w:p>
        </w:tc>
        <w:tc>
          <w:tcPr>
            <w:tcW w:w="6739" w:type="dxa"/>
            <w:tcBorders>
              <w:top w:val="single" w:color="auto" w:sz="4" w:space="0"/>
              <w:left w:val="single" w:color="auto" w:sz="4" w:space="0"/>
              <w:bottom w:val="single" w:color="auto" w:sz="4" w:space="0"/>
              <w:right w:val="single" w:color="auto" w:sz="4" w:space="0"/>
            </w:tcBorders>
            <w:noWrap w:val="0"/>
            <w:vAlign w:val="top"/>
          </w:tcPr>
          <w:p w14:paraId="17380253">
            <w:pPr>
              <w:pStyle w:val="203"/>
              <w:spacing w:line="240" w:lineRule="auto"/>
              <w:ind w:firstLine="0" w:firstLineChars="0"/>
              <w:jc w:val="left"/>
              <w:rPr>
                <w:rFonts w:hint="eastAsia" w:ascii="宋体" w:hAnsi="宋体" w:eastAsia="宋体" w:cs="仿宋"/>
                <w:b w:val="0"/>
                <w:bCs/>
                <w:color w:val="auto"/>
                <w:kern w:val="0"/>
                <w:sz w:val="18"/>
                <w:szCs w:val="18"/>
              </w:rPr>
            </w:pPr>
            <w:r>
              <w:rPr>
                <w:rFonts w:hint="eastAsia" w:ascii="宋体" w:hAnsi="宋体" w:eastAsia="宋体" w:cs="仿宋"/>
                <w:b w:val="0"/>
                <w:bCs/>
                <w:color w:val="auto"/>
                <w:kern w:val="0"/>
                <w:sz w:val="18"/>
                <w:szCs w:val="18"/>
              </w:rPr>
              <w:t>为了防止数据在不同厂商之间过多传输，导致数据丢失或泄密，各模块系统证书需为同一品牌，提供相应复印件加盖公章。</w:t>
            </w:r>
          </w:p>
          <w:p w14:paraId="07515551">
            <w:pPr>
              <w:pStyle w:val="203"/>
              <w:spacing w:line="240" w:lineRule="auto"/>
              <w:ind w:firstLine="0" w:firstLineChars="0"/>
              <w:jc w:val="left"/>
              <w:rPr>
                <w:rFonts w:hint="eastAsia" w:ascii="宋体" w:hAnsi="宋体" w:eastAsia="宋体" w:cs="仿宋"/>
                <w:b w:val="0"/>
                <w:bCs/>
                <w:color w:val="auto"/>
                <w:kern w:val="0"/>
                <w:sz w:val="18"/>
                <w:szCs w:val="18"/>
              </w:rPr>
            </w:pPr>
            <w:r>
              <w:rPr>
                <w:rFonts w:hint="eastAsia" w:ascii="宋体" w:hAnsi="宋体" w:eastAsia="宋体" w:cs="仿宋"/>
                <w:b w:val="0"/>
                <w:bCs/>
                <w:color w:val="auto"/>
                <w:kern w:val="0"/>
                <w:sz w:val="18"/>
                <w:szCs w:val="18"/>
              </w:rPr>
              <w:t>1.提供自有的《软件能力成熟度集成模型》的（CMMI）五级及以上证书，得</w:t>
            </w:r>
            <w:r>
              <w:rPr>
                <w:rFonts w:hint="eastAsia" w:ascii="宋体" w:hAnsi="宋体" w:eastAsia="宋体" w:cs="仿宋"/>
                <w:b w:val="0"/>
                <w:bCs/>
                <w:color w:val="auto"/>
                <w:kern w:val="0"/>
                <w:sz w:val="18"/>
                <w:szCs w:val="18"/>
                <w:lang w:val="en-US" w:eastAsia="zh-CN"/>
              </w:rPr>
              <w:t>2</w:t>
            </w:r>
            <w:r>
              <w:rPr>
                <w:rFonts w:hint="eastAsia" w:ascii="宋体" w:hAnsi="宋体" w:eastAsia="宋体" w:cs="仿宋"/>
                <w:b w:val="0"/>
                <w:bCs/>
                <w:color w:val="auto"/>
                <w:kern w:val="0"/>
                <w:sz w:val="18"/>
                <w:szCs w:val="18"/>
              </w:rPr>
              <w:t>分；</w:t>
            </w:r>
          </w:p>
          <w:p w14:paraId="379CD6F9">
            <w:pPr>
              <w:pStyle w:val="203"/>
              <w:spacing w:line="240" w:lineRule="auto"/>
              <w:ind w:firstLine="0" w:firstLineChars="0"/>
              <w:jc w:val="left"/>
              <w:rPr>
                <w:rFonts w:hint="eastAsia" w:ascii="宋体" w:hAnsi="宋体" w:eastAsia="宋体" w:cs="仿宋"/>
                <w:b w:val="0"/>
                <w:bCs/>
                <w:color w:val="auto"/>
                <w:kern w:val="0"/>
                <w:sz w:val="18"/>
                <w:szCs w:val="18"/>
              </w:rPr>
            </w:pPr>
            <w:r>
              <w:rPr>
                <w:rFonts w:hint="eastAsia" w:ascii="宋体" w:hAnsi="宋体" w:eastAsia="宋体" w:cs="仿宋"/>
                <w:b w:val="0"/>
                <w:bCs/>
                <w:color w:val="auto"/>
                <w:kern w:val="0"/>
                <w:sz w:val="18"/>
                <w:szCs w:val="18"/>
              </w:rPr>
              <w:t>2.提供ITSS信息技术服务标准符合性证书，得2分；</w:t>
            </w:r>
          </w:p>
          <w:p w14:paraId="33FE040A">
            <w:pPr>
              <w:pStyle w:val="203"/>
              <w:spacing w:line="240" w:lineRule="auto"/>
              <w:ind w:firstLine="0" w:firstLineChars="0"/>
              <w:jc w:val="left"/>
              <w:rPr>
                <w:rFonts w:hint="eastAsia" w:ascii="宋体" w:hAnsi="宋体" w:eastAsia="宋体" w:cs="仿宋"/>
                <w:b w:val="0"/>
                <w:bCs/>
                <w:color w:val="auto"/>
                <w:kern w:val="0"/>
                <w:sz w:val="18"/>
                <w:szCs w:val="18"/>
              </w:rPr>
            </w:pPr>
            <w:r>
              <w:rPr>
                <w:rFonts w:hint="eastAsia" w:ascii="宋体" w:hAnsi="宋体" w:eastAsia="宋体" w:cs="仿宋"/>
                <w:b w:val="0"/>
                <w:bCs/>
                <w:color w:val="auto"/>
                <w:kern w:val="0"/>
                <w:sz w:val="18"/>
                <w:szCs w:val="18"/>
              </w:rPr>
              <w:t>3.提供CS3级信息系统建设和服务能力等级证书，得2分；</w:t>
            </w:r>
          </w:p>
          <w:p w14:paraId="276B05EC">
            <w:pPr>
              <w:pStyle w:val="203"/>
              <w:spacing w:line="240" w:lineRule="auto"/>
              <w:ind w:firstLine="0" w:firstLineChars="0"/>
              <w:jc w:val="left"/>
              <w:rPr>
                <w:rFonts w:hint="eastAsia" w:ascii="宋体" w:hAnsi="宋体" w:eastAsia="宋体" w:cs="仿宋"/>
                <w:b w:val="0"/>
                <w:bCs/>
                <w:color w:val="auto"/>
                <w:kern w:val="0"/>
                <w:sz w:val="18"/>
                <w:szCs w:val="18"/>
              </w:rPr>
            </w:pPr>
            <w:r>
              <w:rPr>
                <w:rFonts w:hint="eastAsia" w:ascii="宋体" w:hAnsi="宋体" w:eastAsia="宋体" w:cs="仿宋"/>
                <w:b w:val="0"/>
                <w:bCs/>
                <w:color w:val="auto"/>
                <w:kern w:val="0"/>
                <w:sz w:val="18"/>
                <w:szCs w:val="18"/>
              </w:rPr>
              <w:t>注：所提供证书必须真实有效，如有伪造，包括在后续交付验收阶段发现伪造证书，将根据相关法律追究其法律责任。</w:t>
            </w:r>
          </w:p>
        </w:tc>
      </w:tr>
      <w:tr w14:paraId="17DBEB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5" w:type="dxa"/>
            <w:vMerge w:val="restart"/>
            <w:tcBorders>
              <w:top w:val="single" w:color="auto" w:sz="4" w:space="0"/>
              <w:left w:val="single" w:color="auto" w:sz="4" w:space="0"/>
              <w:right w:val="single" w:color="auto" w:sz="4" w:space="0"/>
            </w:tcBorders>
            <w:noWrap w:val="0"/>
            <w:vAlign w:val="center"/>
          </w:tcPr>
          <w:p w14:paraId="354C8245">
            <w:pPr>
              <w:widowControl/>
              <w:spacing w:line="276" w:lineRule="auto"/>
              <w:jc w:val="center"/>
              <w:rPr>
                <w:rFonts w:hint="eastAsia" w:ascii="宋体" w:hAnsi="宋体" w:cs="仿宋"/>
                <w:b/>
                <w:color w:val="auto"/>
                <w:kern w:val="0"/>
                <w:sz w:val="18"/>
                <w:szCs w:val="18"/>
              </w:rPr>
            </w:pPr>
            <w:r>
              <w:rPr>
                <w:rFonts w:hint="eastAsia" w:ascii="宋体" w:hAnsi="宋体" w:cs="仿宋"/>
                <w:b/>
                <w:color w:val="auto"/>
                <w:kern w:val="0"/>
                <w:sz w:val="18"/>
                <w:szCs w:val="18"/>
              </w:rPr>
              <w:t>技术</w:t>
            </w:r>
          </w:p>
          <w:p w14:paraId="675FF170">
            <w:pPr>
              <w:widowControl/>
              <w:spacing w:line="276" w:lineRule="auto"/>
              <w:jc w:val="center"/>
              <w:rPr>
                <w:rFonts w:hint="eastAsia" w:ascii="宋体" w:hAnsi="宋体" w:cs="仿宋"/>
                <w:b/>
                <w:color w:val="auto"/>
                <w:kern w:val="0"/>
                <w:sz w:val="18"/>
                <w:szCs w:val="18"/>
                <w:highlight w:val="yellow"/>
              </w:rPr>
            </w:pPr>
            <w:r>
              <w:rPr>
                <w:rFonts w:hint="eastAsia" w:ascii="宋体" w:hAnsi="宋体" w:cs="仿宋"/>
                <w:b/>
                <w:color w:val="auto"/>
                <w:kern w:val="0"/>
                <w:sz w:val="18"/>
                <w:szCs w:val="18"/>
              </w:rPr>
              <w:t>部分</w:t>
            </w:r>
          </w:p>
        </w:tc>
        <w:tc>
          <w:tcPr>
            <w:tcW w:w="857" w:type="dxa"/>
            <w:tcBorders>
              <w:top w:val="single" w:color="auto" w:sz="4" w:space="0"/>
              <w:left w:val="single" w:color="auto" w:sz="4" w:space="0"/>
              <w:right w:val="single" w:color="auto" w:sz="4" w:space="0"/>
            </w:tcBorders>
            <w:noWrap w:val="0"/>
            <w:vAlign w:val="center"/>
          </w:tcPr>
          <w:p w14:paraId="5E7C4C3F">
            <w:pPr>
              <w:pStyle w:val="203"/>
              <w:spacing w:line="276" w:lineRule="auto"/>
              <w:ind w:firstLine="0" w:firstLineChars="0"/>
              <w:rPr>
                <w:rFonts w:hint="eastAsia" w:ascii="宋体" w:hAnsi="宋体" w:eastAsia="宋体" w:cs="仿宋"/>
                <w:b w:val="0"/>
                <w:bCs/>
                <w:color w:val="auto"/>
                <w:kern w:val="0"/>
                <w:sz w:val="18"/>
                <w:szCs w:val="18"/>
              </w:rPr>
            </w:pPr>
            <w:r>
              <w:rPr>
                <w:rFonts w:hint="eastAsia" w:ascii="宋体" w:hAnsi="宋体" w:eastAsia="宋体" w:cs="仿宋"/>
                <w:b w:val="0"/>
                <w:bCs/>
                <w:color w:val="auto"/>
                <w:kern w:val="0"/>
                <w:sz w:val="18"/>
                <w:szCs w:val="18"/>
              </w:rPr>
              <w:t>技术指标</w:t>
            </w:r>
          </w:p>
        </w:tc>
        <w:tc>
          <w:tcPr>
            <w:tcW w:w="611" w:type="dxa"/>
            <w:tcBorders>
              <w:top w:val="single" w:color="auto" w:sz="4" w:space="0"/>
              <w:left w:val="single" w:color="auto" w:sz="4" w:space="0"/>
              <w:bottom w:val="single" w:color="auto" w:sz="4" w:space="0"/>
              <w:right w:val="single" w:color="auto" w:sz="4" w:space="0"/>
            </w:tcBorders>
            <w:noWrap w:val="0"/>
            <w:vAlign w:val="center"/>
          </w:tcPr>
          <w:p w14:paraId="7735675D">
            <w:pPr>
              <w:pStyle w:val="203"/>
              <w:spacing w:line="276" w:lineRule="auto"/>
              <w:ind w:firstLine="0" w:firstLineChars="0"/>
              <w:rPr>
                <w:rFonts w:hint="default" w:ascii="宋体" w:hAnsi="宋体" w:eastAsia="宋体" w:cs="仿宋"/>
                <w:b w:val="0"/>
                <w:bCs/>
                <w:color w:val="auto"/>
                <w:kern w:val="0"/>
                <w:sz w:val="18"/>
                <w:szCs w:val="18"/>
                <w:lang w:val="en-US" w:eastAsia="zh-CN"/>
              </w:rPr>
            </w:pPr>
            <w:r>
              <w:rPr>
                <w:rFonts w:hint="eastAsia" w:ascii="宋体" w:hAnsi="宋体" w:eastAsia="宋体" w:cs="仿宋"/>
                <w:b w:val="0"/>
                <w:bCs/>
                <w:color w:val="auto"/>
                <w:kern w:val="0"/>
                <w:sz w:val="18"/>
                <w:szCs w:val="18"/>
                <w:lang w:val="en-US" w:eastAsia="zh-CN"/>
              </w:rPr>
              <w:t>30</w:t>
            </w:r>
          </w:p>
        </w:tc>
        <w:tc>
          <w:tcPr>
            <w:tcW w:w="6739" w:type="dxa"/>
            <w:tcBorders>
              <w:top w:val="single" w:color="auto" w:sz="4" w:space="0"/>
              <w:left w:val="single" w:color="auto" w:sz="4" w:space="0"/>
              <w:bottom w:val="single" w:color="auto" w:sz="4" w:space="0"/>
              <w:right w:val="single" w:color="auto" w:sz="4" w:space="0"/>
            </w:tcBorders>
            <w:noWrap w:val="0"/>
            <w:vAlign w:val="center"/>
          </w:tcPr>
          <w:p w14:paraId="052BC624">
            <w:pPr>
              <w:pStyle w:val="203"/>
              <w:spacing w:line="240" w:lineRule="auto"/>
              <w:ind w:firstLine="0" w:firstLineChars="0"/>
              <w:jc w:val="left"/>
              <w:rPr>
                <w:rFonts w:hint="eastAsia" w:ascii="宋体" w:hAnsi="宋体" w:eastAsia="宋体" w:cs="仿宋"/>
                <w:b w:val="0"/>
                <w:bCs/>
                <w:color w:val="auto"/>
                <w:kern w:val="0"/>
                <w:sz w:val="18"/>
                <w:szCs w:val="18"/>
              </w:rPr>
            </w:pPr>
            <w:r>
              <w:rPr>
                <w:rFonts w:hint="eastAsia" w:ascii="宋体" w:hAnsi="宋体" w:eastAsia="宋体" w:cs="仿宋"/>
                <w:b w:val="0"/>
                <w:bCs/>
                <w:color w:val="auto"/>
                <w:kern w:val="0"/>
                <w:sz w:val="18"/>
                <w:szCs w:val="18"/>
              </w:rPr>
              <w:t>技术指标满足或优于招标文件技术标准要求得</w:t>
            </w:r>
            <w:r>
              <w:rPr>
                <w:rFonts w:hint="eastAsia" w:ascii="宋体" w:hAnsi="宋体" w:eastAsia="宋体" w:cs="仿宋"/>
                <w:b w:val="0"/>
                <w:bCs/>
                <w:color w:val="auto"/>
                <w:kern w:val="0"/>
                <w:sz w:val="18"/>
                <w:szCs w:val="18"/>
                <w:lang w:val="en-US" w:eastAsia="zh-CN"/>
              </w:rPr>
              <w:t>30</w:t>
            </w:r>
            <w:r>
              <w:rPr>
                <w:rFonts w:hint="eastAsia" w:ascii="宋体" w:hAnsi="宋体" w:eastAsia="宋体" w:cs="仿宋"/>
                <w:b w:val="0"/>
                <w:bCs/>
                <w:color w:val="auto"/>
                <w:kern w:val="0"/>
                <w:sz w:val="18"/>
                <w:szCs w:val="18"/>
              </w:rPr>
              <w:t>分。若一个“</w:t>
            </w:r>
            <w:r>
              <w:rPr>
                <w:rFonts w:hint="eastAsia" w:ascii="宋体" w:hAnsi="宋体" w:eastAsia="宋体" w:cs="仿宋"/>
                <w:color w:val="auto"/>
                <w:sz w:val="18"/>
                <w:szCs w:val="18"/>
              </w:rPr>
              <w:t>▲</w:t>
            </w:r>
            <w:r>
              <w:rPr>
                <w:rFonts w:hint="eastAsia" w:ascii="宋体" w:hAnsi="宋体" w:eastAsia="宋体" w:cs="仿宋"/>
                <w:b w:val="0"/>
                <w:bCs/>
                <w:color w:val="auto"/>
                <w:kern w:val="0"/>
                <w:sz w:val="18"/>
                <w:szCs w:val="18"/>
              </w:rPr>
              <w:t>”条款存在负偏离，扣减</w:t>
            </w:r>
            <w:r>
              <w:rPr>
                <w:rFonts w:hint="eastAsia" w:ascii="宋体" w:hAnsi="宋体" w:eastAsia="宋体" w:cs="仿宋"/>
                <w:b w:val="0"/>
                <w:bCs/>
                <w:color w:val="auto"/>
                <w:kern w:val="0"/>
                <w:sz w:val="18"/>
                <w:szCs w:val="18"/>
                <w:lang w:val="en-US" w:eastAsia="zh-CN"/>
              </w:rPr>
              <w:t>2</w:t>
            </w:r>
            <w:r>
              <w:rPr>
                <w:rFonts w:hint="eastAsia" w:ascii="宋体" w:hAnsi="宋体" w:eastAsia="宋体" w:cs="仿宋"/>
                <w:b w:val="0"/>
                <w:bCs/>
                <w:color w:val="auto"/>
                <w:kern w:val="0"/>
                <w:sz w:val="18"/>
                <w:szCs w:val="18"/>
              </w:rPr>
              <w:t>分，直至扣到0分为止。</w:t>
            </w:r>
          </w:p>
          <w:p w14:paraId="4A545629">
            <w:pPr>
              <w:pStyle w:val="203"/>
              <w:spacing w:line="240" w:lineRule="auto"/>
              <w:ind w:firstLine="0" w:firstLineChars="0"/>
              <w:jc w:val="left"/>
              <w:rPr>
                <w:rFonts w:hint="eastAsia" w:ascii="宋体" w:hAnsi="宋体" w:eastAsia="宋体" w:cs="仿宋"/>
                <w:b w:val="0"/>
                <w:bCs/>
                <w:color w:val="auto"/>
                <w:kern w:val="0"/>
                <w:sz w:val="18"/>
                <w:szCs w:val="18"/>
              </w:rPr>
            </w:pPr>
            <w:r>
              <w:rPr>
                <w:rFonts w:hint="eastAsia" w:ascii="宋体" w:hAnsi="宋体" w:eastAsia="宋体" w:cs="仿宋"/>
                <w:b w:val="0"/>
                <w:bCs/>
                <w:color w:val="auto"/>
                <w:kern w:val="0"/>
                <w:sz w:val="18"/>
                <w:szCs w:val="18"/>
              </w:rPr>
              <w:t>注：供应商对采购需求中标注▲号的条款应提供详细真实的证明材料（真实平台的截图或相关资质证书等，如有伪造，包括在后续交付验收阶段发现伪造证明，将根据相关法律追究其法律任），并在技术服务偏离表“备注”栏中说明此项证明资料在投标文件的具体页码。未按要求提供证明资料的，未按要求注明具体页码的，均视为负偏离。</w:t>
            </w:r>
          </w:p>
        </w:tc>
      </w:tr>
      <w:tr w14:paraId="36B179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5" w:type="dxa"/>
            <w:vMerge w:val="continue"/>
            <w:tcBorders>
              <w:left w:val="single" w:color="auto" w:sz="4" w:space="0"/>
              <w:right w:val="single" w:color="auto" w:sz="4" w:space="0"/>
            </w:tcBorders>
            <w:noWrap w:val="0"/>
            <w:vAlign w:val="center"/>
          </w:tcPr>
          <w:p w14:paraId="49B287BA">
            <w:pPr>
              <w:widowControl/>
              <w:spacing w:line="276" w:lineRule="auto"/>
              <w:jc w:val="left"/>
              <w:rPr>
                <w:rFonts w:hint="eastAsia" w:ascii="宋体" w:hAnsi="宋体" w:cs="仿宋"/>
                <w:b/>
                <w:color w:val="auto"/>
                <w:kern w:val="0"/>
                <w:sz w:val="18"/>
                <w:szCs w:val="18"/>
                <w:highlight w:val="yellow"/>
              </w:rPr>
            </w:pPr>
          </w:p>
        </w:tc>
        <w:tc>
          <w:tcPr>
            <w:tcW w:w="857" w:type="dxa"/>
            <w:tcBorders>
              <w:left w:val="single" w:color="auto" w:sz="4" w:space="0"/>
              <w:right w:val="single" w:color="auto" w:sz="4" w:space="0"/>
            </w:tcBorders>
            <w:noWrap w:val="0"/>
            <w:vAlign w:val="center"/>
          </w:tcPr>
          <w:p w14:paraId="4228B18A">
            <w:pPr>
              <w:pStyle w:val="203"/>
              <w:spacing w:line="276" w:lineRule="auto"/>
              <w:ind w:firstLine="0" w:firstLineChars="0"/>
              <w:rPr>
                <w:rFonts w:hint="eastAsia" w:ascii="宋体" w:hAnsi="宋体" w:eastAsia="宋体" w:cs="仿宋"/>
                <w:b w:val="0"/>
                <w:bCs/>
                <w:color w:val="auto"/>
                <w:kern w:val="0"/>
                <w:sz w:val="18"/>
                <w:szCs w:val="18"/>
              </w:rPr>
            </w:pPr>
            <w:r>
              <w:rPr>
                <w:rFonts w:hint="eastAsia" w:ascii="宋体" w:hAnsi="宋体" w:eastAsia="宋体" w:cs="仿宋"/>
                <w:b w:val="0"/>
                <w:bCs/>
                <w:color w:val="auto"/>
                <w:kern w:val="0"/>
                <w:sz w:val="18"/>
                <w:szCs w:val="18"/>
              </w:rPr>
              <w:t>系统技术及实施方案</w:t>
            </w:r>
          </w:p>
        </w:tc>
        <w:tc>
          <w:tcPr>
            <w:tcW w:w="611" w:type="dxa"/>
            <w:tcBorders>
              <w:top w:val="single" w:color="auto" w:sz="4" w:space="0"/>
              <w:left w:val="single" w:color="auto" w:sz="4" w:space="0"/>
              <w:bottom w:val="single" w:color="auto" w:sz="4" w:space="0"/>
              <w:right w:val="single" w:color="auto" w:sz="4" w:space="0"/>
            </w:tcBorders>
            <w:noWrap w:val="0"/>
            <w:vAlign w:val="center"/>
          </w:tcPr>
          <w:p w14:paraId="14D5CE85">
            <w:pPr>
              <w:pStyle w:val="203"/>
              <w:spacing w:line="276" w:lineRule="auto"/>
              <w:ind w:firstLine="0" w:firstLineChars="0"/>
              <w:rPr>
                <w:rFonts w:hint="eastAsia" w:ascii="宋体" w:hAnsi="宋体" w:eastAsia="宋体" w:cs="仿宋"/>
                <w:b w:val="0"/>
                <w:bCs/>
                <w:color w:val="auto"/>
                <w:kern w:val="0"/>
                <w:sz w:val="18"/>
                <w:szCs w:val="18"/>
                <w:lang w:eastAsia="zh-CN"/>
              </w:rPr>
            </w:pPr>
            <w:r>
              <w:rPr>
                <w:rFonts w:hint="eastAsia" w:ascii="宋体" w:hAnsi="宋体" w:eastAsia="宋体" w:cs="仿宋"/>
                <w:b w:val="0"/>
                <w:bCs/>
                <w:color w:val="auto"/>
                <w:kern w:val="0"/>
                <w:sz w:val="18"/>
                <w:szCs w:val="18"/>
                <w:lang w:val="en-US" w:eastAsia="zh-CN"/>
              </w:rPr>
              <w:t>6</w:t>
            </w:r>
          </w:p>
        </w:tc>
        <w:tc>
          <w:tcPr>
            <w:tcW w:w="6739" w:type="dxa"/>
            <w:tcBorders>
              <w:top w:val="single" w:color="auto" w:sz="4" w:space="0"/>
              <w:left w:val="single" w:color="auto" w:sz="4" w:space="0"/>
              <w:bottom w:val="single" w:color="auto" w:sz="4" w:space="0"/>
              <w:right w:val="single" w:color="auto" w:sz="4" w:space="0"/>
            </w:tcBorders>
            <w:noWrap w:val="0"/>
            <w:vAlign w:val="center"/>
          </w:tcPr>
          <w:p w14:paraId="5D716297">
            <w:pPr>
              <w:pStyle w:val="203"/>
              <w:spacing w:line="240" w:lineRule="auto"/>
              <w:ind w:firstLine="0" w:firstLineChars="0"/>
              <w:jc w:val="left"/>
              <w:rPr>
                <w:rFonts w:hint="eastAsia" w:ascii="宋体" w:hAnsi="宋体" w:eastAsia="宋体" w:cs="仿宋"/>
                <w:b w:val="0"/>
                <w:bCs/>
                <w:color w:val="auto"/>
                <w:kern w:val="0"/>
                <w:sz w:val="18"/>
                <w:szCs w:val="18"/>
              </w:rPr>
            </w:pPr>
            <w:r>
              <w:rPr>
                <w:rFonts w:hint="eastAsia" w:ascii="宋体" w:hAnsi="宋体" w:eastAsia="宋体" w:cs="仿宋"/>
                <w:b w:val="0"/>
                <w:bCs/>
                <w:color w:val="auto"/>
                <w:kern w:val="0"/>
                <w:sz w:val="18"/>
                <w:szCs w:val="18"/>
              </w:rPr>
              <w:t>投标人须提供合理详实的实施方案，根据项目要求与目标，提供包含但不限于项目实施方案、业务架构说明、技术架构说明、提供安全体系说明。</w:t>
            </w:r>
          </w:p>
          <w:p w14:paraId="0EE5F243">
            <w:pPr>
              <w:pStyle w:val="203"/>
              <w:spacing w:line="240" w:lineRule="auto"/>
              <w:ind w:firstLine="0" w:firstLineChars="0"/>
              <w:jc w:val="left"/>
              <w:rPr>
                <w:rFonts w:hint="eastAsia" w:ascii="宋体" w:hAnsi="宋体" w:eastAsia="宋体" w:cs="仿宋"/>
                <w:b w:val="0"/>
                <w:bCs/>
                <w:color w:val="auto"/>
                <w:kern w:val="0"/>
                <w:sz w:val="18"/>
                <w:szCs w:val="18"/>
                <w:highlight w:val="none"/>
                <w:lang w:val="en-US" w:eastAsia="zh-CN"/>
              </w:rPr>
            </w:pPr>
            <w:r>
              <w:rPr>
                <w:rFonts w:hint="eastAsia" w:ascii="宋体" w:hAnsi="宋体" w:eastAsia="宋体" w:cs="仿宋"/>
                <w:b w:val="0"/>
                <w:bCs/>
                <w:color w:val="auto"/>
                <w:kern w:val="0"/>
                <w:sz w:val="18"/>
                <w:szCs w:val="18"/>
                <w:highlight w:val="none"/>
                <w:lang w:val="en-US" w:eastAsia="zh-CN"/>
              </w:rPr>
              <w:t>①方案包含上述内容，且内容阐述完整详实，符合项目实际，条理逻辑清晰，可操作性强，得 6 分。</w:t>
            </w:r>
          </w:p>
          <w:p w14:paraId="5F804C09">
            <w:pPr>
              <w:pStyle w:val="203"/>
              <w:spacing w:line="240" w:lineRule="auto"/>
              <w:ind w:firstLine="0" w:firstLineChars="0"/>
              <w:jc w:val="left"/>
              <w:rPr>
                <w:rFonts w:hint="eastAsia" w:ascii="宋体" w:hAnsi="宋体" w:eastAsia="宋体" w:cs="仿宋"/>
                <w:b w:val="0"/>
                <w:bCs/>
                <w:color w:val="auto"/>
                <w:kern w:val="0"/>
                <w:sz w:val="18"/>
                <w:szCs w:val="18"/>
                <w:highlight w:val="none"/>
                <w:lang w:val="en-US" w:eastAsia="zh-CN"/>
              </w:rPr>
            </w:pPr>
            <w:r>
              <w:rPr>
                <w:rFonts w:hint="eastAsia" w:ascii="宋体" w:hAnsi="宋体" w:eastAsia="宋体" w:cs="仿宋"/>
                <w:b w:val="0"/>
                <w:bCs/>
                <w:color w:val="auto"/>
                <w:kern w:val="0"/>
                <w:sz w:val="18"/>
                <w:szCs w:val="18"/>
                <w:highlight w:val="none"/>
                <w:lang w:val="en-US" w:eastAsia="zh-CN"/>
              </w:rPr>
              <w:t>②方案中每缺少上述一项内容扣 1 分，最多扣 6 分；</w:t>
            </w:r>
          </w:p>
          <w:p w14:paraId="42C5B1F7">
            <w:pPr>
              <w:pStyle w:val="203"/>
              <w:spacing w:line="240" w:lineRule="auto"/>
              <w:ind w:firstLine="0" w:firstLineChars="0"/>
              <w:jc w:val="left"/>
              <w:rPr>
                <w:rFonts w:hint="eastAsia" w:ascii="宋体" w:hAnsi="宋体" w:eastAsia="宋体" w:cs="仿宋"/>
                <w:b w:val="0"/>
                <w:bCs/>
                <w:color w:val="auto"/>
                <w:kern w:val="0"/>
                <w:sz w:val="18"/>
                <w:szCs w:val="18"/>
                <w:highlight w:val="none"/>
                <w:lang w:val="en-US" w:eastAsia="zh-CN"/>
              </w:rPr>
            </w:pPr>
            <w:r>
              <w:rPr>
                <w:rFonts w:hint="eastAsia" w:ascii="宋体" w:hAnsi="宋体" w:eastAsia="宋体" w:cs="仿宋"/>
                <w:b w:val="0"/>
                <w:bCs/>
                <w:color w:val="auto"/>
                <w:kern w:val="0"/>
                <w:sz w:val="18"/>
                <w:szCs w:val="18"/>
                <w:highlight w:val="none"/>
                <w:lang w:val="en-US" w:eastAsia="zh-CN"/>
              </w:rPr>
              <w:t>③针对上述任一项内容，供应商的叙述不完整或不符合项目实际需求或不足或具有瑕疵的，扣 1 分，最多扣 6 分；</w:t>
            </w:r>
          </w:p>
          <w:p w14:paraId="262384A7">
            <w:pPr>
              <w:pStyle w:val="203"/>
              <w:spacing w:line="240" w:lineRule="auto"/>
              <w:ind w:firstLine="0" w:firstLineChars="0"/>
              <w:jc w:val="left"/>
              <w:rPr>
                <w:rFonts w:hint="eastAsia" w:ascii="宋体" w:hAnsi="宋体" w:eastAsia="宋体" w:cs="仿宋"/>
                <w:b w:val="0"/>
                <w:bCs/>
                <w:color w:val="auto"/>
                <w:kern w:val="0"/>
                <w:sz w:val="18"/>
                <w:szCs w:val="18"/>
                <w:highlight w:val="none"/>
                <w:lang w:val="en-US" w:eastAsia="zh-CN"/>
              </w:rPr>
            </w:pPr>
            <w:r>
              <w:rPr>
                <w:rFonts w:hint="eastAsia" w:ascii="宋体" w:hAnsi="宋体" w:eastAsia="宋体" w:cs="仿宋"/>
                <w:b w:val="0"/>
                <w:bCs/>
                <w:color w:val="auto"/>
                <w:kern w:val="0"/>
                <w:sz w:val="18"/>
                <w:szCs w:val="18"/>
                <w:highlight w:val="none"/>
                <w:lang w:val="en-US" w:eastAsia="zh-CN"/>
              </w:rPr>
              <w:t>④未提供方案或方案明显与本项目不符的，得 0 分。</w:t>
            </w:r>
          </w:p>
          <w:p w14:paraId="789F2CCA">
            <w:pPr>
              <w:pStyle w:val="203"/>
              <w:spacing w:line="240" w:lineRule="auto"/>
              <w:ind w:firstLine="0" w:firstLineChars="0"/>
              <w:jc w:val="left"/>
              <w:rPr>
                <w:rFonts w:hint="eastAsia" w:ascii="宋体" w:hAnsi="宋体" w:eastAsia="宋体" w:cs="仿宋"/>
                <w:b w:val="0"/>
                <w:bCs/>
                <w:color w:val="auto"/>
                <w:kern w:val="0"/>
                <w:sz w:val="18"/>
                <w:szCs w:val="18"/>
              </w:rPr>
            </w:pPr>
            <w:r>
              <w:rPr>
                <w:rFonts w:hint="eastAsia" w:ascii="宋体" w:hAnsi="宋体" w:eastAsia="宋体" w:cs="仿宋"/>
                <w:b w:val="0"/>
                <w:bCs/>
                <w:color w:val="auto"/>
                <w:kern w:val="0"/>
                <w:sz w:val="18"/>
                <w:szCs w:val="18"/>
                <w:highlight w:val="none"/>
                <w:lang w:val="en-US" w:eastAsia="zh-CN"/>
              </w:rPr>
              <w:t>注：本项所称“不足或瑕疵”指内容不完整或缺少关键点；非专门针对本项目或不适用本项目特性、套用其他项目内容；对同一问题前后表述矛盾；存在逻辑漏洞、科学原理或常识错误；不利于本项目目标的实现、现有技术条件下不可能实现的情形等以上任意一种情形。</w:t>
            </w:r>
          </w:p>
        </w:tc>
      </w:tr>
      <w:tr w14:paraId="288325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5" w:type="dxa"/>
            <w:vMerge w:val="continue"/>
            <w:tcBorders>
              <w:left w:val="single" w:color="auto" w:sz="4" w:space="0"/>
              <w:right w:val="single" w:color="auto" w:sz="4" w:space="0"/>
            </w:tcBorders>
            <w:noWrap w:val="0"/>
            <w:vAlign w:val="center"/>
          </w:tcPr>
          <w:p w14:paraId="2E36D829">
            <w:pPr>
              <w:widowControl/>
              <w:spacing w:line="276" w:lineRule="auto"/>
              <w:jc w:val="left"/>
              <w:rPr>
                <w:rFonts w:hint="eastAsia" w:ascii="宋体" w:hAnsi="宋体" w:cs="仿宋"/>
                <w:b/>
                <w:color w:val="auto"/>
                <w:kern w:val="0"/>
                <w:sz w:val="18"/>
                <w:szCs w:val="18"/>
                <w:highlight w:val="yellow"/>
              </w:rPr>
            </w:pPr>
          </w:p>
        </w:tc>
        <w:tc>
          <w:tcPr>
            <w:tcW w:w="857" w:type="dxa"/>
            <w:tcBorders>
              <w:left w:val="single" w:color="auto" w:sz="4" w:space="0"/>
              <w:right w:val="single" w:color="auto" w:sz="4" w:space="0"/>
            </w:tcBorders>
            <w:noWrap w:val="0"/>
            <w:vAlign w:val="center"/>
          </w:tcPr>
          <w:p w14:paraId="73A7D42B">
            <w:pPr>
              <w:pStyle w:val="203"/>
              <w:spacing w:line="276" w:lineRule="auto"/>
              <w:ind w:firstLine="0" w:firstLineChars="0"/>
              <w:rPr>
                <w:rFonts w:hint="eastAsia" w:ascii="宋体" w:hAnsi="宋体" w:eastAsia="宋体" w:cs="仿宋"/>
                <w:b w:val="0"/>
                <w:bCs/>
                <w:color w:val="auto"/>
                <w:kern w:val="0"/>
                <w:sz w:val="18"/>
                <w:szCs w:val="18"/>
              </w:rPr>
            </w:pPr>
            <w:r>
              <w:rPr>
                <w:rFonts w:hint="eastAsia" w:ascii="宋体" w:hAnsi="宋体" w:eastAsia="宋体" w:cs="仿宋"/>
                <w:b w:val="0"/>
                <w:bCs/>
                <w:color w:val="auto"/>
                <w:kern w:val="0"/>
                <w:sz w:val="18"/>
                <w:szCs w:val="18"/>
              </w:rPr>
              <w:t>项目团队</w:t>
            </w:r>
          </w:p>
          <w:p w14:paraId="28BECDD3">
            <w:pPr>
              <w:pStyle w:val="203"/>
              <w:spacing w:line="276" w:lineRule="auto"/>
              <w:ind w:firstLine="0" w:firstLineChars="0"/>
              <w:rPr>
                <w:rFonts w:hint="eastAsia" w:ascii="宋体" w:hAnsi="宋体" w:eastAsia="宋体" w:cs="仿宋"/>
                <w:b w:val="0"/>
                <w:bCs/>
                <w:color w:val="auto"/>
                <w:kern w:val="0"/>
                <w:sz w:val="18"/>
                <w:szCs w:val="18"/>
              </w:rPr>
            </w:pPr>
            <w:r>
              <w:rPr>
                <w:rFonts w:hint="eastAsia" w:ascii="宋体" w:hAnsi="宋体" w:eastAsia="宋体" w:cs="仿宋"/>
                <w:b w:val="0"/>
                <w:bCs/>
                <w:color w:val="auto"/>
                <w:kern w:val="0"/>
                <w:sz w:val="18"/>
                <w:szCs w:val="18"/>
              </w:rPr>
              <w:t>能力</w:t>
            </w:r>
          </w:p>
        </w:tc>
        <w:tc>
          <w:tcPr>
            <w:tcW w:w="611" w:type="dxa"/>
            <w:tcBorders>
              <w:top w:val="single" w:color="auto" w:sz="4" w:space="0"/>
              <w:left w:val="single" w:color="auto" w:sz="4" w:space="0"/>
              <w:bottom w:val="single" w:color="auto" w:sz="4" w:space="0"/>
              <w:right w:val="single" w:color="auto" w:sz="4" w:space="0"/>
            </w:tcBorders>
            <w:noWrap w:val="0"/>
            <w:vAlign w:val="center"/>
          </w:tcPr>
          <w:p w14:paraId="4ED95016">
            <w:pPr>
              <w:pStyle w:val="203"/>
              <w:spacing w:line="276" w:lineRule="auto"/>
              <w:ind w:firstLine="0" w:firstLineChars="0"/>
              <w:rPr>
                <w:rFonts w:hint="eastAsia" w:ascii="宋体" w:hAnsi="宋体" w:eastAsia="宋体" w:cs="仿宋"/>
                <w:b w:val="0"/>
                <w:bCs/>
                <w:color w:val="auto"/>
                <w:kern w:val="0"/>
                <w:sz w:val="18"/>
                <w:szCs w:val="18"/>
              </w:rPr>
            </w:pPr>
            <w:r>
              <w:rPr>
                <w:rFonts w:hint="eastAsia" w:ascii="宋体" w:hAnsi="宋体" w:eastAsia="宋体" w:cs="仿宋"/>
                <w:b w:val="0"/>
                <w:bCs/>
                <w:color w:val="auto"/>
                <w:kern w:val="0"/>
                <w:sz w:val="18"/>
                <w:szCs w:val="18"/>
              </w:rPr>
              <w:t>6</w:t>
            </w:r>
          </w:p>
        </w:tc>
        <w:tc>
          <w:tcPr>
            <w:tcW w:w="6739" w:type="dxa"/>
            <w:tcBorders>
              <w:top w:val="single" w:color="auto" w:sz="4" w:space="0"/>
              <w:left w:val="single" w:color="auto" w:sz="4" w:space="0"/>
              <w:bottom w:val="single" w:color="auto" w:sz="4" w:space="0"/>
              <w:right w:val="single" w:color="auto" w:sz="4" w:space="0"/>
            </w:tcBorders>
            <w:noWrap w:val="0"/>
            <w:vAlign w:val="center"/>
          </w:tcPr>
          <w:p w14:paraId="0847543C">
            <w:pPr>
              <w:pStyle w:val="203"/>
              <w:spacing w:line="240" w:lineRule="auto"/>
              <w:ind w:firstLine="0" w:firstLineChars="0"/>
              <w:jc w:val="left"/>
              <w:rPr>
                <w:rFonts w:hint="eastAsia" w:ascii="宋体" w:hAnsi="宋体" w:eastAsia="宋体" w:cs="仿宋"/>
                <w:b w:val="0"/>
                <w:bCs/>
                <w:color w:val="auto"/>
                <w:kern w:val="0"/>
                <w:sz w:val="18"/>
                <w:szCs w:val="18"/>
              </w:rPr>
            </w:pPr>
            <w:r>
              <w:rPr>
                <w:rFonts w:hint="eastAsia" w:ascii="宋体" w:hAnsi="宋体" w:eastAsia="宋体" w:cs="仿宋"/>
                <w:b w:val="0"/>
                <w:bCs/>
                <w:color w:val="auto"/>
                <w:kern w:val="0"/>
                <w:sz w:val="18"/>
                <w:szCs w:val="18"/>
              </w:rPr>
              <w:t>投入本项目的项目经理具备PMP证书或高级项目经理师资质的得2分，投入本项目的其他团队人员具备中级软件设计师或以上资格证书的，每提供一人得1分，最高得4分。</w:t>
            </w:r>
          </w:p>
          <w:p w14:paraId="70E0A636">
            <w:pPr>
              <w:pStyle w:val="203"/>
              <w:spacing w:line="240" w:lineRule="auto"/>
              <w:ind w:firstLine="0" w:firstLineChars="0"/>
              <w:jc w:val="left"/>
              <w:rPr>
                <w:rFonts w:hint="eastAsia" w:ascii="宋体" w:hAnsi="宋体" w:eastAsia="宋体" w:cs="仿宋"/>
                <w:b w:val="0"/>
                <w:bCs/>
                <w:color w:val="auto"/>
                <w:kern w:val="0"/>
                <w:sz w:val="18"/>
                <w:szCs w:val="18"/>
              </w:rPr>
            </w:pPr>
            <w:r>
              <w:rPr>
                <w:rFonts w:hint="eastAsia" w:ascii="宋体" w:hAnsi="宋体" w:eastAsia="宋体" w:cs="仿宋"/>
                <w:b w:val="0"/>
                <w:bCs/>
                <w:color w:val="auto"/>
                <w:kern w:val="0"/>
                <w:sz w:val="18"/>
                <w:szCs w:val="18"/>
              </w:rPr>
              <w:t>注：须提供人员资质证书清晰版扫描件、投标人或生产厂商为其缴纳的近本项目开标前三个月内任意1个月的社保证明材料，方可计分；项目团队中1人具有多个资格证书的只计算1次分值；证明材料不全或不符合要求的，不予计分。</w:t>
            </w:r>
          </w:p>
        </w:tc>
      </w:tr>
      <w:tr w14:paraId="17FB56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5" w:type="dxa"/>
            <w:vMerge w:val="continue"/>
            <w:tcBorders>
              <w:left w:val="single" w:color="auto" w:sz="4" w:space="0"/>
              <w:right w:val="single" w:color="auto" w:sz="4" w:space="0"/>
            </w:tcBorders>
            <w:noWrap w:val="0"/>
            <w:vAlign w:val="center"/>
          </w:tcPr>
          <w:p w14:paraId="00C4EA4F">
            <w:pPr>
              <w:widowControl/>
              <w:spacing w:line="276" w:lineRule="auto"/>
              <w:jc w:val="left"/>
              <w:rPr>
                <w:rFonts w:hint="eastAsia" w:ascii="宋体" w:hAnsi="宋体" w:cs="仿宋"/>
                <w:b/>
                <w:color w:val="auto"/>
                <w:kern w:val="0"/>
                <w:sz w:val="18"/>
                <w:szCs w:val="18"/>
                <w:highlight w:val="yellow"/>
              </w:rPr>
            </w:pPr>
          </w:p>
        </w:tc>
        <w:tc>
          <w:tcPr>
            <w:tcW w:w="857" w:type="dxa"/>
            <w:tcBorders>
              <w:left w:val="single" w:color="auto" w:sz="4" w:space="0"/>
              <w:right w:val="single" w:color="auto" w:sz="4" w:space="0"/>
            </w:tcBorders>
            <w:noWrap w:val="0"/>
            <w:vAlign w:val="center"/>
          </w:tcPr>
          <w:p w14:paraId="0EE0BE60">
            <w:pPr>
              <w:pStyle w:val="203"/>
              <w:spacing w:line="276" w:lineRule="auto"/>
              <w:ind w:firstLine="0" w:firstLineChars="0"/>
              <w:rPr>
                <w:rFonts w:hint="eastAsia" w:ascii="宋体" w:hAnsi="宋体" w:eastAsia="宋体" w:cs="仿宋"/>
                <w:b w:val="0"/>
                <w:bCs/>
                <w:color w:val="auto"/>
                <w:kern w:val="0"/>
                <w:sz w:val="18"/>
                <w:szCs w:val="18"/>
              </w:rPr>
            </w:pPr>
            <w:r>
              <w:rPr>
                <w:rFonts w:hint="eastAsia" w:ascii="宋体" w:hAnsi="宋体" w:eastAsia="宋体" w:cs="仿宋"/>
                <w:b w:val="0"/>
                <w:bCs/>
                <w:color w:val="auto"/>
                <w:kern w:val="0"/>
                <w:sz w:val="18"/>
                <w:szCs w:val="18"/>
              </w:rPr>
              <w:t>信息安全</w:t>
            </w:r>
          </w:p>
        </w:tc>
        <w:tc>
          <w:tcPr>
            <w:tcW w:w="611" w:type="dxa"/>
            <w:tcBorders>
              <w:top w:val="single" w:color="auto" w:sz="4" w:space="0"/>
              <w:left w:val="single" w:color="auto" w:sz="4" w:space="0"/>
              <w:bottom w:val="single" w:color="auto" w:sz="4" w:space="0"/>
              <w:right w:val="single" w:color="auto" w:sz="4" w:space="0"/>
            </w:tcBorders>
            <w:noWrap w:val="0"/>
            <w:vAlign w:val="center"/>
          </w:tcPr>
          <w:p w14:paraId="6F6B20CB">
            <w:pPr>
              <w:pStyle w:val="203"/>
              <w:spacing w:line="276" w:lineRule="auto"/>
              <w:ind w:firstLine="0" w:firstLineChars="0"/>
              <w:rPr>
                <w:rFonts w:hint="eastAsia" w:ascii="宋体" w:hAnsi="宋体" w:eastAsia="宋体" w:cs="仿宋"/>
                <w:b w:val="0"/>
                <w:bCs/>
                <w:color w:val="auto"/>
                <w:kern w:val="0"/>
                <w:sz w:val="18"/>
                <w:szCs w:val="18"/>
                <w:lang w:eastAsia="zh-CN"/>
              </w:rPr>
            </w:pPr>
            <w:r>
              <w:rPr>
                <w:rFonts w:hint="eastAsia" w:ascii="宋体" w:hAnsi="宋体" w:eastAsia="宋体" w:cs="仿宋"/>
                <w:b w:val="0"/>
                <w:bCs/>
                <w:color w:val="auto"/>
                <w:kern w:val="0"/>
                <w:sz w:val="18"/>
                <w:szCs w:val="18"/>
                <w:lang w:val="en-US" w:eastAsia="zh-CN"/>
              </w:rPr>
              <w:t>2</w:t>
            </w:r>
          </w:p>
        </w:tc>
        <w:tc>
          <w:tcPr>
            <w:tcW w:w="6739" w:type="dxa"/>
            <w:tcBorders>
              <w:top w:val="single" w:color="auto" w:sz="4" w:space="0"/>
              <w:left w:val="single" w:color="auto" w:sz="4" w:space="0"/>
              <w:bottom w:val="single" w:color="auto" w:sz="4" w:space="0"/>
              <w:right w:val="single" w:color="auto" w:sz="4" w:space="0"/>
            </w:tcBorders>
            <w:noWrap w:val="0"/>
            <w:vAlign w:val="center"/>
          </w:tcPr>
          <w:p w14:paraId="7656A04C">
            <w:pPr>
              <w:pStyle w:val="203"/>
              <w:spacing w:line="240" w:lineRule="auto"/>
              <w:ind w:firstLine="0" w:firstLineChars="0"/>
              <w:jc w:val="left"/>
              <w:rPr>
                <w:rFonts w:hint="eastAsia" w:ascii="宋体" w:hAnsi="宋体" w:eastAsia="宋体" w:cs="仿宋"/>
                <w:b w:val="0"/>
                <w:bCs/>
                <w:color w:val="auto"/>
                <w:kern w:val="0"/>
                <w:sz w:val="18"/>
                <w:szCs w:val="18"/>
              </w:rPr>
            </w:pPr>
            <w:r>
              <w:rPr>
                <w:rFonts w:hint="eastAsia" w:ascii="宋体" w:hAnsi="宋体" w:eastAsia="宋体" w:cs="仿宋"/>
                <w:b w:val="0"/>
                <w:bCs/>
                <w:color w:val="auto"/>
                <w:kern w:val="0"/>
                <w:sz w:val="18"/>
                <w:szCs w:val="18"/>
              </w:rPr>
              <w:t>为了保证信息数据安全需提供以下证书:</w:t>
            </w:r>
          </w:p>
          <w:p w14:paraId="70D22A60">
            <w:pPr>
              <w:pStyle w:val="203"/>
              <w:spacing w:line="240" w:lineRule="auto"/>
              <w:ind w:firstLine="0" w:firstLineChars="0"/>
              <w:jc w:val="left"/>
              <w:rPr>
                <w:rFonts w:hint="eastAsia" w:ascii="宋体" w:hAnsi="宋体" w:eastAsia="宋体" w:cs="仿宋"/>
                <w:b w:val="0"/>
                <w:bCs/>
                <w:color w:val="auto"/>
                <w:kern w:val="0"/>
                <w:sz w:val="18"/>
                <w:szCs w:val="18"/>
              </w:rPr>
            </w:pPr>
            <w:r>
              <w:rPr>
                <w:rFonts w:hint="eastAsia" w:ascii="宋体" w:hAnsi="宋体" w:eastAsia="宋体" w:cs="仿宋"/>
                <w:b w:val="0"/>
                <w:bCs/>
                <w:color w:val="auto"/>
                <w:kern w:val="0"/>
                <w:sz w:val="18"/>
                <w:szCs w:val="18"/>
              </w:rPr>
              <w:t>1.提供综合业务管理信息系统相关的安全等级保护3级或以上证书得</w:t>
            </w:r>
            <w:r>
              <w:rPr>
                <w:rFonts w:hint="eastAsia" w:ascii="宋体" w:hAnsi="宋体" w:eastAsia="宋体" w:cs="仿宋"/>
                <w:b w:val="0"/>
                <w:bCs/>
                <w:color w:val="auto"/>
                <w:kern w:val="0"/>
                <w:sz w:val="18"/>
                <w:szCs w:val="18"/>
                <w:lang w:val="en-US" w:eastAsia="zh-CN"/>
              </w:rPr>
              <w:t>1</w:t>
            </w:r>
            <w:r>
              <w:rPr>
                <w:rFonts w:hint="eastAsia" w:ascii="宋体" w:hAnsi="宋体" w:eastAsia="宋体" w:cs="仿宋"/>
                <w:b w:val="0"/>
                <w:bCs/>
                <w:color w:val="auto"/>
                <w:kern w:val="0"/>
                <w:sz w:val="18"/>
                <w:szCs w:val="18"/>
              </w:rPr>
              <w:t>分。</w:t>
            </w:r>
          </w:p>
          <w:p w14:paraId="1842AEDA">
            <w:pPr>
              <w:pStyle w:val="203"/>
              <w:spacing w:line="240" w:lineRule="auto"/>
              <w:ind w:firstLine="0" w:firstLineChars="0"/>
              <w:jc w:val="left"/>
              <w:rPr>
                <w:rFonts w:hint="eastAsia" w:ascii="宋体" w:hAnsi="宋体" w:eastAsia="宋体" w:cs="仿宋"/>
                <w:b w:val="0"/>
                <w:bCs/>
                <w:color w:val="auto"/>
                <w:kern w:val="0"/>
                <w:sz w:val="18"/>
                <w:szCs w:val="18"/>
              </w:rPr>
            </w:pPr>
            <w:r>
              <w:rPr>
                <w:rFonts w:hint="eastAsia" w:ascii="宋体" w:hAnsi="宋体" w:eastAsia="宋体" w:cs="仿宋"/>
                <w:b w:val="0"/>
                <w:bCs/>
                <w:color w:val="auto"/>
                <w:kern w:val="0"/>
                <w:sz w:val="18"/>
                <w:szCs w:val="18"/>
              </w:rPr>
              <w:t>2.提供数据综合索引信息系统相关的安全等级保护3级或以上证书得</w:t>
            </w:r>
            <w:r>
              <w:rPr>
                <w:rFonts w:hint="eastAsia" w:ascii="宋体" w:hAnsi="宋体" w:eastAsia="宋体" w:cs="仿宋"/>
                <w:b w:val="0"/>
                <w:bCs/>
                <w:color w:val="auto"/>
                <w:kern w:val="0"/>
                <w:sz w:val="18"/>
                <w:szCs w:val="18"/>
                <w:lang w:val="en-US" w:eastAsia="zh-CN"/>
              </w:rPr>
              <w:t>1</w:t>
            </w:r>
            <w:r>
              <w:rPr>
                <w:rFonts w:hint="eastAsia" w:ascii="宋体" w:hAnsi="宋体" w:eastAsia="宋体" w:cs="仿宋"/>
                <w:b w:val="0"/>
                <w:bCs/>
                <w:color w:val="auto"/>
                <w:kern w:val="0"/>
                <w:sz w:val="18"/>
                <w:szCs w:val="18"/>
              </w:rPr>
              <w:t>分。</w:t>
            </w:r>
          </w:p>
        </w:tc>
      </w:tr>
      <w:tr w14:paraId="22E458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5" w:type="dxa"/>
            <w:vMerge w:val="continue"/>
            <w:tcBorders>
              <w:left w:val="single" w:color="auto" w:sz="4" w:space="0"/>
              <w:right w:val="single" w:color="auto" w:sz="4" w:space="0"/>
            </w:tcBorders>
            <w:noWrap w:val="0"/>
            <w:vAlign w:val="center"/>
          </w:tcPr>
          <w:p w14:paraId="09B0E58F">
            <w:pPr>
              <w:widowControl/>
              <w:spacing w:line="276" w:lineRule="auto"/>
              <w:jc w:val="left"/>
              <w:rPr>
                <w:rFonts w:hint="eastAsia" w:ascii="宋体" w:hAnsi="宋体" w:cs="仿宋"/>
                <w:b/>
                <w:color w:val="auto"/>
                <w:kern w:val="0"/>
                <w:sz w:val="18"/>
                <w:szCs w:val="18"/>
                <w:highlight w:val="yellow"/>
              </w:rPr>
            </w:pPr>
          </w:p>
        </w:tc>
        <w:tc>
          <w:tcPr>
            <w:tcW w:w="857" w:type="dxa"/>
            <w:tcBorders>
              <w:left w:val="single" w:color="auto" w:sz="4" w:space="0"/>
              <w:right w:val="single" w:color="auto" w:sz="4" w:space="0"/>
            </w:tcBorders>
            <w:noWrap w:val="0"/>
            <w:vAlign w:val="center"/>
          </w:tcPr>
          <w:p w14:paraId="6C780A34">
            <w:pPr>
              <w:pStyle w:val="203"/>
              <w:spacing w:line="276" w:lineRule="auto"/>
              <w:ind w:firstLine="0" w:firstLineChars="0"/>
              <w:rPr>
                <w:rFonts w:hint="eastAsia" w:ascii="宋体" w:hAnsi="宋体" w:eastAsia="宋体" w:cs="仿宋"/>
                <w:b w:val="0"/>
                <w:bCs/>
                <w:color w:val="auto"/>
                <w:kern w:val="0"/>
                <w:sz w:val="18"/>
                <w:szCs w:val="18"/>
              </w:rPr>
            </w:pPr>
            <w:r>
              <w:rPr>
                <w:rFonts w:hint="eastAsia" w:ascii="宋体" w:hAnsi="宋体" w:eastAsia="宋体" w:cs="仿宋"/>
                <w:b w:val="0"/>
                <w:bCs/>
                <w:color w:val="auto"/>
                <w:kern w:val="0"/>
                <w:sz w:val="18"/>
                <w:szCs w:val="18"/>
              </w:rPr>
              <w:t>售后服务</w:t>
            </w:r>
          </w:p>
        </w:tc>
        <w:tc>
          <w:tcPr>
            <w:tcW w:w="611" w:type="dxa"/>
            <w:tcBorders>
              <w:top w:val="single" w:color="auto" w:sz="4" w:space="0"/>
              <w:left w:val="single" w:color="auto" w:sz="4" w:space="0"/>
              <w:bottom w:val="single" w:color="auto" w:sz="4" w:space="0"/>
              <w:right w:val="single" w:color="auto" w:sz="4" w:space="0"/>
            </w:tcBorders>
            <w:noWrap w:val="0"/>
            <w:vAlign w:val="center"/>
          </w:tcPr>
          <w:p w14:paraId="61014D3A">
            <w:pPr>
              <w:pStyle w:val="203"/>
              <w:spacing w:line="276" w:lineRule="auto"/>
              <w:ind w:firstLine="0" w:firstLineChars="0"/>
              <w:rPr>
                <w:rFonts w:hint="eastAsia" w:ascii="宋体" w:hAnsi="宋体" w:eastAsia="宋体" w:cs="仿宋"/>
                <w:b w:val="0"/>
                <w:bCs/>
                <w:color w:val="auto"/>
                <w:kern w:val="0"/>
                <w:sz w:val="18"/>
                <w:szCs w:val="18"/>
                <w:lang w:eastAsia="zh-CN"/>
              </w:rPr>
            </w:pPr>
            <w:r>
              <w:rPr>
                <w:rFonts w:hint="eastAsia" w:ascii="宋体" w:hAnsi="宋体" w:eastAsia="宋体" w:cs="仿宋"/>
                <w:b w:val="0"/>
                <w:bCs/>
                <w:color w:val="auto"/>
                <w:kern w:val="0"/>
                <w:sz w:val="18"/>
                <w:szCs w:val="18"/>
                <w:lang w:val="en-US" w:eastAsia="zh-CN"/>
              </w:rPr>
              <w:t>6</w:t>
            </w:r>
          </w:p>
        </w:tc>
        <w:tc>
          <w:tcPr>
            <w:tcW w:w="6739" w:type="dxa"/>
            <w:tcBorders>
              <w:top w:val="single" w:color="auto" w:sz="4" w:space="0"/>
              <w:left w:val="single" w:color="auto" w:sz="4" w:space="0"/>
              <w:bottom w:val="single" w:color="auto" w:sz="4" w:space="0"/>
              <w:right w:val="single" w:color="auto" w:sz="4" w:space="0"/>
            </w:tcBorders>
            <w:noWrap w:val="0"/>
            <w:vAlign w:val="center"/>
          </w:tcPr>
          <w:p w14:paraId="40E77CFE">
            <w:pPr>
              <w:pStyle w:val="203"/>
              <w:spacing w:line="240" w:lineRule="auto"/>
              <w:ind w:firstLine="0" w:firstLineChars="0"/>
              <w:jc w:val="left"/>
              <w:rPr>
                <w:rFonts w:hint="eastAsia" w:ascii="宋体" w:hAnsi="宋体" w:eastAsia="宋体" w:cs="仿宋"/>
                <w:b w:val="0"/>
                <w:bCs/>
                <w:color w:val="auto"/>
                <w:kern w:val="0"/>
                <w:sz w:val="18"/>
                <w:szCs w:val="18"/>
                <w:highlight w:val="none"/>
              </w:rPr>
            </w:pPr>
            <w:r>
              <w:rPr>
                <w:rFonts w:hint="eastAsia" w:ascii="宋体" w:hAnsi="宋体" w:eastAsia="宋体" w:cs="仿宋"/>
                <w:b w:val="0"/>
                <w:bCs/>
                <w:color w:val="auto"/>
                <w:kern w:val="0"/>
                <w:sz w:val="18"/>
                <w:szCs w:val="18"/>
                <w:highlight w:val="none"/>
              </w:rPr>
              <w:t>响应文件中附有内容完整的售后服务承诺及保障措施，故障应急响应速度快，并满足招标文件中的售后服务要求，提供包含但不限于培训人员计划、售后服务承诺、售后服务响应机制、售后服务认证证书等，对以上各项指标进行综合打分。</w:t>
            </w:r>
          </w:p>
          <w:p w14:paraId="2D7AE392">
            <w:pPr>
              <w:pStyle w:val="203"/>
              <w:spacing w:line="240" w:lineRule="auto"/>
              <w:ind w:firstLine="0" w:firstLineChars="0"/>
              <w:jc w:val="left"/>
              <w:rPr>
                <w:rFonts w:hint="eastAsia" w:ascii="宋体" w:hAnsi="宋体" w:eastAsia="宋体" w:cs="仿宋"/>
                <w:b w:val="0"/>
                <w:bCs/>
                <w:color w:val="auto"/>
                <w:kern w:val="0"/>
                <w:sz w:val="18"/>
                <w:szCs w:val="18"/>
                <w:highlight w:val="none"/>
                <w:lang w:val="en-US" w:eastAsia="zh-CN"/>
              </w:rPr>
            </w:pPr>
            <w:r>
              <w:rPr>
                <w:rFonts w:hint="eastAsia" w:ascii="宋体" w:hAnsi="宋体" w:eastAsia="宋体" w:cs="仿宋"/>
                <w:b w:val="0"/>
                <w:bCs/>
                <w:color w:val="auto"/>
                <w:kern w:val="0"/>
                <w:sz w:val="18"/>
                <w:szCs w:val="18"/>
                <w:highlight w:val="none"/>
                <w:lang w:val="en-US" w:eastAsia="zh-CN"/>
              </w:rPr>
              <w:t>①售后服务承诺内容阐述完整详实，符合项目实际，条理逻辑清晰，可操作性强，得 6 分。</w:t>
            </w:r>
          </w:p>
          <w:p w14:paraId="64AC0515">
            <w:pPr>
              <w:pStyle w:val="203"/>
              <w:spacing w:line="240" w:lineRule="auto"/>
              <w:ind w:firstLine="0" w:firstLineChars="0"/>
              <w:jc w:val="left"/>
              <w:rPr>
                <w:rFonts w:hint="eastAsia" w:ascii="宋体" w:hAnsi="宋体" w:eastAsia="宋体" w:cs="仿宋"/>
                <w:b w:val="0"/>
                <w:bCs/>
                <w:color w:val="auto"/>
                <w:kern w:val="0"/>
                <w:sz w:val="18"/>
                <w:szCs w:val="18"/>
                <w:highlight w:val="none"/>
                <w:lang w:val="en-US" w:eastAsia="zh-CN"/>
              </w:rPr>
            </w:pPr>
            <w:r>
              <w:rPr>
                <w:rFonts w:hint="eastAsia" w:ascii="宋体" w:hAnsi="宋体" w:eastAsia="宋体" w:cs="仿宋"/>
                <w:b w:val="0"/>
                <w:bCs/>
                <w:color w:val="auto"/>
                <w:kern w:val="0"/>
                <w:sz w:val="18"/>
                <w:szCs w:val="18"/>
                <w:highlight w:val="none"/>
                <w:lang w:val="en-US" w:eastAsia="zh-CN"/>
              </w:rPr>
              <w:t>②售后服务承诺每缺少上述一项内容扣 1 分，最多扣 6 分；</w:t>
            </w:r>
          </w:p>
          <w:p w14:paraId="7C3E2952">
            <w:pPr>
              <w:pStyle w:val="203"/>
              <w:spacing w:line="240" w:lineRule="auto"/>
              <w:ind w:firstLine="0" w:firstLineChars="0"/>
              <w:jc w:val="left"/>
              <w:rPr>
                <w:rFonts w:hint="eastAsia" w:ascii="宋体" w:hAnsi="宋体" w:eastAsia="宋体" w:cs="仿宋"/>
                <w:b w:val="0"/>
                <w:bCs/>
                <w:color w:val="auto"/>
                <w:kern w:val="0"/>
                <w:sz w:val="18"/>
                <w:szCs w:val="18"/>
                <w:highlight w:val="none"/>
                <w:lang w:val="en-US" w:eastAsia="zh-CN"/>
              </w:rPr>
            </w:pPr>
            <w:r>
              <w:rPr>
                <w:rFonts w:hint="eastAsia" w:ascii="宋体" w:hAnsi="宋体" w:eastAsia="宋体" w:cs="仿宋"/>
                <w:b w:val="0"/>
                <w:bCs/>
                <w:color w:val="auto"/>
                <w:kern w:val="0"/>
                <w:sz w:val="18"/>
                <w:szCs w:val="18"/>
                <w:highlight w:val="none"/>
                <w:lang w:val="en-US" w:eastAsia="zh-CN"/>
              </w:rPr>
              <w:t>③针对上述任一项内容，供应商的叙述不完整或不符合项目实际需求或不足或具有瑕疵的，扣 1 分，最多扣 6 分；</w:t>
            </w:r>
          </w:p>
          <w:p w14:paraId="2DBFF6F1">
            <w:pPr>
              <w:pStyle w:val="203"/>
              <w:spacing w:line="240" w:lineRule="auto"/>
              <w:ind w:firstLine="0" w:firstLineChars="0"/>
              <w:jc w:val="left"/>
              <w:rPr>
                <w:rFonts w:hint="eastAsia" w:ascii="宋体" w:hAnsi="宋体" w:eastAsia="宋体" w:cs="仿宋"/>
                <w:b w:val="0"/>
                <w:bCs/>
                <w:color w:val="auto"/>
                <w:kern w:val="0"/>
                <w:sz w:val="18"/>
                <w:szCs w:val="18"/>
                <w:highlight w:val="none"/>
                <w:lang w:val="en-US" w:eastAsia="zh-CN"/>
              </w:rPr>
            </w:pPr>
            <w:r>
              <w:rPr>
                <w:rFonts w:hint="eastAsia" w:ascii="宋体" w:hAnsi="宋体" w:eastAsia="宋体" w:cs="仿宋"/>
                <w:b w:val="0"/>
                <w:bCs/>
                <w:color w:val="auto"/>
                <w:kern w:val="0"/>
                <w:sz w:val="18"/>
                <w:szCs w:val="18"/>
                <w:highlight w:val="none"/>
                <w:lang w:val="en-US" w:eastAsia="zh-CN"/>
              </w:rPr>
              <w:t>④未提供售后服务承诺或承诺明显与本项目不符的，得 0 分。</w:t>
            </w:r>
          </w:p>
          <w:p w14:paraId="49505555">
            <w:pPr>
              <w:pStyle w:val="203"/>
              <w:spacing w:line="240" w:lineRule="auto"/>
              <w:ind w:firstLine="0" w:firstLineChars="0"/>
              <w:jc w:val="left"/>
              <w:rPr>
                <w:rFonts w:hint="eastAsia" w:ascii="宋体" w:hAnsi="宋体" w:eastAsia="宋体" w:cs="仿宋"/>
                <w:b w:val="0"/>
                <w:bCs/>
                <w:color w:val="auto"/>
                <w:kern w:val="0"/>
                <w:sz w:val="18"/>
                <w:szCs w:val="18"/>
                <w:highlight w:val="none"/>
              </w:rPr>
            </w:pPr>
            <w:r>
              <w:rPr>
                <w:rFonts w:hint="eastAsia" w:ascii="宋体" w:hAnsi="宋体" w:eastAsia="宋体" w:cs="仿宋"/>
                <w:b w:val="0"/>
                <w:bCs/>
                <w:color w:val="auto"/>
                <w:kern w:val="0"/>
                <w:sz w:val="18"/>
                <w:szCs w:val="18"/>
                <w:highlight w:val="none"/>
                <w:lang w:val="en-US" w:eastAsia="zh-CN"/>
              </w:rPr>
              <w:t>注：本项所称“不足或瑕疵”指内容不完整或缺少关键点；非专门针对本项目或不适用本项目特性、套用其他项目内容；对同一问题前后表述矛盾；存在逻辑漏洞、科学原理或常识错误；不利于本项目目标的实现、现有技术条件下不可能实现的情形等以上任意一种情形。</w:t>
            </w:r>
          </w:p>
        </w:tc>
      </w:tr>
    </w:tbl>
    <w:p w14:paraId="67E05ACA">
      <w:pPr>
        <w:wordWrap w:val="0"/>
        <w:adjustRightInd w:val="0"/>
        <w:spacing w:line="360" w:lineRule="auto"/>
        <w:ind w:firstLine="420" w:firstLineChars="200"/>
        <w:rPr>
          <w:rFonts w:ascii="宋体" w:hAnsi="宋体" w:cs="宋体"/>
          <w:color w:val="auto"/>
          <w:kern w:val="0"/>
          <w:sz w:val="24"/>
          <w:highlight w:val="none"/>
        </w:rPr>
      </w:pPr>
      <w:r>
        <w:rPr>
          <w:rFonts w:hint="eastAsia" w:ascii="宋体" w:hAnsi="宋体" w:cs="宋体"/>
          <w:color w:val="auto"/>
          <w:highlight w:val="none"/>
        </w:rPr>
        <w:br w:type="page"/>
      </w:r>
    </w:p>
    <w:p w14:paraId="6A47F602">
      <w:pPr>
        <w:pStyle w:val="37"/>
        <w:wordWrap w:val="0"/>
        <w:spacing w:before="0" w:after="0"/>
        <w:rPr>
          <w:rFonts w:ascii="宋体" w:hAnsi="宋体" w:cs="宋体"/>
          <w:color w:val="auto"/>
          <w:sz w:val="36"/>
          <w:szCs w:val="36"/>
          <w:highlight w:val="none"/>
        </w:rPr>
      </w:pPr>
      <w:bookmarkStart w:id="31" w:name="_Toc529282262"/>
      <w:bookmarkStart w:id="32" w:name="_Toc14265"/>
      <w:r>
        <w:rPr>
          <w:rFonts w:hint="eastAsia" w:ascii="宋体" w:hAnsi="宋体" w:cs="宋体"/>
          <w:color w:val="auto"/>
          <w:sz w:val="36"/>
          <w:szCs w:val="36"/>
          <w:highlight w:val="none"/>
        </w:rPr>
        <w:t xml:space="preserve">第四章  </w:t>
      </w:r>
      <w:bookmarkEnd w:id="31"/>
      <w:r>
        <w:rPr>
          <w:rFonts w:hint="eastAsia" w:ascii="宋体" w:hAnsi="宋体" w:cs="宋体"/>
          <w:color w:val="auto"/>
          <w:sz w:val="36"/>
          <w:szCs w:val="36"/>
          <w:highlight w:val="none"/>
        </w:rPr>
        <w:t>采购合同主要条款</w:t>
      </w:r>
      <w:bookmarkEnd w:id="32"/>
    </w:p>
    <w:p w14:paraId="72C7A542">
      <w:pPr>
        <w:spacing w:line="360" w:lineRule="auto"/>
        <w:jc w:val="center"/>
        <w:rPr>
          <w:rFonts w:ascii="宋体" w:hAnsi="宋体" w:cs="宋体"/>
          <w:snapToGrid w:val="0"/>
          <w:color w:val="auto"/>
          <w:sz w:val="24"/>
          <w:szCs w:val="24"/>
          <w:highlight w:val="none"/>
        </w:rPr>
      </w:pPr>
      <w:r>
        <w:rPr>
          <w:rFonts w:hint="eastAsia" w:ascii="宋体" w:hAnsi="宋体" w:cs="宋体"/>
          <w:b/>
          <w:bCs/>
          <w:snapToGrid w:val="0"/>
          <w:color w:val="auto"/>
          <w:sz w:val="24"/>
          <w:szCs w:val="24"/>
          <w:highlight w:val="none"/>
        </w:rPr>
        <w:t>（本合同仅供参考，具体以签订时为准）</w:t>
      </w:r>
    </w:p>
    <w:p w14:paraId="2C6AC133">
      <w:pPr>
        <w:pStyle w:val="221"/>
        <w:jc w:val="center"/>
        <w:rPr>
          <w:rFonts w:ascii="宋体" w:hAnsi="宋体" w:cs="宋体"/>
          <w:color w:val="auto"/>
          <w:sz w:val="24"/>
          <w:szCs w:val="24"/>
          <w:highlight w:val="none"/>
        </w:rPr>
      </w:pPr>
      <w:r>
        <w:rPr>
          <w:rFonts w:hint="eastAsia" w:ascii="宋体" w:hAnsi="宋体" w:cs="宋体"/>
          <w:b/>
          <w:bCs/>
          <w:color w:val="auto"/>
          <w:sz w:val="40"/>
          <w:szCs w:val="40"/>
          <w:highlight w:val="none"/>
        </w:rPr>
        <w:t>新疆应用职业技术学院</w:t>
      </w:r>
      <w:r>
        <w:rPr>
          <w:rFonts w:hint="eastAsia" w:ascii="宋体" w:hAnsi="宋体" w:cs="宋体"/>
          <w:b/>
          <w:bCs/>
          <w:color w:val="auto"/>
          <w:sz w:val="40"/>
          <w:szCs w:val="40"/>
          <w:highlight w:val="none"/>
          <w:u w:val="single"/>
        </w:rPr>
        <w:t>XX</w:t>
      </w:r>
      <w:r>
        <w:rPr>
          <w:rFonts w:hint="eastAsia" w:ascii="宋体" w:hAnsi="宋体" w:cs="宋体"/>
          <w:b/>
          <w:bCs/>
          <w:color w:val="auto"/>
          <w:sz w:val="40"/>
          <w:szCs w:val="40"/>
          <w:highlight w:val="none"/>
        </w:rPr>
        <w:t>设备采购合同（招标文件版）</w:t>
      </w:r>
    </w:p>
    <w:p w14:paraId="77BCAA68">
      <w:pPr>
        <w:pStyle w:val="221"/>
        <w:ind w:firstLine="482" w:firstLineChars="200"/>
        <w:jc w:val="left"/>
        <w:rPr>
          <w:rFonts w:ascii="宋体" w:hAnsi="宋体" w:cs="宋体"/>
          <w:b/>
          <w:bCs/>
          <w:color w:val="auto"/>
          <w:sz w:val="24"/>
          <w:szCs w:val="24"/>
          <w:highlight w:val="none"/>
        </w:rPr>
      </w:pPr>
      <w:r>
        <w:rPr>
          <w:rFonts w:hint="eastAsia" w:ascii="宋体" w:hAnsi="宋体" w:cs="宋体"/>
          <w:b/>
          <w:bCs/>
          <w:color w:val="auto"/>
          <w:sz w:val="24"/>
          <w:szCs w:val="24"/>
          <w:highlight w:val="none"/>
        </w:rPr>
        <w:t>甲方（买受人）：</w:t>
      </w:r>
    </w:p>
    <w:p w14:paraId="661087D2">
      <w:pPr>
        <w:pStyle w:val="221"/>
        <w:ind w:firstLine="482" w:firstLineChars="200"/>
        <w:jc w:val="left"/>
        <w:rPr>
          <w:rFonts w:ascii="宋体" w:hAnsi="宋体" w:cs="宋体"/>
          <w:b/>
          <w:bCs/>
          <w:color w:val="auto"/>
          <w:sz w:val="24"/>
          <w:szCs w:val="24"/>
          <w:highlight w:val="none"/>
        </w:rPr>
      </w:pPr>
      <w:r>
        <w:rPr>
          <w:rFonts w:hint="eastAsia" w:ascii="宋体" w:hAnsi="宋体" w:cs="宋体"/>
          <w:b/>
          <w:bCs/>
          <w:color w:val="auto"/>
          <w:sz w:val="24"/>
          <w:szCs w:val="24"/>
          <w:highlight w:val="none"/>
        </w:rPr>
        <w:t>统一社会信用代码：</w:t>
      </w:r>
    </w:p>
    <w:p w14:paraId="27DBAAA2">
      <w:pPr>
        <w:pStyle w:val="221"/>
        <w:ind w:firstLine="482" w:firstLineChars="200"/>
        <w:jc w:val="left"/>
        <w:rPr>
          <w:rFonts w:ascii="宋体" w:hAnsi="宋体" w:cs="宋体"/>
          <w:b/>
          <w:bCs/>
          <w:color w:val="auto"/>
          <w:sz w:val="24"/>
          <w:szCs w:val="24"/>
          <w:highlight w:val="none"/>
        </w:rPr>
      </w:pPr>
      <w:r>
        <w:rPr>
          <w:rFonts w:hint="eastAsia" w:ascii="宋体" w:hAnsi="宋体" w:cs="宋体"/>
          <w:b/>
          <w:bCs/>
          <w:color w:val="auto"/>
          <w:sz w:val="24"/>
          <w:szCs w:val="24"/>
          <w:highlight w:val="none"/>
        </w:rPr>
        <w:t>乙方（出卖人）：</w:t>
      </w:r>
    </w:p>
    <w:p w14:paraId="1929FE21">
      <w:pPr>
        <w:pStyle w:val="221"/>
        <w:ind w:firstLine="482" w:firstLineChars="200"/>
        <w:jc w:val="left"/>
        <w:rPr>
          <w:rFonts w:ascii="宋体" w:hAnsi="宋体" w:cs="宋体"/>
          <w:b/>
          <w:bCs/>
          <w:color w:val="auto"/>
          <w:sz w:val="24"/>
          <w:szCs w:val="24"/>
          <w:highlight w:val="none"/>
        </w:rPr>
      </w:pPr>
      <w:r>
        <w:rPr>
          <w:rFonts w:hint="eastAsia" w:ascii="宋体" w:hAnsi="宋体" w:cs="宋体"/>
          <w:b/>
          <w:bCs/>
          <w:color w:val="auto"/>
          <w:sz w:val="24"/>
          <w:szCs w:val="24"/>
          <w:highlight w:val="none"/>
        </w:rPr>
        <w:t>统一社会信用代码：</w:t>
      </w:r>
    </w:p>
    <w:p w14:paraId="2598C557">
      <w:pPr>
        <w:pStyle w:val="221"/>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上述各方经平等自愿协商，签订本合同以共同遵守。</w:t>
      </w:r>
    </w:p>
    <w:p w14:paraId="6EAF726E">
      <w:pPr>
        <w:pStyle w:val="221"/>
        <w:ind w:firstLine="482" w:firstLineChars="200"/>
        <w:jc w:val="left"/>
        <w:rPr>
          <w:rFonts w:ascii="宋体" w:hAnsi="宋体" w:cs="宋体"/>
          <w:b/>
          <w:bCs/>
          <w:color w:val="auto"/>
          <w:sz w:val="24"/>
          <w:szCs w:val="24"/>
          <w:highlight w:val="none"/>
        </w:rPr>
      </w:pPr>
      <w:r>
        <w:rPr>
          <w:rFonts w:hint="eastAsia" w:ascii="宋体" w:hAnsi="宋体" w:cs="宋体"/>
          <w:b/>
          <w:bCs/>
          <w:color w:val="auto"/>
          <w:sz w:val="24"/>
          <w:szCs w:val="24"/>
          <w:highlight w:val="none"/>
        </w:rPr>
        <w:t>1.定义</w:t>
      </w:r>
    </w:p>
    <w:p w14:paraId="2449F4BF">
      <w:pPr>
        <w:pStyle w:val="221"/>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1.1.在本合同中（包括附件），如有下列名词及术语，除另有明确说明或上下文另有要求，均应具有本款所赋予的含义。</w:t>
      </w:r>
    </w:p>
    <w:p w14:paraId="25B3B3E3">
      <w:pPr>
        <w:pStyle w:val="221"/>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1.2.“买受人”（甲方）是指</w:t>
      </w:r>
      <w:r>
        <w:rPr>
          <w:rFonts w:hint="eastAsia" w:ascii="宋体" w:hAnsi="宋体" w:cs="宋体"/>
          <w:color w:val="auto"/>
          <w:sz w:val="24"/>
          <w:szCs w:val="24"/>
          <w:highlight w:val="none"/>
          <w:u w:val="single"/>
        </w:rPr>
        <w:t>      </w:t>
      </w:r>
      <w:r>
        <w:rPr>
          <w:rFonts w:hint="eastAsia" w:ascii="宋体" w:hAnsi="宋体" w:cs="宋体"/>
          <w:color w:val="auto"/>
          <w:sz w:val="24"/>
          <w:szCs w:val="24"/>
          <w:highlight w:val="none"/>
        </w:rPr>
        <w:t>。</w:t>
      </w:r>
    </w:p>
    <w:p w14:paraId="3817B370">
      <w:pPr>
        <w:pStyle w:val="221"/>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1.3.“出卖人”（乙方）是指</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w:t>
      </w:r>
    </w:p>
    <w:p w14:paraId="1B39A9FB">
      <w:pPr>
        <w:pStyle w:val="221"/>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1.4.“合同”是指买卖双方签署的、载明买卖双方约定权利义务的协议，包括所有的附件、上述文件所提到的构成合同的所有文件以及日后对原合同做出的任何书面更改。</w:t>
      </w:r>
    </w:p>
    <w:p w14:paraId="7ED580BF">
      <w:pPr>
        <w:pStyle w:val="221"/>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1.5.“合同价格”是指在乙方完全和适当地履行其合同义务后，甲方根据合同规定应支付给乙方的价款。</w:t>
      </w:r>
    </w:p>
    <w:p w14:paraId="686449B3">
      <w:pPr>
        <w:pStyle w:val="221"/>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1.6.“生效日期”是指本合同</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款中所规定的合同的生效日期。</w:t>
      </w:r>
    </w:p>
    <w:p w14:paraId="4AB25F33">
      <w:pPr>
        <w:pStyle w:val="221"/>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1.7.“技术资料”是指与合同设备相关的设计、制造、监造、检验、安装、调试、验收、性能验收试验和技术指导等文件（包括图纸、各种文字说明、标准、各种软件）。</w:t>
      </w:r>
    </w:p>
    <w:p w14:paraId="76D0A4D2">
      <w:pPr>
        <w:pStyle w:val="221"/>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1.8.“合同设备”是指乙方根据合同所要供应的机器、装置、材料、物品、专用工具、备品备件和所有各种物品，如合同附件所列示和规定的。</w:t>
      </w:r>
    </w:p>
    <w:p w14:paraId="399F58CF">
      <w:pPr>
        <w:pStyle w:val="221"/>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1.9.“监造”是指在合同设备的制造过程中，由甲方和/或乙方委托的有资质的监造单位派出代表对乙方提供的合同设备的关键部分进行质量监督，实行文件见证和现场见证。此种质量监造不解除和减轻乙方对合同设备质量所负的责任。</w:t>
      </w:r>
    </w:p>
    <w:p w14:paraId="3F16D06B">
      <w:pPr>
        <w:pStyle w:val="221"/>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1.10.“初步验收”是</w:t>
      </w:r>
      <w:r>
        <w:rPr>
          <w:rFonts w:hint="eastAsia" w:ascii="宋体" w:hAnsi="宋体" w:cs="宋体"/>
          <w:color w:val="auto"/>
          <w:sz w:val="24"/>
          <w:szCs w:val="24"/>
          <w:highlight w:val="none"/>
          <w:u w:val="single"/>
        </w:rPr>
        <w:t>  由甲方规定   </w:t>
      </w:r>
      <w:r>
        <w:rPr>
          <w:rFonts w:hint="eastAsia" w:ascii="宋体" w:hAnsi="宋体" w:cs="宋体"/>
          <w:color w:val="auto"/>
          <w:sz w:val="24"/>
          <w:szCs w:val="24"/>
          <w:highlight w:val="none"/>
        </w:rPr>
        <w:t>。</w:t>
      </w:r>
    </w:p>
    <w:p w14:paraId="15063CEB">
      <w:pPr>
        <w:pStyle w:val="221"/>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1.11.“性能验收”是</w:t>
      </w:r>
      <w:r>
        <w:rPr>
          <w:rFonts w:hint="eastAsia" w:ascii="宋体" w:hAnsi="宋体" w:cs="宋体"/>
          <w:color w:val="auto"/>
          <w:sz w:val="24"/>
          <w:szCs w:val="24"/>
          <w:highlight w:val="none"/>
          <w:u w:val="single"/>
        </w:rPr>
        <w:t>  由甲方规定    </w:t>
      </w:r>
      <w:r>
        <w:rPr>
          <w:rFonts w:hint="eastAsia" w:ascii="宋体" w:hAnsi="宋体" w:cs="宋体"/>
          <w:color w:val="auto"/>
          <w:sz w:val="24"/>
          <w:szCs w:val="24"/>
          <w:highlight w:val="none"/>
        </w:rPr>
        <w:t>。</w:t>
      </w:r>
    </w:p>
    <w:p w14:paraId="6440DEE2">
      <w:pPr>
        <w:pStyle w:val="221"/>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1.12.“最终验收”是指甲方对合同设备保证期满后的验收。</w:t>
      </w:r>
    </w:p>
    <w:p w14:paraId="597A95AB">
      <w:pPr>
        <w:pStyle w:val="221"/>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1.13.“日、月、年”是指公历的日、月、年；“天”是指24小时；“周”是指7天。</w:t>
      </w:r>
    </w:p>
    <w:p w14:paraId="276AAD78">
      <w:pPr>
        <w:pStyle w:val="221"/>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1.14.“技术服务”是指由乙方提供的与本合同设备有关的工程设计、设备监造、检验、土建、安装、调试、验收、性能验收试验、运行、检修时相应的技术指导、技术配合、技术培训等全过程的服务。</w:t>
      </w:r>
    </w:p>
    <w:p w14:paraId="0F241B46">
      <w:pPr>
        <w:pStyle w:val="221"/>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1.15.“现场”是指</w:t>
      </w:r>
      <w:r>
        <w:rPr>
          <w:rFonts w:hint="eastAsia" w:ascii="宋体" w:hAnsi="宋体" w:cs="宋体"/>
          <w:color w:val="auto"/>
          <w:sz w:val="24"/>
          <w:szCs w:val="24"/>
          <w:highlight w:val="none"/>
          <w:u w:val="single"/>
        </w:rPr>
        <w:t>             </w:t>
      </w:r>
      <w:r>
        <w:rPr>
          <w:rFonts w:hint="eastAsia" w:ascii="宋体" w:hAnsi="宋体" w:cs="宋体"/>
          <w:color w:val="auto"/>
          <w:sz w:val="24"/>
          <w:szCs w:val="24"/>
          <w:highlight w:val="none"/>
        </w:rPr>
        <w:t>，为甲方安装合同设备所在地。</w:t>
      </w:r>
    </w:p>
    <w:p w14:paraId="3636008C">
      <w:pPr>
        <w:pStyle w:val="221"/>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1.16.“备品备件”是指根据本合同提供的备用部件，包括随机（商业运行前）备品备件和3年商业运行及第一次大修用备品备件。</w:t>
      </w:r>
    </w:p>
    <w:p w14:paraId="0F02FEA2">
      <w:pPr>
        <w:pStyle w:val="221"/>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1.17.“随机备品备件”是指在安装、调试、试运阶段所需的备品备件。</w:t>
      </w:r>
    </w:p>
    <w:p w14:paraId="69091E3B">
      <w:pPr>
        <w:pStyle w:val="221"/>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1.18.“分包商”或“分供货商”是指由乙方将合同供货范围内任何部分的供货分包给的其他法人及该法人的继任方和该法人允许的受让方。</w:t>
      </w:r>
    </w:p>
    <w:p w14:paraId="067821C5">
      <w:pPr>
        <w:pStyle w:val="221"/>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1.19.“监造代表”由甲方或乙方委托的监造单位派出的对合同设备进行监造的人员。</w:t>
      </w:r>
    </w:p>
    <w:p w14:paraId="3AF2AF84">
      <w:pPr>
        <w:pStyle w:val="221"/>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1.20.“设备缺陷”是指乙方因设计、制造错误或疏忽所引起的本合同设备（包括部件、原材料、铸锻件、原器件等）达不到本合同规定的性能、质量标准要求的情形。</w:t>
      </w:r>
    </w:p>
    <w:p w14:paraId="4CF72C7C">
      <w:pPr>
        <w:pStyle w:val="221"/>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1.21.“运杂费”是指合同设备从乙方始发到交货地点所发生的公路、水路、铁路、航空运费、保险费及运输过程中发生的各种费用。</w:t>
      </w:r>
    </w:p>
    <w:p w14:paraId="6695D5DD">
      <w:pPr>
        <w:pStyle w:val="221"/>
        <w:ind w:firstLine="482" w:firstLineChars="200"/>
        <w:jc w:val="left"/>
        <w:rPr>
          <w:rFonts w:ascii="宋体" w:hAnsi="宋体" w:cs="宋体"/>
          <w:b/>
          <w:bCs/>
          <w:color w:val="auto"/>
          <w:sz w:val="24"/>
          <w:szCs w:val="24"/>
          <w:highlight w:val="none"/>
        </w:rPr>
      </w:pPr>
      <w:r>
        <w:rPr>
          <w:rFonts w:hint="eastAsia" w:ascii="宋体" w:hAnsi="宋体" w:cs="宋体"/>
          <w:b/>
          <w:bCs/>
          <w:color w:val="auto"/>
          <w:sz w:val="24"/>
          <w:szCs w:val="24"/>
          <w:highlight w:val="none"/>
        </w:rPr>
        <w:t>1.22.“质保期”为设备正常运行后双方约定的期限或有关标准、规定注明的期限。</w:t>
      </w:r>
    </w:p>
    <w:p w14:paraId="3FAC159D">
      <w:pPr>
        <w:pStyle w:val="221"/>
        <w:ind w:firstLine="482" w:firstLineChars="200"/>
        <w:jc w:val="left"/>
        <w:rPr>
          <w:rFonts w:ascii="宋体" w:hAnsi="宋体" w:cs="宋体"/>
          <w:b/>
          <w:bCs/>
          <w:color w:val="auto"/>
          <w:sz w:val="24"/>
          <w:szCs w:val="24"/>
          <w:highlight w:val="none"/>
        </w:rPr>
      </w:pPr>
      <w:r>
        <w:rPr>
          <w:rFonts w:hint="eastAsia" w:ascii="宋体" w:hAnsi="宋体" w:cs="宋体"/>
          <w:b/>
          <w:bCs/>
          <w:color w:val="auto"/>
          <w:sz w:val="24"/>
          <w:szCs w:val="24"/>
          <w:highlight w:val="none"/>
        </w:rPr>
        <w:t>2.合同标的</w:t>
      </w:r>
    </w:p>
    <w:p w14:paraId="6A88549C">
      <w:pPr>
        <w:pStyle w:val="221"/>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2.1.标的、数量、价款及交（提）货时间</w:t>
      </w:r>
    </w:p>
    <w:p w14:paraId="5F7AD3DA">
      <w:pPr>
        <w:pStyle w:val="221"/>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详见附件1</w:t>
      </w:r>
    </w:p>
    <w:p w14:paraId="4CAD33D6">
      <w:pPr>
        <w:pStyle w:val="221"/>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2.2.合同供货范围包括了所有设备、技术资料、专用工具、备品备件。在本合同履行过程中如发现有任何漏项和短缺，乙方应自费在甲方要求的时间内补齐，因此造成甲方的损失，由乙方负责赔偿。</w:t>
      </w:r>
    </w:p>
    <w:p w14:paraId="75081FF5">
      <w:pPr>
        <w:pStyle w:val="221"/>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2.3.凡乙方供应的设备应是全新的、技术先进的并且是安全的、经济的、成熟可靠的。</w:t>
      </w:r>
    </w:p>
    <w:p w14:paraId="350B7ECC">
      <w:pPr>
        <w:pStyle w:val="221"/>
        <w:ind w:firstLine="482" w:firstLineChars="200"/>
        <w:jc w:val="left"/>
        <w:rPr>
          <w:rFonts w:ascii="宋体" w:hAnsi="宋体" w:cs="宋体"/>
          <w:b/>
          <w:bCs/>
          <w:color w:val="auto"/>
          <w:sz w:val="24"/>
          <w:szCs w:val="24"/>
          <w:highlight w:val="none"/>
        </w:rPr>
      </w:pPr>
      <w:r>
        <w:rPr>
          <w:rFonts w:hint="eastAsia" w:ascii="宋体" w:hAnsi="宋体" w:cs="宋体"/>
          <w:b/>
          <w:bCs/>
          <w:color w:val="auto"/>
          <w:sz w:val="24"/>
          <w:szCs w:val="24"/>
          <w:highlight w:val="none"/>
        </w:rPr>
        <w:t>2.4.乙方负责提供技术服务并提供设备的运输和保险。</w:t>
      </w:r>
    </w:p>
    <w:p w14:paraId="3A965EAD">
      <w:pPr>
        <w:pStyle w:val="221"/>
        <w:ind w:firstLine="482" w:firstLineChars="200"/>
        <w:jc w:val="left"/>
        <w:rPr>
          <w:rFonts w:ascii="宋体" w:hAnsi="宋体" w:cs="宋体"/>
          <w:b/>
          <w:bCs/>
          <w:color w:val="auto"/>
          <w:sz w:val="24"/>
          <w:szCs w:val="24"/>
          <w:highlight w:val="none"/>
        </w:rPr>
      </w:pPr>
      <w:r>
        <w:rPr>
          <w:rFonts w:hint="eastAsia" w:ascii="宋体" w:hAnsi="宋体" w:cs="宋体"/>
          <w:b/>
          <w:bCs/>
          <w:color w:val="auto"/>
          <w:sz w:val="24"/>
          <w:szCs w:val="24"/>
          <w:highlight w:val="none"/>
        </w:rPr>
        <w:t>3.合同价款</w:t>
      </w:r>
    </w:p>
    <w:p w14:paraId="596B135B">
      <w:pPr>
        <w:pStyle w:val="221"/>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3.1.本合同使用货币种类为人民币。</w:t>
      </w:r>
    </w:p>
    <w:p w14:paraId="53240DA1">
      <w:pPr>
        <w:pStyle w:val="221"/>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3.2.本合同价格包括合同设备（含备品备件、专用工具）、技术资料、技术服务等费用，还包括合同设备的税费、运杂费、保险费等与本合同有关的所有费用。</w:t>
      </w:r>
    </w:p>
    <w:p w14:paraId="10B0D565">
      <w:pPr>
        <w:pStyle w:val="221"/>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3.2.1.合同设备价格为人民币</w:t>
      </w:r>
      <w:r>
        <w:rPr>
          <w:rFonts w:hint="eastAsia" w:ascii="宋体" w:hAnsi="宋体" w:cs="宋体"/>
          <w:color w:val="auto"/>
          <w:sz w:val="24"/>
          <w:szCs w:val="24"/>
          <w:highlight w:val="none"/>
          <w:u w:val="single"/>
        </w:rPr>
        <w:t>           </w:t>
      </w:r>
      <w:r>
        <w:rPr>
          <w:rFonts w:hint="eastAsia" w:ascii="宋体" w:hAnsi="宋体" w:cs="宋体"/>
          <w:color w:val="auto"/>
          <w:sz w:val="24"/>
          <w:szCs w:val="24"/>
          <w:highlight w:val="none"/>
        </w:rPr>
        <w:t>元。</w:t>
      </w:r>
    </w:p>
    <w:p w14:paraId="6AF413F4">
      <w:pPr>
        <w:pStyle w:val="221"/>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本合同设备价格包括与设备有关的技术资料费、乙方所应交纳的税费、从制造厂到始发站（车上）的运输、装卸、保险费及所有设备包装费。</w:t>
      </w:r>
    </w:p>
    <w:p w14:paraId="404A2C47">
      <w:pPr>
        <w:pStyle w:val="221"/>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3.2.2.合同设备的技术服务费为人民币</w:t>
      </w:r>
      <w:r>
        <w:rPr>
          <w:rFonts w:hint="eastAsia" w:ascii="宋体" w:hAnsi="宋体" w:cs="宋体"/>
          <w:color w:val="auto"/>
          <w:sz w:val="24"/>
          <w:szCs w:val="24"/>
          <w:highlight w:val="none"/>
          <w:u w:val="single"/>
        </w:rPr>
        <w:t>         </w:t>
      </w:r>
      <w:r>
        <w:rPr>
          <w:rFonts w:hint="eastAsia" w:ascii="宋体" w:hAnsi="宋体" w:cs="宋体"/>
          <w:color w:val="auto"/>
          <w:sz w:val="24"/>
          <w:szCs w:val="24"/>
          <w:highlight w:val="none"/>
        </w:rPr>
        <w:t>元。</w:t>
      </w:r>
    </w:p>
    <w:p w14:paraId="2445833E">
      <w:pPr>
        <w:pStyle w:val="221"/>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3.2.3.合同设备从始发站到现场交货点的运杂费为人民币</w:t>
      </w:r>
      <w:r>
        <w:rPr>
          <w:rFonts w:hint="eastAsia" w:ascii="宋体" w:hAnsi="宋体" w:cs="宋体"/>
          <w:color w:val="auto"/>
          <w:sz w:val="24"/>
          <w:szCs w:val="24"/>
          <w:highlight w:val="none"/>
          <w:u w:val="single"/>
        </w:rPr>
        <w:t>        </w:t>
      </w:r>
      <w:r>
        <w:rPr>
          <w:rFonts w:hint="eastAsia" w:ascii="宋体" w:hAnsi="宋体" w:cs="宋体"/>
          <w:color w:val="auto"/>
          <w:sz w:val="24"/>
          <w:szCs w:val="24"/>
          <w:highlight w:val="none"/>
        </w:rPr>
        <w:t>元。</w:t>
      </w:r>
    </w:p>
    <w:p w14:paraId="14213573">
      <w:pPr>
        <w:pStyle w:val="221"/>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3.3.合同的分项价格见附件</w:t>
      </w:r>
      <w:r>
        <w:rPr>
          <w:rFonts w:hint="eastAsia" w:ascii="宋体" w:hAnsi="宋体" w:cs="宋体"/>
          <w:color w:val="auto"/>
          <w:sz w:val="24"/>
          <w:szCs w:val="24"/>
          <w:highlight w:val="none"/>
          <w:u w:val="single"/>
        </w:rPr>
        <w:t>        </w:t>
      </w:r>
      <w:r>
        <w:rPr>
          <w:rFonts w:hint="eastAsia" w:ascii="宋体" w:hAnsi="宋体" w:cs="宋体"/>
          <w:color w:val="auto"/>
          <w:sz w:val="24"/>
          <w:szCs w:val="24"/>
          <w:highlight w:val="none"/>
        </w:rPr>
        <w:t>。</w:t>
      </w:r>
    </w:p>
    <w:p w14:paraId="17D33E8B">
      <w:pPr>
        <w:pStyle w:val="221"/>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3.4.本合同价款在合同履行期限内为不变价。</w:t>
      </w:r>
    </w:p>
    <w:p w14:paraId="377AEF6F">
      <w:pPr>
        <w:pStyle w:val="221"/>
        <w:ind w:firstLine="482" w:firstLineChars="200"/>
        <w:jc w:val="left"/>
        <w:rPr>
          <w:rFonts w:ascii="宋体" w:hAnsi="宋体" w:cs="宋体"/>
          <w:b/>
          <w:bCs/>
          <w:color w:val="auto"/>
          <w:sz w:val="24"/>
          <w:szCs w:val="24"/>
          <w:highlight w:val="none"/>
        </w:rPr>
      </w:pPr>
      <w:r>
        <w:rPr>
          <w:rFonts w:hint="eastAsia" w:ascii="宋体" w:hAnsi="宋体" w:cs="宋体"/>
          <w:b/>
          <w:bCs/>
          <w:color w:val="auto"/>
          <w:sz w:val="24"/>
          <w:szCs w:val="24"/>
          <w:highlight w:val="none"/>
        </w:rPr>
        <w:t>4.付款</w:t>
      </w:r>
    </w:p>
    <w:p w14:paraId="0658D0D6">
      <w:pPr>
        <w:pStyle w:val="221"/>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4.1.付款方式：</w:t>
      </w:r>
      <w:r>
        <w:rPr>
          <w:rFonts w:hint="eastAsia" w:ascii="宋体" w:hAnsi="宋体" w:cs="宋体"/>
          <w:color w:val="auto"/>
          <w:sz w:val="24"/>
          <w:szCs w:val="24"/>
          <w:highlight w:val="none"/>
          <w:u w:val="single"/>
        </w:rPr>
        <w:t>            </w:t>
      </w:r>
      <w:r>
        <w:rPr>
          <w:rFonts w:hint="eastAsia" w:ascii="宋体" w:hAnsi="宋体" w:cs="宋体"/>
          <w:color w:val="auto"/>
          <w:sz w:val="24"/>
          <w:szCs w:val="24"/>
          <w:highlight w:val="none"/>
        </w:rPr>
        <w:t>。</w:t>
      </w:r>
    </w:p>
    <w:p w14:paraId="2B7EA962">
      <w:pPr>
        <w:pStyle w:val="221"/>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4.2.合同款项的支付</w:t>
      </w:r>
    </w:p>
    <w:p w14:paraId="5E9456B7">
      <w:pPr>
        <w:pStyle w:val="221"/>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4.2.1.</w:t>
      </w:r>
      <w:r>
        <w:rPr>
          <w:rFonts w:hint="eastAsia" w:ascii="宋体" w:hAnsi="宋体" w:cs="宋体"/>
          <w:b w:val="0"/>
          <w:bCs w:val="0"/>
          <w:color w:val="auto"/>
          <w:sz w:val="24"/>
        </w:rPr>
        <w:t>合同签订后，供货方先向采购方开具符合采购方财务需要的等额增值税普通发票。甲方收到上述发票后 7 日内，向供货方支付 50%合同额。系统和各类设施设备到货、调试完毕并验收合格，经采购方确认能够正常使用且内容、质量无误之后，支付剩余合同金额50%。</w:t>
      </w:r>
    </w:p>
    <w:p w14:paraId="59F36678">
      <w:pPr>
        <w:pStyle w:val="221"/>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4.3.主要分包和外购设备的付款。</w:t>
      </w:r>
    </w:p>
    <w:p w14:paraId="134803BC">
      <w:pPr>
        <w:pStyle w:val="221"/>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4.3.1.由于甲方与合同分包商和外购设备供货商没有直接的合同关系，本合同设备的分包和外购设备的付款由乙方负责。如非因甲方原因，发生导致分包和外购设备有可能不被按时交货，甲方有权暂时终止向乙方付款，直至交货后继续履行付款义务。因此影响整个设备安装进度的，由乙方承担甲方受到的损失。</w:t>
      </w:r>
    </w:p>
    <w:p w14:paraId="1A758E71">
      <w:pPr>
        <w:pStyle w:val="221"/>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4.3.2.如因乙方资金问题，未向分包商或外购设备供货商付款，导致超过</w:t>
      </w:r>
      <w:r>
        <w:rPr>
          <w:rFonts w:hint="eastAsia" w:ascii="宋体" w:hAnsi="宋体" w:cs="宋体"/>
          <w:color w:val="auto"/>
          <w:sz w:val="24"/>
          <w:szCs w:val="24"/>
          <w:highlight w:val="none"/>
          <w:u w:val="single"/>
        </w:rPr>
        <w:t> </w:t>
      </w:r>
      <w:r>
        <w:rPr>
          <w:rFonts w:hint="eastAsia" w:ascii="宋体" w:hAnsi="宋体" w:cs="宋体"/>
          <w:color w:val="auto"/>
          <w:sz w:val="24"/>
          <w:szCs w:val="24"/>
          <w:highlight w:val="none"/>
        </w:rPr>
        <w:t>天仍不能交货，甲方出于保障工程进度的目的，有权直接向分包商或外购设备供货商付款，此付款及相应利息（甲方存款利息）将从下一笔甲方向乙方的付款中扣除。甲方此付款行为不免除乙方对设备所承担的义务。甲方此行为不属于违约行为。</w:t>
      </w:r>
    </w:p>
    <w:p w14:paraId="7A9A6383">
      <w:pPr>
        <w:pStyle w:val="221"/>
        <w:ind w:firstLine="482" w:firstLineChars="200"/>
        <w:jc w:val="left"/>
        <w:rPr>
          <w:rFonts w:ascii="宋体" w:hAnsi="宋体" w:cs="宋体"/>
          <w:b/>
          <w:bCs/>
          <w:color w:val="auto"/>
          <w:sz w:val="24"/>
          <w:szCs w:val="24"/>
          <w:highlight w:val="none"/>
        </w:rPr>
      </w:pPr>
      <w:r>
        <w:rPr>
          <w:rFonts w:hint="eastAsia" w:ascii="宋体" w:hAnsi="宋体" w:cs="宋体"/>
          <w:b/>
          <w:bCs/>
          <w:color w:val="auto"/>
          <w:sz w:val="24"/>
          <w:szCs w:val="24"/>
          <w:highlight w:val="none"/>
        </w:rPr>
        <w:t>5.交付和运输</w:t>
      </w:r>
    </w:p>
    <w:p w14:paraId="7C4C697F">
      <w:pPr>
        <w:pStyle w:val="221"/>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5.1.交货时间</w:t>
      </w:r>
    </w:p>
    <w:p w14:paraId="3495ABA5">
      <w:pPr>
        <w:pStyle w:val="221"/>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5.1.1.本合同设备的交货期及交货顺序应满足工程建设设备安装进度和顺序的要求。具体交货时间见附件</w:t>
      </w:r>
      <w:r>
        <w:rPr>
          <w:rFonts w:hint="eastAsia" w:ascii="宋体" w:hAnsi="宋体" w:cs="宋体"/>
          <w:color w:val="auto"/>
          <w:sz w:val="24"/>
          <w:szCs w:val="24"/>
          <w:highlight w:val="none"/>
          <w:u w:val="single"/>
        </w:rPr>
        <w:t>         </w:t>
      </w:r>
      <w:r>
        <w:rPr>
          <w:rFonts w:hint="eastAsia" w:ascii="宋体" w:hAnsi="宋体" w:cs="宋体"/>
          <w:color w:val="auto"/>
          <w:sz w:val="24"/>
          <w:szCs w:val="24"/>
          <w:highlight w:val="none"/>
        </w:rPr>
        <w:t>。</w:t>
      </w:r>
    </w:p>
    <w:p w14:paraId="4B52A5F8">
      <w:pPr>
        <w:pStyle w:val="221"/>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5.1.2.甲方保留随时调整交货日期的权利，如甲方要求推迟交货，则乙方应无条件答应并保管好合同设备，若推迟</w:t>
      </w:r>
      <w:r>
        <w:rPr>
          <w:rFonts w:hint="eastAsia" w:ascii="宋体" w:hAnsi="宋体" w:cs="宋体"/>
          <w:color w:val="auto"/>
          <w:sz w:val="24"/>
          <w:szCs w:val="24"/>
          <w:highlight w:val="none"/>
          <w:u w:val="single"/>
        </w:rPr>
        <w:t>           </w:t>
      </w:r>
      <w:r>
        <w:rPr>
          <w:rFonts w:hint="eastAsia" w:ascii="宋体" w:hAnsi="宋体" w:cs="宋体"/>
          <w:color w:val="auto"/>
          <w:sz w:val="24"/>
          <w:szCs w:val="24"/>
          <w:highlight w:val="none"/>
        </w:rPr>
        <w:t>日以上交货，甲方承担相应仓储费。如甲方要求提前交货，要根据乙方的合理生产周期。</w:t>
      </w:r>
    </w:p>
    <w:p w14:paraId="5E4DE2ED">
      <w:pPr>
        <w:pStyle w:val="221"/>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5.1.3.设备的交货以到现场后甲方签认的交接单为准。</w:t>
      </w:r>
    </w:p>
    <w:p w14:paraId="54D76467">
      <w:pPr>
        <w:pStyle w:val="221"/>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5.2.交货地点</w:t>
      </w:r>
    </w:p>
    <w:p w14:paraId="2C396350">
      <w:pPr>
        <w:pStyle w:val="221"/>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甲方指定地点：</w:t>
      </w:r>
      <w:r>
        <w:rPr>
          <w:rFonts w:hint="eastAsia" w:ascii="宋体" w:hAnsi="宋体" w:cs="宋体"/>
          <w:color w:val="auto"/>
          <w:sz w:val="24"/>
          <w:szCs w:val="24"/>
          <w:highlight w:val="none"/>
          <w:u w:val="single"/>
        </w:rPr>
        <w:t>               </w:t>
      </w:r>
      <w:r>
        <w:rPr>
          <w:rFonts w:hint="eastAsia" w:ascii="宋体" w:hAnsi="宋体" w:cs="宋体"/>
          <w:color w:val="auto"/>
          <w:sz w:val="24"/>
          <w:szCs w:val="24"/>
          <w:highlight w:val="none"/>
        </w:rPr>
        <w:t>。合同设备所有权自合同设备交付时起由乙方转移给甲方。合同设备毁损、灭失的风险，在合同设备交付之前由乙方承担，交付之后由甲方承担。</w:t>
      </w:r>
    </w:p>
    <w:p w14:paraId="35BFE3FC">
      <w:pPr>
        <w:pStyle w:val="221"/>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5.3.乙方须向承运部门办理申请发运设备所需要的运输工具计划，负责合同设备从乙方到现场交货地点的运输。</w:t>
      </w:r>
    </w:p>
    <w:p w14:paraId="36B7ADE8">
      <w:pPr>
        <w:pStyle w:val="221"/>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5.4.合同生效后</w:t>
      </w:r>
      <w:r>
        <w:rPr>
          <w:rFonts w:hint="eastAsia" w:ascii="宋体" w:hAnsi="宋体" w:cs="宋体"/>
          <w:color w:val="auto"/>
          <w:sz w:val="24"/>
          <w:szCs w:val="24"/>
          <w:highlight w:val="none"/>
          <w:u w:val="single"/>
        </w:rPr>
        <w:t>            </w:t>
      </w:r>
      <w:r>
        <w:rPr>
          <w:rFonts w:hint="eastAsia" w:ascii="宋体" w:hAnsi="宋体" w:cs="宋体"/>
          <w:color w:val="auto"/>
          <w:sz w:val="24"/>
          <w:szCs w:val="24"/>
          <w:highlight w:val="none"/>
        </w:rPr>
        <w:t>日内乙方应按照本合同附件</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的规定向甲方提供本合同项下的货物总清单和装箱总清单及每批货物名称、总重量、总体积和交货日期的初步交货计划。在每批货物预计启运前</w:t>
      </w:r>
      <w:r>
        <w:rPr>
          <w:rFonts w:hint="eastAsia" w:ascii="宋体" w:hAnsi="宋体" w:cs="宋体"/>
          <w:color w:val="auto"/>
          <w:sz w:val="24"/>
          <w:szCs w:val="24"/>
          <w:highlight w:val="none"/>
          <w:u w:val="single"/>
        </w:rPr>
        <w:t>      </w:t>
      </w:r>
      <w:r>
        <w:rPr>
          <w:rFonts w:hint="eastAsia" w:ascii="宋体" w:hAnsi="宋体" w:cs="宋体"/>
          <w:color w:val="auto"/>
          <w:sz w:val="24"/>
          <w:szCs w:val="24"/>
          <w:highlight w:val="none"/>
        </w:rPr>
        <w:t>日，乙方应以书面文件将运输方式及5.5款中的各项内容通知甲方。</w:t>
      </w:r>
    </w:p>
    <w:p w14:paraId="29C83866">
      <w:pPr>
        <w:pStyle w:val="221"/>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5.5.在每批货物备妥及装运车辆／船发出</w:t>
      </w:r>
      <w:r>
        <w:rPr>
          <w:rFonts w:hint="eastAsia" w:ascii="宋体" w:hAnsi="宋体" w:cs="宋体"/>
          <w:color w:val="auto"/>
          <w:sz w:val="24"/>
          <w:szCs w:val="24"/>
          <w:highlight w:val="none"/>
          <w:u w:val="single"/>
        </w:rPr>
        <w:t>        </w:t>
      </w:r>
      <w:r>
        <w:rPr>
          <w:rFonts w:hint="eastAsia" w:ascii="宋体" w:hAnsi="宋体" w:cs="宋体"/>
          <w:color w:val="auto"/>
          <w:sz w:val="24"/>
          <w:szCs w:val="24"/>
          <w:highlight w:val="none"/>
        </w:rPr>
        <w:t>小时内，乙方应书面将该批货物的如下内容通知甲方。通知内容包括：</w:t>
      </w:r>
    </w:p>
    <w:p w14:paraId="34B591FD">
      <w:pPr>
        <w:pStyle w:val="221"/>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（1）合同号；</w:t>
      </w:r>
    </w:p>
    <w:p w14:paraId="2A1B5698">
      <w:pPr>
        <w:pStyle w:val="221"/>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（2）机组号；</w:t>
      </w:r>
    </w:p>
    <w:p w14:paraId="473C5A6A">
      <w:pPr>
        <w:pStyle w:val="221"/>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（3）货物备妥发运日；</w:t>
      </w:r>
    </w:p>
    <w:p w14:paraId="422FA5D8">
      <w:pPr>
        <w:pStyle w:val="221"/>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（4）货物名称及编号和价格；</w:t>
      </w:r>
    </w:p>
    <w:p w14:paraId="4C4FF659">
      <w:pPr>
        <w:pStyle w:val="221"/>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（5）货物总毛重；</w:t>
      </w:r>
    </w:p>
    <w:p w14:paraId="0910110C">
      <w:pPr>
        <w:pStyle w:val="221"/>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（6）货物总体积；</w:t>
      </w:r>
    </w:p>
    <w:p w14:paraId="1E9D020B">
      <w:pPr>
        <w:pStyle w:val="221"/>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（7）总包装件数；</w:t>
      </w:r>
    </w:p>
    <w:p w14:paraId="2CDD2C2B">
      <w:pPr>
        <w:pStyle w:val="221"/>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（8）交运车站／码头名称、车号／船号和运单号。</w:t>
      </w:r>
    </w:p>
    <w:p w14:paraId="3113E3E2">
      <w:pPr>
        <w:pStyle w:val="221"/>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5.5.1.重量超过二十吨或尺寸超过9米×3米×3米的每件货物的名称、重量、体积和件数。对每件该类设备（部件）必须标明重心和吊点位置，并附有草图。</w:t>
      </w:r>
    </w:p>
    <w:p w14:paraId="0DD2E287">
      <w:pPr>
        <w:pStyle w:val="221"/>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5.5.2.对于特殊物品（易燃、易爆、有毒物品及其他危险品和运输过程中对温度等环境因素和震动有特殊要求的设备或物品）必须特别标明其品名、性质、特殊保护措施、保存方法以及处理意外情况的方法。</w:t>
      </w:r>
    </w:p>
    <w:p w14:paraId="0A6E79AB">
      <w:pPr>
        <w:pStyle w:val="221"/>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5.6.在质保期内和在质保期满后至第一次大修时止由于乙方的过失或疏忽造成的供应设备（或部件）的损坏或潜在缺陷，而动用了甲方库存中的备品备件以调换损坏的设备或部件，则乙方应负责免费将动用的备品备件</w:t>
      </w:r>
      <w:r>
        <w:rPr>
          <w:rFonts w:hint="eastAsia" w:ascii="宋体" w:hAnsi="宋体" w:cs="宋体"/>
          <w:color w:val="auto"/>
          <w:sz w:val="24"/>
          <w:szCs w:val="24"/>
          <w:highlight w:val="none"/>
          <w:u w:val="single"/>
        </w:rPr>
        <w:t>        </w:t>
      </w:r>
      <w:r>
        <w:rPr>
          <w:rFonts w:hint="eastAsia" w:ascii="宋体" w:hAnsi="宋体" w:cs="宋体"/>
          <w:color w:val="auto"/>
          <w:sz w:val="24"/>
          <w:szCs w:val="24"/>
          <w:highlight w:val="none"/>
        </w:rPr>
        <w:t>日内补齐，交付该等备品备件前应通知甲方。</w:t>
      </w:r>
    </w:p>
    <w:p w14:paraId="0DAF1908">
      <w:pPr>
        <w:pStyle w:val="221"/>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5.7.乙方应按附件</w:t>
      </w:r>
      <w:r>
        <w:rPr>
          <w:rFonts w:hint="eastAsia" w:ascii="宋体" w:hAnsi="宋体" w:cs="宋体"/>
          <w:color w:val="auto"/>
          <w:sz w:val="24"/>
          <w:szCs w:val="24"/>
          <w:highlight w:val="none"/>
          <w:u w:val="single"/>
        </w:rPr>
        <w:t>    </w:t>
      </w:r>
      <w:r>
        <w:rPr>
          <w:rFonts w:hint="eastAsia" w:ascii="宋体" w:hAnsi="宋体" w:cs="宋体"/>
          <w:color w:val="auto"/>
          <w:sz w:val="24"/>
          <w:szCs w:val="24"/>
          <w:highlight w:val="none"/>
        </w:rPr>
        <w:t>的规定的交付进度和交付数量向甲方提供设备设计、监造、施工、调试、试验、检验、培训、运行和维修所需的技术资料。所有乙方提供的技术资料均应符合双方共同确定的</w:t>
      </w:r>
      <w:r>
        <w:rPr>
          <w:rFonts w:hint="eastAsia" w:ascii="宋体" w:hAnsi="宋体" w:cs="宋体"/>
          <w:color w:val="auto"/>
          <w:sz w:val="24"/>
          <w:szCs w:val="24"/>
          <w:highlight w:val="none"/>
          <w:u w:val="single"/>
        </w:rPr>
        <w:t>        </w:t>
      </w:r>
      <w:r>
        <w:rPr>
          <w:rFonts w:hint="eastAsia" w:ascii="宋体" w:hAnsi="宋体" w:cs="宋体"/>
          <w:color w:val="auto"/>
          <w:sz w:val="24"/>
          <w:szCs w:val="24"/>
          <w:highlight w:val="none"/>
        </w:rPr>
        <w:t>标准。</w:t>
      </w:r>
    </w:p>
    <w:p w14:paraId="149FF490">
      <w:pPr>
        <w:pStyle w:val="221"/>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5.8.技术资料一般以邮寄方式递交，每批技术资料交邮后，乙方应在</w:t>
      </w:r>
      <w:r>
        <w:rPr>
          <w:rFonts w:hint="eastAsia" w:ascii="宋体" w:hAnsi="宋体" w:cs="宋体"/>
          <w:color w:val="auto"/>
          <w:sz w:val="24"/>
          <w:szCs w:val="24"/>
          <w:highlight w:val="none"/>
          <w:u w:val="single"/>
        </w:rPr>
        <w:t>    </w:t>
      </w:r>
      <w:r>
        <w:rPr>
          <w:rFonts w:hint="eastAsia" w:ascii="宋体" w:hAnsi="宋体" w:cs="宋体"/>
          <w:color w:val="auto"/>
          <w:sz w:val="24"/>
          <w:szCs w:val="24"/>
          <w:highlight w:val="none"/>
        </w:rPr>
        <w:t>小时内将技术资料的交邮日期、邮单号、技术资料的详细清单、件数及重量、合同号等以传真或电报通知甲方。</w:t>
      </w:r>
    </w:p>
    <w:p w14:paraId="62A153E1">
      <w:pPr>
        <w:pStyle w:val="221"/>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5.9.技术资料以邮政部门提货通知单时间戳记为技术资料的实际交付日期。如果技术资料经甲方或甲方代表检查后发现有缺少、丢失或损坏，且非因甲方原因，乙方应在收到甲方通知后</w:t>
      </w:r>
      <w:r>
        <w:rPr>
          <w:rFonts w:hint="eastAsia" w:ascii="宋体" w:hAnsi="宋体" w:cs="宋体"/>
          <w:color w:val="auto"/>
          <w:sz w:val="24"/>
          <w:szCs w:val="24"/>
          <w:highlight w:val="none"/>
          <w:u w:val="single"/>
        </w:rPr>
        <w:t>    </w:t>
      </w:r>
      <w:r>
        <w:rPr>
          <w:rFonts w:hint="eastAsia" w:ascii="宋体" w:hAnsi="宋体" w:cs="宋体"/>
          <w:color w:val="auto"/>
          <w:sz w:val="24"/>
          <w:szCs w:val="24"/>
          <w:highlight w:val="none"/>
        </w:rPr>
        <w:t>日内（对急用者应在</w:t>
      </w:r>
      <w:r>
        <w:rPr>
          <w:rFonts w:hint="eastAsia" w:ascii="宋体" w:hAnsi="宋体" w:cs="宋体"/>
          <w:color w:val="auto"/>
          <w:sz w:val="24"/>
          <w:szCs w:val="24"/>
          <w:highlight w:val="none"/>
          <w:u w:val="single"/>
        </w:rPr>
        <w:t>    </w:t>
      </w:r>
      <w:r>
        <w:rPr>
          <w:rFonts w:hint="eastAsia" w:ascii="宋体" w:hAnsi="宋体" w:cs="宋体"/>
          <w:color w:val="auto"/>
          <w:sz w:val="24"/>
          <w:szCs w:val="24"/>
          <w:highlight w:val="none"/>
        </w:rPr>
        <w:t>日内）免费向现场补充提供缺少、丢失或损坏的技术资料。如因甲方原因发生缺少、丢失或损坏，乙方应在接到甲方通知后</w:t>
      </w:r>
      <w:r>
        <w:rPr>
          <w:rFonts w:hint="eastAsia" w:ascii="宋体" w:hAnsi="宋体" w:cs="宋体"/>
          <w:color w:val="auto"/>
          <w:sz w:val="24"/>
          <w:szCs w:val="24"/>
          <w:highlight w:val="none"/>
          <w:u w:val="single"/>
        </w:rPr>
        <w:t>    </w:t>
      </w:r>
      <w:r>
        <w:rPr>
          <w:rFonts w:hint="eastAsia" w:ascii="宋体" w:hAnsi="宋体" w:cs="宋体"/>
          <w:color w:val="auto"/>
          <w:sz w:val="24"/>
          <w:szCs w:val="24"/>
          <w:highlight w:val="none"/>
        </w:rPr>
        <w:t>天内（对急用者应在</w:t>
      </w:r>
      <w:r>
        <w:rPr>
          <w:rFonts w:hint="eastAsia" w:ascii="宋体" w:hAnsi="宋体" w:cs="宋体"/>
          <w:color w:val="auto"/>
          <w:sz w:val="24"/>
          <w:szCs w:val="24"/>
          <w:highlight w:val="none"/>
          <w:u w:val="single"/>
        </w:rPr>
        <w:t>    </w:t>
      </w:r>
      <w:r>
        <w:rPr>
          <w:rFonts w:hint="eastAsia" w:ascii="宋体" w:hAnsi="宋体" w:cs="宋体"/>
          <w:color w:val="auto"/>
          <w:sz w:val="24"/>
          <w:szCs w:val="24"/>
          <w:highlight w:val="none"/>
        </w:rPr>
        <w:t>天内），向现场补充提供缺少、丢失或损坏部分，费用由甲方承担。</w:t>
      </w:r>
    </w:p>
    <w:p w14:paraId="25FC0118">
      <w:pPr>
        <w:pStyle w:val="221"/>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5.10.技术资料邮寄地址。</w:t>
      </w:r>
    </w:p>
    <w:p w14:paraId="471CAED1">
      <w:pPr>
        <w:pStyle w:val="221"/>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邮编：</w:t>
      </w:r>
      <w:r>
        <w:rPr>
          <w:rFonts w:hint="eastAsia" w:ascii="宋体" w:hAnsi="宋体" w:cs="宋体"/>
          <w:color w:val="auto"/>
          <w:sz w:val="24"/>
          <w:szCs w:val="24"/>
          <w:highlight w:val="none"/>
          <w:u w:val="single"/>
        </w:rPr>
        <w:t>                       </w:t>
      </w:r>
      <w:r>
        <w:rPr>
          <w:rFonts w:hint="eastAsia" w:ascii="宋体" w:hAnsi="宋体" w:cs="宋体"/>
          <w:color w:val="auto"/>
          <w:sz w:val="24"/>
          <w:szCs w:val="24"/>
          <w:highlight w:val="none"/>
        </w:rPr>
        <w:t>。</w:t>
      </w:r>
    </w:p>
    <w:p w14:paraId="2E07D4FF">
      <w:pPr>
        <w:pStyle w:val="221"/>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联系人：</w:t>
      </w:r>
      <w:r>
        <w:rPr>
          <w:rFonts w:hint="eastAsia" w:ascii="宋体" w:hAnsi="宋体" w:cs="宋体"/>
          <w:color w:val="auto"/>
          <w:sz w:val="24"/>
          <w:szCs w:val="24"/>
          <w:highlight w:val="none"/>
          <w:u w:val="single"/>
        </w:rPr>
        <w:t>                            </w:t>
      </w:r>
      <w:r>
        <w:rPr>
          <w:rFonts w:hint="eastAsia" w:ascii="宋体" w:hAnsi="宋体" w:cs="宋体"/>
          <w:color w:val="auto"/>
          <w:sz w:val="24"/>
          <w:szCs w:val="24"/>
          <w:highlight w:val="none"/>
        </w:rPr>
        <w:t>。</w:t>
      </w:r>
    </w:p>
    <w:p w14:paraId="471B53D9">
      <w:pPr>
        <w:pStyle w:val="221"/>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电话：</w:t>
      </w:r>
      <w:r>
        <w:rPr>
          <w:rFonts w:hint="eastAsia" w:ascii="宋体" w:hAnsi="宋体" w:cs="宋体"/>
          <w:color w:val="auto"/>
          <w:sz w:val="24"/>
          <w:szCs w:val="24"/>
          <w:highlight w:val="none"/>
          <w:u w:val="single"/>
        </w:rPr>
        <w:t>                            </w:t>
      </w:r>
      <w:r>
        <w:rPr>
          <w:rFonts w:hint="eastAsia" w:ascii="宋体" w:hAnsi="宋体" w:cs="宋体"/>
          <w:color w:val="auto"/>
          <w:sz w:val="24"/>
          <w:szCs w:val="24"/>
          <w:highlight w:val="none"/>
        </w:rPr>
        <w:t>。</w:t>
      </w:r>
    </w:p>
    <w:p w14:paraId="6D7B2B46">
      <w:pPr>
        <w:pStyle w:val="221"/>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传真： </w:t>
      </w:r>
      <w:r>
        <w:rPr>
          <w:rFonts w:hint="eastAsia" w:ascii="宋体" w:hAnsi="宋体" w:cs="宋体"/>
          <w:color w:val="auto"/>
          <w:sz w:val="24"/>
          <w:szCs w:val="24"/>
          <w:highlight w:val="none"/>
          <w:u w:val="single"/>
        </w:rPr>
        <w:t>                           </w:t>
      </w:r>
      <w:r>
        <w:rPr>
          <w:rFonts w:hint="eastAsia" w:ascii="宋体" w:hAnsi="宋体" w:cs="宋体"/>
          <w:color w:val="auto"/>
          <w:sz w:val="24"/>
          <w:szCs w:val="24"/>
          <w:highlight w:val="none"/>
        </w:rPr>
        <w:t>。</w:t>
      </w:r>
    </w:p>
    <w:p w14:paraId="4AE6C62D">
      <w:pPr>
        <w:pStyle w:val="221"/>
        <w:ind w:firstLine="482" w:firstLineChars="200"/>
        <w:jc w:val="left"/>
        <w:rPr>
          <w:rFonts w:ascii="宋体" w:hAnsi="宋体" w:cs="宋体"/>
          <w:b/>
          <w:bCs/>
          <w:color w:val="auto"/>
          <w:sz w:val="24"/>
          <w:szCs w:val="24"/>
          <w:highlight w:val="none"/>
        </w:rPr>
      </w:pPr>
      <w:r>
        <w:rPr>
          <w:rFonts w:hint="eastAsia" w:ascii="宋体" w:hAnsi="宋体" w:cs="宋体"/>
          <w:b/>
          <w:bCs/>
          <w:color w:val="auto"/>
          <w:sz w:val="24"/>
          <w:szCs w:val="24"/>
          <w:highlight w:val="none"/>
        </w:rPr>
        <w:t>6.包装与标记</w:t>
      </w:r>
    </w:p>
    <w:p w14:paraId="298166C5">
      <w:pPr>
        <w:pStyle w:val="221"/>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6.1.乙方交付的所有货物要符合</w:t>
      </w:r>
      <w:r>
        <w:rPr>
          <w:rFonts w:hint="eastAsia" w:ascii="宋体" w:hAnsi="宋体" w:cs="宋体"/>
          <w:color w:val="auto"/>
          <w:sz w:val="24"/>
          <w:szCs w:val="24"/>
          <w:highlight w:val="none"/>
          <w:u w:val="single"/>
        </w:rPr>
        <w:t>        </w:t>
      </w:r>
      <w:r>
        <w:rPr>
          <w:rFonts w:hint="eastAsia" w:ascii="宋体" w:hAnsi="宋体" w:cs="宋体"/>
          <w:color w:val="auto"/>
          <w:sz w:val="24"/>
          <w:szCs w:val="24"/>
          <w:highlight w:val="none"/>
        </w:rPr>
        <w:t>的规定且适合长途运输、多次搬运和装卸的坚固包装。包装应保证在运输、装卸过程中完好无损，并有减振、防冲击的措施。包装应按设备特点，按需要分别加上防潮、防霉、防锈、防腐蚀的保护措施，以保证货物在没有任何损坏和腐蚀的情况下安全运抵合同设备安装现场。若包装无法防止运输、装卸过程中垂直、水平加速度引起的设备损坏，乙方要在设备的设计结构上予以解决。产品包装前，乙方负责按部套进行检查清理，不留异物，并保证零部件齐全。</w:t>
      </w:r>
    </w:p>
    <w:p w14:paraId="23665879">
      <w:pPr>
        <w:pStyle w:val="221"/>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6.2.乙方对各散装部件在装配图中的部件号、零件号应标记清楚。</w:t>
      </w:r>
    </w:p>
    <w:p w14:paraId="0A157683">
      <w:pPr>
        <w:pStyle w:val="221"/>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6.3.乙方应在每件包装箱的两个侧面上，用不褪色的油漆以明显易见的中文字样印刷以下标记。</w:t>
      </w:r>
    </w:p>
    <w:p w14:paraId="31851403">
      <w:pPr>
        <w:pStyle w:val="221"/>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（1）合同号；</w:t>
      </w:r>
    </w:p>
    <w:p w14:paraId="02E3E67B">
      <w:pPr>
        <w:pStyle w:val="221"/>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（2）目的站／码头；</w:t>
      </w:r>
    </w:p>
    <w:p w14:paraId="2691987B">
      <w:pPr>
        <w:pStyle w:val="221"/>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（3）供货、收货单位名称；</w:t>
      </w:r>
    </w:p>
    <w:p w14:paraId="2B7872CA">
      <w:pPr>
        <w:pStyle w:val="221"/>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（4）设备名称、机组号、图号；</w:t>
      </w:r>
    </w:p>
    <w:p w14:paraId="425D9881">
      <w:pPr>
        <w:pStyle w:val="221"/>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（5）箱号／件号；</w:t>
      </w:r>
    </w:p>
    <w:p w14:paraId="24C54943">
      <w:pPr>
        <w:pStyle w:val="221"/>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（6）毛重／净重（公斤）；</w:t>
      </w:r>
    </w:p>
    <w:p w14:paraId="34CCFB7C">
      <w:pPr>
        <w:pStyle w:val="221"/>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（7）体积（长×宽×高，以毫米表示）。</w:t>
      </w:r>
    </w:p>
    <w:p w14:paraId="081C9AE6">
      <w:pPr>
        <w:pStyle w:val="221"/>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凡重量为二吨或超过二吨的货物，应在包装箱的侧面以运输常用的标记和图案标明重心位置及起吊点，以便于装卸搬运。按照货物的特点，装卸和运输上的不同要求，包装箱上应明显地印刷有“轻放”“勿倒置”和“防雨”等字样。</w:t>
      </w:r>
    </w:p>
    <w:p w14:paraId="1816CB37">
      <w:pPr>
        <w:pStyle w:val="221"/>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6.4.对裸装货物应以金属标签或直接在设备本身上注明上述有关内容。大件货物应带有足够的货物支架或包装垫木。</w:t>
      </w:r>
    </w:p>
    <w:p w14:paraId="0325069E">
      <w:pPr>
        <w:pStyle w:val="221"/>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6.5.备品备件应分别包装并按6.2款注明上述内容，专用工具也应分别包装。</w:t>
      </w:r>
    </w:p>
    <w:p w14:paraId="713320F3">
      <w:pPr>
        <w:pStyle w:val="221"/>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6.6.各种设备的松散零星部件应采用好的包装方式，装入尺寸适当的箱内，并尽可能整车发运以减少运输费用。</w:t>
      </w:r>
    </w:p>
    <w:p w14:paraId="4F3C2E9F">
      <w:pPr>
        <w:pStyle w:val="221"/>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6.7.所有管道、管件、阀门及其他设备的端口必须用保护盖或其他方式妥善防护。</w:t>
      </w:r>
    </w:p>
    <w:p w14:paraId="38783369">
      <w:pPr>
        <w:pStyle w:val="221"/>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6.8.每件包装箱内，应附有包括分件名称、数量、价格、机组号、图号的详细装箱单、合格证。外购件包装箱内应有产品出厂质量合格证明书、技术说明各一份。另邮寄装箱清单各二份。</w:t>
      </w:r>
    </w:p>
    <w:p w14:paraId="35D5AB75">
      <w:pPr>
        <w:pStyle w:val="221"/>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6.9.乙方和／或其分包商不得用同一箱号标明任何两个箱件。</w:t>
      </w:r>
    </w:p>
    <w:p w14:paraId="4222E3E5">
      <w:pPr>
        <w:pStyle w:val="221"/>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6.10.乙方交付的技术资料应使用适合于长途运输、多次搬运、防雨和防潮的包装。每一包资料内应附有技术资料的详细清单一式二份，标明技术资料的序号、文件项号、名称和页数。每包技术资料的封面上应注明下述内容。</w:t>
      </w:r>
    </w:p>
    <w:p w14:paraId="4B28E752">
      <w:pPr>
        <w:pStyle w:val="221"/>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（1）合同号；</w:t>
      </w:r>
    </w:p>
    <w:p w14:paraId="06B85DD7">
      <w:pPr>
        <w:pStyle w:val="221"/>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（2）供货、收货单位名称；</w:t>
      </w:r>
    </w:p>
    <w:p w14:paraId="01938043">
      <w:pPr>
        <w:pStyle w:val="221"/>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（3）目的站／码头；</w:t>
      </w:r>
    </w:p>
    <w:p w14:paraId="69FF53F6">
      <w:pPr>
        <w:pStyle w:val="221"/>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（4）毛重；</w:t>
      </w:r>
    </w:p>
    <w:p w14:paraId="72CED793">
      <w:pPr>
        <w:pStyle w:val="221"/>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（5）箱号／件号。</w:t>
      </w:r>
    </w:p>
    <w:p w14:paraId="1CACA6D0">
      <w:pPr>
        <w:pStyle w:val="221"/>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6.11.甲方可派遣代表到乙方工厂及装货车站检查包装质量和监督装车情况。</w:t>
      </w:r>
    </w:p>
    <w:p w14:paraId="00FABEDB">
      <w:pPr>
        <w:pStyle w:val="221"/>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6.12.甲方应对多次使用的专用铁路包装箱、包装架等，在该部件到货清点之后2个月内返乙方（费用由乙方承担）。</w:t>
      </w:r>
    </w:p>
    <w:p w14:paraId="29B6864A">
      <w:pPr>
        <w:pStyle w:val="221"/>
        <w:ind w:firstLine="482" w:firstLineChars="200"/>
        <w:jc w:val="left"/>
        <w:rPr>
          <w:rFonts w:ascii="宋体" w:hAnsi="宋体" w:cs="宋体"/>
          <w:b/>
          <w:bCs/>
          <w:color w:val="auto"/>
          <w:sz w:val="24"/>
          <w:szCs w:val="24"/>
          <w:highlight w:val="none"/>
        </w:rPr>
      </w:pPr>
      <w:r>
        <w:rPr>
          <w:rFonts w:hint="eastAsia" w:ascii="宋体" w:hAnsi="宋体" w:cs="宋体"/>
          <w:b/>
          <w:bCs/>
          <w:color w:val="auto"/>
          <w:sz w:val="24"/>
          <w:szCs w:val="24"/>
          <w:highlight w:val="none"/>
        </w:rPr>
        <w:t>7.技术服务</w:t>
      </w:r>
    </w:p>
    <w:p w14:paraId="496D75E7">
      <w:pPr>
        <w:pStyle w:val="221"/>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7.1.乙方应及时提供与本合同设备有关的设计、检验、安装、调试、验收、性能验收试验、运行、检修等相应的技术指导、技术配合、技术培训等全过程的服务。</w:t>
      </w:r>
    </w:p>
    <w:p w14:paraId="6CB514A2">
      <w:pPr>
        <w:pStyle w:val="221"/>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7.2.乙方须派代表到现场进行技术服务，指导甲方按乙方的技术资料进行安装、调试和启动，并负责解决合同设备在安装调试、试运行中发现的制造质量及性能等有关问题。</w:t>
      </w:r>
    </w:p>
    <w:p w14:paraId="49787189">
      <w:pPr>
        <w:pStyle w:val="221"/>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7.3.乙方应在合同生效后</w:t>
      </w:r>
      <w:r>
        <w:rPr>
          <w:rFonts w:hint="eastAsia" w:ascii="宋体" w:hAnsi="宋体" w:cs="宋体"/>
          <w:color w:val="auto"/>
          <w:sz w:val="24"/>
          <w:szCs w:val="24"/>
          <w:highlight w:val="none"/>
          <w:u w:val="single"/>
        </w:rPr>
        <w:t>       </w:t>
      </w:r>
      <w:r>
        <w:rPr>
          <w:rFonts w:hint="eastAsia" w:ascii="宋体" w:hAnsi="宋体" w:cs="宋体"/>
          <w:color w:val="auto"/>
          <w:sz w:val="24"/>
          <w:szCs w:val="24"/>
          <w:highlight w:val="none"/>
        </w:rPr>
        <w:t>日内以邮寄方式向甲方提交执行7.1和7.2款中规定的服务工作的组织计划一式两份，作为本合同技术服务附件的内容。</w:t>
      </w:r>
    </w:p>
    <w:p w14:paraId="2A1BEB30">
      <w:pPr>
        <w:pStyle w:val="221"/>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7.4.乙方有义务在必要时邀请甲方参与乙方的技术设计，并向甲方解释技术设计。</w:t>
      </w:r>
    </w:p>
    <w:p w14:paraId="195AF5A3">
      <w:pPr>
        <w:pStyle w:val="221"/>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7.5.技术联络会的费用、次数、人数和地点，详见合同技术服务附件。如遇有重大问题需要乙方与甲方立即研究协商时，任何一方均可建议召开会议，在一般情况下，另一方应同意参加，费用各自承担。</w:t>
      </w:r>
    </w:p>
    <w:p w14:paraId="0280BA25">
      <w:pPr>
        <w:pStyle w:val="221"/>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7.6.各次会议双方均应签订会议纪要，所签纪要双方均应执行。如涉及合同条款的修改，须经双方有权代表签署，以修改后的条款为准。</w:t>
      </w:r>
    </w:p>
    <w:p w14:paraId="2CD7A357">
      <w:pPr>
        <w:pStyle w:val="221"/>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7.7.乙方提出并经双方在会议上确认的安装、调试和运行技术服务方案，乙方如有修改，须以书面形式通知甲方，经甲方确认后方可进行。为适应现场条件的要求，甲方有权提出变更或修改意见，并书面通知乙方，乙方应给予充分考虑，应尽量满足甲方要求。</w:t>
      </w:r>
    </w:p>
    <w:p w14:paraId="5FD56BD2">
      <w:pPr>
        <w:pStyle w:val="221"/>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7.8.乙方（包括分包与外购）须对一切与本合同有关的供货、设备及技术接口、技术服务等问题负全部责任。</w:t>
      </w:r>
    </w:p>
    <w:p w14:paraId="74223F18">
      <w:pPr>
        <w:pStyle w:val="221"/>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7.9.凡与本合同设备相连接的其他设备装置，乙方有提供接口和技术配合的义务，并不由此而发生合同价款以外的任何费用。</w:t>
      </w:r>
    </w:p>
    <w:p w14:paraId="3F766520">
      <w:pPr>
        <w:pStyle w:val="221"/>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7.10.乙方派到现场服务的技术人员应是有实践经验、可胜任此项工作的人员。乙方派到现场服务的技术人员在本合同生效后</w:t>
      </w:r>
      <w:r>
        <w:rPr>
          <w:rFonts w:hint="eastAsia" w:ascii="宋体" w:hAnsi="宋体" w:cs="宋体"/>
          <w:color w:val="auto"/>
          <w:sz w:val="24"/>
          <w:szCs w:val="24"/>
          <w:highlight w:val="none"/>
          <w:u w:val="single"/>
        </w:rPr>
        <w:t>    </w:t>
      </w:r>
      <w:r>
        <w:rPr>
          <w:rFonts w:hint="eastAsia" w:ascii="宋体" w:hAnsi="宋体" w:cs="宋体"/>
          <w:color w:val="auto"/>
          <w:sz w:val="24"/>
          <w:szCs w:val="24"/>
          <w:highlight w:val="none"/>
        </w:rPr>
        <w:t>日内提交甲方予以确认。甲方有权提出更换不符合要求的乙方现场服务人员，乙方应根据现场需要，重新选派甲方认可的服务人员，如果甲方在书面提出该项要求10天内乙方没有答复，将视为延误工期处理。乙方的分包商需要前往现场提供技术服务的，应由乙方统一组织并征得甲方同意，费用应由乙方自行负担。</w:t>
      </w:r>
    </w:p>
    <w:p w14:paraId="0756B9C5">
      <w:pPr>
        <w:pStyle w:val="221"/>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7.11.由于乙方技术服务人员对安装、调试、试运的技术指导的疏忽和错误以及乙方未按要求派人指导而造成的损失应由乙方负责。</w:t>
      </w:r>
    </w:p>
    <w:p w14:paraId="42522B59">
      <w:pPr>
        <w:pStyle w:val="221"/>
        <w:ind w:firstLine="482" w:firstLineChars="200"/>
        <w:jc w:val="left"/>
        <w:rPr>
          <w:rFonts w:ascii="宋体" w:hAnsi="宋体" w:cs="宋体"/>
          <w:b/>
          <w:bCs/>
          <w:color w:val="auto"/>
          <w:sz w:val="24"/>
          <w:szCs w:val="24"/>
          <w:highlight w:val="none"/>
        </w:rPr>
      </w:pPr>
      <w:r>
        <w:rPr>
          <w:rFonts w:hint="eastAsia" w:ascii="宋体" w:hAnsi="宋体" w:cs="宋体"/>
          <w:b/>
          <w:bCs/>
          <w:color w:val="auto"/>
          <w:sz w:val="24"/>
          <w:szCs w:val="24"/>
          <w:highlight w:val="none"/>
        </w:rPr>
        <w:t>8.监造与检验</w:t>
      </w:r>
    </w:p>
    <w:p w14:paraId="71081816">
      <w:pPr>
        <w:pStyle w:val="221"/>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8.1.监造</w:t>
      </w:r>
    </w:p>
    <w:p w14:paraId="0E7F65DD">
      <w:pPr>
        <w:pStyle w:val="221"/>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8.1.1.乙方应在本合同生效日期起</w:t>
      </w:r>
      <w:r>
        <w:rPr>
          <w:rFonts w:hint="eastAsia" w:ascii="宋体" w:hAnsi="宋体" w:cs="宋体"/>
          <w:color w:val="auto"/>
          <w:sz w:val="24"/>
          <w:szCs w:val="24"/>
          <w:highlight w:val="none"/>
          <w:u w:val="single"/>
        </w:rPr>
        <w:t>    </w:t>
      </w:r>
      <w:r>
        <w:rPr>
          <w:rFonts w:hint="eastAsia" w:ascii="宋体" w:hAnsi="宋体" w:cs="宋体"/>
          <w:color w:val="auto"/>
          <w:sz w:val="24"/>
          <w:szCs w:val="24"/>
          <w:highlight w:val="none"/>
        </w:rPr>
        <w:t>日内，向甲方提供本合同设备的设计、制造和检验标准的目录。设计、制造和检验标准应符合附件1和附件5的规定。</w:t>
      </w:r>
    </w:p>
    <w:p w14:paraId="55FCC9B7">
      <w:pPr>
        <w:pStyle w:val="221"/>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8.1.2.甲方将委托有监造资质的监造单位进行设备监造。在监造工作实施前，为便于监造工作的实施，甲方、乙方和监造方签订三方监造工作协议。监造工作的内容按监造协议确定，但不限于此。乙方有配合监造的义务，在监造中及时提供相应资料和标准，并不由此而发生任何费用。</w:t>
      </w:r>
    </w:p>
    <w:p w14:paraId="1B47831A">
      <w:pPr>
        <w:pStyle w:val="221"/>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8.1.3.监造的范围及具体监造检验／见证项目见监造协议。</w:t>
      </w:r>
    </w:p>
    <w:p w14:paraId="453DB76C">
      <w:pPr>
        <w:pStyle w:val="221"/>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8.1.4.乙方必须为甲方委托的驻厂代表和监造代表的监造检验提供如下便利条件：提前7天提供设备的监造内容和检验时间；提供与本合同设备监造有关的标准（包括工厂标准）、图纸、资料、工艺及实际工艺过程和检验记录（包括中间检验记录和／或不一致性报告）；向监造代表提供工作、生活方便。</w:t>
      </w:r>
    </w:p>
    <w:p w14:paraId="3EAB024C">
      <w:pPr>
        <w:pStyle w:val="221"/>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8.1.5.监造检验／见证（一般为现场见证）应尽量结合乙方工厂实际生产过程（不包括发现重大问题时的停工检验）。若监造代表不能按乙方通知时间及时到场，乙方的试验工作可正常进行，试验结果有效，但是监造代表有权事后了解、查阅、复制检查试验报告和结果（转为文件见证）。若乙方未及时通知监造代表而单独检验，甲方将不承认该检验结果，乙方应在监造代表在场的情况下再次进行该项试验。</w:t>
      </w:r>
    </w:p>
    <w:p w14:paraId="36184CF9">
      <w:pPr>
        <w:pStyle w:val="221"/>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8.1.6.监造代表在监造中如发现设备和材料存在质量问题或不符合本规定的标准或包装要求时，有权提出意见并暂不予以签字，乙方须采取相应改进措施，以保证交货质量。无论监造代表是否要求和是否知道，乙方均有义务主动及时地向其提供合同设备制造过程中出现的较大的质量缺陷和问题，不得隐瞒，乙方不得擅自处理。</w:t>
      </w:r>
    </w:p>
    <w:p w14:paraId="342814B8">
      <w:pPr>
        <w:pStyle w:val="221"/>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8.1.7.不论监造代表是否参与监造与出厂检验或者监造代表参加了监造与检验，并且签署了监造与检验报告，均不能被视为乙方按合同规定承担的质量保证责任的解除，也不能免除乙方对设备质量应承担的责任。</w:t>
      </w:r>
    </w:p>
    <w:p w14:paraId="50E1FA47">
      <w:pPr>
        <w:pStyle w:val="221"/>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8.2.工厂检验与现场开箱检验</w:t>
      </w:r>
    </w:p>
    <w:p w14:paraId="47CFD146">
      <w:pPr>
        <w:pStyle w:val="221"/>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8.2.1.由乙方供应的所有合同设备／部件（包括分包与外购），在生产过程中都须进行严格的检验和试验，出厂前须进行部套和／或整机总装和试验。所有检验、试验和总装（装配）必须有正式的记录文件。以上工作完成之后，并经监造代表确认，合格的才能出厂发运。所有这些正式的记录文件及合格证作为技术资料的一部分邮寄给甲方存档。此外，乙方还应在随机文件中提供合格证、质量证明文件和原产地约定。</w:t>
      </w:r>
    </w:p>
    <w:p w14:paraId="0ACFEEB5">
      <w:pPr>
        <w:pStyle w:val="221"/>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8.2.2.货物到达目的地后，乙方在接到甲方通知后应及时到现场，与甲方一起根据运单和装箱单对货物的包装、外观及件数进行清点检验。如发现有任何不符之处经双方代表确认属乙方责任后，由乙方处理解决。当货物运到甲方现场后，甲方应尽快开箱检验，检验货物的数量，规格、质量情况。甲方应在开箱检查前7日通知乙方开箱检验日期，乙方应派遣检验人员参加现场检验工作，甲方应为乙方检验人员提供工作和生活方便。如检验时，乙方人员未按时赴现场，甲方有权自行开箱检验，检验结果和记录对双方有效，并可作为甲方向乙方提出索赔的有效证据。按照本款规定，经检验合格的货物，甲方将向乙方签发接收单，乙方在收到甲方签发的接收单并出具回执时，视为该批货物已由乙方交付。</w:t>
      </w:r>
    </w:p>
    <w:p w14:paraId="4C52BED9">
      <w:pPr>
        <w:pStyle w:val="221"/>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8.2.3.现场检验时，如发现设备由于乙方原因（包括运输）有任何损坏、缺陷、短少或不符合合同中规定的质量标准和规范时，应做好记录，并由双方代表签字，各执一份，作为甲方向乙方提出修理和／或更换和／或索赔的依据；如果乙方委托甲方修理损坏的设备，所有修理设备的费用由乙方承担；如果由于甲方原因，发现损坏或短缺，乙方在接到买方通知后，应尽快提供或替换相应的部件，但费用由甲方自负。</w:t>
      </w:r>
    </w:p>
    <w:p w14:paraId="1F83B4DA">
      <w:pPr>
        <w:pStyle w:val="221"/>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8.2.4.乙方如对上述甲方提出修理、更换、索赔的要求有异议，应在接到甲方书面通知后7日内提出，否则上述要求成立。如有异议，乙方在接到通知后半个月内，自费派代表赴现场同甲方代表共同复验。</w:t>
      </w:r>
    </w:p>
    <w:p w14:paraId="1D29533D">
      <w:pPr>
        <w:pStyle w:val="221"/>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8.2.5.如双方代表在共同检验中对检验记录不能取得一致意见时，可由双方委托权威的第三方检验机构</w:t>
      </w:r>
      <w:r>
        <w:rPr>
          <w:rFonts w:hint="eastAsia" w:ascii="宋体" w:hAnsi="宋体" w:cs="宋体"/>
          <w:color w:val="auto"/>
          <w:sz w:val="24"/>
          <w:szCs w:val="24"/>
          <w:highlight w:val="none"/>
          <w:u w:val="single"/>
        </w:rPr>
        <w:t>        </w:t>
      </w:r>
      <w:r>
        <w:rPr>
          <w:rFonts w:hint="eastAsia" w:ascii="宋体" w:hAnsi="宋体" w:cs="宋体"/>
          <w:color w:val="auto"/>
          <w:sz w:val="24"/>
          <w:szCs w:val="24"/>
          <w:highlight w:val="none"/>
        </w:rPr>
        <w:t>在</w:t>
      </w:r>
      <w:r>
        <w:rPr>
          <w:rFonts w:hint="eastAsia" w:ascii="宋体" w:hAnsi="宋体" w:cs="宋体"/>
          <w:color w:val="auto"/>
          <w:sz w:val="24"/>
          <w:szCs w:val="24"/>
          <w:highlight w:val="none"/>
          <w:u w:val="single"/>
        </w:rPr>
        <w:t>    </w:t>
      </w:r>
      <w:r>
        <w:rPr>
          <w:rFonts w:hint="eastAsia" w:ascii="宋体" w:hAnsi="宋体" w:cs="宋体"/>
          <w:color w:val="auto"/>
          <w:sz w:val="24"/>
          <w:szCs w:val="24"/>
          <w:highlight w:val="none"/>
        </w:rPr>
        <w:t>日内进行检验。检验结果对双方都有约束力，检验费用由责任方负担。</w:t>
      </w:r>
    </w:p>
    <w:p w14:paraId="736F6349">
      <w:pPr>
        <w:pStyle w:val="221"/>
        <w:ind w:firstLine="482" w:firstLineChars="200"/>
        <w:jc w:val="left"/>
        <w:rPr>
          <w:rFonts w:ascii="宋体" w:hAnsi="宋体" w:cs="宋体"/>
          <w:b/>
          <w:bCs/>
          <w:color w:val="auto"/>
          <w:sz w:val="24"/>
          <w:szCs w:val="24"/>
          <w:highlight w:val="none"/>
        </w:rPr>
      </w:pPr>
      <w:r>
        <w:rPr>
          <w:rFonts w:hint="eastAsia" w:ascii="宋体" w:hAnsi="宋体" w:cs="宋体"/>
          <w:b/>
          <w:bCs/>
          <w:color w:val="auto"/>
          <w:sz w:val="24"/>
          <w:szCs w:val="24"/>
          <w:highlight w:val="none"/>
        </w:rPr>
        <w:t>9.安装、调试、试运和验收</w:t>
      </w:r>
    </w:p>
    <w:p w14:paraId="0DDF991F">
      <w:pPr>
        <w:pStyle w:val="221"/>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9.1.本合同设备由甲方根据乙方提供的技术资料、检验标准、图纸及说明书进行安装、调试、运行和维修。整个安装、调试过程须在乙方现场技术服务人员指导下进行。重要工序须经乙方现场技术服务人员签字确认，重要工序由双方在安装、调试、运行前书面确认。在安装、调试过程中，若甲方未按乙方的技术资料规定和现场技术服务人员指导、未经乙方现场技术服务人员签字确认而出现问题，甲方自行负责（设备问题除外）；若甲方按乙方技术资料规定和现场技术服务人员的指导、乙方现场技术服务人员签字确认而出现问题，由乙方承担责任。</w:t>
      </w:r>
    </w:p>
    <w:p w14:paraId="5B17FF65">
      <w:pPr>
        <w:pStyle w:val="221"/>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9.2.合同设备的安装：</w:t>
      </w:r>
      <w:r>
        <w:rPr>
          <w:rFonts w:hint="eastAsia" w:ascii="宋体" w:hAnsi="宋体" w:cs="宋体"/>
          <w:color w:val="auto"/>
          <w:sz w:val="24"/>
          <w:szCs w:val="24"/>
          <w:highlight w:val="none"/>
          <w:u w:val="single"/>
        </w:rPr>
        <w:t>                     </w:t>
      </w:r>
      <w:r>
        <w:rPr>
          <w:rFonts w:hint="eastAsia" w:ascii="宋体" w:hAnsi="宋体" w:cs="宋体"/>
          <w:color w:val="auto"/>
          <w:sz w:val="24"/>
          <w:szCs w:val="24"/>
          <w:highlight w:val="none"/>
        </w:rPr>
        <w:t>。</w:t>
      </w:r>
    </w:p>
    <w:p w14:paraId="2EB9DC16">
      <w:pPr>
        <w:pStyle w:val="221"/>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9.3.合同设备的调试：</w:t>
      </w:r>
      <w:r>
        <w:rPr>
          <w:rFonts w:hint="eastAsia" w:ascii="宋体" w:hAnsi="宋体" w:cs="宋体"/>
          <w:color w:val="auto"/>
          <w:sz w:val="24"/>
          <w:szCs w:val="24"/>
          <w:highlight w:val="none"/>
          <w:u w:val="single"/>
        </w:rPr>
        <w:t>                     </w:t>
      </w:r>
      <w:r>
        <w:rPr>
          <w:rFonts w:hint="eastAsia" w:ascii="宋体" w:hAnsi="宋体" w:cs="宋体"/>
          <w:color w:val="auto"/>
          <w:sz w:val="24"/>
          <w:szCs w:val="24"/>
          <w:highlight w:val="none"/>
        </w:rPr>
        <w:t>。</w:t>
      </w:r>
    </w:p>
    <w:p w14:paraId="69160D98">
      <w:pPr>
        <w:pStyle w:val="221"/>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9.4.验收试验：</w:t>
      </w:r>
      <w:r>
        <w:rPr>
          <w:rFonts w:hint="eastAsia" w:ascii="宋体" w:hAnsi="宋体" w:cs="宋体"/>
          <w:color w:val="auto"/>
          <w:sz w:val="24"/>
          <w:szCs w:val="24"/>
          <w:highlight w:val="none"/>
          <w:u w:val="single"/>
        </w:rPr>
        <w:t>                     </w:t>
      </w:r>
      <w:r>
        <w:rPr>
          <w:rFonts w:hint="eastAsia" w:ascii="宋体" w:hAnsi="宋体" w:cs="宋体"/>
          <w:color w:val="auto"/>
          <w:sz w:val="24"/>
          <w:szCs w:val="24"/>
          <w:highlight w:val="none"/>
        </w:rPr>
        <w:t>。</w:t>
      </w:r>
    </w:p>
    <w:p w14:paraId="5F936D82">
      <w:pPr>
        <w:pStyle w:val="221"/>
        <w:ind w:firstLine="482" w:firstLineChars="200"/>
        <w:jc w:val="left"/>
        <w:rPr>
          <w:rFonts w:ascii="宋体" w:hAnsi="宋体" w:cs="宋体"/>
          <w:b/>
          <w:bCs/>
          <w:color w:val="auto"/>
          <w:sz w:val="24"/>
          <w:szCs w:val="24"/>
          <w:highlight w:val="none"/>
        </w:rPr>
      </w:pPr>
      <w:r>
        <w:rPr>
          <w:rFonts w:hint="eastAsia" w:ascii="宋体" w:hAnsi="宋体" w:cs="宋体"/>
          <w:b/>
          <w:bCs/>
          <w:color w:val="auto"/>
          <w:sz w:val="24"/>
          <w:szCs w:val="24"/>
          <w:highlight w:val="none"/>
        </w:rPr>
        <w:t>10.分包与外购</w:t>
      </w:r>
    </w:p>
    <w:p w14:paraId="05EC477F">
      <w:pPr>
        <w:pStyle w:val="221"/>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10.1.乙方未经同意不得将本合同范围内的设备/部件进行分包。乙方需分包的内容和比例应征得甲方书面同意，否则不得分包。接受分包的单位（分包商）不得再次分包。</w:t>
      </w:r>
    </w:p>
    <w:p w14:paraId="164563A1">
      <w:pPr>
        <w:pStyle w:val="221"/>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10.2.乙方将本合同范围内需分包与外购的设备／部件的内容和比例提交甲方同意后，在合同谈判时，将此部分设备／部件的分包商预选名单、分包商资质材料，提交给甲方。甲方收到乙方提交的分包商文件后</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日内进行审查，审查同意后，以书面形式予以答复，甲方可推荐预选名单以外的分包商。乙方须在甲方同意的分包商名单中选定分包商，并在设计联络会上确定分包与外购设备的最终厂家。分包与外购设备最终厂家的确定必须经甲方书面确认。</w:t>
      </w:r>
    </w:p>
    <w:p w14:paraId="59797EC9">
      <w:pPr>
        <w:pStyle w:val="221"/>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10.3.乙方具有独立的、自主的材料和设备采购权利，可以采取各种适合自己的采购方式，但在分包与外购的设备/部件的问题上应充分采纳甲方根据实际运行经验以及实地考察、调研所提出的意见和建议，甲方有权对部分分包与外购的设备/部件要求乙方招标采购，并确认结果。</w:t>
      </w:r>
    </w:p>
    <w:p w14:paraId="287A45AE">
      <w:pPr>
        <w:pStyle w:val="221"/>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10.4.分包（外购）设备／部件的技术服务、技术配合按本合同技术服务条款的约定执行。</w:t>
      </w:r>
    </w:p>
    <w:p w14:paraId="19D517CB">
      <w:pPr>
        <w:pStyle w:val="221"/>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10.5.乙方对所有分包设备、部件承担本合同项下的全部责任。</w:t>
      </w:r>
    </w:p>
    <w:p w14:paraId="6F5A4380">
      <w:pPr>
        <w:pStyle w:val="221"/>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10.6.分包与外购内容见附件。</w:t>
      </w:r>
    </w:p>
    <w:p w14:paraId="14B35BF2">
      <w:pPr>
        <w:pStyle w:val="221"/>
        <w:ind w:firstLine="482" w:firstLineChars="200"/>
        <w:jc w:val="left"/>
        <w:rPr>
          <w:rFonts w:ascii="宋体" w:hAnsi="宋体" w:cs="宋体"/>
          <w:b/>
          <w:bCs/>
          <w:color w:val="auto"/>
          <w:sz w:val="24"/>
          <w:szCs w:val="24"/>
          <w:highlight w:val="none"/>
        </w:rPr>
      </w:pPr>
      <w:r>
        <w:rPr>
          <w:rFonts w:hint="eastAsia" w:ascii="宋体" w:hAnsi="宋体" w:cs="宋体"/>
          <w:b/>
          <w:bCs/>
          <w:color w:val="auto"/>
          <w:sz w:val="24"/>
          <w:szCs w:val="24"/>
          <w:highlight w:val="none"/>
        </w:rPr>
        <w:t>11.税和费</w:t>
      </w:r>
    </w:p>
    <w:p w14:paraId="664F954A">
      <w:pPr>
        <w:pStyle w:val="221"/>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本合同价格为含税价。乙方提供的设备、技术资料、服务、运输、保险、进口设备／部件等所有税和费已全部包含在合同价格内，由乙方承担。</w:t>
      </w:r>
    </w:p>
    <w:p w14:paraId="2FF840BC">
      <w:pPr>
        <w:pStyle w:val="221"/>
        <w:ind w:firstLine="482" w:firstLineChars="200"/>
        <w:jc w:val="left"/>
        <w:rPr>
          <w:rFonts w:ascii="宋体" w:hAnsi="宋体" w:cs="宋体"/>
          <w:b/>
          <w:bCs/>
          <w:color w:val="auto"/>
          <w:sz w:val="24"/>
          <w:szCs w:val="24"/>
          <w:highlight w:val="none"/>
        </w:rPr>
      </w:pPr>
      <w:r>
        <w:rPr>
          <w:rFonts w:hint="eastAsia" w:ascii="宋体" w:hAnsi="宋体" w:cs="宋体"/>
          <w:b/>
          <w:bCs/>
          <w:color w:val="auto"/>
          <w:sz w:val="24"/>
          <w:szCs w:val="24"/>
          <w:highlight w:val="none"/>
        </w:rPr>
        <w:t>12.保险</w:t>
      </w:r>
    </w:p>
    <w:p w14:paraId="561FD5AF">
      <w:pPr>
        <w:pStyle w:val="221"/>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12.1.乙方须对合同设备，根据水运、陆运和空运等运输方式，向保险公司以甲方和乙方为共同受益人投保发运合同设备价格110％的运输一切险，保险区段为乙方仓库到甲方现场止。设备（在交货地点）交货之前乙方为保险受益人，设备（在交货地点）交货之后甲方为保险受益人。</w:t>
      </w:r>
    </w:p>
    <w:p w14:paraId="2BC3C4F7">
      <w:pPr>
        <w:pStyle w:val="221"/>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12.2.如果发生乙方未对每台/套设备进行投保，甲方有权将这部分保险费从该台/套设备的运杂费中扣除，因其发生的连带责任，将全部由乙方承担。</w:t>
      </w:r>
    </w:p>
    <w:p w14:paraId="13CEBBD6">
      <w:pPr>
        <w:pStyle w:val="221"/>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12.3.乙方应将保险合同的副本于每台/套设备交货前</w:t>
      </w:r>
      <w:r>
        <w:rPr>
          <w:rFonts w:hint="eastAsia" w:ascii="宋体" w:hAnsi="宋体" w:cs="宋体"/>
          <w:b/>
          <w:bCs/>
          <w:color w:val="auto"/>
          <w:sz w:val="24"/>
          <w:szCs w:val="24"/>
          <w:highlight w:val="none"/>
          <w:u w:val="single"/>
        </w:rPr>
        <w:t>    </w:t>
      </w:r>
      <w:r>
        <w:rPr>
          <w:rFonts w:hint="eastAsia" w:ascii="宋体" w:hAnsi="宋体" w:cs="宋体"/>
          <w:color w:val="auto"/>
          <w:sz w:val="24"/>
          <w:szCs w:val="24"/>
          <w:highlight w:val="none"/>
        </w:rPr>
        <w:t>日内提供给甲方，如果乙方未能及时提供，甲方将认为乙方未对该台/套设备投保，并按12.2款处理。</w:t>
      </w:r>
    </w:p>
    <w:p w14:paraId="53D68802">
      <w:pPr>
        <w:pStyle w:val="221"/>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12.4.如果交付的合同设备和/或文件在运输途中发生丢失或损坏，乙方应与保险公司联系进行索赔。如果此种丢失或损坏不属于保险公司的赔偿范围，则乙方应负责对甲方进行赔偿。</w:t>
      </w:r>
    </w:p>
    <w:p w14:paraId="5498CCE2">
      <w:pPr>
        <w:pStyle w:val="221"/>
        <w:ind w:firstLine="482" w:firstLineChars="200"/>
        <w:jc w:val="left"/>
        <w:rPr>
          <w:rFonts w:ascii="宋体" w:hAnsi="宋体" w:cs="宋体"/>
          <w:b/>
          <w:bCs/>
          <w:color w:val="auto"/>
          <w:sz w:val="24"/>
          <w:szCs w:val="24"/>
          <w:highlight w:val="none"/>
        </w:rPr>
      </w:pPr>
      <w:r>
        <w:rPr>
          <w:rFonts w:hint="eastAsia" w:ascii="宋体" w:hAnsi="宋体" w:cs="宋体"/>
          <w:b/>
          <w:bCs/>
          <w:color w:val="auto"/>
          <w:sz w:val="24"/>
          <w:szCs w:val="24"/>
          <w:highlight w:val="none"/>
        </w:rPr>
        <w:t>13.知识产权</w:t>
      </w:r>
    </w:p>
    <w:p w14:paraId="178D6ACF">
      <w:pPr>
        <w:pStyle w:val="221"/>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13.1.乙方应保证甲方不受由于使用了乙方提供的合同设备（包括技术）而引起的对任何第三方的设计、工艺方案、技术资料、商标、专利等知识产权产生侵权。</w:t>
      </w:r>
    </w:p>
    <w:p w14:paraId="2DC5783A">
      <w:pPr>
        <w:pStyle w:val="221"/>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13.2.如果发生任何第三方的侵权指控，甲方于上述指控之日起</w:t>
      </w:r>
      <w:r>
        <w:rPr>
          <w:rFonts w:hint="eastAsia" w:ascii="宋体" w:hAnsi="宋体" w:cs="宋体"/>
          <w:color w:val="auto"/>
          <w:sz w:val="24"/>
          <w:szCs w:val="24"/>
          <w:highlight w:val="none"/>
          <w:u w:val="single"/>
        </w:rPr>
        <w:t>    </w:t>
      </w:r>
      <w:r>
        <w:rPr>
          <w:rFonts w:hint="eastAsia" w:ascii="宋体" w:hAnsi="宋体" w:cs="宋体"/>
          <w:color w:val="auto"/>
          <w:sz w:val="24"/>
          <w:szCs w:val="24"/>
          <w:highlight w:val="none"/>
        </w:rPr>
        <w:t>个工作日内尽快通知乙方，乙方负责与第三方交涉处理此事，并承担一切由此引起的法律上和经济上的责任，从而使甲方免受由于第三方索赔从法律及经济责任上所造成的损害。</w:t>
      </w:r>
    </w:p>
    <w:p w14:paraId="1F2ED2E0">
      <w:pPr>
        <w:pStyle w:val="221"/>
        <w:ind w:firstLine="482" w:firstLineChars="200"/>
        <w:jc w:val="left"/>
        <w:rPr>
          <w:rFonts w:ascii="宋体" w:hAnsi="宋体" w:cs="宋体"/>
          <w:b/>
          <w:bCs/>
          <w:color w:val="auto"/>
          <w:sz w:val="24"/>
          <w:szCs w:val="24"/>
          <w:highlight w:val="none"/>
        </w:rPr>
      </w:pPr>
      <w:r>
        <w:rPr>
          <w:rFonts w:hint="eastAsia" w:ascii="宋体" w:hAnsi="宋体" w:cs="宋体"/>
          <w:b/>
          <w:bCs/>
          <w:color w:val="auto"/>
          <w:sz w:val="24"/>
          <w:szCs w:val="24"/>
          <w:highlight w:val="none"/>
        </w:rPr>
        <w:t>14.保证与索赔</w:t>
      </w:r>
    </w:p>
    <w:p w14:paraId="5F2F46D0">
      <w:pPr>
        <w:pStyle w:val="221"/>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14.1.本合同设备质量保证期为设备调试完毕正常运行后</w:t>
      </w:r>
      <w:r>
        <w:rPr>
          <w:rFonts w:hint="eastAsia" w:ascii="宋体" w:hAnsi="宋体" w:cs="宋体"/>
          <w:color w:val="auto"/>
          <w:sz w:val="24"/>
          <w:szCs w:val="24"/>
          <w:highlight w:val="none"/>
          <w:u w:val="single"/>
        </w:rPr>
        <w:t>      </w:t>
      </w:r>
      <w:r>
        <w:rPr>
          <w:rFonts w:hint="eastAsia" w:ascii="宋体" w:hAnsi="宋体" w:cs="宋体"/>
          <w:color w:val="auto"/>
          <w:sz w:val="24"/>
          <w:szCs w:val="24"/>
          <w:highlight w:val="none"/>
        </w:rPr>
        <w:t>年。</w:t>
      </w:r>
    </w:p>
    <w:p w14:paraId="1274A626">
      <w:pPr>
        <w:pStyle w:val="221"/>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14.2.乙方保证其供应的本合同设备是全新的，技术水平是先进的、成熟的、质量优良的，设备的选型均符合安全可靠、经济运行和易于维护的要求。乙方保证根据本合同所交付的技术资料完整统一和内容正确、准确的并能满足合同设备的设计、安装、调试、运行和维修的要求。</w:t>
      </w:r>
    </w:p>
    <w:p w14:paraId="25999436">
      <w:pPr>
        <w:pStyle w:val="221"/>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14.3.本设备合同执行期间，如果乙方提供的设备有缺陷和技术资料有错误，或者由于乙方技术人员指导错误和疏忽，造成工程返工、报废，乙方应立即无偿更换和修理。如需更换，乙方应负担由此产生的到安装现场更换的一切费用，更换或修理期限应不迟于证实属乙方责任之日起</w:t>
      </w:r>
      <w:r>
        <w:rPr>
          <w:rFonts w:hint="eastAsia" w:ascii="宋体" w:hAnsi="宋体" w:cs="宋体"/>
          <w:color w:val="auto"/>
          <w:sz w:val="24"/>
          <w:szCs w:val="24"/>
          <w:highlight w:val="none"/>
          <w:u w:val="single"/>
        </w:rPr>
        <w:t>      </w:t>
      </w:r>
      <w:r>
        <w:rPr>
          <w:rFonts w:hint="eastAsia" w:ascii="宋体" w:hAnsi="宋体" w:cs="宋体"/>
          <w:color w:val="auto"/>
          <w:sz w:val="24"/>
          <w:szCs w:val="24"/>
          <w:highlight w:val="none"/>
        </w:rPr>
        <w:t>日。由于甲方未按乙方所提供的技术资料、图纸、说明书和乙方现场技术服务人员的指导而进行施工、安装、调试造成的设备损坏，由甲方负责修理，更换，但乙方有义务尽快提供所需更换的部件，对于甲方要求的紧急部件，乙方应安排最快的方式运输，所有费用均由甲方负担。</w:t>
      </w:r>
    </w:p>
    <w:p w14:paraId="350FFC9A">
      <w:pPr>
        <w:pStyle w:val="221"/>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14.4.合同规定的保证期满后，由甲方在</w:t>
      </w:r>
      <w:r>
        <w:rPr>
          <w:rFonts w:hint="eastAsia" w:ascii="宋体" w:hAnsi="宋体" w:cs="宋体"/>
          <w:color w:val="auto"/>
          <w:sz w:val="24"/>
          <w:szCs w:val="24"/>
          <w:highlight w:val="none"/>
          <w:u w:val="single"/>
        </w:rPr>
        <w:t>    </w:t>
      </w:r>
      <w:r>
        <w:rPr>
          <w:rFonts w:hint="eastAsia" w:ascii="宋体" w:hAnsi="宋体" w:cs="宋体"/>
          <w:color w:val="auto"/>
          <w:sz w:val="24"/>
          <w:szCs w:val="24"/>
          <w:highlight w:val="none"/>
        </w:rPr>
        <w:t>日内出具合同设备保证期满最终验收证书交给乙方。甲方出具最终验收证书的先决条件是：乙方应完成甲方在保证期满前提出的索赔。</w:t>
      </w:r>
    </w:p>
    <w:p w14:paraId="2CD7F166">
      <w:pPr>
        <w:pStyle w:val="221"/>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14.5.在保证期内，如发现设备有缺陷，不符合本合同规定时，如属乙方责任，则甲方有权向乙方提出索赔。如乙方对此索赔有异议按8.2.5条款办理。否则乙方在接到甲方索赔文件后，应立即无偿修理、更换、赔款或委托甲方安排大型修理。包括由此产生的到安装现场的更换费用、运费及保险费由乙方负担。</w:t>
      </w:r>
    </w:p>
    <w:p w14:paraId="4AE52B9A">
      <w:pPr>
        <w:pStyle w:val="221"/>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14.6.如由于乙方责任需要更换、修理有缺陷的设备，而使合同设备停运或推迟安装时，则保证期应按实际修理或更换所延误的时间做相应的延长。</w:t>
      </w:r>
    </w:p>
    <w:p w14:paraId="53EAB52B">
      <w:pPr>
        <w:pStyle w:val="221"/>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14.7.如合同设备在保证期内发现属乙方责任的十分严重的缺陷（如设备性能达不到要求等）则其保证期将自该缺陷修正后开始计算</w:t>
      </w:r>
      <w:r>
        <w:rPr>
          <w:rFonts w:hint="eastAsia" w:ascii="宋体" w:hAnsi="宋体" w:cs="宋体"/>
          <w:color w:val="auto"/>
          <w:sz w:val="24"/>
          <w:szCs w:val="24"/>
          <w:highlight w:val="none"/>
          <w:u w:val="single"/>
        </w:rPr>
        <w:t>    </w:t>
      </w:r>
      <w:r>
        <w:rPr>
          <w:rFonts w:hint="eastAsia" w:ascii="宋体" w:hAnsi="宋体" w:cs="宋体"/>
          <w:color w:val="auto"/>
          <w:sz w:val="24"/>
          <w:szCs w:val="24"/>
          <w:highlight w:val="none"/>
        </w:rPr>
        <w:t>年。</w:t>
      </w:r>
    </w:p>
    <w:p w14:paraId="235037B6">
      <w:pPr>
        <w:pStyle w:val="221"/>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14.8.如果不是由于甲方原因或甲方要求推迟交货而乙方未能按本合同规定的交货期交货时（不可抗力除外），甲方有权向乙方收取违约金：每延迟一日，违约金金额为迟交货物金额的</w:t>
      </w:r>
      <w:r>
        <w:rPr>
          <w:rFonts w:hint="eastAsia" w:ascii="宋体" w:hAnsi="宋体" w:cs="宋体"/>
          <w:color w:val="auto"/>
          <w:sz w:val="24"/>
          <w:szCs w:val="24"/>
          <w:highlight w:val="none"/>
          <w:u w:val="single"/>
        </w:rPr>
        <w:t>5</w:t>
      </w:r>
      <w:r>
        <w:rPr>
          <w:rFonts w:hint="eastAsia" w:ascii="宋体" w:hAnsi="宋体" w:cs="宋体"/>
          <w:color w:val="auto"/>
          <w:sz w:val="24"/>
          <w:szCs w:val="24"/>
          <w:highlight w:val="none"/>
        </w:rPr>
        <w:t>%；合同设备延迟交付的违约金总金额累计不超过每套合同设备总价的</w:t>
      </w:r>
      <w:r>
        <w:rPr>
          <w:rFonts w:hint="eastAsia" w:ascii="宋体" w:hAnsi="宋体" w:cs="宋体"/>
          <w:color w:val="auto"/>
          <w:sz w:val="24"/>
          <w:szCs w:val="24"/>
          <w:highlight w:val="none"/>
          <w:u w:val="single"/>
        </w:rPr>
        <w:t>30</w:t>
      </w:r>
      <w:r>
        <w:rPr>
          <w:rFonts w:hint="eastAsia" w:ascii="宋体" w:hAnsi="宋体" w:cs="宋体"/>
          <w:color w:val="auto"/>
          <w:sz w:val="24"/>
          <w:szCs w:val="24"/>
          <w:highlight w:val="none"/>
        </w:rPr>
        <w:t>%。乙方支付违约金，并不解除乙方按照合同继续交货的义务。对安装、试运行有重大影响的设备延迟交付，甲方有权向乙方收取违约金：每延迟一日，违约金金额为迟交货物金额的</w:t>
      </w:r>
      <w:r>
        <w:rPr>
          <w:rFonts w:hint="eastAsia" w:ascii="宋体" w:hAnsi="宋体" w:cs="宋体"/>
          <w:color w:val="auto"/>
          <w:sz w:val="24"/>
          <w:szCs w:val="24"/>
          <w:highlight w:val="none"/>
          <w:u w:val="single"/>
        </w:rPr>
        <w:t>5</w:t>
      </w:r>
      <w:r>
        <w:rPr>
          <w:rFonts w:hint="eastAsia" w:ascii="宋体" w:hAnsi="宋体" w:cs="宋体"/>
          <w:color w:val="auto"/>
          <w:sz w:val="24"/>
          <w:szCs w:val="24"/>
          <w:highlight w:val="none"/>
        </w:rPr>
        <w:t>%，合同设备延迟交付的违约金总金额累计不超过合同总价的</w:t>
      </w:r>
      <w:r>
        <w:rPr>
          <w:rFonts w:hint="eastAsia" w:ascii="宋体" w:hAnsi="宋体" w:cs="宋体"/>
          <w:color w:val="auto"/>
          <w:sz w:val="24"/>
          <w:szCs w:val="24"/>
          <w:highlight w:val="none"/>
          <w:u w:val="single"/>
        </w:rPr>
        <w:t>30</w:t>
      </w:r>
      <w:r>
        <w:rPr>
          <w:rFonts w:hint="eastAsia" w:ascii="宋体" w:hAnsi="宋体" w:cs="宋体"/>
          <w:color w:val="auto"/>
          <w:sz w:val="24"/>
          <w:szCs w:val="24"/>
          <w:highlight w:val="none"/>
        </w:rPr>
        <w:t>%。同时，甲方有权终止部分或全部合同。如乙方未按合同或附件的规定按时向甲方提供技术资料的，甲方有权向乙方收取违约金：每延迟一日，违约金金额为合同总价的</w:t>
      </w:r>
      <w:r>
        <w:rPr>
          <w:rFonts w:hint="eastAsia" w:ascii="宋体" w:hAnsi="宋体" w:cs="宋体"/>
          <w:color w:val="auto"/>
          <w:sz w:val="24"/>
          <w:szCs w:val="24"/>
          <w:highlight w:val="none"/>
          <w:u w:val="single"/>
        </w:rPr>
        <w:t>5</w:t>
      </w:r>
      <w:r>
        <w:rPr>
          <w:rFonts w:hint="eastAsia" w:ascii="宋体" w:hAnsi="宋体" w:cs="宋体"/>
          <w:color w:val="auto"/>
          <w:sz w:val="24"/>
          <w:szCs w:val="24"/>
          <w:highlight w:val="none"/>
        </w:rPr>
        <w:t>%，该违约金总金额累计不超过合同总价的</w:t>
      </w:r>
      <w:r>
        <w:rPr>
          <w:rFonts w:hint="eastAsia" w:ascii="宋体" w:hAnsi="宋体" w:cs="宋体"/>
          <w:color w:val="auto"/>
          <w:sz w:val="24"/>
          <w:szCs w:val="24"/>
          <w:highlight w:val="none"/>
          <w:u w:val="single"/>
        </w:rPr>
        <w:t>30</w:t>
      </w:r>
      <w:r>
        <w:rPr>
          <w:rFonts w:hint="eastAsia" w:ascii="宋体" w:hAnsi="宋体" w:cs="宋体"/>
          <w:color w:val="auto"/>
          <w:sz w:val="24"/>
          <w:szCs w:val="24"/>
          <w:highlight w:val="none"/>
        </w:rPr>
        <w:t>%。乙方提交违约金后，仍有义务向甲方提供技术帮助，采取各种措施以使设备达到各项经济指标。如果由于乙方和/或分包商技术服务的延误，造成执行合同延误，每延误工期一日，乙方应向甲方支付合同总价</w:t>
      </w:r>
      <w:r>
        <w:rPr>
          <w:rFonts w:hint="eastAsia" w:ascii="宋体" w:hAnsi="宋体" w:cs="宋体"/>
          <w:color w:val="auto"/>
          <w:sz w:val="24"/>
          <w:szCs w:val="24"/>
          <w:highlight w:val="none"/>
          <w:u w:val="single"/>
        </w:rPr>
        <w:t>5</w:t>
      </w:r>
      <w:r>
        <w:rPr>
          <w:rFonts w:hint="eastAsia" w:ascii="宋体" w:hAnsi="宋体" w:cs="宋体"/>
          <w:color w:val="auto"/>
          <w:sz w:val="24"/>
          <w:szCs w:val="24"/>
          <w:highlight w:val="none"/>
        </w:rPr>
        <w:t>%的违约金，该违约金总金额累计不超过合同总价的</w:t>
      </w:r>
      <w:r>
        <w:rPr>
          <w:rFonts w:hint="eastAsia" w:ascii="宋体" w:hAnsi="宋体" w:cs="宋体"/>
          <w:color w:val="auto"/>
          <w:sz w:val="24"/>
          <w:szCs w:val="24"/>
          <w:highlight w:val="none"/>
          <w:u w:val="single"/>
        </w:rPr>
        <w:t>30</w:t>
      </w:r>
      <w:r>
        <w:rPr>
          <w:rFonts w:hint="eastAsia" w:ascii="宋体" w:hAnsi="宋体" w:cs="宋体"/>
          <w:color w:val="auto"/>
          <w:sz w:val="24"/>
          <w:szCs w:val="24"/>
          <w:highlight w:val="none"/>
        </w:rPr>
        <w:t>%。</w:t>
      </w:r>
    </w:p>
    <w:p w14:paraId="29675AED">
      <w:pPr>
        <w:pStyle w:val="221"/>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14.9.由于乙方责任，根据本合同及附件规定验收试验后，不能达到本合同及其附件规定的一项或多项保证指标时，乙方应向甲方支付违约金：每不能达到一项保证指标，违约金金额为合同总价的</w:t>
      </w:r>
      <w:r>
        <w:rPr>
          <w:rFonts w:hint="eastAsia" w:ascii="宋体" w:hAnsi="宋体" w:cs="宋体"/>
          <w:color w:val="auto"/>
          <w:sz w:val="24"/>
          <w:szCs w:val="24"/>
          <w:highlight w:val="none"/>
          <w:u w:val="single"/>
        </w:rPr>
        <w:t>5</w:t>
      </w:r>
      <w:r>
        <w:rPr>
          <w:rFonts w:hint="eastAsia" w:ascii="宋体" w:hAnsi="宋体" w:cs="宋体"/>
          <w:color w:val="auto"/>
          <w:sz w:val="24"/>
          <w:szCs w:val="24"/>
          <w:highlight w:val="none"/>
        </w:rPr>
        <w:t>%，每不能达到一项关键指标；违约金金额为合同总价的</w:t>
      </w:r>
      <w:r>
        <w:rPr>
          <w:rFonts w:hint="eastAsia" w:ascii="宋体" w:hAnsi="宋体" w:cs="宋体"/>
          <w:color w:val="auto"/>
          <w:sz w:val="24"/>
          <w:szCs w:val="24"/>
          <w:highlight w:val="none"/>
          <w:u w:val="single"/>
        </w:rPr>
        <w:t>5</w:t>
      </w:r>
      <w:r>
        <w:rPr>
          <w:rFonts w:hint="eastAsia" w:ascii="宋体" w:hAnsi="宋体" w:cs="宋体"/>
          <w:color w:val="auto"/>
          <w:sz w:val="24"/>
          <w:szCs w:val="24"/>
          <w:highlight w:val="none"/>
        </w:rPr>
        <w:t>%，该违约金总金额累计不超过合同总价的</w:t>
      </w:r>
      <w:r>
        <w:rPr>
          <w:rFonts w:hint="eastAsia" w:ascii="宋体" w:hAnsi="宋体" w:cs="宋体"/>
          <w:color w:val="auto"/>
          <w:sz w:val="24"/>
          <w:szCs w:val="24"/>
          <w:highlight w:val="none"/>
          <w:u w:val="single"/>
        </w:rPr>
        <w:t>30</w:t>
      </w:r>
      <w:r>
        <w:rPr>
          <w:rFonts w:hint="eastAsia" w:ascii="宋体" w:hAnsi="宋体" w:cs="宋体"/>
          <w:color w:val="auto"/>
          <w:sz w:val="24"/>
          <w:szCs w:val="24"/>
          <w:highlight w:val="none"/>
        </w:rPr>
        <w:t>%。如违约金不足以弥补甲方直接损失的，乙方应赔偿甲方的直接损失。</w:t>
      </w:r>
    </w:p>
    <w:p w14:paraId="0C43B242">
      <w:pPr>
        <w:pStyle w:val="221"/>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14.10.乙方支付全部违约金、赔偿金或者乙方提供的满意的替换件被甲方接受之日，即为甲方出具初步验收证书之日。但乙方支付迟交违约金并不解除合同规定的相应义务。</w:t>
      </w:r>
    </w:p>
    <w:p w14:paraId="47A97EB2">
      <w:pPr>
        <w:pStyle w:val="221"/>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14.11.如果由于甲方的原因，迟付货款，工期可获得相应延长。</w:t>
      </w:r>
    </w:p>
    <w:p w14:paraId="175489AC">
      <w:pPr>
        <w:pStyle w:val="221"/>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14.12.如果发生乙方的合同履行违约行为，相关款项将由乙方在接到甲方的书面通知和此类赔偿的证明文件后</w:t>
      </w:r>
      <w:r>
        <w:rPr>
          <w:rFonts w:hint="eastAsia" w:ascii="宋体" w:hAnsi="宋体" w:cs="宋体"/>
          <w:color w:val="auto"/>
          <w:sz w:val="24"/>
          <w:szCs w:val="24"/>
          <w:highlight w:val="none"/>
          <w:u w:val="single"/>
        </w:rPr>
        <w:t>      </w:t>
      </w:r>
      <w:r>
        <w:rPr>
          <w:rFonts w:hint="eastAsia" w:ascii="宋体" w:hAnsi="宋体" w:cs="宋体"/>
          <w:color w:val="auto"/>
          <w:sz w:val="24"/>
          <w:szCs w:val="24"/>
          <w:highlight w:val="none"/>
        </w:rPr>
        <w:t>日内向甲方支付，甲方也有权从履约保函和任何一笔付款中扣除；如果属于质量问题造成的甲方损失，相关款项将从质量保证金中扣除；上述金额不足扣除部分，甲方有权向乙方继续追索，乙方应予以支付。</w:t>
      </w:r>
    </w:p>
    <w:p w14:paraId="6732AB4A">
      <w:pPr>
        <w:pStyle w:val="221"/>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14.13.如果发生甲方的合同履行违约，相关款项将由甲方在接到乙方的书面通知和此类赔偿的证明文件且由甲方认可后</w:t>
      </w:r>
      <w:r>
        <w:rPr>
          <w:rFonts w:hint="eastAsia" w:ascii="宋体" w:hAnsi="宋体" w:cs="宋体"/>
          <w:color w:val="auto"/>
          <w:sz w:val="24"/>
          <w:szCs w:val="24"/>
          <w:highlight w:val="none"/>
          <w:u w:val="single"/>
        </w:rPr>
        <w:t>      </w:t>
      </w:r>
      <w:r>
        <w:rPr>
          <w:rFonts w:hint="eastAsia" w:ascii="宋体" w:hAnsi="宋体" w:cs="宋体"/>
          <w:color w:val="auto"/>
          <w:sz w:val="24"/>
          <w:szCs w:val="24"/>
          <w:highlight w:val="none"/>
        </w:rPr>
        <w:t>日内向乙方支付。</w:t>
      </w:r>
    </w:p>
    <w:p w14:paraId="3284DE4A">
      <w:pPr>
        <w:pStyle w:val="221"/>
        <w:ind w:firstLine="482" w:firstLineChars="200"/>
        <w:jc w:val="left"/>
        <w:rPr>
          <w:rFonts w:ascii="宋体" w:hAnsi="宋体" w:cs="宋体"/>
          <w:b/>
          <w:bCs/>
          <w:color w:val="auto"/>
          <w:sz w:val="24"/>
          <w:szCs w:val="24"/>
          <w:highlight w:val="none"/>
        </w:rPr>
      </w:pPr>
      <w:r>
        <w:rPr>
          <w:rFonts w:hint="eastAsia" w:ascii="宋体" w:hAnsi="宋体" w:cs="宋体"/>
          <w:b/>
          <w:bCs/>
          <w:color w:val="auto"/>
          <w:sz w:val="24"/>
          <w:szCs w:val="24"/>
          <w:highlight w:val="none"/>
        </w:rPr>
        <w:t>15.不可抗力</w:t>
      </w:r>
    </w:p>
    <w:p w14:paraId="193436BB">
      <w:pPr>
        <w:pStyle w:val="221"/>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15.1.不可抗力是指：严重的自然灾害和灾难（如台风、洪水、地震、火灾和爆炸等）、战争（不论是否宣战）、叛乱、动乱等等，其特点是不可预见、无法避免。合同双方中的任何一方，由于不可抗力事件而影响合同义务的执行时，则延迟履行合同义务的期限相当于不可抗力事件影响的时间，但是不能因为不可抗力的延迟而调整合同价格。</w:t>
      </w:r>
    </w:p>
    <w:p w14:paraId="35D92312">
      <w:pPr>
        <w:pStyle w:val="221"/>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15.2.受到不可抗力影响的一方应在不可抗力事故发生后，尽快将所发生的不可抗力事件的情况以传真或电报通知另一方，并在</w:t>
      </w:r>
      <w:r>
        <w:rPr>
          <w:rFonts w:hint="eastAsia" w:ascii="宋体" w:hAnsi="宋体" w:cs="宋体"/>
          <w:color w:val="auto"/>
          <w:sz w:val="24"/>
          <w:szCs w:val="24"/>
          <w:highlight w:val="none"/>
          <w:u w:val="single"/>
        </w:rPr>
        <w:t>     </w:t>
      </w:r>
      <w:r>
        <w:rPr>
          <w:rFonts w:hint="eastAsia" w:ascii="宋体" w:hAnsi="宋体" w:cs="宋体"/>
          <w:color w:val="auto"/>
          <w:sz w:val="24"/>
          <w:szCs w:val="24"/>
          <w:highlight w:val="none"/>
        </w:rPr>
        <w:t>日内将有关当局出具的证明文件提交给另一方审阅确认，受影响的一方同时应尽量设法缩小这种影响和由此而引起的延误，一旦不可抗力的影响消除后，应将此情况立即通知对方。</w:t>
      </w:r>
    </w:p>
    <w:p w14:paraId="55E455F7">
      <w:pPr>
        <w:pStyle w:val="221"/>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15.3.如双方对不可抗力事件的影响估计将延续到</w:t>
      </w:r>
      <w:r>
        <w:rPr>
          <w:rFonts w:hint="eastAsia" w:ascii="宋体" w:hAnsi="宋体" w:cs="宋体"/>
          <w:color w:val="auto"/>
          <w:sz w:val="24"/>
          <w:szCs w:val="24"/>
          <w:highlight w:val="none"/>
          <w:u w:val="single"/>
        </w:rPr>
        <w:t>     </w:t>
      </w:r>
      <w:r>
        <w:rPr>
          <w:rFonts w:hint="eastAsia" w:ascii="宋体" w:hAnsi="宋体" w:cs="宋体"/>
          <w:color w:val="auto"/>
          <w:sz w:val="24"/>
          <w:szCs w:val="24"/>
          <w:highlight w:val="none"/>
        </w:rPr>
        <w:t>日以上时，双方应通过友好协商解决本合同的执行问题（包括交货、安装、试运行和验收等问题）。</w:t>
      </w:r>
    </w:p>
    <w:p w14:paraId="727765C2">
      <w:pPr>
        <w:pStyle w:val="221"/>
        <w:ind w:firstLine="482" w:firstLineChars="200"/>
        <w:jc w:val="left"/>
        <w:rPr>
          <w:rFonts w:ascii="宋体" w:hAnsi="宋体" w:cs="宋体"/>
          <w:b/>
          <w:bCs/>
          <w:color w:val="auto"/>
          <w:sz w:val="24"/>
          <w:szCs w:val="24"/>
          <w:highlight w:val="none"/>
        </w:rPr>
      </w:pPr>
      <w:r>
        <w:rPr>
          <w:rFonts w:hint="eastAsia" w:ascii="宋体" w:hAnsi="宋体" w:cs="宋体"/>
          <w:b/>
          <w:bCs/>
          <w:color w:val="auto"/>
          <w:sz w:val="24"/>
          <w:szCs w:val="24"/>
          <w:highlight w:val="none"/>
        </w:rPr>
        <w:t>16.合同的变更、修改、中止和终止</w:t>
      </w:r>
    </w:p>
    <w:p w14:paraId="170753CA">
      <w:pPr>
        <w:pStyle w:val="221"/>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16.1.本合同一经生效，合同双方均不得擅自对本合同的内容（包括附件）作任何单方的修改。但任何一方均可以对合同内容以书面形式提出变更、修改、取消或补充的建议。该项建议应以书面形式通知对方。如果该项修改改变了合同价格和交货进度，应在收到上述修改通知书后的14个工作日内，提出影响合同价格和／或交货期的详细说明。双方一致同意变更合同内容，须经双方法定代表人或委托代理人（须经法定代表人书面授权委托）签字并加盖合同专用章后生效。</w:t>
      </w:r>
    </w:p>
    <w:p w14:paraId="11DF2AC0">
      <w:pPr>
        <w:pStyle w:val="221"/>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16.2.如果乙方有违反或拒绝执行本合同规定的行为时，甲方将用书面通知乙方，乙方在接到通知后</w:t>
      </w:r>
      <w:r>
        <w:rPr>
          <w:rFonts w:hint="eastAsia" w:ascii="宋体" w:hAnsi="宋体" w:cs="宋体"/>
          <w:color w:val="auto"/>
          <w:sz w:val="24"/>
          <w:szCs w:val="24"/>
          <w:highlight w:val="none"/>
          <w:u w:val="single"/>
        </w:rPr>
        <w:t>      </w:t>
      </w:r>
      <w:r>
        <w:rPr>
          <w:rFonts w:hint="eastAsia" w:ascii="宋体" w:hAnsi="宋体" w:cs="宋体"/>
          <w:color w:val="auto"/>
          <w:sz w:val="24"/>
          <w:szCs w:val="24"/>
          <w:highlight w:val="none"/>
        </w:rPr>
        <w:t>日内确认无误后应对违反或拒绝做出修正，如果认为在</w:t>
      </w:r>
      <w:r>
        <w:rPr>
          <w:rFonts w:hint="eastAsia" w:ascii="宋体" w:hAnsi="宋体" w:cs="宋体"/>
          <w:color w:val="auto"/>
          <w:sz w:val="24"/>
          <w:szCs w:val="24"/>
          <w:highlight w:val="none"/>
          <w:u w:val="single"/>
        </w:rPr>
        <w:t>   </w:t>
      </w:r>
      <w:r>
        <w:rPr>
          <w:rFonts w:hint="eastAsia" w:ascii="宋体" w:hAnsi="宋体" w:cs="宋体"/>
          <w:color w:val="auto"/>
          <w:sz w:val="24"/>
          <w:szCs w:val="24"/>
          <w:highlight w:val="none"/>
        </w:rPr>
        <w:t>日内来不及纠正时，应提出修正计划。如果得不到纠正或提不出修正计划，甲方将保留中止本合同的一部分或全部的权利。对于这种中止，甲方将不出具变更通知书，由此而发生的一切费用、损失和索赔将由乙方负担。如果乙方的违约行为本合同其他条款有明确规定，则按有关条款处理。</w:t>
      </w:r>
    </w:p>
    <w:p w14:paraId="0F617505">
      <w:pPr>
        <w:pStyle w:val="221"/>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16.3.如果甲方行使中止权利，甲方有权停付到期应向乙方支付中止部分的款项，并有权将在执行合同中预付给乙方的中止部分款项索回。</w:t>
      </w:r>
    </w:p>
    <w:p w14:paraId="02D9A9E4">
      <w:pPr>
        <w:pStyle w:val="221"/>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16.4.在合同执行过程中，若因国家计划调整而引起本合同无法正常执行时，甲方和／或乙方可以向对方提出中止执行合同或修改合同有关条款的建议，与之有关的事宜双方协商办理。</w:t>
      </w:r>
    </w:p>
    <w:p w14:paraId="7C2E2B7A">
      <w:pPr>
        <w:pStyle w:val="221"/>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16.5.当在合同（附件）中注明的原材料、外购件、外协厂的厂商、规格、产地、牌号、数量由于乙方原因，发生变更，需事先书面提交甲方确认同意，对此而引起对交货期的延迟影响，由乙方承担责任。</w:t>
      </w:r>
    </w:p>
    <w:p w14:paraId="5357503F">
      <w:pPr>
        <w:pStyle w:val="221"/>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16.6.如果乙方破产、产权变更（被兼并、合并、解体、注销）或无偿还能力，或为了债权人的利益在破产管理下经营其业务，甲方有权立即书面通知乙方或破产清算管理人或合同归属人终止合同，或向该破产管理人、清算人或该合同归属人提供选择，视其给出合理忠实履行合同的保证情况，可执行经过甲方同意的一部分合同。</w:t>
      </w:r>
    </w:p>
    <w:p w14:paraId="2593AE47">
      <w:pPr>
        <w:pStyle w:val="221"/>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16.7.若16.6款考虑的情况确实发生，甲方有权从乙方手中将与本合同设备有关的工作接管并收归己有，并在合理期限内从乙方的现场房屋中迁出所有与本合同设备有关的设计、图纸、说明和材料，这些东西的所有权已属甲方，乙方应给甲方提供全权处理并提供一切合理的方便，使其能搬走上述这类设计、图纸、说明和材料，甲方对这种终止合同直接或间接引起的对乙方的任何索赔不承担责任。此外，双方应对乙方已经实际履行的合同部分评价达成协议，并处理合同提前结束的一切后果。</w:t>
      </w:r>
    </w:p>
    <w:p w14:paraId="46B2421C">
      <w:pPr>
        <w:pStyle w:val="221"/>
        <w:ind w:firstLine="482" w:firstLineChars="200"/>
        <w:jc w:val="left"/>
        <w:rPr>
          <w:rFonts w:ascii="宋体" w:hAnsi="宋体" w:cs="宋体"/>
          <w:b/>
          <w:bCs/>
          <w:color w:val="auto"/>
          <w:sz w:val="24"/>
          <w:szCs w:val="24"/>
          <w:highlight w:val="none"/>
        </w:rPr>
      </w:pPr>
      <w:r>
        <w:rPr>
          <w:rFonts w:hint="eastAsia" w:ascii="宋体" w:hAnsi="宋体" w:cs="宋体"/>
          <w:b/>
          <w:bCs/>
          <w:color w:val="auto"/>
          <w:sz w:val="24"/>
          <w:szCs w:val="24"/>
          <w:highlight w:val="none"/>
        </w:rPr>
        <w:t>17.合同争议的解决</w:t>
      </w:r>
    </w:p>
    <w:p w14:paraId="2CF79211">
      <w:pPr>
        <w:pStyle w:val="221"/>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17.1.因本合同引起的或与本合同有关的任何争议，由合同各方协商解决，也可由有关部门调解。协商或调解不成的，应向奎屯市人民法院起诉。</w:t>
      </w:r>
    </w:p>
    <w:p w14:paraId="50CC2173">
      <w:pPr>
        <w:pStyle w:val="221"/>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17.2.法院判决对双方都有约束力。</w:t>
      </w:r>
    </w:p>
    <w:p w14:paraId="6DBDDFAE">
      <w:pPr>
        <w:pStyle w:val="221"/>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17.3.在法院审理期间，除法院审理规定的特殊事项外，合同仍应继续履行。</w:t>
      </w:r>
    </w:p>
    <w:p w14:paraId="49B88441">
      <w:pPr>
        <w:pStyle w:val="221"/>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17.4.如因乙方迟延交货超3日以上，甲方享有单方解除权。</w:t>
      </w:r>
    </w:p>
    <w:p w14:paraId="0CE49933">
      <w:pPr>
        <w:pStyle w:val="221"/>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17.5.因乙方违约造成甲方损失的，乙方除赔偿甲方相应损失外，还需承担甲方因此维权而产生的财产性损失（包括但不限于律师费、诉讼费、鉴定费、交通食宿费等）。</w:t>
      </w:r>
    </w:p>
    <w:p w14:paraId="73D17D55">
      <w:pPr>
        <w:pStyle w:val="221"/>
        <w:ind w:firstLine="482" w:firstLineChars="200"/>
        <w:jc w:val="left"/>
        <w:rPr>
          <w:rFonts w:ascii="宋体" w:hAnsi="宋体" w:cs="宋体"/>
          <w:b/>
          <w:bCs/>
          <w:color w:val="auto"/>
          <w:sz w:val="24"/>
          <w:szCs w:val="24"/>
          <w:highlight w:val="none"/>
        </w:rPr>
      </w:pPr>
      <w:r>
        <w:rPr>
          <w:rFonts w:hint="eastAsia" w:ascii="宋体" w:hAnsi="宋体" w:cs="宋体"/>
          <w:b/>
          <w:bCs/>
          <w:color w:val="auto"/>
          <w:sz w:val="24"/>
          <w:szCs w:val="24"/>
          <w:highlight w:val="none"/>
        </w:rPr>
        <w:t>18.合同生效</w:t>
      </w:r>
    </w:p>
    <w:p w14:paraId="092898BE">
      <w:pPr>
        <w:pStyle w:val="221"/>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18.1.本合同自</w:t>
      </w:r>
      <w:r>
        <w:rPr>
          <w:rFonts w:hint="eastAsia" w:ascii="宋体" w:hAnsi="宋体" w:cs="宋体"/>
          <w:color w:val="auto"/>
          <w:sz w:val="24"/>
          <w:szCs w:val="24"/>
          <w:highlight w:val="none"/>
          <w:u w:val="single"/>
        </w:rPr>
        <w:t>    </w:t>
      </w:r>
      <w:r>
        <w:rPr>
          <w:rFonts w:hint="eastAsia" w:ascii="宋体" w:hAnsi="宋体" w:cs="宋体"/>
          <w:color w:val="auto"/>
          <w:sz w:val="24"/>
          <w:szCs w:val="24"/>
          <w:highlight w:val="none"/>
        </w:rPr>
        <w:t>年</w:t>
      </w:r>
      <w:r>
        <w:rPr>
          <w:rFonts w:hint="eastAsia" w:ascii="宋体" w:hAnsi="宋体" w:cs="宋体"/>
          <w:color w:val="auto"/>
          <w:sz w:val="24"/>
          <w:szCs w:val="24"/>
          <w:highlight w:val="none"/>
          <w:u w:val="single"/>
        </w:rPr>
        <w:t>    </w:t>
      </w:r>
      <w:r>
        <w:rPr>
          <w:rFonts w:hint="eastAsia" w:ascii="宋体" w:hAnsi="宋体" w:cs="宋体"/>
          <w:color w:val="auto"/>
          <w:sz w:val="24"/>
          <w:szCs w:val="24"/>
          <w:highlight w:val="none"/>
        </w:rPr>
        <w:t>月</w:t>
      </w:r>
      <w:r>
        <w:rPr>
          <w:rFonts w:hint="eastAsia" w:ascii="宋体" w:hAnsi="宋体" w:cs="宋体"/>
          <w:color w:val="auto"/>
          <w:sz w:val="24"/>
          <w:szCs w:val="24"/>
          <w:highlight w:val="none"/>
          <w:u w:val="single"/>
        </w:rPr>
        <w:t>    </w:t>
      </w:r>
      <w:r>
        <w:rPr>
          <w:rFonts w:hint="eastAsia" w:ascii="宋体" w:hAnsi="宋体" w:cs="宋体"/>
          <w:color w:val="auto"/>
          <w:sz w:val="24"/>
          <w:szCs w:val="24"/>
          <w:highlight w:val="none"/>
        </w:rPr>
        <w:t>日起生效。</w:t>
      </w:r>
    </w:p>
    <w:p w14:paraId="68D2655B">
      <w:pPr>
        <w:pStyle w:val="221"/>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18.2.本合同有效期：从合同生效之日起到质保期满并理赔完毕货款两清之日止。</w:t>
      </w:r>
    </w:p>
    <w:p w14:paraId="60173B01">
      <w:pPr>
        <w:pStyle w:val="221"/>
        <w:ind w:firstLine="482" w:firstLineChars="200"/>
        <w:jc w:val="left"/>
        <w:rPr>
          <w:rFonts w:ascii="宋体" w:hAnsi="宋体" w:cs="宋体"/>
          <w:b/>
          <w:bCs/>
          <w:color w:val="auto"/>
          <w:sz w:val="24"/>
          <w:szCs w:val="24"/>
          <w:highlight w:val="none"/>
        </w:rPr>
      </w:pPr>
      <w:r>
        <w:rPr>
          <w:rFonts w:hint="eastAsia" w:ascii="宋体" w:hAnsi="宋体" w:cs="宋体"/>
          <w:b/>
          <w:bCs/>
          <w:color w:val="auto"/>
          <w:sz w:val="24"/>
          <w:szCs w:val="24"/>
          <w:highlight w:val="none"/>
        </w:rPr>
        <w:t>19.适用法律及其他</w:t>
      </w:r>
    </w:p>
    <w:p w14:paraId="41422BEF">
      <w:pPr>
        <w:pStyle w:val="221"/>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19.1.法律适用：本合同适用法律为中华人民共和国法律。</w:t>
      </w:r>
    </w:p>
    <w:p w14:paraId="43B09035">
      <w:pPr>
        <w:pStyle w:val="221"/>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19.2.权利义务的转让：双方任何一方未取得另一方事先同意前，不得将本合同项下的部分或全部权利或义务转让给第三方。</w:t>
      </w:r>
    </w:p>
    <w:p w14:paraId="43006C95">
      <w:pPr>
        <w:pStyle w:val="221"/>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19.3.保密：本合同项下双方相互提供的文件、资料，双方除为履行本合同之目的外，均不得提供给其他无关的第三方。</w:t>
      </w:r>
    </w:p>
    <w:p w14:paraId="21506DC3">
      <w:pPr>
        <w:pStyle w:val="221"/>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19.4.安全规定：乙方进入甲方厂区需遵守安全管理规定，因违反安全管理规定而造成的人身伤亡和财产损失由乙方承担责任。</w:t>
      </w:r>
    </w:p>
    <w:p w14:paraId="79DF2FF1">
      <w:pPr>
        <w:pStyle w:val="221"/>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19.5.双方代表：合同双方应指定二名授权代表，分别负责直接处理“本合同设备”的技术和商务问题。</w:t>
      </w:r>
    </w:p>
    <w:p w14:paraId="4331C7EC">
      <w:pPr>
        <w:pStyle w:val="221"/>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甲方代表：</w:t>
      </w:r>
      <w:r>
        <w:rPr>
          <w:rFonts w:hint="eastAsia" w:ascii="宋体" w:hAnsi="宋体" w:cs="宋体"/>
          <w:color w:val="auto"/>
          <w:sz w:val="24"/>
          <w:szCs w:val="24"/>
          <w:highlight w:val="none"/>
          <w:u w:val="single"/>
        </w:rPr>
        <w:t>                   </w:t>
      </w:r>
      <w:r>
        <w:rPr>
          <w:rFonts w:hint="eastAsia" w:ascii="宋体" w:hAnsi="宋体" w:cs="宋体"/>
          <w:color w:val="auto"/>
          <w:sz w:val="24"/>
          <w:szCs w:val="24"/>
          <w:highlight w:val="none"/>
        </w:rPr>
        <w:t>。</w:t>
      </w:r>
    </w:p>
    <w:p w14:paraId="34018C43">
      <w:pPr>
        <w:pStyle w:val="221"/>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联系方式：</w:t>
      </w:r>
      <w:r>
        <w:rPr>
          <w:rFonts w:hint="eastAsia" w:ascii="宋体" w:hAnsi="宋体" w:cs="宋体"/>
          <w:color w:val="auto"/>
          <w:sz w:val="24"/>
          <w:szCs w:val="24"/>
          <w:highlight w:val="none"/>
          <w:u w:val="single"/>
        </w:rPr>
        <w:t>                   </w:t>
      </w:r>
      <w:r>
        <w:rPr>
          <w:rFonts w:hint="eastAsia" w:ascii="宋体" w:hAnsi="宋体" w:cs="宋体"/>
          <w:color w:val="auto"/>
          <w:sz w:val="24"/>
          <w:szCs w:val="24"/>
          <w:highlight w:val="none"/>
        </w:rPr>
        <w:t>。</w:t>
      </w:r>
    </w:p>
    <w:p w14:paraId="43C41D21">
      <w:pPr>
        <w:pStyle w:val="221"/>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乙方代表：</w:t>
      </w:r>
      <w:r>
        <w:rPr>
          <w:rFonts w:hint="eastAsia" w:ascii="宋体" w:hAnsi="宋体" w:cs="宋体"/>
          <w:color w:val="auto"/>
          <w:sz w:val="24"/>
          <w:szCs w:val="24"/>
          <w:highlight w:val="none"/>
          <w:u w:val="single"/>
        </w:rPr>
        <w:t>                   </w:t>
      </w:r>
      <w:r>
        <w:rPr>
          <w:rFonts w:hint="eastAsia" w:ascii="宋体" w:hAnsi="宋体" w:cs="宋体"/>
          <w:color w:val="auto"/>
          <w:sz w:val="24"/>
          <w:szCs w:val="24"/>
          <w:highlight w:val="none"/>
        </w:rPr>
        <w:t>。</w:t>
      </w:r>
    </w:p>
    <w:p w14:paraId="7151B03D">
      <w:pPr>
        <w:pStyle w:val="221"/>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联系方式：</w:t>
      </w:r>
      <w:r>
        <w:rPr>
          <w:rFonts w:hint="eastAsia" w:ascii="宋体" w:hAnsi="宋体" w:cs="宋体"/>
          <w:color w:val="auto"/>
          <w:sz w:val="24"/>
          <w:szCs w:val="24"/>
          <w:highlight w:val="none"/>
          <w:u w:val="single"/>
        </w:rPr>
        <w:t>                   </w:t>
      </w:r>
      <w:r>
        <w:rPr>
          <w:rFonts w:hint="eastAsia" w:ascii="宋体" w:hAnsi="宋体" w:cs="宋体"/>
          <w:color w:val="auto"/>
          <w:sz w:val="24"/>
          <w:szCs w:val="24"/>
          <w:highlight w:val="none"/>
        </w:rPr>
        <w:t>。</w:t>
      </w:r>
    </w:p>
    <w:p w14:paraId="3A0A23E6">
      <w:pPr>
        <w:pStyle w:val="221"/>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19.6.未尽事宜：双方未尽事宜，通过友好协商解决，双方达成一致后签订补充协议，作为本合同的附件。</w:t>
      </w:r>
      <w:r>
        <w:rPr>
          <w:rFonts w:hint="eastAsia" w:ascii="宋体" w:hAnsi="宋体" w:cs="宋体"/>
          <w:b/>
          <w:bCs/>
          <w:color w:val="auto"/>
          <w:sz w:val="24"/>
          <w:szCs w:val="24"/>
          <w:highlight w:val="none"/>
        </w:rPr>
        <w:t>土建部分参照附件</w:t>
      </w:r>
      <w:r>
        <w:rPr>
          <w:rFonts w:hint="eastAsia" w:ascii="宋体" w:hAnsi="宋体" w:cs="宋体"/>
          <w:b/>
          <w:bCs/>
          <w:color w:val="auto"/>
          <w:sz w:val="24"/>
          <w:szCs w:val="24"/>
          <w:highlight w:val="none"/>
          <w:u w:val="single"/>
        </w:rPr>
        <w:t>      </w:t>
      </w:r>
    </w:p>
    <w:p w14:paraId="4AAE4171">
      <w:pPr>
        <w:pStyle w:val="221"/>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19.7.本合同一式</w:t>
      </w:r>
      <w:r>
        <w:rPr>
          <w:rFonts w:hint="eastAsia" w:ascii="宋体" w:hAnsi="宋体" w:cs="宋体"/>
          <w:color w:val="auto"/>
          <w:sz w:val="24"/>
          <w:szCs w:val="24"/>
          <w:highlight w:val="none"/>
          <w:u w:val="single"/>
        </w:rPr>
        <w:t>      </w:t>
      </w:r>
      <w:r>
        <w:rPr>
          <w:rFonts w:hint="eastAsia" w:ascii="宋体" w:hAnsi="宋体" w:cs="宋体"/>
          <w:color w:val="auto"/>
          <w:sz w:val="24"/>
          <w:szCs w:val="24"/>
          <w:highlight w:val="none"/>
        </w:rPr>
        <w:t>份，甲、乙双方各持</w:t>
      </w:r>
      <w:r>
        <w:rPr>
          <w:rFonts w:hint="eastAsia" w:ascii="宋体" w:hAnsi="宋体" w:cs="宋体"/>
          <w:color w:val="auto"/>
          <w:sz w:val="24"/>
          <w:szCs w:val="24"/>
          <w:highlight w:val="none"/>
          <w:u w:val="single"/>
        </w:rPr>
        <w:t>      </w:t>
      </w:r>
      <w:r>
        <w:rPr>
          <w:rFonts w:hint="eastAsia" w:ascii="宋体" w:hAnsi="宋体" w:cs="宋体"/>
          <w:color w:val="auto"/>
          <w:sz w:val="24"/>
          <w:szCs w:val="24"/>
          <w:highlight w:val="none"/>
        </w:rPr>
        <w:t>份。</w:t>
      </w:r>
    </w:p>
    <w:p w14:paraId="4478E218">
      <w:pPr>
        <w:pStyle w:val="221"/>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 </w:t>
      </w:r>
    </w:p>
    <w:p w14:paraId="02C28FE8">
      <w:pPr>
        <w:pStyle w:val="221"/>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签署时间：    年    月    日</w:t>
      </w:r>
    </w:p>
    <w:p w14:paraId="78F59BCA">
      <w:pPr>
        <w:pStyle w:val="221"/>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 </w:t>
      </w:r>
    </w:p>
    <w:p w14:paraId="3420CA8E">
      <w:pPr>
        <w:pStyle w:val="221"/>
        <w:ind w:firstLine="482" w:firstLineChars="200"/>
        <w:jc w:val="left"/>
        <w:rPr>
          <w:rFonts w:ascii="宋体" w:hAnsi="宋体" w:cs="宋体"/>
          <w:b/>
          <w:bCs/>
          <w:color w:val="auto"/>
          <w:sz w:val="24"/>
          <w:szCs w:val="24"/>
          <w:highlight w:val="none"/>
        </w:rPr>
      </w:pPr>
      <w:r>
        <w:rPr>
          <w:rFonts w:hint="eastAsia" w:ascii="宋体" w:hAnsi="宋体" w:cs="宋体"/>
          <w:b/>
          <w:bCs/>
          <w:color w:val="auto"/>
          <w:sz w:val="24"/>
          <w:szCs w:val="24"/>
          <w:highlight w:val="none"/>
        </w:rPr>
        <w:t>甲方（盖章）：</w:t>
      </w:r>
    </w:p>
    <w:p w14:paraId="10543320">
      <w:pPr>
        <w:pStyle w:val="221"/>
        <w:ind w:firstLine="482" w:firstLineChars="200"/>
        <w:jc w:val="left"/>
        <w:rPr>
          <w:rFonts w:ascii="宋体" w:hAnsi="宋体" w:cs="宋体"/>
          <w:b/>
          <w:bCs/>
          <w:color w:val="auto"/>
          <w:sz w:val="24"/>
          <w:szCs w:val="24"/>
          <w:highlight w:val="none"/>
        </w:rPr>
      </w:pPr>
      <w:r>
        <w:rPr>
          <w:rFonts w:hint="eastAsia" w:ascii="宋体" w:hAnsi="宋体" w:cs="宋体"/>
          <w:b/>
          <w:bCs/>
          <w:color w:val="auto"/>
          <w:sz w:val="24"/>
          <w:szCs w:val="24"/>
          <w:highlight w:val="none"/>
        </w:rPr>
        <w:t>法定代表人或授权代表（签字）：</w:t>
      </w:r>
    </w:p>
    <w:p w14:paraId="30BAC5CB">
      <w:pPr>
        <w:pStyle w:val="221"/>
        <w:ind w:firstLine="482" w:firstLineChars="200"/>
        <w:jc w:val="left"/>
        <w:rPr>
          <w:rFonts w:ascii="宋体" w:hAnsi="宋体" w:cs="宋体"/>
          <w:b/>
          <w:bCs/>
          <w:color w:val="auto"/>
          <w:sz w:val="24"/>
          <w:szCs w:val="24"/>
          <w:highlight w:val="none"/>
        </w:rPr>
      </w:pPr>
      <w:r>
        <w:rPr>
          <w:rFonts w:hint="eastAsia" w:ascii="宋体" w:hAnsi="宋体" w:cs="宋体"/>
          <w:b/>
          <w:bCs/>
          <w:color w:val="auto"/>
          <w:sz w:val="24"/>
          <w:szCs w:val="24"/>
          <w:highlight w:val="none"/>
        </w:rPr>
        <w:t> </w:t>
      </w:r>
    </w:p>
    <w:p w14:paraId="0E74480D">
      <w:pPr>
        <w:pStyle w:val="221"/>
        <w:ind w:firstLine="482" w:firstLineChars="200"/>
        <w:jc w:val="left"/>
        <w:rPr>
          <w:rFonts w:ascii="宋体" w:hAnsi="宋体" w:cs="宋体"/>
          <w:b/>
          <w:bCs/>
          <w:color w:val="auto"/>
          <w:sz w:val="24"/>
          <w:szCs w:val="24"/>
          <w:highlight w:val="none"/>
        </w:rPr>
      </w:pPr>
      <w:r>
        <w:rPr>
          <w:rFonts w:hint="eastAsia" w:ascii="宋体" w:hAnsi="宋体" w:cs="宋体"/>
          <w:b/>
          <w:bCs/>
          <w:color w:val="auto"/>
          <w:sz w:val="24"/>
          <w:szCs w:val="24"/>
          <w:highlight w:val="none"/>
        </w:rPr>
        <w:t>乙方（盖章）：</w:t>
      </w:r>
    </w:p>
    <w:p w14:paraId="3B050A64">
      <w:pPr>
        <w:pStyle w:val="221"/>
        <w:ind w:firstLine="482" w:firstLineChars="200"/>
        <w:jc w:val="left"/>
        <w:rPr>
          <w:rFonts w:ascii="宋体" w:hAnsi="宋体" w:cs="宋体"/>
          <w:color w:val="auto"/>
          <w:sz w:val="24"/>
          <w:szCs w:val="24"/>
          <w:highlight w:val="none"/>
        </w:rPr>
      </w:pPr>
      <w:r>
        <w:rPr>
          <w:rFonts w:hint="eastAsia" w:ascii="宋体" w:hAnsi="宋体" w:cs="宋体"/>
          <w:b/>
          <w:bCs/>
          <w:color w:val="auto"/>
          <w:sz w:val="24"/>
          <w:szCs w:val="24"/>
          <w:highlight w:val="none"/>
        </w:rPr>
        <w:t>法定代表人或授权代表（签字）：</w:t>
      </w:r>
    </w:p>
    <w:p w14:paraId="3106BDF7">
      <w:pPr>
        <w:rPr>
          <w:rFonts w:ascii="宋体" w:hAnsi="宋体" w:cs="宋体"/>
          <w:color w:val="auto"/>
          <w:sz w:val="24"/>
          <w:szCs w:val="24"/>
          <w:highlight w:val="none"/>
        </w:rPr>
      </w:pPr>
      <w:r>
        <w:rPr>
          <w:rFonts w:ascii="宋体" w:hAnsi="宋体" w:cs="宋体"/>
          <w:color w:val="auto"/>
          <w:sz w:val="24"/>
          <w:szCs w:val="24"/>
          <w:highlight w:val="none"/>
        </w:rPr>
        <w:br w:type="page"/>
      </w:r>
    </w:p>
    <w:p w14:paraId="04277584">
      <w:pPr>
        <w:pStyle w:val="221"/>
        <w:jc w:val="left"/>
        <w:rPr>
          <w:rFonts w:ascii="宋体" w:hAnsi="宋体" w:cs="宋体"/>
          <w:color w:val="auto"/>
          <w:sz w:val="24"/>
          <w:szCs w:val="24"/>
          <w:highlight w:val="none"/>
        </w:rPr>
      </w:pPr>
    </w:p>
    <w:p w14:paraId="34E7943C">
      <w:pPr>
        <w:pStyle w:val="36"/>
        <w:widowControl w:val="0"/>
        <w:spacing w:line="560" w:lineRule="exact"/>
        <w:ind w:firstLine="723" w:firstLineChars="200"/>
        <w:jc w:val="center"/>
        <w:outlineLvl w:val="0"/>
        <w:rPr>
          <w:color w:val="auto"/>
          <w:highlight w:val="none"/>
        </w:rPr>
      </w:pPr>
      <w:bookmarkStart w:id="33" w:name="_Toc12867"/>
      <w:bookmarkStart w:id="34" w:name="_Toc529282263"/>
      <w:r>
        <w:rPr>
          <w:rFonts w:hint="eastAsia"/>
          <w:b/>
          <w:color w:val="auto"/>
          <w:sz w:val="36"/>
          <w:szCs w:val="36"/>
          <w:highlight w:val="none"/>
        </w:rPr>
        <w:t>第五章  采购需求</w:t>
      </w:r>
      <w:bookmarkEnd w:id="33"/>
      <w:bookmarkEnd w:id="34"/>
    </w:p>
    <w:p w14:paraId="021142CA">
      <w:pPr>
        <w:tabs>
          <w:tab w:val="left" w:pos="2500"/>
        </w:tabs>
        <w:jc w:val="left"/>
        <w:rPr>
          <w:color w:val="auto"/>
          <w:highlight w:val="none"/>
        </w:rPr>
      </w:pPr>
    </w:p>
    <w:tbl>
      <w:tblPr>
        <w:tblStyle w:val="40"/>
        <w:tblW w:w="947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38"/>
        <w:gridCol w:w="3509"/>
        <w:gridCol w:w="704"/>
        <w:gridCol w:w="766"/>
        <w:gridCol w:w="2264"/>
        <w:gridCol w:w="1391"/>
      </w:tblGrid>
      <w:tr w14:paraId="4B301A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838" w:type="dxa"/>
            <w:tcBorders>
              <w:top w:val="single" w:color="000000" w:sz="4" w:space="0"/>
              <w:left w:val="single" w:color="000000" w:sz="4" w:space="0"/>
              <w:bottom w:val="single" w:color="000000" w:sz="4" w:space="0"/>
              <w:right w:val="single" w:color="000000" w:sz="4" w:space="0"/>
            </w:tcBorders>
            <w:noWrap w:val="0"/>
            <w:vAlign w:val="center"/>
          </w:tcPr>
          <w:p w14:paraId="5F59CDF3">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序号</w:t>
            </w:r>
          </w:p>
        </w:tc>
        <w:tc>
          <w:tcPr>
            <w:tcW w:w="3509" w:type="dxa"/>
            <w:tcBorders>
              <w:top w:val="single" w:color="000000" w:sz="4" w:space="0"/>
              <w:left w:val="single" w:color="000000" w:sz="4" w:space="0"/>
              <w:bottom w:val="single" w:color="000000" w:sz="4" w:space="0"/>
              <w:right w:val="single" w:color="000000" w:sz="4" w:space="0"/>
            </w:tcBorders>
            <w:noWrap w:val="0"/>
            <w:vAlign w:val="center"/>
          </w:tcPr>
          <w:p w14:paraId="1CC5E94F">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产品名称</w:t>
            </w:r>
          </w:p>
        </w:tc>
        <w:tc>
          <w:tcPr>
            <w:tcW w:w="704" w:type="dxa"/>
            <w:tcBorders>
              <w:top w:val="single" w:color="000000" w:sz="4" w:space="0"/>
              <w:left w:val="single" w:color="000000" w:sz="4" w:space="0"/>
              <w:bottom w:val="single" w:color="000000" w:sz="4" w:space="0"/>
              <w:right w:val="single" w:color="000000" w:sz="4" w:space="0"/>
            </w:tcBorders>
            <w:noWrap w:val="0"/>
            <w:vAlign w:val="center"/>
          </w:tcPr>
          <w:p w14:paraId="2ADC20AC">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数量</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53DBA92">
            <w:pPr>
              <w:keepNext w:val="0"/>
              <w:keepLines w:val="0"/>
              <w:widowControl/>
              <w:suppressLineNumbers w:val="0"/>
              <w:jc w:val="center"/>
              <w:textAlignment w:val="center"/>
              <w:rPr>
                <w:rFonts w:hint="eastAsia" w:ascii="宋体" w:hAnsi="宋体" w:eastAsia="宋体" w:cs="宋体"/>
                <w:b/>
                <w:bCs/>
                <w:i w:val="0"/>
                <w:iCs w:val="0"/>
                <w:color w:val="auto"/>
                <w:kern w:val="2"/>
                <w:sz w:val="21"/>
                <w:szCs w:val="21"/>
                <w:u w:val="none"/>
                <w:lang w:val="en-US" w:eastAsia="zh-CN" w:bidi="ar-SA"/>
              </w:rPr>
            </w:pPr>
            <w:r>
              <w:rPr>
                <w:rFonts w:hint="eastAsia" w:ascii="宋体" w:hAnsi="宋体" w:eastAsia="宋体" w:cs="宋体"/>
                <w:b/>
                <w:bCs/>
                <w:i w:val="0"/>
                <w:iCs w:val="0"/>
                <w:color w:val="auto"/>
                <w:kern w:val="0"/>
                <w:sz w:val="21"/>
                <w:szCs w:val="21"/>
                <w:u w:val="none"/>
                <w:lang w:val="en-US" w:eastAsia="zh-CN" w:bidi="ar"/>
              </w:rPr>
              <w:t>单位</w:t>
            </w:r>
          </w:p>
        </w:tc>
        <w:tc>
          <w:tcPr>
            <w:tcW w:w="2264" w:type="dxa"/>
            <w:tcBorders>
              <w:top w:val="single" w:color="000000" w:sz="4" w:space="0"/>
              <w:left w:val="single" w:color="000000" w:sz="4" w:space="0"/>
              <w:bottom w:val="single" w:color="000000" w:sz="4" w:space="0"/>
              <w:right w:val="single" w:color="000000" w:sz="4" w:space="0"/>
            </w:tcBorders>
            <w:noWrap w:val="0"/>
            <w:vAlign w:val="center"/>
          </w:tcPr>
          <w:p w14:paraId="5D4BAD68">
            <w:pPr>
              <w:keepNext w:val="0"/>
              <w:keepLines w:val="0"/>
              <w:widowControl/>
              <w:suppressLineNumbers w:val="0"/>
              <w:jc w:val="center"/>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b/>
                <w:bCs/>
                <w:i w:val="0"/>
                <w:iCs w:val="0"/>
                <w:color w:val="auto"/>
                <w:kern w:val="0"/>
                <w:sz w:val="21"/>
                <w:szCs w:val="21"/>
                <w:u w:val="none"/>
                <w:lang w:val="en-US" w:eastAsia="zh-CN" w:bidi="ar"/>
              </w:rPr>
              <w:t>中小企业划分标准所属行业</w:t>
            </w:r>
          </w:p>
        </w:tc>
        <w:tc>
          <w:tcPr>
            <w:tcW w:w="1391" w:type="dxa"/>
            <w:tcBorders>
              <w:top w:val="single" w:color="000000" w:sz="4" w:space="0"/>
              <w:left w:val="single" w:color="000000" w:sz="4" w:space="0"/>
              <w:bottom w:val="single" w:color="000000" w:sz="4" w:space="0"/>
              <w:right w:val="single" w:color="000000" w:sz="4" w:space="0"/>
            </w:tcBorders>
            <w:noWrap w:val="0"/>
            <w:vAlign w:val="center"/>
          </w:tcPr>
          <w:p w14:paraId="00DE2D66">
            <w:pPr>
              <w:keepNext w:val="0"/>
              <w:keepLines w:val="0"/>
              <w:widowControl/>
              <w:suppressLineNumbers w:val="0"/>
              <w:jc w:val="center"/>
              <w:textAlignment w:val="center"/>
              <w:rPr>
                <w:rFonts w:hint="default" w:ascii="宋体" w:hAnsi="宋体" w:eastAsia="宋体" w:cs="宋体"/>
                <w:b/>
                <w:bCs/>
                <w:i w:val="0"/>
                <w:iCs w:val="0"/>
                <w:color w:val="auto"/>
                <w:kern w:val="0"/>
                <w:sz w:val="21"/>
                <w:szCs w:val="21"/>
                <w:u w:val="none"/>
                <w:lang w:val="en-US" w:eastAsia="zh-CN" w:bidi="ar"/>
              </w:rPr>
            </w:pPr>
            <w:r>
              <w:rPr>
                <w:rFonts w:hint="eastAsia" w:ascii="宋体" w:hAnsi="宋体" w:cs="宋体"/>
                <w:b/>
                <w:bCs/>
                <w:i w:val="0"/>
                <w:iCs w:val="0"/>
                <w:color w:val="auto"/>
                <w:kern w:val="0"/>
                <w:sz w:val="21"/>
                <w:szCs w:val="21"/>
                <w:u w:val="none"/>
                <w:lang w:val="en-US" w:eastAsia="zh-CN" w:bidi="ar"/>
              </w:rPr>
              <w:t>备注</w:t>
            </w:r>
          </w:p>
        </w:tc>
      </w:tr>
      <w:tr w14:paraId="14FB5F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838" w:type="dxa"/>
            <w:tcBorders>
              <w:top w:val="single" w:color="000000" w:sz="4" w:space="0"/>
              <w:left w:val="single" w:color="000000" w:sz="4" w:space="0"/>
              <w:bottom w:val="single" w:color="000000" w:sz="4" w:space="0"/>
              <w:right w:val="single" w:color="000000" w:sz="4" w:space="0"/>
            </w:tcBorders>
            <w:noWrap w:val="0"/>
            <w:vAlign w:val="center"/>
          </w:tcPr>
          <w:p w14:paraId="16D3C99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18"/>
                <w:szCs w:val="18"/>
                <w:u w:val="none"/>
                <w:lang w:val="en-US" w:eastAsia="zh-CN" w:bidi="ar"/>
              </w:rPr>
              <w:t>1</w:t>
            </w:r>
          </w:p>
        </w:tc>
        <w:tc>
          <w:tcPr>
            <w:tcW w:w="3509" w:type="dxa"/>
            <w:tcBorders>
              <w:top w:val="single" w:color="000000" w:sz="4" w:space="0"/>
              <w:left w:val="single" w:color="000000" w:sz="4" w:space="0"/>
              <w:bottom w:val="single" w:color="000000" w:sz="4" w:space="0"/>
              <w:right w:val="single" w:color="000000" w:sz="4" w:space="0"/>
            </w:tcBorders>
            <w:noWrap w:val="0"/>
            <w:vAlign w:val="center"/>
          </w:tcPr>
          <w:p w14:paraId="7FD6F362">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18"/>
                <w:szCs w:val="18"/>
                <w:u w:val="none"/>
                <w:lang w:val="en-US" w:eastAsia="zh-CN" w:bidi="ar"/>
              </w:rPr>
              <w:t>智能寄包柜</w:t>
            </w:r>
          </w:p>
        </w:tc>
        <w:tc>
          <w:tcPr>
            <w:tcW w:w="704" w:type="dxa"/>
            <w:tcBorders>
              <w:top w:val="single" w:color="000000" w:sz="4" w:space="0"/>
              <w:left w:val="single" w:color="000000" w:sz="4" w:space="0"/>
              <w:bottom w:val="single" w:color="000000" w:sz="4" w:space="0"/>
              <w:right w:val="single" w:color="000000" w:sz="4" w:space="0"/>
            </w:tcBorders>
            <w:noWrap w:val="0"/>
            <w:vAlign w:val="center"/>
          </w:tcPr>
          <w:p w14:paraId="5388810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18"/>
                <w:szCs w:val="18"/>
                <w:u w:val="none"/>
                <w:lang w:val="en-US" w:eastAsia="zh-CN" w:bidi="ar"/>
              </w:rPr>
              <w:t>10</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EDFD3E1">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18"/>
                <w:szCs w:val="18"/>
                <w:u w:val="none"/>
                <w:lang w:val="en-US" w:eastAsia="zh-CN" w:bidi="ar"/>
              </w:rPr>
              <w:t>套</w:t>
            </w:r>
          </w:p>
        </w:tc>
        <w:tc>
          <w:tcPr>
            <w:tcW w:w="2264" w:type="dxa"/>
            <w:tcBorders>
              <w:top w:val="single" w:color="000000" w:sz="4" w:space="0"/>
              <w:left w:val="single" w:color="000000" w:sz="4" w:space="0"/>
              <w:bottom w:val="single" w:color="000000" w:sz="4" w:space="0"/>
              <w:right w:val="single" w:color="000000" w:sz="4" w:space="0"/>
            </w:tcBorders>
            <w:noWrap w:val="0"/>
            <w:vAlign w:val="center"/>
          </w:tcPr>
          <w:p w14:paraId="169E59E9">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cs="宋体"/>
                <w:color w:val="auto"/>
                <w:kern w:val="0"/>
                <w:sz w:val="18"/>
                <w:szCs w:val="18"/>
                <w:highlight w:val="none"/>
                <w:vertAlign w:val="baseline"/>
                <w:lang w:val="en-US" w:eastAsia="zh-CN" w:bidi="ar"/>
              </w:rPr>
              <w:t>软件和信息技术服务业</w:t>
            </w:r>
          </w:p>
        </w:tc>
        <w:tc>
          <w:tcPr>
            <w:tcW w:w="1391" w:type="dxa"/>
            <w:tcBorders>
              <w:top w:val="single" w:color="000000" w:sz="4" w:space="0"/>
              <w:left w:val="single" w:color="000000" w:sz="4" w:space="0"/>
              <w:bottom w:val="single" w:color="000000" w:sz="4" w:space="0"/>
              <w:right w:val="single" w:color="000000" w:sz="4" w:space="0"/>
            </w:tcBorders>
            <w:noWrap w:val="0"/>
            <w:vAlign w:val="center"/>
          </w:tcPr>
          <w:p w14:paraId="18F6E3C3">
            <w:pPr>
              <w:keepNext w:val="0"/>
              <w:keepLines w:val="0"/>
              <w:widowControl/>
              <w:suppressLineNumbers w:val="0"/>
              <w:jc w:val="center"/>
              <w:textAlignment w:val="center"/>
              <w:rPr>
                <w:rFonts w:hint="eastAsia" w:cs="宋体"/>
                <w:color w:val="auto"/>
                <w:kern w:val="0"/>
                <w:sz w:val="18"/>
                <w:szCs w:val="18"/>
                <w:highlight w:val="none"/>
                <w:vertAlign w:val="baseline"/>
                <w:lang w:val="en-US" w:eastAsia="zh-CN" w:bidi="ar"/>
              </w:rPr>
            </w:pPr>
          </w:p>
        </w:tc>
      </w:tr>
      <w:tr w14:paraId="37C472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838" w:type="dxa"/>
            <w:tcBorders>
              <w:top w:val="single" w:color="000000" w:sz="4" w:space="0"/>
              <w:left w:val="single" w:color="000000" w:sz="4" w:space="0"/>
              <w:bottom w:val="single" w:color="000000" w:sz="4" w:space="0"/>
              <w:right w:val="single" w:color="000000" w:sz="4" w:space="0"/>
            </w:tcBorders>
            <w:noWrap w:val="0"/>
            <w:vAlign w:val="center"/>
          </w:tcPr>
          <w:p w14:paraId="437D2A6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18"/>
                <w:szCs w:val="18"/>
                <w:u w:val="none"/>
                <w:lang w:val="en-US" w:eastAsia="zh-CN" w:bidi="ar"/>
              </w:rPr>
              <w:t>2</w:t>
            </w:r>
          </w:p>
        </w:tc>
        <w:tc>
          <w:tcPr>
            <w:tcW w:w="3509" w:type="dxa"/>
            <w:tcBorders>
              <w:top w:val="single" w:color="000000" w:sz="4" w:space="0"/>
              <w:left w:val="single" w:color="000000" w:sz="4" w:space="0"/>
              <w:bottom w:val="single" w:color="000000" w:sz="4" w:space="0"/>
              <w:right w:val="single" w:color="000000" w:sz="4" w:space="0"/>
            </w:tcBorders>
            <w:noWrap w:val="0"/>
            <w:vAlign w:val="center"/>
          </w:tcPr>
          <w:p w14:paraId="63AB0D68">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18"/>
                <w:szCs w:val="18"/>
                <w:u w:val="none"/>
                <w:lang w:val="en-US" w:eastAsia="zh-CN" w:bidi="ar"/>
              </w:rPr>
              <w:t>电子图书借阅机</w:t>
            </w:r>
          </w:p>
        </w:tc>
        <w:tc>
          <w:tcPr>
            <w:tcW w:w="704" w:type="dxa"/>
            <w:tcBorders>
              <w:top w:val="single" w:color="000000" w:sz="4" w:space="0"/>
              <w:left w:val="single" w:color="000000" w:sz="4" w:space="0"/>
              <w:bottom w:val="single" w:color="000000" w:sz="4" w:space="0"/>
              <w:right w:val="single" w:color="000000" w:sz="4" w:space="0"/>
            </w:tcBorders>
            <w:noWrap w:val="0"/>
            <w:vAlign w:val="center"/>
          </w:tcPr>
          <w:p w14:paraId="6A071E9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18"/>
                <w:szCs w:val="18"/>
                <w:u w:val="none"/>
                <w:lang w:val="en-US" w:eastAsia="zh-CN" w:bidi="ar"/>
              </w:rPr>
              <w:t>2</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A804D99">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18"/>
                <w:szCs w:val="18"/>
                <w:u w:val="none"/>
                <w:lang w:val="en-US" w:eastAsia="zh-CN" w:bidi="ar"/>
              </w:rPr>
              <w:t>套</w:t>
            </w:r>
          </w:p>
        </w:tc>
        <w:tc>
          <w:tcPr>
            <w:tcW w:w="2264" w:type="dxa"/>
            <w:tcBorders>
              <w:top w:val="single" w:color="000000" w:sz="4" w:space="0"/>
              <w:left w:val="single" w:color="000000" w:sz="4" w:space="0"/>
              <w:bottom w:val="single" w:color="000000" w:sz="4" w:space="0"/>
              <w:right w:val="single" w:color="000000" w:sz="4" w:space="0"/>
            </w:tcBorders>
            <w:noWrap w:val="0"/>
            <w:vAlign w:val="center"/>
          </w:tcPr>
          <w:p w14:paraId="7C71B864">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cs="宋体"/>
                <w:color w:val="auto"/>
                <w:kern w:val="0"/>
                <w:sz w:val="18"/>
                <w:szCs w:val="18"/>
                <w:highlight w:val="none"/>
                <w:vertAlign w:val="baseline"/>
                <w:lang w:val="en-US" w:eastAsia="zh-CN" w:bidi="ar"/>
              </w:rPr>
              <w:t>软件和信息技术服务业</w:t>
            </w:r>
          </w:p>
        </w:tc>
        <w:tc>
          <w:tcPr>
            <w:tcW w:w="1391" w:type="dxa"/>
            <w:tcBorders>
              <w:top w:val="single" w:color="000000" w:sz="4" w:space="0"/>
              <w:left w:val="single" w:color="000000" w:sz="4" w:space="0"/>
              <w:bottom w:val="single" w:color="000000" w:sz="4" w:space="0"/>
              <w:right w:val="single" w:color="000000" w:sz="4" w:space="0"/>
            </w:tcBorders>
            <w:noWrap w:val="0"/>
            <w:vAlign w:val="center"/>
          </w:tcPr>
          <w:p w14:paraId="735D8689">
            <w:pPr>
              <w:keepNext w:val="0"/>
              <w:keepLines w:val="0"/>
              <w:widowControl/>
              <w:suppressLineNumbers w:val="0"/>
              <w:jc w:val="center"/>
              <w:textAlignment w:val="center"/>
              <w:rPr>
                <w:rFonts w:hint="default" w:cs="宋体"/>
                <w:color w:val="auto"/>
                <w:kern w:val="0"/>
                <w:sz w:val="18"/>
                <w:szCs w:val="18"/>
                <w:highlight w:val="none"/>
                <w:vertAlign w:val="baseline"/>
                <w:lang w:val="en-US" w:eastAsia="zh-CN" w:bidi="ar"/>
              </w:rPr>
            </w:pPr>
            <w:r>
              <w:rPr>
                <w:rFonts w:hint="eastAsia" w:cs="宋体"/>
                <w:color w:val="auto"/>
                <w:kern w:val="0"/>
                <w:sz w:val="18"/>
                <w:szCs w:val="18"/>
                <w:highlight w:val="none"/>
                <w:vertAlign w:val="baseline"/>
                <w:lang w:val="en-US" w:eastAsia="zh-CN" w:bidi="ar"/>
              </w:rPr>
              <w:t>核心产品</w:t>
            </w:r>
          </w:p>
        </w:tc>
      </w:tr>
      <w:tr w14:paraId="7808C1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838" w:type="dxa"/>
            <w:tcBorders>
              <w:top w:val="single" w:color="000000" w:sz="4" w:space="0"/>
              <w:left w:val="single" w:color="000000" w:sz="4" w:space="0"/>
              <w:bottom w:val="single" w:color="000000" w:sz="4" w:space="0"/>
              <w:right w:val="single" w:color="000000" w:sz="4" w:space="0"/>
            </w:tcBorders>
            <w:noWrap w:val="0"/>
            <w:vAlign w:val="center"/>
          </w:tcPr>
          <w:p w14:paraId="193A593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18"/>
                <w:szCs w:val="18"/>
                <w:u w:val="none"/>
                <w:lang w:val="en-US" w:eastAsia="zh-CN" w:bidi="ar"/>
              </w:rPr>
              <w:t>3</w:t>
            </w:r>
          </w:p>
        </w:tc>
        <w:tc>
          <w:tcPr>
            <w:tcW w:w="3509" w:type="dxa"/>
            <w:tcBorders>
              <w:top w:val="single" w:color="000000" w:sz="4" w:space="0"/>
              <w:left w:val="single" w:color="000000" w:sz="4" w:space="0"/>
              <w:bottom w:val="single" w:color="000000" w:sz="4" w:space="0"/>
              <w:right w:val="single" w:color="000000" w:sz="4" w:space="0"/>
            </w:tcBorders>
            <w:noWrap w:val="0"/>
            <w:vAlign w:val="center"/>
          </w:tcPr>
          <w:p w14:paraId="38A3D279">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18"/>
                <w:szCs w:val="18"/>
                <w:u w:val="none"/>
                <w:lang w:val="en-US" w:eastAsia="zh-CN" w:bidi="ar"/>
              </w:rPr>
              <w:t>电子报刊借阅机</w:t>
            </w:r>
          </w:p>
        </w:tc>
        <w:tc>
          <w:tcPr>
            <w:tcW w:w="704" w:type="dxa"/>
            <w:tcBorders>
              <w:top w:val="single" w:color="000000" w:sz="4" w:space="0"/>
              <w:left w:val="single" w:color="000000" w:sz="4" w:space="0"/>
              <w:bottom w:val="single" w:color="000000" w:sz="4" w:space="0"/>
              <w:right w:val="single" w:color="000000" w:sz="4" w:space="0"/>
            </w:tcBorders>
            <w:noWrap w:val="0"/>
            <w:vAlign w:val="center"/>
          </w:tcPr>
          <w:p w14:paraId="5908B59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18"/>
                <w:szCs w:val="18"/>
                <w:u w:val="none"/>
                <w:lang w:val="en-US" w:eastAsia="zh-CN" w:bidi="ar"/>
              </w:rPr>
              <w:t>2</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7A33DCB">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18"/>
                <w:szCs w:val="18"/>
                <w:u w:val="none"/>
                <w:lang w:val="en-US" w:eastAsia="zh-CN" w:bidi="ar"/>
              </w:rPr>
              <w:t>套</w:t>
            </w:r>
          </w:p>
        </w:tc>
        <w:tc>
          <w:tcPr>
            <w:tcW w:w="2264" w:type="dxa"/>
            <w:tcBorders>
              <w:top w:val="single" w:color="000000" w:sz="4" w:space="0"/>
              <w:left w:val="single" w:color="000000" w:sz="4" w:space="0"/>
              <w:bottom w:val="single" w:color="000000" w:sz="4" w:space="0"/>
              <w:right w:val="single" w:color="000000" w:sz="4" w:space="0"/>
            </w:tcBorders>
            <w:noWrap w:val="0"/>
            <w:vAlign w:val="center"/>
          </w:tcPr>
          <w:p w14:paraId="2D10918B">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cs="宋体"/>
                <w:color w:val="auto"/>
                <w:kern w:val="0"/>
                <w:sz w:val="18"/>
                <w:szCs w:val="18"/>
                <w:highlight w:val="none"/>
                <w:vertAlign w:val="baseline"/>
                <w:lang w:val="en-US" w:eastAsia="zh-CN" w:bidi="ar"/>
              </w:rPr>
              <w:t>软件和信息技术服务业</w:t>
            </w:r>
          </w:p>
        </w:tc>
        <w:tc>
          <w:tcPr>
            <w:tcW w:w="1391" w:type="dxa"/>
            <w:tcBorders>
              <w:top w:val="single" w:color="000000" w:sz="4" w:space="0"/>
              <w:left w:val="single" w:color="000000" w:sz="4" w:space="0"/>
              <w:bottom w:val="single" w:color="000000" w:sz="4" w:space="0"/>
              <w:right w:val="single" w:color="000000" w:sz="4" w:space="0"/>
            </w:tcBorders>
            <w:noWrap w:val="0"/>
            <w:vAlign w:val="center"/>
          </w:tcPr>
          <w:p w14:paraId="61AC4133">
            <w:pPr>
              <w:keepNext w:val="0"/>
              <w:keepLines w:val="0"/>
              <w:widowControl/>
              <w:suppressLineNumbers w:val="0"/>
              <w:jc w:val="center"/>
              <w:textAlignment w:val="center"/>
              <w:rPr>
                <w:rFonts w:hint="default" w:cs="宋体"/>
                <w:color w:val="auto"/>
                <w:kern w:val="0"/>
                <w:sz w:val="18"/>
                <w:szCs w:val="18"/>
                <w:highlight w:val="none"/>
                <w:vertAlign w:val="baseline"/>
                <w:lang w:val="en-US" w:eastAsia="zh-CN" w:bidi="ar"/>
              </w:rPr>
            </w:pPr>
            <w:r>
              <w:rPr>
                <w:rFonts w:hint="eastAsia" w:cs="宋体"/>
                <w:color w:val="auto"/>
                <w:kern w:val="0"/>
                <w:sz w:val="18"/>
                <w:szCs w:val="18"/>
                <w:highlight w:val="none"/>
                <w:vertAlign w:val="baseline"/>
                <w:lang w:val="en-US" w:eastAsia="zh-CN" w:bidi="ar"/>
              </w:rPr>
              <w:t>核心产品</w:t>
            </w:r>
          </w:p>
        </w:tc>
      </w:tr>
      <w:tr w14:paraId="0689CF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838" w:type="dxa"/>
            <w:tcBorders>
              <w:top w:val="single" w:color="000000" w:sz="4" w:space="0"/>
              <w:left w:val="single" w:color="000000" w:sz="4" w:space="0"/>
              <w:bottom w:val="single" w:color="000000" w:sz="4" w:space="0"/>
              <w:right w:val="single" w:color="000000" w:sz="4" w:space="0"/>
            </w:tcBorders>
            <w:noWrap w:val="0"/>
            <w:vAlign w:val="center"/>
          </w:tcPr>
          <w:p w14:paraId="44FA50F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18"/>
                <w:szCs w:val="18"/>
                <w:u w:val="none"/>
                <w:lang w:val="en-US" w:eastAsia="zh-CN" w:bidi="ar"/>
              </w:rPr>
              <w:t>4</w:t>
            </w:r>
          </w:p>
        </w:tc>
        <w:tc>
          <w:tcPr>
            <w:tcW w:w="3509" w:type="dxa"/>
            <w:tcBorders>
              <w:top w:val="single" w:color="000000" w:sz="4" w:space="0"/>
              <w:left w:val="single" w:color="000000" w:sz="4" w:space="0"/>
              <w:bottom w:val="single" w:color="000000" w:sz="4" w:space="0"/>
              <w:right w:val="single" w:color="000000" w:sz="4" w:space="0"/>
            </w:tcBorders>
            <w:noWrap w:val="0"/>
            <w:vAlign w:val="center"/>
          </w:tcPr>
          <w:p w14:paraId="5665F884">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18"/>
                <w:szCs w:val="18"/>
                <w:u w:val="none"/>
                <w:lang w:val="en-US" w:eastAsia="zh-CN" w:bidi="ar"/>
              </w:rPr>
              <w:t>纸电一体化管理平台</w:t>
            </w:r>
          </w:p>
        </w:tc>
        <w:tc>
          <w:tcPr>
            <w:tcW w:w="704" w:type="dxa"/>
            <w:tcBorders>
              <w:top w:val="single" w:color="000000" w:sz="4" w:space="0"/>
              <w:left w:val="single" w:color="000000" w:sz="4" w:space="0"/>
              <w:bottom w:val="single" w:color="000000" w:sz="4" w:space="0"/>
              <w:right w:val="single" w:color="000000" w:sz="4" w:space="0"/>
            </w:tcBorders>
            <w:noWrap w:val="0"/>
            <w:vAlign w:val="center"/>
          </w:tcPr>
          <w:p w14:paraId="6DC4440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18"/>
                <w:szCs w:val="18"/>
                <w:u w:val="none"/>
                <w:lang w:val="en-US" w:eastAsia="zh-CN" w:bidi="ar"/>
              </w:rPr>
              <w:t>1</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916749F">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18"/>
                <w:szCs w:val="18"/>
                <w:u w:val="none"/>
                <w:lang w:val="en-US" w:eastAsia="zh-CN" w:bidi="ar"/>
              </w:rPr>
              <w:t>套</w:t>
            </w:r>
          </w:p>
        </w:tc>
        <w:tc>
          <w:tcPr>
            <w:tcW w:w="2264" w:type="dxa"/>
            <w:tcBorders>
              <w:top w:val="single" w:color="000000" w:sz="4" w:space="0"/>
              <w:left w:val="single" w:color="000000" w:sz="4" w:space="0"/>
              <w:bottom w:val="single" w:color="000000" w:sz="4" w:space="0"/>
              <w:right w:val="single" w:color="000000" w:sz="4" w:space="0"/>
            </w:tcBorders>
            <w:noWrap w:val="0"/>
            <w:vAlign w:val="center"/>
          </w:tcPr>
          <w:p w14:paraId="63A7960E">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cs="宋体"/>
                <w:color w:val="auto"/>
                <w:kern w:val="0"/>
                <w:sz w:val="18"/>
                <w:szCs w:val="18"/>
                <w:highlight w:val="none"/>
                <w:vertAlign w:val="baseline"/>
                <w:lang w:val="en-US" w:eastAsia="zh-CN" w:bidi="ar"/>
              </w:rPr>
              <w:t>软件和信息技术服务业</w:t>
            </w:r>
          </w:p>
        </w:tc>
        <w:tc>
          <w:tcPr>
            <w:tcW w:w="1391" w:type="dxa"/>
            <w:tcBorders>
              <w:top w:val="single" w:color="000000" w:sz="4" w:space="0"/>
              <w:left w:val="single" w:color="000000" w:sz="4" w:space="0"/>
              <w:bottom w:val="single" w:color="000000" w:sz="4" w:space="0"/>
              <w:right w:val="single" w:color="000000" w:sz="4" w:space="0"/>
            </w:tcBorders>
            <w:noWrap w:val="0"/>
            <w:vAlign w:val="center"/>
          </w:tcPr>
          <w:p w14:paraId="64383349">
            <w:pPr>
              <w:keepNext w:val="0"/>
              <w:keepLines w:val="0"/>
              <w:widowControl/>
              <w:suppressLineNumbers w:val="0"/>
              <w:jc w:val="center"/>
              <w:textAlignment w:val="center"/>
              <w:rPr>
                <w:rFonts w:hint="eastAsia" w:cs="宋体"/>
                <w:color w:val="auto"/>
                <w:kern w:val="0"/>
                <w:sz w:val="18"/>
                <w:szCs w:val="18"/>
                <w:highlight w:val="none"/>
                <w:vertAlign w:val="baseline"/>
                <w:lang w:val="en-US" w:eastAsia="zh-CN" w:bidi="ar"/>
              </w:rPr>
            </w:pPr>
          </w:p>
        </w:tc>
      </w:tr>
      <w:tr w14:paraId="2BAF2D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838" w:type="dxa"/>
            <w:tcBorders>
              <w:top w:val="single" w:color="000000" w:sz="4" w:space="0"/>
              <w:left w:val="single" w:color="000000" w:sz="4" w:space="0"/>
              <w:bottom w:val="single" w:color="000000" w:sz="4" w:space="0"/>
              <w:right w:val="single" w:color="000000" w:sz="4" w:space="0"/>
            </w:tcBorders>
            <w:noWrap w:val="0"/>
            <w:vAlign w:val="center"/>
          </w:tcPr>
          <w:p w14:paraId="5CAD729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18"/>
                <w:szCs w:val="18"/>
                <w:u w:val="none"/>
                <w:lang w:val="en-US" w:eastAsia="zh-CN" w:bidi="ar"/>
              </w:rPr>
              <w:t>5</w:t>
            </w:r>
          </w:p>
        </w:tc>
        <w:tc>
          <w:tcPr>
            <w:tcW w:w="3509" w:type="dxa"/>
            <w:tcBorders>
              <w:top w:val="single" w:color="000000" w:sz="4" w:space="0"/>
              <w:left w:val="single" w:color="000000" w:sz="4" w:space="0"/>
              <w:bottom w:val="single" w:color="000000" w:sz="4" w:space="0"/>
              <w:right w:val="single" w:color="000000" w:sz="4" w:space="0"/>
            </w:tcBorders>
            <w:noWrap w:val="0"/>
            <w:vAlign w:val="center"/>
          </w:tcPr>
          <w:p w14:paraId="1FB83E21">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18"/>
                <w:szCs w:val="18"/>
                <w:u w:val="none"/>
                <w:lang w:val="en-US" w:eastAsia="zh-CN" w:bidi="ar"/>
              </w:rPr>
              <w:t>智慧门户</w:t>
            </w:r>
          </w:p>
        </w:tc>
        <w:tc>
          <w:tcPr>
            <w:tcW w:w="704" w:type="dxa"/>
            <w:tcBorders>
              <w:top w:val="single" w:color="000000" w:sz="4" w:space="0"/>
              <w:left w:val="single" w:color="000000" w:sz="4" w:space="0"/>
              <w:bottom w:val="single" w:color="000000" w:sz="4" w:space="0"/>
              <w:right w:val="single" w:color="000000" w:sz="4" w:space="0"/>
            </w:tcBorders>
            <w:noWrap w:val="0"/>
            <w:vAlign w:val="center"/>
          </w:tcPr>
          <w:p w14:paraId="1632B33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18"/>
                <w:szCs w:val="18"/>
                <w:u w:val="none"/>
                <w:lang w:val="en-US" w:eastAsia="zh-CN" w:bidi="ar"/>
              </w:rPr>
              <w:t>1</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F9F7171">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18"/>
                <w:szCs w:val="18"/>
                <w:u w:val="none"/>
                <w:lang w:val="en-US" w:eastAsia="zh-CN" w:bidi="ar"/>
              </w:rPr>
              <w:t>套</w:t>
            </w:r>
          </w:p>
        </w:tc>
        <w:tc>
          <w:tcPr>
            <w:tcW w:w="2264" w:type="dxa"/>
            <w:tcBorders>
              <w:top w:val="single" w:color="000000" w:sz="4" w:space="0"/>
              <w:left w:val="single" w:color="000000" w:sz="4" w:space="0"/>
              <w:bottom w:val="single" w:color="000000" w:sz="4" w:space="0"/>
              <w:right w:val="single" w:color="000000" w:sz="4" w:space="0"/>
            </w:tcBorders>
            <w:noWrap w:val="0"/>
            <w:vAlign w:val="center"/>
          </w:tcPr>
          <w:p w14:paraId="4CD8F514">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cs="宋体"/>
                <w:color w:val="auto"/>
                <w:kern w:val="0"/>
                <w:sz w:val="18"/>
                <w:szCs w:val="18"/>
                <w:highlight w:val="none"/>
                <w:vertAlign w:val="baseline"/>
                <w:lang w:val="en-US" w:eastAsia="zh-CN" w:bidi="ar"/>
              </w:rPr>
              <w:t>软件和信息技术服务业</w:t>
            </w:r>
          </w:p>
        </w:tc>
        <w:tc>
          <w:tcPr>
            <w:tcW w:w="1391" w:type="dxa"/>
            <w:tcBorders>
              <w:top w:val="single" w:color="000000" w:sz="4" w:space="0"/>
              <w:left w:val="single" w:color="000000" w:sz="4" w:space="0"/>
              <w:bottom w:val="single" w:color="000000" w:sz="4" w:space="0"/>
              <w:right w:val="single" w:color="000000" w:sz="4" w:space="0"/>
            </w:tcBorders>
            <w:noWrap w:val="0"/>
            <w:vAlign w:val="center"/>
          </w:tcPr>
          <w:p w14:paraId="50F604F1">
            <w:pPr>
              <w:keepNext w:val="0"/>
              <w:keepLines w:val="0"/>
              <w:widowControl/>
              <w:suppressLineNumbers w:val="0"/>
              <w:jc w:val="center"/>
              <w:textAlignment w:val="center"/>
              <w:rPr>
                <w:rFonts w:hint="eastAsia" w:cs="宋体"/>
                <w:color w:val="auto"/>
                <w:kern w:val="0"/>
                <w:sz w:val="18"/>
                <w:szCs w:val="18"/>
                <w:highlight w:val="none"/>
                <w:vertAlign w:val="baseline"/>
                <w:lang w:val="en-US" w:eastAsia="zh-CN" w:bidi="ar"/>
              </w:rPr>
            </w:pPr>
          </w:p>
        </w:tc>
      </w:tr>
      <w:tr w14:paraId="45817F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838" w:type="dxa"/>
            <w:tcBorders>
              <w:top w:val="single" w:color="000000" w:sz="4" w:space="0"/>
              <w:left w:val="single" w:color="000000" w:sz="4" w:space="0"/>
              <w:bottom w:val="single" w:color="000000" w:sz="4" w:space="0"/>
              <w:right w:val="single" w:color="000000" w:sz="4" w:space="0"/>
            </w:tcBorders>
            <w:noWrap w:val="0"/>
            <w:vAlign w:val="center"/>
          </w:tcPr>
          <w:p w14:paraId="6684A61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18"/>
                <w:szCs w:val="18"/>
                <w:u w:val="none"/>
                <w:lang w:val="en-US" w:eastAsia="zh-CN" w:bidi="ar"/>
              </w:rPr>
              <w:t>6</w:t>
            </w:r>
          </w:p>
        </w:tc>
        <w:tc>
          <w:tcPr>
            <w:tcW w:w="3509" w:type="dxa"/>
            <w:tcBorders>
              <w:top w:val="single" w:color="000000" w:sz="4" w:space="0"/>
              <w:left w:val="single" w:color="000000" w:sz="4" w:space="0"/>
              <w:bottom w:val="single" w:color="000000" w:sz="4" w:space="0"/>
              <w:right w:val="single" w:color="000000" w:sz="4" w:space="0"/>
            </w:tcBorders>
            <w:noWrap w:val="0"/>
            <w:vAlign w:val="center"/>
          </w:tcPr>
          <w:p w14:paraId="252BD54C">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18"/>
                <w:szCs w:val="18"/>
                <w:u w:val="none"/>
                <w:lang w:val="en-US" w:eastAsia="zh-CN" w:bidi="ar"/>
              </w:rPr>
              <w:t>电子资源管理</w:t>
            </w:r>
          </w:p>
        </w:tc>
        <w:tc>
          <w:tcPr>
            <w:tcW w:w="704" w:type="dxa"/>
            <w:tcBorders>
              <w:top w:val="single" w:color="000000" w:sz="4" w:space="0"/>
              <w:left w:val="single" w:color="000000" w:sz="4" w:space="0"/>
              <w:bottom w:val="single" w:color="000000" w:sz="4" w:space="0"/>
              <w:right w:val="single" w:color="000000" w:sz="4" w:space="0"/>
            </w:tcBorders>
            <w:noWrap w:val="0"/>
            <w:vAlign w:val="center"/>
          </w:tcPr>
          <w:p w14:paraId="27889EB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18"/>
                <w:szCs w:val="18"/>
                <w:u w:val="none"/>
                <w:lang w:val="en-US" w:eastAsia="zh-CN" w:bidi="ar"/>
              </w:rPr>
              <w:t>1</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E2D0A43">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18"/>
                <w:szCs w:val="18"/>
                <w:u w:val="none"/>
                <w:lang w:val="en-US" w:eastAsia="zh-CN" w:bidi="ar"/>
              </w:rPr>
              <w:t>套</w:t>
            </w:r>
          </w:p>
        </w:tc>
        <w:tc>
          <w:tcPr>
            <w:tcW w:w="2264" w:type="dxa"/>
            <w:tcBorders>
              <w:top w:val="single" w:color="000000" w:sz="4" w:space="0"/>
              <w:left w:val="single" w:color="000000" w:sz="4" w:space="0"/>
              <w:bottom w:val="single" w:color="000000" w:sz="4" w:space="0"/>
              <w:right w:val="single" w:color="000000" w:sz="4" w:space="0"/>
            </w:tcBorders>
            <w:noWrap w:val="0"/>
            <w:vAlign w:val="center"/>
          </w:tcPr>
          <w:p w14:paraId="6CAF7ACE">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cs="宋体"/>
                <w:color w:val="auto"/>
                <w:kern w:val="0"/>
                <w:sz w:val="18"/>
                <w:szCs w:val="18"/>
                <w:highlight w:val="none"/>
                <w:vertAlign w:val="baseline"/>
                <w:lang w:val="en-US" w:eastAsia="zh-CN" w:bidi="ar"/>
              </w:rPr>
              <w:t>软件和信息技术服务业</w:t>
            </w:r>
          </w:p>
        </w:tc>
        <w:tc>
          <w:tcPr>
            <w:tcW w:w="1391" w:type="dxa"/>
            <w:tcBorders>
              <w:top w:val="single" w:color="000000" w:sz="4" w:space="0"/>
              <w:left w:val="single" w:color="000000" w:sz="4" w:space="0"/>
              <w:bottom w:val="single" w:color="000000" w:sz="4" w:space="0"/>
              <w:right w:val="single" w:color="000000" w:sz="4" w:space="0"/>
            </w:tcBorders>
            <w:noWrap w:val="0"/>
            <w:vAlign w:val="center"/>
          </w:tcPr>
          <w:p w14:paraId="177E07D1">
            <w:pPr>
              <w:keepNext w:val="0"/>
              <w:keepLines w:val="0"/>
              <w:widowControl/>
              <w:suppressLineNumbers w:val="0"/>
              <w:jc w:val="center"/>
              <w:textAlignment w:val="center"/>
              <w:rPr>
                <w:rFonts w:hint="eastAsia" w:cs="宋体"/>
                <w:color w:val="auto"/>
                <w:kern w:val="0"/>
                <w:sz w:val="18"/>
                <w:szCs w:val="18"/>
                <w:highlight w:val="none"/>
                <w:vertAlign w:val="baseline"/>
                <w:lang w:val="en-US" w:eastAsia="zh-CN" w:bidi="ar"/>
              </w:rPr>
            </w:pPr>
          </w:p>
        </w:tc>
      </w:tr>
      <w:tr w14:paraId="1989F8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838" w:type="dxa"/>
            <w:tcBorders>
              <w:top w:val="single" w:color="000000" w:sz="4" w:space="0"/>
              <w:left w:val="single" w:color="000000" w:sz="4" w:space="0"/>
              <w:bottom w:val="single" w:color="000000" w:sz="4" w:space="0"/>
              <w:right w:val="single" w:color="000000" w:sz="4" w:space="0"/>
            </w:tcBorders>
            <w:noWrap w:val="0"/>
            <w:vAlign w:val="center"/>
          </w:tcPr>
          <w:p w14:paraId="1E52081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18"/>
                <w:szCs w:val="18"/>
                <w:u w:val="none"/>
                <w:lang w:val="en-US" w:eastAsia="zh-CN" w:bidi="ar"/>
              </w:rPr>
              <w:t>7</w:t>
            </w:r>
          </w:p>
        </w:tc>
        <w:tc>
          <w:tcPr>
            <w:tcW w:w="3509" w:type="dxa"/>
            <w:tcBorders>
              <w:top w:val="single" w:color="000000" w:sz="4" w:space="0"/>
              <w:left w:val="single" w:color="000000" w:sz="4" w:space="0"/>
              <w:bottom w:val="single" w:color="000000" w:sz="4" w:space="0"/>
              <w:right w:val="single" w:color="000000" w:sz="4" w:space="0"/>
            </w:tcBorders>
            <w:noWrap/>
            <w:vAlign w:val="center"/>
          </w:tcPr>
          <w:p w14:paraId="5165F3F1">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18"/>
                <w:szCs w:val="18"/>
                <w:u w:val="none"/>
                <w:lang w:val="en-US" w:eastAsia="zh-CN" w:bidi="ar"/>
              </w:rPr>
              <w:t>智能采选</w:t>
            </w:r>
          </w:p>
        </w:tc>
        <w:tc>
          <w:tcPr>
            <w:tcW w:w="704" w:type="dxa"/>
            <w:tcBorders>
              <w:top w:val="single" w:color="000000" w:sz="4" w:space="0"/>
              <w:left w:val="single" w:color="000000" w:sz="4" w:space="0"/>
              <w:bottom w:val="single" w:color="000000" w:sz="4" w:space="0"/>
              <w:right w:val="single" w:color="000000" w:sz="4" w:space="0"/>
            </w:tcBorders>
            <w:noWrap w:val="0"/>
            <w:vAlign w:val="center"/>
          </w:tcPr>
          <w:p w14:paraId="609A8F8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18"/>
                <w:szCs w:val="18"/>
                <w:u w:val="none"/>
                <w:lang w:val="en-US" w:eastAsia="zh-CN" w:bidi="ar"/>
              </w:rPr>
              <w:t>1</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F197EDA">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18"/>
                <w:szCs w:val="18"/>
                <w:u w:val="none"/>
                <w:lang w:val="en-US" w:eastAsia="zh-CN" w:bidi="ar"/>
              </w:rPr>
              <w:t>套</w:t>
            </w:r>
          </w:p>
        </w:tc>
        <w:tc>
          <w:tcPr>
            <w:tcW w:w="2264" w:type="dxa"/>
            <w:tcBorders>
              <w:top w:val="single" w:color="000000" w:sz="4" w:space="0"/>
              <w:left w:val="single" w:color="000000" w:sz="4" w:space="0"/>
              <w:bottom w:val="single" w:color="000000" w:sz="4" w:space="0"/>
              <w:right w:val="single" w:color="000000" w:sz="4" w:space="0"/>
            </w:tcBorders>
            <w:noWrap w:val="0"/>
            <w:vAlign w:val="center"/>
          </w:tcPr>
          <w:p w14:paraId="2D17AF87">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cs="宋体"/>
                <w:color w:val="auto"/>
                <w:kern w:val="0"/>
                <w:sz w:val="18"/>
                <w:szCs w:val="18"/>
                <w:highlight w:val="none"/>
                <w:vertAlign w:val="baseline"/>
                <w:lang w:val="en-US" w:eastAsia="zh-CN" w:bidi="ar"/>
              </w:rPr>
              <w:t>软件和信息技术服务业</w:t>
            </w:r>
          </w:p>
        </w:tc>
        <w:tc>
          <w:tcPr>
            <w:tcW w:w="1391" w:type="dxa"/>
            <w:tcBorders>
              <w:top w:val="single" w:color="000000" w:sz="4" w:space="0"/>
              <w:left w:val="single" w:color="000000" w:sz="4" w:space="0"/>
              <w:bottom w:val="single" w:color="000000" w:sz="4" w:space="0"/>
              <w:right w:val="single" w:color="000000" w:sz="4" w:space="0"/>
            </w:tcBorders>
            <w:noWrap w:val="0"/>
            <w:vAlign w:val="center"/>
          </w:tcPr>
          <w:p w14:paraId="47F4CDFD">
            <w:pPr>
              <w:keepNext w:val="0"/>
              <w:keepLines w:val="0"/>
              <w:widowControl/>
              <w:suppressLineNumbers w:val="0"/>
              <w:jc w:val="center"/>
              <w:textAlignment w:val="center"/>
              <w:rPr>
                <w:rFonts w:hint="eastAsia" w:cs="宋体"/>
                <w:color w:val="auto"/>
                <w:kern w:val="0"/>
                <w:sz w:val="18"/>
                <w:szCs w:val="18"/>
                <w:highlight w:val="none"/>
                <w:vertAlign w:val="baseline"/>
                <w:lang w:val="en-US" w:eastAsia="zh-CN" w:bidi="ar"/>
              </w:rPr>
            </w:pPr>
          </w:p>
        </w:tc>
      </w:tr>
      <w:tr w14:paraId="40C6AD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838" w:type="dxa"/>
            <w:tcBorders>
              <w:top w:val="single" w:color="000000" w:sz="4" w:space="0"/>
              <w:left w:val="single" w:color="000000" w:sz="4" w:space="0"/>
              <w:bottom w:val="single" w:color="000000" w:sz="4" w:space="0"/>
              <w:right w:val="single" w:color="000000" w:sz="4" w:space="0"/>
            </w:tcBorders>
            <w:noWrap w:val="0"/>
            <w:vAlign w:val="center"/>
          </w:tcPr>
          <w:p w14:paraId="51B869D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18"/>
                <w:szCs w:val="18"/>
                <w:u w:val="none"/>
                <w:lang w:val="en-US" w:eastAsia="zh-CN" w:bidi="ar"/>
              </w:rPr>
              <w:t>8</w:t>
            </w:r>
          </w:p>
        </w:tc>
        <w:tc>
          <w:tcPr>
            <w:tcW w:w="3509" w:type="dxa"/>
            <w:tcBorders>
              <w:top w:val="single" w:color="000000" w:sz="4" w:space="0"/>
              <w:left w:val="single" w:color="000000" w:sz="4" w:space="0"/>
              <w:bottom w:val="single" w:color="000000" w:sz="4" w:space="0"/>
              <w:right w:val="single" w:color="000000" w:sz="4" w:space="0"/>
            </w:tcBorders>
            <w:noWrap/>
            <w:vAlign w:val="center"/>
          </w:tcPr>
          <w:p w14:paraId="57F73442">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18"/>
                <w:szCs w:val="18"/>
                <w:u w:val="none"/>
                <w:lang w:val="en-US" w:eastAsia="zh-CN" w:bidi="ar"/>
              </w:rPr>
              <w:t>座位预约系统</w:t>
            </w:r>
          </w:p>
        </w:tc>
        <w:tc>
          <w:tcPr>
            <w:tcW w:w="704" w:type="dxa"/>
            <w:tcBorders>
              <w:top w:val="single" w:color="000000" w:sz="4" w:space="0"/>
              <w:left w:val="single" w:color="000000" w:sz="4" w:space="0"/>
              <w:bottom w:val="single" w:color="000000" w:sz="4" w:space="0"/>
              <w:right w:val="single" w:color="000000" w:sz="4" w:space="0"/>
            </w:tcBorders>
            <w:noWrap w:val="0"/>
            <w:vAlign w:val="center"/>
          </w:tcPr>
          <w:p w14:paraId="1AAEC44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18"/>
                <w:szCs w:val="18"/>
                <w:u w:val="none"/>
                <w:lang w:val="en-US" w:eastAsia="zh-CN" w:bidi="ar"/>
              </w:rPr>
              <w:t>1</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DB1E409">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18"/>
                <w:szCs w:val="18"/>
                <w:u w:val="none"/>
                <w:lang w:val="en-US" w:eastAsia="zh-CN" w:bidi="ar"/>
              </w:rPr>
              <w:t>套</w:t>
            </w:r>
          </w:p>
        </w:tc>
        <w:tc>
          <w:tcPr>
            <w:tcW w:w="2264" w:type="dxa"/>
            <w:tcBorders>
              <w:top w:val="single" w:color="000000" w:sz="4" w:space="0"/>
              <w:left w:val="single" w:color="000000" w:sz="4" w:space="0"/>
              <w:bottom w:val="single" w:color="000000" w:sz="4" w:space="0"/>
              <w:right w:val="single" w:color="000000" w:sz="4" w:space="0"/>
            </w:tcBorders>
            <w:noWrap w:val="0"/>
            <w:vAlign w:val="center"/>
          </w:tcPr>
          <w:p w14:paraId="0FB114CB">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cs="宋体"/>
                <w:color w:val="auto"/>
                <w:kern w:val="0"/>
                <w:sz w:val="18"/>
                <w:szCs w:val="18"/>
                <w:highlight w:val="none"/>
                <w:vertAlign w:val="baseline"/>
                <w:lang w:val="en-US" w:eastAsia="zh-CN" w:bidi="ar"/>
              </w:rPr>
              <w:t>软件和信息技术服务业</w:t>
            </w:r>
          </w:p>
        </w:tc>
        <w:tc>
          <w:tcPr>
            <w:tcW w:w="1391" w:type="dxa"/>
            <w:tcBorders>
              <w:top w:val="single" w:color="000000" w:sz="4" w:space="0"/>
              <w:left w:val="single" w:color="000000" w:sz="4" w:space="0"/>
              <w:bottom w:val="single" w:color="000000" w:sz="4" w:space="0"/>
              <w:right w:val="single" w:color="000000" w:sz="4" w:space="0"/>
            </w:tcBorders>
            <w:noWrap w:val="0"/>
            <w:vAlign w:val="center"/>
          </w:tcPr>
          <w:p w14:paraId="6A8F2C73">
            <w:pPr>
              <w:keepNext w:val="0"/>
              <w:keepLines w:val="0"/>
              <w:widowControl/>
              <w:suppressLineNumbers w:val="0"/>
              <w:jc w:val="center"/>
              <w:textAlignment w:val="center"/>
              <w:rPr>
                <w:rFonts w:hint="eastAsia" w:cs="宋体"/>
                <w:color w:val="auto"/>
                <w:kern w:val="0"/>
                <w:sz w:val="18"/>
                <w:szCs w:val="18"/>
                <w:highlight w:val="none"/>
                <w:vertAlign w:val="baseline"/>
                <w:lang w:val="en-US" w:eastAsia="zh-CN" w:bidi="ar"/>
              </w:rPr>
            </w:pPr>
          </w:p>
        </w:tc>
      </w:tr>
      <w:tr w14:paraId="778232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838" w:type="dxa"/>
            <w:tcBorders>
              <w:top w:val="single" w:color="000000" w:sz="4" w:space="0"/>
              <w:left w:val="single" w:color="000000" w:sz="4" w:space="0"/>
              <w:bottom w:val="single" w:color="000000" w:sz="4" w:space="0"/>
              <w:right w:val="single" w:color="000000" w:sz="4" w:space="0"/>
            </w:tcBorders>
            <w:noWrap w:val="0"/>
            <w:vAlign w:val="center"/>
          </w:tcPr>
          <w:p w14:paraId="049F16B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18"/>
                <w:szCs w:val="18"/>
                <w:u w:val="none"/>
                <w:lang w:val="en-US" w:eastAsia="zh-CN" w:bidi="ar"/>
              </w:rPr>
              <w:t>9</w:t>
            </w:r>
          </w:p>
        </w:tc>
        <w:tc>
          <w:tcPr>
            <w:tcW w:w="3509" w:type="dxa"/>
            <w:tcBorders>
              <w:top w:val="single" w:color="000000" w:sz="4" w:space="0"/>
              <w:left w:val="single" w:color="000000" w:sz="4" w:space="0"/>
              <w:bottom w:val="single" w:color="000000" w:sz="4" w:space="0"/>
              <w:right w:val="single" w:color="000000" w:sz="4" w:space="0"/>
            </w:tcBorders>
            <w:noWrap w:val="0"/>
            <w:vAlign w:val="center"/>
          </w:tcPr>
          <w:p w14:paraId="3F0BDEC5">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18"/>
                <w:szCs w:val="18"/>
                <w:u w:val="none"/>
                <w:lang w:val="en-US" w:eastAsia="zh-CN" w:bidi="ar"/>
              </w:rPr>
              <w:t>大数据分析展示系统</w:t>
            </w:r>
          </w:p>
        </w:tc>
        <w:tc>
          <w:tcPr>
            <w:tcW w:w="704" w:type="dxa"/>
            <w:tcBorders>
              <w:top w:val="single" w:color="000000" w:sz="4" w:space="0"/>
              <w:left w:val="single" w:color="000000" w:sz="4" w:space="0"/>
              <w:bottom w:val="single" w:color="000000" w:sz="4" w:space="0"/>
              <w:right w:val="single" w:color="000000" w:sz="4" w:space="0"/>
            </w:tcBorders>
            <w:noWrap w:val="0"/>
            <w:vAlign w:val="center"/>
          </w:tcPr>
          <w:p w14:paraId="6FC6665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18"/>
                <w:szCs w:val="18"/>
                <w:u w:val="none"/>
                <w:lang w:val="en-US" w:eastAsia="zh-CN" w:bidi="ar"/>
              </w:rPr>
              <w:t>1</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AFCF6FE">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18"/>
                <w:szCs w:val="18"/>
                <w:u w:val="none"/>
                <w:lang w:val="en-US" w:eastAsia="zh-CN" w:bidi="ar"/>
              </w:rPr>
              <w:t>套</w:t>
            </w:r>
          </w:p>
        </w:tc>
        <w:tc>
          <w:tcPr>
            <w:tcW w:w="2264" w:type="dxa"/>
            <w:tcBorders>
              <w:top w:val="single" w:color="000000" w:sz="4" w:space="0"/>
              <w:left w:val="single" w:color="000000" w:sz="4" w:space="0"/>
              <w:bottom w:val="single" w:color="000000" w:sz="4" w:space="0"/>
              <w:right w:val="single" w:color="000000" w:sz="4" w:space="0"/>
            </w:tcBorders>
            <w:noWrap w:val="0"/>
            <w:vAlign w:val="center"/>
          </w:tcPr>
          <w:p w14:paraId="44766F3A">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cs="宋体"/>
                <w:color w:val="auto"/>
                <w:kern w:val="0"/>
                <w:sz w:val="18"/>
                <w:szCs w:val="18"/>
                <w:highlight w:val="none"/>
                <w:vertAlign w:val="baseline"/>
                <w:lang w:val="en-US" w:eastAsia="zh-CN" w:bidi="ar"/>
              </w:rPr>
              <w:t>软件和信息技术服务业</w:t>
            </w:r>
          </w:p>
        </w:tc>
        <w:tc>
          <w:tcPr>
            <w:tcW w:w="1391" w:type="dxa"/>
            <w:tcBorders>
              <w:top w:val="single" w:color="000000" w:sz="4" w:space="0"/>
              <w:left w:val="single" w:color="000000" w:sz="4" w:space="0"/>
              <w:bottom w:val="single" w:color="000000" w:sz="4" w:space="0"/>
              <w:right w:val="single" w:color="000000" w:sz="4" w:space="0"/>
            </w:tcBorders>
            <w:noWrap w:val="0"/>
            <w:vAlign w:val="center"/>
          </w:tcPr>
          <w:p w14:paraId="6602D01E">
            <w:pPr>
              <w:keepNext w:val="0"/>
              <w:keepLines w:val="0"/>
              <w:widowControl/>
              <w:suppressLineNumbers w:val="0"/>
              <w:jc w:val="center"/>
              <w:textAlignment w:val="center"/>
              <w:rPr>
                <w:rFonts w:hint="eastAsia" w:cs="宋体"/>
                <w:color w:val="auto"/>
                <w:kern w:val="0"/>
                <w:sz w:val="18"/>
                <w:szCs w:val="18"/>
                <w:highlight w:val="none"/>
                <w:vertAlign w:val="baseline"/>
                <w:lang w:val="en-US" w:eastAsia="zh-CN" w:bidi="ar"/>
              </w:rPr>
            </w:pPr>
          </w:p>
        </w:tc>
      </w:tr>
      <w:tr w14:paraId="7BE3FB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838" w:type="dxa"/>
            <w:tcBorders>
              <w:top w:val="single" w:color="000000" w:sz="4" w:space="0"/>
              <w:left w:val="single" w:color="000000" w:sz="4" w:space="0"/>
              <w:bottom w:val="single" w:color="000000" w:sz="4" w:space="0"/>
              <w:right w:val="single" w:color="000000" w:sz="4" w:space="0"/>
            </w:tcBorders>
            <w:noWrap w:val="0"/>
            <w:vAlign w:val="center"/>
          </w:tcPr>
          <w:p w14:paraId="267A057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18"/>
                <w:szCs w:val="18"/>
                <w:u w:val="none"/>
                <w:lang w:val="en-US" w:eastAsia="zh-CN" w:bidi="ar"/>
              </w:rPr>
              <w:t>10</w:t>
            </w:r>
          </w:p>
        </w:tc>
        <w:tc>
          <w:tcPr>
            <w:tcW w:w="3509" w:type="dxa"/>
            <w:tcBorders>
              <w:top w:val="single" w:color="000000" w:sz="4" w:space="0"/>
              <w:left w:val="single" w:color="000000" w:sz="4" w:space="0"/>
              <w:bottom w:val="single" w:color="000000" w:sz="4" w:space="0"/>
              <w:right w:val="single" w:color="000000" w:sz="4" w:space="0"/>
            </w:tcBorders>
            <w:noWrap w:val="0"/>
            <w:vAlign w:val="center"/>
          </w:tcPr>
          <w:p w14:paraId="14D51748">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18"/>
                <w:szCs w:val="18"/>
                <w:u w:val="none"/>
                <w:lang w:val="en-US" w:eastAsia="zh-CN" w:bidi="ar"/>
              </w:rPr>
              <w:t>移动图书馆</w:t>
            </w:r>
          </w:p>
        </w:tc>
        <w:tc>
          <w:tcPr>
            <w:tcW w:w="704" w:type="dxa"/>
            <w:tcBorders>
              <w:top w:val="single" w:color="000000" w:sz="4" w:space="0"/>
              <w:left w:val="single" w:color="000000" w:sz="4" w:space="0"/>
              <w:bottom w:val="single" w:color="000000" w:sz="4" w:space="0"/>
              <w:right w:val="single" w:color="000000" w:sz="4" w:space="0"/>
            </w:tcBorders>
            <w:noWrap w:val="0"/>
            <w:vAlign w:val="center"/>
          </w:tcPr>
          <w:p w14:paraId="237B2A0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2"/>
                <w:szCs w:val="22"/>
                <w:u w:val="none"/>
                <w:lang w:val="en-US" w:eastAsia="zh-CN" w:bidi="ar"/>
              </w:rPr>
              <w:t>1</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EA22D57">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18"/>
                <w:szCs w:val="18"/>
                <w:u w:val="none"/>
                <w:lang w:val="en-US" w:eastAsia="zh-CN" w:bidi="ar"/>
              </w:rPr>
              <w:t>套</w:t>
            </w:r>
          </w:p>
        </w:tc>
        <w:tc>
          <w:tcPr>
            <w:tcW w:w="2264" w:type="dxa"/>
            <w:tcBorders>
              <w:top w:val="single" w:color="000000" w:sz="4" w:space="0"/>
              <w:left w:val="single" w:color="000000" w:sz="4" w:space="0"/>
              <w:bottom w:val="single" w:color="000000" w:sz="4" w:space="0"/>
              <w:right w:val="single" w:color="000000" w:sz="4" w:space="0"/>
            </w:tcBorders>
            <w:noWrap w:val="0"/>
            <w:vAlign w:val="center"/>
          </w:tcPr>
          <w:p w14:paraId="2CFA521C">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cs="宋体"/>
                <w:color w:val="auto"/>
                <w:kern w:val="0"/>
                <w:sz w:val="18"/>
                <w:szCs w:val="18"/>
                <w:highlight w:val="none"/>
                <w:vertAlign w:val="baseline"/>
                <w:lang w:val="en-US" w:eastAsia="zh-CN" w:bidi="ar"/>
              </w:rPr>
              <w:t>软件和信息技术服务业</w:t>
            </w:r>
          </w:p>
        </w:tc>
        <w:tc>
          <w:tcPr>
            <w:tcW w:w="1391" w:type="dxa"/>
            <w:tcBorders>
              <w:top w:val="single" w:color="000000" w:sz="4" w:space="0"/>
              <w:left w:val="single" w:color="000000" w:sz="4" w:space="0"/>
              <w:bottom w:val="single" w:color="000000" w:sz="4" w:space="0"/>
              <w:right w:val="single" w:color="000000" w:sz="4" w:space="0"/>
            </w:tcBorders>
            <w:noWrap w:val="0"/>
            <w:vAlign w:val="center"/>
          </w:tcPr>
          <w:p w14:paraId="38DEA5EA">
            <w:pPr>
              <w:keepNext w:val="0"/>
              <w:keepLines w:val="0"/>
              <w:widowControl/>
              <w:suppressLineNumbers w:val="0"/>
              <w:jc w:val="center"/>
              <w:textAlignment w:val="center"/>
              <w:rPr>
                <w:rFonts w:hint="eastAsia" w:cs="宋体"/>
                <w:color w:val="auto"/>
                <w:kern w:val="0"/>
                <w:sz w:val="18"/>
                <w:szCs w:val="18"/>
                <w:highlight w:val="none"/>
                <w:vertAlign w:val="baseline"/>
                <w:lang w:val="en-US" w:eastAsia="zh-CN" w:bidi="ar"/>
              </w:rPr>
            </w:pPr>
          </w:p>
        </w:tc>
      </w:tr>
      <w:tr w14:paraId="2035B9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838" w:type="dxa"/>
            <w:tcBorders>
              <w:top w:val="single" w:color="000000" w:sz="4" w:space="0"/>
              <w:left w:val="single" w:color="000000" w:sz="4" w:space="0"/>
              <w:bottom w:val="single" w:color="000000" w:sz="4" w:space="0"/>
              <w:right w:val="single" w:color="000000" w:sz="4" w:space="0"/>
            </w:tcBorders>
            <w:noWrap w:val="0"/>
            <w:vAlign w:val="center"/>
          </w:tcPr>
          <w:p w14:paraId="774521E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18"/>
                <w:szCs w:val="18"/>
                <w:u w:val="none"/>
                <w:lang w:val="en-US" w:eastAsia="zh-CN" w:bidi="ar"/>
              </w:rPr>
              <w:t>11</w:t>
            </w:r>
          </w:p>
        </w:tc>
        <w:tc>
          <w:tcPr>
            <w:tcW w:w="3509" w:type="dxa"/>
            <w:tcBorders>
              <w:top w:val="single" w:color="000000" w:sz="4" w:space="0"/>
              <w:left w:val="single" w:color="000000" w:sz="4" w:space="0"/>
              <w:bottom w:val="single" w:color="000000" w:sz="4" w:space="0"/>
              <w:right w:val="single" w:color="000000" w:sz="4" w:space="0"/>
            </w:tcBorders>
            <w:noWrap w:val="0"/>
            <w:vAlign w:val="center"/>
          </w:tcPr>
          <w:p w14:paraId="6AEDDC49">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18"/>
                <w:szCs w:val="18"/>
                <w:u w:val="none"/>
                <w:lang w:val="en-US" w:eastAsia="zh-CN" w:bidi="ar"/>
              </w:rPr>
              <w:t>阅读学分系统</w:t>
            </w:r>
          </w:p>
        </w:tc>
        <w:tc>
          <w:tcPr>
            <w:tcW w:w="704" w:type="dxa"/>
            <w:tcBorders>
              <w:top w:val="single" w:color="000000" w:sz="4" w:space="0"/>
              <w:left w:val="single" w:color="000000" w:sz="4" w:space="0"/>
              <w:bottom w:val="single" w:color="000000" w:sz="4" w:space="0"/>
              <w:right w:val="single" w:color="000000" w:sz="4" w:space="0"/>
            </w:tcBorders>
            <w:noWrap/>
            <w:vAlign w:val="center"/>
          </w:tcPr>
          <w:p w14:paraId="070F6E3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2"/>
                <w:szCs w:val="22"/>
                <w:u w:val="none"/>
                <w:lang w:val="en-US" w:eastAsia="zh-CN" w:bidi="ar"/>
              </w:rPr>
              <w:t>1</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A260139">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18"/>
                <w:szCs w:val="18"/>
                <w:u w:val="none"/>
                <w:lang w:val="en-US" w:eastAsia="zh-CN" w:bidi="ar"/>
              </w:rPr>
              <w:t>套</w:t>
            </w:r>
          </w:p>
        </w:tc>
        <w:tc>
          <w:tcPr>
            <w:tcW w:w="2264" w:type="dxa"/>
            <w:tcBorders>
              <w:top w:val="single" w:color="000000" w:sz="4" w:space="0"/>
              <w:left w:val="single" w:color="000000" w:sz="4" w:space="0"/>
              <w:bottom w:val="single" w:color="000000" w:sz="4" w:space="0"/>
              <w:right w:val="single" w:color="000000" w:sz="4" w:space="0"/>
            </w:tcBorders>
            <w:noWrap w:val="0"/>
            <w:vAlign w:val="center"/>
          </w:tcPr>
          <w:p w14:paraId="1BAEEE87">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cs="宋体"/>
                <w:color w:val="auto"/>
                <w:kern w:val="0"/>
                <w:sz w:val="18"/>
                <w:szCs w:val="18"/>
                <w:highlight w:val="none"/>
                <w:vertAlign w:val="baseline"/>
                <w:lang w:val="en-US" w:eastAsia="zh-CN" w:bidi="ar"/>
              </w:rPr>
              <w:t>软件和信息技术服务业</w:t>
            </w:r>
          </w:p>
        </w:tc>
        <w:tc>
          <w:tcPr>
            <w:tcW w:w="1391" w:type="dxa"/>
            <w:tcBorders>
              <w:top w:val="single" w:color="000000" w:sz="4" w:space="0"/>
              <w:left w:val="single" w:color="000000" w:sz="4" w:space="0"/>
              <w:bottom w:val="single" w:color="000000" w:sz="4" w:space="0"/>
              <w:right w:val="single" w:color="000000" w:sz="4" w:space="0"/>
            </w:tcBorders>
            <w:noWrap w:val="0"/>
            <w:vAlign w:val="center"/>
          </w:tcPr>
          <w:p w14:paraId="2B2AC390">
            <w:pPr>
              <w:keepNext w:val="0"/>
              <w:keepLines w:val="0"/>
              <w:widowControl/>
              <w:suppressLineNumbers w:val="0"/>
              <w:jc w:val="center"/>
              <w:textAlignment w:val="center"/>
              <w:rPr>
                <w:rFonts w:hint="eastAsia" w:cs="宋体"/>
                <w:color w:val="auto"/>
                <w:kern w:val="0"/>
                <w:sz w:val="18"/>
                <w:szCs w:val="18"/>
                <w:highlight w:val="none"/>
                <w:vertAlign w:val="baseline"/>
                <w:lang w:val="en-US" w:eastAsia="zh-CN" w:bidi="ar"/>
              </w:rPr>
            </w:pPr>
          </w:p>
        </w:tc>
      </w:tr>
      <w:tr w14:paraId="0C6551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838" w:type="dxa"/>
            <w:tcBorders>
              <w:top w:val="single" w:color="000000" w:sz="4" w:space="0"/>
              <w:left w:val="single" w:color="000000" w:sz="4" w:space="0"/>
              <w:bottom w:val="single" w:color="000000" w:sz="4" w:space="0"/>
              <w:right w:val="single" w:color="000000" w:sz="4" w:space="0"/>
            </w:tcBorders>
            <w:noWrap w:val="0"/>
            <w:vAlign w:val="center"/>
          </w:tcPr>
          <w:p w14:paraId="74F2B6A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18"/>
                <w:szCs w:val="18"/>
                <w:u w:val="none"/>
                <w:lang w:val="en-US" w:eastAsia="zh-CN" w:bidi="ar"/>
              </w:rPr>
              <w:t>12</w:t>
            </w:r>
          </w:p>
        </w:tc>
        <w:tc>
          <w:tcPr>
            <w:tcW w:w="3509" w:type="dxa"/>
            <w:tcBorders>
              <w:top w:val="single" w:color="000000" w:sz="4" w:space="0"/>
              <w:left w:val="single" w:color="000000" w:sz="4" w:space="0"/>
              <w:bottom w:val="single" w:color="000000" w:sz="4" w:space="0"/>
              <w:right w:val="single" w:color="000000" w:sz="4" w:space="0"/>
            </w:tcBorders>
            <w:noWrap w:val="0"/>
            <w:vAlign w:val="center"/>
          </w:tcPr>
          <w:p w14:paraId="011222C4">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18"/>
                <w:szCs w:val="18"/>
                <w:u w:val="none"/>
                <w:lang w:val="en-US" w:eastAsia="zh-CN" w:bidi="ar"/>
              </w:rPr>
              <w:t>图书馆</w:t>
            </w:r>
            <w:r>
              <w:rPr>
                <w:rStyle w:val="222"/>
                <w:rFonts w:eastAsia="宋体"/>
                <w:color w:val="auto"/>
                <w:lang w:val="en-US" w:eastAsia="zh-CN" w:bidi="ar"/>
              </w:rPr>
              <w:t>720</w:t>
            </w:r>
            <w:r>
              <w:rPr>
                <w:rStyle w:val="112"/>
                <w:color w:val="auto"/>
                <w:lang w:val="en-US" w:eastAsia="zh-CN" w:bidi="ar"/>
              </w:rPr>
              <w:t>度全景展示</w:t>
            </w:r>
          </w:p>
        </w:tc>
        <w:tc>
          <w:tcPr>
            <w:tcW w:w="704" w:type="dxa"/>
            <w:tcBorders>
              <w:top w:val="single" w:color="000000" w:sz="4" w:space="0"/>
              <w:left w:val="single" w:color="000000" w:sz="4" w:space="0"/>
              <w:bottom w:val="single" w:color="000000" w:sz="4" w:space="0"/>
              <w:right w:val="single" w:color="000000" w:sz="4" w:space="0"/>
            </w:tcBorders>
            <w:noWrap/>
            <w:vAlign w:val="center"/>
          </w:tcPr>
          <w:p w14:paraId="4FB22DB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18"/>
                <w:szCs w:val="18"/>
                <w:u w:val="none"/>
                <w:lang w:val="en-US" w:eastAsia="zh-CN" w:bidi="ar"/>
              </w:rPr>
              <w:t>1</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F265D7C">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18"/>
                <w:szCs w:val="18"/>
                <w:u w:val="none"/>
                <w:lang w:val="en-US" w:eastAsia="zh-CN" w:bidi="ar"/>
              </w:rPr>
              <w:t>套</w:t>
            </w:r>
          </w:p>
        </w:tc>
        <w:tc>
          <w:tcPr>
            <w:tcW w:w="2264" w:type="dxa"/>
            <w:tcBorders>
              <w:top w:val="single" w:color="000000" w:sz="4" w:space="0"/>
              <w:left w:val="single" w:color="000000" w:sz="4" w:space="0"/>
              <w:bottom w:val="single" w:color="000000" w:sz="4" w:space="0"/>
              <w:right w:val="single" w:color="000000" w:sz="4" w:space="0"/>
            </w:tcBorders>
            <w:noWrap w:val="0"/>
            <w:vAlign w:val="center"/>
          </w:tcPr>
          <w:p w14:paraId="19B33153">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cs="宋体"/>
                <w:color w:val="auto"/>
                <w:kern w:val="0"/>
                <w:sz w:val="18"/>
                <w:szCs w:val="18"/>
                <w:highlight w:val="none"/>
                <w:vertAlign w:val="baseline"/>
                <w:lang w:val="en-US" w:eastAsia="zh-CN" w:bidi="ar"/>
              </w:rPr>
              <w:t>软件和信息技术服务业</w:t>
            </w:r>
          </w:p>
        </w:tc>
        <w:tc>
          <w:tcPr>
            <w:tcW w:w="1391" w:type="dxa"/>
            <w:tcBorders>
              <w:top w:val="single" w:color="000000" w:sz="4" w:space="0"/>
              <w:left w:val="single" w:color="000000" w:sz="4" w:space="0"/>
              <w:bottom w:val="single" w:color="000000" w:sz="4" w:space="0"/>
              <w:right w:val="single" w:color="000000" w:sz="4" w:space="0"/>
            </w:tcBorders>
            <w:noWrap w:val="0"/>
            <w:vAlign w:val="center"/>
          </w:tcPr>
          <w:p w14:paraId="4D86C710">
            <w:pPr>
              <w:keepNext w:val="0"/>
              <w:keepLines w:val="0"/>
              <w:widowControl/>
              <w:suppressLineNumbers w:val="0"/>
              <w:jc w:val="center"/>
              <w:textAlignment w:val="center"/>
              <w:rPr>
                <w:rFonts w:hint="eastAsia" w:cs="宋体"/>
                <w:color w:val="auto"/>
                <w:kern w:val="0"/>
                <w:sz w:val="18"/>
                <w:szCs w:val="18"/>
                <w:highlight w:val="none"/>
                <w:vertAlign w:val="baseline"/>
                <w:lang w:val="en-US" w:eastAsia="zh-CN" w:bidi="ar"/>
              </w:rPr>
            </w:pPr>
          </w:p>
        </w:tc>
      </w:tr>
      <w:tr w14:paraId="1BE89E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838" w:type="dxa"/>
            <w:tcBorders>
              <w:top w:val="single" w:color="000000" w:sz="4" w:space="0"/>
              <w:left w:val="single" w:color="000000" w:sz="4" w:space="0"/>
              <w:bottom w:val="single" w:color="000000" w:sz="4" w:space="0"/>
              <w:right w:val="single" w:color="000000" w:sz="4" w:space="0"/>
            </w:tcBorders>
            <w:noWrap w:val="0"/>
            <w:vAlign w:val="center"/>
          </w:tcPr>
          <w:p w14:paraId="1B65AF8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18"/>
                <w:szCs w:val="18"/>
                <w:u w:val="none"/>
                <w:lang w:val="en-US" w:eastAsia="zh-CN" w:bidi="ar"/>
              </w:rPr>
              <w:t>13</w:t>
            </w:r>
          </w:p>
        </w:tc>
        <w:tc>
          <w:tcPr>
            <w:tcW w:w="3509" w:type="dxa"/>
            <w:tcBorders>
              <w:top w:val="single" w:color="000000" w:sz="4" w:space="0"/>
              <w:left w:val="single" w:color="000000" w:sz="4" w:space="0"/>
              <w:bottom w:val="single" w:color="000000" w:sz="4" w:space="0"/>
              <w:right w:val="single" w:color="000000" w:sz="4" w:space="0"/>
            </w:tcBorders>
            <w:noWrap w:val="0"/>
            <w:vAlign w:val="center"/>
          </w:tcPr>
          <w:p w14:paraId="534FB0D6">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18"/>
                <w:szCs w:val="18"/>
                <w:u w:val="none"/>
                <w:lang w:val="en-US" w:eastAsia="zh-CN" w:bidi="ar"/>
              </w:rPr>
              <w:t>阅读本自助借阅系统</w:t>
            </w:r>
          </w:p>
        </w:tc>
        <w:tc>
          <w:tcPr>
            <w:tcW w:w="704" w:type="dxa"/>
            <w:tcBorders>
              <w:top w:val="single" w:color="000000" w:sz="4" w:space="0"/>
              <w:left w:val="single" w:color="000000" w:sz="4" w:space="0"/>
              <w:bottom w:val="single" w:color="000000" w:sz="4" w:space="0"/>
              <w:right w:val="single" w:color="000000" w:sz="4" w:space="0"/>
            </w:tcBorders>
            <w:noWrap w:val="0"/>
            <w:vAlign w:val="center"/>
          </w:tcPr>
          <w:p w14:paraId="01F72B4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18"/>
                <w:szCs w:val="18"/>
                <w:u w:val="none"/>
                <w:lang w:val="en-US" w:eastAsia="zh-CN" w:bidi="ar"/>
              </w:rPr>
              <w:t>1</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D1E0AE2">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18"/>
                <w:szCs w:val="18"/>
                <w:u w:val="none"/>
                <w:lang w:val="en-US" w:eastAsia="zh-CN" w:bidi="ar"/>
              </w:rPr>
              <w:t>套</w:t>
            </w:r>
          </w:p>
        </w:tc>
        <w:tc>
          <w:tcPr>
            <w:tcW w:w="2264" w:type="dxa"/>
            <w:tcBorders>
              <w:top w:val="single" w:color="000000" w:sz="4" w:space="0"/>
              <w:left w:val="single" w:color="000000" w:sz="4" w:space="0"/>
              <w:bottom w:val="single" w:color="000000" w:sz="4" w:space="0"/>
              <w:right w:val="single" w:color="000000" w:sz="4" w:space="0"/>
            </w:tcBorders>
            <w:noWrap w:val="0"/>
            <w:vAlign w:val="center"/>
          </w:tcPr>
          <w:p w14:paraId="09A3094E">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cs="宋体"/>
                <w:color w:val="auto"/>
                <w:kern w:val="0"/>
                <w:sz w:val="18"/>
                <w:szCs w:val="18"/>
                <w:highlight w:val="none"/>
                <w:vertAlign w:val="baseline"/>
                <w:lang w:val="en-US" w:eastAsia="zh-CN" w:bidi="ar"/>
              </w:rPr>
              <w:t>软件和信息技术服务业</w:t>
            </w:r>
          </w:p>
        </w:tc>
        <w:tc>
          <w:tcPr>
            <w:tcW w:w="1391" w:type="dxa"/>
            <w:tcBorders>
              <w:top w:val="single" w:color="000000" w:sz="4" w:space="0"/>
              <w:left w:val="single" w:color="000000" w:sz="4" w:space="0"/>
              <w:bottom w:val="single" w:color="000000" w:sz="4" w:space="0"/>
              <w:right w:val="single" w:color="000000" w:sz="4" w:space="0"/>
            </w:tcBorders>
            <w:noWrap w:val="0"/>
            <w:vAlign w:val="center"/>
          </w:tcPr>
          <w:p w14:paraId="6D8121AF">
            <w:pPr>
              <w:keepNext w:val="0"/>
              <w:keepLines w:val="0"/>
              <w:widowControl/>
              <w:suppressLineNumbers w:val="0"/>
              <w:jc w:val="center"/>
              <w:textAlignment w:val="center"/>
              <w:rPr>
                <w:rFonts w:hint="eastAsia" w:cs="宋体"/>
                <w:color w:val="auto"/>
                <w:kern w:val="0"/>
                <w:sz w:val="18"/>
                <w:szCs w:val="18"/>
                <w:highlight w:val="none"/>
                <w:vertAlign w:val="baseline"/>
                <w:lang w:val="en-US" w:eastAsia="zh-CN" w:bidi="ar"/>
              </w:rPr>
            </w:pPr>
          </w:p>
        </w:tc>
      </w:tr>
      <w:tr w14:paraId="59EC6B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83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EEABF03">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14</w:t>
            </w:r>
          </w:p>
        </w:tc>
        <w:tc>
          <w:tcPr>
            <w:tcW w:w="350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E7A2A14">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馆员管理终端</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43B9FA7">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cs="宋体"/>
                <w:i w:val="0"/>
                <w:iCs w:val="0"/>
                <w:color w:val="000000"/>
                <w:kern w:val="0"/>
                <w:sz w:val="18"/>
                <w:szCs w:val="18"/>
                <w:highlight w:val="none"/>
                <w:u w:val="none"/>
                <w:lang w:val="en-US" w:eastAsia="zh-CN" w:bidi="ar"/>
              </w:rPr>
              <w:t>10</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90B2212">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台</w:t>
            </w:r>
          </w:p>
        </w:tc>
        <w:tc>
          <w:tcPr>
            <w:tcW w:w="2264" w:type="dxa"/>
            <w:tcBorders>
              <w:top w:val="single" w:color="000000" w:sz="4" w:space="0"/>
              <w:left w:val="single" w:color="000000" w:sz="4" w:space="0"/>
              <w:bottom w:val="single" w:color="000000" w:sz="4" w:space="0"/>
              <w:right w:val="single" w:color="000000" w:sz="4" w:space="0"/>
            </w:tcBorders>
            <w:noWrap w:val="0"/>
            <w:vAlign w:val="center"/>
          </w:tcPr>
          <w:p w14:paraId="238B0186">
            <w:pPr>
              <w:keepNext w:val="0"/>
              <w:keepLines w:val="0"/>
              <w:widowControl/>
              <w:suppressLineNumbers w:val="0"/>
              <w:jc w:val="center"/>
              <w:textAlignment w:val="center"/>
              <w:rPr>
                <w:rFonts w:hint="eastAsia" w:cs="宋体"/>
                <w:color w:val="auto"/>
                <w:kern w:val="0"/>
                <w:sz w:val="18"/>
                <w:szCs w:val="18"/>
                <w:highlight w:val="none"/>
                <w:vertAlign w:val="baseline"/>
                <w:lang w:val="en-US" w:eastAsia="zh-CN" w:bidi="ar"/>
              </w:rPr>
            </w:pPr>
            <w:r>
              <w:rPr>
                <w:rFonts w:hint="eastAsia" w:cs="宋体"/>
                <w:color w:val="auto"/>
                <w:kern w:val="0"/>
                <w:sz w:val="18"/>
                <w:szCs w:val="18"/>
                <w:highlight w:val="none"/>
                <w:vertAlign w:val="baseline"/>
                <w:lang w:val="en-US" w:eastAsia="zh-CN" w:bidi="ar"/>
              </w:rPr>
              <w:t>软件和信息技术服务业</w:t>
            </w:r>
          </w:p>
        </w:tc>
        <w:tc>
          <w:tcPr>
            <w:tcW w:w="1391" w:type="dxa"/>
            <w:tcBorders>
              <w:top w:val="single" w:color="000000" w:sz="4" w:space="0"/>
              <w:left w:val="single" w:color="000000" w:sz="4" w:space="0"/>
              <w:bottom w:val="single" w:color="000000" w:sz="4" w:space="0"/>
              <w:right w:val="single" w:color="000000" w:sz="4" w:space="0"/>
            </w:tcBorders>
            <w:noWrap w:val="0"/>
            <w:vAlign w:val="center"/>
          </w:tcPr>
          <w:p w14:paraId="24624939">
            <w:pPr>
              <w:keepNext w:val="0"/>
              <w:keepLines w:val="0"/>
              <w:widowControl/>
              <w:suppressLineNumbers w:val="0"/>
              <w:jc w:val="center"/>
              <w:textAlignment w:val="center"/>
              <w:rPr>
                <w:rFonts w:hint="eastAsia" w:cs="宋体"/>
                <w:color w:val="auto"/>
                <w:kern w:val="0"/>
                <w:sz w:val="18"/>
                <w:szCs w:val="18"/>
                <w:highlight w:val="none"/>
                <w:vertAlign w:val="baseline"/>
                <w:lang w:val="en-US" w:eastAsia="zh-CN" w:bidi="ar"/>
              </w:rPr>
            </w:pPr>
          </w:p>
        </w:tc>
      </w:tr>
    </w:tbl>
    <w:p w14:paraId="47C2E1B7">
      <w:pPr>
        <w:rPr>
          <w:rFonts w:hint="eastAsia" w:ascii="宋体" w:hAnsi="宋体" w:eastAsia="宋体"/>
          <w:b/>
          <w:bCs/>
          <w:snapToGrid w:val="0"/>
          <w:color w:val="auto"/>
          <w:sz w:val="24"/>
          <w:szCs w:val="24"/>
          <w:highlight w:val="none"/>
          <w:lang w:val="en-US" w:eastAsia="zh-CN"/>
        </w:rPr>
      </w:pPr>
      <w:r>
        <w:rPr>
          <w:rFonts w:hint="eastAsia" w:ascii="宋体" w:hAnsi="宋体" w:eastAsia="宋体"/>
          <w:b/>
          <w:bCs/>
          <w:snapToGrid w:val="0"/>
          <w:color w:val="auto"/>
          <w:sz w:val="24"/>
          <w:szCs w:val="24"/>
          <w:highlight w:val="none"/>
          <w:lang w:val="en-US" w:eastAsia="zh-CN"/>
        </w:rPr>
        <w:br w:type="page"/>
      </w:r>
    </w:p>
    <w:tbl>
      <w:tblPr>
        <w:tblStyle w:val="40"/>
        <w:tblW w:w="915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959"/>
        <w:gridCol w:w="1134"/>
        <w:gridCol w:w="7060"/>
      </w:tblGrid>
      <w:tr w14:paraId="568E0E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2" w:hRule="atLeast"/>
        </w:trPr>
        <w:tc>
          <w:tcPr>
            <w:tcW w:w="959" w:type="dxa"/>
            <w:shd w:val="clear" w:color="auto" w:fill="auto"/>
            <w:noWrap w:val="0"/>
            <w:vAlign w:val="center"/>
          </w:tcPr>
          <w:p w14:paraId="3DA7C708">
            <w:pPr>
              <w:jc w:val="center"/>
              <w:rPr>
                <w:rFonts w:hint="eastAsia" w:ascii="宋体" w:hAnsi="宋体"/>
                <w:b/>
                <w:bCs/>
                <w:color w:val="auto"/>
                <w:kern w:val="0"/>
                <w:sz w:val="20"/>
                <w:szCs w:val="21"/>
                <w:highlight w:val="none"/>
              </w:rPr>
            </w:pPr>
            <w:r>
              <w:rPr>
                <w:rFonts w:hint="eastAsia" w:ascii="宋体" w:hAnsi="宋体"/>
                <w:b/>
                <w:bCs/>
                <w:color w:val="auto"/>
                <w:kern w:val="0"/>
                <w:sz w:val="20"/>
                <w:szCs w:val="21"/>
                <w:highlight w:val="none"/>
              </w:rPr>
              <w:t>序号</w:t>
            </w:r>
          </w:p>
        </w:tc>
        <w:tc>
          <w:tcPr>
            <w:tcW w:w="1134" w:type="dxa"/>
            <w:shd w:val="clear" w:color="auto" w:fill="auto"/>
            <w:noWrap w:val="0"/>
            <w:vAlign w:val="center"/>
          </w:tcPr>
          <w:p w14:paraId="62D47C5A">
            <w:pPr>
              <w:jc w:val="center"/>
              <w:rPr>
                <w:rFonts w:hint="eastAsia" w:ascii="宋体" w:hAnsi="宋体"/>
                <w:b/>
                <w:bCs/>
                <w:color w:val="auto"/>
                <w:kern w:val="0"/>
                <w:sz w:val="20"/>
                <w:szCs w:val="21"/>
                <w:highlight w:val="none"/>
              </w:rPr>
            </w:pPr>
            <w:r>
              <w:rPr>
                <w:rFonts w:hint="eastAsia" w:ascii="宋体" w:hAnsi="宋体"/>
                <w:b/>
                <w:bCs/>
                <w:color w:val="auto"/>
                <w:kern w:val="0"/>
                <w:sz w:val="20"/>
                <w:szCs w:val="21"/>
                <w:highlight w:val="none"/>
              </w:rPr>
              <w:t>项目</w:t>
            </w:r>
          </w:p>
        </w:tc>
        <w:tc>
          <w:tcPr>
            <w:tcW w:w="7060" w:type="dxa"/>
            <w:shd w:val="clear" w:color="auto" w:fill="auto"/>
            <w:noWrap w:val="0"/>
            <w:vAlign w:val="center"/>
          </w:tcPr>
          <w:p w14:paraId="0946EA81">
            <w:pPr>
              <w:jc w:val="center"/>
              <w:rPr>
                <w:rFonts w:hint="eastAsia" w:ascii="宋体" w:hAnsi="宋体"/>
                <w:b/>
                <w:bCs/>
                <w:color w:val="auto"/>
                <w:kern w:val="0"/>
                <w:sz w:val="20"/>
                <w:szCs w:val="21"/>
                <w:highlight w:val="none"/>
              </w:rPr>
            </w:pPr>
            <w:r>
              <w:rPr>
                <w:rFonts w:hint="eastAsia" w:ascii="宋体" w:hAnsi="宋体"/>
                <w:b/>
                <w:bCs/>
                <w:color w:val="auto"/>
                <w:kern w:val="0"/>
                <w:sz w:val="20"/>
                <w:szCs w:val="21"/>
                <w:highlight w:val="none"/>
              </w:rPr>
              <w:t>技术参数</w:t>
            </w:r>
          </w:p>
        </w:tc>
      </w:tr>
      <w:tr w14:paraId="72F7AA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959" w:type="dxa"/>
            <w:shd w:val="clear" w:color="auto" w:fill="auto"/>
            <w:noWrap w:val="0"/>
            <w:vAlign w:val="center"/>
          </w:tcPr>
          <w:p w14:paraId="4C9A8175">
            <w:pPr>
              <w:jc w:val="center"/>
              <w:rPr>
                <w:rFonts w:hint="eastAsia" w:ascii="宋体" w:hAnsi="宋体" w:eastAsia="宋体"/>
                <w:color w:val="auto"/>
                <w:kern w:val="0"/>
                <w:sz w:val="20"/>
                <w:szCs w:val="22"/>
                <w:highlight w:val="none"/>
                <w:lang w:val="en-US" w:eastAsia="zh-CN" w:bidi="ar-SA"/>
              </w:rPr>
            </w:pPr>
            <w:r>
              <w:rPr>
                <w:rFonts w:ascii="宋体" w:hAnsi="宋体"/>
                <w:color w:val="auto"/>
                <w:sz w:val="20"/>
                <w:szCs w:val="22"/>
                <w:highlight w:val="none"/>
              </w:rPr>
              <w:t>1</w:t>
            </w:r>
          </w:p>
        </w:tc>
        <w:tc>
          <w:tcPr>
            <w:tcW w:w="1134" w:type="dxa"/>
            <w:shd w:val="clear" w:color="auto" w:fill="auto"/>
            <w:noWrap w:val="0"/>
            <w:vAlign w:val="center"/>
          </w:tcPr>
          <w:p w14:paraId="2930E8CA">
            <w:pPr>
              <w:jc w:val="center"/>
              <w:rPr>
                <w:rFonts w:hint="eastAsia" w:ascii="宋体" w:hAnsi="宋体"/>
                <w:color w:val="auto"/>
                <w:kern w:val="0"/>
                <w:sz w:val="18"/>
                <w:szCs w:val="18"/>
                <w:highlight w:val="none"/>
                <w:lang w:val="en-US" w:eastAsia="zh-CN" w:bidi="ar-SA"/>
              </w:rPr>
            </w:pPr>
            <w:r>
              <w:rPr>
                <w:rFonts w:hint="eastAsia" w:ascii="宋体" w:hAnsi="宋体"/>
                <w:color w:val="auto"/>
                <w:kern w:val="0"/>
                <w:sz w:val="18"/>
                <w:szCs w:val="18"/>
                <w:highlight w:val="none"/>
              </w:rPr>
              <w:t>智能存包柜</w:t>
            </w:r>
          </w:p>
        </w:tc>
        <w:tc>
          <w:tcPr>
            <w:tcW w:w="7060" w:type="dxa"/>
            <w:shd w:val="clear" w:color="auto" w:fill="auto"/>
            <w:noWrap w:val="0"/>
            <w:vAlign w:val="center"/>
          </w:tcPr>
          <w:p w14:paraId="7976CB80">
            <w:pPr>
              <w:jc w:val="left"/>
              <w:rPr>
                <w:rFonts w:hint="eastAsia" w:ascii="宋体" w:hAnsi="宋体"/>
                <w:b/>
                <w:bCs/>
                <w:color w:val="auto"/>
                <w:kern w:val="0"/>
                <w:sz w:val="18"/>
                <w:szCs w:val="18"/>
                <w:highlight w:val="none"/>
              </w:rPr>
            </w:pPr>
            <w:r>
              <w:rPr>
                <w:rFonts w:hint="eastAsia" w:ascii="宋体" w:hAnsi="宋体"/>
                <w:b/>
                <w:bCs/>
                <w:color w:val="auto"/>
                <w:kern w:val="0"/>
                <w:sz w:val="18"/>
                <w:szCs w:val="18"/>
                <w:highlight w:val="none"/>
              </w:rPr>
              <w:t>系统</w:t>
            </w:r>
          </w:p>
          <w:p w14:paraId="64087D9C">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1.支持预约系统（数据库、应用发布）本地化部署。</w:t>
            </w:r>
          </w:p>
          <w:p w14:paraId="1D344CE3">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2.预约系统支持多校区、多分馆的寄存柜预约。</w:t>
            </w:r>
          </w:p>
          <w:p w14:paraId="5D0C03F4">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3.预约方式支持网页、手机端预约。</w:t>
            </w:r>
          </w:p>
          <w:p w14:paraId="736BA8D0">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4.预约系统用户身份认证支持与学校统一身份认证对接。</w:t>
            </w:r>
          </w:p>
          <w:p w14:paraId="22831E0B">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5.▲预约系统支持与本馆座位预约、空间预约系统无缝对接，实现预约统一平台，方便用户统一管理（提供同平台软件功能截图）。</w:t>
            </w:r>
          </w:p>
          <w:p w14:paraId="4C4EA8EE">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6.▲寄存柜预约类型及使用方式：</w:t>
            </w:r>
          </w:p>
          <w:p w14:paraId="502C6B48">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6.1.日柜（使用时间为当日）</w:t>
            </w:r>
          </w:p>
          <w:p w14:paraId="0239BEB0">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支持所有读者进行预约使用，每次使用时间至当日闭馆，工作人员需要每天对柜子进行清理。当日未取走物品的读者，系统清场时需要记录该读者违约1次，违约满几次，禁用寄存柜预约N天。</w:t>
            </w:r>
          </w:p>
          <w:p w14:paraId="79E3D535">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6.2.周柜（使用时间为1周）</w:t>
            </w:r>
          </w:p>
          <w:p w14:paraId="0D56187F">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周柜的使用时间为1周（周一至周日），支持对可以预约使用的读者进行有权限的设定。包括可通过读者类型来进行限制，如只有研究生可以预约使用。可通过学号的特定标识进行限制（学号开头几位），如大三以上读者可以预约使用。可通过上周的读者在馆时长进行限制，如上周在馆时间达到多少时长就拥有下周的周柜预约权限</w:t>
            </w:r>
          </w:p>
          <w:p w14:paraId="49D17A85">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管理员每周日闭馆后，对周柜进行清理，未取走物品的读者，管理员可在预约系统中手动添加该读者违约1次，违约满几次，禁用寄存柜预约N天。</w:t>
            </w:r>
          </w:p>
          <w:p w14:paraId="617A0C08">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6.3.▲考研柜（使用时间为1段时间）</w:t>
            </w:r>
          </w:p>
          <w:p w14:paraId="24872DAE">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考研柜的预约权限仅限拥有考研座位的读者，一旦考研座位由于签到原因被释放，该读者所预约的考研柜也自动失去使用权限。当读者考研柜被释放后，系统将自动通知管理员对柜子进行清理。</w:t>
            </w:r>
          </w:p>
          <w:p w14:paraId="52310287">
            <w:pPr>
              <w:jc w:val="left"/>
              <w:rPr>
                <w:rFonts w:hint="eastAsia" w:ascii="宋体" w:hAnsi="宋体"/>
                <w:b/>
                <w:bCs/>
                <w:color w:val="auto"/>
                <w:kern w:val="0"/>
                <w:sz w:val="18"/>
                <w:szCs w:val="18"/>
                <w:highlight w:val="none"/>
              </w:rPr>
            </w:pPr>
            <w:r>
              <w:rPr>
                <w:rFonts w:hint="eastAsia" w:ascii="宋体" w:hAnsi="宋体"/>
                <w:b/>
                <w:bCs/>
                <w:color w:val="auto"/>
                <w:kern w:val="0"/>
                <w:sz w:val="18"/>
                <w:szCs w:val="18"/>
                <w:highlight w:val="none"/>
              </w:rPr>
              <w:t>硬件</w:t>
            </w:r>
          </w:p>
          <w:p w14:paraId="3350F9D2">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1.▲具有大屏幕显示功能，屏幕可显示时间、常规故障指示、设置菜单、管理界面、工作状态显示等。（提供设备外观截图证明）。</w:t>
            </w:r>
          </w:p>
          <w:p w14:paraId="16981EB8">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2.具有红外检测的辅助安全措施。</w:t>
            </w:r>
          </w:p>
          <w:p w14:paraId="0F461B63">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3.寄存柜的各个管理参数全部面向客户开放，客户可选择相应的菜单进行设置。设有三级管理密码，方便不同级别的管理要求。</w:t>
            </w:r>
          </w:p>
          <w:p w14:paraId="2D5396CC">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4.在管理模式下，管理快捷命令可应急开启箱门、清除箱门ID、查询箱门状态等操作。可设置管理员进行管理,每个管理员可根据自己的工号及管理密码进行管理操作而互不影响。</w:t>
            </w:r>
          </w:p>
          <w:p w14:paraId="1A02BDC9">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5.在箱门合法使用的情况下，系统自动记录操作日志，包括箱门的识别ID、存取时间、管理员操作信息、物品检测情况等记录信息。管理员可查询这些记录。</w:t>
            </w:r>
          </w:p>
          <w:p w14:paraId="1373A704">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6.对于故障箱管理员可临时锁定拒绝存入该箱门的功能。</w:t>
            </w:r>
          </w:p>
          <w:p w14:paraId="0F86705E">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7.通过检测装置实时监测箱门开闭状态，具备非法箱门开启报警、非法存物报警拒绝、关闭箱门提示等功能。</w:t>
            </w:r>
          </w:p>
          <w:p w14:paraId="069EC664">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8.门数≥24。</w:t>
            </w:r>
          </w:p>
          <w:p w14:paraId="73323248">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9.柜体冷轧钢板厚度：≥1mm。</w:t>
            </w:r>
          </w:p>
          <w:p w14:paraId="4B2A672D">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10.显示屏尺寸：≥7寸</w:t>
            </w:r>
          </w:p>
          <w:p w14:paraId="1246B9C1">
            <w:pPr>
              <w:jc w:val="left"/>
              <w:rPr>
                <w:rFonts w:hint="eastAsia" w:ascii="宋体" w:hAnsi="宋体"/>
                <w:color w:val="auto"/>
                <w:kern w:val="0"/>
                <w:sz w:val="18"/>
                <w:szCs w:val="18"/>
                <w:highlight w:val="none"/>
                <w:lang w:val="en-US" w:eastAsia="zh-CN" w:bidi="ar-SA"/>
              </w:rPr>
            </w:pPr>
            <w:r>
              <w:rPr>
                <w:rFonts w:hint="eastAsia" w:ascii="宋体" w:hAnsi="宋体"/>
                <w:color w:val="auto"/>
                <w:kern w:val="0"/>
                <w:sz w:val="18"/>
                <w:szCs w:val="18"/>
                <w:highlight w:val="none"/>
              </w:rPr>
              <w:t>11.▲支持一卡通刷卡、二维码联网认证。（提供功能软件截图及设备外观图证明）。</w:t>
            </w:r>
          </w:p>
        </w:tc>
      </w:tr>
      <w:tr w14:paraId="560FB6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shd w:val="clear" w:color="auto" w:fill="auto"/>
            <w:noWrap w:val="0"/>
            <w:vAlign w:val="center"/>
          </w:tcPr>
          <w:p w14:paraId="65AD1D6E">
            <w:pPr>
              <w:jc w:val="center"/>
              <w:rPr>
                <w:rFonts w:hint="eastAsia" w:ascii="宋体" w:hAnsi="宋体"/>
                <w:color w:val="auto"/>
                <w:kern w:val="0"/>
                <w:sz w:val="20"/>
                <w:szCs w:val="22"/>
                <w:highlight w:val="none"/>
                <w:lang w:val="en-US" w:eastAsia="zh-CN" w:bidi="ar-SA"/>
              </w:rPr>
            </w:pPr>
            <w:r>
              <w:rPr>
                <w:rFonts w:ascii="宋体" w:hAnsi="宋体"/>
                <w:color w:val="auto"/>
                <w:sz w:val="20"/>
                <w:szCs w:val="22"/>
                <w:highlight w:val="none"/>
              </w:rPr>
              <w:t>2</w:t>
            </w:r>
          </w:p>
        </w:tc>
        <w:tc>
          <w:tcPr>
            <w:tcW w:w="1134" w:type="dxa"/>
            <w:shd w:val="clear" w:color="auto" w:fill="auto"/>
            <w:noWrap w:val="0"/>
            <w:vAlign w:val="center"/>
          </w:tcPr>
          <w:p w14:paraId="123AC74B">
            <w:pPr>
              <w:jc w:val="center"/>
              <w:rPr>
                <w:rFonts w:hint="eastAsia" w:ascii="宋体" w:hAnsi="宋体"/>
                <w:color w:val="auto"/>
                <w:kern w:val="0"/>
                <w:sz w:val="18"/>
                <w:szCs w:val="18"/>
                <w:highlight w:val="none"/>
                <w:lang w:val="en-US" w:eastAsia="zh-CN" w:bidi="ar-SA"/>
              </w:rPr>
            </w:pPr>
            <w:r>
              <w:rPr>
                <w:rFonts w:hint="eastAsia" w:ascii="宋体" w:hAnsi="宋体"/>
                <w:color w:val="auto"/>
                <w:kern w:val="0"/>
                <w:sz w:val="18"/>
                <w:szCs w:val="18"/>
                <w:highlight w:val="none"/>
              </w:rPr>
              <w:t>电子图书借阅机</w:t>
            </w:r>
          </w:p>
        </w:tc>
        <w:tc>
          <w:tcPr>
            <w:tcW w:w="7060" w:type="dxa"/>
            <w:shd w:val="clear" w:color="auto" w:fill="auto"/>
            <w:noWrap w:val="0"/>
            <w:vAlign w:val="center"/>
          </w:tcPr>
          <w:p w14:paraId="51CEB2E3">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 xml:space="preserve">1.系统 </w:t>
            </w:r>
          </w:p>
          <w:p w14:paraId="2C75551A">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1.1▲基于1080*1920分辨率大屏安卓触摸一体机研发，软件运行环境为Android7.1及以上系统。实现终端平台展示、图书资源管理、借阅等功能模块。</w:t>
            </w:r>
          </w:p>
          <w:p w14:paraId="0390678A">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1.2 ▲必须具备手机客户端应用，手机客户端是电子书借阅机配套的手机端程序，且可与图书馆正在使用的移动图书馆客户端联机使用。</w:t>
            </w:r>
          </w:p>
          <w:p w14:paraId="6F2453B0">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1.3 ▲ 通过配套的手机客户端可以直接扫描电子书借阅机上的图书二维码下载图书到手机等移动终端中阅读。手机客户端需同时支持ios、android系统。</w:t>
            </w:r>
          </w:p>
          <w:p w14:paraId="433FCE92">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1.4支持远程定时更新，支持一键更新，减少管理成本。</w:t>
            </w:r>
          </w:p>
          <w:p w14:paraId="2D8963CC">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1.5▲通过微信等第三方扫描工具二维码扫描，可提供直接在线阅读原版文本全文，无需下载客户端，并能将图书分享至朋友圈等社交网络。也可根据读者喜好自行选择下载客户端阅读。</w:t>
            </w:r>
          </w:p>
          <w:p w14:paraId="54FB575B">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2.借阅机资源</w:t>
            </w:r>
          </w:p>
          <w:p w14:paraId="21706FE5">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2.1▲ 电子书借阅机内置3000册正版授权的epub格式电子图书且与原版图书保持原貌一致，如相关图片、目录等，每月定时更新不少于150册热门电子图书。支持新书、热门图书标记功能，供读者参考。</w:t>
            </w:r>
          </w:p>
          <w:p w14:paraId="66E1B6D0">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2.2▲内置期刊资源，期刊种类不少于200种，每月定期更新。</w:t>
            </w:r>
          </w:p>
          <w:p w14:paraId="4879298F">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期刊支持扫描下载至手机客户端中离线阅读。</w:t>
            </w:r>
          </w:p>
          <w:p w14:paraId="65E8892F">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2.3▲配套新书推荐栏目，每周更新，每月推送不低于25本。（每周新书推送，结合实事、节假日等针对不同主题，精选图书。）</w:t>
            </w:r>
          </w:p>
          <w:p w14:paraId="1BC528CD">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3. 个性化</w:t>
            </w:r>
          </w:p>
          <w:p w14:paraId="3D62E6DD">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3.1 ▲借阅机终端系统支持定制显示单位名称、logo、待机画面、二维码，可将购买单位的名称和logo配置到程序中。可任意修改待机画面，通过后台可进行相关待机画面修改，随时满足图书馆的通知要求。</w:t>
            </w:r>
          </w:p>
          <w:p w14:paraId="0258C4FD">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3.2▲提供不少于5种不同风格的模版，供用户自行选择，随时更换模版以适应不同场合的需求。</w:t>
            </w:r>
          </w:p>
          <w:p w14:paraId="4763E3AA">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3.3▲ 图书分类支持定制：可根据用户的需求定制一个图书分类，推荐相关的电子图书到借阅机中展示。定制的图书也可以通过扫描二维码的方式下载至手机客户端中离线阅读。</w:t>
            </w:r>
          </w:p>
          <w:p w14:paraId="7136D3C5">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3.4▲支持挂接单个专题，多个专题以及多个专题组。</w:t>
            </w:r>
          </w:p>
          <w:p w14:paraId="79B1CF81">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4．后台管理</w:t>
            </w:r>
          </w:p>
          <w:p w14:paraId="3ABBBFEA">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4.1 ▲提供用户管理后台。图书馆可以自行配置借阅机的显示效果，挑选展示风格。</w:t>
            </w:r>
          </w:p>
          <w:p w14:paraId="03F052E3">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4.2 ▲提供信息发布后台。图书馆可以自行发布文字、图片等信息，推送至指定的借阅机上显示。</w:t>
            </w:r>
          </w:p>
          <w:p w14:paraId="7F68F2F7">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4.3 ▲提供视频上传后台。图书馆可以自定义发布视频资源，获取播放地址；支持单个、多个视频、多个视频组的不同展示。</w:t>
            </w:r>
          </w:p>
          <w:p w14:paraId="3221CA61">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4.4 ▲提供人员架构信息发布后台，单位可以自行添加信息。</w:t>
            </w:r>
          </w:p>
          <w:p w14:paraId="43E6692D">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4.5 ▲提供图片上传后台，用户可以自定义上传图片资源。</w:t>
            </w:r>
          </w:p>
          <w:p w14:paraId="27607989">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4.6 ▲提供统一的微服务管理平台，支持PC端+移动端的多终端自主管理功能。</w:t>
            </w:r>
          </w:p>
          <w:p w14:paraId="32481072">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4.7▲微服务管理后台支持对设备信息查看、在线/离线状态监控等。</w:t>
            </w:r>
          </w:p>
          <w:p w14:paraId="60520779">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4.8▲微服务管理后台可以对设备进行远程管理，包括重启、关机、刷新等操作。</w:t>
            </w:r>
          </w:p>
          <w:p w14:paraId="5B41FD14">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4.9▲微服务管理后台可以对设备进行内容配置，切换版式、显示名称、添加导航及调整顺序等</w:t>
            </w:r>
          </w:p>
          <w:p w14:paraId="25198BDD">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4.9▲微服务管理后台可以对设备进行版式修改</w:t>
            </w:r>
          </w:p>
          <w:p w14:paraId="3CD1EA3B">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5．配套的手机端服务</w:t>
            </w:r>
          </w:p>
          <w:p w14:paraId="7B46AD85">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5.1配套的手机端应具备夜间模式转换，文字大小调整等功能。</w:t>
            </w:r>
          </w:p>
          <w:p w14:paraId="5719B90D">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5.2手机客户端可保留相关阅读记录。</w:t>
            </w:r>
          </w:p>
          <w:p w14:paraId="7C73B16A">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5.3▲手机客户端提供适合智能手机阅读的EPUB格式热门图书。图书支持全文下载，并保存在手机中。</w:t>
            </w:r>
          </w:p>
          <w:p w14:paraId="2C6FC025">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5.4▲手机客户端可以观看适合智能手机播放的学术视频。</w:t>
            </w:r>
          </w:p>
          <w:p w14:paraId="07EDA575">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5.5▲手机客户端支持在线听书。</w:t>
            </w:r>
          </w:p>
          <w:p w14:paraId="634E5DFE">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5.6▲提供手机端遥控器，可实现对设备的便捷管理。</w:t>
            </w:r>
          </w:p>
          <w:p w14:paraId="5670D3C1">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5.7▲手机端遥控器支持对设备信息查看、在线/离线状态监控等。</w:t>
            </w:r>
          </w:p>
          <w:p w14:paraId="29B80DAD">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5.8▲手机端遥控器可以快速进行屏保上传、修改。</w:t>
            </w:r>
          </w:p>
          <w:p w14:paraId="5AC1507C">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5.9▲手机端遥控器支持信息发布（任务推送），更加高效，便捷。</w:t>
            </w:r>
          </w:p>
          <w:p w14:paraId="26E0C104">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 xml:space="preserve">6. 其他要求： </w:t>
            </w:r>
          </w:p>
          <w:p w14:paraId="1F0767C0">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6.1▲需要提供平台成熟的应用案例。</w:t>
            </w:r>
          </w:p>
          <w:p w14:paraId="1F5DB7A2">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6.2▲需要提供借阅机系统软件著作权证书。</w:t>
            </w:r>
          </w:p>
          <w:p w14:paraId="2E71D78E">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6.3具备苹果客户端开发能力，具备苹果开发者账号。</w:t>
            </w:r>
          </w:p>
          <w:p w14:paraId="7AF853D1">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6.4 提供IOS和android主流移动操作系统客户端，提供条码扫描、订阅等功能，设计要符合用户的操作习惯。</w:t>
            </w:r>
          </w:p>
          <w:p w14:paraId="371CFA50">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6.5系统具备良好的开放性，可以支持二次发。</w:t>
            </w:r>
          </w:p>
          <w:p w14:paraId="43AE02E2">
            <w:pPr>
              <w:jc w:val="left"/>
              <w:rPr>
                <w:rFonts w:hint="eastAsia" w:ascii="宋体" w:hAnsi="宋体"/>
                <w:color w:val="auto"/>
                <w:kern w:val="0"/>
                <w:sz w:val="18"/>
                <w:szCs w:val="18"/>
                <w:highlight w:val="none"/>
                <w:lang w:val="en-US" w:eastAsia="zh-CN" w:bidi="ar-SA"/>
              </w:rPr>
            </w:pPr>
            <w:r>
              <w:rPr>
                <w:rFonts w:hint="eastAsia" w:ascii="宋体" w:hAnsi="宋体"/>
                <w:color w:val="auto"/>
                <w:kern w:val="0"/>
                <w:sz w:val="18"/>
                <w:szCs w:val="18"/>
                <w:highlight w:val="none"/>
              </w:rPr>
              <w:t>6.6提供完善的售后说明。</w:t>
            </w:r>
          </w:p>
        </w:tc>
      </w:tr>
      <w:tr w14:paraId="57BDA9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959" w:type="dxa"/>
            <w:shd w:val="clear" w:color="auto" w:fill="auto"/>
            <w:noWrap w:val="0"/>
            <w:vAlign w:val="center"/>
          </w:tcPr>
          <w:p w14:paraId="2FF11F71">
            <w:pPr>
              <w:jc w:val="center"/>
              <w:rPr>
                <w:rFonts w:hint="eastAsia" w:ascii="宋体" w:hAnsi="宋体"/>
                <w:color w:val="auto"/>
                <w:kern w:val="0"/>
                <w:sz w:val="20"/>
                <w:szCs w:val="22"/>
                <w:highlight w:val="none"/>
                <w:lang w:val="en-US" w:eastAsia="zh-CN" w:bidi="ar-SA"/>
              </w:rPr>
            </w:pPr>
            <w:r>
              <w:rPr>
                <w:rFonts w:ascii="宋体" w:hAnsi="宋体"/>
                <w:color w:val="auto"/>
                <w:sz w:val="20"/>
                <w:szCs w:val="22"/>
                <w:highlight w:val="none"/>
              </w:rPr>
              <w:t>3</w:t>
            </w:r>
          </w:p>
        </w:tc>
        <w:tc>
          <w:tcPr>
            <w:tcW w:w="1134" w:type="dxa"/>
            <w:shd w:val="clear" w:color="auto" w:fill="auto"/>
            <w:noWrap w:val="0"/>
            <w:vAlign w:val="center"/>
          </w:tcPr>
          <w:p w14:paraId="2132AEFE">
            <w:pPr>
              <w:jc w:val="center"/>
              <w:rPr>
                <w:rFonts w:hint="eastAsia" w:ascii="宋体" w:hAnsi="宋体"/>
                <w:color w:val="auto"/>
                <w:kern w:val="0"/>
                <w:sz w:val="18"/>
                <w:szCs w:val="18"/>
                <w:highlight w:val="none"/>
                <w:lang w:val="en-US" w:eastAsia="zh-CN" w:bidi="ar-SA"/>
              </w:rPr>
            </w:pPr>
            <w:r>
              <w:rPr>
                <w:rFonts w:hint="eastAsia" w:ascii="宋体" w:hAnsi="宋体"/>
                <w:color w:val="auto"/>
                <w:kern w:val="0"/>
                <w:sz w:val="18"/>
                <w:szCs w:val="18"/>
                <w:highlight w:val="none"/>
              </w:rPr>
              <w:t>电子报刊借阅机</w:t>
            </w:r>
          </w:p>
        </w:tc>
        <w:tc>
          <w:tcPr>
            <w:tcW w:w="7060" w:type="dxa"/>
            <w:shd w:val="clear" w:color="auto" w:fill="auto"/>
            <w:noWrap w:val="0"/>
            <w:vAlign w:val="center"/>
          </w:tcPr>
          <w:p w14:paraId="1587CDE5">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 xml:space="preserve">1.系统 </w:t>
            </w:r>
          </w:p>
          <w:p w14:paraId="6AEDA475">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1.1▲软件运行环境不低于Windows10 64位操作系统。</w:t>
            </w:r>
          </w:p>
          <w:p w14:paraId="0BC98F49">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1.2 ▲必须具备手机客户端应用，手机客户端是报刊机配套的手机端程序，且可与图书馆正在使用的移动图书馆客户端联机使用。</w:t>
            </w:r>
          </w:p>
          <w:p w14:paraId="69100670">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1.3 ▲ 通过配套的手机客户端可以直接扫描报刊机上的期刊二维码下载期刊到手机等移动终端中阅读。手机客户端需同时支持ios、android系统。</w:t>
            </w:r>
          </w:p>
          <w:p w14:paraId="2EF7983F">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1.4支持远程定时更新，支持一键更新，减少管理成本。</w:t>
            </w:r>
          </w:p>
          <w:p w14:paraId="7564A9EB">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1.5▲通过微信等第三方扫描工具二维码扫描，可提供直接在线阅读原版文本全文，无需下载客户端，并能将期刊分享至朋友圈等社交网络。也可根据读者喜好自行选择下载客户端阅读。</w:t>
            </w:r>
          </w:p>
          <w:p w14:paraId="2DD4B084">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2.报刊资源</w:t>
            </w:r>
          </w:p>
          <w:p w14:paraId="3AE3149F">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2.1 电子书借阅机内置3000册正版授权的epub格式电子图书且与原版图书保持原貌一致，如相关图片、目录等，每月定时更新不少于150册热门电子图书。支持新书、热门图书标记功能，供读者参考。</w:t>
            </w:r>
          </w:p>
          <w:p w14:paraId="3EA82BC6">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2.2报刊机内置500种正版授权的epub格式电子期刊，且与原版期刊保持原貌一致，如相关图片、目录等，每月更新。</w:t>
            </w:r>
          </w:p>
          <w:p w14:paraId="018328F8">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2.3 期刊可以在机器端在线阅读，同时支持扫描下载至手机客户端中离线阅读。</w:t>
            </w:r>
          </w:p>
          <w:p w14:paraId="5AA47443">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2.4 报刊机内置不少于30种报纸资源，并且实现报纸的实时更新。</w:t>
            </w:r>
          </w:p>
          <w:p w14:paraId="744547E3">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3. 个性化</w:t>
            </w:r>
          </w:p>
          <w:p w14:paraId="4409BA3F">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3.1报刊机终端系统支持定制显示单位名称、logo，可将购买单位的名称和logo配置到程序中。</w:t>
            </w:r>
          </w:p>
          <w:p w14:paraId="17DA1540">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3.2报刊机终端系统支持轮播图片展示功能，可以通过后台远程修改。</w:t>
            </w:r>
          </w:p>
          <w:p w14:paraId="664D9321">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3.3提供四种首页版式，包括标准版、二合一版、card版、banner版等，版式支持随意切换，根据客户需要个性化定制首页展示内容。包括不限于图书、视频、专题、第三方外链等内容展示。</w:t>
            </w:r>
          </w:p>
          <w:p w14:paraId="316D3880">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3.4支持挂接单个专题，多个专题以及多个专题组。</w:t>
            </w:r>
          </w:p>
          <w:p w14:paraId="361FA81E">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3.5提供全屏屏保展示，屏保支持单、多张轮播展示。</w:t>
            </w:r>
          </w:p>
          <w:p w14:paraId="5FE3FDB2">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4．配套的手机端服务</w:t>
            </w:r>
          </w:p>
          <w:p w14:paraId="3891C059">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4.1配套的手机端应具备夜间模式转换，文字大小调整等功能。</w:t>
            </w:r>
          </w:p>
          <w:p w14:paraId="330DB01A">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4.2手机客户端可保留相关阅读记录。</w:t>
            </w:r>
          </w:p>
          <w:p w14:paraId="4D42E08A">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4.3▲手机客户端提供适合智能手机阅读的EPUB格式热门图书。图书支持全文下载，并保存在手机中。</w:t>
            </w:r>
          </w:p>
          <w:p w14:paraId="2676011E">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4.4▲提供手机端遥控器，可实现对设备的便捷管理。</w:t>
            </w:r>
          </w:p>
          <w:p w14:paraId="5F609AC6">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4.5▲手机端遥控器支持对设备信息查看、在线/离线状态监控等。</w:t>
            </w:r>
          </w:p>
          <w:p w14:paraId="73A089C1">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4.6▲手机端遥控器可以快速进行屏保上传、修改</w:t>
            </w:r>
          </w:p>
          <w:p w14:paraId="36402EC3">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4.7▲手机端遥控器支持信息发布（任务推送），更加高效，便捷。</w:t>
            </w:r>
          </w:p>
          <w:p w14:paraId="5866D9E3">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5.后台管理</w:t>
            </w:r>
          </w:p>
          <w:p w14:paraId="2C94B38B">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5.1▲提供统一的微服务管理平台，支持PC端+移动端的多终端自主管理功能。</w:t>
            </w:r>
          </w:p>
          <w:p w14:paraId="45EF093F">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5.2▲微服务管理平台支持对设备信息查看、在线/离线状态监控等。</w:t>
            </w:r>
          </w:p>
          <w:p w14:paraId="2D70DDB7">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5.3▲微服务管理后台可以对设备进行远程管理，包括重启、关机、刷新等操作。</w:t>
            </w:r>
          </w:p>
          <w:p w14:paraId="65759F10">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5.4▲微服务管理后台可以对设备进行配置内容修改</w:t>
            </w:r>
          </w:p>
          <w:p w14:paraId="15C8A612">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 xml:space="preserve">6. 其他要求： </w:t>
            </w:r>
          </w:p>
          <w:p w14:paraId="6BF5B9DF">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6.1提供完善的售后说明。</w:t>
            </w:r>
          </w:p>
          <w:p w14:paraId="068625B7">
            <w:pPr>
              <w:jc w:val="left"/>
              <w:rPr>
                <w:rFonts w:hint="eastAsia" w:ascii="宋体" w:hAnsi="宋体"/>
                <w:color w:val="auto"/>
                <w:kern w:val="0"/>
                <w:sz w:val="18"/>
                <w:szCs w:val="18"/>
                <w:highlight w:val="none"/>
                <w:lang w:val="en-US" w:eastAsia="zh-CN" w:bidi="ar-SA"/>
              </w:rPr>
            </w:pPr>
            <w:r>
              <w:rPr>
                <w:rFonts w:hint="eastAsia" w:ascii="宋体" w:hAnsi="宋体"/>
                <w:color w:val="auto"/>
                <w:kern w:val="0"/>
                <w:sz w:val="18"/>
                <w:szCs w:val="18"/>
                <w:highlight w:val="none"/>
              </w:rPr>
              <w:t>6.2▲需要提供借阅机系统软件著作权证书。</w:t>
            </w:r>
          </w:p>
        </w:tc>
      </w:tr>
      <w:tr w14:paraId="2F5C1C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959" w:type="dxa"/>
            <w:shd w:val="clear" w:color="auto" w:fill="auto"/>
            <w:noWrap w:val="0"/>
            <w:vAlign w:val="center"/>
          </w:tcPr>
          <w:p w14:paraId="25F36FD2">
            <w:pPr>
              <w:jc w:val="center"/>
              <w:rPr>
                <w:rFonts w:hint="eastAsia" w:ascii="宋体" w:hAnsi="宋体" w:eastAsia="宋体"/>
                <w:color w:val="auto"/>
                <w:kern w:val="0"/>
                <w:sz w:val="20"/>
                <w:szCs w:val="22"/>
                <w:highlight w:val="none"/>
                <w:lang w:val="en-US" w:eastAsia="zh-CN"/>
              </w:rPr>
            </w:pPr>
            <w:r>
              <w:rPr>
                <w:rFonts w:hint="eastAsia" w:ascii="宋体" w:hAnsi="宋体"/>
                <w:color w:val="auto"/>
                <w:kern w:val="0"/>
                <w:sz w:val="20"/>
                <w:szCs w:val="22"/>
                <w:highlight w:val="none"/>
                <w:lang w:val="en-US" w:eastAsia="zh-CN"/>
              </w:rPr>
              <w:t>4</w:t>
            </w:r>
          </w:p>
        </w:tc>
        <w:tc>
          <w:tcPr>
            <w:tcW w:w="1134" w:type="dxa"/>
            <w:shd w:val="clear" w:color="auto" w:fill="auto"/>
            <w:noWrap w:val="0"/>
            <w:vAlign w:val="center"/>
          </w:tcPr>
          <w:p w14:paraId="3AD9722F">
            <w:pPr>
              <w:jc w:val="center"/>
              <w:rPr>
                <w:rFonts w:hint="eastAsia" w:ascii="宋体" w:hAnsi="宋体"/>
                <w:color w:val="auto"/>
                <w:kern w:val="0"/>
                <w:sz w:val="18"/>
                <w:szCs w:val="18"/>
                <w:highlight w:val="none"/>
              </w:rPr>
            </w:pPr>
            <w:r>
              <w:rPr>
                <w:rFonts w:hint="eastAsia" w:ascii="宋体" w:hAnsi="宋体"/>
                <w:color w:val="auto"/>
                <w:kern w:val="0"/>
                <w:sz w:val="18"/>
                <w:szCs w:val="18"/>
                <w:highlight w:val="none"/>
              </w:rPr>
              <w:t>纸电一体化管理平台</w:t>
            </w:r>
          </w:p>
        </w:tc>
        <w:tc>
          <w:tcPr>
            <w:tcW w:w="7060" w:type="dxa"/>
            <w:shd w:val="clear" w:color="auto" w:fill="auto"/>
            <w:noWrap w:val="0"/>
            <w:vAlign w:val="center"/>
          </w:tcPr>
          <w:p w14:paraId="1902CE40">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一、资源采访</w:t>
            </w:r>
            <w:r>
              <w:rPr>
                <w:rFonts w:hint="eastAsia" w:ascii="宋体" w:hAnsi="宋体"/>
                <w:color w:val="auto"/>
                <w:kern w:val="0"/>
                <w:sz w:val="18"/>
                <w:szCs w:val="18"/>
                <w:highlight w:val="none"/>
              </w:rPr>
              <w:tab/>
            </w:r>
          </w:p>
          <w:p w14:paraId="05CD7413">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数据导入</w:t>
            </w:r>
          </w:p>
          <w:p w14:paraId="69F7F815">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1.支持导入征订目录、导入订购记录、导入验收记录、更新订购待编记录、导入套录数据、导入批量退订等。</w:t>
            </w:r>
          </w:p>
          <w:p w14:paraId="53502F8C">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2.数据导入支持MARC文件和Excel文件，支持文件格式智能识别。</w:t>
            </w:r>
          </w:p>
          <w:p w14:paraId="35CA7C8E">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3.导入MARC文件支持GBK、UNICODE、UTF-8、MARC8等编码格式。</w:t>
            </w:r>
          </w:p>
          <w:p w14:paraId="27100CA7">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4.支持同一批次征订目录、订购记录，多币种、多国别、多语种数据导入。</w:t>
            </w:r>
          </w:p>
          <w:p w14:paraId="0A2DC8E9">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5.导入Excel文件时，支持xls和xlxs格式转换，支持Excel工作表的切换。自动识别导入Excel文件的表头，提供MARC字段匹配库，自动匹配映射MARC字段。</w:t>
            </w:r>
          </w:p>
          <w:p w14:paraId="11B6452A">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征订管理</w:t>
            </w:r>
          </w:p>
          <w:p w14:paraId="0348FD24">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1.支持征订目录的独有或共享，支持经费的独有或共享。</w:t>
            </w:r>
          </w:p>
          <w:p w14:paraId="568B71CF">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2.支持总分馆之间协作采购，自由组配经费。</w:t>
            </w:r>
          </w:p>
          <w:p w14:paraId="4CA9E543">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3.每一条采购流水的订购方式可追溯，包含征订目录订购、直接订购、读者推荐订购、PDA订购等。</w:t>
            </w:r>
          </w:p>
          <w:p w14:paraId="49E1DE01">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4.灵活的黑名单管理，支持编辑及移除黑名单。</w:t>
            </w:r>
          </w:p>
          <w:p w14:paraId="1D7D895D">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5.支持批次查重及关联订购、批量删除、批量订购、批量加入黑名单等处理工作。</w:t>
            </w:r>
          </w:p>
          <w:p w14:paraId="0BFD0680">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6.支持按订购号、采购流水号、题名、责任者、出版社、出版年、分类号、价格等多种条件排序。</w:t>
            </w:r>
          </w:p>
          <w:p w14:paraId="3328E968">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7.业务操作进行筛选书目时，可快速选用已经设置好的个人采选策略。</w:t>
            </w:r>
          </w:p>
          <w:p w14:paraId="2550E8F7">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8.支持根据出版年、价格、出版社、责任者、分类、币种等条件的复合筛选。</w:t>
            </w:r>
          </w:p>
          <w:p w14:paraId="70BAD0FF">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9.支持通过中央知识库获取作者简介、图书简介、目录、封面等信息。</w:t>
            </w:r>
          </w:p>
          <w:p w14:paraId="3B371640">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荐购管理</w:t>
            </w:r>
          </w:p>
          <w:p w14:paraId="7F020FB1">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 xml:space="preserve">1.支持对采购单荐购和读者自由荐购记录的管理； </w:t>
            </w:r>
          </w:p>
          <w:p w14:paraId="659073FF">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 xml:space="preserve">2.支持对图书和电子资源库做采购申请处理和回复； </w:t>
            </w:r>
          </w:p>
          <w:p w14:paraId="7DED8F12">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 xml:space="preserve">3.支持批量查重，针对查重结果可查看重复元数据及重复元数据下纸质馆藏、电子馆藏、数字馆藏、订购记录； </w:t>
            </w:r>
          </w:p>
          <w:p w14:paraId="0A4F76B6">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 xml:space="preserve">4.支持关联MRAC订购； </w:t>
            </w:r>
          </w:p>
          <w:p w14:paraId="77835DA4">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 xml:space="preserve">5.支持关联在订记录； </w:t>
            </w:r>
          </w:p>
          <w:p w14:paraId="192D9116">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 xml:space="preserve">6.支持自定义维护荐购回复常用语； </w:t>
            </w:r>
          </w:p>
          <w:p w14:paraId="11FD7946">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 xml:space="preserve">7.荐购记录被订购及入藏时，系统可自动通过 EMAIL 或短信自动反馈读者； </w:t>
            </w:r>
          </w:p>
          <w:p w14:paraId="2BA135EA">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8.支持荐购数据与馆藏资源的数据库查重功能。</w:t>
            </w:r>
          </w:p>
          <w:p w14:paraId="35870F1A">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资源订购</w:t>
            </w:r>
          </w:p>
          <w:p w14:paraId="35EF3DEF">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1.支持按订购包、按全部订购记录查看本馆订单，可在全部订单中检索订购记录。</w:t>
            </w:r>
          </w:p>
          <w:p w14:paraId="1FDE75EB">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2.支持检索本馆元数据、中央知识库及其他联机站点元数据，直接订购的方式。</w:t>
            </w:r>
          </w:p>
          <w:p w14:paraId="3C411C96">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3.支持提供MARC或Excel文件，设置订购工作台、经费、套数，直接导入订购记录。</w:t>
            </w:r>
          </w:p>
          <w:p w14:paraId="17AEF2B3">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4.支持单条、批量调整订购信息、规则分配馆藏地。</w:t>
            </w:r>
          </w:p>
          <w:p w14:paraId="3E0735C2">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5.支持批量更新参数、调整订购、更改订购包、删除订购记录、退订；支持批量导出、打印订购记录。</w:t>
            </w:r>
          </w:p>
          <w:p w14:paraId="3847AF24">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6.支持批量查重；弹窗展示重复结果。</w:t>
            </w:r>
          </w:p>
          <w:p w14:paraId="5AD4C0E6">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7.支持查看订购元数据的MARC详情、往年订购记录、荐购记录等。</w:t>
            </w:r>
          </w:p>
          <w:p w14:paraId="4AF915C1">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8.批次内支持按订购工作台筛选、导出订单。</w:t>
            </w:r>
          </w:p>
          <w:p w14:paraId="060C8A2F">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9.实时获取中国银行远期汇率，订购、验收时，人民币和外币价格可换算。</w:t>
            </w:r>
          </w:p>
          <w:p w14:paraId="12AB904A">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10.支持订单发订审核。</w:t>
            </w:r>
          </w:p>
          <w:p w14:paraId="30AFA341">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供应商预警</w:t>
            </w:r>
          </w:p>
          <w:p w14:paraId="5E7DBB58">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1.支持设置供应商预期交付时间，在机构参数设置预计交付周期后，按周期推算供应商单个批次的供全率、供准率、及时率。</w:t>
            </w:r>
          </w:p>
          <w:p w14:paraId="073A9ECF">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2.达到预计交付日期当日，若供应商存在未到记录则输出预警信息，并向订购包创建人发送通知。</w:t>
            </w:r>
          </w:p>
          <w:p w14:paraId="623112C5">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3.支持订购逾期未到图书的统计，其中须包含订购种数，未到商预种数，未到率，到货实洋等字段。</w:t>
            </w:r>
          </w:p>
          <w:p w14:paraId="77D7B159">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一次性接受</w:t>
            </w:r>
          </w:p>
          <w:p w14:paraId="5038A365">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1.图书一次性接收支持订购验收、自采验收、受赠验收等。</w:t>
            </w:r>
          </w:p>
          <w:p w14:paraId="0E64DCC5">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2.验收时支持检索查重。</w:t>
            </w:r>
          </w:p>
          <w:p w14:paraId="5F50EDDB">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3.支持总签、分签、不签多种验收方式。</w:t>
            </w:r>
          </w:p>
          <w:p w14:paraId="4628AA91">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4.订购验收支持直接追加订购记录。</w:t>
            </w:r>
          </w:p>
          <w:p w14:paraId="3DAB19CB">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5.支持多卷册图书的验收处理。</w:t>
            </w:r>
          </w:p>
          <w:p w14:paraId="4F8E7769">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6.支持批量更改数据的验收包。</w:t>
            </w:r>
          </w:p>
          <w:p w14:paraId="48EE5575">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7.财产号、条码号支持按工作台财产账参数自动分配。支持不自动分配财产账。</w:t>
            </w:r>
          </w:p>
          <w:p w14:paraId="1220B9CD">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8.支持自动生成索书号。</w:t>
            </w:r>
          </w:p>
          <w:p w14:paraId="09BA8657">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9.支持设置馆藏地分配规则，验收时自动根据规则分配馆藏地。</w:t>
            </w:r>
          </w:p>
          <w:p w14:paraId="10D5FD20">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10.支持编目验收，同时处理验收和编目。</w:t>
            </w:r>
          </w:p>
          <w:p w14:paraId="539F270E">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11.支持对查重结果合并元数据、移除验收等操作。</w:t>
            </w:r>
          </w:p>
          <w:p w14:paraId="7235250E">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12.支持批量导入验收，导入时支持设置书刊状态及元数据状态。</w:t>
            </w:r>
          </w:p>
          <w:p w14:paraId="68B02CAE">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13.索书号重复支持导入。</w:t>
            </w:r>
          </w:p>
          <w:p w14:paraId="05776025">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14.支持导入文件完成订购数据MARC和订购价格的更新。</w:t>
            </w:r>
          </w:p>
          <w:p w14:paraId="4FA51373">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15.▲支持利用手机拍照、上传图片，对图片中书脊信息进行切割并呈现，并对图书基本信息进行识别；支持对图片中识别到的图书信息，与本馆订购数据进行比对，自动匹配生成预验收列表，并支持二次确认后，添加到验收记录。</w:t>
            </w:r>
            <w:r>
              <w:rPr>
                <w:rFonts w:hint="eastAsia" w:ascii="宋体" w:hAnsi="宋体" w:cs="宋体"/>
                <w:color w:val="auto"/>
                <w:kern w:val="0"/>
                <w:sz w:val="18"/>
                <w:szCs w:val="18"/>
                <w:highlight w:val="none"/>
              </w:rPr>
              <w:t>（提供截图证明）</w:t>
            </w:r>
          </w:p>
          <w:p w14:paraId="6ED05367">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受赠管理</w:t>
            </w:r>
          </w:p>
          <w:p w14:paraId="27C4DCEE">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1.支持受赠管理，管理、添加捐赠记录，包含OPAC读者自主提交捐赠记录以及馆员自建记录。</w:t>
            </w:r>
          </w:p>
          <w:p w14:paraId="06B22CC5">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2.支持对捐赠记录根据题名、责任者、ISBN等多维度组合查重、导出、不藏、入藏。</w:t>
            </w:r>
          </w:p>
          <w:p w14:paraId="6204CD44">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3.支持后台发布捐赠记录的公告，便于读者在OPAC查看。</w:t>
            </w:r>
          </w:p>
          <w:p w14:paraId="3DFF4A62">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送编交接</w:t>
            </w:r>
          </w:p>
          <w:p w14:paraId="4910AB0C">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1.支持选择多验收批次送编交接。</w:t>
            </w:r>
          </w:p>
          <w:p w14:paraId="0100FB2B">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2.支持按条码号或者财产号区间送编交接。</w:t>
            </w:r>
          </w:p>
          <w:p w14:paraId="489F0D69">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3.支持多个验收包送交至一个编目包，支持一个验收包数据送交至多个编目包。</w:t>
            </w:r>
          </w:p>
          <w:p w14:paraId="0D9748F9">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经费管理</w:t>
            </w:r>
          </w:p>
          <w:p w14:paraId="4155AF27">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1.支持多总分馆间的经费共享，设置订购工作台的经费使用权限。</w:t>
            </w:r>
          </w:p>
          <w:p w14:paraId="5A4B8277">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2.支持经费的可使用周期、总额设置。</w:t>
            </w:r>
          </w:p>
          <w:p w14:paraId="16D98A9C">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3.支持管理经费收支记录及预支记录。</w:t>
            </w:r>
          </w:p>
          <w:p w14:paraId="63E692B3">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合同管理</w:t>
            </w:r>
          </w:p>
          <w:p w14:paraId="480C93D0">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1.支持创建、修改、删除本馆合同，针对合同，关联不同资料采购类型资源。</w:t>
            </w:r>
          </w:p>
          <w:p w14:paraId="5FA50A95">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2.支持台账格式导出，包含但不限于合同签订时间、承办单位、是否重大合同、审批情况、履行情况等字段。</w:t>
            </w:r>
          </w:p>
          <w:p w14:paraId="72D02B8B">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发票管理</w:t>
            </w:r>
          </w:p>
          <w:p w14:paraId="4B45CFB1">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1.支持创建、修改、删除本馆发票，针对不同资料采购类型关联对应订购或验收数据。</w:t>
            </w:r>
          </w:p>
          <w:p w14:paraId="18957082">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2.支持对发票进行付款，生成经费支出。</w:t>
            </w:r>
          </w:p>
          <w:p w14:paraId="528AEAA3">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3.付款记录支持留存经办人信息；</w:t>
            </w:r>
          </w:p>
          <w:p w14:paraId="71F937AD">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二、连续出版物</w:t>
            </w:r>
          </w:p>
          <w:p w14:paraId="4B41C809">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订购及续订</w:t>
            </w:r>
          </w:p>
          <w:p w14:paraId="422CE112">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1.支持复制订购批次续订，续订时，可选择复制的期刊类型以及是否保留原订购分配信息。</w:t>
            </w:r>
          </w:p>
          <w:p w14:paraId="3E38F9D7">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2.可进行订购，征订记录价格、出版频率、记录差异、订购号比较。</w:t>
            </w:r>
          </w:p>
          <w:p w14:paraId="271927DC">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3.比较后支持批量同步记录的价格、出版频率、订购号。</w:t>
            </w:r>
          </w:p>
          <w:p w14:paraId="4525EDC1">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签收</w:t>
            </w:r>
          </w:p>
          <w:p w14:paraId="6CE033B3">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1.支持根据往年签收参数生成签到卡片。</w:t>
            </w:r>
          </w:p>
          <w:p w14:paraId="1BBAA6A6">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2.支持期刊卷期批量签收以及退签功能。</w:t>
            </w:r>
          </w:p>
          <w:p w14:paraId="293C3E6A">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3.支持针对固定频率期刊，非固定频率期刊，特殊卷期期刊分别通过参数生成准确的卷期信息。</w:t>
            </w:r>
          </w:p>
          <w:p w14:paraId="588FB43E">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4.支持现刊分配条码自动单刊典藏。</w:t>
            </w:r>
          </w:p>
          <w:p w14:paraId="39BF179C">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5.支持预到日期和催缺日期的设置。</w:t>
            </w:r>
          </w:p>
          <w:p w14:paraId="2908056E">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现刊处理</w:t>
            </w:r>
          </w:p>
          <w:p w14:paraId="227E7C71">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1.支持正常刊、增刊以及合刊等期刊类型的签收。</w:t>
            </w:r>
          </w:p>
          <w:p w14:paraId="74FE41FD">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2.支持多种特殊签收情况处理，包含增刊、合刊、索引刊、副刊等。</w:t>
            </w:r>
          </w:p>
          <w:p w14:paraId="315B2CFE">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3.支持根据不同订购工作台设置不同的签收参数，各自分别签收。</w:t>
            </w:r>
          </w:p>
          <w:p w14:paraId="2DA3AC39">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4.支持按照签收日期，人员，分配地筛选条件进行交接。</w:t>
            </w:r>
          </w:p>
          <w:p w14:paraId="2416A0BD">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5.支持取消交接功能。</w:t>
            </w:r>
          </w:p>
          <w:p w14:paraId="4CD91EDD">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6.支持交接期刊数据打印和导出。</w:t>
            </w:r>
          </w:p>
          <w:p w14:paraId="6ABF2739">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现刊催缺</w:t>
            </w:r>
          </w:p>
          <w:p w14:paraId="359F23AD">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1.支持按照缺刊、所有缺刊、未签刊、断刊类型进行邮件催缺。</w:t>
            </w:r>
          </w:p>
          <w:p w14:paraId="3C0520D6">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2.支持按照供应商、订购年度筛选检索功能。</w:t>
            </w:r>
          </w:p>
          <w:p w14:paraId="2C8EA082">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排架号管理</w:t>
            </w:r>
          </w:p>
          <w:p w14:paraId="513BABC0">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1.支持根据订购年度，分配地以及不同选项检索期刊。</w:t>
            </w:r>
          </w:p>
          <w:p w14:paraId="255E978D">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2.支持根据分类号，往年排架号，文件导入方式生成新一年排架号。</w:t>
            </w:r>
          </w:p>
          <w:p w14:paraId="32403B93">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过刊下架</w:t>
            </w:r>
          </w:p>
          <w:p w14:paraId="64517F49">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1.支持按照出版年，分配地条件进行下架。</w:t>
            </w:r>
          </w:p>
          <w:p w14:paraId="3A962388">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2.支持取回下架期刊。</w:t>
            </w:r>
          </w:p>
          <w:p w14:paraId="25A954D1">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3.支持对不典藏的现刊信息进行批量报废、遗失、赠送处理。</w:t>
            </w:r>
          </w:p>
          <w:p w14:paraId="363B10DB">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合订本装订</w:t>
            </w:r>
          </w:p>
          <w:p w14:paraId="1887218F">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1.支持通过检索单刊，选择装订单刊实现合订本装订。</w:t>
            </w:r>
          </w:p>
          <w:p w14:paraId="3BDE11AA">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2.支持自动生成起止卷期相关信息。</w:t>
            </w:r>
          </w:p>
          <w:p w14:paraId="5DA64F60">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3.支持对合订本批量验收。</w:t>
            </w:r>
          </w:p>
          <w:p w14:paraId="4C02176D">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4.支持针对合订本批量送流通。</w:t>
            </w:r>
          </w:p>
          <w:p w14:paraId="33CA3B38">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5.支持自动生成合订本条码号，财产号。</w:t>
            </w:r>
          </w:p>
          <w:p w14:paraId="4328E46B">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单刊典藏</w:t>
            </w:r>
          </w:p>
          <w:p w14:paraId="7EB6B669">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1.支持针对现刊进行批量单刊典藏操作，单刊典藏期刊可流通借还。</w:t>
            </w:r>
          </w:p>
          <w:p w14:paraId="353CC266">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2.支持自动生成单刊条码号，财产号。</w:t>
            </w:r>
          </w:p>
          <w:p w14:paraId="5965E221">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三、资源管理</w:t>
            </w:r>
            <w:r>
              <w:rPr>
                <w:rFonts w:hint="eastAsia" w:ascii="宋体" w:hAnsi="宋体"/>
                <w:color w:val="auto"/>
                <w:kern w:val="0"/>
                <w:sz w:val="18"/>
                <w:szCs w:val="18"/>
                <w:highlight w:val="none"/>
              </w:rPr>
              <w:tab/>
            </w:r>
          </w:p>
          <w:p w14:paraId="42A56AFA">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元数据支持范围</w:t>
            </w:r>
          </w:p>
          <w:p w14:paraId="15D2D8DA">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1.国际国内编目标准：支持CNMARC、USMARC、RDA、DC、DCTERMS等规范。</w:t>
            </w:r>
          </w:p>
          <w:p w14:paraId="25105196">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2.支持GBK、UNICODE、UTF-8字符集，实现多语种编目。</w:t>
            </w:r>
          </w:p>
          <w:p w14:paraId="252D7AFE">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3.支持USMARC的关联数据展现。</w:t>
            </w:r>
          </w:p>
          <w:p w14:paraId="7A28EBFA">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4.▲支持BIBFRAME数据展示。</w:t>
            </w:r>
            <w:r>
              <w:rPr>
                <w:rFonts w:hint="eastAsia" w:ascii="宋体" w:hAnsi="宋体" w:cs="宋体"/>
                <w:color w:val="auto"/>
                <w:kern w:val="0"/>
                <w:sz w:val="18"/>
                <w:szCs w:val="18"/>
                <w:highlight w:val="none"/>
              </w:rPr>
              <w:t>（提供截图证明）</w:t>
            </w:r>
          </w:p>
          <w:p w14:paraId="0EC5CA56">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元数据扩展编辑功能</w:t>
            </w:r>
          </w:p>
          <w:p w14:paraId="6B54CB93">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1.需提供系统模板，同时支持自定义元数据模板功能，自定义模板可在机构内、机构间共享。</w:t>
            </w:r>
          </w:p>
          <w:p w14:paraId="07C7178C">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2.支持用元数据模板覆盖、补缺、添加全部字段到MARC中。</w:t>
            </w:r>
          </w:p>
          <w:p w14:paraId="4D0014BD">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3.支持多种自动生成MARC字段的规则，用户可自由选择配置规则。</w:t>
            </w:r>
          </w:p>
          <w:p w14:paraId="648BC368">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4.支持基于中央知识库实现规则共享区下载、本地应用。</w:t>
            </w:r>
          </w:p>
          <w:p w14:paraId="3DEC0F64">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5.支持MARC字段中简繁体互换，生成指定字段拼音。</w:t>
            </w:r>
          </w:p>
          <w:p w14:paraId="4713B6CB">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6.支持锁定元数据，锁定状态下无法编辑，防止误操作。</w:t>
            </w:r>
          </w:p>
          <w:p w14:paraId="7AD3C4E2">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7.支持增加中图法分类名称提示，直接根据分类号展示对应分类名称。</w:t>
            </w:r>
          </w:p>
          <w:p w14:paraId="105F3CAA">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元数据获取</w:t>
            </w:r>
          </w:p>
          <w:p w14:paraId="3271C19E">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1.联机检索支持多题名、多主题词的检索。</w:t>
            </w:r>
          </w:p>
          <w:p w14:paraId="5CA170FB">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2.支持转入套录数据，在套录库中按批次查看转入的套录元数据，并在编目页面可以检索套录数据。</w:t>
            </w:r>
          </w:p>
          <w:p w14:paraId="1EAC175F">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3.支持复制网页上MARC数据，包括美国国会图书馆、中国国家图书馆等多个中外文网站。获取MARC的过程可以设置原MARC保留字段，可以设定来源MARC过滤字段。</w:t>
            </w:r>
          </w:p>
          <w:p w14:paraId="7DD00ECF">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4.▲支持在书目编目时，利用手机对图书扉页拍照，识别图书CIP等信息；</w:t>
            </w:r>
            <w:r>
              <w:rPr>
                <w:rFonts w:hint="eastAsia" w:ascii="宋体" w:hAnsi="宋体" w:cs="宋体"/>
                <w:color w:val="auto"/>
                <w:kern w:val="0"/>
                <w:sz w:val="18"/>
                <w:szCs w:val="18"/>
                <w:highlight w:val="none"/>
              </w:rPr>
              <w:t>（提供截图证明）</w:t>
            </w:r>
          </w:p>
          <w:p w14:paraId="3A94231F">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5.▲根据识别的CIP信息，自动生成元数据、自动纠偏元数据。</w:t>
            </w:r>
            <w:r>
              <w:rPr>
                <w:rFonts w:hint="eastAsia" w:ascii="宋体" w:hAnsi="宋体" w:cs="宋体"/>
                <w:color w:val="auto"/>
                <w:kern w:val="0"/>
                <w:sz w:val="18"/>
                <w:szCs w:val="18"/>
                <w:highlight w:val="none"/>
              </w:rPr>
              <w:t>（提供截图证明）</w:t>
            </w:r>
          </w:p>
          <w:p w14:paraId="5B59FF1F">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元数据检索与查重</w:t>
            </w:r>
          </w:p>
          <w:p w14:paraId="2A421AB4">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1.支持查重、关联检索，支持元数据分屏查看、复制字段、合并、覆盖操作。</w:t>
            </w:r>
          </w:p>
          <w:p w14:paraId="6C5C3A2C">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2.支持按CALIS号等条件检索馆内和联机数据。</w:t>
            </w:r>
          </w:p>
          <w:p w14:paraId="465C1CC5">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3.▲支持元数据的查重合并功能，进行元数据统一，形成纸电一体化管理。（</w:t>
            </w:r>
            <w:r>
              <w:rPr>
                <w:rFonts w:hint="eastAsia" w:ascii="宋体" w:hAnsi="宋体" w:cs="宋体"/>
                <w:color w:val="auto"/>
                <w:kern w:val="0"/>
                <w:sz w:val="18"/>
                <w:szCs w:val="18"/>
                <w:highlight w:val="none"/>
              </w:rPr>
              <w:t>提供所投</w:t>
            </w:r>
            <w:r>
              <w:rPr>
                <w:rFonts w:hint="eastAsia" w:ascii="宋体" w:hAnsi="宋体"/>
                <w:color w:val="auto"/>
                <w:kern w:val="0"/>
                <w:sz w:val="18"/>
                <w:szCs w:val="18"/>
                <w:highlight w:val="none"/>
              </w:rPr>
              <w:t>纸电一体化管理平台</w:t>
            </w:r>
            <w:r>
              <w:rPr>
                <w:rFonts w:hint="eastAsia" w:ascii="宋体" w:hAnsi="宋体" w:cs="宋体"/>
                <w:color w:val="auto"/>
                <w:kern w:val="0"/>
                <w:sz w:val="18"/>
                <w:szCs w:val="18"/>
                <w:highlight w:val="none"/>
              </w:rPr>
              <w:t>的软件著作权证书和测试报告。</w:t>
            </w:r>
            <w:r>
              <w:rPr>
                <w:rFonts w:hint="eastAsia" w:ascii="宋体" w:hAnsi="宋体"/>
                <w:color w:val="auto"/>
                <w:kern w:val="0"/>
                <w:sz w:val="18"/>
                <w:szCs w:val="18"/>
                <w:highlight w:val="none"/>
              </w:rPr>
              <w:t>）</w:t>
            </w:r>
          </w:p>
          <w:p w14:paraId="61F6DE45">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4.支持对元数据进行批量查重、批量合并功能，且批量合并时可自定义保留字段。</w:t>
            </w:r>
          </w:p>
          <w:p w14:paraId="3C2D29E3">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5.支持设置默认查重条件；支持多种条件的查重，包括正题名、题名组、标准号等，并支持多种查重条件的自由组合。支持多题名、多主题词的检索。</w:t>
            </w:r>
          </w:p>
          <w:p w14:paraId="382010BD">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索书号处理</w:t>
            </w:r>
          </w:p>
          <w:p w14:paraId="3B5065A7">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1.支持通过著者号、卡特号、种次号、四角号码四种方式自成生成索书号，支持复分号的自动生成。</w:t>
            </w:r>
          </w:p>
          <w:p w14:paraId="5DF64D18">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2.支持西文卡特号表维护。</w:t>
            </w:r>
          </w:p>
          <w:p w14:paraId="4444224D">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3.支持自定义四角号码生成规则。</w:t>
            </w:r>
          </w:p>
          <w:p w14:paraId="376105A4">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4.支持索书号管理常用快捷键，提供工作效率。</w:t>
            </w:r>
          </w:p>
          <w:p w14:paraId="2D1BEA18">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5.支持用户自定义复分号初始值。</w:t>
            </w:r>
          </w:p>
          <w:p w14:paraId="3715672A">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复本处理</w:t>
            </w:r>
          </w:p>
          <w:p w14:paraId="16DC14C1">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1.支持纸质、电子、数字资源的统一管理。</w:t>
            </w:r>
          </w:p>
          <w:p w14:paraId="64E0A0B2">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2.支持图片、文档等多种数字资源管理，支持资源本地或远程存储（数字馆藏）。</w:t>
            </w:r>
          </w:p>
          <w:p w14:paraId="0FA827AB">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3.▲支持在编目页面直接将现刊装订成合订本，支持同时展示现刊、过刊合订本的编目信息。</w:t>
            </w:r>
            <w:r>
              <w:rPr>
                <w:rFonts w:hint="eastAsia" w:ascii="宋体" w:hAnsi="宋体" w:cs="宋体"/>
                <w:color w:val="auto"/>
                <w:kern w:val="0"/>
                <w:sz w:val="18"/>
                <w:szCs w:val="18"/>
                <w:highlight w:val="none"/>
              </w:rPr>
              <w:t>（提供截图证明）</w:t>
            </w:r>
          </w:p>
          <w:p w14:paraId="42FE30D6">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4.支持附件的管理，支持附件与纸本馆藏一一关联。</w:t>
            </w:r>
          </w:p>
          <w:p w14:paraId="7B7137A0">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5.支持查看期刊对应的篇级数据信息，同时显示该目录下的文章信息，包含篇名、责任者、页码和对应的URL等信息。</w:t>
            </w:r>
          </w:p>
          <w:p w14:paraId="464591A4">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6.▲支持手动上传图书目录，目录格式为国际通用标准DCTERMS。</w:t>
            </w:r>
            <w:r>
              <w:rPr>
                <w:rFonts w:hint="eastAsia" w:ascii="宋体" w:hAnsi="宋体" w:cs="宋体"/>
                <w:color w:val="auto"/>
                <w:kern w:val="0"/>
                <w:sz w:val="18"/>
                <w:szCs w:val="18"/>
                <w:highlight w:val="none"/>
              </w:rPr>
              <w:t>（提供截图证明）</w:t>
            </w:r>
          </w:p>
          <w:p w14:paraId="4C9C69AC">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个人工作区</w:t>
            </w:r>
          </w:p>
          <w:p w14:paraId="408645AB">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1.▲支持设置个人工作区，支持多种方式添加工作区数据：上传MARC文件创建个人工作区、按检索数据加入工作区、按检索规则加入个人工作区。</w:t>
            </w:r>
            <w:r>
              <w:rPr>
                <w:rFonts w:hint="eastAsia" w:ascii="宋体" w:hAnsi="宋体" w:cs="宋体"/>
                <w:color w:val="auto"/>
                <w:kern w:val="0"/>
                <w:sz w:val="18"/>
                <w:szCs w:val="18"/>
                <w:highlight w:val="none"/>
              </w:rPr>
              <w:t>（提供截图证明）</w:t>
            </w:r>
          </w:p>
          <w:p w14:paraId="51783D3A">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2.支持批量查找本馆无财产订购记录相关的元数据加入工作区，进行本馆冗余元数据处理。</w:t>
            </w:r>
          </w:p>
          <w:p w14:paraId="6566C895">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3.▲支持MARC批量新增字段、修改子字段、删除字段、删除子字段等。</w:t>
            </w:r>
            <w:r>
              <w:rPr>
                <w:rFonts w:hint="eastAsia" w:ascii="宋体" w:hAnsi="宋体" w:cs="宋体"/>
                <w:color w:val="auto"/>
                <w:kern w:val="0"/>
                <w:sz w:val="18"/>
                <w:szCs w:val="18"/>
                <w:highlight w:val="none"/>
              </w:rPr>
              <w:t>（提供截图证明）</w:t>
            </w:r>
          </w:p>
          <w:p w14:paraId="05B734B1">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书标打印</w:t>
            </w:r>
          </w:p>
          <w:p w14:paraId="137B6B33">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1.支持书标打印功能，可补打书标。支持根据规则限定、单种/册扫描添加及批量添加方式获取提取书标列表。</w:t>
            </w:r>
          </w:p>
          <w:p w14:paraId="7C882AED">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2.支持调整书标打印格式、预览打印效果。</w:t>
            </w:r>
          </w:p>
          <w:p w14:paraId="7930CD19">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3.▲支持不同编目方式下的书标打印，支持按条码、索书号等进行排序。</w:t>
            </w:r>
            <w:r>
              <w:rPr>
                <w:rFonts w:hint="eastAsia" w:ascii="宋体" w:hAnsi="宋体" w:cs="宋体"/>
                <w:color w:val="auto"/>
                <w:kern w:val="0"/>
                <w:sz w:val="18"/>
                <w:szCs w:val="18"/>
                <w:highlight w:val="none"/>
              </w:rPr>
              <w:t>（提供截图证明）</w:t>
            </w:r>
          </w:p>
          <w:p w14:paraId="504A0A36">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四、资源典藏</w:t>
            </w:r>
            <w:r>
              <w:rPr>
                <w:rFonts w:hint="eastAsia" w:ascii="宋体" w:hAnsi="宋体"/>
                <w:color w:val="auto"/>
                <w:kern w:val="0"/>
                <w:sz w:val="18"/>
                <w:szCs w:val="18"/>
                <w:highlight w:val="none"/>
              </w:rPr>
              <w:tab/>
            </w:r>
          </w:p>
          <w:p w14:paraId="4FAFF268">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新书分配</w:t>
            </w:r>
          </w:p>
          <w:p w14:paraId="705893CD">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1.新书分配支持按规则方式和条码方式分配。</w:t>
            </w:r>
          </w:p>
          <w:p w14:paraId="7AD8BD91">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2.支持设置自动分配规则模板，根据分类、数量分配馆藏地。</w:t>
            </w:r>
          </w:p>
          <w:p w14:paraId="45FEBC0A">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馆藏调拨</w:t>
            </w:r>
          </w:p>
          <w:p w14:paraId="33E62C17">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1.支持按馆藏地、当前地方式批量调拨。</w:t>
            </w:r>
          </w:p>
          <w:p w14:paraId="4BEE9E66">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2.支持导入外部文件批量调拨。</w:t>
            </w:r>
          </w:p>
          <w:p w14:paraId="590C8DFC">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3.支持扫码单册加入调拨包。</w:t>
            </w:r>
          </w:p>
          <w:p w14:paraId="4FF89875">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4.支持调拨时变更财产归属地，变更流通政策及借阅属性。</w:t>
            </w:r>
          </w:p>
          <w:p w14:paraId="47F17985">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馆藏清点</w:t>
            </w:r>
          </w:p>
          <w:p w14:paraId="50708B7B">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1.支持取消清点功能。</w:t>
            </w:r>
          </w:p>
          <w:p w14:paraId="6E81EE77">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2.支持通过清点后对比，得到未清点到、在馆异常、非本馆馆藏目录。</w:t>
            </w:r>
          </w:p>
          <w:p w14:paraId="56533024">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3.支持查看清点馆藏统计。</w:t>
            </w:r>
          </w:p>
          <w:p w14:paraId="28ADAF9C">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4.支持对已清点批次二次清点。</w:t>
            </w:r>
          </w:p>
          <w:p w14:paraId="2AAD522D">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单册处理</w:t>
            </w:r>
          </w:p>
          <w:p w14:paraId="143DCD16">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1.支持对单册图书扫码，进行报废、赠送、交换、丢失、送修、回验、上架处理。</w:t>
            </w:r>
          </w:p>
          <w:p w14:paraId="78B9CE25">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2.支持更改单册图书的馆藏地、当前地、借阅属性、流通政策等信息。</w:t>
            </w:r>
          </w:p>
          <w:p w14:paraId="04D6B75F">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3.支持通过移动端处理。</w:t>
            </w:r>
          </w:p>
          <w:p w14:paraId="4594396E">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批量处理当前地</w:t>
            </w:r>
          </w:p>
          <w:p w14:paraId="5FEFF0A2">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1.支持按照馆藏地、当前地、经手人、还书日期检索查询，能够查询历史处理记录。</w:t>
            </w:r>
          </w:p>
          <w:p w14:paraId="1CED2B69">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2.支持按照馆藏地恢复当前地。</w:t>
            </w:r>
          </w:p>
          <w:p w14:paraId="6EB0165A">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3.支持批量处理馆藏地和当前地。</w:t>
            </w:r>
          </w:p>
          <w:p w14:paraId="417B2D3A">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密集库管理</w:t>
            </w:r>
          </w:p>
          <w:p w14:paraId="4C4DD5F9">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1.支持图书的排架管理。可筛选排架号浏览图书，支持对排架号进行统计。</w:t>
            </w:r>
          </w:p>
          <w:p w14:paraId="051CFA55">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2.支持用导入文件方式批量生成排架号。</w:t>
            </w:r>
          </w:p>
          <w:p w14:paraId="44DEC326">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3.支持在处理过程中修改馆藏地和借阅属性。</w:t>
            </w:r>
          </w:p>
          <w:p w14:paraId="0874DE02">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五、读者服务</w:t>
            </w:r>
            <w:r>
              <w:rPr>
                <w:rFonts w:hint="eastAsia" w:ascii="宋体" w:hAnsi="宋体"/>
                <w:color w:val="auto"/>
                <w:kern w:val="0"/>
                <w:sz w:val="18"/>
                <w:szCs w:val="18"/>
                <w:highlight w:val="none"/>
              </w:rPr>
              <w:tab/>
            </w:r>
          </w:p>
          <w:p w14:paraId="4A768D55">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读者管理</w:t>
            </w:r>
          </w:p>
          <w:p w14:paraId="04C92456">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1.支持读者新增、修改、删除功能；读者具备多种有效证件模式：借阅证、辅助证等。</w:t>
            </w:r>
          </w:p>
          <w:p w14:paraId="0E093E0E">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2.支持读者批量注销，冻结等功能。</w:t>
            </w:r>
          </w:p>
          <w:p w14:paraId="200BA42C">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3.支持根据多种条件检索导出读者；支持导出读者的借阅、违章、罚款信息。</w:t>
            </w:r>
          </w:p>
          <w:p w14:paraId="76F82C3F">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流通管理</w:t>
            </w:r>
          </w:p>
          <w:p w14:paraId="682A0A97">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1.支持借书，还书功能，借还图书后显示图书所在地。</w:t>
            </w:r>
          </w:p>
          <w:p w14:paraId="58C95628">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2.支持遗失赔偿功能，遗失赔偿页面显示书目详细信息，可进行赔书，赔款，并支持遗失预处理功能。</w:t>
            </w:r>
          </w:p>
          <w:p w14:paraId="7AF47032">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3.支持读者签到、图书登记、读者图书登记、现刊登记功能。</w:t>
            </w:r>
          </w:p>
          <w:p w14:paraId="18C62947">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4.支持读者短期借还书功能。</w:t>
            </w:r>
          </w:p>
          <w:p w14:paraId="674A256E">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请求管理</w:t>
            </w:r>
          </w:p>
          <w:p w14:paraId="1F279627">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1.需提供图书预约功能，支持本馆预约。</w:t>
            </w:r>
          </w:p>
          <w:p w14:paraId="136559FE">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2.需提供图书委托功能，支持本地和跨馆委托。</w:t>
            </w:r>
          </w:p>
          <w:p w14:paraId="6575337D">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3.需提供新书和还书上架的物流管理，图书所在地以及状态会随物流变化而变化，支持读者在统一检索系统查询到的图书状态的准确。</w:t>
            </w:r>
          </w:p>
          <w:p w14:paraId="201F9729">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4.支持到书邮件提醒。</w:t>
            </w:r>
          </w:p>
          <w:p w14:paraId="37084EDE">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5.支持读者多次到书未取进行违约处罚。</w:t>
            </w:r>
          </w:p>
          <w:p w14:paraId="5CB8CEF7">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特色服务</w:t>
            </w:r>
          </w:p>
          <w:p w14:paraId="0D52C723">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 xml:space="preserve">1.评价管理：支持读者对图书进行打分；支持读者对图书发布书评；支持批量审核发布书评；支持批量删除书评。   </w:t>
            </w:r>
          </w:p>
          <w:p w14:paraId="3C0BDB51">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2.问卷调查：支持自行设计问卷调查；支持设置问题为填空题，单选题，多选题，是否必填；支持对问卷调查做批量发布；支持查看问卷调查的反馈结果。</w:t>
            </w:r>
          </w:p>
          <w:p w14:paraId="0324A6C3">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高级工具</w:t>
            </w:r>
          </w:p>
          <w:p w14:paraId="529ED1F7">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1.支持离线流通、临时延期。</w:t>
            </w:r>
          </w:p>
          <w:p w14:paraId="56C36232">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2.▲支持对即将到期/已过期的图书进行邮件或短信催还。</w:t>
            </w:r>
            <w:r>
              <w:rPr>
                <w:rFonts w:hint="eastAsia" w:ascii="宋体" w:hAnsi="宋体" w:cs="宋体"/>
                <w:color w:val="auto"/>
                <w:kern w:val="0"/>
                <w:sz w:val="18"/>
                <w:szCs w:val="18"/>
                <w:highlight w:val="none"/>
              </w:rPr>
              <w:t>（提供截图证明）</w:t>
            </w:r>
          </w:p>
          <w:p w14:paraId="2BEC8E50">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3.支持自定义多种读者属性，学院、系别、专业、年级、班级等。</w:t>
            </w:r>
          </w:p>
          <w:p w14:paraId="297E2494">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六、系统配置</w:t>
            </w:r>
            <w:r>
              <w:rPr>
                <w:rFonts w:hint="eastAsia" w:ascii="宋体" w:hAnsi="宋体"/>
                <w:color w:val="auto"/>
                <w:kern w:val="0"/>
                <w:sz w:val="18"/>
                <w:szCs w:val="18"/>
                <w:highlight w:val="none"/>
              </w:rPr>
              <w:tab/>
            </w:r>
          </w:p>
          <w:p w14:paraId="6175B472">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参数配置</w:t>
            </w:r>
          </w:p>
          <w:p w14:paraId="4EC80D96">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1.需提供完善的多级参数管理：机构参数-单馆参数-工作台参数-个人参数，灵活配置共性设置和个性化设置。</w:t>
            </w:r>
          </w:p>
          <w:p w14:paraId="6EFFBD54">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2.需提供完善的用户角色权限管理。权限明确到菜单权限和功能权限，一个用户可拥有多个角色。</w:t>
            </w:r>
          </w:p>
          <w:p w14:paraId="4DA1C19F">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3.支持多样化的采购模式：统采统编、统采分编、分采分编.</w:t>
            </w:r>
          </w:p>
          <w:p w14:paraId="09EB63B8">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系统消息</w:t>
            </w:r>
          </w:p>
          <w:p w14:paraId="62F06B6A">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1.支持即时的消息提醒，在线即可接受消息推送。</w:t>
            </w:r>
          </w:p>
          <w:p w14:paraId="7808BBBC">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2.支持消息中心，查看任务进度、系统公告等；标记已读、未读消息。</w:t>
            </w:r>
          </w:p>
          <w:p w14:paraId="3399F40B">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七、统计报表</w:t>
            </w:r>
            <w:r>
              <w:rPr>
                <w:rFonts w:hint="eastAsia" w:ascii="宋体" w:hAnsi="宋体"/>
                <w:color w:val="auto"/>
                <w:kern w:val="0"/>
                <w:sz w:val="18"/>
                <w:szCs w:val="18"/>
                <w:highlight w:val="none"/>
              </w:rPr>
              <w:tab/>
            </w:r>
          </w:p>
          <w:p w14:paraId="3E34D3EA">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资源采购</w:t>
            </w:r>
          </w:p>
          <w:p w14:paraId="4CB13D76">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需提供经费支出、订购等相关的统计，包含：经费支出统计、订购统计（征订目录订购、出版社订购、一次性接收订购、连续出版物订购、电子资源库订购）、纸质经费到书、纸质书刊来源、书商到书率、订购逾期未到、到书分类外借、连续出版物签收、资源库总览、电子资源库涨幅等统计。</w:t>
            </w:r>
          </w:p>
          <w:p w14:paraId="1DC05AFE">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资源保障</w:t>
            </w:r>
            <w:r>
              <w:rPr>
                <w:rFonts w:hint="eastAsia" w:ascii="宋体" w:hAnsi="宋体"/>
                <w:color w:val="auto"/>
                <w:kern w:val="0"/>
                <w:sz w:val="18"/>
                <w:szCs w:val="18"/>
                <w:highlight w:val="none"/>
              </w:rPr>
              <w:tab/>
            </w:r>
          </w:p>
          <w:p w14:paraId="238CD936">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需提供纸本馆藏数据分布、分类、增长统计；分类统计需提供中图法22大类以及教育部学科门类、教育部一级学科和教育部二级学科等的统计方式。</w:t>
            </w:r>
          </w:p>
          <w:p w14:paraId="517F0F71">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资源利用</w:t>
            </w:r>
          </w:p>
          <w:p w14:paraId="3B978990">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需提供文献分类借还、文献分类阅览、读者请求分类、文献借还周转率、文献借还利用率、文献借阅率、文献外借周期、文献热门排行、OPAC热门检索词等统计。</w:t>
            </w:r>
          </w:p>
          <w:p w14:paraId="16AB3075">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读者服务</w:t>
            </w:r>
          </w:p>
          <w:p w14:paraId="6D2A5023">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需提供读者服务相关统计，包含读者借还、读者借阅量、读者借还趋势、超期罚款、读者使用排行榜、读者成分、读者增长量，同时还支持超期罚款、遗失赔偿、借阅出版社等统计。</w:t>
            </w:r>
          </w:p>
          <w:p w14:paraId="77C391F2">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运行日志</w:t>
            </w:r>
          </w:p>
          <w:p w14:paraId="1F8FAB79">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需提供流通日志、账目收支、注册业务结算、工作人员日志、工作量（工作台、工作人员、工作类型）等相关统计。</w:t>
            </w:r>
          </w:p>
          <w:p w14:paraId="62FB46A2">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参数配置</w:t>
            </w:r>
          </w:p>
          <w:p w14:paraId="05DAC506">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1.需提供个人统计中心，支持将统计及条件保存为模板至个人中心。</w:t>
            </w:r>
          </w:p>
          <w:p w14:paraId="2BF3CD18">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2.支持自定义分类模板配置。</w:t>
            </w:r>
          </w:p>
          <w:p w14:paraId="7C509963">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3.支持电子资源统计相关配置。包括：电子统计来源管理、SUSHI服务器管理、统计文件管理、统计数据状态等。</w:t>
            </w:r>
          </w:p>
          <w:p w14:paraId="51B72242">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八、统一检索</w:t>
            </w:r>
            <w:r>
              <w:rPr>
                <w:rFonts w:hint="eastAsia" w:ascii="宋体" w:hAnsi="宋体"/>
                <w:color w:val="auto"/>
                <w:kern w:val="0"/>
                <w:sz w:val="18"/>
                <w:szCs w:val="18"/>
                <w:highlight w:val="none"/>
              </w:rPr>
              <w:tab/>
            </w:r>
            <w:r>
              <w:rPr>
                <w:rFonts w:hint="eastAsia" w:ascii="宋体" w:hAnsi="宋体"/>
                <w:color w:val="auto"/>
                <w:kern w:val="0"/>
                <w:sz w:val="18"/>
                <w:szCs w:val="18"/>
                <w:highlight w:val="none"/>
              </w:rPr>
              <w:tab/>
            </w:r>
          </w:p>
          <w:p w14:paraId="183FF4A0">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1.▲支持一站式文献检索服务，对整合的图书馆纸本与数字文献资源进行篇级检索。在检索结果列表中，同时显示包含图书、期刊、论文等文献的摘要内容。不再需要单独对每个数据库的内容进行分别检索。（</w:t>
            </w:r>
            <w:r>
              <w:rPr>
                <w:rFonts w:hint="eastAsia" w:ascii="宋体" w:hAnsi="宋体" w:cs="宋体"/>
                <w:color w:val="auto"/>
                <w:kern w:val="0"/>
                <w:sz w:val="18"/>
                <w:szCs w:val="18"/>
                <w:highlight w:val="none"/>
              </w:rPr>
              <w:t>提供纸电资源统一检索系统软件著作权证书）</w:t>
            </w:r>
          </w:p>
          <w:p w14:paraId="57E35855">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2.▲支持空检索，支持显示空检条件下整体数据量，以及各文献类型包括图书、期刊、学位等数据量，各年份收录量等。</w:t>
            </w:r>
            <w:r>
              <w:rPr>
                <w:rFonts w:hint="eastAsia" w:ascii="宋体" w:hAnsi="宋体" w:cs="宋体"/>
                <w:color w:val="auto"/>
                <w:kern w:val="0"/>
                <w:sz w:val="18"/>
                <w:szCs w:val="18"/>
                <w:highlight w:val="none"/>
              </w:rPr>
              <w:t>（提供截图证明）</w:t>
            </w:r>
          </w:p>
          <w:p w14:paraId="65C82D56">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3.支持切换不同的文献类型选择相应的检索入口，包括图书、期刊、学位论文等，不同的文献类型检索入口划分不同检索条件。</w:t>
            </w:r>
          </w:p>
          <w:p w14:paraId="2648FE2A">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4.支持智能检索，如自动匹配检索词曾用名、学名、全称等；以及检索作者、作者机构，自动匹配作者或作者机构字段。</w:t>
            </w:r>
          </w:p>
          <w:p w14:paraId="35DE3587">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5.支持高级检索，并支持精确、模糊、前置匹配等多种方式检索，高级检索可以根据元数据字段进行组合检索，包括标题、关键词、作者、isbn、issn、出版物名称、出版社、分类号、摘要、基金等。</w:t>
            </w:r>
          </w:p>
          <w:p w14:paraId="4C6BEB37">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6.支持部分分面聚类扩展到二级分类，如作者机构、学科分类等，同时二级分类同样支持复选</w:t>
            </w:r>
          </w:p>
          <w:p w14:paraId="1EAEBC0A">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7.▲支持报纸导航，可显示该报纸按年代的完整导航，可限定报纸某一月某一日的所有文献。</w:t>
            </w:r>
            <w:r>
              <w:rPr>
                <w:rFonts w:hint="eastAsia" w:ascii="宋体" w:hAnsi="宋体" w:cs="宋体"/>
                <w:color w:val="auto"/>
                <w:kern w:val="0"/>
                <w:sz w:val="18"/>
                <w:szCs w:val="18"/>
                <w:highlight w:val="none"/>
              </w:rPr>
              <w:t>（提供截图证明）</w:t>
            </w:r>
          </w:p>
          <w:p w14:paraId="7B0DBDDE">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8.支持图书导航，可按照学科分类、主题词、热门借阅、新书速递等展示图书文献。</w:t>
            </w:r>
          </w:p>
          <w:p w14:paraId="490FC80A">
            <w:pPr>
              <w:jc w:val="left"/>
              <w:rPr>
                <w:rFonts w:hint="eastAsia" w:ascii="宋体" w:hAnsi="宋体"/>
                <w:b/>
                <w:bCs/>
                <w:color w:val="auto"/>
                <w:kern w:val="0"/>
                <w:sz w:val="18"/>
                <w:szCs w:val="18"/>
                <w:highlight w:val="none"/>
              </w:rPr>
            </w:pPr>
            <w:r>
              <w:rPr>
                <w:rFonts w:hint="eastAsia" w:ascii="宋体" w:hAnsi="宋体"/>
                <w:color w:val="auto"/>
                <w:kern w:val="0"/>
                <w:sz w:val="18"/>
                <w:szCs w:val="18"/>
                <w:highlight w:val="none"/>
              </w:rPr>
              <w:t>9.▲支持期刊刊种导航，支持对期刊进行核心收录、最新出版更新、学科导航、字母导航等方式展示期刊，支持对刊名、主办单位、ISSN、CN号等检索字段进行检索，可按照年卷期的导航方式显示刊物篇目级数据。</w:t>
            </w:r>
            <w:r>
              <w:rPr>
                <w:rFonts w:hint="eastAsia" w:ascii="宋体" w:hAnsi="宋体" w:cs="宋体"/>
                <w:color w:val="auto"/>
                <w:kern w:val="0"/>
                <w:sz w:val="18"/>
                <w:szCs w:val="18"/>
                <w:highlight w:val="none"/>
              </w:rPr>
              <w:t>（提供截图证明）</w:t>
            </w:r>
          </w:p>
          <w:p w14:paraId="3D2430C9">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10.支持根据检索结果，提供历年各文献类型学术文章发展分布趋势图、学科、语言、核心收录、作者、机构、基金等分布。</w:t>
            </w:r>
          </w:p>
          <w:p w14:paraId="105045C3">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11.支持对不同资源混合排序，如支持学术性、相关性、馆藏优先、时间升降序等排序方式；</w:t>
            </w:r>
          </w:p>
          <w:p w14:paraId="4C4E67DC">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12.支持图书、期刊、学位论文等文献类型多主题对比，分析其发展趋势；并支持Excel文件导出。</w:t>
            </w:r>
          </w:p>
          <w:p w14:paraId="6DB3169A">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13.支持通过分析图书、期刊、学位论文、会议论文等不同文献的特点，对单篇文献提供多种相关文章推送。</w:t>
            </w:r>
          </w:p>
          <w:p w14:paraId="18777BB3">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14.▲统一检索根据检索结果，支持提供知识点-知识点、知识点-人、人-人（学位论文作者谱系图等）、机构-机构动态的关联关系，并通过可视化方式展现。并支持图书、期刊、学位论文等文献类型多主题对比，分析其发展趋势；并支持Excel文件导出；</w:t>
            </w:r>
            <w:r>
              <w:rPr>
                <w:rFonts w:hint="eastAsia" w:ascii="宋体" w:hAnsi="宋体" w:cs="宋体"/>
                <w:color w:val="auto"/>
                <w:kern w:val="0"/>
                <w:sz w:val="18"/>
                <w:szCs w:val="18"/>
                <w:highlight w:val="none"/>
              </w:rPr>
              <w:t>（提供截图证明）</w:t>
            </w:r>
          </w:p>
          <w:p w14:paraId="47E0FADC">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15.支持期刊历年影响因子趋势图谱分析；</w:t>
            </w:r>
          </w:p>
          <w:p w14:paraId="2199E9C3">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16支持知识关联图谱分析，通过输入中心词，可呈现相关的知识点关系图，支持按照不同属性、不同布局、不同节点数量等条件进行筛选，呈现渐进式多层图谱效果，同时提供该知识点相关文献的推荐；</w:t>
            </w:r>
          </w:p>
          <w:p w14:paraId="3A70A3CA">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17.支持图书-图书、图书-期刊、期刊-图书、期刊-期刊、期刊-论文、期刊-报纸等文献的引用分析，提供完整参考文献与引证文献的列表，列表中的文献具备引证关系二次拓展的功能；</w:t>
            </w:r>
          </w:p>
          <w:p w14:paraId="058B8A9D">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18.支持图书、期刊等文献被引用情况的年代分布曲线展示；</w:t>
            </w:r>
          </w:p>
          <w:p w14:paraId="3739F53C">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19.支持期刊-期刊文献的引用分析功能，中文期刊的引用分析数量不低于8000万篇文献；</w:t>
            </w:r>
          </w:p>
          <w:p w14:paraId="7485887B">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20.元数据可支持多条保存电子题录信息，支持以邮箱、EndNote、NoteExpress、RefWorks、NoteFirst43、BibTex等多种输出方式；且输出字段可选，同时支持选中结果直接打印；</w:t>
            </w:r>
          </w:p>
          <w:p w14:paraId="2DF21D97">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21.支持检索式的保存，可定期按照已保存的检索式推送最新资源到读者邮箱；</w:t>
            </w:r>
          </w:p>
          <w:p w14:paraId="6BDF8CFB">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22.支持通过分析图书、期刊、学位论文、会议论文等不同文献的特点，对单篇文献提供多种相关文章推送；</w:t>
            </w:r>
          </w:p>
          <w:p w14:paraId="72C903F3">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23.支持与各类商业数据库无缝对接；</w:t>
            </w:r>
          </w:p>
          <w:p w14:paraId="6F39D77B">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24.支持与本省、本地区资源共享服务平台无缝对接，同时支持与第三方文献资源保障平台对接如calis等；</w:t>
            </w:r>
          </w:p>
          <w:p w14:paraId="4CDC7FE0">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25.支持与第三方系统的单点认证；</w:t>
            </w:r>
          </w:p>
          <w:p w14:paraId="47E990A6">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26.支持首页LOGO个性化定制服务；</w:t>
            </w:r>
          </w:p>
        </w:tc>
      </w:tr>
      <w:tr w14:paraId="35028C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959" w:type="dxa"/>
            <w:shd w:val="clear" w:color="auto" w:fill="auto"/>
            <w:noWrap w:val="0"/>
            <w:vAlign w:val="center"/>
          </w:tcPr>
          <w:p w14:paraId="6F8D41FD">
            <w:pPr>
              <w:jc w:val="center"/>
              <w:rPr>
                <w:rFonts w:hint="eastAsia" w:ascii="宋体" w:hAnsi="宋体" w:eastAsia="宋体"/>
                <w:color w:val="auto"/>
                <w:kern w:val="0"/>
                <w:sz w:val="20"/>
                <w:szCs w:val="22"/>
                <w:highlight w:val="none"/>
                <w:lang w:eastAsia="zh-CN"/>
              </w:rPr>
            </w:pPr>
            <w:r>
              <w:rPr>
                <w:rFonts w:hint="eastAsia" w:ascii="宋体" w:hAnsi="宋体"/>
                <w:color w:val="auto"/>
                <w:sz w:val="20"/>
                <w:szCs w:val="22"/>
                <w:highlight w:val="none"/>
                <w:lang w:val="en-US" w:eastAsia="zh-CN"/>
              </w:rPr>
              <w:t>5</w:t>
            </w:r>
          </w:p>
        </w:tc>
        <w:tc>
          <w:tcPr>
            <w:tcW w:w="1134" w:type="dxa"/>
            <w:shd w:val="clear" w:color="auto" w:fill="auto"/>
            <w:noWrap w:val="0"/>
            <w:vAlign w:val="center"/>
          </w:tcPr>
          <w:p w14:paraId="12132FFC">
            <w:pPr>
              <w:jc w:val="center"/>
              <w:rPr>
                <w:rFonts w:hint="eastAsia" w:ascii="宋体" w:hAnsi="宋体"/>
                <w:color w:val="auto"/>
                <w:kern w:val="0"/>
                <w:sz w:val="18"/>
                <w:szCs w:val="18"/>
                <w:highlight w:val="none"/>
              </w:rPr>
            </w:pPr>
            <w:r>
              <w:rPr>
                <w:rFonts w:hint="eastAsia" w:ascii="宋体" w:hAnsi="宋体"/>
                <w:color w:val="auto"/>
                <w:kern w:val="0"/>
                <w:sz w:val="18"/>
                <w:szCs w:val="18"/>
                <w:highlight w:val="none"/>
              </w:rPr>
              <w:t>智慧门户</w:t>
            </w:r>
          </w:p>
        </w:tc>
        <w:tc>
          <w:tcPr>
            <w:tcW w:w="7060" w:type="dxa"/>
            <w:shd w:val="clear" w:color="auto" w:fill="auto"/>
            <w:noWrap w:val="0"/>
            <w:vAlign w:val="top"/>
          </w:tcPr>
          <w:p w14:paraId="6C7735D3">
            <w:pPr>
              <w:pStyle w:val="91"/>
              <w:ind w:firstLine="0" w:firstLineChars="0"/>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支持网站后台系统设置。支持管理员管理、支持网站挂接自有域名和网站访问权限设置；提供图书馆网站数据统计展示，支持查看访问统计、应用访问统计和文章访问统计。支持网页底部展示网站访问量统计数据。</w:t>
            </w:r>
          </w:p>
          <w:p w14:paraId="31D4B628">
            <w:pPr>
              <w:pStyle w:val="91"/>
              <w:ind w:firstLine="0" w:firstLineChars="0"/>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2.网站支持响应式设计（H5）。门户网站访问页面根据读者访问设备类型自适应，支持在电脑端和移动端友好的使用。</w:t>
            </w:r>
          </w:p>
          <w:p w14:paraId="12E0188F">
            <w:pPr>
              <w:pStyle w:val="91"/>
              <w:ind w:firstLine="0" w:firstLineChars="0"/>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3.▲支持网站主题色、网站背景的自主管理。支持按需随时一键设置切换网站主题色，各模块相关元素的颜色随主题色改变；支持自主添加多个背景，并设置背景内容、高度和位置。支持学科分馆功能、支持在页面展示所需的馆务数据。</w:t>
            </w:r>
          </w:p>
          <w:p w14:paraId="6A1D02CE">
            <w:pPr>
              <w:pStyle w:val="91"/>
              <w:ind w:firstLine="0" w:firstLineChars="0"/>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4.▲支持可视化的页面布局管理。内嵌单栏、双栏、多栏等不少于5种通用模块容器；支持自主拖拽模块容器并调整容器尺寸完成页面布局，所见即所得。（提供截图证明）</w:t>
            </w:r>
          </w:p>
          <w:p w14:paraId="67EBFB31">
            <w:pPr>
              <w:pStyle w:val="91"/>
              <w:ind w:firstLine="0" w:firstLineChars="0"/>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5.支持内嵌图书馆新闻公告、搜索引擎、数据库导航、期刊导航、活动管理、读者咨询、读者荐购、阅读推荐、热词词云等通用应用模块。</w:t>
            </w:r>
          </w:p>
          <w:p w14:paraId="524C1691">
            <w:pPr>
              <w:pStyle w:val="91"/>
              <w:ind w:firstLine="0" w:firstLineChars="0"/>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6.▲各应用模块支持独立的可视化设置后台。每个应用模块提供不少于5种前端样式；支持一键自主选择、切换样式，并可对字体颜色、模块背景等做个性化设置。（提供截图证明）</w:t>
            </w:r>
          </w:p>
          <w:p w14:paraId="62D22BBC">
            <w:pPr>
              <w:pStyle w:val="91"/>
              <w:ind w:firstLine="0" w:firstLineChars="0"/>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7.网站支持统一检索功能。支持同时对接多种搜索引擎，支持搜索创建为站内搜索工具。</w:t>
            </w:r>
          </w:p>
          <w:p w14:paraId="23ABEBCE">
            <w:pPr>
              <w:pStyle w:val="91"/>
              <w:ind w:firstLine="0" w:firstLineChars="0"/>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8.网站支持发布信息与展示图书馆主要的读者服务。支持查看所有内容的信息与状态；支持对发布内容进行常规的新增、修改、删除等操作。支持发布的内容及时更新到门户上，实现信息传播的实效性。</w:t>
            </w:r>
          </w:p>
          <w:p w14:paraId="712FDF89">
            <w:pPr>
              <w:pStyle w:val="91"/>
              <w:ind w:firstLine="0" w:firstLineChars="0"/>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9.自定义添加数据支持富文本编辑器。支持富文本编辑；支持图片、视频、附件、超链接等上传；支持对接云盘文件。</w:t>
            </w:r>
          </w:p>
          <w:p w14:paraId="591DA448">
            <w:pPr>
              <w:pStyle w:val="91"/>
              <w:ind w:firstLine="0" w:firstLineChars="0"/>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支持记录详细的文章操作日志，可以记录系统中被操作文章的网站名称、操作者账号、姓名、IP地址、操作时间、操作内容、操作类型等信息，支持按照操作类型进行查看，支持查询功能，同时支持以Excel文件导出，使得每篇文章内容操作都有据可查，保障网站内容的安全。（提供截图证明）</w:t>
            </w:r>
          </w:p>
          <w:p w14:paraId="3891ACA2">
            <w:pPr>
              <w:pStyle w:val="91"/>
              <w:ind w:firstLine="0" w:firstLineChars="0"/>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11.支持可视化审核流程配置功能。支持敏感词检测、支持增、改、删和批量导入敏感词。</w:t>
            </w:r>
          </w:p>
          <w:p w14:paraId="6170934A">
            <w:pPr>
              <w:pStyle w:val="91"/>
              <w:ind w:firstLine="0" w:firstLineChars="0"/>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12.网站支持读者参考咨询。支持读者基于图书馆门户查看常见咨询问题记录，或提交参考咨询问题。支持图书馆馆员在后台查看到读者提交的问题并对该问题进行回复解答并分类整理。</w:t>
            </w:r>
          </w:p>
          <w:p w14:paraId="613FD2A9">
            <w:pPr>
              <w:pStyle w:val="91"/>
              <w:ind w:firstLine="0" w:firstLineChars="0"/>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13.支持网站建设与管理系统。支持管理员新建网站，修改网站的基本信息，删除网站，预览编辑等；支持图书馆管理员创建多个网站，支持不同校区图书馆建设分站。</w:t>
            </w:r>
          </w:p>
          <w:p w14:paraId="5DFF214B">
            <w:pPr>
              <w:pStyle w:val="91"/>
              <w:ind w:firstLine="0" w:firstLineChars="0"/>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14.支持网站模版管理。内嵌不少于30种风格网页模版；支持自主预览、选择模板，快速生成网站页面；支持单位将自己的网站设置为单位模板，便于后续网站克隆搭建。</w:t>
            </w:r>
          </w:p>
          <w:p w14:paraId="3B78BF47">
            <w:pPr>
              <w:pStyle w:val="91"/>
              <w:ind w:firstLine="0" w:firstLineChars="0"/>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15.根据管理思想和网站设计要求，支持将所需应用模块自主拖拽到相应模块容器，并依据容器尺寸完成应用适配。</w:t>
            </w:r>
          </w:p>
          <w:p w14:paraId="24A18C29">
            <w:pPr>
              <w:pStyle w:val="91"/>
              <w:ind w:firstLine="0" w:firstLineChars="0"/>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16.系统须提供图标、文本、图文、多图、轮播图、搜索和表格等个性化应用模块；支持管理员对模块内容进行手动编辑，或对接数据源（包括本地资源、外接数据源和数据中心）生成内容；每种基础模块样式不少于3种，可根据需要自由组合。</w:t>
            </w:r>
          </w:p>
          <w:p w14:paraId="72FEB78C">
            <w:pPr>
              <w:pStyle w:val="91"/>
              <w:ind w:firstLine="0" w:firstLineChars="0"/>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17.支持轮播图的管理。网站首页轮播图支持展示图书馆重点推荐的内容，方便读者最快触达信息；内容管理支持图片跳转外链；支持自定义拖拽页面排版，提供样式不少于9种，支持一键切换样式。</w:t>
            </w:r>
          </w:p>
          <w:p w14:paraId="034A557D">
            <w:pPr>
              <w:pStyle w:val="91"/>
              <w:ind w:firstLine="0" w:firstLineChars="0"/>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18.支持网站导航栏设置功能。支持多级网站导航标签应用；支持多种网站导航样式；网站导航栏各级标签支持自定义或跳转外部超链接；展示样式支持简介、列表的组合方式。</w:t>
            </w:r>
          </w:p>
          <w:p w14:paraId="080739A4">
            <w:pPr>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19.网站底部内容管理支持添加超链接、单位信息、二维码、备案信息。</w:t>
            </w:r>
          </w:p>
          <w:p w14:paraId="4E8AF3FE">
            <w:pPr>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20.▲</w:t>
            </w:r>
            <w:r>
              <w:rPr>
                <w:rFonts w:ascii="宋体" w:hAnsi="宋体" w:cs="宋体"/>
                <w:color w:val="auto"/>
                <w:kern w:val="0"/>
                <w:sz w:val="18"/>
                <w:szCs w:val="18"/>
                <w:highlight w:val="none"/>
              </w:rPr>
              <w:t>网站程序必须是开发者独立创作的成果</w:t>
            </w:r>
            <w:r>
              <w:rPr>
                <w:rFonts w:hint="eastAsia" w:ascii="宋体" w:hAnsi="宋体" w:cs="宋体"/>
                <w:color w:val="auto"/>
                <w:kern w:val="0"/>
                <w:sz w:val="18"/>
                <w:szCs w:val="18"/>
                <w:highlight w:val="none"/>
              </w:rPr>
              <w:t>，不可涉及版权纠纷，并且需要通过严格的功能完整性，安全性以及兼容性的检测，供应商需要对产品质量提供保证。（提供智慧门户软件著作权证书和测试报告）。</w:t>
            </w:r>
          </w:p>
          <w:p w14:paraId="2944DC61">
            <w:pPr>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21.▲程序必须通过安全检测工具的测试，确保没有严重漏洞和安全隐患。（提供智慧门户的2级及以上信息系统安全等级保护备案证明）。</w:t>
            </w:r>
          </w:p>
        </w:tc>
      </w:tr>
      <w:tr w14:paraId="18F550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959" w:type="dxa"/>
            <w:shd w:val="clear" w:color="auto" w:fill="auto"/>
            <w:noWrap w:val="0"/>
            <w:vAlign w:val="center"/>
          </w:tcPr>
          <w:p w14:paraId="12A5106B">
            <w:pPr>
              <w:jc w:val="center"/>
              <w:rPr>
                <w:rFonts w:hint="eastAsia" w:ascii="宋体" w:hAnsi="宋体" w:eastAsia="宋体"/>
                <w:color w:val="auto"/>
                <w:kern w:val="0"/>
                <w:sz w:val="20"/>
                <w:szCs w:val="22"/>
                <w:highlight w:val="none"/>
                <w:lang w:eastAsia="zh-CN"/>
              </w:rPr>
            </w:pPr>
            <w:r>
              <w:rPr>
                <w:rFonts w:hint="eastAsia" w:ascii="宋体" w:hAnsi="宋体"/>
                <w:color w:val="auto"/>
                <w:sz w:val="20"/>
                <w:szCs w:val="22"/>
                <w:highlight w:val="none"/>
                <w:lang w:val="en-US" w:eastAsia="zh-CN"/>
              </w:rPr>
              <w:t>6</w:t>
            </w:r>
          </w:p>
        </w:tc>
        <w:tc>
          <w:tcPr>
            <w:tcW w:w="1134" w:type="dxa"/>
            <w:shd w:val="clear" w:color="auto" w:fill="auto"/>
            <w:noWrap w:val="0"/>
            <w:vAlign w:val="center"/>
          </w:tcPr>
          <w:p w14:paraId="26AA4584">
            <w:pPr>
              <w:jc w:val="center"/>
              <w:rPr>
                <w:rFonts w:hint="eastAsia" w:ascii="宋体" w:hAnsi="宋体"/>
                <w:color w:val="auto"/>
                <w:kern w:val="0"/>
                <w:sz w:val="18"/>
                <w:szCs w:val="18"/>
                <w:highlight w:val="none"/>
              </w:rPr>
            </w:pPr>
            <w:r>
              <w:rPr>
                <w:rFonts w:hint="eastAsia" w:ascii="宋体" w:hAnsi="宋体"/>
                <w:color w:val="auto"/>
                <w:kern w:val="0"/>
                <w:sz w:val="18"/>
                <w:szCs w:val="18"/>
                <w:highlight w:val="none"/>
              </w:rPr>
              <w:t>电子资源管理</w:t>
            </w:r>
          </w:p>
        </w:tc>
        <w:tc>
          <w:tcPr>
            <w:tcW w:w="7060" w:type="dxa"/>
            <w:shd w:val="clear" w:color="auto" w:fill="auto"/>
            <w:noWrap w:val="0"/>
            <w:vAlign w:val="center"/>
          </w:tcPr>
          <w:p w14:paraId="281392E4">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试用管理</w:t>
            </w:r>
            <w:r>
              <w:rPr>
                <w:rFonts w:hint="eastAsia" w:ascii="宋体" w:hAnsi="宋体"/>
                <w:color w:val="auto"/>
                <w:kern w:val="0"/>
                <w:sz w:val="18"/>
                <w:szCs w:val="18"/>
                <w:highlight w:val="none"/>
              </w:rPr>
              <w:tab/>
            </w:r>
          </w:p>
          <w:p w14:paraId="26AC0B53">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1.支持通过中央知识库创建试用，或创建本地试用。</w:t>
            </w:r>
          </w:p>
          <w:p w14:paraId="6AF50CD2">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2.支持试用记录的编辑、查看。</w:t>
            </w:r>
          </w:p>
          <w:p w14:paraId="3B075F68">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3.</w:t>
            </w:r>
            <w:r>
              <w:rPr>
                <w:rFonts w:hint="eastAsia" w:ascii="宋体" w:hAnsi="宋体" w:cs="宋体"/>
                <w:color w:val="auto"/>
                <w:kern w:val="0"/>
                <w:sz w:val="18"/>
                <w:szCs w:val="18"/>
                <w:highlight w:val="none"/>
              </w:rPr>
              <w:t>▲</w:t>
            </w:r>
            <w:r>
              <w:rPr>
                <w:rFonts w:hint="eastAsia" w:ascii="宋体" w:hAnsi="宋体"/>
                <w:color w:val="auto"/>
                <w:kern w:val="0"/>
                <w:sz w:val="18"/>
                <w:szCs w:val="18"/>
                <w:highlight w:val="none"/>
              </w:rPr>
              <w:t>支持电子资源的试用管理，后台支持自行编辑问卷，包含满意度、是非题、单选题、多选题等，支持选择试用专家、支持上传评审文件等功能。（提供电子资源试用、采购、统计相关的软件著作权证书）。</w:t>
            </w:r>
          </w:p>
          <w:p w14:paraId="757736A7">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4.支持向读者发放问卷调查并查看调查结果分析。</w:t>
            </w:r>
          </w:p>
          <w:p w14:paraId="2707845D">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资源库推荐</w:t>
            </w:r>
          </w:p>
          <w:p w14:paraId="5E33C98A">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1.支持读者自由荐购数据库。</w:t>
            </w:r>
          </w:p>
          <w:p w14:paraId="4082B7A6">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2.支持对读者荐购的数据库可以进行处理，读者可实时查看荐购处理结果。</w:t>
            </w:r>
          </w:p>
          <w:p w14:paraId="452E4C46">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订购管理</w:t>
            </w:r>
          </w:p>
          <w:p w14:paraId="05CD46BF">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1.支持电子资源的一次性买断或订阅采购模式。</w:t>
            </w:r>
          </w:p>
          <w:p w14:paraId="509FB348">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2.支持选择采购单位为数据包（子库）订购模式，支持多资源包采购；资源库采购时，支持定义外币价、汇率、手续费转化人民币价格、购买使用期限、购买合同、付款方式、发票记录等内容。</w:t>
            </w:r>
          </w:p>
          <w:p w14:paraId="393EE4A7">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3.支持免订购流程，采用直接激活的方式管理资源库。</w:t>
            </w:r>
          </w:p>
          <w:p w14:paraId="6B169EA6">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4.支持试用资源库。</w:t>
            </w:r>
          </w:p>
          <w:p w14:paraId="49E93C02">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5.支持查看资源库的基本信息、资源包列表及资源清单。</w:t>
            </w:r>
          </w:p>
          <w:p w14:paraId="77695399">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6.从中央知识库创建的订购自动挂接到中央知识库，本地创建的支持手动挂接到中央知识库。</w:t>
            </w:r>
          </w:p>
          <w:p w14:paraId="441DD5B2">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7.电子资源库支持改订，修改订购年度、提供方等。</w:t>
            </w:r>
          </w:p>
          <w:p w14:paraId="0F3D3D18">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续订管理</w:t>
            </w:r>
          </w:p>
          <w:p w14:paraId="6109DD81">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1.支持按订购包批量续订，选择订购年度、续订期限，支持比对往年订购记录参考涨幅，或批量定义涨幅，自动计算预计续订金额。</w:t>
            </w:r>
          </w:p>
          <w:p w14:paraId="0E5BC847">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2.支持对续订作业的记录进行管理，支持对往年的续订记录直接复制，创建新的续订作业。</w:t>
            </w:r>
          </w:p>
          <w:p w14:paraId="7307976E">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资源库管理</w:t>
            </w:r>
          </w:p>
          <w:p w14:paraId="0B1B9FB6">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1.支持挂接/变更挂接/取消挂接中央知识库。</w:t>
            </w:r>
          </w:p>
          <w:p w14:paraId="793CEAA1">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2.支持新增资源库，支持对资源库属性编辑、资源包管理、服务管理、资源列表管理。</w:t>
            </w:r>
          </w:p>
          <w:p w14:paraId="7C3CA3D3">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3.支持资源库更新提示。</w:t>
            </w:r>
          </w:p>
          <w:p w14:paraId="1AD820B4">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4.支持对资源库的直接试用。</w:t>
            </w:r>
          </w:p>
          <w:p w14:paraId="2C801BBE">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5.支持对同一个数据库，连续性采购管理，采用数据包下以服务的模式记录每年的采购资源量。</w:t>
            </w:r>
          </w:p>
          <w:p w14:paraId="156C1447">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6.支持自动生成电子馆藏，支持电子馆藏自动生成财产号。</w:t>
            </w:r>
          </w:p>
          <w:p w14:paraId="71DDF067">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7.支持记录数据库电子资源的详细信息，包含对应的URL地址，支持直接跳转访问。</w:t>
            </w:r>
          </w:p>
          <w:p w14:paraId="6C3AF606">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8.支持纸电数据查重和归并。</w:t>
            </w:r>
          </w:p>
          <w:p w14:paraId="09034C2E">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9.实现试用、服务到期提醒。</w:t>
            </w:r>
          </w:p>
          <w:p w14:paraId="5414BA64">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10.支持用户反馈。</w:t>
            </w:r>
          </w:p>
          <w:p w14:paraId="392D38DC">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11.▲支持电子资源库对比，比对资源数量、重复数量、核心收录情况、学科覆盖情况，支持输出重复元数据清单，并可导出表格。</w:t>
            </w:r>
            <w:r>
              <w:rPr>
                <w:rFonts w:hint="eastAsia" w:ascii="宋体" w:hAnsi="宋体" w:cs="宋体"/>
                <w:color w:val="auto"/>
                <w:kern w:val="0"/>
                <w:sz w:val="18"/>
                <w:szCs w:val="18"/>
                <w:highlight w:val="none"/>
              </w:rPr>
              <w:t>（提供截图证明）</w:t>
            </w:r>
          </w:p>
          <w:p w14:paraId="19CFAD1C">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库网监控</w:t>
            </w:r>
          </w:p>
          <w:p w14:paraId="777644A7">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1.支持自定义监控访问间隔时间。</w:t>
            </w:r>
          </w:p>
          <w:p w14:paraId="79818222">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2.支持手动刷新全部数据库访问。</w:t>
            </w:r>
          </w:p>
          <w:p w14:paraId="69EF297E">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3.支持单条刷新某个数据库的访问，也可直接访问数据库地址验证。</w:t>
            </w:r>
          </w:p>
          <w:p w14:paraId="6D8C9468">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4.支持本地监控和中心监控。</w:t>
            </w:r>
          </w:p>
          <w:p w14:paraId="0F4ED59D">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5.本地监控支持配置多地访问情况。</w:t>
            </w:r>
          </w:p>
          <w:p w14:paraId="0044EE58">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6.数据库异常时，支持自动发送通知。</w:t>
            </w:r>
          </w:p>
          <w:p w14:paraId="29DF40FD">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资源保障分析</w:t>
            </w:r>
          </w:p>
          <w:p w14:paraId="6EAD8A23">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1.▲支持资源保障功能，图书保障功能须包含本馆与中央知识库图书总目的差异书单详情列表，包含但不限于图书基本信息字段有书名、作者、出处、出版年、ISBN，且支持按照图书被引量、出版年对图书清单列表进行升序、降序操作。中图分类下本馆图书的保障情况支持查看到一级、二级、三级分类。可查看本馆图书馆藏结构书目清单、本馆图书馆藏年代书目清单、本馆馆藏图书出版社结构分析的多种分析统计结果。期刊保障功能须包含未保障刊种具体的资源库分布情况，支持导出资源库列表，且包含但不限于数据库名称、所含刊种总量、与馆藏重复数量、所含电子资源包情况，以及购买这个资源库对本馆提升刊种数量、提升现刊数量等指标。</w:t>
            </w:r>
            <w:r>
              <w:rPr>
                <w:rFonts w:hint="eastAsia" w:ascii="宋体" w:hAnsi="宋体" w:cs="宋体"/>
                <w:color w:val="auto"/>
                <w:kern w:val="0"/>
                <w:sz w:val="18"/>
                <w:szCs w:val="18"/>
                <w:highlight w:val="none"/>
              </w:rPr>
              <w:t>（提供截图证明）</w:t>
            </w:r>
            <w:r>
              <w:rPr>
                <w:rFonts w:hint="eastAsia" w:ascii="宋体" w:hAnsi="宋体"/>
                <w:color w:val="auto"/>
                <w:kern w:val="0"/>
                <w:sz w:val="18"/>
                <w:szCs w:val="18"/>
                <w:highlight w:val="none"/>
              </w:rPr>
              <w:t xml:space="preserve"> </w:t>
            </w:r>
          </w:p>
          <w:p w14:paraId="376FDE38">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 xml:space="preserve">2.▲期刊保障：支持按照年份，按照 wos、esi 以及教育部学科分类，揭示相应学科刊种总量、馆藏已保障资源量、馆藏未保障资源量，查看相应学科的馆藏保障率。默认显示当面最新年份的各个分类的刊种保障情况。 </w:t>
            </w:r>
            <w:r>
              <w:rPr>
                <w:rFonts w:hint="eastAsia" w:ascii="宋体" w:hAnsi="宋体" w:cs="宋体"/>
                <w:color w:val="auto"/>
                <w:kern w:val="0"/>
                <w:sz w:val="18"/>
                <w:szCs w:val="18"/>
                <w:highlight w:val="none"/>
              </w:rPr>
              <w:t>（提供截图证明）</w:t>
            </w:r>
          </w:p>
          <w:p w14:paraId="54E9134A">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 xml:space="preserve">3.期刊保障：支持查看某分类下的刊种总量、已保障刊种和未保障刊种，其中已保障刊种和未保障刊种支持查看具体的刊种列表，且支持导出列表，包含刊名、出版社等字段信息。 </w:t>
            </w:r>
          </w:p>
          <w:p w14:paraId="649749B9">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 xml:space="preserve">4.单库分析：支持对本单位已经购买的资源库，可进行单库保障分析，其中外文期刊库包含该库所整合刊种数量、整合重要刊种数量、独有刊种数量、重复刊种数量、现刊数量以及现刊重复数量的等基本情况。 </w:t>
            </w:r>
          </w:p>
          <w:p w14:paraId="656F53AB">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 xml:space="preserve">5、单库分析：支持对本馆期刊类单库的现刊、过刊进行揭示，可查看重复刊相应分析列表，包含与本馆已挂接的数据库重复情况，重复刊种，重复期刊占比，并且具体查看重复期刊具体刊种列表。 </w:t>
            </w:r>
          </w:p>
          <w:p w14:paraId="3398E59B">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 xml:space="preserve">6.▲单库分析：支持对本馆单库的重要收录情况，按照重要收录类别进行筛选，包含 SCI、EI、SCOPUS 等重要期刊类别，分别呈现现刊、独有刊被收录的数量以及占比，重复刊被收录数量以及占比等情况。同理，支持可查看重要收录的重复刊相应分析列表，包含与本馆已挂接的数据库重复情况，重复刊种，重复期刊占比，并且具体查看重复期刊具体刊种列表。 </w:t>
            </w:r>
            <w:r>
              <w:rPr>
                <w:rFonts w:hint="eastAsia" w:ascii="宋体" w:hAnsi="宋体" w:cs="宋体"/>
                <w:color w:val="auto"/>
                <w:kern w:val="0"/>
                <w:sz w:val="18"/>
                <w:szCs w:val="18"/>
                <w:highlight w:val="none"/>
              </w:rPr>
              <w:t>（提供截图证明）</w:t>
            </w:r>
          </w:p>
          <w:p w14:paraId="55EB72FD">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7.支持馆藏数据统计（纸质、电子），包含：纸质馆藏（分布、增长等）、电子馆藏（分布、增长等）统计，列表页面支持打印预览及 EXCLE 文件格式导出。</w:t>
            </w:r>
          </w:p>
          <w:p w14:paraId="2134E4D3">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涨幅管理</w:t>
            </w:r>
            <w:r>
              <w:rPr>
                <w:rFonts w:hint="eastAsia" w:ascii="宋体" w:hAnsi="宋体"/>
                <w:color w:val="auto"/>
                <w:kern w:val="0"/>
                <w:sz w:val="18"/>
                <w:szCs w:val="18"/>
                <w:highlight w:val="none"/>
              </w:rPr>
              <w:tab/>
            </w:r>
          </w:p>
          <w:p w14:paraId="6F8FE433">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1.▲支持分析比对电子资源库涨幅。</w:t>
            </w:r>
            <w:r>
              <w:rPr>
                <w:rFonts w:hint="eastAsia" w:ascii="宋体" w:hAnsi="宋体" w:cs="宋体"/>
                <w:color w:val="auto"/>
                <w:kern w:val="0"/>
                <w:sz w:val="18"/>
                <w:szCs w:val="18"/>
                <w:highlight w:val="none"/>
              </w:rPr>
              <w:t>（提供截图证明）</w:t>
            </w:r>
          </w:p>
        </w:tc>
      </w:tr>
      <w:tr w14:paraId="788550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959" w:type="dxa"/>
            <w:shd w:val="clear" w:color="auto" w:fill="auto"/>
            <w:noWrap w:val="0"/>
            <w:vAlign w:val="center"/>
          </w:tcPr>
          <w:p w14:paraId="791397C5">
            <w:pPr>
              <w:jc w:val="center"/>
              <w:rPr>
                <w:rFonts w:hint="eastAsia" w:ascii="宋体" w:hAnsi="宋体" w:eastAsia="宋体"/>
                <w:color w:val="auto"/>
                <w:kern w:val="0"/>
                <w:sz w:val="20"/>
                <w:szCs w:val="22"/>
                <w:highlight w:val="none"/>
                <w:lang w:eastAsia="zh-CN"/>
              </w:rPr>
            </w:pPr>
            <w:r>
              <w:rPr>
                <w:rFonts w:hint="eastAsia" w:ascii="宋体" w:hAnsi="宋体"/>
                <w:color w:val="auto"/>
                <w:sz w:val="20"/>
                <w:szCs w:val="22"/>
                <w:highlight w:val="none"/>
                <w:lang w:val="en-US" w:eastAsia="zh-CN"/>
              </w:rPr>
              <w:t>7</w:t>
            </w:r>
          </w:p>
        </w:tc>
        <w:tc>
          <w:tcPr>
            <w:tcW w:w="1134" w:type="dxa"/>
            <w:shd w:val="clear" w:color="auto" w:fill="auto"/>
            <w:noWrap w:val="0"/>
            <w:vAlign w:val="center"/>
          </w:tcPr>
          <w:p w14:paraId="27EEC54D">
            <w:pPr>
              <w:jc w:val="center"/>
              <w:rPr>
                <w:rFonts w:hint="eastAsia" w:ascii="宋体" w:hAnsi="宋体"/>
                <w:color w:val="auto"/>
                <w:kern w:val="0"/>
                <w:sz w:val="18"/>
                <w:szCs w:val="18"/>
                <w:highlight w:val="none"/>
              </w:rPr>
            </w:pPr>
            <w:r>
              <w:rPr>
                <w:rFonts w:hint="eastAsia" w:ascii="宋体" w:hAnsi="宋体"/>
                <w:color w:val="auto"/>
                <w:kern w:val="0"/>
                <w:sz w:val="18"/>
                <w:szCs w:val="18"/>
                <w:highlight w:val="none"/>
              </w:rPr>
              <w:t>智能采选</w:t>
            </w:r>
          </w:p>
        </w:tc>
        <w:tc>
          <w:tcPr>
            <w:tcW w:w="7060" w:type="dxa"/>
            <w:shd w:val="clear" w:color="auto" w:fill="auto"/>
            <w:noWrap w:val="0"/>
            <w:vAlign w:val="center"/>
          </w:tcPr>
          <w:p w14:paraId="233E706F">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数据支撑</w:t>
            </w:r>
            <w:r>
              <w:rPr>
                <w:rFonts w:hint="eastAsia" w:ascii="宋体" w:hAnsi="宋体"/>
                <w:color w:val="auto"/>
                <w:kern w:val="0"/>
                <w:sz w:val="18"/>
                <w:szCs w:val="18"/>
                <w:highlight w:val="none"/>
              </w:rPr>
              <w:tab/>
            </w:r>
          </w:p>
          <w:p w14:paraId="751BB2CA">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 xml:space="preserve">1、书目数据需达到 300 万种以上，并持续更新。 </w:t>
            </w:r>
          </w:p>
          <w:p w14:paraId="446108D0">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2、支持及时有效的自动获取最新的新书书目数据，弥补原有书商提供数据不全的情况，有助于更好的补充馆藏。</w:t>
            </w:r>
          </w:p>
          <w:p w14:paraId="336DAA85">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图书采选</w:t>
            </w:r>
          </w:p>
          <w:p w14:paraId="5196802C">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1.支持按学科/中图分类、出版社筛选查看数据；可设置个人采购策略。</w:t>
            </w:r>
          </w:p>
          <w:p w14:paraId="451A796D">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2.检索结果支持与本馆馆藏比对、查重；组织本馆订单。</w:t>
            </w:r>
          </w:p>
          <w:p w14:paraId="46DC6AFA">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3.支持展示元数据的扩展信息：内容简介、作者简介、作者其他专著图书和文献、目次信息、封面等。</w:t>
            </w:r>
          </w:p>
          <w:p w14:paraId="5784005D">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4.▲支持从至少5个维度（本馆偏好、内容价值、出版质量、评价信息、出版质量、作者水平）对每本图书进行深度数据挖掘，形成推荐建议，是否推荐订购、推荐订购套数以及馆藏分配建议。并展示图书同作者发表的专著情况。</w:t>
            </w:r>
            <w:r>
              <w:rPr>
                <w:rFonts w:hint="eastAsia" w:ascii="宋体" w:hAnsi="宋体" w:cs="宋体"/>
                <w:color w:val="auto"/>
                <w:kern w:val="0"/>
                <w:sz w:val="18"/>
                <w:szCs w:val="18"/>
                <w:highlight w:val="none"/>
              </w:rPr>
              <w:t>（提供截图证明）</w:t>
            </w:r>
          </w:p>
          <w:p w14:paraId="1193187D">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5.支持查看该图书的资源画像以及联盟馆订购情况。</w:t>
            </w:r>
          </w:p>
          <w:p w14:paraId="2CAAF139">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补采建议</w:t>
            </w:r>
          </w:p>
          <w:p w14:paraId="540380C6">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1.支持馆藏比对，包括馆际比对，以及导入文件比对，自动生成比对结果图文及报表，并支持对重复和独有资源订购。</w:t>
            </w:r>
          </w:p>
          <w:p w14:paraId="12FE0039">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2.▲支持展示本馆热门收藏图书，可查看热门收藏图书的基本信息、目录信息、馆藏情况、订购记录、借阅信息、被收藏情况等等，并支持直接订购热门收藏图书。（提供智能采选软件著作权证书）。</w:t>
            </w:r>
          </w:p>
          <w:p w14:paraId="437E91D2">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3.支持展示本馆热门检索词，可直接在中央知识库中检索相关关键词，并订购相关图书。</w:t>
            </w:r>
          </w:p>
          <w:p w14:paraId="6EBF65F8">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4.支持展示本馆零命中检索词，可直接在中央知识库中检索相关关键词，并订购相关图书。</w:t>
            </w:r>
          </w:p>
          <w:p w14:paraId="11A6D0AA">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资源画像</w:t>
            </w:r>
          </w:p>
          <w:p w14:paraId="3A641EF6">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1.支持根据本馆采购偏好，制定本馆采选策略，制定本馆的反选规则、个性化指标及对应权重，按照本馆馆藏政策快速完成对征订目录的筛选。</w:t>
            </w:r>
          </w:p>
          <w:p w14:paraId="68553314">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2.支持制定本馆反选规则，某一分类、某一读者对象、某一价格区间、重复资源、或指定书目清单自动过滤，不做推荐。</w:t>
            </w:r>
          </w:p>
          <w:p w14:paraId="431EEBBC">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3.支持利用大数据算法从多个维度（如：内容价值、作者水平、出版质量、评价信息、本馆偏好等）对每本图书进行深度数据挖掘，形成符合本馆策略的馆藏指数评分。</w:t>
            </w:r>
          </w:p>
          <w:p w14:paraId="6666C1A1">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4.支持形成采购建议，根据当前这本图书的基本信息、馆藏指数、相似书的利用情况形成是否推荐订购、推荐订购套数以及馆藏分配建议。</w:t>
            </w:r>
          </w:p>
          <w:p w14:paraId="31F6E2ED">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 xml:space="preserve">5.支持形成采购建议，根据当前这本图书的基本信息、馆藏 指数、相似书的利用情况形成是否推荐订购、推荐订购套数以及馆藏分配建议； </w:t>
            </w:r>
          </w:p>
          <w:p w14:paraId="670B004A">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6.支持生成本馆的纠偏报告，根据本馆的实际馆藏与借阅情况，生成按学科分类/按主题词的馆藏借阅分布报表，支持用户依据报告调整本馆理想馆藏。</w:t>
            </w:r>
          </w:p>
        </w:tc>
      </w:tr>
      <w:tr w14:paraId="6D4E21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959" w:type="dxa"/>
            <w:shd w:val="clear" w:color="auto" w:fill="auto"/>
            <w:noWrap w:val="0"/>
            <w:vAlign w:val="center"/>
          </w:tcPr>
          <w:p w14:paraId="0F854CBF">
            <w:pPr>
              <w:jc w:val="center"/>
              <w:rPr>
                <w:rFonts w:hint="eastAsia" w:ascii="宋体" w:hAnsi="宋体" w:eastAsia="宋体"/>
                <w:color w:val="auto"/>
                <w:kern w:val="0"/>
                <w:sz w:val="20"/>
                <w:szCs w:val="22"/>
                <w:highlight w:val="none"/>
                <w:lang w:eastAsia="zh-CN"/>
              </w:rPr>
            </w:pPr>
            <w:r>
              <w:rPr>
                <w:rFonts w:hint="eastAsia" w:ascii="宋体" w:hAnsi="宋体"/>
                <w:color w:val="auto"/>
                <w:sz w:val="20"/>
                <w:szCs w:val="22"/>
                <w:highlight w:val="none"/>
                <w:lang w:val="en-US" w:eastAsia="zh-CN"/>
              </w:rPr>
              <w:t>8</w:t>
            </w:r>
          </w:p>
        </w:tc>
        <w:tc>
          <w:tcPr>
            <w:tcW w:w="1134" w:type="dxa"/>
            <w:shd w:val="clear" w:color="auto" w:fill="auto"/>
            <w:noWrap w:val="0"/>
            <w:vAlign w:val="center"/>
          </w:tcPr>
          <w:p w14:paraId="0705285F">
            <w:pPr>
              <w:jc w:val="center"/>
              <w:rPr>
                <w:rFonts w:hint="eastAsia" w:ascii="宋体" w:hAnsi="宋体"/>
                <w:color w:val="auto"/>
                <w:kern w:val="0"/>
                <w:sz w:val="18"/>
                <w:szCs w:val="18"/>
                <w:highlight w:val="none"/>
              </w:rPr>
            </w:pPr>
            <w:r>
              <w:rPr>
                <w:rFonts w:hint="eastAsia" w:ascii="宋体" w:hAnsi="宋体"/>
                <w:color w:val="auto"/>
                <w:kern w:val="0"/>
                <w:sz w:val="18"/>
                <w:szCs w:val="18"/>
                <w:highlight w:val="none"/>
              </w:rPr>
              <w:t>座位预约系统</w:t>
            </w:r>
          </w:p>
        </w:tc>
        <w:tc>
          <w:tcPr>
            <w:tcW w:w="7060" w:type="dxa"/>
            <w:shd w:val="clear" w:color="auto" w:fill="auto"/>
            <w:noWrap w:val="0"/>
            <w:vAlign w:val="center"/>
          </w:tcPr>
          <w:p w14:paraId="2C7392AA">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1.▲支持座位预约应用引擎，支持根据本单位实际情况定制、管理座位预约类应用。通过引擎生成的应用不限个数，支持根据需要创建多个如座位预约、办公柜预约、班车座位预约等预约应用。（提供座位预约系统软件著作权证书）。</w:t>
            </w:r>
          </w:p>
          <w:p w14:paraId="68DE8A05">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2.支持自定义每个应用的名称、图标。管理员在后台手动添加或批量导入预约区域及座位信息</w:t>
            </w:r>
          </w:p>
          <w:p w14:paraId="13C691AE">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3.▲支持多种选座模式供单位自由选择，包括经典模式、自由绘图模式、网格图模式。</w:t>
            </w:r>
            <w:r>
              <w:rPr>
                <w:rFonts w:hint="eastAsia" w:ascii="宋体" w:hAnsi="宋体" w:cs="宋体"/>
                <w:color w:val="auto"/>
                <w:kern w:val="0"/>
                <w:sz w:val="18"/>
                <w:szCs w:val="18"/>
                <w:highlight w:val="none"/>
              </w:rPr>
              <w:t>（提供截图证明）</w:t>
            </w:r>
          </w:p>
          <w:p w14:paraId="60C2669A">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4.支持设置座位标签。单独或按座位单双号批量设置座位具备电源、电脑或暂时不可预约的状态标签</w:t>
            </w:r>
          </w:p>
          <w:p w14:paraId="45D83C09">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5.支持设置每个预约区域在前台用户端的排序，以及是否显示</w:t>
            </w:r>
          </w:p>
          <w:p w14:paraId="39260F1C">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6.支持编辑已经创建好的区域的基本信息和座位信息</w:t>
            </w:r>
          </w:p>
          <w:p w14:paraId="779EDFDA">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7.支持单独某个区域，或全部区域的座位二维码。导出的二维码具有多种样式可选，并且支持在二维码图片上添加单位logo</w:t>
            </w:r>
          </w:p>
          <w:p w14:paraId="3C1E8073">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8.支持根据单位实际情况自定义配置各项预约相关的规则。如单次最大预约时长、单次最少预约时长、允许用户同时预约的数量、允许每日取消预约的次数、开放预约时间、弹性签到签退时间、是否允许单位外用户使用等</w:t>
            </w:r>
          </w:p>
          <w:p w14:paraId="5032561D">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9.▲支持多种签到方式，包括但不限于二维码签到、位置签到、二维码＋位置签到、统一二维码签到、动态二维码签到。</w:t>
            </w:r>
            <w:r>
              <w:rPr>
                <w:rFonts w:hint="eastAsia" w:ascii="宋体" w:hAnsi="宋体" w:cs="宋体"/>
                <w:color w:val="auto"/>
                <w:kern w:val="0"/>
                <w:sz w:val="18"/>
                <w:szCs w:val="18"/>
                <w:highlight w:val="none"/>
              </w:rPr>
              <w:t>（提供截图证明）</w:t>
            </w:r>
          </w:p>
          <w:p w14:paraId="1FC3D342">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10.支持手动签退和到预约结束时间自动签退</w:t>
            </w:r>
          </w:p>
          <w:p w14:paraId="30C3A377">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11.▲支持监督功能，管理员或用户可对正在使用状态却没有人的座位发起监督，被监督的预约人须在管理员设置的时间内再次签到或者退座，否则将被记为一次违约。</w:t>
            </w:r>
            <w:r>
              <w:rPr>
                <w:rFonts w:hint="eastAsia" w:ascii="宋体" w:hAnsi="宋体" w:cs="宋体"/>
                <w:color w:val="auto"/>
                <w:kern w:val="0"/>
                <w:sz w:val="18"/>
                <w:szCs w:val="18"/>
                <w:highlight w:val="none"/>
              </w:rPr>
              <w:t>（提供截图证明）</w:t>
            </w:r>
          </w:p>
          <w:p w14:paraId="0BA339FA">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12.支持暂离功能，预约人需要暂时离开座位时可选择暂离，暂离状态座位将会被保留。暂离的最大时长可由管理员自定义</w:t>
            </w:r>
          </w:p>
          <w:p w14:paraId="6C918827">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13.支持设置用餐时段。在用餐时段内，允许用户暂离更长的时间</w:t>
            </w:r>
          </w:p>
          <w:p w14:paraId="46A75216">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14.支持设置每周违约次数上限。用户违约达到次数限制后，系统会自动限制该用户本周不可使用预约，到期后自动解除限制。管理员也可提前将用户手动移出限制使用名单</w:t>
            </w:r>
          </w:p>
          <w:p w14:paraId="054D5E52">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15.支持黑名单功能。管理员可手动添加某个用户进入黑名单，黑名单内的用户无法使用预约</w:t>
            </w:r>
          </w:p>
          <w:p w14:paraId="654213D1">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16.支持自定义设置预约通知公告栏目。可随时上架下架或替换内容</w:t>
            </w:r>
          </w:p>
          <w:p w14:paraId="2DF1925E">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17.支持自定义开启或关闭启动应用弹窗，弹窗内容可自定义编辑，弹窗可设置为每次打开弹出和仅第一次打开弹出</w:t>
            </w:r>
          </w:p>
          <w:p w14:paraId="6EFAF5E7">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18.支持数据管理功能，应用产生的每一条预约、违约、监督数据均在后台可查可导出。并且可以在后台进行批量取消、批量签退、批量恢复使用等操作</w:t>
            </w:r>
          </w:p>
          <w:p w14:paraId="42E16B00">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19.▲支持预约使用情况展示功能，管理员在后台首页支持查看预约应用总预约人次、总预约时长、总使用时长、总座位数、预约使用趋势、区域使用排行、学习时长排行，以及当日的预约人次、预约时长、签到人次、签退人次、今日使用时长、当前可用座位等数据统计。</w:t>
            </w:r>
            <w:r>
              <w:rPr>
                <w:rFonts w:hint="eastAsia" w:ascii="宋体" w:hAnsi="宋体" w:cs="宋体"/>
                <w:color w:val="auto"/>
                <w:kern w:val="0"/>
                <w:sz w:val="18"/>
                <w:szCs w:val="18"/>
                <w:highlight w:val="none"/>
              </w:rPr>
              <w:t>（提供截图证明）</w:t>
            </w:r>
          </w:p>
          <w:p w14:paraId="5D7DBC7C">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20.支持数据推送功能，支持将预约产生的所有数据推送到其它服务器，实现数据的传递</w:t>
            </w:r>
          </w:p>
          <w:p w14:paraId="7F465C8A">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21.支持可预约时间设置功能。支持单独设置每天的开放时间、暂停时间、是否开放。支持设置预约的最小时间间隔单元，可选十五分钟、三十分钟、一小时、或不间隔。支持设置某个区域为特殊的开放时间。支持单独设置某个区域或全部区域的暂停开放时间</w:t>
            </w:r>
          </w:p>
          <w:p w14:paraId="634E9512">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22.▲支持前台用户在移动端app或微信端进行预约。支持可视化的预约页面，用户可自主选择想要的区域和座位进行预约。同时提供快速选座功能，用户选择时间和区域后，系统自动分配一个可用座位。</w:t>
            </w:r>
            <w:r>
              <w:rPr>
                <w:rFonts w:hint="eastAsia" w:ascii="宋体" w:hAnsi="宋体" w:cs="宋体"/>
                <w:color w:val="auto"/>
                <w:kern w:val="0"/>
                <w:sz w:val="18"/>
                <w:szCs w:val="18"/>
                <w:highlight w:val="none"/>
              </w:rPr>
              <w:t>（提供截图证明）</w:t>
            </w:r>
          </w:p>
          <w:p w14:paraId="6ACEE572">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23.支持用户在预约开始时间前取消已预约的记录</w:t>
            </w:r>
          </w:p>
          <w:p w14:paraId="2E646030">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24.用户端首页的预约卡片，支持不同状态时显示为不同的颜色和操作按钮，方便用户使用</w:t>
            </w:r>
          </w:p>
          <w:p w14:paraId="7AB9565C">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25.支持用户直接扫描座位二维码预约对应的座位</w:t>
            </w:r>
          </w:p>
          <w:p w14:paraId="0760AAF2">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26.支持在预约即将开始，即将结束，发起监督，被监督时，系统会自动发通知给用户进行提醒</w:t>
            </w:r>
          </w:p>
          <w:p w14:paraId="06DFCE86">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27.▲需提供管理员移动端操作界面，支持管理员在移动端查看今日预约人次、今日预约时长、今日签到人数、今日签退人数、今日学习时长、当前使用座位、当前空闲座位等数据；</w:t>
            </w:r>
            <w:r>
              <w:rPr>
                <w:rFonts w:hint="eastAsia" w:ascii="宋体" w:hAnsi="宋体" w:cs="宋体"/>
                <w:color w:val="auto"/>
                <w:kern w:val="0"/>
                <w:sz w:val="18"/>
                <w:szCs w:val="18"/>
                <w:highlight w:val="none"/>
              </w:rPr>
              <w:t>（提供截图证明）</w:t>
            </w:r>
          </w:p>
          <w:p w14:paraId="1D5CE735">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28.支持管理员在移动端查看各座位的使用情况，支持在移动端查看预约记录，并可在移动端进行现场操作，如代预约、代签到、代签退、代取消、发起监督、将用户解除限制使用等，通过引擎创建应用时，支持选择长期预约模式。长期预约模式下。用户可按天、周、月进行预约，在预约时间内，用户可以无限次的进行签到签退。长期模式下无暂离、监督、记录违约。</w:t>
            </w:r>
          </w:p>
          <w:p w14:paraId="0E600F71">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29.支持二维码标签的设计制作跟粘贴。</w:t>
            </w:r>
          </w:p>
        </w:tc>
      </w:tr>
      <w:tr w14:paraId="01E43D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959" w:type="dxa"/>
            <w:shd w:val="clear" w:color="auto" w:fill="auto"/>
            <w:noWrap w:val="0"/>
            <w:vAlign w:val="center"/>
          </w:tcPr>
          <w:p w14:paraId="33519B97">
            <w:pPr>
              <w:jc w:val="center"/>
              <w:rPr>
                <w:rFonts w:hint="eastAsia" w:ascii="宋体" w:hAnsi="宋体" w:eastAsia="宋体"/>
                <w:color w:val="auto"/>
                <w:kern w:val="0"/>
                <w:sz w:val="20"/>
                <w:szCs w:val="22"/>
                <w:highlight w:val="none"/>
                <w:lang w:eastAsia="zh-CN"/>
              </w:rPr>
            </w:pPr>
            <w:r>
              <w:rPr>
                <w:rFonts w:hint="eastAsia" w:ascii="宋体" w:hAnsi="宋体"/>
                <w:color w:val="auto"/>
                <w:sz w:val="20"/>
                <w:szCs w:val="22"/>
                <w:highlight w:val="none"/>
                <w:lang w:val="en-US" w:eastAsia="zh-CN"/>
              </w:rPr>
              <w:t>9</w:t>
            </w:r>
          </w:p>
        </w:tc>
        <w:tc>
          <w:tcPr>
            <w:tcW w:w="1134" w:type="dxa"/>
            <w:shd w:val="clear" w:color="auto" w:fill="auto"/>
            <w:noWrap w:val="0"/>
            <w:vAlign w:val="center"/>
          </w:tcPr>
          <w:p w14:paraId="7DB0D50A">
            <w:pPr>
              <w:jc w:val="center"/>
              <w:rPr>
                <w:rFonts w:hint="eastAsia" w:ascii="宋体" w:hAnsi="宋体"/>
                <w:color w:val="auto"/>
                <w:kern w:val="0"/>
                <w:sz w:val="18"/>
                <w:szCs w:val="18"/>
                <w:highlight w:val="none"/>
              </w:rPr>
            </w:pPr>
            <w:r>
              <w:rPr>
                <w:rFonts w:hint="eastAsia" w:ascii="宋体" w:hAnsi="宋体"/>
                <w:color w:val="auto"/>
                <w:kern w:val="0"/>
                <w:sz w:val="18"/>
                <w:szCs w:val="18"/>
                <w:highlight w:val="none"/>
              </w:rPr>
              <w:t>大数据分析展示系统</w:t>
            </w:r>
          </w:p>
        </w:tc>
        <w:tc>
          <w:tcPr>
            <w:tcW w:w="7060" w:type="dxa"/>
            <w:shd w:val="clear" w:color="auto" w:fill="auto"/>
            <w:noWrap w:val="0"/>
            <w:vAlign w:val="center"/>
          </w:tcPr>
          <w:p w14:paraId="22392E20">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 xml:space="preserve">1.系统 </w:t>
            </w:r>
          </w:p>
          <w:p w14:paraId="1AF55662">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1.1系统需采用B/S架构，无需安装客户端。</w:t>
            </w:r>
          </w:p>
          <w:p w14:paraId="37AE0D38">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1.2 支持管理员通过后台修改前端内容数据，并且前端监听后台变化，做到后台修改完成，前端及时显示。</w:t>
            </w:r>
          </w:p>
          <w:p w14:paraId="0DA187A6">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1.3 支持所有数据在前台动态显示，给读者一个好的视觉体验。</w:t>
            </w:r>
          </w:p>
          <w:p w14:paraId="30B20FED">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1.4▲支持从多源采集数据并清洗、预处理，通过多种分析方法（描述性、预测性等）挖掘数据价值，最后以直观方式（如图表等）展示分析结果的功能。（提供大数据分析展示系统软件著作权证书）</w:t>
            </w:r>
          </w:p>
          <w:p w14:paraId="7854524F">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2.功能模块</w:t>
            </w:r>
          </w:p>
          <w:p w14:paraId="63451627">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2.1支持与本馆opac系统对接，将图书馆的借阅排行榜、借阅数量进行直观的展示。</w:t>
            </w:r>
          </w:p>
          <w:p w14:paraId="5A46EB9F">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2.2 支持与图书馆提供的门禁系统对接，将图书馆今日进馆人数及昨日到馆人数等数据进行直观展示。</w:t>
            </w:r>
          </w:p>
          <w:p w14:paraId="6FD1DBF2">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2.3 ▲支持与馆内购买的电子书借阅机相结合，支持将机器内的图书推荐到大屏幕上，使用户可以直接扫码阅读或者下载。后台支持设置修改推荐图书。</w:t>
            </w:r>
            <w:r>
              <w:rPr>
                <w:rFonts w:hint="eastAsia" w:ascii="宋体" w:hAnsi="宋体" w:cs="宋体"/>
                <w:color w:val="auto"/>
                <w:kern w:val="0"/>
                <w:sz w:val="18"/>
                <w:szCs w:val="18"/>
                <w:highlight w:val="none"/>
              </w:rPr>
              <w:t>（提供截图证明）</w:t>
            </w:r>
          </w:p>
          <w:p w14:paraId="498019B0">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2.4 支持滚动播放图片、视频等电子资源，支持将本馆的图片、活动海报或者宣传视频等，通过后台上传，并且在前端进行展示。并且，支持管理员通过后台切换的方式选择图片轮播或者视频自动循环播放两种模式，以满足馆内播放需求。</w:t>
            </w:r>
          </w:p>
          <w:p w14:paraId="0CD39254">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2.5 支持发布通知公告。支持通过后台指定发布的单条信息或者多条信息进行发布，多条信息时，支持前台轮换展示，以适应馆内有多种活动或者多条通知需要发布的需求。</w:t>
            </w:r>
          </w:p>
          <w:p w14:paraId="3B9BDB6A">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2.6 支持通过系统后台配置单位所在地以及馆名，设置显示当地天气情况等。</w:t>
            </w:r>
          </w:p>
          <w:p w14:paraId="316634F1">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2.7 支持将微信公众号数据、馆方网站数据等新媒体数据动态的展示。</w:t>
            </w:r>
          </w:p>
          <w:p w14:paraId="46D107F8">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2.8▲支持与图书馆已购买的视频库对接，支持将视频以图片介绍以及二维码的方式推送出来，供用户扫码在手机上观看，每天一段视频，每天更新推送。</w:t>
            </w:r>
            <w:r>
              <w:rPr>
                <w:rFonts w:hint="eastAsia" w:ascii="宋体" w:hAnsi="宋体" w:cs="宋体"/>
                <w:color w:val="auto"/>
                <w:kern w:val="0"/>
                <w:sz w:val="18"/>
                <w:szCs w:val="18"/>
                <w:highlight w:val="none"/>
              </w:rPr>
              <w:t>（提供截图证明）</w:t>
            </w:r>
          </w:p>
          <w:p w14:paraId="456D15A9">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2.9 需提供不少于2种不同风格的标准模版，供用户自行选择，以适应不同场合的展示需求。</w:t>
            </w:r>
          </w:p>
          <w:p w14:paraId="3185FCCA">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3. 后台</w:t>
            </w:r>
          </w:p>
          <w:p w14:paraId="5CE44A0C">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3.1 系统需采用主流的J2EE架构。通过后台，用户可以实现管理各个资源数据模块。</w:t>
            </w:r>
          </w:p>
          <w:p w14:paraId="7A23C0BB">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3.2 后台支持扩展，根据馆内提供的数据接口，通过后台可灵活配置新的数据内容，将内容数据接入到系统中。</w:t>
            </w:r>
          </w:p>
          <w:p w14:paraId="58426720">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3.3 支持数据统计，将获取到的数据进行统一管理存入数据库。</w:t>
            </w:r>
          </w:p>
          <w:p w14:paraId="6D2A4E32">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3.4 支持对馆内借还、到馆数据做系统分析，并具有报表输出。支持一键输出全年分析数据，并导出为excel表格形式。</w:t>
            </w:r>
          </w:p>
          <w:p w14:paraId="291FE0CB">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3.5 支持日志管理功能，支持对用户修改的模块，列出用户的操作日志，方便便管理员清晰了解对后台已经进行的操作。</w:t>
            </w:r>
          </w:p>
          <w:p w14:paraId="044CA5A1">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3.6支持用户通过后台，自定义页面布局，支持通过拖拽的方式，布局页面各个模块的位置，更换背景图，实现自由、灵活、多样的展现。</w:t>
            </w:r>
          </w:p>
          <w:p w14:paraId="4741A5B6">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3.7支持用户添加多个场地，每个场地都支持通过拖拽功能添加数据模块，实现不同场地显示不同模块内容。</w:t>
            </w:r>
          </w:p>
          <w:p w14:paraId="7EABC3B9">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4. 手机端服务</w:t>
            </w:r>
          </w:p>
          <w:p w14:paraId="51AC9600">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4.1▲支持手机端展示界面及电子书借阅机界面，手机端访问可自适应手机屏幕显示，基本数据与大屏端数据同步。</w:t>
            </w:r>
            <w:r>
              <w:rPr>
                <w:rFonts w:hint="eastAsia" w:ascii="宋体" w:hAnsi="宋体" w:cs="宋体"/>
                <w:color w:val="auto"/>
                <w:kern w:val="0"/>
                <w:sz w:val="18"/>
                <w:szCs w:val="18"/>
                <w:highlight w:val="none"/>
              </w:rPr>
              <w:t>（提供截图证明）</w:t>
            </w:r>
          </w:p>
          <w:p w14:paraId="57FED657">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4.2▲支持手机端控制功能，支持使用手机对通知、欢迎标语、风采等模块在屏幕上进行展示。</w:t>
            </w:r>
            <w:r>
              <w:rPr>
                <w:rFonts w:hint="eastAsia" w:ascii="宋体" w:hAnsi="宋体" w:cs="宋体"/>
                <w:color w:val="auto"/>
                <w:kern w:val="0"/>
                <w:sz w:val="18"/>
                <w:szCs w:val="18"/>
                <w:highlight w:val="none"/>
              </w:rPr>
              <w:t>（提供截图证明）</w:t>
            </w:r>
          </w:p>
          <w:p w14:paraId="0C53B6DC">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 xml:space="preserve">5. 其他要求： </w:t>
            </w:r>
          </w:p>
          <w:p w14:paraId="51BA68F2">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5.1▲</w:t>
            </w:r>
            <w:r>
              <w:rPr>
                <w:rFonts w:ascii="宋体" w:hAnsi="宋体"/>
                <w:color w:val="auto"/>
                <w:kern w:val="0"/>
                <w:sz w:val="18"/>
                <w:szCs w:val="18"/>
                <w:highlight w:val="none"/>
              </w:rPr>
              <w:t>大数据分析展示系统</w:t>
            </w:r>
            <w:r>
              <w:rPr>
                <w:rFonts w:hint="eastAsia" w:ascii="宋体" w:hAnsi="宋体"/>
                <w:color w:val="auto"/>
                <w:kern w:val="0"/>
                <w:sz w:val="18"/>
                <w:szCs w:val="18"/>
                <w:highlight w:val="none"/>
              </w:rPr>
              <w:t>展示的数据涉及方方面面，需保证系统的数据安全，不能被恶意攻击和利用，产生不良影响。（提供大数据分析展示系统3级</w:t>
            </w:r>
            <w:r>
              <w:rPr>
                <w:rFonts w:hint="eastAsia" w:ascii="宋体" w:hAnsi="宋体" w:cs="宋体"/>
                <w:color w:val="auto"/>
                <w:kern w:val="0"/>
                <w:sz w:val="18"/>
                <w:szCs w:val="18"/>
                <w:highlight w:val="none"/>
              </w:rPr>
              <w:t>及以上</w:t>
            </w:r>
            <w:r>
              <w:rPr>
                <w:rFonts w:hint="eastAsia" w:ascii="宋体" w:hAnsi="宋体"/>
                <w:color w:val="auto"/>
                <w:kern w:val="0"/>
                <w:sz w:val="18"/>
                <w:szCs w:val="18"/>
                <w:highlight w:val="none"/>
              </w:rPr>
              <w:t>信息系统安全等级保护备案证明）。</w:t>
            </w:r>
          </w:p>
        </w:tc>
      </w:tr>
      <w:tr w14:paraId="6D2635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shd w:val="clear" w:color="auto" w:fill="auto"/>
            <w:noWrap w:val="0"/>
            <w:vAlign w:val="center"/>
          </w:tcPr>
          <w:p w14:paraId="579736D1">
            <w:pPr>
              <w:jc w:val="center"/>
              <w:rPr>
                <w:rFonts w:hint="default" w:ascii="宋体" w:hAnsi="宋体" w:eastAsia="宋体"/>
                <w:color w:val="auto"/>
                <w:kern w:val="0"/>
                <w:sz w:val="20"/>
                <w:szCs w:val="22"/>
                <w:highlight w:val="none"/>
                <w:lang w:val="en-US" w:eastAsia="zh-CN"/>
              </w:rPr>
            </w:pPr>
            <w:r>
              <w:rPr>
                <w:rFonts w:hint="eastAsia" w:ascii="宋体" w:hAnsi="宋体"/>
                <w:color w:val="auto"/>
                <w:sz w:val="20"/>
                <w:szCs w:val="22"/>
                <w:highlight w:val="none"/>
                <w:lang w:val="en-US" w:eastAsia="zh-CN"/>
              </w:rPr>
              <w:t>10</w:t>
            </w:r>
          </w:p>
        </w:tc>
        <w:tc>
          <w:tcPr>
            <w:tcW w:w="1134" w:type="dxa"/>
            <w:shd w:val="clear" w:color="auto" w:fill="auto"/>
            <w:noWrap w:val="0"/>
            <w:vAlign w:val="center"/>
          </w:tcPr>
          <w:p w14:paraId="0A70A354">
            <w:pPr>
              <w:jc w:val="center"/>
              <w:rPr>
                <w:rFonts w:hint="eastAsia" w:ascii="宋体" w:hAnsi="宋体"/>
                <w:color w:val="auto"/>
                <w:kern w:val="0"/>
                <w:sz w:val="18"/>
                <w:szCs w:val="18"/>
                <w:highlight w:val="none"/>
              </w:rPr>
            </w:pPr>
            <w:r>
              <w:rPr>
                <w:rFonts w:hint="eastAsia" w:ascii="Times New Roman" w:hAnsi="Times New Roman"/>
                <w:color w:val="auto"/>
                <w:kern w:val="0"/>
                <w:sz w:val="18"/>
                <w:szCs w:val="18"/>
                <w:highlight w:val="none"/>
              </w:rPr>
              <w:t>移动图书馆</w:t>
            </w:r>
          </w:p>
        </w:tc>
        <w:tc>
          <w:tcPr>
            <w:tcW w:w="7060" w:type="dxa"/>
            <w:shd w:val="clear" w:color="auto" w:fill="auto"/>
            <w:noWrap w:val="0"/>
            <w:vAlign w:val="center"/>
          </w:tcPr>
          <w:p w14:paraId="068C5351">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 xml:space="preserve">1.移动OPAC系统 </w:t>
            </w:r>
          </w:p>
          <w:p w14:paraId="28B79F84">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1.1 要求与图书馆OPAC系统完成统一认证，无需读者重复注册账号。</w:t>
            </w:r>
          </w:p>
          <w:p w14:paraId="5DE8F50A">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1.2 基于本馆opac系统功能，要求在手机终端具备馆图书馆公告浏览、热门图书预览、热门检索词展示、馆藏书目查询、馆藏复本情况、在架信息、在线预约、个人借阅信息查看、在线续借、预约取书提醒、催还信息告知、电子读者证等功能。</w:t>
            </w:r>
          </w:p>
          <w:p w14:paraId="0060DF12">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1.3 要求通过手机扫描图书馆纸质图书条形码，可实时查看对应该图书所在的馆藏架位信息和可预约、可借阅情况，并且要求直接可查看本书对应的电子版，并实现手机下载，文献传递等全文获取方式。</w:t>
            </w:r>
          </w:p>
          <w:p w14:paraId="0BB7B28B">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1.4 界面要求自适应手机终端尺寸大小，符合手机用户使用习惯。除提供基于安卓、苹果系统的客户端外，还需提供wap版，微信公众号版本实现全终端覆盖。</w:t>
            </w:r>
          </w:p>
          <w:p w14:paraId="4E3675EB">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2.数字资源服务平台</w:t>
            </w:r>
          </w:p>
          <w:p w14:paraId="4C07C57D">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2.1 移动图书馆可在不同移动终端上阅读访问。提供适合手机使用的图书资源，需包含图书封面信息、目录及在手机中完成试读，并且通过移动图书馆，可以查询到全国的馆藏信息。支持图书馆已购买的电子图书、中外文期刊等学术资源全文阅读和全文检索。</w:t>
            </w:r>
          </w:p>
          <w:p w14:paraId="29D80C3A">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2.2 提供适合手机使用的且具有完全自主知识产权的视频，支持有声读物播放，为满足读者视听需求，移动图书馆视频内嵌资源量要求不少于2万集。需提供视频目录，便于查验。</w:t>
            </w:r>
          </w:p>
          <w:p w14:paraId="5D42239C">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2.3 整合的期刊、论文等摘要页面要显示相关文献来源，且能提供适合移动设备的链接访问，并提供文献传递服务。</w:t>
            </w:r>
          </w:p>
          <w:p w14:paraId="0775D9F2">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2.4 提供图书与期刊导航，并集成在首页中显示。</w:t>
            </w:r>
          </w:p>
          <w:p w14:paraId="6B2F0CDB">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2.5 实现热门图书、期刊、论文等文献的推荐。</w:t>
            </w:r>
          </w:p>
          <w:p w14:paraId="4332CAEB">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2.6 提供多种全文获取方式，本馆有全文可直接阅读，无全文的可通过与已有的文献传递系统对接，将文献发送到读者的邮箱。</w:t>
            </w:r>
          </w:p>
          <w:p w14:paraId="7627E43E">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2.7 通过该系统访问本馆购买的资源，将不受IP限制，而是通过认证，直接针对每一个读者进行权限控制，只要通过随身设备连接网络，就可在全球任何地点访问，无需单独分开的登录、认证等。</w:t>
            </w:r>
          </w:p>
          <w:p w14:paraId="1903D547">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2.8 支持各类型智能手机：图书馆的文献资源全文可以通过各种类型手持设备进行统一访问。自适应安卓(android)、苹果（iphone）等各类可上网手机。在全文文字展示页面可以选择字体的大小和夜间模式。</w:t>
            </w:r>
          </w:p>
          <w:p w14:paraId="3DBC889E">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2.9各类数据库的支持：在检索详细页面上，提示相关数据库来源，并且可以提供适合手机和平板电脑的阅读格式。</w:t>
            </w:r>
          </w:p>
          <w:p w14:paraId="14FE04D9">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2.10 用户在用手机查找文献时，可提出申请将检索结果直接发送到个人邮箱。</w:t>
            </w:r>
          </w:p>
          <w:p w14:paraId="388D16AC">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2.11 数字阅读平台需实现移动图书馆同一平台上统一检索，形成在移动图书馆上一站式检索图书馆的电子资源。电子期刊检索、图书检索、论文检索等均在一个搜索框和属性页里面切换，一体化操作。</w:t>
            </w:r>
          </w:p>
          <w:p w14:paraId="4DCFED5C">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2.12 输入外文单词，系统根据用户输入智能判断为外文资源，同时在得到结果后还可以查看相关的中文资源；支持按不同字段进行检索，支持二次检索；检索结果支持按照不同方式排序。</w:t>
            </w:r>
          </w:p>
          <w:p w14:paraId="5C1FE249">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2.13 须支持语音搜索。</w:t>
            </w:r>
          </w:p>
          <w:p w14:paraId="4C802290">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2.14 支持检索结果筛选，支持多种筛选模式，如按中外文，时间，标题等。</w:t>
            </w:r>
          </w:p>
          <w:p w14:paraId="4D05A054">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2.15 需支持全文检索服务，可定位到相关图书的具体页数，支持在线阅读相关页。</w:t>
            </w:r>
          </w:p>
          <w:p w14:paraId="095C1C89">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2.16 支持横屏阅读，可进行批注，标示等操作。</w:t>
            </w:r>
          </w:p>
          <w:p w14:paraId="0729ACBE">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2.17 可对相关文献进行收藏，分享等操作。</w:t>
            </w:r>
          </w:p>
          <w:p w14:paraId="1A350F1A">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3.移动阅读资源</w:t>
            </w:r>
          </w:p>
          <w:p w14:paraId="628A8D3A">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3.1 提供适合不同手机阅读的EPUB格式热门图书，不少于2万种。整合100万种以上原貌图书，所有图书支持全文下载，并保存在手机中。并提供相关搜索服务</w:t>
            </w:r>
          </w:p>
          <w:p w14:paraId="76C59F3F">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3.2 提供300种以上适合移动阅读的报纸资源，并且实现报纸的当日更新。</w:t>
            </w:r>
          </w:p>
          <w:p w14:paraId="4366065B">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3.3 提供不少于2万集适合手机使用的学术视频。并提供相关视频作者授权。</w:t>
            </w:r>
          </w:p>
          <w:p w14:paraId="2F387954">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3.4 提供文献传递服务，并且接入全国图书馆参考咨询联盟建立的云传递共享平台。中文文献传递满足率达到95%以上，外文文献传递满足率达到90%以上。传递的文献必须能够随时随地打开阅读。</w:t>
            </w:r>
          </w:p>
          <w:p w14:paraId="3FA6BA99">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4. 个性服务系统</w:t>
            </w:r>
          </w:p>
          <w:p w14:paraId="0F0ADE4E">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4.1移动图书馆平台内所有功能应用要求结构灵活，支持用户根据喜好，常用度，使用习惯进行置顶操作。</w:t>
            </w:r>
          </w:p>
          <w:p w14:paraId="6249E9EF">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4.2 支持设置app护眼模式，清空app缓存信息，支持设置app中文英文语言设置</w:t>
            </w:r>
          </w:p>
          <w:p w14:paraId="2CA71306">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4.3 系统需具备分享功能，必须具备微信好友，微信朋友圈等社交分享平台。</w:t>
            </w:r>
          </w:p>
          <w:p w14:paraId="1B64F695">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 xml:space="preserve">5. 其他要求： </w:t>
            </w:r>
          </w:p>
          <w:p w14:paraId="2F953FA3">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5.1需要提供成熟的应用案例。</w:t>
            </w:r>
          </w:p>
          <w:p w14:paraId="3825F8D3">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5.2具备苹果客户端开发能力，具备苹果开发者账号。</w:t>
            </w:r>
          </w:p>
          <w:p w14:paraId="79AA8DF2">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5.3无用户数以及并发用户限制。</w:t>
            </w:r>
          </w:p>
          <w:p w14:paraId="47B92644">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5.4 提供iOS和android主流移动操作系统客户端，提供条码扫描、订阅等功能，设计要符合用户的操作习惯。</w:t>
            </w:r>
          </w:p>
          <w:p w14:paraId="3984B2AB">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5.5系统具备良好的开放性，可以支持二次开发。</w:t>
            </w:r>
          </w:p>
          <w:p w14:paraId="7E210560">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5.6 投标方需具备完善的产品方案，所有功能需在中标后3个工作日内搭建完成。</w:t>
            </w:r>
          </w:p>
          <w:p w14:paraId="0AF4B68D">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5.7针对要求，可配套提供主流服务，如微信开发，并提供相关说明。</w:t>
            </w:r>
          </w:p>
        </w:tc>
      </w:tr>
      <w:tr w14:paraId="72C6BE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959" w:type="dxa"/>
            <w:shd w:val="clear" w:color="auto" w:fill="auto"/>
            <w:noWrap w:val="0"/>
            <w:vAlign w:val="center"/>
          </w:tcPr>
          <w:p w14:paraId="7064F377">
            <w:pPr>
              <w:jc w:val="center"/>
              <w:rPr>
                <w:rFonts w:hint="default" w:ascii="宋体" w:hAnsi="宋体" w:eastAsia="宋体"/>
                <w:color w:val="auto"/>
                <w:kern w:val="0"/>
                <w:sz w:val="20"/>
                <w:szCs w:val="22"/>
                <w:highlight w:val="none"/>
                <w:lang w:val="en-US" w:eastAsia="zh-CN"/>
              </w:rPr>
            </w:pPr>
            <w:r>
              <w:rPr>
                <w:rFonts w:hint="eastAsia" w:ascii="宋体" w:hAnsi="宋体"/>
                <w:color w:val="auto"/>
                <w:sz w:val="20"/>
                <w:szCs w:val="22"/>
                <w:highlight w:val="none"/>
                <w:lang w:val="en-US" w:eastAsia="zh-CN"/>
              </w:rPr>
              <w:t>11</w:t>
            </w:r>
          </w:p>
        </w:tc>
        <w:tc>
          <w:tcPr>
            <w:tcW w:w="1134" w:type="dxa"/>
            <w:shd w:val="clear" w:color="auto" w:fill="auto"/>
            <w:noWrap w:val="0"/>
            <w:vAlign w:val="center"/>
          </w:tcPr>
          <w:p w14:paraId="2A59A8FD">
            <w:pPr>
              <w:jc w:val="center"/>
              <w:rPr>
                <w:rFonts w:hint="eastAsia" w:ascii="宋体" w:hAnsi="宋体"/>
                <w:color w:val="auto"/>
                <w:kern w:val="0"/>
                <w:sz w:val="18"/>
                <w:szCs w:val="18"/>
                <w:highlight w:val="none"/>
              </w:rPr>
            </w:pPr>
            <w:r>
              <w:rPr>
                <w:rFonts w:hint="eastAsia" w:ascii="Times New Roman" w:hAnsi="Times New Roman"/>
                <w:color w:val="auto"/>
                <w:kern w:val="0"/>
                <w:sz w:val="18"/>
                <w:szCs w:val="18"/>
                <w:highlight w:val="none"/>
              </w:rPr>
              <w:t>阅读学分系统</w:t>
            </w:r>
          </w:p>
        </w:tc>
        <w:tc>
          <w:tcPr>
            <w:tcW w:w="7060" w:type="dxa"/>
            <w:shd w:val="clear" w:color="auto" w:fill="auto"/>
            <w:noWrap w:val="0"/>
            <w:vAlign w:val="center"/>
          </w:tcPr>
          <w:p w14:paraId="40DC64E9">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1.提供线上阅读积分资源内容，书籍数量不少于200本，名师导读视频资源不少于50集，测试题目不少于1000条，包含国学经典、中国文学、世界文学、人类思想、历史文明、艺术审美、科学技术、经济社会等不同类型的资源目录体系。</w:t>
            </w:r>
          </w:p>
          <w:p w14:paraId="5AFE4353">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2.支持单位自定义学习时间及定制个性化学习内容。</w:t>
            </w:r>
          </w:p>
          <w:p w14:paraId="68969BF7">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3.支持根据单位要求设置积分规则和总达标积分，支持对登录、观看视频、阅读、答题、讨论、笔记各纬度的总积分下线设置，支持观看视频、阅读、答题、笔记、讨论每日积分的上线设置。</w:t>
            </w:r>
          </w:p>
          <w:p w14:paraId="4B8166A1">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4.支持对积分规则进行管理，配置是否开启。</w:t>
            </w:r>
          </w:p>
          <w:p w14:paraId="1CAE880C">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5.支持记录用户积分明细。</w:t>
            </w:r>
          </w:p>
          <w:p w14:paraId="2698F210">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6.支持按类型统计用户积分，例如阅读、视频、笔记、讨论等。</w:t>
            </w:r>
          </w:p>
          <w:p w14:paraId="43166C1C">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7.支持视频中加入测试题目，用户必须回答后才能继续观看。</w:t>
            </w:r>
          </w:p>
          <w:p w14:paraId="33D3993F">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8.学生在线观看视频时支持进度记录，视频支持防止拖拽，并可探测当前活动窗口，防止用户在观看视频或电子书阅读时进行其他活动，同时还支持视频取消防拖拽功能。</w:t>
            </w:r>
          </w:p>
          <w:p w14:paraId="395F51B2">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9.支持自主决定学习路径，系统提供知识点分类查找、筛选、按人气推荐等功能。</w:t>
            </w:r>
          </w:p>
          <w:p w14:paraId="2BA30531">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10.支持手机和平板、PC设备，移动端与PC端同步学习进度和数据。</w:t>
            </w:r>
          </w:p>
          <w:p w14:paraId="527961AC">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11.平台支持学生信息数据与学习积分的统一导出。</w:t>
            </w:r>
          </w:p>
          <w:p w14:paraId="171899D4">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12.根据学生的使用和学习行为，按照预设积分规则进行积分换算，统计记录学生的学习轨迹。</w:t>
            </w:r>
          </w:p>
          <w:p w14:paraId="546B41CD">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13.支持对接图书馆管理系统，根据用户纸书借还数据，查询用户在一定时间段内的借还时间达到一定天数的借还明细以及有效借还数量。</w:t>
            </w:r>
          </w:p>
          <w:p w14:paraId="63001AAB">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14.后台支持导出单位所有用户的有效借还统计数量。有效借还天数可由单位自定义设置。</w:t>
            </w:r>
          </w:p>
        </w:tc>
      </w:tr>
      <w:tr w14:paraId="4D52F6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shd w:val="clear" w:color="auto" w:fill="auto"/>
            <w:noWrap w:val="0"/>
            <w:vAlign w:val="center"/>
          </w:tcPr>
          <w:p w14:paraId="18031DA2">
            <w:pPr>
              <w:jc w:val="center"/>
              <w:rPr>
                <w:rFonts w:hint="default" w:ascii="宋体" w:hAnsi="宋体" w:eastAsia="宋体"/>
                <w:color w:val="auto"/>
                <w:kern w:val="0"/>
                <w:sz w:val="20"/>
                <w:szCs w:val="22"/>
                <w:highlight w:val="none"/>
                <w:lang w:val="en-US" w:eastAsia="zh-CN"/>
              </w:rPr>
            </w:pPr>
            <w:r>
              <w:rPr>
                <w:rFonts w:hint="eastAsia" w:ascii="宋体" w:hAnsi="宋体"/>
                <w:color w:val="auto"/>
                <w:sz w:val="20"/>
                <w:szCs w:val="22"/>
                <w:highlight w:val="none"/>
                <w:lang w:val="en-US" w:eastAsia="zh-CN"/>
              </w:rPr>
              <w:t>12</w:t>
            </w:r>
          </w:p>
        </w:tc>
        <w:tc>
          <w:tcPr>
            <w:tcW w:w="1134" w:type="dxa"/>
            <w:shd w:val="clear" w:color="auto" w:fill="auto"/>
            <w:noWrap w:val="0"/>
            <w:vAlign w:val="center"/>
          </w:tcPr>
          <w:p w14:paraId="316E3F12">
            <w:pPr>
              <w:jc w:val="center"/>
              <w:rPr>
                <w:rFonts w:hint="eastAsia" w:ascii="Times New Roman" w:hAnsi="Times New Roman"/>
                <w:color w:val="auto"/>
                <w:kern w:val="0"/>
                <w:sz w:val="18"/>
                <w:szCs w:val="18"/>
                <w:highlight w:val="none"/>
              </w:rPr>
            </w:pPr>
            <w:r>
              <w:rPr>
                <w:rFonts w:hint="eastAsia" w:ascii="宋体" w:hAnsi="宋体" w:cs="Calibri"/>
                <w:color w:val="auto"/>
                <w:kern w:val="0"/>
                <w:sz w:val="18"/>
                <w:szCs w:val="18"/>
                <w:highlight w:val="none"/>
              </w:rPr>
              <w:t>图书馆720度全景展示</w:t>
            </w:r>
          </w:p>
        </w:tc>
        <w:tc>
          <w:tcPr>
            <w:tcW w:w="7060" w:type="dxa"/>
            <w:shd w:val="clear" w:color="auto" w:fill="auto"/>
            <w:noWrap w:val="0"/>
            <w:vAlign w:val="center"/>
          </w:tcPr>
          <w:p w14:paraId="33265313">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1. 技术要求</w:t>
            </w:r>
          </w:p>
          <w:p w14:paraId="268FC97A">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1.1 图像和视频质量</w:t>
            </w:r>
          </w:p>
          <w:p w14:paraId="5A1A56C2">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分辨率：全景照片需达到至少8K分辨率，以确保在各种显示设备上均有出色的视觉效果。</w:t>
            </w:r>
          </w:p>
          <w:p w14:paraId="597BEFA6">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像素：根据具体图片尺寸需求</w:t>
            </w:r>
          </w:p>
          <w:p w14:paraId="4CED2A4D">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比例：图片比例为不低于2：1</w:t>
            </w:r>
          </w:p>
          <w:p w14:paraId="655100A3">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格式：照片应提供JPEG（100%质量）格式。</w:t>
            </w:r>
          </w:p>
          <w:p w14:paraId="67D714A4">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动态范围：使用高动态范围(HDR)技术拍摄，以确保在光照变化极大的场景中也能捕捉到细节。</w:t>
            </w:r>
          </w:p>
          <w:p w14:paraId="76C6747C">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全景类型：提供360°水平和360°垂直的全景覆盖，确保上至天顶，下至地面的全方位展示。</w:t>
            </w:r>
          </w:p>
          <w:p w14:paraId="6CC499C9">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1.2 设备和软件要求</w:t>
            </w:r>
          </w:p>
          <w:p w14:paraId="3FF9B261">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相机与镜头：适用于高质量全景拍摄的相机和镜头。</w:t>
            </w:r>
          </w:p>
          <w:p w14:paraId="0CAACEEE">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稳定装置：使用专业的三脚架和全景镜头，确保在拍摄过程中的稳定性，减少图像模糊和拼接错误。</w:t>
            </w:r>
          </w:p>
          <w:p w14:paraId="5FEBAB47">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拼接软件：使用行业标准的图像拼接软件。</w:t>
            </w:r>
          </w:p>
          <w:p w14:paraId="786E436B">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1.3 拍摄和后期处理技术</w:t>
            </w:r>
          </w:p>
          <w:p w14:paraId="52BA0815">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后期处理：在保持图像自然色彩的同时，进行光照调整、色彩校正、图像拼接优化等后期处理。</w:t>
            </w:r>
          </w:p>
          <w:p w14:paraId="30EAA8A2">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1.4▲为保证产品稳定性，所提供软件来源需正规正版，提供全景展示相关的软件著作权证书。</w:t>
            </w:r>
          </w:p>
          <w:p w14:paraId="13AC9F9B">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1.5功能描述</w:t>
            </w:r>
          </w:p>
          <w:p w14:paraId="7B646B31">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全景VR现场拍摄 用于对场地的现场拍摄获取场地相关数据，包括考察现场、点位规划、方案设计、全景拍摄、后期修图、补拍等。 考察现场：考察现场点位规划：考察后进行点位规划方案设计：根据考察结果和点位规划，进行全景方案设计全景拍摄：考察大厅现场，规划拍摄点位，并进行各点位的拍摄后期修图：对拍摄的全景照片进行检查、修图。补拍：在检查的基础上，对不合格的进行重拍。</w:t>
            </w:r>
          </w:p>
          <w:p w14:paraId="21056431">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VR素材管理 对用于构建VR的相关素材进行管理，包括全景图片管理、全景图片分页、全景图片搜索、景图片上传、全景图片重新上传、创建全景图分组、修改全景图分组、删除全景图分组、全景图分组设置等功能。</w:t>
            </w:r>
          </w:p>
          <w:p w14:paraId="700CF663">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1、支持全景图片管理：列出所有的全景图全景图片分页：全景图列表支持分页全景图片搜索：全景图列表支持关键词搜索全景图片上传：上传拍摄的全景素材全景图片重新上传：对已有的全景素材，可以重新上传，覆盖旧的全景素材。</w:t>
            </w:r>
          </w:p>
          <w:p w14:paraId="37D15B4B">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2、支持全景图分组管理：包括全景分组的新增、修改和删除。全景图分组设置：可以对全景素材进行分组，便于归类管理。修改全景图分组：将全景图移动到新的分组封面图设置：可以对每一个全景图自定义设置封面图全景图名称设置：设置每一个全景图或全景场景的名称全景图自定义标签：设置每一个全景图的标签，为可选项。多个标签可以用逗号分隔。备注：设置每个全景图的备注信息。全景图文件信息：可以查看已上传全景图文件的尺寸、文件大小、并可以预览效果。</w:t>
            </w:r>
          </w:p>
          <w:p w14:paraId="4DA55B13">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3、支持素材图片管理：对使用到的其它图片进行管理。素材图片分页：图片列表支持分页素材图片搜索：图片列表支持关键词搜索素材图片上传：上传用到的素材图片重新上传：对已有的图片，可以重新上传，覆盖替换旧的图片。素材图片重命名：对素材图片重命名，便于管理和使用。图片预览查看：可以查看图片原图及进行缩放查看。图片文件夹管理：包括对图片文件夹的新增、修改、删除等功能。设置图片所属文件夹：可以对素材图片进行分组，便于归类管理。修改图片所属文件夹：将图片移动到新的文件夹音频文件管理：对使用到的音频文件进行管理。音频文件列表分页：音频文件列表支持分页音频文件搜索：音频文件列表支持关键词搜索音频文件上传：上传用到的音频文件重新上传：对已有的音频文件，可以重新上传，覆盖替换旧的音频文件。音频文件重命名：对音频文件重命名，便于管理和使用。音频所属文件夹设置：设置音频文件所属文件夹，便于归类管理。修改音频所属文件夹：将音频文件移入一个新的文件夹中。音频文件预览：可以对音频文件预览播放。修改音频文件夹：修改音频文件夹删除音频文件夹：删除音频文件夹</w:t>
            </w:r>
          </w:p>
          <w:p w14:paraId="493DEBCB">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 xml:space="preserve">支持VR场景管理：对智能导览系统中的各种VR场景进行管理，包括创建场景、修改场景、删除场景、创建分组、修改分组、删除分组、全景作品列表、设置分组、移动分组等功能。 </w:t>
            </w:r>
          </w:p>
          <w:p w14:paraId="3F4EC34E">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1、支持场景管理：包括对VR场景的新增、删除、修改功能。</w:t>
            </w:r>
          </w:p>
          <w:p w14:paraId="14F1B348">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2、支持分组管理：包括分组的新建、删除、修改功能。</w:t>
            </w:r>
          </w:p>
          <w:p w14:paraId="5225DA21">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3、全景作品列表：列表显示VR场景，并显示基本的信息，如创建时间、最后修改时间等。</w:t>
            </w:r>
          </w:p>
          <w:p w14:paraId="4AF87ED3">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4、支持设置分组：将VR场景归入某个分组。</w:t>
            </w:r>
          </w:p>
          <w:p w14:paraId="40EC31A3">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5、支持移动分组：将VR场景从一个分组移到另一个分组。</w:t>
            </w:r>
          </w:p>
          <w:p w14:paraId="55CABAD1">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VR设计 提供VR场景设计能力，设计人员通过页面进行VR场景进行设计。包括VR场景名称设置、VR场景的封面设置、开场动画、场景选择、设置场景简介、修改场景简介、删除场景简介、视角切换等功能。</w:t>
            </w:r>
          </w:p>
          <w:p w14:paraId="7DA855EF">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1、支持VR场景名称设置：设置VR场景的名称</w:t>
            </w:r>
          </w:p>
          <w:p w14:paraId="6BE963BF">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2、支持VR场景的封面设置：修改VR场景的封面图</w:t>
            </w:r>
          </w:p>
          <w:p w14:paraId="4F690289">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3、支持开场动画：设置开场动画场景选择：可以选择子场景进行切换查看。</w:t>
            </w:r>
          </w:p>
          <w:p w14:paraId="0C5032B8">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4、支持场景简介管理：包括对场景简介的新增、修改、删除等功能。</w:t>
            </w:r>
          </w:p>
          <w:p w14:paraId="1B252F63">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5、支持视角切换：可以切换视角分组管理：一级分组，并可设置分组名称。包括对分组的新增、删除、修改。</w:t>
            </w:r>
          </w:p>
          <w:p w14:paraId="58228CDF">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6、支持添加VR场景：将VR场景添加到指定分组。设置初始视角：对每一个场景设置初始视频</w:t>
            </w:r>
          </w:p>
          <w:p w14:paraId="2B954EDA">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7、支持修改初始视角：对指定场景修改初始视角，设置水平视角范围：设置水平视角的最大和最小范围设置垂直视角范围：设置垂直视角最大和最小范围热点管理：对热点的添加、修改和删除等功能。</w:t>
            </w:r>
          </w:p>
          <w:p w14:paraId="41677D8C">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8、支持设置热点类型：设置热点的类型，如全景切换、超链接、图片热点等。</w:t>
            </w:r>
          </w:p>
          <w:p w14:paraId="68E4E734">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9、支持热点标题管理：包括对热点标题的新增、修改、删除等功能。热点标题字号设置：设置热点标题的文字大小设置全景切换热点的目标全景：对全景切换类型的热点，设置目标全景。设置超链接热点的目标网址：对超链接类型的热点，设置目标地址及目标窗口。设置图片热点的目标相册：对图片类型的热点，设置要打开的目标相册。设置文本热点的文字：对文本类型的热点，设置对应的文字。设置视频热点的网址：设置视频类型的热点对应的视频地址。设置音频热点的音频：对音频类型的热点，设置音频文件。设置图文热点的图片：设置图文热点的图片电子沙盘管理：包括对电子沙盘的新增、修改和删除等功能。</w:t>
            </w:r>
          </w:p>
          <w:p w14:paraId="70C7A822">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10、支持修改电子沙盘修改标记点：修改电子沙盘上的指定标记点的对应场景。</w:t>
            </w:r>
          </w:p>
        </w:tc>
      </w:tr>
      <w:tr w14:paraId="7F6A52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959" w:type="dxa"/>
            <w:shd w:val="clear" w:color="auto" w:fill="auto"/>
            <w:noWrap w:val="0"/>
            <w:vAlign w:val="center"/>
          </w:tcPr>
          <w:p w14:paraId="0E1CFEE6">
            <w:pPr>
              <w:jc w:val="center"/>
              <w:rPr>
                <w:rFonts w:hint="eastAsia" w:ascii="宋体" w:hAnsi="宋体" w:eastAsia="宋体"/>
                <w:color w:val="auto"/>
                <w:kern w:val="0"/>
                <w:sz w:val="20"/>
                <w:szCs w:val="22"/>
                <w:highlight w:val="none"/>
                <w:lang w:eastAsia="zh-CN"/>
              </w:rPr>
            </w:pPr>
            <w:r>
              <w:rPr>
                <w:rFonts w:ascii="宋体" w:hAnsi="宋体"/>
                <w:color w:val="auto"/>
                <w:sz w:val="20"/>
                <w:szCs w:val="22"/>
                <w:highlight w:val="none"/>
              </w:rPr>
              <w:t>1</w:t>
            </w:r>
            <w:r>
              <w:rPr>
                <w:rFonts w:hint="eastAsia" w:ascii="宋体" w:hAnsi="宋体"/>
                <w:color w:val="auto"/>
                <w:sz w:val="20"/>
                <w:szCs w:val="22"/>
                <w:highlight w:val="none"/>
                <w:lang w:val="en-US" w:eastAsia="zh-CN"/>
              </w:rPr>
              <w:t>3</w:t>
            </w:r>
          </w:p>
        </w:tc>
        <w:tc>
          <w:tcPr>
            <w:tcW w:w="1134" w:type="dxa"/>
            <w:shd w:val="clear" w:color="auto" w:fill="auto"/>
            <w:noWrap w:val="0"/>
            <w:vAlign w:val="center"/>
          </w:tcPr>
          <w:p w14:paraId="770DFEC4">
            <w:pPr>
              <w:jc w:val="center"/>
              <w:rPr>
                <w:rFonts w:hint="eastAsia" w:ascii="宋体" w:hAnsi="宋体"/>
                <w:color w:val="auto"/>
                <w:kern w:val="0"/>
                <w:sz w:val="18"/>
                <w:szCs w:val="18"/>
                <w:highlight w:val="none"/>
              </w:rPr>
            </w:pPr>
            <w:r>
              <w:rPr>
                <w:rFonts w:hint="eastAsia" w:ascii="宋体" w:hAnsi="宋体"/>
                <w:color w:val="auto"/>
                <w:kern w:val="0"/>
                <w:sz w:val="18"/>
                <w:szCs w:val="18"/>
                <w:highlight w:val="none"/>
              </w:rPr>
              <w:t>阅读本自助借阅系统</w:t>
            </w:r>
          </w:p>
        </w:tc>
        <w:tc>
          <w:tcPr>
            <w:tcW w:w="7060" w:type="dxa"/>
            <w:shd w:val="clear" w:color="auto" w:fill="auto"/>
            <w:noWrap w:val="0"/>
            <w:vAlign w:val="center"/>
          </w:tcPr>
          <w:p w14:paraId="26C91566">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一、电子阅读本系统</w:t>
            </w:r>
          </w:p>
          <w:p w14:paraId="4F963F4F">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1、▲需提供不少于50000册高清电子图书，图书资源针对各类年龄人群提供不同的书籍，并按照主题阅读、经典阅读、作家专栏、文学、小说、传记、艺术、等进行分类；（提供电子阅读本系统软件著作权证书）</w:t>
            </w:r>
            <w:r>
              <w:rPr>
                <w:rFonts w:ascii="宋体" w:hAnsi="宋体"/>
                <w:color w:val="auto"/>
                <w:kern w:val="0"/>
                <w:sz w:val="18"/>
                <w:szCs w:val="18"/>
                <w:highlight w:val="none"/>
              </w:rPr>
              <w:t xml:space="preserve"> </w:t>
            </w:r>
          </w:p>
          <w:p w14:paraId="677DF7EF">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2、▲需提供不少于2000种中文期刊，支持在线阅读阅览，整本下载阅读，支持自适应排版，支持左右翻页、字体更换、间距调整阅读。（提供电子阅读本系统软件测试报告）</w:t>
            </w:r>
          </w:p>
          <w:p w14:paraId="1DC4A079">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3、在线书城支持图书馆自主建立图书书单推荐，重点书单在首页推荐，并可浏览所有推荐书单，推荐详情中展示专题图书的介绍，并可查看详情下载图书。</w:t>
            </w:r>
          </w:p>
          <w:p w14:paraId="7C9D5C82">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4、支持图书资源下载，提供书架功能，可将书城资源下载在本地书架，并且能完成离线阅读，节省用户使用流量，提供检索历史、收藏等服务。</w:t>
            </w:r>
          </w:p>
          <w:p w14:paraId="55EEE32D">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5、支持目录功能，支持查看目录并快速跳转到目录所在章节。</w:t>
            </w:r>
          </w:p>
          <w:p w14:paraId="41B2651E">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6、支持书签功能，支持将感兴趣内容添加到书签，可以快速定位到关键位置。</w:t>
            </w:r>
          </w:p>
          <w:p w14:paraId="6399F03D">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7、支持书名云端联动搜素，快速查找所需图书，支持使用关键字快速定位关键字在图书的位置。</w:t>
            </w:r>
          </w:p>
          <w:p w14:paraId="416E1038">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8、支持上下翻页，支持点击、滑动翻页；支持字体切换，字体大小调整，行间距调整，调整后将自动重排版显示。</w:t>
            </w:r>
          </w:p>
          <w:p w14:paraId="5239582D">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9、支持使用手机端扫描阅读器上二维码登录个人账号，历史阅读记录加入书架，支持读者对图书进行整理，建立分类文件夹、移动删除图书，书架图书与阅读进度保存在云端，更换阅读器再次扫码即可自动同步。</w:t>
            </w:r>
          </w:p>
          <w:p w14:paraId="0B3423FE">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10、▲手机客户端支持生成个人阅读报告，统计累计阅读时长、已读图书、最近阅读时长与图书，并可对阅读分类、阅读时长、阅读时段进行分析统计。</w:t>
            </w:r>
            <w:r>
              <w:rPr>
                <w:rFonts w:hint="eastAsia" w:ascii="宋体" w:hAnsi="宋体" w:cs="宋体"/>
                <w:color w:val="auto"/>
                <w:kern w:val="0"/>
                <w:sz w:val="18"/>
                <w:szCs w:val="18"/>
                <w:highlight w:val="none"/>
              </w:rPr>
              <w:t>（提供截图证明）</w:t>
            </w:r>
          </w:p>
          <w:p w14:paraId="390927A3">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11、支持连接电脑，将PDF,EPUB,TXT,MOBI等格式本地图书导入阅读，支持文件夹与单个文件形式的导入。</w:t>
            </w:r>
          </w:p>
          <w:p w14:paraId="267DF97D">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12、支持后台对图书进行分类定制，支持上传自有图书，支持创建分类并将上传的图书放入不同分类管理，并将图书发布到在线书城，供读者下载阅读。</w:t>
            </w:r>
          </w:p>
          <w:p w14:paraId="5500CAB0">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13、支持后台批量推送图书，将选定的图书或文件夹实时推送到阅读器上供读者阅读。</w:t>
            </w:r>
          </w:p>
          <w:p w14:paraId="6A7F237C">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14、支持与图书馆现有移动App打通，支持在手机App创建专题后转发到阅读本设备上阅读。</w:t>
            </w:r>
          </w:p>
          <w:p w14:paraId="681D9326">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15、支持pdf图书或pdf期刊在阅读本阅读，可依据读者需求进行裁剪阅读。</w:t>
            </w:r>
          </w:p>
          <w:p w14:paraId="156A8C6D">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二、自助借还管理系统</w:t>
            </w:r>
          </w:p>
          <w:p w14:paraId="019B1481">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1、支持与图书馆借还系统打通，支持读者使用读者证在智能柜上完成阅读本设备的自助借还，无需人工介入，操作流程简便并全程伴随语音提示。</w:t>
            </w:r>
          </w:p>
          <w:p w14:paraId="4A689C69">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2、支持智能监测功能，支持检测归还的阅读本序列号，自动检测阅读本是否损坏，防止非阅读本设备（比如移动电源）被还入柜内，切实保障自助借还过程中设备不丢失。</w:t>
            </w:r>
          </w:p>
          <w:p w14:paraId="4550FE6B">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3、▲支持在阅读本设备上展示借阅信息，设备归属图书馆，借阅时间，借期，应还时间，设备到期前系统会进行到期提醒，提醒读者归还，备借阅到期后，支持远程关闭设备使用，锁定设备。（提供自助借还管理系统软件著作权证书）。</w:t>
            </w:r>
          </w:p>
          <w:p w14:paraId="5763AB0A">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4、支持设备充电，设备充满后自动断电，针对每个柜门内设备故障、设备充电中、设备充满电后充电指示灯能够相应变化指示。</w:t>
            </w:r>
          </w:p>
          <w:p w14:paraId="18F60C31">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5、支持远程预置图书，通过管理后台配置图书，并通过借还柜写入阅读本设备，读者拿到阅读本时即可在书架上阅读预置图书。</w:t>
            </w:r>
          </w:p>
          <w:p w14:paraId="10E66AC9">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6、支持归还的设备自动进行设备初始化重置，还原到初始出厂状态，并保留图书馆定制内置图书，保障上一个读者阅读内容不会流转到下一个读者。</w:t>
            </w:r>
          </w:p>
          <w:p w14:paraId="413892CF">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 xml:space="preserve">7、支持监控，采用高清摄像头，智能柜内置存储，保存最近20天监控视频。 </w:t>
            </w:r>
          </w:p>
          <w:p w14:paraId="7E67D140">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8、▲支持与图书馆已有移动App无缝对接，支持在其移动App上同步显示设备借阅时间，借期，应还时间。（提供截图证明）</w:t>
            </w:r>
          </w:p>
        </w:tc>
      </w:tr>
      <w:tr w14:paraId="221DA5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959" w:type="dxa"/>
            <w:shd w:val="clear" w:color="auto" w:fill="auto"/>
            <w:noWrap w:val="0"/>
            <w:vAlign w:val="center"/>
          </w:tcPr>
          <w:p w14:paraId="63A7FB0E">
            <w:pPr>
              <w:jc w:val="center"/>
              <w:rPr>
                <w:rFonts w:hint="default" w:ascii="宋体" w:hAnsi="宋体" w:eastAsia="宋体"/>
                <w:color w:val="auto"/>
                <w:sz w:val="20"/>
                <w:szCs w:val="22"/>
                <w:highlight w:val="none"/>
                <w:lang w:val="en-US" w:eastAsia="zh-CN"/>
              </w:rPr>
            </w:pPr>
            <w:r>
              <w:rPr>
                <w:rFonts w:hint="eastAsia" w:ascii="宋体" w:hAnsi="宋体"/>
                <w:color w:val="auto"/>
                <w:sz w:val="20"/>
                <w:szCs w:val="22"/>
                <w:highlight w:val="none"/>
                <w:lang w:val="en-US" w:eastAsia="zh-CN"/>
              </w:rPr>
              <w:t>14</w:t>
            </w:r>
          </w:p>
        </w:tc>
        <w:tc>
          <w:tcPr>
            <w:tcW w:w="1134" w:type="dxa"/>
            <w:shd w:val="clear" w:color="auto" w:fill="auto"/>
            <w:noWrap w:val="0"/>
            <w:vAlign w:val="center"/>
          </w:tcPr>
          <w:p w14:paraId="386B5B1A">
            <w:pPr>
              <w:jc w:val="center"/>
              <w:rPr>
                <w:rFonts w:hint="eastAsia" w:ascii="宋体" w:hAnsi="宋体"/>
                <w:color w:val="auto"/>
                <w:kern w:val="0"/>
                <w:sz w:val="18"/>
                <w:szCs w:val="18"/>
                <w:highlight w:val="none"/>
              </w:rPr>
            </w:pPr>
            <w:r>
              <w:rPr>
                <w:rFonts w:hint="eastAsia" w:ascii="宋体" w:hAnsi="宋体"/>
                <w:color w:val="auto"/>
                <w:kern w:val="0"/>
                <w:sz w:val="18"/>
                <w:szCs w:val="18"/>
                <w:highlight w:val="none"/>
              </w:rPr>
              <w:t>馆员管理终端</w:t>
            </w:r>
          </w:p>
        </w:tc>
        <w:tc>
          <w:tcPr>
            <w:tcW w:w="7060" w:type="dxa"/>
            <w:shd w:val="clear" w:color="auto" w:fill="auto"/>
            <w:noWrap w:val="0"/>
            <w:vAlign w:val="center"/>
          </w:tcPr>
          <w:p w14:paraId="0C2F1CCC">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CPU酷睿i5-14500</w:t>
            </w:r>
            <w:r>
              <w:rPr>
                <w:rFonts w:hint="eastAsia" w:ascii="宋体" w:hAnsi="宋体"/>
                <w:color w:val="auto"/>
                <w:kern w:val="0"/>
                <w:sz w:val="18"/>
                <w:szCs w:val="18"/>
                <w:highlight w:val="none"/>
                <w:lang w:val="en-US" w:eastAsia="zh-CN"/>
              </w:rPr>
              <w:t>及以上</w:t>
            </w:r>
            <w:r>
              <w:rPr>
                <w:rFonts w:hint="eastAsia" w:ascii="宋体" w:hAnsi="宋体"/>
                <w:color w:val="auto"/>
                <w:kern w:val="0"/>
                <w:sz w:val="18"/>
                <w:szCs w:val="18"/>
                <w:highlight w:val="none"/>
              </w:rPr>
              <w:t xml:space="preserve"> </w:t>
            </w:r>
          </w:p>
          <w:p w14:paraId="75C2A4AB">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内存</w:t>
            </w:r>
            <w:r>
              <w:rPr>
                <w:rFonts w:hint="eastAsia" w:ascii="宋体" w:hAnsi="宋体"/>
                <w:color w:val="auto"/>
                <w:kern w:val="0"/>
                <w:sz w:val="18"/>
                <w:szCs w:val="18"/>
                <w:highlight w:val="none"/>
                <w:lang w:val="zh-TW"/>
              </w:rPr>
              <w:t>≥</w:t>
            </w:r>
            <w:r>
              <w:rPr>
                <w:rFonts w:hint="eastAsia" w:ascii="宋体" w:hAnsi="宋体"/>
                <w:color w:val="auto"/>
                <w:kern w:val="0"/>
                <w:sz w:val="18"/>
                <w:szCs w:val="18"/>
                <w:highlight w:val="none"/>
              </w:rPr>
              <w:t>32G DDR5</w:t>
            </w:r>
            <w:r>
              <w:rPr>
                <w:rFonts w:hint="eastAsia" w:ascii="宋体" w:hAnsi="宋体"/>
                <w:color w:val="auto"/>
                <w:kern w:val="0"/>
                <w:sz w:val="18"/>
                <w:szCs w:val="18"/>
                <w:highlight w:val="none"/>
                <w:lang w:val="en-US" w:eastAsia="zh-CN"/>
              </w:rPr>
              <w:t>及以上</w:t>
            </w:r>
            <w:r>
              <w:rPr>
                <w:rFonts w:hint="eastAsia" w:ascii="宋体" w:hAnsi="宋体"/>
                <w:color w:val="auto"/>
                <w:kern w:val="0"/>
                <w:sz w:val="18"/>
                <w:szCs w:val="18"/>
                <w:highlight w:val="none"/>
              </w:rPr>
              <w:t xml:space="preserve"> </w:t>
            </w:r>
          </w:p>
          <w:p w14:paraId="2B6C3533">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lang w:val="en-US" w:eastAsia="zh-CN"/>
              </w:rPr>
              <w:t>硬盘空间</w:t>
            </w:r>
            <w:r>
              <w:rPr>
                <w:rFonts w:hint="eastAsia" w:ascii="宋体" w:hAnsi="宋体"/>
                <w:color w:val="auto"/>
                <w:kern w:val="0"/>
                <w:sz w:val="18"/>
                <w:szCs w:val="18"/>
                <w:highlight w:val="none"/>
                <w:lang w:val="zh-TW"/>
              </w:rPr>
              <w:t>≥</w:t>
            </w:r>
            <w:r>
              <w:rPr>
                <w:rFonts w:hint="eastAsia" w:ascii="宋体" w:hAnsi="宋体"/>
                <w:color w:val="auto"/>
                <w:kern w:val="0"/>
                <w:sz w:val="18"/>
                <w:szCs w:val="18"/>
                <w:highlight w:val="none"/>
              </w:rPr>
              <w:t>1TB</w:t>
            </w:r>
            <w:r>
              <w:rPr>
                <w:rFonts w:hint="eastAsia" w:ascii="宋体" w:hAnsi="宋体"/>
                <w:color w:val="auto"/>
                <w:kern w:val="0"/>
                <w:sz w:val="18"/>
                <w:szCs w:val="18"/>
                <w:highlight w:val="none"/>
                <w:lang w:val="en-US" w:eastAsia="zh-CN"/>
              </w:rPr>
              <w:t xml:space="preserve"> </w:t>
            </w:r>
            <w:r>
              <w:rPr>
                <w:rFonts w:hint="eastAsia" w:ascii="宋体" w:hAnsi="宋体"/>
                <w:color w:val="auto"/>
                <w:kern w:val="0"/>
                <w:sz w:val="18"/>
                <w:szCs w:val="18"/>
                <w:highlight w:val="none"/>
              </w:rPr>
              <w:t>SSD</w:t>
            </w:r>
          </w:p>
          <w:p w14:paraId="0970312A">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显示器</w:t>
            </w:r>
            <w:r>
              <w:rPr>
                <w:rFonts w:hint="eastAsia" w:ascii="宋体" w:hAnsi="宋体"/>
                <w:color w:val="auto"/>
                <w:kern w:val="0"/>
                <w:sz w:val="18"/>
                <w:szCs w:val="18"/>
                <w:highlight w:val="none"/>
                <w:lang w:val="zh-TW"/>
              </w:rPr>
              <w:t>≥</w:t>
            </w:r>
            <w:r>
              <w:rPr>
                <w:rFonts w:hint="eastAsia" w:ascii="宋体" w:hAnsi="宋体"/>
                <w:color w:val="auto"/>
                <w:kern w:val="0"/>
                <w:sz w:val="18"/>
                <w:szCs w:val="18"/>
                <w:highlight w:val="none"/>
              </w:rPr>
              <w:t>23.8英寸</w:t>
            </w:r>
          </w:p>
          <w:p w14:paraId="30A99FB3">
            <w:pPr>
              <w:jc w:val="left"/>
              <w:rPr>
                <w:rFonts w:hint="eastAsia" w:ascii="宋体" w:hAnsi="宋体"/>
                <w:color w:val="auto"/>
                <w:kern w:val="0"/>
                <w:sz w:val="18"/>
                <w:szCs w:val="18"/>
                <w:highlight w:val="none"/>
              </w:rPr>
            </w:pPr>
            <w:r>
              <w:rPr>
                <w:rFonts w:hint="eastAsia" w:ascii="宋体" w:hAnsi="宋体"/>
                <w:color w:val="auto"/>
                <w:kern w:val="0"/>
                <w:sz w:val="18"/>
                <w:szCs w:val="18"/>
                <w:highlight w:val="none"/>
              </w:rPr>
              <w:t>集成显卡</w:t>
            </w:r>
          </w:p>
        </w:tc>
      </w:tr>
    </w:tbl>
    <w:p w14:paraId="26C1F603">
      <w:pPr>
        <w:spacing w:line="360" w:lineRule="auto"/>
        <w:rPr>
          <w:rFonts w:hint="eastAsia" w:ascii="宋体" w:hAnsi="宋体" w:cs="宋体"/>
          <w:b w:val="0"/>
          <w:bCs w:val="0"/>
          <w:color w:val="auto"/>
          <w:sz w:val="24"/>
        </w:rPr>
      </w:pPr>
      <w:r>
        <w:rPr>
          <w:rFonts w:hint="eastAsia" w:ascii="宋体" w:hAnsi="宋体" w:cs="宋体"/>
          <w:b/>
          <w:bCs/>
          <w:color w:val="auto"/>
          <w:sz w:val="24"/>
        </w:rPr>
        <w:t>质量要求/质保期：</w:t>
      </w:r>
      <w:r>
        <w:rPr>
          <w:rFonts w:hint="eastAsia" w:ascii="宋体" w:hAnsi="宋体" w:cs="宋体"/>
          <w:b w:val="0"/>
          <w:bCs w:val="0"/>
          <w:color w:val="auto"/>
          <w:sz w:val="24"/>
        </w:rPr>
        <w:t>自验收通过之日起，中标供应商提供所投产品和服务原厂商3年免费质保。</w:t>
      </w:r>
    </w:p>
    <w:p w14:paraId="047A9ABC">
      <w:pPr>
        <w:spacing w:line="360" w:lineRule="auto"/>
        <w:rPr>
          <w:rFonts w:hint="eastAsia"/>
          <w:b w:val="0"/>
          <w:bCs w:val="0"/>
          <w:color w:val="auto"/>
        </w:rPr>
      </w:pPr>
      <w:r>
        <w:rPr>
          <w:rFonts w:hint="eastAsia" w:ascii="宋体" w:hAnsi="宋体" w:cs="宋体"/>
          <w:b/>
          <w:bCs/>
          <w:color w:val="auto"/>
          <w:sz w:val="24"/>
        </w:rPr>
        <w:t>服务要求或标准：</w:t>
      </w:r>
      <w:r>
        <w:rPr>
          <w:rFonts w:hint="eastAsia" w:ascii="宋体" w:hAnsi="宋体" w:cs="宋体"/>
          <w:b w:val="0"/>
          <w:bCs w:val="0"/>
          <w:color w:val="auto"/>
          <w:sz w:val="24"/>
        </w:rPr>
        <w:t>免费维护期内的7天*24小时的售后服务，在接到用户故障报告后响应时间不超过2小时。</w:t>
      </w:r>
    </w:p>
    <w:p w14:paraId="112BFD9B">
      <w:pPr>
        <w:spacing w:line="360" w:lineRule="auto"/>
        <w:rPr>
          <w:rFonts w:hint="eastAsia" w:ascii="宋体" w:hAnsi="宋体" w:cs="宋体"/>
          <w:b w:val="0"/>
          <w:bCs w:val="0"/>
          <w:color w:val="auto"/>
          <w:sz w:val="24"/>
        </w:rPr>
      </w:pPr>
      <w:r>
        <w:rPr>
          <w:rFonts w:hint="eastAsia" w:ascii="宋体" w:hAnsi="宋体" w:cs="宋体"/>
          <w:b/>
          <w:bCs/>
          <w:color w:val="auto"/>
          <w:sz w:val="24"/>
        </w:rPr>
        <w:t>合同工期/服务期限/供货期限：</w:t>
      </w:r>
      <w:r>
        <w:rPr>
          <w:rFonts w:hint="eastAsia" w:ascii="宋体" w:hAnsi="宋体" w:cs="宋体"/>
          <w:b w:val="0"/>
          <w:bCs w:val="0"/>
          <w:color w:val="auto"/>
          <w:sz w:val="24"/>
        </w:rPr>
        <w:t>自合同签订之日起</w:t>
      </w:r>
      <w:r>
        <w:rPr>
          <w:rFonts w:hint="eastAsia" w:ascii="宋体" w:hAnsi="宋体" w:cs="宋体"/>
          <w:b w:val="0"/>
          <w:bCs w:val="0"/>
          <w:color w:val="auto"/>
          <w:sz w:val="24"/>
          <w:u w:val="single"/>
        </w:rPr>
        <w:t>30</w:t>
      </w:r>
      <w:r>
        <w:rPr>
          <w:rFonts w:hint="eastAsia" w:ascii="宋体" w:hAnsi="宋体" w:cs="宋体"/>
          <w:b w:val="0"/>
          <w:bCs w:val="0"/>
          <w:color w:val="auto"/>
          <w:sz w:val="24"/>
        </w:rPr>
        <w:t>日历日内交货并完成安装调试。</w:t>
      </w:r>
    </w:p>
    <w:p w14:paraId="7FD3A7BC">
      <w:pPr>
        <w:spacing w:line="360" w:lineRule="auto"/>
        <w:rPr>
          <w:rFonts w:hint="eastAsia" w:ascii="宋体" w:hAnsi="宋体" w:cs="宋体"/>
          <w:b w:val="0"/>
          <w:bCs w:val="0"/>
          <w:color w:val="auto"/>
          <w:sz w:val="24"/>
        </w:rPr>
      </w:pPr>
      <w:r>
        <w:rPr>
          <w:rFonts w:hint="eastAsia" w:ascii="宋体" w:hAnsi="宋体" w:cs="宋体"/>
          <w:b/>
          <w:bCs/>
          <w:color w:val="auto"/>
          <w:sz w:val="24"/>
        </w:rPr>
        <w:t>安装地点：</w:t>
      </w:r>
      <w:r>
        <w:rPr>
          <w:rFonts w:hint="eastAsia" w:ascii="宋体" w:hAnsi="宋体" w:cs="宋体"/>
          <w:b w:val="0"/>
          <w:bCs w:val="0"/>
          <w:color w:val="auto"/>
          <w:sz w:val="24"/>
        </w:rPr>
        <w:t>采购人指定。</w:t>
      </w:r>
    </w:p>
    <w:p w14:paraId="2D5E06B8">
      <w:pPr>
        <w:spacing w:line="360" w:lineRule="auto"/>
        <w:rPr>
          <w:rFonts w:hint="eastAsia" w:ascii="宋体" w:hAnsi="宋体" w:cs="宋体"/>
          <w:color w:val="auto"/>
          <w:sz w:val="24"/>
        </w:rPr>
      </w:pPr>
      <w:r>
        <w:rPr>
          <w:rFonts w:hint="eastAsia" w:ascii="宋体" w:hAnsi="宋体" w:cs="宋体"/>
          <w:b/>
          <w:bCs/>
          <w:color w:val="auto"/>
          <w:sz w:val="24"/>
        </w:rPr>
        <w:t>售后标准：</w:t>
      </w:r>
      <w:r>
        <w:rPr>
          <w:rFonts w:hint="eastAsia" w:ascii="宋体" w:hAnsi="宋体" w:cs="宋体"/>
          <w:b w:val="0"/>
          <w:bCs w:val="0"/>
          <w:color w:val="auto"/>
          <w:sz w:val="24"/>
        </w:rPr>
        <w:t>提供3年的免费运维服务；在免费运维期内，必须提供7*24小时热线支持，并提供紧急情况下1小时内到现场、一般情况下2小时内到现场的快速响应。特殊情况无法修复的，质保期内中标供应商应无条件更换新系统或采取使系统可正常运转的措施。</w:t>
      </w:r>
    </w:p>
    <w:p w14:paraId="5AF7658A">
      <w:pPr>
        <w:spacing w:line="360" w:lineRule="auto"/>
        <w:rPr>
          <w:rFonts w:hint="eastAsia" w:ascii="宋体" w:hAnsi="宋体" w:cs="宋体"/>
          <w:b/>
          <w:bCs/>
          <w:color w:val="auto"/>
          <w:sz w:val="24"/>
        </w:rPr>
      </w:pPr>
      <w:r>
        <w:rPr>
          <w:rFonts w:hint="eastAsia" w:ascii="宋体" w:hAnsi="宋体" w:cs="宋体"/>
          <w:b/>
          <w:bCs/>
          <w:color w:val="auto"/>
          <w:sz w:val="24"/>
        </w:rPr>
        <w:t>付款方式：</w:t>
      </w:r>
      <w:r>
        <w:rPr>
          <w:rFonts w:hint="eastAsia" w:ascii="宋体" w:hAnsi="宋体" w:cs="宋体"/>
          <w:b w:val="0"/>
          <w:bCs w:val="0"/>
          <w:color w:val="auto"/>
          <w:sz w:val="24"/>
        </w:rPr>
        <w:t>合同签订后，供货方先向采购方开具符合采购方财务需要的等额增值税普通发票。甲方收到上述发票后 7 日内，向供货方支付 50%合同额。系统和各类设施设备到货、</w:t>
      </w:r>
      <w:r>
        <w:rPr>
          <w:rFonts w:hint="eastAsia" w:ascii="宋体" w:hAnsi="宋体" w:cs="宋体"/>
          <w:b w:val="0"/>
          <w:bCs w:val="0"/>
          <w:color w:val="auto"/>
          <w:sz w:val="24"/>
          <w:lang w:val="en-US" w:eastAsia="zh-CN"/>
        </w:rPr>
        <w:t>安装</w:t>
      </w:r>
      <w:r>
        <w:rPr>
          <w:rFonts w:hint="eastAsia" w:ascii="宋体" w:hAnsi="宋体" w:cs="宋体"/>
          <w:b w:val="0"/>
          <w:bCs w:val="0"/>
          <w:color w:val="auto"/>
          <w:sz w:val="24"/>
        </w:rPr>
        <w:t>调试完毕并验收合格，经采购方确认能够正常使用且内容、质量无误之后，支付剩余合同金额50%。</w:t>
      </w:r>
    </w:p>
    <w:p w14:paraId="716E29A5">
      <w:pPr>
        <w:autoSpaceDE w:val="0"/>
        <w:autoSpaceDN w:val="0"/>
        <w:adjustRightInd w:val="0"/>
        <w:spacing w:line="360" w:lineRule="auto"/>
        <w:jc w:val="left"/>
        <w:rPr>
          <w:rFonts w:ascii="宋体" w:hAnsi="宋体" w:cs="宋体"/>
          <w:color w:val="auto"/>
          <w:sz w:val="24"/>
          <w:szCs w:val="24"/>
          <w:highlight w:val="none"/>
        </w:rPr>
      </w:pPr>
      <w:r>
        <w:rPr>
          <w:rFonts w:hint="eastAsia" w:ascii="宋体" w:hAnsi="宋体" w:eastAsia="宋体"/>
          <w:b/>
          <w:bCs/>
          <w:snapToGrid w:val="0"/>
          <w:color w:val="auto"/>
          <w:sz w:val="24"/>
          <w:szCs w:val="24"/>
          <w:highlight w:val="none"/>
          <w:lang w:val="en-US" w:eastAsia="zh-CN"/>
        </w:rPr>
        <w:br w:type="page"/>
      </w:r>
    </w:p>
    <w:p w14:paraId="7211797B">
      <w:pPr>
        <w:pStyle w:val="37"/>
        <w:wordWrap w:val="0"/>
        <w:spacing w:before="0" w:after="0" w:line="360" w:lineRule="auto"/>
        <w:rPr>
          <w:rFonts w:ascii="宋体" w:hAnsi="宋体" w:cs="宋体"/>
          <w:color w:val="auto"/>
          <w:sz w:val="36"/>
          <w:szCs w:val="36"/>
          <w:highlight w:val="none"/>
        </w:rPr>
      </w:pPr>
      <w:bookmarkStart w:id="35" w:name="_Toc529282264"/>
      <w:bookmarkStart w:id="36" w:name="_Toc12680"/>
      <w:r>
        <w:rPr>
          <w:rFonts w:hint="eastAsia" w:ascii="宋体" w:hAnsi="宋体" w:cs="宋体"/>
          <w:color w:val="auto"/>
          <w:sz w:val="36"/>
          <w:szCs w:val="36"/>
          <w:highlight w:val="none"/>
        </w:rPr>
        <w:t>第六章  投标文件格式</w:t>
      </w:r>
      <w:bookmarkEnd w:id="35"/>
      <w:bookmarkEnd w:id="36"/>
    </w:p>
    <w:p w14:paraId="04A0442C">
      <w:pPr>
        <w:pStyle w:val="89"/>
        <w:wordWrap w:val="0"/>
        <w:spacing w:line="360" w:lineRule="auto"/>
        <w:ind w:hanging="23"/>
        <w:jc w:val="center"/>
        <w:rPr>
          <w:rFonts w:ascii="宋体" w:hAnsi="宋体" w:cs="宋体"/>
          <w:b/>
          <w:iCs/>
          <w:color w:val="auto"/>
          <w:sz w:val="36"/>
          <w:szCs w:val="36"/>
          <w:highlight w:val="none"/>
        </w:rPr>
      </w:pPr>
    </w:p>
    <w:p w14:paraId="5365239D">
      <w:pPr>
        <w:pStyle w:val="89"/>
        <w:wordWrap w:val="0"/>
        <w:spacing w:line="360" w:lineRule="auto"/>
        <w:ind w:hanging="23"/>
        <w:jc w:val="center"/>
        <w:rPr>
          <w:rFonts w:ascii="宋体" w:hAnsi="宋体" w:cs="宋体"/>
          <w:b/>
          <w:iCs/>
          <w:color w:val="auto"/>
          <w:sz w:val="36"/>
          <w:szCs w:val="36"/>
          <w:highlight w:val="none"/>
        </w:rPr>
      </w:pPr>
    </w:p>
    <w:p w14:paraId="42E61183">
      <w:pPr>
        <w:pStyle w:val="89"/>
        <w:wordWrap w:val="0"/>
        <w:spacing w:line="360" w:lineRule="auto"/>
        <w:ind w:hanging="23"/>
        <w:jc w:val="center"/>
        <w:rPr>
          <w:rFonts w:ascii="宋体" w:hAnsi="宋体" w:cs="宋体"/>
          <w:b/>
          <w:iCs/>
          <w:color w:val="auto"/>
          <w:sz w:val="36"/>
          <w:szCs w:val="36"/>
          <w:highlight w:val="none"/>
        </w:rPr>
      </w:pPr>
    </w:p>
    <w:p w14:paraId="52EF4FA7">
      <w:pPr>
        <w:pStyle w:val="89"/>
        <w:wordWrap w:val="0"/>
        <w:spacing w:line="360" w:lineRule="auto"/>
        <w:ind w:hanging="23"/>
        <w:jc w:val="center"/>
        <w:rPr>
          <w:rFonts w:ascii="宋体" w:hAnsi="宋体" w:cs="宋体"/>
          <w:b/>
          <w:iCs/>
          <w:color w:val="auto"/>
          <w:sz w:val="36"/>
          <w:szCs w:val="36"/>
          <w:highlight w:val="none"/>
        </w:rPr>
      </w:pPr>
    </w:p>
    <w:p w14:paraId="69D9C8CD">
      <w:pPr>
        <w:pStyle w:val="89"/>
        <w:wordWrap w:val="0"/>
        <w:spacing w:line="360" w:lineRule="auto"/>
        <w:ind w:hanging="23"/>
        <w:jc w:val="center"/>
        <w:outlineLvl w:val="0"/>
        <w:rPr>
          <w:rFonts w:ascii="宋体" w:hAnsi="宋体" w:cs="宋体"/>
          <w:b/>
          <w:iCs/>
          <w:color w:val="auto"/>
          <w:sz w:val="36"/>
          <w:szCs w:val="36"/>
          <w:highlight w:val="none"/>
        </w:rPr>
      </w:pPr>
      <w:bookmarkStart w:id="37" w:name="_Toc25370"/>
      <w:r>
        <w:rPr>
          <w:rFonts w:hint="eastAsia" w:ascii="宋体" w:hAnsi="宋体" w:cs="宋体"/>
          <w:b/>
          <w:iCs/>
          <w:color w:val="auto"/>
          <w:sz w:val="36"/>
          <w:szCs w:val="36"/>
          <w:highlight w:val="none"/>
        </w:rPr>
        <w:t>XXXXX项目</w:t>
      </w:r>
      <w:bookmarkEnd w:id="37"/>
    </w:p>
    <w:p w14:paraId="1B698247">
      <w:pPr>
        <w:pStyle w:val="89"/>
        <w:wordWrap w:val="0"/>
        <w:spacing w:line="360" w:lineRule="auto"/>
        <w:jc w:val="center"/>
        <w:outlineLvl w:val="0"/>
        <w:rPr>
          <w:rFonts w:ascii="宋体" w:hAnsi="宋体" w:cs="宋体"/>
          <w:color w:val="auto"/>
          <w:sz w:val="36"/>
          <w:szCs w:val="36"/>
          <w:highlight w:val="none"/>
        </w:rPr>
      </w:pPr>
      <w:bookmarkStart w:id="38" w:name="_Toc31392"/>
      <w:r>
        <w:rPr>
          <w:rFonts w:hint="eastAsia" w:ascii="宋体" w:hAnsi="宋体" w:cs="宋体"/>
          <w:b/>
          <w:color w:val="auto"/>
          <w:sz w:val="36"/>
          <w:szCs w:val="36"/>
          <w:highlight w:val="none"/>
        </w:rPr>
        <w:t>投 标 文 件</w:t>
      </w:r>
      <w:bookmarkEnd w:id="38"/>
    </w:p>
    <w:p w14:paraId="796C37AA">
      <w:pPr>
        <w:pStyle w:val="89"/>
        <w:wordWrap w:val="0"/>
        <w:spacing w:line="360" w:lineRule="auto"/>
        <w:jc w:val="center"/>
        <w:rPr>
          <w:rFonts w:ascii="宋体" w:hAnsi="宋体" w:cs="宋体"/>
          <w:color w:val="auto"/>
          <w:highlight w:val="none"/>
        </w:rPr>
      </w:pPr>
    </w:p>
    <w:p w14:paraId="55743FD1">
      <w:pPr>
        <w:pStyle w:val="89"/>
        <w:wordWrap w:val="0"/>
        <w:spacing w:line="360" w:lineRule="auto"/>
        <w:ind w:firstLine="567"/>
        <w:jc w:val="both"/>
        <w:rPr>
          <w:rFonts w:ascii="宋体" w:hAnsi="宋体" w:cs="宋体"/>
          <w:color w:val="auto"/>
          <w:sz w:val="44"/>
          <w:highlight w:val="none"/>
        </w:rPr>
      </w:pPr>
    </w:p>
    <w:p w14:paraId="1E26C0F3">
      <w:pPr>
        <w:pStyle w:val="89"/>
        <w:wordWrap w:val="0"/>
        <w:spacing w:line="360" w:lineRule="auto"/>
        <w:ind w:firstLine="567"/>
        <w:jc w:val="both"/>
        <w:rPr>
          <w:rFonts w:ascii="宋体" w:hAnsi="宋体" w:cs="宋体"/>
          <w:color w:val="auto"/>
          <w:sz w:val="44"/>
          <w:highlight w:val="none"/>
        </w:rPr>
      </w:pPr>
    </w:p>
    <w:p w14:paraId="6D5A53DC">
      <w:pPr>
        <w:pStyle w:val="89"/>
        <w:wordWrap w:val="0"/>
        <w:spacing w:line="360" w:lineRule="auto"/>
        <w:ind w:firstLine="567"/>
        <w:jc w:val="both"/>
        <w:rPr>
          <w:rFonts w:ascii="宋体" w:hAnsi="宋体" w:cs="宋体"/>
          <w:color w:val="auto"/>
          <w:sz w:val="44"/>
          <w:highlight w:val="none"/>
        </w:rPr>
      </w:pPr>
    </w:p>
    <w:p w14:paraId="54F56A57">
      <w:pPr>
        <w:pStyle w:val="89"/>
        <w:wordWrap w:val="0"/>
        <w:spacing w:line="360" w:lineRule="auto"/>
        <w:ind w:firstLine="567"/>
        <w:jc w:val="both"/>
        <w:rPr>
          <w:rFonts w:ascii="宋体" w:hAnsi="宋体" w:cs="宋体"/>
          <w:color w:val="auto"/>
          <w:sz w:val="44"/>
          <w:highlight w:val="none"/>
        </w:rPr>
      </w:pPr>
    </w:p>
    <w:p w14:paraId="78FA07F7">
      <w:pPr>
        <w:pStyle w:val="89"/>
        <w:wordWrap w:val="0"/>
        <w:spacing w:line="360" w:lineRule="auto"/>
        <w:ind w:firstLine="567"/>
        <w:jc w:val="both"/>
        <w:rPr>
          <w:rFonts w:ascii="宋体" w:hAnsi="宋体" w:cs="宋体"/>
          <w:color w:val="auto"/>
          <w:sz w:val="44"/>
          <w:highlight w:val="none"/>
        </w:rPr>
      </w:pPr>
    </w:p>
    <w:p w14:paraId="4A98B1BC">
      <w:pPr>
        <w:wordWrap w:val="0"/>
        <w:ind w:firstLine="560" w:firstLineChars="200"/>
        <w:rPr>
          <w:rFonts w:ascii="宋体" w:hAnsi="宋体" w:cs="宋体"/>
          <w:color w:val="auto"/>
          <w:kern w:val="0"/>
          <w:sz w:val="28"/>
          <w:szCs w:val="28"/>
          <w:highlight w:val="none"/>
        </w:rPr>
      </w:pPr>
      <w:r>
        <w:rPr>
          <w:rFonts w:hint="eastAsia" w:ascii="宋体" w:hAnsi="宋体" w:cs="宋体"/>
          <w:color w:val="auto"/>
          <w:kern w:val="0"/>
          <w:sz w:val="28"/>
          <w:szCs w:val="28"/>
          <w:highlight w:val="none"/>
        </w:rPr>
        <w:t>项目名称：</w:t>
      </w:r>
    </w:p>
    <w:p w14:paraId="7D0E33B8">
      <w:pPr>
        <w:pStyle w:val="89"/>
        <w:wordWrap w:val="0"/>
        <w:ind w:firstLine="560" w:firstLineChars="200"/>
        <w:jc w:val="both"/>
        <w:rPr>
          <w:rFonts w:ascii="宋体" w:hAnsi="宋体" w:cs="宋体"/>
          <w:color w:val="auto"/>
          <w:sz w:val="28"/>
          <w:szCs w:val="28"/>
          <w:highlight w:val="none"/>
        </w:rPr>
      </w:pPr>
      <w:r>
        <w:rPr>
          <w:rFonts w:hint="eastAsia" w:ascii="宋体" w:hAnsi="宋体" w:cs="宋体"/>
          <w:color w:val="auto"/>
          <w:sz w:val="28"/>
          <w:szCs w:val="28"/>
          <w:highlight w:val="none"/>
        </w:rPr>
        <w:t>项目编号：</w:t>
      </w:r>
    </w:p>
    <w:p w14:paraId="67444F20">
      <w:pPr>
        <w:wordWrap w:val="0"/>
        <w:ind w:firstLine="560" w:firstLineChars="200"/>
        <w:rPr>
          <w:rFonts w:ascii="宋体" w:hAnsi="宋体" w:cs="宋体"/>
          <w:color w:val="auto"/>
          <w:kern w:val="0"/>
          <w:sz w:val="28"/>
          <w:szCs w:val="28"/>
          <w:highlight w:val="none"/>
        </w:rPr>
      </w:pPr>
      <w:r>
        <w:rPr>
          <w:rFonts w:hint="eastAsia" w:ascii="宋体" w:hAnsi="宋体" w:cs="宋体"/>
          <w:color w:val="auto"/>
          <w:kern w:val="0"/>
          <w:sz w:val="28"/>
          <w:szCs w:val="28"/>
          <w:highlight w:val="none"/>
        </w:rPr>
        <w:t xml:space="preserve">招标内容：                                         </w:t>
      </w:r>
    </w:p>
    <w:p w14:paraId="5592FB58">
      <w:pPr>
        <w:wordWrap w:val="0"/>
        <w:ind w:firstLine="560" w:firstLineChars="200"/>
        <w:rPr>
          <w:rFonts w:ascii="宋体" w:hAnsi="宋体" w:cs="宋体"/>
          <w:color w:val="auto"/>
          <w:kern w:val="0"/>
          <w:sz w:val="28"/>
          <w:szCs w:val="28"/>
          <w:highlight w:val="none"/>
        </w:rPr>
      </w:pPr>
      <w:r>
        <w:rPr>
          <w:rFonts w:hint="eastAsia" w:ascii="宋体" w:hAnsi="宋体" w:cs="宋体"/>
          <w:color w:val="auto"/>
          <w:kern w:val="0"/>
          <w:sz w:val="28"/>
          <w:szCs w:val="28"/>
          <w:highlight w:val="none"/>
        </w:rPr>
        <w:t>投标人名称：</w:t>
      </w:r>
      <w:r>
        <w:rPr>
          <w:rFonts w:hint="eastAsia" w:ascii="宋体" w:hAnsi="宋体" w:cs="宋体"/>
          <w:color w:val="auto"/>
          <w:kern w:val="0"/>
          <w:sz w:val="28"/>
          <w:szCs w:val="28"/>
          <w:highlight w:val="none"/>
          <w:u w:val="single"/>
        </w:rPr>
        <w:t xml:space="preserve">                             （加盖公章） </w:t>
      </w:r>
    </w:p>
    <w:p w14:paraId="28F307FB">
      <w:pPr>
        <w:wordWrap w:val="0"/>
        <w:ind w:firstLine="560" w:firstLineChars="200"/>
        <w:rPr>
          <w:rFonts w:ascii="宋体" w:hAnsi="宋体" w:cs="宋体"/>
          <w:color w:val="auto"/>
          <w:kern w:val="0"/>
          <w:sz w:val="28"/>
          <w:szCs w:val="28"/>
          <w:highlight w:val="none"/>
        </w:rPr>
      </w:pPr>
      <w:r>
        <w:rPr>
          <w:rFonts w:hint="eastAsia" w:ascii="宋体" w:hAnsi="宋体" w:cs="宋体"/>
          <w:color w:val="auto"/>
          <w:kern w:val="0"/>
          <w:sz w:val="28"/>
          <w:szCs w:val="28"/>
          <w:highlight w:val="none"/>
        </w:rPr>
        <w:t xml:space="preserve">投标人地址：                                         </w:t>
      </w:r>
    </w:p>
    <w:p w14:paraId="2D4EBCA8">
      <w:pPr>
        <w:wordWrap w:val="0"/>
        <w:ind w:firstLine="560" w:firstLineChars="200"/>
        <w:rPr>
          <w:rFonts w:ascii="宋体" w:hAnsi="宋体" w:cs="宋体"/>
          <w:color w:val="auto"/>
          <w:kern w:val="0"/>
          <w:sz w:val="28"/>
          <w:szCs w:val="28"/>
          <w:highlight w:val="none"/>
        </w:rPr>
      </w:pPr>
      <w:r>
        <w:rPr>
          <w:rFonts w:hint="eastAsia" w:ascii="宋体" w:hAnsi="宋体" w:cs="宋体"/>
          <w:color w:val="auto"/>
          <w:kern w:val="0"/>
          <w:sz w:val="28"/>
          <w:szCs w:val="28"/>
          <w:highlight w:val="none"/>
        </w:rPr>
        <w:t xml:space="preserve">投标人授权代表：                电话：                 </w:t>
      </w:r>
    </w:p>
    <w:p w14:paraId="292E9C61">
      <w:pPr>
        <w:pStyle w:val="89"/>
        <w:wordWrap w:val="0"/>
        <w:spacing w:line="360" w:lineRule="auto"/>
        <w:ind w:firstLine="567"/>
        <w:jc w:val="both"/>
        <w:rPr>
          <w:rFonts w:ascii="宋体" w:hAnsi="宋体" w:cs="宋体"/>
          <w:color w:val="auto"/>
          <w:highlight w:val="none"/>
        </w:rPr>
      </w:pPr>
    </w:p>
    <w:p w14:paraId="5200F712">
      <w:pPr>
        <w:pStyle w:val="89"/>
        <w:wordWrap w:val="0"/>
        <w:spacing w:line="360" w:lineRule="auto"/>
        <w:ind w:firstLine="4819"/>
        <w:jc w:val="both"/>
        <w:rPr>
          <w:rFonts w:ascii="宋体" w:hAnsi="宋体" w:cs="宋体"/>
          <w:color w:val="auto"/>
          <w:sz w:val="28"/>
          <w:szCs w:val="28"/>
          <w:highlight w:val="none"/>
        </w:rPr>
      </w:pPr>
      <w:r>
        <w:rPr>
          <w:rFonts w:hint="eastAsia" w:ascii="宋体" w:hAnsi="宋体" w:cs="宋体"/>
          <w:color w:val="auto"/>
          <w:sz w:val="28"/>
          <w:szCs w:val="28"/>
          <w:highlight w:val="none"/>
        </w:rPr>
        <w:t xml:space="preserve">             年   月   日</w:t>
      </w:r>
    </w:p>
    <w:p w14:paraId="5CC94E1B">
      <w:pPr>
        <w:wordWrap w:val="0"/>
        <w:adjustRightInd w:val="0"/>
        <w:spacing w:line="360" w:lineRule="auto"/>
        <w:rPr>
          <w:rFonts w:ascii="宋体" w:hAnsi="宋体" w:cs="宋体"/>
          <w:b/>
          <w:color w:val="auto"/>
          <w:highlight w:val="none"/>
        </w:rPr>
      </w:pPr>
      <w:r>
        <w:rPr>
          <w:rFonts w:hint="eastAsia" w:ascii="宋体" w:hAnsi="宋体" w:cs="宋体"/>
          <w:b/>
          <w:color w:val="auto"/>
          <w:highlight w:val="none"/>
        </w:rPr>
        <w:br w:type="page"/>
      </w:r>
    </w:p>
    <w:p w14:paraId="541582F8">
      <w:pPr>
        <w:wordWrap w:val="0"/>
        <w:adjustRightInd w:val="0"/>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目  录</w:t>
      </w:r>
    </w:p>
    <w:p w14:paraId="4D452AB3">
      <w:pPr>
        <w:wordWrap w:val="0"/>
        <w:adjustRightInd w:val="0"/>
        <w:spacing w:line="360" w:lineRule="auto"/>
        <w:ind w:firstLine="480" w:firstLineChars="200"/>
        <w:rPr>
          <w:rFonts w:ascii="宋体" w:hAnsi="宋体" w:cs="宋体"/>
          <w:color w:val="auto"/>
          <w:kern w:val="0"/>
          <w:sz w:val="24"/>
          <w:szCs w:val="24"/>
          <w:highlight w:val="none"/>
        </w:rPr>
      </w:pPr>
    </w:p>
    <w:p w14:paraId="57CF31DF">
      <w:pPr>
        <w:wordWrap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一、投标函</w:t>
      </w:r>
    </w:p>
    <w:p w14:paraId="51F8F400">
      <w:pPr>
        <w:wordWrap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二、投标保证金</w:t>
      </w:r>
    </w:p>
    <w:p w14:paraId="08E5E9AF">
      <w:pPr>
        <w:wordWrap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三、联合体协议书（本项目不适用）</w:t>
      </w:r>
    </w:p>
    <w:p w14:paraId="28286DFC">
      <w:pPr>
        <w:wordWrap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四、开标一览表及投标报价明细表</w:t>
      </w:r>
    </w:p>
    <w:p w14:paraId="1A00B16A">
      <w:pPr>
        <w:wordWrap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五、投标投标人基本情况表</w:t>
      </w:r>
    </w:p>
    <w:p w14:paraId="493A60E7">
      <w:pPr>
        <w:wordWrap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六、资格审查资料</w:t>
      </w:r>
    </w:p>
    <w:p w14:paraId="4E803D6F">
      <w:pPr>
        <w:wordWrap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七、类似项目业绩表</w:t>
      </w:r>
    </w:p>
    <w:p w14:paraId="1A02E848">
      <w:pPr>
        <w:wordWrap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八、服务承诺书</w:t>
      </w:r>
    </w:p>
    <w:p w14:paraId="7E97F10A">
      <w:pPr>
        <w:wordWrap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九、技术/商务响应与偏离表</w:t>
      </w:r>
    </w:p>
    <w:p w14:paraId="725A9EFA">
      <w:pPr>
        <w:wordWrap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十、投标人自行编写的技术文件</w:t>
      </w:r>
    </w:p>
    <w:p w14:paraId="2CD9AD19">
      <w:pPr>
        <w:wordWrap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十一、投标人自行编写的服务方案</w:t>
      </w:r>
    </w:p>
    <w:p w14:paraId="3FABFDB8">
      <w:pPr>
        <w:wordWrap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十二、投标人认为需要提供的其他资料</w:t>
      </w:r>
    </w:p>
    <w:p w14:paraId="0A5778A4">
      <w:pPr>
        <w:pStyle w:val="89"/>
        <w:wordWrap w:val="0"/>
        <w:spacing w:line="360" w:lineRule="auto"/>
        <w:jc w:val="center"/>
        <w:outlineLvl w:val="0"/>
        <w:rPr>
          <w:rFonts w:ascii="宋体" w:hAnsi="宋体" w:cs="宋体"/>
          <w:b/>
          <w:bCs/>
          <w:color w:val="auto"/>
          <w:sz w:val="36"/>
          <w:highlight w:val="none"/>
        </w:rPr>
      </w:pPr>
      <w:r>
        <w:rPr>
          <w:rFonts w:hint="eastAsia" w:ascii="宋体" w:hAnsi="宋体" w:cs="宋体"/>
          <w:b/>
          <w:color w:val="auto"/>
          <w:highlight w:val="none"/>
        </w:rPr>
        <w:br w:type="page"/>
      </w:r>
      <w:bookmarkStart w:id="39" w:name="_Toc11409"/>
      <w:r>
        <w:rPr>
          <w:rFonts w:hint="eastAsia" w:ascii="宋体" w:hAnsi="宋体" w:cs="宋体"/>
          <w:b/>
          <w:bCs/>
          <w:color w:val="auto"/>
          <w:sz w:val="36"/>
          <w:highlight w:val="none"/>
        </w:rPr>
        <w:t>一、投 标 函</w:t>
      </w:r>
      <w:bookmarkEnd w:id="39"/>
    </w:p>
    <w:p w14:paraId="78046840">
      <w:pPr>
        <w:pStyle w:val="89"/>
        <w:wordWrap w:val="0"/>
        <w:spacing w:line="440" w:lineRule="exact"/>
        <w:ind w:firstLine="420" w:firstLineChars="200"/>
        <w:jc w:val="both"/>
        <w:rPr>
          <w:rFonts w:ascii="宋体" w:hAnsi="宋体" w:cs="宋体"/>
          <w:color w:val="auto"/>
          <w:sz w:val="21"/>
          <w:szCs w:val="21"/>
          <w:highlight w:val="none"/>
        </w:rPr>
      </w:pPr>
      <w:r>
        <w:rPr>
          <w:rFonts w:hint="eastAsia" w:ascii="宋体" w:hAnsi="宋体" w:cs="宋体"/>
          <w:color w:val="auto"/>
          <w:sz w:val="21"/>
          <w:szCs w:val="21"/>
          <w:highlight w:val="none"/>
          <w:u w:val="single"/>
        </w:rPr>
        <w:t xml:space="preserve">致              </w:t>
      </w:r>
      <w:r>
        <w:rPr>
          <w:rFonts w:hint="eastAsia" w:ascii="宋体" w:hAnsi="宋体" w:cs="宋体"/>
          <w:color w:val="auto"/>
          <w:sz w:val="21"/>
          <w:szCs w:val="21"/>
          <w:highlight w:val="none"/>
        </w:rPr>
        <w:t>（招标人名称）：</w:t>
      </w:r>
    </w:p>
    <w:p w14:paraId="547C72C9">
      <w:pPr>
        <w:wordWrap w:val="0"/>
        <w:adjustRightInd w:val="0"/>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根据贵方为</w:t>
      </w:r>
      <w:r>
        <w:rPr>
          <w:rFonts w:hint="eastAsia" w:ascii="宋体" w:hAnsi="宋体" w:cs="宋体"/>
          <w:color w:val="auto"/>
          <w:szCs w:val="21"/>
          <w:highlight w:val="none"/>
          <w:u w:val="single"/>
        </w:rPr>
        <w:t xml:space="preserve">                      （项目名称） </w:t>
      </w:r>
      <w:r>
        <w:rPr>
          <w:rFonts w:hint="eastAsia" w:ascii="宋体" w:hAnsi="宋体" w:cs="宋体"/>
          <w:color w:val="auto"/>
          <w:szCs w:val="21"/>
          <w:highlight w:val="none"/>
        </w:rPr>
        <w:t>招标采购的</w:t>
      </w:r>
      <w:r>
        <w:rPr>
          <w:rFonts w:hint="eastAsia" w:ascii="宋体" w:hAnsi="宋体" w:cs="宋体"/>
          <w:color w:val="auto"/>
          <w:szCs w:val="21"/>
          <w:highlight w:val="none"/>
          <w:u w:val="single"/>
        </w:rPr>
        <w:t xml:space="preserve">                </w:t>
      </w:r>
      <w:r>
        <w:rPr>
          <w:rFonts w:hint="eastAsia" w:ascii="宋体" w:hAnsi="宋体" w:cs="宋体"/>
          <w:bCs/>
          <w:color w:val="auto"/>
          <w:szCs w:val="21"/>
          <w:highlight w:val="none"/>
          <w:u w:val="single"/>
        </w:rPr>
        <w:t xml:space="preserve">（项目编号：         </w:t>
      </w:r>
      <w:r>
        <w:rPr>
          <w:rFonts w:hint="eastAsia" w:ascii="宋体" w:hAnsi="宋体" w:cs="宋体"/>
          <w:color w:val="auto"/>
          <w:szCs w:val="21"/>
          <w:highlight w:val="none"/>
          <w:u w:val="single"/>
        </w:rPr>
        <w:t xml:space="preserve">）（标段号： ） </w:t>
      </w:r>
      <w:r>
        <w:rPr>
          <w:rFonts w:hint="eastAsia" w:ascii="宋体" w:hAnsi="宋体" w:cs="宋体"/>
          <w:bCs/>
          <w:color w:val="auto"/>
          <w:szCs w:val="21"/>
          <w:highlight w:val="none"/>
          <w:u w:val="single"/>
        </w:rPr>
        <w:t>招标文件</w:t>
      </w:r>
      <w:r>
        <w:rPr>
          <w:rFonts w:hint="eastAsia" w:ascii="宋体" w:hAnsi="宋体" w:cs="宋体"/>
          <w:color w:val="auto"/>
          <w:szCs w:val="21"/>
          <w:highlight w:val="none"/>
        </w:rPr>
        <w:t>，签字代表</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（全名、职务），经正式授权并代表投标人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（投标人名称、地址），宣布同意如下条款：</w:t>
      </w:r>
    </w:p>
    <w:p w14:paraId="2440AD80">
      <w:pPr>
        <w:numPr>
          <w:ilvl w:val="0"/>
          <w:numId w:val="1"/>
        </w:numPr>
        <w:wordWrap w:val="0"/>
        <w:autoSpaceDE w:val="0"/>
        <w:autoSpaceDN w:val="0"/>
        <w:adjustRightInd w:val="0"/>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按《投标人须知前附表》规定的份数提交投标文件。</w:t>
      </w:r>
    </w:p>
    <w:p w14:paraId="63A8A580">
      <w:pPr>
        <w:wordWrap w:val="0"/>
        <w:autoSpaceDE w:val="0"/>
        <w:autoSpaceDN w:val="0"/>
        <w:adjustRightInd w:val="0"/>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二、确认下述条款：</w:t>
      </w:r>
    </w:p>
    <w:p w14:paraId="382B21F6">
      <w:pPr>
        <w:wordWrap w:val="0"/>
        <w:autoSpaceDE w:val="0"/>
        <w:autoSpaceDN w:val="0"/>
        <w:adjustRightInd w:val="0"/>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⒈ 投标总报价为：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（元），即</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（大写）。</w:t>
      </w:r>
    </w:p>
    <w:p w14:paraId="3A1B62B1">
      <w:pPr>
        <w:wordWrap w:val="0"/>
        <w:autoSpaceDE w:val="0"/>
        <w:autoSpaceDN w:val="0"/>
        <w:adjustRightInd w:val="0"/>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⒉ 提交的投标保证金金额为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（元），即</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（大写）。</w:t>
      </w:r>
    </w:p>
    <w:p w14:paraId="4D154AC4">
      <w:pPr>
        <w:wordWrap w:val="0"/>
        <w:autoSpaceDE w:val="0"/>
        <w:autoSpaceDN w:val="0"/>
        <w:adjustRightInd w:val="0"/>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⒊ 我们将按招标文件的规定履行合同责任和义务。</w:t>
      </w:r>
    </w:p>
    <w:p w14:paraId="3237CA01">
      <w:pPr>
        <w:wordWrap w:val="0"/>
        <w:autoSpaceDE w:val="0"/>
        <w:autoSpaceDN w:val="0"/>
        <w:adjustRightInd w:val="0"/>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⒋ 我们已详细阅读了全部招标文件，包括修改文件（如有的话）以及全部参考资料和有关附件。我们完全理解并同意放弃对这方面不明及误解的权利。</w:t>
      </w:r>
    </w:p>
    <w:p w14:paraId="58EDFFD4">
      <w:pPr>
        <w:wordWrap w:val="0"/>
        <w:autoSpaceDE w:val="0"/>
        <w:autoSpaceDN w:val="0"/>
        <w:adjustRightInd w:val="0"/>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⒌ 我们同意按招标文件中的规定，此项投标自开标之日起有效期为90天。</w:t>
      </w:r>
    </w:p>
    <w:p w14:paraId="56A7A672">
      <w:pPr>
        <w:wordWrap w:val="0"/>
        <w:autoSpaceDE w:val="0"/>
        <w:autoSpaceDN w:val="0"/>
        <w:adjustRightInd w:val="0"/>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⒍ 如果在上述投标文件有效期内，我们撤回投标，我们同意招标人和采购代理机构没收我们的投标保证金。</w:t>
      </w:r>
    </w:p>
    <w:p w14:paraId="5611E8A9">
      <w:pPr>
        <w:wordWrap w:val="0"/>
        <w:autoSpaceDE w:val="0"/>
        <w:autoSpaceDN w:val="0"/>
        <w:adjustRightInd w:val="0"/>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⒎ 我们同意提供招标人和采购代理机构要求的与本次投标有关的一切资料。</w:t>
      </w:r>
    </w:p>
    <w:p w14:paraId="1239BFC2">
      <w:pPr>
        <w:wordWrap w:val="0"/>
        <w:autoSpaceDE w:val="0"/>
        <w:autoSpaceDN w:val="0"/>
        <w:adjustRightInd w:val="0"/>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⒏ 我们完全理解并尊重招标人和采购代理机构不一定要接受最低价投标和拒绝所有投标的权利。</w:t>
      </w:r>
    </w:p>
    <w:p w14:paraId="0A64A58C">
      <w:pPr>
        <w:wordWrap w:val="0"/>
        <w:autoSpaceDE w:val="0"/>
        <w:autoSpaceDN w:val="0"/>
        <w:adjustRightInd w:val="0"/>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三、需要说明的事项：</w:t>
      </w:r>
    </w:p>
    <w:p w14:paraId="0B878A2B">
      <w:pPr>
        <w:wordWrap w:val="0"/>
        <w:autoSpaceDE w:val="0"/>
        <w:autoSpaceDN w:val="0"/>
        <w:adjustRightInd w:val="0"/>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（如有，由投标人自行叙述）</w:t>
      </w:r>
    </w:p>
    <w:p w14:paraId="4A3EDB02">
      <w:pPr>
        <w:numPr>
          <w:ilvl w:val="0"/>
          <w:numId w:val="2"/>
        </w:numPr>
        <w:wordWrap w:val="0"/>
        <w:autoSpaceDE w:val="0"/>
        <w:autoSpaceDN w:val="0"/>
        <w:adjustRightInd w:val="0"/>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与本次投标有关的正式通讯地址为：</w:t>
      </w:r>
    </w:p>
    <w:p w14:paraId="6212A2D0">
      <w:pPr>
        <w:wordWrap w:val="0"/>
        <w:autoSpaceDE w:val="0"/>
        <w:autoSpaceDN w:val="0"/>
        <w:adjustRightInd w:val="0"/>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单位名称：</w:t>
      </w:r>
    </w:p>
    <w:p w14:paraId="409154D4">
      <w:pPr>
        <w:wordWrap w:val="0"/>
        <w:autoSpaceDE w:val="0"/>
        <w:autoSpaceDN w:val="0"/>
        <w:adjustRightInd w:val="0"/>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地    址：</w:t>
      </w:r>
    </w:p>
    <w:p w14:paraId="42E92530">
      <w:pPr>
        <w:wordWrap w:val="0"/>
        <w:autoSpaceDE w:val="0"/>
        <w:autoSpaceDN w:val="0"/>
        <w:adjustRightInd w:val="0"/>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邮政编码：</w:t>
      </w:r>
    </w:p>
    <w:p w14:paraId="0C495929">
      <w:pPr>
        <w:wordWrap w:val="0"/>
        <w:autoSpaceDE w:val="0"/>
        <w:autoSpaceDN w:val="0"/>
        <w:adjustRightInd w:val="0"/>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联系电话：</w:t>
      </w:r>
    </w:p>
    <w:p w14:paraId="64183D74">
      <w:pPr>
        <w:wordWrap w:val="0"/>
        <w:autoSpaceDE w:val="0"/>
        <w:autoSpaceDN w:val="0"/>
        <w:adjustRightInd w:val="0"/>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传    真：</w:t>
      </w:r>
    </w:p>
    <w:p w14:paraId="0B9F55D6">
      <w:pPr>
        <w:wordWrap w:val="0"/>
        <w:autoSpaceDE w:val="0"/>
        <w:autoSpaceDN w:val="0"/>
        <w:adjustRightInd w:val="0"/>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联 系 人：</w:t>
      </w:r>
    </w:p>
    <w:p w14:paraId="75F225AF">
      <w:pPr>
        <w:pStyle w:val="89"/>
        <w:wordWrap w:val="0"/>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投标人名称（盖单位章）：</w:t>
      </w:r>
    </w:p>
    <w:p w14:paraId="1510C185">
      <w:pPr>
        <w:pStyle w:val="89"/>
        <w:wordWrap w:val="0"/>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法定代表人或其委托代理人签字或盖章：</w:t>
      </w:r>
    </w:p>
    <w:p w14:paraId="12C9EC6A">
      <w:pPr>
        <w:wordWrap w:val="0"/>
        <w:adjustRightInd w:val="0"/>
        <w:spacing w:line="440" w:lineRule="exact"/>
        <w:jc w:val="left"/>
        <w:rPr>
          <w:rFonts w:ascii="宋体" w:hAnsi="宋体" w:cs="宋体"/>
          <w:color w:val="auto"/>
          <w:szCs w:val="21"/>
          <w:highlight w:val="none"/>
        </w:rPr>
      </w:pPr>
      <w:r>
        <w:rPr>
          <w:rFonts w:hint="eastAsia" w:ascii="宋体" w:hAnsi="宋体" w:cs="宋体"/>
          <w:color w:val="auto"/>
          <w:szCs w:val="21"/>
          <w:highlight w:val="none"/>
        </w:rPr>
        <w:t>日期：</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w:t>
      </w:r>
    </w:p>
    <w:p w14:paraId="28AAFF05">
      <w:pPr>
        <w:pStyle w:val="89"/>
        <w:wordWrap w:val="0"/>
        <w:spacing w:line="360" w:lineRule="auto"/>
        <w:jc w:val="center"/>
        <w:outlineLvl w:val="0"/>
        <w:rPr>
          <w:rFonts w:ascii="宋体" w:hAnsi="宋体" w:cs="宋体"/>
          <w:b/>
          <w:color w:val="auto"/>
          <w:sz w:val="36"/>
          <w:highlight w:val="none"/>
        </w:rPr>
      </w:pPr>
      <w:r>
        <w:rPr>
          <w:rFonts w:hint="eastAsia" w:ascii="宋体" w:hAnsi="宋体" w:cs="宋体"/>
          <w:color w:val="auto"/>
          <w:highlight w:val="none"/>
        </w:rPr>
        <w:br w:type="page"/>
      </w:r>
      <w:bookmarkStart w:id="40" w:name="_Toc12964"/>
      <w:r>
        <w:rPr>
          <w:rFonts w:hint="eastAsia" w:ascii="宋体" w:hAnsi="宋体" w:cs="宋体"/>
          <w:b/>
          <w:color w:val="auto"/>
          <w:sz w:val="36"/>
          <w:highlight w:val="none"/>
        </w:rPr>
        <w:t>法定代表人身份证明</w:t>
      </w:r>
      <w:bookmarkEnd w:id="40"/>
    </w:p>
    <w:p w14:paraId="3991599C">
      <w:pPr>
        <w:pStyle w:val="89"/>
        <w:wordWrap w:val="0"/>
        <w:spacing w:line="360" w:lineRule="auto"/>
        <w:rPr>
          <w:rFonts w:ascii="宋体" w:hAnsi="宋体" w:cs="宋体"/>
          <w:b/>
          <w:bCs/>
          <w:color w:val="auto"/>
          <w:highlight w:val="none"/>
        </w:rPr>
      </w:pPr>
    </w:p>
    <w:p w14:paraId="3790435B">
      <w:pPr>
        <w:pStyle w:val="89"/>
        <w:wordWrap w:val="0"/>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投标人名称：</w:t>
      </w:r>
      <w:r>
        <w:rPr>
          <w:rFonts w:hint="eastAsia" w:ascii="宋体" w:hAnsi="宋体" w:cs="宋体"/>
          <w:color w:val="auto"/>
          <w:sz w:val="21"/>
          <w:szCs w:val="21"/>
          <w:highlight w:val="none"/>
          <w:u w:val="single"/>
        </w:rPr>
        <w:t xml:space="preserve">                                          </w:t>
      </w:r>
    </w:p>
    <w:p w14:paraId="22232A8E">
      <w:pPr>
        <w:pStyle w:val="89"/>
        <w:wordWrap w:val="0"/>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注  册  号：</w:t>
      </w:r>
      <w:r>
        <w:rPr>
          <w:rFonts w:hint="eastAsia" w:ascii="宋体" w:hAnsi="宋体" w:cs="宋体"/>
          <w:color w:val="auto"/>
          <w:sz w:val="21"/>
          <w:szCs w:val="21"/>
          <w:highlight w:val="none"/>
          <w:u w:val="single"/>
        </w:rPr>
        <w:t xml:space="preserve">                                          </w:t>
      </w:r>
    </w:p>
    <w:p w14:paraId="3977D946">
      <w:pPr>
        <w:pStyle w:val="89"/>
        <w:wordWrap w:val="0"/>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注 册 地址：</w:t>
      </w:r>
      <w:r>
        <w:rPr>
          <w:rFonts w:hint="eastAsia" w:ascii="宋体" w:hAnsi="宋体" w:cs="宋体"/>
          <w:color w:val="auto"/>
          <w:sz w:val="21"/>
          <w:szCs w:val="21"/>
          <w:highlight w:val="none"/>
          <w:u w:val="single"/>
        </w:rPr>
        <w:t xml:space="preserve">                                          </w:t>
      </w:r>
    </w:p>
    <w:p w14:paraId="3A0ADD82">
      <w:pPr>
        <w:pStyle w:val="89"/>
        <w:wordWrap w:val="0"/>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成 立 时间：</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年</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月</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日</w:t>
      </w:r>
    </w:p>
    <w:p w14:paraId="0263379F">
      <w:pPr>
        <w:pStyle w:val="89"/>
        <w:wordWrap w:val="0"/>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经 营 期限：</w:t>
      </w:r>
      <w:r>
        <w:rPr>
          <w:rFonts w:hint="eastAsia" w:ascii="宋体" w:hAnsi="宋体" w:cs="宋体"/>
          <w:color w:val="auto"/>
          <w:sz w:val="21"/>
          <w:szCs w:val="21"/>
          <w:highlight w:val="none"/>
          <w:u w:val="single"/>
        </w:rPr>
        <w:t xml:space="preserve">                                          </w:t>
      </w:r>
    </w:p>
    <w:p w14:paraId="09EE0D56">
      <w:pPr>
        <w:pStyle w:val="89"/>
        <w:wordWrap w:val="0"/>
        <w:spacing w:line="360" w:lineRule="auto"/>
        <w:rPr>
          <w:rFonts w:ascii="宋体" w:hAnsi="宋体" w:cs="宋体"/>
          <w:color w:val="auto"/>
          <w:sz w:val="21"/>
          <w:szCs w:val="21"/>
          <w:highlight w:val="none"/>
          <w:u w:val="single"/>
        </w:rPr>
      </w:pPr>
      <w:r>
        <w:rPr>
          <w:rFonts w:hint="eastAsia" w:ascii="宋体" w:hAnsi="宋体" w:cs="宋体"/>
          <w:color w:val="auto"/>
          <w:sz w:val="21"/>
          <w:szCs w:val="21"/>
          <w:highlight w:val="none"/>
        </w:rPr>
        <w:t>经营范围：   主营：</w:t>
      </w:r>
      <w:r>
        <w:rPr>
          <w:rFonts w:hint="eastAsia" w:ascii="宋体" w:hAnsi="宋体" w:cs="宋体"/>
          <w:b/>
          <w:bCs/>
          <w:i/>
          <w:iCs/>
          <w:color w:val="auto"/>
          <w:sz w:val="21"/>
          <w:szCs w:val="21"/>
          <w:highlight w:val="none"/>
          <w:u w:val="single"/>
        </w:rPr>
        <w:t xml:space="preserve">             </w:t>
      </w:r>
      <w:r>
        <w:rPr>
          <w:rFonts w:hint="eastAsia" w:ascii="宋体" w:hAnsi="宋体" w:cs="宋体"/>
          <w:color w:val="auto"/>
          <w:sz w:val="21"/>
          <w:szCs w:val="21"/>
          <w:highlight w:val="none"/>
        </w:rPr>
        <w:t>；兼营：</w:t>
      </w:r>
      <w:r>
        <w:rPr>
          <w:rFonts w:hint="eastAsia" w:ascii="宋体" w:hAnsi="宋体" w:cs="宋体"/>
          <w:color w:val="auto"/>
          <w:sz w:val="21"/>
          <w:szCs w:val="21"/>
          <w:highlight w:val="none"/>
          <w:u w:val="single"/>
        </w:rPr>
        <w:t xml:space="preserve">              </w:t>
      </w:r>
    </w:p>
    <w:p w14:paraId="5855DC49">
      <w:pPr>
        <w:pStyle w:val="89"/>
        <w:wordWrap w:val="0"/>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姓名：</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 xml:space="preserve">   性别：</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 xml:space="preserve">    年龄：</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 xml:space="preserve"> 系 </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（投标人名称）的法定代表人。</w:t>
      </w:r>
    </w:p>
    <w:p w14:paraId="03ACE4A2">
      <w:pPr>
        <w:pStyle w:val="89"/>
        <w:wordWrap w:val="0"/>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特此证明。</w:t>
      </w:r>
    </w:p>
    <w:p w14:paraId="65DFDA77">
      <w:pPr>
        <w:pStyle w:val="89"/>
        <w:wordWrap w:val="0"/>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附：法定代表人身份证复印件。</w:t>
      </w:r>
    </w:p>
    <w:p w14:paraId="1FF77163">
      <w:pPr>
        <w:pStyle w:val="89"/>
        <w:wordWrap w:val="0"/>
        <w:spacing w:line="360" w:lineRule="auto"/>
        <w:rPr>
          <w:rFonts w:ascii="宋体" w:hAnsi="宋体" w:cs="宋体"/>
          <w:color w:val="auto"/>
          <w:sz w:val="21"/>
          <w:szCs w:val="21"/>
          <w:highlight w:val="none"/>
        </w:rPr>
      </w:pPr>
    </w:p>
    <w:p w14:paraId="783F4F9F">
      <w:pPr>
        <w:pStyle w:val="89"/>
        <w:wordWrap w:val="0"/>
        <w:spacing w:line="360" w:lineRule="auto"/>
        <w:rPr>
          <w:rFonts w:ascii="宋体" w:hAnsi="宋体" w:cs="宋体"/>
          <w:color w:val="auto"/>
          <w:sz w:val="21"/>
          <w:szCs w:val="21"/>
          <w:highlight w:val="none"/>
        </w:rPr>
      </w:pPr>
    </w:p>
    <w:p w14:paraId="01B9CA34">
      <w:pPr>
        <w:pStyle w:val="89"/>
        <w:wordWrap w:val="0"/>
        <w:spacing w:line="360" w:lineRule="auto"/>
        <w:rPr>
          <w:rFonts w:ascii="宋体" w:hAnsi="宋体" w:cs="宋体"/>
          <w:color w:val="auto"/>
          <w:sz w:val="21"/>
          <w:szCs w:val="21"/>
          <w:highlight w:val="none"/>
        </w:rPr>
      </w:pPr>
    </w:p>
    <w:p w14:paraId="17D9F1C4">
      <w:pPr>
        <w:pStyle w:val="89"/>
        <w:wordWrap w:val="0"/>
        <w:spacing w:line="360" w:lineRule="auto"/>
        <w:rPr>
          <w:rFonts w:ascii="宋体" w:hAnsi="宋体" w:cs="宋体"/>
          <w:color w:val="auto"/>
          <w:sz w:val="21"/>
          <w:szCs w:val="21"/>
          <w:highlight w:val="none"/>
        </w:rPr>
      </w:pPr>
    </w:p>
    <w:p w14:paraId="61E6C933">
      <w:pPr>
        <w:pStyle w:val="89"/>
        <w:wordWrap w:val="0"/>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投标人名称（盖单位章）：</w:t>
      </w:r>
    </w:p>
    <w:p w14:paraId="535D5A3E">
      <w:pPr>
        <w:pStyle w:val="89"/>
        <w:wordWrap w:val="0"/>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法定代表人或其委托代理人签字或盖章：</w:t>
      </w:r>
    </w:p>
    <w:p w14:paraId="4A2A403D">
      <w:pPr>
        <w:pStyle w:val="89"/>
        <w:wordWrap w:val="0"/>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日期：</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年</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月</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日</w:t>
      </w:r>
    </w:p>
    <w:p w14:paraId="6408BDF6">
      <w:pPr>
        <w:pStyle w:val="89"/>
        <w:wordWrap w:val="0"/>
        <w:spacing w:line="360" w:lineRule="auto"/>
        <w:rPr>
          <w:rFonts w:ascii="宋体" w:hAnsi="宋体" w:cs="宋体"/>
          <w:color w:val="auto"/>
          <w:sz w:val="21"/>
          <w:szCs w:val="21"/>
          <w:highlight w:val="none"/>
        </w:rPr>
      </w:pPr>
    </w:p>
    <w:p w14:paraId="32308456">
      <w:pPr>
        <w:pStyle w:val="89"/>
        <w:wordWrap w:val="0"/>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注：由代理人签署投标文件的无需提供此文件。</w:t>
      </w:r>
    </w:p>
    <w:p w14:paraId="657E6814">
      <w:pPr>
        <w:pStyle w:val="190"/>
        <w:wordWrap w:val="0"/>
        <w:spacing w:line="440" w:lineRule="exact"/>
        <w:ind w:firstLine="400" w:firstLineChars="200"/>
        <w:jc w:val="center"/>
        <w:rPr>
          <w:rFonts w:ascii="宋体" w:hAnsi="宋体" w:cs="宋体"/>
          <w:color w:val="auto"/>
          <w:highlight w:val="none"/>
        </w:rPr>
      </w:pPr>
    </w:p>
    <w:p w14:paraId="192045CE">
      <w:pPr>
        <w:pStyle w:val="190"/>
        <w:wordWrap w:val="0"/>
        <w:spacing w:line="440" w:lineRule="exact"/>
        <w:ind w:firstLine="400" w:firstLineChars="200"/>
        <w:jc w:val="center"/>
        <w:outlineLvl w:val="0"/>
        <w:rPr>
          <w:rFonts w:ascii="宋体" w:hAnsi="宋体" w:cs="宋体"/>
          <w:color w:val="auto"/>
          <w:sz w:val="36"/>
          <w:highlight w:val="none"/>
        </w:rPr>
      </w:pPr>
      <w:r>
        <w:rPr>
          <w:rFonts w:hint="eastAsia" w:ascii="宋体" w:hAnsi="宋体" w:cs="宋体"/>
          <w:color w:val="auto"/>
          <w:highlight w:val="none"/>
        </w:rPr>
        <w:br w:type="page"/>
      </w:r>
      <w:bookmarkStart w:id="41" w:name="_Toc31842"/>
      <w:r>
        <w:rPr>
          <w:rFonts w:hint="eastAsia" w:ascii="宋体" w:hAnsi="宋体" w:cs="宋体"/>
          <w:b/>
          <w:color w:val="auto"/>
          <w:sz w:val="36"/>
          <w:highlight w:val="none"/>
        </w:rPr>
        <w:t>法定代表人授权书</w:t>
      </w:r>
      <w:bookmarkEnd w:id="41"/>
    </w:p>
    <w:p w14:paraId="596008B2">
      <w:pPr>
        <w:pStyle w:val="89"/>
        <w:wordWrap w:val="0"/>
        <w:spacing w:line="360" w:lineRule="auto"/>
        <w:jc w:val="center"/>
        <w:rPr>
          <w:rFonts w:ascii="宋体" w:hAnsi="宋体" w:cs="宋体"/>
          <w:b/>
          <w:color w:val="auto"/>
          <w:highlight w:val="none"/>
        </w:rPr>
      </w:pPr>
    </w:p>
    <w:p w14:paraId="3D8EA6EB">
      <w:pPr>
        <w:pStyle w:val="89"/>
        <w:wordWrap w:val="0"/>
        <w:spacing w:line="360" w:lineRule="auto"/>
        <w:ind w:firstLine="560"/>
        <w:jc w:val="both"/>
        <w:rPr>
          <w:rFonts w:ascii="宋体" w:hAnsi="宋体" w:cs="宋体"/>
          <w:color w:val="auto"/>
          <w:sz w:val="21"/>
          <w:szCs w:val="21"/>
          <w:highlight w:val="none"/>
        </w:rPr>
      </w:pPr>
      <w:r>
        <w:rPr>
          <w:rFonts w:hint="eastAsia" w:ascii="宋体" w:hAnsi="宋体" w:cs="宋体"/>
          <w:color w:val="auto"/>
          <w:sz w:val="21"/>
          <w:szCs w:val="21"/>
          <w:highlight w:val="none"/>
        </w:rPr>
        <w:t>本人</w:t>
      </w:r>
      <w:r>
        <w:rPr>
          <w:rFonts w:hint="eastAsia" w:ascii="宋体" w:hAnsi="宋体" w:cs="宋体"/>
          <w:color w:val="auto"/>
          <w:sz w:val="21"/>
          <w:szCs w:val="21"/>
          <w:highlight w:val="none"/>
          <w:u w:val="single"/>
        </w:rPr>
        <w:t>（姓名、职务）</w:t>
      </w:r>
      <w:r>
        <w:rPr>
          <w:rFonts w:hint="eastAsia" w:ascii="宋体" w:hAnsi="宋体" w:cs="宋体"/>
          <w:color w:val="auto"/>
          <w:sz w:val="21"/>
          <w:szCs w:val="21"/>
          <w:highlight w:val="none"/>
        </w:rPr>
        <w:t>系</w:t>
      </w:r>
      <w:r>
        <w:rPr>
          <w:rFonts w:hint="eastAsia" w:ascii="宋体" w:hAnsi="宋体" w:cs="宋体"/>
          <w:color w:val="auto"/>
          <w:sz w:val="21"/>
          <w:szCs w:val="21"/>
          <w:highlight w:val="none"/>
          <w:u w:val="single"/>
        </w:rPr>
        <w:t>（投标人名称）</w:t>
      </w:r>
      <w:r>
        <w:rPr>
          <w:rFonts w:hint="eastAsia" w:ascii="宋体" w:hAnsi="宋体" w:cs="宋体"/>
          <w:color w:val="auto"/>
          <w:sz w:val="21"/>
          <w:szCs w:val="21"/>
          <w:highlight w:val="none"/>
        </w:rPr>
        <w:t>的法定代表人，现授权</w:t>
      </w:r>
      <w:r>
        <w:rPr>
          <w:rFonts w:hint="eastAsia" w:ascii="宋体" w:hAnsi="宋体" w:cs="宋体"/>
          <w:color w:val="auto"/>
          <w:sz w:val="21"/>
          <w:szCs w:val="21"/>
          <w:highlight w:val="none"/>
          <w:u w:val="single"/>
        </w:rPr>
        <w:t>（代理人姓名、职务）</w:t>
      </w:r>
      <w:r>
        <w:rPr>
          <w:rFonts w:hint="eastAsia" w:ascii="宋体" w:hAnsi="宋体" w:cs="宋体"/>
          <w:color w:val="auto"/>
          <w:sz w:val="21"/>
          <w:szCs w:val="21"/>
          <w:highlight w:val="none"/>
        </w:rPr>
        <w:t>为我方代理人。代理人根据授权，以我方名义：（1）签署、澄清、补正、修改、撤回、提交（项目名称、项目编号）投标文件及报价；（2）签订合同和处理有关事宜，其法律后果由我方承担。</w:t>
      </w:r>
    </w:p>
    <w:p w14:paraId="7CEA7D4C">
      <w:pPr>
        <w:pStyle w:val="89"/>
        <w:wordWrap w:val="0"/>
        <w:spacing w:line="360" w:lineRule="auto"/>
        <w:ind w:firstLine="560"/>
        <w:jc w:val="both"/>
        <w:rPr>
          <w:rFonts w:ascii="宋体" w:hAnsi="宋体" w:cs="宋体"/>
          <w:color w:val="auto"/>
          <w:sz w:val="21"/>
          <w:szCs w:val="21"/>
          <w:highlight w:val="none"/>
        </w:rPr>
      </w:pPr>
      <w:r>
        <w:rPr>
          <w:rFonts w:hint="eastAsia" w:ascii="宋体" w:hAnsi="宋体" w:cs="宋体"/>
          <w:color w:val="auto"/>
          <w:sz w:val="21"/>
          <w:szCs w:val="21"/>
          <w:highlight w:val="none"/>
        </w:rPr>
        <w:t>委托期限：。</w:t>
      </w:r>
    </w:p>
    <w:p w14:paraId="27F4731C">
      <w:pPr>
        <w:pStyle w:val="89"/>
        <w:wordWrap w:val="0"/>
        <w:spacing w:line="360" w:lineRule="auto"/>
        <w:ind w:firstLine="560"/>
        <w:jc w:val="both"/>
        <w:rPr>
          <w:rFonts w:ascii="宋体" w:hAnsi="宋体" w:cs="宋体"/>
          <w:color w:val="auto"/>
          <w:sz w:val="21"/>
          <w:szCs w:val="21"/>
          <w:highlight w:val="none"/>
        </w:rPr>
      </w:pPr>
      <w:r>
        <w:rPr>
          <w:rFonts w:hint="eastAsia" w:ascii="宋体" w:hAnsi="宋体" w:cs="宋体"/>
          <w:color w:val="auto"/>
          <w:sz w:val="21"/>
          <w:szCs w:val="21"/>
          <w:highlight w:val="none"/>
        </w:rPr>
        <w:t>代理人无转委托权。</w:t>
      </w:r>
    </w:p>
    <w:p w14:paraId="7D445327">
      <w:pPr>
        <w:pStyle w:val="89"/>
        <w:wordWrap w:val="0"/>
        <w:spacing w:line="360" w:lineRule="auto"/>
        <w:ind w:firstLine="560"/>
        <w:jc w:val="both"/>
        <w:rPr>
          <w:rFonts w:ascii="宋体" w:hAnsi="宋体" w:cs="宋体"/>
          <w:color w:val="auto"/>
          <w:sz w:val="21"/>
          <w:szCs w:val="21"/>
          <w:highlight w:val="none"/>
        </w:rPr>
      </w:pPr>
      <w:r>
        <w:rPr>
          <w:rFonts w:hint="eastAsia" w:ascii="宋体" w:hAnsi="宋体" w:cs="宋体"/>
          <w:color w:val="auto"/>
          <w:sz w:val="21"/>
          <w:szCs w:val="21"/>
          <w:highlight w:val="none"/>
        </w:rPr>
        <w:t>本授权书于年月日签字生效，特此声明。</w:t>
      </w:r>
    </w:p>
    <w:p w14:paraId="2677ED45">
      <w:pPr>
        <w:pStyle w:val="89"/>
        <w:wordWrap w:val="0"/>
        <w:spacing w:line="360" w:lineRule="auto"/>
        <w:ind w:firstLine="422" w:firstLineChars="200"/>
        <w:jc w:val="both"/>
        <w:rPr>
          <w:rFonts w:ascii="宋体" w:hAnsi="宋体" w:cs="宋体"/>
          <w:color w:val="auto"/>
          <w:sz w:val="21"/>
          <w:szCs w:val="21"/>
          <w:highlight w:val="none"/>
        </w:rPr>
      </w:pPr>
      <w:r>
        <w:rPr>
          <w:rFonts w:hint="eastAsia" w:ascii="宋体" w:hAnsi="宋体" w:cs="宋体"/>
          <w:b/>
          <w:bCs/>
          <w:color w:val="auto"/>
          <w:sz w:val="21"/>
          <w:szCs w:val="21"/>
          <w:highlight w:val="none"/>
        </w:rPr>
        <w:t>代理人情况</w:t>
      </w:r>
    </w:p>
    <w:p w14:paraId="0274CB5B">
      <w:pPr>
        <w:pStyle w:val="89"/>
        <w:wordWrap w:val="0"/>
        <w:spacing w:line="360" w:lineRule="auto"/>
        <w:ind w:firstLine="420" w:firstLineChars="200"/>
        <w:jc w:val="both"/>
        <w:rPr>
          <w:rFonts w:ascii="宋体" w:hAnsi="宋体" w:cs="宋体"/>
          <w:color w:val="auto"/>
          <w:sz w:val="21"/>
          <w:szCs w:val="21"/>
          <w:highlight w:val="none"/>
        </w:rPr>
      </w:pPr>
      <w:r>
        <w:rPr>
          <w:rFonts w:hint="eastAsia" w:ascii="宋体" w:hAnsi="宋体" w:cs="宋体"/>
          <w:color w:val="auto"/>
          <w:sz w:val="21"/>
          <w:szCs w:val="21"/>
          <w:highlight w:val="none"/>
        </w:rPr>
        <w:t xml:space="preserve">姓名：        性别：        年龄：        职务：    </w:t>
      </w:r>
    </w:p>
    <w:p w14:paraId="18BB3DD0">
      <w:pPr>
        <w:pStyle w:val="89"/>
        <w:wordWrap w:val="0"/>
        <w:spacing w:line="360" w:lineRule="auto"/>
        <w:ind w:firstLine="420" w:firstLineChars="200"/>
        <w:jc w:val="both"/>
        <w:rPr>
          <w:rFonts w:ascii="宋体" w:hAnsi="宋体" w:cs="宋体"/>
          <w:color w:val="auto"/>
          <w:sz w:val="21"/>
          <w:szCs w:val="21"/>
          <w:highlight w:val="none"/>
        </w:rPr>
      </w:pPr>
      <w:r>
        <w:rPr>
          <w:rFonts w:hint="eastAsia" w:ascii="宋体" w:hAnsi="宋体" w:cs="宋体"/>
          <w:color w:val="auto"/>
          <w:sz w:val="21"/>
          <w:szCs w:val="21"/>
          <w:highlight w:val="none"/>
        </w:rPr>
        <w:t>身份证号码：</w:t>
      </w:r>
    </w:p>
    <w:p w14:paraId="5C4C7B11">
      <w:pPr>
        <w:pStyle w:val="89"/>
        <w:wordWrap w:val="0"/>
        <w:spacing w:line="360" w:lineRule="auto"/>
        <w:ind w:firstLine="420" w:firstLineChars="200"/>
        <w:jc w:val="both"/>
        <w:rPr>
          <w:rFonts w:ascii="宋体" w:hAnsi="宋体" w:cs="宋体"/>
          <w:color w:val="auto"/>
          <w:sz w:val="21"/>
          <w:szCs w:val="21"/>
          <w:highlight w:val="none"/>
        </w:rPr>
      </w:pPr>
      <w:r>
        <w:rPr>
          <w:rFonts w:hint="eastAsia" w:ascii="宋体" w:hAnsi="宋体" w:cs="宋体"/>
          <w:color w:val="auto"/>
          <w:sz w:val="21"/>
          <w:szCs w:val="21"/>
          <w:highlight w:val="none"/>
        </w:rPr>
        <w:t xml:space="preserve">电   话：       </w:t>
      </w:r>
    </w:p>
    <w:p w14:paraId="58A2D8F6">
      <w:pPr>
        <w:pStyle w:val="89"/>
        <w:wordWrap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附：代理人身份证复印件（正反面）。</w:t>
      </w:r>
    </w:p>
    <w:p w14:paraId="55174BC6">
      <w:pPr>
        <w:pStyle w:val="89"/>
        <w:wordWrap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 xml:space="preserve">    法定代表人身份证复印件（正反面）。</w:t>
      </w:r>
    </w:p>
    <w:p w14:paraId="40B39A58">
      <w:pPr>
        <w:pStyle w:val="89"/>
        <w:wordWrap w:val="0"/>
        <w:spacing w:line="360" w:lineRule="auto"/>
        <w:ind w:firstLine="420" w:firstLineChars="200"/>
        <w:jc w:val="both"/>
        <w:rPr>
          <w:rFonts w:ascii="宋体" w:hAnsi="宋体" w:cs="宋体"/>
          <w:color w:val="auto"/>
          <w:sz w:val="21"/>
          <w:szCs w:val="21"/>
          <w:highlight w:val="none"/>
        </w:rPr>
      </w:pPr>
    </w:p>
    <w:p w14:paraId="7782FE85">
      <w:pPr>
        <w:pStyle w:val="89"/>
        <w:wordWrap w:val="0"/>
        <w:spacing w:line="360" w:lineRule="auto"/>
        <w:rPr>
          <w:rFonts w:ascii="宋体" w:hAnsi="宋体" w:cs="宋体"/>
          <w:b/>
          <w:bCs/>
          <w:color w:val="auto"/>
          <w:sz w:val="21"/>
          <w:szCs w:val="21"/>
          <w:highlight w:val="none"/>
        </w:rPr>
      </w:pPr>
    </w:p>
    <w:p w14:paraId="0BFC6313">
      <w:pPr>
        <w:pStyle w:val="89"/>
        <w:wordWrap w:val="0"/>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投标人名称（盖单位章）：</w:t>
      </w:r>
    </w:p>
    <w:p w14:paraId="552CBCF0">
      <w:pPr>
        <w:pStyle w:val="89"/>
        <w:wordWrap w:val="0"/>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法定代表人签字：</w:t>
      </w:r>
    </w:p>
    <w:p w14:paraId="6D5566B8">
      <w:pPr>
        <w:pStyle w:val="89"/>
        <w:wordWrap w:val="0"/>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委托代理人签字或盖章：</w:t>
      </w:r>
    </w:p>
    <w:p w14:paraId="6AB83712">
      <w:pPr>
        <w:pStyle w:val="89"/>
        <w:wordWrap w:val="0"/>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日期：      年   月   日</w:t>
      </w:r>
    </w:p>
    <w:p w14:paraId="3F961E99">
      <w:pPr>
        <w:pStyle w:val="89"/>
        <w:wordWrap w:val="0"/>
        <w:spacing w:line="360" w:lineRule="auto"/>
        <w:rPr>
          <w:rFonts w:ascii="宋体" w:hAnsi="宋体" w:cs="宋体"/>
          <w:color w:val="auto"/>
          <w:sz w:val="21"/>
          <w:szCs w:val="21"/>
          <w:highlight w:val="none"/>
        </w:rPr>
      </w:pPr>
    </w:p>
    <w:p w14:paraId="007B9220">
      <w:pPr>
        <w:pStyle w:val="89"/>
        <w:wordWrap w:val="0"/>
        <w:spacing w:line="360" w:lineRule="auto"/>
        <w:rPr>
          <w:rFonts w:ascii="宋体" w:hAnsi="宋体" w:cs="宋体"/>
          <w:b/>
          <w:bCs/>
          <w:color w:val="auto"/>
          <w:sz w:val="21"/>
          <w:szCs w:val="21"/>
          <w:highlight w:val="none"/>
        </w:rPr>
      </w:pPr>
      <w:r>
        <w:rPr>
          <w:rFonts w:hint="eastAsia" w:ascii="宋体" w:hAnsi="宋体" w:cs="宋体"/>
          <w:color w:val="auto"/>
          <w:sz w:val="21"/>
          <w:szCs w:val="21"/>
          <w:highlight w:val="none"/>
        </w:rPr>
        <w:t>注：此授权书在投标文件正本中应附入原件。</w:t>
      </w:r>
    </w:p>
    <w:p w14:paraId="61530B6D">
      <w:pPr>
        <w:wordWrap w:val="0"/>
        <w:jc w:val="center"/>
        <w:outlineLvl w:val="0"/>
        <w:rPr>
          <w:rFonts w:ascii="宋体" w:hAnsi="宋体" w:cs="宋体"/>
          <w:color w:val="auto"/>
          <w:highlight w:val="none"/>
        </w:rPr>
      </w:pPr>
      <w:r>
        <w:rPr>
          <w:rFonts w:hint="eastAsia" w:ascii="宋体" w:hAnsi="宋体" w:cs="宋体"/>
          <w:b/>
          <w:bCs/>
          <w:color w:val="auto"/>
          <w:highlight w:val="none"/>
        </w:rPr>
        <w:br w:type="page"/>
      </w:r>
      <w:bookmarkStart w:id="42" w:name="_Toc15410"/>
      <w:r>
        <w:rPr>
          <w:rFonts w:hint="eastAsia" w:ascii="宋体" w:hAnsi="宋体" w:cs="宋体"/>
          <w:b/>
          <w:bCs/>
          <w:color w:val="auto"/>
          <w:sz w:val="36"/>
          <w:szCs w:val="36"/>
          <w:highlight w:val="none"/>
        </w:rPr>
        <w:t>二、投标保证金</w:t>
      </w:r>
      <w:bookmarkEnd w:id="42"/>
    </w:p>
    <w:p w14:paraId="41667083">
      <w:pPr>
        <w:wordWrap w:val="0"/>
        <w:spacing w:line="360" w:lineRule="auto"/>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投标保证金收据或汇款凭证复印件或投标保函或电子保函凭证</w:t>
      </w:r>
    </w:p>
    <w:p w14:paraId="38B4A393">
      <w:pPr>
        <w:wordWrap w:val="0"/>
        <w:spacing w:line="360" w:lineRule="auto"/>
        <w:jc w:val="left"/>
        <w:rPr>
          <w:rFonts w:ascii="宋体" w:hAnsi="宋体" w:cs="宋体"/>
          <w:b/>
          <w:bCs/>
          <w:color w:val="auto"/>
          <w:sz w:val="24"/>
          <w:szCs w:val="24"/>
          <w:highlight w:val="none"/>
        </w:rPr>
      </w:pPr>
    </w:p>
    <w:p w14:paraId="2492475A">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说明：投标保证金提交方式为银行电汇或其他方式缴纳，电汇须从投标人基本帐户转出，投标保证金必须在投标截止时间前到指定的帐户，并在汇款单上注明所投项目名称。未领取招标文件、缴纳保证金的投标人不得参与投标，投标保证金以其他方式递交未按规定时间到账的，由投标人自行承担。投标保函和电子保函有关要求见投标人须知前附表。</w:t>
      </w:r>
    </w:p>
    <w:p w14:paraId="38C1E530">
      <w:pPr>
        <w:pStyle w:val="89"/>
        <w:wordWrap w:val="0"/>
        <w:spacing w:line="360" w:lineRule="auto"/>
        <w:jc w:val="center"/>
        <w:rPr>
          <w:rFonts w:ascii="宋体" w:hAnsi="宋体" w:cs="宋体"/>
          <w:b/>
          <w:bCs/>
          <w:color w:val="auto"/>
          <w:highlight w:val="none"/>
        </w:rPr>
      </w:pPr>
    </w:p>
    <w:p w14:paraId="0B5FB1BB">
      <w:pPr>
        <w:wordWrap w:val="0"/>
        <w:spacing w:line="360" w:lineRule="auto"/>
        <w:jc w:val="center"/>
        <w:outlineLvl w:val="0"/>
        <w:rPr>
          <w:rFonts w:ascii="宋体" w:hAnsi="宋体" w:cs="宋体"/>
          <w:b/>
          <w:bCs/>
          <w:color w:val="auto"/>
          <w:sz w:val="36"/>
          <w:szCs w:val="36"/>
          <w:highlight w:val="none"/>
        </w:rPr>
      </w:pPr>
      <w:r>
        <w:rPr>
          <w:rFonts w:hint="eastAsia" w:ascii="宋体" w:hAnsi="宋体" w:cs="宋体"/>
          <w:b/>
          <w:bCs/>
          <w:color w:val="auto"/>
          <w:highlight w:val="none"/>
        </w:rPr>
        <w:br w:type="page"/>
      </w:r>
      <w:bookmarkStart w:id="43" w:name="_Toc21205"/>
      <w:r>
        <w:rPr>
          <w:rFonts w:hint="eastAsia" w:ascii="宋体" w:hAnsi="宋体" w:cs="宋体"/>
          <w:b/>
          <w:bCs/>
          <w:color w:val="auto"/>
          <w:sz w:val="36"/>
          <w:szCs w:val="36"/>
          <w:highlight w:val="none"/>
        </w:rPr>
        <w:t>三、联合体协议书</w:t>
      </w:r>
      <w:bookmarkEnd w:id="43"/>
      <w:r>
        <w:rPr>
          <w:rFonts w:hint="eastAsia" w:ascii="宋体" w:hAnsi="宋体" w:cs="宋体"/>
          <w:b/>
          <w:bCs/>
          <w:color w:val="auto"/>
          <w:sz w:val="36"/>
          <w:szCs w:val="36"/>
          <w:highlight w:val="none"/>
        </w:rPr>
        <w:t>（本项目不适用）</w:t>
      </w:r>
    </w:p>
    <w:p w14:paraId="2CC310CA">
      <w:pPr>
        <w:tabs>
          <w:tab w:val="left" w:pos="2202"/>
          <w:tab w:val="left" w:pos="7230"/>
        </w:tabs>
        <w:wordWrap w:val="0"/>
        <w:spacing w:line="360" w:lineRule="auto"/>
        <w:ind w:firstLine="420" w:firstLineChars="200"/>
        <w:rPr>
          <w:rFonts w:ascii="宋体" w:hAnsi="宋体" w:cs="宋体"/>
          <w:color w:val="auto"/>
          <w:szCs w:val="21"/>
          <w:highlight w:val="none"/>
          <w:u w:val="single"/>
        </w:rPr>
      </w:pPr>
    </w:p>
    <w:p w14:paraId="59CAA118">
      <w:pPr>
        <w:tabs>
          <w:tab w:val="left" w:pos="2202"/>
          <w:tab w:val="left" w:pos="7230"/>
        </w:tabs>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（所有成员单位名称）自愿组成</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（联合体名称）联合体，共同参加</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（项目名称）监理招标项目投标。现就联合体投标事宜订立如下协议。</w:t>
      </w:r>
    </w:p>
    <w:p w14:paraId="246BD0AA">
      <w:pPr>
        <w:numPr>
          <w:ilvl w:val="0"/>
          <w:numId w:val="3"/>
        </w:numPr>
        <w:tabs>
          <w:tab w:val="left" w:pos="2673"/>
          <w:tab w:val="left" w:pos="5954"/>
        </w:tabs>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（某成员单位名称）为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（联合体名称）牵头人。</w:t>
      </w:r>
    </w:p>
    <w:p w14:paraId="79113155">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 联合体各成员授权牵头人代表联合体参加投标活动，签署文件，提交和接收相关的资料、信息及指示，进行合同谈判活动，负责合同实施阶段的组织和协调工作，以及处理与本招标项目有关的一切事宜。</w:t>
      </w:r>
    </w:p>
    <w:p w14:paraId="13626294">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 联合体牵头人在本项目中签署的一切文件和处理的一切事宜，联合体各成员均予以承认。联合体各成员将严格按照招标文件、投标文件和合同的要求全面履行义务，并向招标人承担连带责任。</w:t>
      </w:r>
    </w:p>
    <w:p w14:paraId="76AA1799">
      <w:pPr>
        <w:tabs>
          <w:tab w:val="left" w:pos="7938"/>
        </w:tabs>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 联合体各成员单位内部的职责分工如下：</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660C684F">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 本协议书自所有成员单位法定代表人或其委托代理人签字或盖单位章之日起生效，合同履行完毕后自动失效。</w:t>
      </w:r>
    </w:p>
    <w:p w14:paraId="22A76FC8">
      <w:pPr>
        <w:tabs>
          <w:tab w:val="left" w:pos="2464"/>
        </w:tabs>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 本协议书一式</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份，联合体成员和招标人各执</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份。</w:t>
      </w:r>
    </w:p>
    <w:p w14:paraId="66ED2155">
      <w:pPr>
        <w:wordWrap w:val="0"/>
        <w:spacing w:line="360" w:lineRule="auto"/>
        <w:ind w:firstLine="420" w:firstLineChars="200"/>
        <w:rPr>
          <w:rFonts w:ascii="宋体" w:hAnsi="宋体" w:cs="宋体"/>
          <w:color w:val="auto"/>
          <w:szCs w:val="21"/>
          <w:highlight w:val="none"/>
        </w:rPr>
      </w:pPr>
    </w:p>
    <w:p w14:paraId="3E3A2B00">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注：本协议书由法定代表人签字的，应附法定代表人身份证明；由委托代理人签字的，应 附授权委托书。</w:t>
      </w:r>
    </w:p>
    <w:p w14:paraId="3E4D4A29">
      <w:pPr>
        <w:wordWrap w:val="0"/>
        <w:spacing w:line="360" w:lineRule="auto"/>
        <w:rPr>
          <w:rFonts w:ascii="宋体" w:hAnsi="宋体" w:cs="宋体"/>
          <w:color w:val="auto"/>
          <w:szCs w:val="21"/>
          <w:highlight w:val="none"/>
        </w:rPr>
      </w:pPr>
    </w:p>
    <w:p w14:paraId="30E5C09E">
      <w:pPr>
        <w:tabs>
          <w:tab w:val="left" w:pos="6804"/>
        </w:tabs>
        <w:wordWrap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联合体牵头人名称：</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（盖章）</w:t>
      </w:r>
    </w:p>
    <w:p w14:paraId="52712FCE">
      <w:pPr>
        <w:tabs>
          <w:tab w:val="left" w:pos="6804"/>
        </w:tabs>
        <w:wordWrap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法定代表人或其委托代理人：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（电子签名）</w:t>
      </w:r>
    </w:p>
    <w:p w14:paraId="50506BCD">
      <w:pPr>
        <w:tabs>
          <w:tab w:val="left" w:pos="6804"/>
        </w:tabs>
        <w:wordWrap w:val="0"/>
        <w:spacing w:line="360" w:lineRule="auto"/>
        <w:jc w:val="left"/>
        <w:rPr>
          <w:rFonts w:ascii="宋体" w:hAnsi="宋体" w:cs="宋体"/>
          <w:color w:val="auto"/>
          <w:szCs w:val="21"/>
          <w:highlight w:val="none"/>
        </w:rPr>
      </w:pPr>
    </w:p>
    <w:p w14:paraId="1D80EA6F">
      <w:pPr>
        <w:tabs>
          <w:tab w:val="left" w:pos="6804"/>
        </w:tabs>
        <w:wordWrap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联合体成员名称：</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（盖章）</w:t>
      </w:r>
    </w:p>
    <w:p w14:paraId="1377B106">
      <w:pPr>
        <w:tabs>
          <w:tab w:val="left" w:pos="6804"/>
        </w:tabs>
        <w:wordWrap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法定代表人或其委托代理人：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（电子签名）</w:t>
      </w:r>
    </w:p>
    <w:p w14:paraId="2205C7CD">
      <w:pPr>
        <w:tabs>
          <w:tab w:val="left" w:pos="4538"/>
          <w:tab w:val="left" w:pos="5484"/>
          <w:tab w:val="left" w:pos="6427"/>
        </w:tabs>
        <w:wordWrap w:val="0"/>
        <w:spacing w:line="360" w:lineRule="auto"/>
        <w:jc w:val="left"/>
        <w:rPr>
          <w:rFonts w:ascii="宋体" w:hAnsi="宋体" w:cs="宋体"/>
          <w:color w:val="auto"/>
          <w:szCs w:val="21"/>
          <w:highlight w:val="none"/>
        </w:rPr>
      </w:pP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w:t>
      </w:r>
    </w:p>
    <w:p w14:paraId="4AB1EB45">
      <w:pPr>
        <w:pStyle w:val="150"/>
        <w:wordWrap w:val="0"/>
        <w:spacing w:line="360" w:lineRule="auto"/>
        <w:rPr>
          <w:rFonts w:ascii="宋体" w:hAnsi="宋体" w:cs="宋体"/>
          <w:color w:val="auto"/>
          <w:highlight w:val="none"/>
        </w:rPr>
      </w:pPr>
      <w:r>
        <w:rPr>
          <w:rFonts w:hint="eastAsia" w:ascii="宋体" w:hAnsi="宋体" w:cs="宋体"/>
          <w:color w:val="auto"/>
          <w:kern w:val="0"/>
          <w:highlight w:val="none"/>
        </w:rPr>
        <w:t>附联合体成员单位（非牵头人）的</w:t>
      </w:r>
      <w:r>
        <w:rPr>
          <w:rFonts w:hint="eastAsia" w:ascii="宋体" w:hAnsi="宋体" w:cs="宋体"/>
          <w:color w:val="auto"/>
          <w:highlight w:val="none"/>
        </w:rPr>
        <w:t>营业执照。</w:t>
      </w:r>
    </w:p>
    <w:p w14:paraId="57968A33">
      <w:pPr>
        <w:wordWrap w:val="0"/>
        <w:spacing w:line="360" w:lineRule="auto"/>
        <w:jc w:val="center"/>
        <w:outlineLvl w:val="0"/>
        <w:rPr>
          <w:rFonts w:ascii="宋体" w:hAnsi="宋体" w:cs="宋体"/>
          <w:b/>
          <w:bCs/>
          <w:color w:val="auto"/>
          <w:sz w:val="36"/>
          <w:szCs w:val="36"/>
          <w:highlight w:val="none"/>
        </w:rPr>
      </w:pPr>
      <w:r>
        <w:rPr>
          <w:rFonts w:hint="eastAsia" w:ascii="宋体" w:hAnsi="宋体" w:cs="宋体"/>
          <w:b/>
          <w:bCs/>
          <w:color w:val="auto"/>
          <w:sz w:val="36"/>
          <w:szCs w:val="36"/>
          <w:highlight w:val="none"/>
        </w:rPr>
        <w:br w:type="page"/>
      </w:r>
      <w:bookmarkStart w:id="44" w:name="_Toc17700"/>
      <w:r>
        <w:rPr>
          <w:rFonts w:hint="eastAsia" w:ascii="宋体" w:hAnsi="宋体" w:cs="宋体"/>
          <w:b/>
          <w:bCs/>
          <w:color w:val="auto"/>
          <w:sz w:val="36"/>
          <w:szCs w:val="36"/>
          <w:highlight w:val="none"/>
        </w:rPr>
        <w:t>四、开标一览表及投标报价明细表</w:t>
      </w:r>
      <w:bookmarkEnd w:id="44"/>
    </w:p>
    <w:p w14:paraId="1B2F0E9B">
      <w:pPr>
        <w:wordWrap w:val="0"/>
        <w:spacing w:line="360" w:lineRule="auto"/>
        <w:jc w:val="center"/>
        <w:outlineLvl w:val="0"/>
        <w:rPr>
          <w:rFonts w:ascii="宋体" w:hAnsi="宋体" w:cs="宋体"/>
          <w:b/>
          <w:bCs/>
          <w:color w:val="auto"/>
          <w:sz w:val="36"/>
          <w:szCs w:val="36"/>
          <w:highlight w:val="none"/>
        </w:rPr>
      </w:pPr>
      <w:bookmarkStart w:id="45" w:name="_Toc25157"/>
      <w:r>
        <w:rPr>
          <w:rFonts w:hint="eastAsia" w:ascii="宋体" w:hAnsi="宋体" w:cs="宋体"/>
          <w:b/>
          <w:bCs/>
          <w:color w:val="auto"/>
          <w:sz w:val="36"/>
          <w:szCs w:val="36"/>
          <w:highlight w:val="none"/>
        </w:rPr>
        <w:t>开标一览表</w:t>
      </w:r>
      <w:bookmarkEnd w:id="45"/>
    </w:p>
    <w:p w14:paraId="334F28E9">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项目名称：</w:t>
      </w:r>
    </w:p>
    <w:p w14:paraId="66A4905F">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项目编号：</w:t>
      </w:r>
    </w:p>
    <w:p w14:paraId="3252920C">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标段号：</w:t>
      </w:r>
    </w:p>
    <w:tbl>
      <w:tblPr>
        <w:tblStyle w:val="40"/>
        <w:tblW w:w="82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3470"/>
        <w:gridCol w:w="2041"/>
        <w:gridCol w:w="1605"/>
        <w:gridCol w:w="1138"/>
      </w:tblGrid>
      <w:tr w14:paraId="611246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926" w:hRule="atLeast"/>
          <w:jc w:val="center"/>
        </w:trPr>
        <w:tc>
          <w:tcPr>
            <w:tcW w:w="3470" w:type="dxa"/>
            <w:tcBorders>
              <w:top w:val="single" w:color="auto" w:sz="4" w:space="0"/>
              <w:left w:val="single" w:color="auto" w:sz="4" w:space="0"/>
              <w:bottom w:val="single" w:color="auto" w:sz="4" w:space="0"/>
              <w:right w:val="single" w:color="auto" w:sz="4" w:space="0"/>
            </w:tcBorders>
            <w:vAlign w:val="center"/>
          </w:tcPr>
          <w:p w14:paraId="7D5F93D4">
            <w:pPr>
              <w:wordWrap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名称</w:t>
            </w:r>
          </w:p>
        </w:tc>
        <w:tc>
          <w:tcPr>
            <w:tcW w:w="2041" w:type="dxa"/>
            <w:tcBorders>
              <w:top w:val="single" w:color="auto" w:sz="4" w:space="0"/>
              <w:left w:val="single" w:color="auto" w:sz="4" w:space="0"/>
              <w:bottom w:val="single" w:color="auto" w:sz="4" w:space="0"/>
              <w:right w:val="single" w:color="auto" w:sz="4" w:space="0"/>
            </w:tcBorders>
            <w:vAlign w:val="center"/>
          </w:tcPr>
          <w:p w14:paraId="67F49020">
            <w:pPr>
              <w:wordWrap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投标总报价</w:t>
            </w:r>
          </w:p>
          <w:p w14:paraId="45019640">
            <w:pPr>
              <w:wordWrap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（元）</w:t>
            </w:r>
          </w:p>
        </w:tc>
        <w:tc>
          <w:tcPr>
            <w:tcW w:w="1605" w:type="dxa"/>
            <w:tcBorders>
              <w:top w:val="single" w:color="auto" w:sz="4" w:space="0"/>
              <w:left w:val="single" w:color="auto" w:sz="4" w:space="0"/>
              <w:bottom w:val="single" w:color="auto" w:sz="4" w:space="0"/>
              <w:right w:val="single" w:color="auto" w:sz="4" w:space="0"/>
            </w:tcBorders>
            <w:vAlign w:val="center"/>
          </w:tcPr>
          <w:p w14:paraId="2CCC3A8B">
            <w:pPr>
              <w:wordWrap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供货期限</w:t>
            </w:r>
          </w:p>
        </w:tc>
        <w:tc>
          <w:tcPr>
            <w:tcW w:w="1138" w:type="dxa"/>
            <w:tcBorders>
              <w:top w:val="single" w:color="auto" w:sz="4" w:space="0"/>
              <w:left w:val="single" w:color="auto" w:sz="4" w:space="0"/>
              <w:bottom w:val="single" w:color="auto" w:sz="4" w:space="0"/>
              <w:right w:val="single" w:color="auto" w:sz="4" w:space="0"/>
            </w:tcBorders>
            <w:vAlign w:val="center"/>
          </w:tcPr>
          <w:p w14:paraId="069CC44F">
            <w:pPr>
              <w:wordWrap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备注</w:t>
            </w:r>
          </w:p>
        </w:tc>
      </w:tr>
      <w:tr w14:paraId="44C077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901" w:hRule="atLeast"/>
          <w:jc w:val="center"/>
        </w:trPr>
        <w:tc>
          <w:tcPr>
            <w:tcW w:w="3470" w:type="dxa"/>
            <w:tcBorders>
              <w:top w:val="single" w:color="auto" w:sz="4" w:space="0"/>
              <w:left w:val="single" w:color="auto" w:sz="4" w:space="0"/>
              <w:bottom w:val="single" w:color="auto" w:sz="4" w:space="0"/>
              <w:right w:val="single" w:color="auto" w:sz="4" w:space="0"/>
            </w:tcBorders>
            <w:vAlign w:val="center"/>
          </w:tcPr>
          <w:p w14:paraId="5DB89477">
            <w:pPr>
              <w:pStyle w:val="31"/>
              <w:spacing w:line="360" w:lineRule="auto"/>
              <w:ind w:left="0" w:firstLine="0"/>
              <w:jc w:val="center"/>
              <w:rPr>
                <w:rFonts w:ascii="宋体" w:hAnsi="宋体" w:cs="宋体"/>
                <w:color w:val="auto"/>
                <w:szCs w:val="21"/>
                <w:highlight w:val="none"/>
              </w:rPr>
            </w:pPr>
          </w:p>
        </w:tc>
        <w:tc>
          <w:tcPr>
            <w:tcW w:w="2041" w:type="dxa"/>
            <w:tcBorders>
              <w:top w:val="single" w:color="auto" w:sz="4" w:space="0"/>
              <w:left w:val="single" w:color="auto" w:sz="4" w:space="0"/>
              <w:bottom w:val="single" w:color="auto" w:sz="4" w:space="0"/>
              <w:right w:val="single" w:color="auto" w:sz="4" w:space="0"/>
            </w:tcBorders>
            <w:vAlign w:val="center"/>
          </w:tcPr>
          <w:p w14:paraId="52CE4856">
            <w:pPr>
              <w:wordWrap w:val="0"/>
              <w:spacing w:line="360" w:lineRule="auto"/>
              <w:jc w:val="center"/>
              <w:rPr>
                <w:rFonts w:ascii="宋体" w:hAnsi="宋体" w:cs="宋体"/>
                <w:color w:val="auto"/>
                <w:szCs w:val="21"/>
                <w:highlight w:val="none"/>
              </w:rPr>
            </w:pPr>
          </w:p>
        </w:tc>
        <w:tc>
          <w:tcPr>
            <w:tcW w:w="1605" w:type="dxa"/>
            <w:tcBorders>
              <w:top w:val="single" w:color="auto" w:sz="4" w:space="0"/>
              <w:left w:val="single" w:color="auto" w:sz="4" w:space="0"/>
              <w:bottom w:val="single" w:color="auto" w:sz="4" w:space="0"/>
              <w:right w:val="single" w:color="auto" w:sz="4" w:space="0"/>
            </w:tcBorders>
            <w:vAlign w:val="center"/>
          </w:tcPr>
          <w:p w14:paraId="6948DD79">
            <w:pPr>
              <w:wordWrap w:val="0"/>
              <w:spacing w:line="360" w:lineRule="auto"/>
              <w:jc w:val="center"/>
              <w:rPr>
                <w:rFonts w:ascii="宋体" w:hAnsi="宋体" w:cs="宋体"/>
                <w:color w:val="auto"/>
                <w:szCs w:val="21"/>
                <w:highlight w:val="none"/>
              </w:rPr>
            </w:pPr>
          </w:p>
        </w:tc>
        <w:tc>
          <w:tcPr>
            <w:tcW w:w="1138" w:type="dxa"/>
            <w:tcBorders>
              <w:top w:val="single" w:color="auto" w:sz="4" w:space="0"/>
              <w:left w:val="single" w:color="auto" w:sz="4" w:space="0"/>
              <w:bottom w:val="single" w:color="auto" w:sz="4" w:space="0"/>
              <w:right w:val="single" w:color="auto" w:sz="4" w:space="0"/>
            </w:tcBorders>
            <w:vAlign w:val="center"/>
          </w:tcPr>
          <w:p w14:paraId="3B86F9D6">
            <w:pPr>
              <w:wordWrap w:val="0"/>
              <w:spacing w:line="360" w:lineRule="auto"/>
              <w:jc w:val="center"/>
              <w:rPr>
                <w:rFonts w:ascii="宋体" w:hAnsi="宋体" w:cs="宋体"/>
                <w:color w:val="auto"/>
                <w:szCs w:val="21"/>
                <w:highlight w:val="none"/>
              </w:rPr>
            </w:pPr>
          </w:p>
        </w:tc>
      </w:tr>
    </w:tbl>
    <w:p w14:paraId="39B92739">
      <w:pPr>
        <w:wordWrap w:val="0"/>
        <w:spacing w:line="360" w:lineRule="auto"/>
        <w:rPr>
          <w:rFonts w:ascii="宋体" w:hAnsi="宋体" w:cs="宋体"/>
          <w:color w:val="auto"/>
          <w:szCs w:val="21"/>
          <w:highlight w:val="none"/>
        </w:rPr>
      </w:pPr>
    </w:p>
    <w:p w14:paraId="1AB7899E">
      <w:pPr>
        <w:wordWrap w:val="0"/>
        <w:spacing w:line="360" w:lineRule="auto"/>
        <w:rPr>
          <w:rFonts w:ascii="宋体" w:hAnsi="宋体" w:cs="宋体"/>
          <w:color w:val="auto"/>
          <w:szCs w:val="21"/>
          <w:highlight w:val="none"/>
        </w:rPr>
      </w:pPr>
    </w:p>
    <w:p w14:paraId="45BB5286">
      <w:pPr>
        <w:pStyle w:val="89"/>
        <w:wordWrap w:val="0"/>
        <w:spacing w:line="360" w:lineRule="auto"/>
        <w:rPr>
          <w:rFonts w:ascii="宋体" w:hAnsi="宋体" w:cs="宋体"/>
          <w:color w:val="auto"/>
          <w:sz w:val="21"/>
          <w:szCs w:val="21"/>
          <w:highlight w:val="none"/>
        </w:rPr>
      </w:pPr>
    </w:p>
    <w:p w14:paraId="4CBD7D7E">
      <w:pPr>
        <w:pStyle w:val="89"/>
        <w:wordWrap w:val="0"/>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投标人名称（盖单位章）：</w:t>
      </w:r>
    </w:p>
    <w:p w14:paraId="2CF31D3C">
      <w:pPr>
        <w:pStyle w:val="89"/>
        <w:wordWrap w:val="0"/>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法定代表人或其委托代理人签字或盖章：</w:t>
      </w:r>
    </w:p>
    <w:p w14:paraId="685B6712">
      <w:pPr>
        <w:wordWrap w:val="0"/>
        <w:adjustRightInd w:val="0"/>
        <w:spacing w:line="440" w:lineRule="exact"/>
        <w:jc w:val="left"/>
        <w:rPr>
          <w:rFonts w:ascii="宋体" w:hAnsi="宋体" w:cs="宋体"/>
          <w:color w:val="auto"/>
          <w:szCs w:val="21"/>
          <w:highlight w:val="none"/>
        </w:rPr>
      </w:pPr>
      <w:r>
        <w:rPr>
          <w:rFonts w:hint="eastAsia" w:ascii="宋体" w:hAnsi="宋体" w:cs="宋体"/>
          <w:color w:val="auto"/>
          <w:szCs w:val="21"/>
          <w:highlight w:val="none"/>
        </w:rPr>
        <w:t>日期：</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w:t>
      </w:r>
    </w:p>
    <w:p w14:paraId="3AD96C61">
      <w:pPr>
        <w:pStyle w:val="6"/>
        <w:wordWrap w:val="0"/>
        <w:spacing w:line="360" w:lineRule="auto"/>
        <w:ind w:firstLine="0"/>
        <w:rPr>
          <w:rFonts w:ascii="宋体" w:hAnsi="宋体" w:cs="宋体"/>
          <w:color w:val="auto"/>
          <w:sz w:val="24"/>
          <w:szCs w:val="24"/>
          <w:highlight w:val="none"/>
        </w:rPr>
      </w:pPr>
    </w:p>
    <w:p w14:paraId="57C94291">
      <w:pPr>
        <w:pStyle w:val="6"/>
        <w:wordWrap w:val="0"/>
        <w:spacing w:line="360" w:lineRule="auto"/>
        <w:ind w:firstLine="0"/>
        <w:rPr>
          <w:rFonts w:ascii="宋体" w:hAnsi="宋体" w:cs="宋体"/>
          <w:color w:val="auto"/>
          <w:highlight w:val="none"/>
        </w:rPr>
      </w:pPr>
    </w:p>
    <w:p w14:paraId="6A0AB147">
      <w:pPr>
        <w:wordWrap w:val="0"/>
        <w:overflowPunct w:val="0"/>
        <w:autoSpaceDE w:val="0"/>
        <w:autoSpaceDN w:val="0"/>
        <w:adjustRightInd w:val="0"/>
        <w:jc w:val="center"/>
        <w:textAlignment w:val="baseline"/>
        <w:rPr>
          <w:rFonts w:ascii="宋体" w:hAnsi="宋体" w:cs="宋体"/>
          <w:b/>
          <w:color w:val="auto"/>
          <w:kern w:val="0"/>
          <w:sz w:val="32"/>
          <w:szCs w:val="32"/>
          <w:highlight w:val="none"/>
        </w:rPr>
      </w:pPr>
      <w:r>
        <w:rPr>
          <w:rFonts w:hint="eastAsia" w:ascii="宋体" w:hAnsi="宋体" w:cs="宋体"/>
          <w:color w:val="auto"/>
          <w:kern w:val="0"/>
          <w:sz w:val="24"/>
          <w:szCs w:val="24"/>
          <w:highlight w:val="none"/>
        </w:rPr>
        <w:br w:type="page"/>
      </w:r>
      <w:r>
        <w:rPr>
          <w:rFonts w:hint="eastAsia" w:ascii="宋体" w:hAnsi="宋体" w:cs="宋体"/>
          <w:b/>
          <w:color w:val="auto"/>
          <w:kern w:val="0"/>
          <w:sz w:val="32"/>
          <w:szCs w:val="32"/>
          <w:highlight w:val="none"/>
        </w:rPr>
        <w:t>投标报价明细表</w:t>
      </w:r>
    </w:p>
    <w:p w14:paraId="07E48A5F">
      <w:pPr>
        <w:pStyle w:val="161"/>
        <w:wordWrap w:val="0"/>
        <w:spacing w:after="0" w:line="360" w:lineRule="auto"/>
        <w:ind w:left="0" w:leftChars="0"/>
        <w:rPr>
          <w:rFonts w:ascii="宋体" w:hAnsi="宋体" w:cs="宋体"/>
          <w:color w:val="auto"/>
          <w:szCs w:val="21"/>
          <w:highlight w:val="none"/>
        </w:rPr>
      </w:pPr>
      <w:r>
        <w:rPr>
          <w:rFonts w:hint="eastAsia" w:ascii="宋体" w:hAnsi="宋体" w:cs="宋体"/>
          <w:color w:val="auto"/>
          <w:szCs w:val="21"/>
          <w:highlight w:val="none"/>
        </w:rPr>
        <w:t>项目编号：</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标段号：</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价格单位：元</w:t>
      </w:r>
    </w:p>
    <w:tbl>
      <w:tblPr>
        <w:tblStyle w:val="40"/>
        <w:tblW w:w="97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737"/>
        <w:gridCol w:w="1633"/>
        <w:gridCol w:w="1276"/>
        <w:gridCol w:w="992"/>
        <w:gridCol w:w="993"/>
        <w:gridCol w:w="850"/>
        <w:gridCol w:w="1177"/>
        <w:gridCol w:w="1049"/>
        <w:gridCol w:w="1049"/>
      </w:tblGrid>
      <w:tr w14:paraId="26BED4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56" w:hRule="atLeast"/>
          <w:jc w:val="center"/>
        </w:trPr>
        <w:tc>
          <w:tcPr>
            <w:tcW w:w="737" w:type="dxa"/>
            <w:vAlign w:val="center"/>
          </w:tcPr>
          <w:p w14:paraId="3153DCAB">
            <w:pPr>
              <w:pStyle w:val="174"/>
              <w:wordWrap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序号</w:t>
            </w:r>
          </w:p>
        </w:tc>
        <w:tc>
          <w:tcPr>
            <w:tcW w:w="1633" w:type="dxa"/>
            <w:vAlign w:val="center"/>
          </w:tcPr>
          <w:p w14:paraId="461FFF67">
            <w:pPr>
              <w:pStyle w:val="174"/>
              <w:wordWrap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名称</w:t>
            </w:r>
          </w:p>
        </w:tc>
        <w:tc>
          <w:tcPr>
            <w:tcW w:w="1276" w:type="dxa"/>
            <w:vAlign w:val="center"/>
          </w:tcPr>
          <w:p w14:paraId="51C20216">
            <w:pPr>
              <w:pStyle w:val="174"/>
              <w:wordWrap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产品型号</w:t>
            </w:r>
          </w:p>
        </w:tc>
        <w:tc>
          <w:tcPr>
            <w:tcW w:w="992" w:type="dxa"/>
            <w:vAlign w:val="center"/>
          </w:tcPr>
          <w:p w14:paraId="653CC2BD">
            <w:pPr>
              <w:pStyle w:val="174"/>
              <w:wordWrap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数量</w:t>
            </w:r>
          </w:p>
          <w:p w14:paraId="279A613F">
            <w:pPr>
              <w:pStyle w:val="174"/>
              <w:wordWrap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（台套）</w:t>
            </w:r>
          </w:p>
        </w:tc>
        <w:tc>
          <w:tcPr>
            <w:tcW w:w="993" w:type="dxa"/>
            <w:vAlign w:val="center"/>
          </w:tcPr>
          <w:p w14:paraId="5D202F1A">
            <w:pPr>
              <w:pStyle w:val="174"/>
              <w:wordWrap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单价</w:t>
            </w:r>
          </w:p>
        </w:tc>
        <w:tc>
          <w:tcPr>
            <w:tcW w:w="850" w:type="dxa"/>
            <w:vAlign w:val="center"/>
          </w:tcPr>
          <w:p w14:paraId="6C5DA60C">
            <w:pPr>
              <w:pStyle w:val="174"/>
              <w:wordWrap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合价</w:t>
            </w:r>
          </w:p>
        </w:tc>
        <w:tc>
          <w:tcPr>
            <w:tcW w:w="1177" w:type="dxa"/>
            <w:vAlign w:val="center"/>
          </w:tcPr>
          <w:p w14:paraId="0C527B68">
            <w:pPr>
              <w:pStyle w:val="174"/>
              <w:wordWrap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制造商名称和品牌</w:t>
            </w:r>
          </w:p>
        </w:tc>
        <w:tc>
          <w:tcPr>
            <w:tcW w:w="1049" w:type="dxa"/>
            <w:vAlign w:val="center"/>
          </w:tcPr>
          <w:p w14:paraId="0BEAD60F">
            <w:pPr>
              <w:pStyle w:val="174"/>
              <w:wordWrap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企业类型</w:t>
            </w:r>
          </w:p>
        </w:tc>
        <w:tc>
          <w:tcPr>
            <w:tcW w:w="1049" w:type="dxa"/>
            <w:vAlign w:val="center"/>
          </w:tcPr>
          <w:p w14:paraId="7483BD1E">
            <w:pPr>
              <w:pStyle w:val="174"/>
              <w:wordWrap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备注</w:t>
            </w:r>
          </w:p>
        </w:tc>
      </w:tr>
      <w:tr w14:paraId="077D14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737" w:type="dxa"/>
          </w:tcPr>
          <w:p w14:paraId="1EF7F535">
            <w:pPr>
              <w:pStyle w:val="174"/>
              <w:wordWrap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1</w:t>
            </w:r>
          </w:p>
        </w:tc>
        <w:tc>
          <w:tcPr>
            <w:tcW w:w="1633" w:type="dxa"/>
          </w:tcPr>
          <w:p w14:paraId="48F335B6">
            <w:pPr>
              <w:pStyle w:val="174"/>
              <w:wordWrap w:val="0"/>
              <w:spacing w:line="360" w:lineRule="auto"/>
              <w:jc w:val="left"/>
              <w:rPr>
                <w:rFonts w:ascii="宋体" w:hAnsi="宋体" w:cs="宋体"/>
                <w:color w:val="auto"/>
                <w:szCs w:val="21"/>
                <w:highlight w:val="none"/>
              </w:rPr>
            </w:pPr>
          </w:p>
        </w:tc>
        <w:tc>
          <w:tcPr>
            <w:tcW w:w="1276" w:type="dxa"/>
          </w:tcPr>
          <w:p w14:paraId="5D7AAE34">
            <w:pPr>
              <w:pStyle w:val="174"/>
              <w:wordWrap w:val="0"/>
              <w:spacing w:line="360" w:lineRule="auto"/>
              <w:jc w:val="center"/>
              <w:rPr>
                <w:rFonts w:ascii="宋体" w:hAnsi="宋体" w:cs="宋体"/>
                <w:color w:val="auto"/>
                <w:szCs w:val="21"/>
                <w:highlight w:val="none"/>
              </w:rPr>
            </w:pPr>
          </w:p>
        </w:tc>
        <w:tc>
          <w:tcPr>
            <w:tcW w:w="992" w:type="dxa"/>
          </w:tcPr>
          <w:p w14:paraId="464D392B">
            <w:pPr>
              <w:pStyle w:val="174"/>
              <w:wordWrap w:val="0"/>
              <w:spacing w:line="360" w:lineRule="auto"/>
              <w:jc w:val="center"/>
              <w:rPr>
                <w:rFonts w:ascii="宋体" w:hAnsi="宋体" w:cs="宋体"/>
                <w:color w:val="auto"/>
                <w:szCs w:val="21"/>
                <w:highlight w:val="none"/>
              </w:rPr>
            </w:pPr>
          </w:p>
        </w:tc>
        <w:tc>
          <w:tcPr>
            <w:tcW w:w="993" w:type="dxa"/>
          </w:tcPr>
          <w:p w14:paraId="7057F3F3">
            <w:pPr>
              <w:pStyle w:val="174"/>
              <w:wordWrap w:val="0"/>
              <w:spacing w:line="360" w:lineRule="auto"/>
              <w:jc w:val="center"/>
              <w:rPr>
                <w:rFonts w:ascii="宋体" w:hAnsi="宋体" w:cs="宋体"/>
                <w:color w:val="auto"/>
                <w:szCs w:val="21"/>
                <w:highlight w:val="none"/>
              </w:rPr>
            </w:pPr>
          </w:p>
        </w:tc>
        <w:tc>
          <w:tcPr>
            <w:tcW w:w="850" w:type="dxa"/>
          </w:tcPr>
          <w:p w14:paraId="63473DFA">
            <w:pPr>
              <w:pStyle w:val="174"/>
              <w:wordWrap w:val="0"/>
              <w:spacing w:line="360" w:lineRule="auto"/>
              <w:jc w:val="center"/>
              <w:rPr>
                <w:rFonts w:ascii="宋体" w:hAnsi="宋体" w:cs="宋体"/>
                <w:color w:val="auto"/>
                <w:szCs w:val="21"/>
                <w:highlight w:val="none"/>
              </w:rPr>
            </w:pPr>
          </w:p>
        </w:tc>
        <w:tc>
          <w:tcPr>
            <w:tcW w:w="1177" w:type="dxa"/>
          </w:tcPr>
          <w:p w14:paraId="5736546A">
            <w:pPr>
              <w:pStyle w:val="174"/>
              <w:wordWrap w:val="0"/>
              <w:spacing w:line="360" w:lineRule="auto"/>
              <w:jc w:val="center"/>
              <w:rPr>
                <w:rFonts w:ascii="宋体" w:hAnsi="宋体" w:cs="宋体"/>
                <w:color w:val="auto"/>
                <w:szCs w:val="21"/>
                <w:highlight w:val="none"/>
              </w:rPr>
            </w:pPr>
          </w:p>
        </w:tc>
        <w:tc>
          <w:tcPr>
            <w:tcW w:w="1049" w:type="dxa"/>
            <w:vAlign w:val="center"/>
          </w:tcPr>
          <w:p w14:paraId="431BE15B">
            <w:pPr>
              <w:pStyle w:val="174"/>
              <w:wordWrap w:val="0"/>
              <w:spacing w:line="360" w:lineRule="auto"/>
              <w:jc w:val="center"/>
              <w:rPr>
                <w:rFonts w:ascii="宋体" w:hAnsi="宋体" w:cs="宋体"/>
                <w:color w:val="auto"/>
                <w:szCs w:val="21"/>
                <w:highlight w:val="none"/>
              </w:rPr>
            </w:pPr>
          </w:p>
        </w:tc>
        <w:tc>
          <w:tcPr>
            <w:tcW w:w="1049" w:type="dxa"/>
          </w:tcPr>
          <w:p w14:paraId="25DE6D00">
            <w:pPr>
              <w:pStyle w:val="174"/>
              <w:wordWrap w:val="0"/>
              <w:spacing w:line="360" w:lineRule="auto"/>
              <w:jc w:val="center"/>
              <w:rPr>
                <w:rFonts w:ascii="宋体" w:hAnsi="宋体" w:cs="宋体"/>
                <w:color w:val="auto"/>
                <w:szCs w:val="21"/>
                <w:highlight w:val="none"/>
              </w:rPr>
            </w:pPr>
          </w:p>
        </w:tc>
      </w:tr>
      <w:tr w14:paraId="2D9D32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737" w:type="dxa"/>
          </w:tcPr>
          <w:p w14:paraId="322E1028">
            <w:pPr>
              <w:pStyle w:val="174"/>
              <w:wordWrap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2</w:t>
            </w:r>
          </w:p>
        </w:tc>
        <w:tc>
          <w:tcPr>
            <w:tcW w:w="1633" w:type="dxa"/>
          </w:tcPr>
          <w:p w14:paraId="3AC9F52C">
            <w:pPr>
              <w:pStyle w:val="174"/>
              <w:wordWrap w:val="0"/>
              <w:spacing w:line="360" w:lineRule="auto"/>
              <w:jc w:val="left"/>
              <w:rPr>
                <w:rFonts w:ascii="宋体" w:hAnsi="宋体" w:cs="宋体"/>
                <w:color w:val="auto"/>
                <w:szCs w:val="21"/>
                <w:highlight w:val="none"/>
              </w:rPr>
            </w:pPr>
          </w:p>
        </w:tc>
        <w:tc>
          <w:tcPr>
            <w:tcW w:w="1276" w:type="dxa"/>
          </w:tcPr>
          <w:p w14:paraId="6F0026BA">
            <w:pPr>
              <w:pStyle w:val="174"/>
              <w:wordWrap w:val="0"/>
              <w:spacing w:line="360" w:lineRule="auto"/>
              <w:jc w:val="center"/>
              <w:rPr>
                <w:rFonts w:ascii="宋体" w:hAnsi="宋体" w:cs="宋体"/>
                <w:color w:val="auto"/>
                <w:szCs w:val="21"/>
                <w:highlight w:val="none"/>
              </w:rPr>
            </w:pPr>
          </w:p>
        </w:tc>
        <w:tc>
          <w:tcPr>
            <w:tcW w:w="992" w:type="dxa"/>
          </w:tcPr>
          <w:p w14:paraId="6438CBFB">
            <w:pPr>
              <w:pStyle w:val="174"/>
              <w:wordWrap w:val="0"/>
              <w:spacing w:line="360" w:lineRule="auto"/>
              <w:jc w:val="center"/>
              <w:rPr>
                <w:rFonts w:ascii="宋体" w:hAnsi="宋体" w:cs="宋体"/>
                <w:color w:val="auto"/>
                <w:szCs w:val="21"/>
                <w:highlight w:val="none"/>
              </w:rPr>
            </w:pPr>
          </w:p>
        </w:tc>
        <w:tc>
          <w:tcPr>
            <w:tcW w:w="993" w:type="dxa"/>
          </w:tcPr>
          <w:p w14:paraId="70CA8C9B">
            <w:pPr>
              <w:pStyle w:val="174"/>
              <w:wordWrap w:val="0"/>
              <w:spacing w:line="360" w:lineRule="auto"/>
              <w:jc w:val="center"/>
              <w:rPr>
                <w:rFonts w:ascii="宋体" w:hAnsi="宋体" w:cs="宋体"/>
                <w:color w:val="auto"/>
                <w:szCs w:val="21"/>
                <w:highlight w:val="none"/>
              </w:rPr>
            </w:pPr>
          </w:p>
        </w:tc>
        <w:tc>
          <w:tcPr>
            <w:tcW w:w="850" w:type="dxa"/>
          </w:tcPr>
          <w:p w14:paraId="55C5D24D">
            <w:pPr>
              <w:pStyle w:val="174"/>
              <w:wordWrap w:val="0"/>
              <w:spacing w:line="360" w:lineRule="auto"/>
              <w:jc w:val="center"/>
              <w:rPr>
                <w:rFonts w:ascii="宋体" w:hAnsi="宋体" w:cs="宋体"/>
                <w:color w:val="auto"/>
                <w:szCs w:val="21"/>
                <w:highlight w:val="none"/>
              </w:rPr>
            </w:pPr>
          </w:p>
        </w:tc>
        <w:tc>
          <w:tcPr>
            <w:tcW w:w="1177" w:type="dxa"/>
          </w:tcPr>
          <w:p w14:paraId="2F11242D">
            <w:pPr>
              <w:pStyle w:val="174"/>
              <w:wordWrap w:val="0"/>
              <w:spacing w:line="360" w:lineRule="auto"/>
              <w:jc w:val="center"/>
              <w:rPr>
                <w:rFonts w:ascii="宋体" w:hAnsi="宋体" w:cs="宋体"/>
                <w:color w:val="auto"/>
                <w:szCs w:val="21"/>
                <w:highlight w:val="none"/>
              </w:rPr>
            </w:pPr>
          </w:p>
        </w:tc>
        <w:tc>
          <w:tcPr>
            <w:tcW w:w="1049" w:type="dxa"/>
            <w:vAlign w:val="center"/>
          </w:tcPr>
          <w:p w14:paraId="0CBEB754">
            <w:pPr>
              <w:pStyle w:val="174"/>
              <w:wordWrap w:val="0"/>
              <w:spacing w:line="360" w:lineRule="auto"/>
              <w:jc w:val="center"/>
              <w:rPr>
                <w:rFonts w:ascii="宋体" w:hAnsi="宋体" w:cs="宋体"/>
                <w:color w:val="auto"/>
                <w:szCs w:val="21"/>
                <w:highlight w:val="none"/>
              </w:rPr>
            </w:pPr>
          </w:p>
        </w:tc>
        <w:tc>
          <w:tcPr>
            <w:tcW w:w="1049" w:type="dxa"/>
          </w:tcPr>
          <w:p w14:paraId="2BB8274A">
            <w:pPr>
              <w:pStyle w:val="174"/>
              <w:wordWrap w:val="0"/>
              <w:spacing w:line="360" w:lineRule="auto"/>
              <w:jc w:val="center"/>
              <w:rPr>
                <w:rFonts w:ascii="宋体" w:hAnsi="宋体" w:cs="宋体"/>
                <w:color w:val="auto"/>
                <w:szCs w:val="21"/>
                <w:highlight w:val="none"/>
              </w:rPr>
            </w:pPr>
          </w:p>
        </w:tc>
      </w:tr>
      <w:tr w14:paraId="20F7D7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737" w:type="dxa"/>
          </w:tcPr>
          <w:p w14:paraId="208C9837">
            <w:pPr>
              <w:pStyle w:val="174"/>
              <w:wordWrap w:val="0"/>
              <w:spacing w:line="360" w:lineRule="auto"/>
              <w:jc w:val="center"/>
              <w:rPr>
                <w:rFonts w:ascii="宋体" w:hAnsi="宋体" w:cs="宋体"/>
                <w:color w:val="auto"/>
                <w:szCs w:val="21"/>
                <w:highlight w:val="none"/>
              </w:rPr>
            </w:pPr>
          </w:p>
        </w:tc>
        <w:tc>
          <w:tcPr>
            <w:tcW w:w="1633" w:type="dxa"/>
          </w:tcPr>
          <w:p w14:paraId="5D1D351A">
            <w:pPr>
              <w:pStyle w:val="174"/>
              <w:wordWrap w:val="0"/>
              <w:spacing w:line="360" w:lineRule="auto"/>
              <w:rPr>
                <w:rFonts w:ascii="宋体" w:hAnsi="宋体" w:cs="宋体"/>
                <w:color w:val="auto"/>
                <w:szCs w:val="21"/>
                <w:highlight w:val="none"/>
              </w:rPr>
            </w:pPr>
          </w:p>
        </w:tc>
        <w:tc>
          <w:tcPr>
            <w:tcW w:w="1276" w:type="dxa"/>
          </w:tcPr>
          <w:p w14:paraId="6194E9F8">
            <w:pPr>
              <w:pStyle w:val="174"/>
              <w:wordWrap w:val="0"/>
              <w:spacing w:line="360" w:lineRule="auto"/>
              <w:jc w:val="center"/>
              <w:rPr>
                <w:rFonts w:ascii="宋体" w:hAnsi="宋体" w:cs="宋体"/>
                <w:color w:val="auto"/>
                <w:szCs w:val="21"/>
                <w:highlight w:val="none"/>
              </w:rPr>
            </w:pPr>
          </w:p>
        </w:tc>
        <w:tc>
          <w:tcPr>
            <w:tcW w:w="992" w:type="dxa"/>
          </w:tcPr>
          <w:p w14:paraId="04FF5ED7">
            <w:pPr>
              <w:pStyle w:val="174"/>
              <w:wordWrap w:val="0"/>
              <w:spacing w:line="360" w:lineRule="auto"/>
              <w:jc w:val="center"/>
              <w:rPr>
                <w:rFonts w:ascii="宋体" w:hAnsi="宋体" w:cs="宋体"/>
                <w:color w:val="auto"/>
                <w:szCs w:val="21"/>
                <w:highlight w:val="none"/>
              </w:rPr>
            </w:pPr>
          </w:p>
        </w:tc>
        <w:tc>
          <w:tcPr>
            <w:tcW w:w="993" w:type="dxa"/>
          </w:tcPr>
          <w:p w14:paraId="7B23CBA4">
            <w:pPr>
              <w:pStyle w:val="174"/>
              <w:wordWrap w:val="0"/>
              <w:spacing w:line="360" w:lineRule="auto"/>
              <w:jc w:val="center"/>
              <w:rPr>
                <w:rFonts w:ascii="宋体" w:hAnsi="宋体" w:cs="宋体"/>
                <w:color w:val="auto"/>
                <w:szCs w:val="21"/>
                <w:highlight w:val="none"/>
              </w:rPr>
            </w:pPr>
          </w:p>
        </w:tc>
        <w:tc>
          <w:tcPr>
            <w:tcW w:w="850" w:type="dxa"/>
          </w:tcPr>
          <w:p w14:paraId="3CB51664">
            <w:pPr>
              <w:pStyle w:val="174"/>
              <w:wordWrap w:val="0"/>
              <w:spacing w:line="360" w:lineRule="auto"/>
              <w:jc w:val="center"/>
              <w:rPr>
                <w:rFonts w:ascii="宋体" w:hAnsi="宋体" w:cs="宋体"/>
                <w:color w:val="auto"/>
                <w:szCs w:val="21"/>
                <w:highlight w:val="none"/>
              </w:rPr>
            </w:pPr>
          </w:p>
        </w:tc>
        <w:tc>
          <w:tcPr>
            <w:tcW w:w="1177" w:type="dxa"/>
          </w:tcPr>
          <w:p w14:paraId="579E7790">
            <w:pPr>
              <w:pStyle w:val="174"/>
              <w:wordWrap w:val="0"/>
              <w:spacing w:line="360" w:lineRule="auto"/>
              <w:jc w:val="center"/>
              <w:rPr>
                <w:rFonts w:ascii="宋体" w:hAnsi="宋体" w:cs="宋体"/>
                <w:color w:val="auto"/>
                <w:szCs w:val="21"/>
                <w:highlight w:val="none"/>
              </w:rPr>
            </w:pPr>
          </w:p>
        </w:tc>
        <w:tc>
          <w:tcPr>
            <w:tcW w:w="1049" w:type="dxa"/>
            <w:vAlign w:val="center"/>
          </w:tcPr>
          <w:p w14:paraId="4CB32590">
            <w:pPr>
              <w:pStyle w:val="174"/>
              <w:wordWrap w:val="0"/>
              <w:spacing w:line="360" w:lineRule="auto"/>
              <w:jc w:val="center"/>
              <w:rPr>
                <w:rFonts w:ascii="宋体" w:hAnsi="宋体" w:cs="宋体"/>
                <w:color w:val="auto"/>
                <w:szCs w:val="21"/>
                <w:highlight w:val="none"/>
              </w:rPr>
            </w:pPr>
          </w:p>
        </w:tc>
        <w:tc>
          <w:tcPr>
            <w:tcW w:w="1049" w:type="dxa"/>
          </w:tcPr>
          <w:p w14:paraId="1A23C5A1">
            <w:pPr>
              <w:pStyle w:val="174"/>
              <w:wordWrap w:val="0"/>
              <w:spacing w:line="360" w:lineRule="auto"/>
              <w:jc w:val="center"/>
              <w:rPr>
                <w:rFonts w:ascii="宋体" w:hAnsi="宋体" w:cs="宋体"/>
                <w:color w:val="auto"/>
                <w:szCs w:val="21"/>
                <w:highlight w:val="none"/>
              </w:rPr>
            </w:pPr>
          </w:p>
        </w:tc>
      </w:tr>
      <w:tr w14:paraId="3019C1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737" w:type="dxa"/>
          </w:tcPr>
          <w:p w14:paraId="47A71464">
            <w:pPr>
              <w:pStyle w:val="174"/>
              <w:wordWrap w:val="0"/>
              <w:spacing w:line="360" w:lineRule="auto"/>
              <w:jc w:val="center"/>
              <w:rPr>
                <w:rFonts w:ascii="宋体" w:hAnsi="宋体" w:cs="宋体"/>
                <w:color w:val="auto"/>
                <w:szCs w:val="21"/>
                <w:highlight w:val="none"/>
              </w:rPr>
            </w:pPr>
          </w:p>
        </w:tc>
        <w:tc>
          <w:tcPr>
            <w:tcW w:w="1633" w:type="dxa"/>
          </w:tcPr>
          <w:p w14:paraId="29A5B4BE">
            <w:pPr>
              <w:pStyle w:val="174"/>
              <w:wordWrap w:val="0"/>
              <w:spacing w:line="360" w:lineRule="auto"/>
              <w:jc w:val="center"/>
              <w:rPr>
                <w:rFonts w:ascii="宋体" w:hAnsi="宋体" w:cs="宋体"/>
                <w:color w:val="auto"/>
                <w:szCs w:val="21"/>
                <w:highlight w:val="none"/>
              </w:rPr>
            </w:pPr>
          </w:p>
        </w:tc>
        <w:tc>
          <w:tcPr>
            <w:tcW w:w="1276" w:type="dxa"/>
          </w:tcPr>
          <w:p w14:paraId="413BCA14">
            <w:pPr>
              <w:pStyle w:val="174"/>
              <w:wordWrap w:val="0"/>
              <w:spacing w:line="360" w:lineRule="auto"/>
              <w:jc w:val="center"/>
              <w:rPr>
                <w:rFonts w:ascii="宋体" w:hAnsi="宋体" w:cs="宋体"/>
                <w:color w:val="auto"/>
                <w:szCs w:val="21"/>
                <w:highlight w:val="none"/>
              </w:rPr>
            </w:pPr>
          </w:p>
        </w:tc>
        <w:tc>
          <w:tcPr>
            <w:tcW w:w="992" w:type="dxa"/>
          </w:tcPr>
          <w:p w14:paraId="1205DA84">
            <w:pPr>
              <w:pStyle w:val="174"/>
              <w:wordWrap w:val="0"/>
              <w:spacing w:line="360" w:lineRule="auto"/>
              <w:jc w:val="center"/>
              <w:rPr>
                <w:rFonts w:ascii="宋体" w:hAnsi="宋体" w:cs="宋体"/>
                <w:color w:val="auto"/>
                <w:szCs w:val="21"/>
                <w:highlight w:val="none"/>
              </w:rPr>
            </w:pPr>
          </w:p>
        </w:tc>
        <w:tc>
          <w:tcPr>
            <w:tcW w:w="993" w:type="dxa"/>
          </w:tcPr>
          <w:p w14:paraId="212B2C7D">
            <w:pPr>
              <w:pStyle w:val="174"/>
              <w:wordWrap w:val="0"/>
              <w:spacing w:line="360" w:lineRule="auto"/>
              <w:jc w:val="center"/>
              <w:rPr>
                <w:rFonts w:ascii="宋体" w:hAnsi="宋体" w:cs="宋体"/>
                <w:color w:val="auto"/>
                <w:szCs w:val="21"/>
                <w:highlight w:val="none"/>
              </w:rPr>
            </w:pPr>
          </w:p>
        </w:tc>
        <w:tc>
          <w:tcPr>
            <w:tcW w:w="850" w:type="dxa"/>
          </w:tcPr>
          <w:p w14:paraId="121F414B">
            <w:pPr>
              <w:pStyle w:val="174"/>
              <w:wordWrap w:val="0"/>
              <w:spacing w:line="360" w:lineRule="auto"/>
              <w:jc w:val="center"/>
              <w:rPr>
                <w:rFonts w:ascii="宋体" w:hAnsi="宋体" w:cs="宋体"/>
                <w:color w:val="auto"/>
                <w:szCs w:val="21"/>
                <w:highlight w:val="none"/>
              </w:rPr>
            </w:pPr>
          </w:p>
        </w:tc>
        <w:tc>
          <w:tcPr>
            <w:tcW w:w="1177" w:type="dxa"/>
          </w:tcPr>
          <w:p w14:paraId="4BF3891B">
            <w:pPr>
              <w:pStyle w:val="174"/>
              <w:wordWrap w:val="0"/>
              <w:spacing w:line="360" w:lineRule="auto"/>
              <w:jc w:val="center"/>
              <w:rPr>
                <w:rFonts w:ascii="宋体" w:hAnsi="宋体" w:cs="宋体"/>
                <w:color w:val="auto"/>
                <w:szCs w:val="21"/>
                <w:highlight w:val="none"/>
              </w:rPr>
            </w:pPr>
          </w:p>
        </w:tc>
        <w:tc>
          <w:tcPr>
            <w:tcW w:w="1049" w:type="dxa"/>
            <w:vAlign w:val="center"/>
          </w:tcPr>
          <w:p w14:paraId="3468467B">
            <w:pPr>
              <w:pStyle w:val="174"/>
              <w:wordWrap w:val="0"/>
              <w:spacing w:line="360" w:lineRule="auto"/>
              <w:jc w:val="center"/>
              <w:rPr>
                <w:rFonts w:ascii="宋体" w:hAnsi="宋体" w:cs="宋体"/>
                <w:color w:val="auto"/>
                <w:szCs w:val="21"/>
                <w:highlight w:val="none"/>
              </w:rPr>
            </w:pPr>
          </w:p>
        </w:tc>
        <w:tc>
          <w:tcPr>
            <w:tcW w:w="1049" w:type="dxa"/>
          </w:tcPr>
          <w:p w14:paraId="5A9EB9A0">
            <w:pPr>
              <w:pStyle w:val="174"/>
              <w:wordWrap w:val="0"/>
              <w:spacing w:line="360" w:lineRule="auto"/>
              <w:jc w:val="center"/>
              <w:rPr>
                <w:rFonts w:ascii="宋体" w:hAnsi="宋体" w:cs="宋体"/>
                <w:color w:val="auto"/>
                <w:szCs w:val="21"/>
                <w:highlight w:val="none"/>
              </w:rPr>
            </w:pPr>
          </w:p>
        </w:tc>
      </w:tr>
      <w:tr w14:paraId="1D31AE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737" w:type="dxa"/>
          </w:tcPr>
          <w:p w14:paraId="432B003C">
            <w:pPr>
              <w:pStyle w:val="174"/>
              <w:wordWrap w:val="0"/>
              <w:spacing w:line="360" w:lineRule="auto"/>
              <w:jc w:val="center"/>
              <w:rPr>
                <w:rFonts w:ascii="宋体" w:hAnsi="宋体" w:cs="宋体"/>
                <w:color w:val="auto"/>
                <w:szCs w:val="21"/>
                <w:highlight w:val="none"/>
              </w:rPr>
            </w:pPr>
          </w:p>
        </w:tc>
        <w:tc>
          <w:tcPr>
            <w:tcW w:w="1633" w:type="dxa"/>
          </w:tcPr>
          <w:p w14:paraId="026D66A4">
            <w:pPr>
              <w:pStyle w:val="174"/>
              <w:wordWrap w:val="0"/>
              <w:spacing w:line="360" w:lineRule="auto"/>
              <w:jc w:val="center"/>
              <w:rPr>
                <w:rFonts w:ascii="宋体" w:hAnsi="宋体" w:cs="宋体"/>
                <w:color w:val="auto"/>
                <w:szCs w:val="21"/>
                <w:highlight w:val="none"/>
              </w:rPr>
            </w:pPr>
          </w:p>
        </w:tc>
        <w:tc>
          <w:tcPr>
            <w:tcW w:w="1276" w:type="dxa"/>
          </w:tcPr>
          <w:p w14:paraId="0F00CAE0">
            <w:pPr>
              <w:pStyle w:val="174"/>
              <w:wordWrap w:val="0"/>
              <w:spacing w:line="360" w:lineRule="auto"/>
              <w:jc w:val="center"/>
              <w:rPr>
                <w:rFonts w:ascii="宋体" w:hAnsi="宋体" w:cs="宋体"/>
                <w:color w:val="auto"/>
                <w:szCs w:val="21"/>
                <w:highlight w:val="none"/>
              </w:rPr>
            </w:pPr>
          </w:p>
        </w:tc>
        <w:tc>
          <w:tcPr>
            <w:tcW w:w="992" w:type="dxa"/>
          </w:tcPr>
          <w:p w14:paraId="6B20DB30">
            <w:pPr>
              <w:pStyle w:val="174"/>
              <w:wordWrap w:val="0"/>
              <w:spacing w:line="360" w:lineRule="auto"/>
              <w:jc w:val="center"/>
              <w:rPr>
                <w:rFonts w:ascii="宋体" w:hAnsi="宋体" w:cs="宋体"/>
                <w:color w:val="auto"/>
                <w:szCs w:val="21"/>
                <w:highlight w:val="none"/>
              </w:rPr>
            </w:pPr>
          </w:p>
        </w:tc>
        <w:tc>
          <w:tcPr>
            <w:tcW w:w="993" w:type="dxa"/>
          </w:tcPr>
          <w:p w14:paraId="7E0DEE87">
            <w:pPr>
              <w:pStyle w:val="174"/>
              <w:wordWrap w:val="0"/>
              <w:spacing w:line="360" w:lineRule="auto"/>
              <w:jc w:val="center"/>
              <w:rPr>
                <w:rFonts w:ascii="宋体" w:hAnsi="宋体" w:cs="宋体"/>
                <w:color w:val="auto"/>
                <w:szCs w:val="21"/>
                <w:highlight w:val="none"/>
              </w:rPr>
            </w:pPr>
          </w:p>
        </w:tc>
        <w:tc>
          <w:tcPr>
            <w:tcW w:w="850" w:type="dxa"/>
          </w:tcPr>
          <w:p w14:paraId="34F43A78">
            <w:pPr>
              <w:pStyle w:val="174"/>
              <w:wordWrap w:val="0"/>
              <w:spacing w:line="360" w:lineRule="auto"/>
              <w:jc w:val="center"/>
              <w:rPr>
                <w:rFonts w:ascii="宋体" w:hAnsi="宋体" w:cs="宋体"/>
                <w:color w:val="auto"/>
                <w:szCs w:val="21"/>
                <w:highlight w:val="none"/>
              </w:rPr>
            </w:pPr>
          </w:p>
        </w:tc>
        <w:tc>
          <w:tcPr>
            <w:tcW w:w="1177" w:type="dxa"/>
          </w:tcPr>
          <w:p w14:paraId="5B291F16">
            <w:pPr>
              <w:pStyle w:val="174"/>
              <w:wordWrap w:val="0"/>
              <w:spacing w:line="360" w:lineRule="auto"/>
              <w:jc w:val="center"/>
              <w:rPr>
                <w:rFonts w:ascii="宋体" w:hAnsi="宋体" w:cs="宋体"/>
                <w:color w:val="auto"/>
                <w:szCs w:val="21"/>
                <w:highlight w:val="none"/>
              </w:rPr>
            </w:pPr>
          </w:p>
        </w:tc>
        <w:tc>
          <w:tcPr>
            <w:tcW w:w="1049" w:type="dxa"/>
            <w:vAlign w:val="center"/>
          </w:tcPr>
          <w:p w14:paraId="5AD09359">
            <w:pPr>
              <w:pStyle w:val="174"/>
              <w:wordWrap w:val="0"/>
              <w:spacing w:line="360" w:lineRule="auto"/>
              <w:jc w:val="center"/>
              <w:rPr>
                <w:rFonts w:ascii="宋体" w:hAnsi="宋体" w:cs="宋体"/>
                <w:color w:val="auto"/>
                <w:szCs w:val="21"/>
                <w:highlight w:val="none"/>
              </w:rPr>
            </w:pPr>
          </w:p>
        </w:tc>
        <w:tc>
          <w:tcPr>
            <w:tcW w:w="1049" w:type="dxa"/>
          </w:tcPr>
          <w:p w14:paraId="245F61F4">
            <w:pPr>
              <w:pStyle w:val="174"/>
              <w:wordWrap w:val="0"/>
              <w:spacing w:line="360" w:lineRule="auto"/>
              <w:jc w:val="center"/>
              <w:rPr>
                <w:rFonts w:ascii="宋体" w:hAnsi="宋体" w:cs="宋体"/>
                <w:color w:val="auto"/>
                <w:szCs w:val="21"/>
                <w:highlight w:val="none"/>
              </w:rPr>
            </w:pPr>
          </w:p>
        </w:tc>
      </w:tr>
      <w:tr w14:paraId="7E087D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737" w:type="dxa"/>
          </w:tcPr>
          <w:p w14:paraId="48C7587D">
            <w:pPr>
              <w:pStyle w:val="174"/>
              <w:wordWrap w:val="0"/>
              <w:spacing w:line="360" w:lineRule="auto"/>
              <w:jc w:val="center"/>
              <w:rPr>
                <w:rFonts w:ascii="宋体" w:hAnsi="宋体" w:cs="宋体"/>
                <w:color w:val="auto"/>
                <w:szCs w:val="21"/>
                <w:highlight w:val="none"/>
              </w:rPr>
            </w:pPr>
          </w:p>
        </w:tc>
        <w:tc>
          <w:tcPr>
            <w:tcW w:w="1633" w:type="dxa"/>
          </w:tcPr>
          <w:p w14:paraId="36BF9DC1">
            <w:pPr>
              <w:pStyle w:val="174"/>
              <w:wordWrap w:val="0"/>
              <w:spacing w:line="360" w:lineRule="auto"/>
              <w:jc w:val="center"/>
              <w:rPr>
                <w:rFonts w:ascii="宋体" w:hAnsi="宋体" w:cs="宋体"/>
                <w:color w:val="auto"/>
                <w:szCs w:val="21"/>
                <w:highlight w:val="none"/>
              </w:rPr>
            </w:pPr>
          </w:p>
        </w:tc>
        <w:tc>
          <w:tcPr>
            <w:tcW w:w="1276" w:type="dxa"/>
          </w:tcPr>
          <w:p w14:paraId="1576DCBF">
            <w:pPr>
              <w:pStyle w:val="174"/>
              <w:wordWrap w:val="0"/>
              <w:spacing w:line="360" w:lineRule="auto"/>
              <w:jc w:val="center"/>
              <w:rPr>
                <w:rFonts w:ascii="宋体" w:hAnsi="宋体" w:cs="宋体"/>
                <w:color w:val="auto"/>
                <w:szCs w:val="21"/>
                <w:highlight w:val="none"/>
              </w:rPr>
            </w:pPr>
          </w:p>
        </w:tc>
        <w:tc>
          <w:tcPr>
            <w:tcW w:w="992" w:type="dxa"/>
          </w:tcPr>
          <w:p w14:paraId="35B79CC1">
            <w:pPr>
              <w:pStyle w:val="174"/>
              <w:wordWrap w:val="0"/>
              <w:spacing w:line="360" w:lineRule="auto"/>
              <w:jc w:val="center"/>
              <w:rPr>
                <w:rFonts w:ascii="宋体" w:hAnsi="宋体" w:cs="宋体"/>
                <w:color w:val="auto"/>
                <w:szCs w:val="21"/>
                <w:highlight w:val="none"/>
              </w:rPr>
            </w:pPr>
          </w:p>
        </w:tc>
        <w:tc>
          <w:tcPr>
            <w:tcW w:w="993" w:type="dxa"/>
          </w:tcPr>
          <w:p w14:paraId="1D738458">
            <w:pPr>
              <w:pStyle w:val="174"/>
              <w:wordWrap w:val="0"/>
              <w:spacing w:line="360" w:lineRule="auto"/>
              <w:jc w:val="center"/>
              <w:rPr>
                <w:rFonts w:ascii="宋体" w:hAnsi="宋体" w:cs="宋体"/>
                <w:color w:val="auto"/>
                <w:szCs w:val="21"/>
                <w:highlight w:val="none"/>
              </w:rPr>
            </w:pPr>
          </w:p>
        </w:tc>
        <w:tc>
          <w:tcPr>
            <w:tcW w:w="850" w:type="dxa"/>
          </w:tcPr>
          <w:p w14:paraId="10CCB5A5">
            <w:pPr>
              <w:pStyle w:val="174"/>
              <w:wordWrap w:val="0"/>
              <w:spacing w:line="360" w:lineRule="auto"/>
              <w:jc w:val="center"/>
              <w:rPr>
                <w:rFonts w:ascii="宋体" w:hAnsi="宋体" w:cs="宋体"/>
                <w:color w:val="auto"/>
                <w:szCs w:val="21"/>
                <w:highlight w:val="none"/>
              </w:rPr>
            </w:pPr>
          </w:p>
        </w:tc>
        <w:tc>
          <w:tcPr>
            <w:tcW w:w="1177" w:type="dxa"/>
          </w:tcPr>
          <w:p w14:paraId="77087638">
            <w:pPr>
              <w:pStyle w:val="174"/>
              <w:wordWrap w:val="0"/>
              <w:spacing w:line="360" w:lineRule="auto"/>
              <w:jc w:val="center"/>
              <w:rPr>
                <w:rFonts w:ascii="宋体" w:hAnsi="宋体" w:cs="宋体"/>
                <w:color w:val="auto"/>
                <w:szCs w:val="21"/>
                <w:highlight w:val="none"/>
              </w:rPr>
            </w:pPr>
          </w:p>
        </w:tc>
        <w:tc>
          <w:tcPr>
            <w:tcW w:w="1049" w:type="dxa"/>
            <w:vAlign w:val="center"/>
          </w:tcPr>
          <w:p w14:paraId="6E72FC91">
            <w:pPr>
              <w:pStyle w:val="174"/>
              <w:wordWrap w:val="0"/>
              <w:spacing w:line="360" w:lineRule="auto"/>
              <w:jc w:val="center"/>
              <w:rPr>
                <w:rFonts w:ascii="宋体" w:hAnsi="宋体" w:cs="宋体"/>
                <w:color w:val="auto"/>
                <w:szCs w:val="21"/>
                <w:highlight w:val="none"/>
              </w:rPr>
            </w:pPr>
          </w:p>
        </w:tc>
        <w:tc>
          <w:tcPr>
            <w:tcW w:w="1049" w:type="dxa"/>
          </w:tcPr>
          <w:p w14:paraId="1BBF74C9">
            <w:pPr>
              <w:pStyle w:val="174"/>
              <w:wordWrap w:val="0"/>
              <w:spacing w:line="360" w:lineRule="auto"/>
              <w:jc w:val="center"/>
              <w:rPr>
                <w:rFonts w:ascii="宋体" w:hAnsi="宋体" w:cs="宋体"/>
                <w:color w:val="auto"/>
                <w:szCs w:val="21"/>
                <w:highlight w:val="none"/>
              </w:rPr>
            </w:pPr>
          </w:p>
        </w:tc>
      </w:tr>
      <w:tr w14:paraId="4C2418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737" w:type="dxa"/>
          </w:tcPr>
          <w:p w14:paraId="2FCB31FF">
            <w:pPr>
              <w:pStyle w:val="174"/>
              <w:wordWrap w:val="0"/>
              <w:spacing w:line="360" w:lineRule="auto"/>
              <w:jc w:val="center"/>
              <w:rPr>
                <w:rFonts w:ascii="宋体" w:hAnsi="宋体" w:cs="宋体"/>
                <w:color w:val="auto"/>
                <w:szCs w:val="21"/>
                <w:highlight w:val="none"/>
              </w:rPr>
            </w:pPr>
          </w:p>
        </w:tc>
        <w:tc>
          <w:tcPr>
            <w:tcW w:w="1633" w:type="dxa"/>
          </w:tcPr>
          <w:p w14:paraId="4E982782">
            <w:pPr>
              <w:pStyle w:val="174"/>
              <w:wordWrap w:val="0"/>
              <w:spacing w:line="360" w:lineRule="auto"/>
              <w:jc w:val="center"/>
              <w:rPr>
                <w:rFonts w:ascii="宋体" w:hAnsi="宋体" w:cs="宋体"/>
                <w:color w:val="auto"/>
                <w:szCs w:val="21"/>
                <w:highlight w:val="none"/>
              </w:rPr>
            </w:pPr>
          </w:p>
        </w:tc>
        <w:tc>
          <w:tcPr>
            <w:tcW w:w="1276" w:type="dxa"/>
          </w:tcPr>
          <w:p w14:paraId="43079701">
            <w:pPr>
              <w:pStyle w:val="174"/>
              <w:wordWrap w:val="0"/>
              <w:spacing w:line="360" w:lineRule="auto"/>
              <w:jc w:val="center"/>
              <w:rPr>
                <w:rFonts w:ascii="宋体" w:hAnsi="宋体" w:cs="宋体"/>
                <w:color w:val="auto"/>
                <w:szCs w:val="21"/>
                <w:highlight w:val="none"/>
              </w:rPr>
            </w:pPr>
          </w:p>
        </w:tc>
        <w:tc>
          <w:tcPr>
            <w:tcW w:w="992" w:type="dxa"/>
          </w:tcPr>
          <w:p w14:paraId="40AC2FF8">
            <w:pPr>
              <w:pStyle w:val="174"/>
              <w:wordWrap w:val="0"/>
              <w:spacing w:line="360" w:lineRule="auto"/>
              <w:jc w:val="center"/>
              <w:rPr>
                <w:rFonts w:ascii="宋体" w:hAnsi="宋体" w:cs="宋体"/>
                <w:color w:val="auto"/>
                <w:szCs w:val="21"/>
                <w:highlight w:val="none"/>
              </w:rPr>
            </w:pPr>
          </w:p>
        </w:tc>
        <w:tc>
          <w:tcPr>
            <w:tcW w:w="993" w:type="dxa"/>
          </w:tcPr>
          <w:p w14:paraId="0E9FC512">
            <w:pPr>
              <w:pStyle w:val="174"/>
              <w:wordWrap w:val="0"/>
              <w:spacing w:line="360" w:lineRule="auto"/>
              <w:jc w:val="center"/>
              <w:rPr>
                <w:rFonts w:ascii="宋体" w:hAnsi="宋体" w:cs="宋体"/>
                <w:color w:val="auto"/>
                <w:szCs w:val="21"/>
                <w:highlight w:val="none"/>
              </w:rPr>
            </w:pPr>
          </w:p>
        </w:tc>
        <w:tc>
          <w:tcPr>
            <w:tcW w:w="850" w:type="dxa"/>
          </w:tcPr>
          <w:p w14:paraId="6FCDA7D1">
            <w:pPr>
              <w:pStyle w:val="174"/>
              <w:wordWrap w:val="0"/>
              <w:spacing w:line="360" w:lineRule="auto"/>
              <w:jc w:val="center"/>
              <w:rPr>
                <w:rFonts w:ascii="宋体" w:hAnsi="宋体" w:cs="宋体"/>
                <w:color w:val="auto"/>
                <w:szCs w:val="21"/>
                <w:highlight w:val="none"/>
              </w:rPr>
            </w:pPr>
          </w:p>
        </w:tc>
        <w:tc>
          <w:tcPr>
            <w:tcW w:w="1177" w:type="dxa"/>
          </w:tcPr>
          <w:p w14:paraId="18D3971A">
            <w:pPr>
              <w:pStyle w:val="174"/>
              <w:wordWrap w:val="0"/>
              <w:spacing w:line="360" w:lineRule="auto"/>
              <w:jc w:val="center"/>
              <w:rPr>
                <w:rFonts w:ascii="宋体" w:hAnsi="宋体" w:cs="宋体"/>
                <w:color w:val="auto"/>
                <w:szCs w:val="21"/>
                <w:highlight w:val="none"/>
              </w:rPr>
            </w:pPr>
          </w:p>
        </w:tc>
        <w:tc>
          <w:tcPr>
            <w:tcW w:w="1049" w:type="dxa"/>
            <w:vAlign w:val="center"/>
          </w:tcPr>
          <w:p w14:paraId="19DC5D82">
            <w:pPr>
              <w:pStyle w:val="174"/>
              <w:wordWrap w:val="0"/>
              <w:spacing w:line="360" w:lineRule="auto"/>
              <w:jc w:val="center"/>
              <w:rPr>
                <w:rFonts w:ascii="宋体" w:hAnsi="宋体" w:cs="宋体"/>
                <w:color w:val="auto"/>
                <w:szCs w:val="21"/>
                <w:highlight w:val="none"/>
              </w:rPr>
            </w:pPr>
          </w:p>
        </w:tc>
        <w:tc>
          <w:tcPr>
            <w:tcW w:w="1049" w:type="dxa"/>
          </w:tcPr>
          <w:p w14:paraId="591A8A71">
            <w:pPr>
              <w:pStyle w:val="174"/>
              <w:wordWrap w:val="0"/>
              <w:spacing w:line="360" w:lineRule="auto"/>
              <w:jc w:val="center"/>
              <w:rPr>
                <w:rFonts w:ascii="宋体" w:hAnsi="宋体" w:cs="宋体"/>
                <w:color w:val="auto"/>
                <w:szCs w:val="21"/>
                <w:highlight w:val="none"/>
              </w:rPr>
            </w:pPr>
          </w:p>
        </w:tc>
      </w:tr>
      <w:tr w14:paraId="4C2E94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737" w:type="dxa"/>
          </w:tcPr>
          <w:p w14:paraId="13124528">
            <w:pPr>
              <w:pStyle w:val="174"/>
              <w:wordWrap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w:t>
            </w:r>
          </w:p>
        </w:tc>
        <w:tc>
          <w:tcPr>
            <w:tcW w:w="1633" w:type="dxa"/>
          </w:tcPr>
          <w:p w14:paraId="1DCE82D6">
            <w:pPr>
              <w:pStyle w:val="174"/>
              <w:wordWrap w:val="0"/>
              <w:spacing w:line="360" w:lineRule="auto"/>
              <w:jc w:val="center"/>
              <w:rPr>
                <w:rFonts w:ascii="宋体" w:hAnsi="宋体" w:cs="宋体"/>
                <w:color w:val="auto"/>
                <w:szCs w:val="21"/>
                <w:highlight w:val="none"/>
              </w:rPr>
            </w:pPr>
          </w:p>
        </w:tc>
        <w:tc>
          <w:tcPr>
            <w:tcW w:w="1276" w:type="dxa"/>
          </w:tcPr>
          <w:p w14:paraId="4A98E62E">
            <w:pPr>
              <w:pStyle w:val="174"/>
              <w:wordWrap w:val="0"/>
              <w:spacing w:line="360" w:lineRule="auto"/>
              <w:jc w:val="center"/>
              <w:rPr>
                <w:rFonts w:ascii="宋体" w:hAnsi="宋体" w:cs="宋体"/>
                <w:color w:val="auto"/>
                <w:szCs w:val="21"/>
                <w:highlight w:val="none"/>
              </w:rPr>
            </w:pPr>
          </w:p>
        </w:tc>
        <w:tc>
          <w:tcPr>
            <w:tcW w:w="992" w:type="dxa"/>
          </w:tcPr>
          <w:p w14:paraId="4586F757">
            <w:pPr>
              <w:pStyle w:val="174"/>
              <w:wordWrap w:val="0"/>
              <w:spacing w:line="360" w:lineRule="auto"/>
              <w:jc w:val="center"/>
              <w:rPr>
                <w:rFonts w:ascii="宋体" w:hAnsi="宋体" w:cs="宋体"/>
                <w:color w:val="auto"/>
                <w:szCs w:val="21"/>
                <w:highlight w:val="none"/>
              </w:rPr>
            </w:pPr>
          </w:p>
        </w:tc>
        <w:tc>
          <w:tcPr>
            <w:tcW w:w="993" w:type="dxa"/>
          </w:tcPr>
          <w:p w14:paraId="2BD20E56">
            <w:pPr>
              <w:pStyle w:val="174"/>
              <w:wordWrap w:val="0"/>
              <w:spacing w:line="360" w:lineRule="auto"/>
              <w:jc w:val="center"/>
              <w:rPr>
                <w:rFonts w:ascii="宋体" w:hAnsi="宋体" w:cs="宋体"/>
                <w:color w:val="auto"/>
                <w:szCs w:val="21"/>
                <w:highlight w:val="none"/>
              </w:rPr>
            </w:pPr>
          </w:p>
        </w:tc>
        <w:tc>
          <w:tcPr>
            <w:tcW w:w="850" w:type="dxa"/>
          </w:tcPr>
          <w:p w14:paraId="4DFB63C5">
            <w:pPr>
              <w:pStyle w:val="174"/>
              <w:wordWrap w:val="0"/>
              <w:spacing w:line="360" w:lineRule="auto"/>
              <w:jc w:val="center"/>
              <w:rPr>
                <w:rFonts w:ascii="宋体" w:hAnsi="宋体" w:cs="宋体"/>
                <w:color w:val="auto"/>
                <w:szCs w:val="21"/>
                <w:highlight w:val="none"/>
              </w:rPr>
            </w:pPr>
          </w:p>
        </w:tc>
        <w:tc>
          <w:tcPr>
            <w:tcW w:w="1177" w:type="dxa"/>
          </w:tcPr>
          <w:p w14:paraId="6A2B7C54">
            <w:pPr>
              <w:pStyle w:val="174"/>
              <w:wordWrap w:val="0"/>
              <w:spacing w:line="360" w:lineRule="auto"/>
              <w:jc w:val="center"/>
              <w:rPr>
                <w:rFonts w:ascii="宋体" w:hAnsi="宋体" w:cs="宋体"/>
                <w:color w:val="auto"/>
                <w:szCs w:val="21"/>
                <w:highlight w:val="none"/>
              </w:rPr>
            </w:pPr>
          </w:p>
        </w:tc>
        <w:tc>
          <w:tcPr>
            <w:tcW w:w="1049" w:type="dxa"/>
            <w:vAlign w:val="center"/>
          </w:tcPr>
          <w:p w14:paraId="5A8409A4">
            <w:pPr>
              <w:pStyle w:val="174"/>
              <w:wordWrap w:val="0"/>
              <w:spacing w:line="360" w:lineRule="auto"/>
              <w:jc w:val="center"/>
              <w:rPr>
                <w:rFonts w:ascii="宋体" w:hAnsi="宋体" w:cs="宋体"/>
                <w:color w:val="auto"/>
                <w:szCs w:val="21"/>
                <w:highlight w:val="none"/>
              </w:rPr>
            </w:pPr>
          </w:p>
        </w:tc>
        <w:tc>
          <w:tcPr>
            <w:tcW w:w="1049" w:type="dxa"/>
          </w:tcPr>
          <w:p w14:paraId="66E2CC2C">
            <w:pPr>
              <w:pStyle w:val="174"/>
              <w:wordWrap w:val="0"/>
              <w:spacing w:line="360" w:lineRule="auto"/>
              <w:jc w:val="center"/>
              <w:rPr>
                <w:rFonts w:ascii="宋体" w:hAnsi="宋体" w:cs="宋体"/>
                <w:color w:val="auto"/>
                <w:szCs w:val="21"/>
                <w:highlight w:val="none"/>
              </w:rPr>
            </w:pPr>
          </w:p>
        </w:tc>
      </w:tr>
      <w:tr w14:paraId="7F102F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737" w:type="dxa"/>
          </w:tcPr>
          <w:p w14:paraId="32D4DF8F">
            <w:pPr>
              <w:pStyle w:val="174"/>
              <w:wordWrap w:val="0"/>
              <w:spacing w:line="360" w:lineRule="auto"/>
              <w:jc w:val="center"/>
              <w:rPr>
                <w:rFonts w:ascii="宋体" w:hAnsi="宋体" w:cs="宋体"/>
                <w:color w:val="auto"/>
                <w:szCs w:val="21"/>
                <w:highlight w:val="none"/>
              </w:rPr>
            </w:pPr>
          </w:p>
        </w:tc>
        <w:tc>
          <w:tcPr>
            <w:tcW w:w="1633" w:type="dxa"/>
          </w:tcPr>
          <w:p w14:paraId="3FC1389A">
            <w:pPr>
              <w:pStyle w:val="174"/>
              <w:wordWrap w:val="0"/>
              <w:spacing w:line="360" w:lineRule="auto"/>
              <w:jc w:val="center"/>
              <w:rPr>
                <w:rFonts w:ascii="宋体" w:hAnsi="宋体" w:cs="宋体"/>
                <w:color w:val="auto"/>
                <w:szCs w:val="21"/>
                <w:highlight w:val="none"/>
              </w:rPr>
            </w:pPr>
          </w:p>
        </w:tc>
        <w:tc>
          <w:tcPr>
            <w:tcW w:w="1276" w:type="dxa"/>
          </w:tcPr>
          <w:p w14:paraId="51E4CF0C">
            <w:pPr>
              <w:pStyle w:val="174"/>
              <w:wordWrap w:val="0"/>
              <w:spacing w:line="360" w:lineRule="auto"/>
              <w:jc w:val="center"/>
              <w:rPr>
                <w:rFonts w:ascii="宋体" w:hAnsi="宋体" w:cs="宋体"/>
                <w:color w:val="auto"/>
                <w:szCs w:val="21"/>
                <w:highlight w:val="none"/>
              </w:rPr>
            </w:pPr>
          </w:p>
        </w:tc>
        <w:tc>
          <w:tcPr>
            <w:tcW w:w="992" w:type="dxa"/>
          </w:tcPr>
          <w:p w14:paraId="476427E1">
            <w:pPr>
              <w:pStyle w:val="174"/>
              <w:wordWrap w:val="0"/>
              <w:spacing w:line="360" w:lineRule="auto"/>
              <w:jc w:val="center"/>
              <w:rPr>
                <w:rFonts w:ascii="宋体" w:hAnsi="宋体" w:cs="宋体"/>
                <w:color w:val="auto"/>
                <w:szCs w:val="21"/>
                <w:highlight w:val="none"/>
              </w:rPr>
            </w:pPr>
          </w:p>
        </w:tc>
        <w:tc>
          <w:tcPr>
            <w:tcW w:w="993" w:type="dxa"/>
          </w:tcPr>
          <w:p w14:paraId="55483FCF">
            <w:pPr>
              <w:pStyle w:val="174"/>
              <w:wordWrap w:val="0"/>
              <w:spacing w:line="360" w:lineRule="auto"/>
              <w:jc w:val="center"/>
              <w:rPr>
                <w:rFonts w:ascii="宋体" w:hAnsi="宋体" w:cs="宋体"/>
                <w:color w:val="auto"/>
                <w:szCs w:val="21"/>
                <w:highlight w:val="none"/>
              </w:rPr>
            </w:pPr>
          </w:p>
        </w:tc>
        <w:tc>
          <w:tcPr>
            <w:tcW w:w="850" w:type="dxa"/>
          </w:tcPr>
          <w:p w14:paraId="2A47B1E2">
            <w:pPr>
              <w:pStyle w:val="174"/>
              <w:wordWrap w:val="0"/>
              <w:spacing w:line="360" w:lineRule="auto"/>
              <w:jc w:val="center"/>
              <w:rPr>
                <w:rFonts w:ascii="宋体" w:hAnsi="宋体" w:cs="宋体"/>
                <w:color w:val="auto"/>
                <w:szCs w:val="21"/>
                <w:highlight w:val="none"/>
              </w:rPr>
            </w:pPr>
          </w:p>
        </w:tc>
        <w:tc>
          <w:tcPr>
            <w:tcW w:w="1177" w:type="dxa"/>
          </w:tcPr>
          <w:p w14:paraId="1446A370">
            <w:pPr>
              <w:pStyle w:val="174"/>
              <w:wordWrap w:val="0"/>
              <w:spacing w:line="360" w:lineRule="auto"/>
              <w:jc w:val="center"/>
              <w:rPr>
                <w:rFonts w:ascii="宋体" w:hAnsi="宋体" w:cs="宋体"/>
                <w:color w:val="auto"/>
                <w:szCs w:val="21"/>
                <w:highlight w:val="none"/>
              </w:rPr>
            </w:pPr>
          </w:p>
        </w:tc>
        <w:tc>
          <w:tcPr>
            <w:tcW w:w="1049" w:type="dxa"/>
            <w:vAlign w:val="center"/>
          </w:tcPr>
          <w:p w14:paraId="6E27F453">
            <w:pPr>
              <w:pStyle w:val="174"/>
              <w:wordWrap w:val="0"/>
              <w:spacing w:line="360" w:lineRule="auto"/>
              <w:jc w:val="center"/>
              <w:rPr>
                <w:rFonts w:ascii="宋体" w:hAnsi="宋体" w:cs="宋体"/>
                <w:color w:val="auto"/>
                <w:szCs w:val="21"/>
                <w:highlight w:val="none"/>
              </w:rPr>
            </w:pPr>
          </w:p>
        </w:tc>
        <w:tc>
          <w:tcPr>
            <w:tcW w:w="1049" w:type="dxa"/>
          </w:tcPr>
          <w:p w14:paraId="0ACECFF7">
            <w:pPr>
              <w:pStyle w:val="174"/>
              <w:wordWrap w:val="0"/>
              <w:spacing w:line="360" w:lineRule="auto"/>
              <w:jc w:val="center"/>
              <w:rPr>
                <w:rFonts w:ascii="宋体" w:hAnsi="宋体" w:cs="宋体"/>
                <w:color w:val="auto"/>
                <w:szCs w:val="21"/>
                <w:highlight w:val="none"/>
              </w:rPr>
            </w:pPr>
          </w:p>
        </w:tc>
      </w:tr>
      <w:tr w14:paraId="5A1B5F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737" w:type="dxa"/>
          </w:tcPr>
          <w:p w14:paraId="54B647E9">
            <w:pPr>
              <w:pStyle w:val="174"/>
              <w:wordWrap w:val="0"/>
              <w:spacing w:line="360" w:lineRule="auto"/>
              <w:jc w:val="center"/>
              <w:rPr>
                <w:rFonts w:ascii="宋体" w:hAnsi="宋体" w:cs="宋体"/>
                <w:color w:val="auto"/>
                <w:szCs w:val="21"/>
                <w:highlight w:val="none"/>
              </w:rPr>
            </w:pPr>
          </w:p>
        </w:tc>
        <w:tc>
          <w:tcPr>
            <w:tcW w:w="1633" w:type="dxa"/>
          </w:tcPr>
          <w:p w14:paraId="43BBADDC">
            <w:pPr>
              <w:pStyle w:val="174"/>
              <w:wordWrap w:val="0"/>
              <w:spacing w:line="360" w:lineRule="auto"/>
              <w:jc w:val="center"/>
              <w:rPr>
                <w:rFonts w:ascii="宋体" w:hAnsi="宋体" w:cs="宋体"/>
                <w:color w:val="auto"/>
                <w:szCs w:val="21"/>
                <w:highlight w:val="none"/>
              </w:rPr>
            </w:pPr>
          </w:p>
        </w:tc>
        <w:tc>
          <w:tcPr>
            <w:tcW w:w="1276" w:type="dxa"/>
          </w:tcPr>
          <w:p w14:paraId="31E41F6C">
            <w:pPr>
              <w:pStyle w:val="174"/>
              <w:wordWrap w:val="0"/>
              <w:spacing w:line="360" w:lineRule="auto"/>
              <w:jc w:val="center"/>
              <w:rPr>
                <w:rFonts w:ascii="宋体" w:hAnsi="宋体" w:cs="宋体"/>
                <w:color w:val="auto"/>
                <w:szCs w:val="21"/>
                <w:highlight w:val="none"/>
              </w:rPr>
            </w:pPr>
          </w:p>
        </w:tc>
        <w:tc>
          <w:tcPr>
            <w:tcW w:w="992" w:type="dxa"/>
          </w:tcPr>
          <w:p w14:paraId="26190E07">
            <w:pPr>
              <w:pStyle w:val="174"/>
              <w:wordWrap w:val="0"/>
              <w:spacing w:line="360" w:lineRule="auto"/>
              <w:jc w:val="center"/>
              <w:rPr>
                <w:rFonts w:ascii="宋体" w:hAnsi="宋体" w:cs="宋体"/>
                <w:color w:val="auto"/>
                <w:szCs w:val="21"/>
                <w:highlight w:val="none"/>
              </w:rPr>
            </w:pPr>
          </w:p>
        </w:tc>
        <w:tc>
          <w:tcPr>
            <w:tcW w:w="993" w:type="dxa"/>
          </w:tcPr>
          <w:p w14:paraId="13E37ED6">
            <w:pPr>
              <w:pStyle w:val="174"/>
              <w:wordWrap w:val="0"/>
              <w:spacing w:line="360" w:lineRule="auto"/>
              <w:jc w:val="center"/>
              <w:rPr>
                <w:rFonts w:ascii="宋体" w:hAnsi="宋体" w:cs="宋体"/>
                <w:color w:val="auto"/>
                <w:szCs w:val="21"/>
                <w:highlight w:val="none"/>
              </w:rPr>
            </w:pPr>
          </w:p>
        </w:tc>
        <w:tc>
          <w:tcPr>
            <w:tcW w:w="850" w:type="dxa"/>
          </w:tcPr>
          <w:p w14:paraId="2311E2A4">
            <w:pPr>
              <w:pStyle w:val="174"/>
              <w:wordWrap w:val="0"/>
              <w:spacing w:line="360" w:lineRule="auto"/>
              <w:jc w:val="center"/>
              <w:rPr>
                <w:rFonts w:ascii="宋体" w:hAnsi="宋体" w:cs="宋体"/>
                <w:color w:val="auto"/>
                <w:szCs w:val="21"/>
                <w:highlight w:val="none"/>
              </w:rPr>
            </w:pPr>
          </w:p>
        </w:tc>
        <w:tc>
          <w:tcPr>
            <w:tcW w:w="1177" w:type="dxa"/>
          </w:tcPr>
          <w:p w14:paraId="4972A3C1">
            <w:pPr>
              <w:pStyle w:val="174"/>
              <w:wordWrap w:val="0"/>
              <w:spacing w:line="360" w:lineRule="auto"/>
              <w:jc w:val="center"/>
              <w:rPr>
                <w:rFonts w:ascii="宋体" w:hAnsi="宋体" w:cs="宋体"/>
                <w:color w:val="auto"/>
                <w:szCs w:val="21"/>
                <w:highlight w:val="none"/>
              </w:rPr>
            </w:pPr>
          </w:p>
        </w:tc>
        <w:tc>
          <w:tcPr>
            <w:tcW w:w="1049" w:type="dxa"/>
            <w:vAlign w:val="center"/>
          </w:tcPr>
          <w:p w14:paraId="20D381A7">
            <w:pPr>
              <w:pStyle w:val="174"/>
              <w:wordWrap w:val="0"/>
              <w:spacing w:line="360" w:lineRule="auto"/>
              <w:jc w:val="center"/>
              <w:rPr>
                <w:rFonts w:ascii="宋体" w:hAnsi="宋体" w:cs="宋体"/>
                <w:color w:val="auto"/>
                <w:szCs w:val="21"/>
                <w:highlight w:val="none"/>
              </w:rPr>
            </w:pPr>
          </w:p>
        </w:tc>
        <w:tc>
          <w:tcPr>
            <w:tcW w:w="1049" w:type="dxa"/>
          </w:tcPr>
          <w:p w14:paraId="67FA161A">
            <w:pPr>
              <w:pStyle w:val="174"/>
              <w:wordWrap w:val="0"/>
              <w:spacing w:line="360" w:lineRule="auto"/>
              <w:jc w:val="center"/>
              <w:rPr>
                <w:rFonts w:ascii="宋体" w:hAnsi="宋体" w:cs="宋体"/>
                <w:color w:val="auto"/>
                <w:szCs w:val="21"/>
                <w:highlight w:val="none"/>
              </w:rPr>
            </w:pPr>
          </w:p>
        </w:tc>
      </w:tr>
      <w:tr w14:paraId="1D03AD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737" w:type="dxa"/>
            <w:vAlign w:val="center"/>
          </w:tcPr>
          <w:p w14:paraId="6566175D">
            <w:pPr>
              <w:pStyle w:val="174"/>
              <w:wordWrap w:val="0"/>
              <w:spacing w:line="360" w:lineRule="auto"/>
              <w:jc w:val="center"/>
              <w:rPr>
                <w:rFonts w:ascii="宋体" w:hAnsi="宋体" w:cs="宋体"/>
                <w:color w:val="auto"/>
                <w:szCs w:val="21"/>
                <w:highlight w:val="none"/>
              </w:rPr>
            </w:pPr>
          </w:p>
        </w:tc>
        <w:tc>
          <w:tcPr>
            <w:tcW w:w="4894" w:type="dxa"/>
            <w:gridSpan w:val="4"/>
            <w:vAlign w:val="center"/>
          </w:tcPr>
          <w:p w14:paraId="2F132A45">
            <w:pPr>
              <w:pStyle w:val="174"/>
              <w:wordWrap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投标总价</w:t>
            </w:r>
          </w:p>
        </w:tc>
        <w:tc>
          <w:tcPr>
            <w:tcW w:w="850" w:type="dxa"/>
            <w:vAlign w:val="center"/>
          </w:tcPr>
          <w:p w14:paraId="1C8DC806">
            <w:pPr>
              <w:pStyle w:val="174"/>
              <w:wordWrap w:val="0"/>
              <w:spacing w:line="360" w:lineRule="auto"/>
              <w:jc w:val="center"/>
              <w:rPr>
                <w:rFonts w:ascii="宋体" w:hAnsi="宋体" w:cs="宋体"/>
                <w:color w:val="auto"/>
                <w:szCs w:val="21"/>
                <w:highlight w:val="none"/>
              </w:rPr>
            </w:pPr>
          </w:p>
        </w:tc>
        <w:tc>
          <w:tcPr>
            <w:tcW w:w="3275" w:type="dxa"/>
            <w:gridSpan w:val="3"/>
            <w:vAlign w:val="center"/>
          </w:tcPr>
          <w:p w14:paraId="6199BB35">
            <w:pPr>
              <w:pStyle w:val="15"/>
              <w:rPr>
                <w:rFonts w:ascii="宋体" w:hAnsi="宋体" w:cs="宋体"/>
                <w:color w:val="auto"/>
                <w:szCs w:val="21"/>
                <w:highlight w:val="none"/>
              </w:rPr>
            </w:pPr>
          </w:p>
        </w:tc>
      </w:tr>
    </w:tbl>
    <w:p w14:paraId="006BA049">
      <w:pPr>
        <w:pStyle w:val="174"/>
        <w:wordWrap w:val="0"/>
        <w:spacing w:line="360" w:lineRule="auto"/>
        <w:rPr>
          <w:rFonts w:ascii="宋体" w:hAnsi="宋体" w:cs="宋体"/>
          <w:color w:val="auto"/>
          <w:szCs w:val="21"/>
          <w:highlight w:val="none"/>
        </w:rPr>
      </w:pPr>
      <w:r>
        <w:rPr>
          <w:rFonts w:hint="eastAsia" w:ascii="宋体" w:hAnsi="宋体" w:cs="宋体"/>
          <w:color w:val="auto"/>
          <w:szCs w:val="21"/>
          <w:highlight w:val="none"/>
        </w:rPr>
        <w:t>说明：1、投标人必须填写报价明细表，否则将导致投标被拒绝。</w:t>
      </w:r>
    </w:p>
    <w:p w14:paraId="1E89738B">
      <w:pPr>
        <w:pStyle w:val="174"/>
        <w:wordWrap w:val="0"/>
        <w:spacing w:line="360" w:lineRule="auto"/>
        <w:rPr>
          <w:rFonts w:ascii="宋体" w:hAnsi="宋体" w:cs="宋体"/>
          <w:color w:val="auto"/>
          <w:szCs w:val="21"/>
          <w:highlight w:val="none"/>
        </w:rPr>
      </w:pPr>
      <w:r>
        <w:rPr>
          <w:rFonts w:hint="eastAsia" w:ascii="宋体" w:hAnsi="宋体" w:cs="宋体"/>
          <w:color w:val="auto"/>
          <w:szCs w:val="21"/>
          <w:highlight w:val="none"/>
        </w:rPr>
        <w:t>2、报价分析表中的“投标总价”应等于“开标一览表”中的“投标总价”。</w:t>
      </w:r>
    </w:p>
    <w:p w14:paraId="6D54673D">
      <w:pPr>
        <w:pStyle w:val="174"/>
        <w:wordWrap w:val="0"/>
        <w:spacing w:line="360" w:lineRule="auto"/>
        <w:rPr>
          <w:rFonts w:ascii="宋体" w:hAnsi="宋体" w:cs="宋体"/>
          <w:color w:val="auto"/>
          <w:szCs w:val="21"/>
          <w:highlight w:val="none"/>
        </w:rPr>
      </w:pPr>
      <w:r>
        <w:rPr>
          <w:rFonts w:hint="eastAsia" w:ascii="宋体" w:hAnsi="宋体" w:cs="宋体"/>
          <w:color w:val="auto"/>
          <w:szCs w:val="21"/>
          <w:highlight w:val="none"/>
        </w:rPr>
        <w:t>3、报价项目填报不下的，可自行扩展。</w:t>
      </w:r>
    </w:p>
    <w:p w14:paraId="7F2BF43F">
      <w:pPr>
        <w:pStyle w:val="174"/>
        <w:wordWrap w:val="0"/>
        <w:spacing w:line="360" w:lineRule="auto"/>
        <w:rPr>
          <w:rFonts w:ascii="宋体" w:hAnsi="宋体" w:cs="宋体"/>
          <w:color w:val="auto"/>
          <w:szCs w:val="21"/>
          <w:highlight w:val="none"/>
        </w:rPr>
      </w:pPr>
      <w:r>
        <w:rPr>
          <w:rFonts w:hint="eastAsia" w:ascii="宋体" w:hAnsi="宋体" w:cs="宋体"/>
          <w:color w:val="auto"/>
          <w:szCs w:val="21"/>
          <w:highlight w:val="none"/>
        </w:rPr>
        <w:t>4、上表中“企业类型”栏填写“中型/小型/微型/监狱企业/残疾人福利性单位”,划型标准见投标须知前附表。</w:t>
      </w:r>
    </w:p>
    <w:p w14:paraId="7B8DA66C">
      <w:pPr>
        <w:pStyle w:val="174"/>
        <w:wordWrap w:val="0"/>
        <w:spacing w:line="360" w:lineRule="auto"/>
        <w:rPr>
          <w:rFonts w:ascii="宋体" w:hAnsi="宋体" w:cs="宋体"/>
          <w:color w:val="auto"/>
          <w:szCs w:val="21"/>
          <w:highlight w:val="none"/>
        </w:rPr>
      </w:pPr>
      <w:r>
        <w:rPr>
          <w:rFonts w:hint="eastAsia" w:ascii="宋体" w:hAnsi="宋体" w:cs="宋体"/>
          <w:color w:val="auto"/>
          <w:szCs w:val="21"/>
          <w:highlight w:val="none"/>
        </w:rPr>
        <w:t>5、根据本项目落实政府采购政策需满足的资格要求，一标段产品制造商均应为中小微企业，二标段产品制造商为中小微企业的产品金额应不低于本采购项目落实政府采购政策需满足的资格要求中规定的份额要求。</w:t>
      </w:r>
    </w:p>
    <w:p w14:paraId="6403B142">
      <w:pPr>
        <w:pStyle w:val="174"/>
        <w:wordWrap w:val="0"/>
        <w:spacing w:line="360" w:lineRule="auto"/>
        <w:rPr>
          <w:rFonts w:ascii="宋体" w:hAnsi="宋体" w:cs="宋体"/>
          <w:color w:val="auto"/>
          <w:szCs w:val="21"/>
          <w:highlight w:val="none"/>
        </w:rPr>
      </w:pPr>
    </w:p>
    <w:p w14:paraId="36E356E9">
      <w:pPr>
        <w:pStyle w:val="174"/>
        <w:ind w:firstLine="4252" w:firstLineChars="2025"/>
        <w:rPr>
          <w:rFonts w:ascii="宋体" w:hAnsi="宋体" w:cs="宋体"/>
          <w:color w:val="auto"/>
          <w:szCs w:val="21"/>
          <w:highlight w:val="none"/>
        </w:rPr>
      </w:pPr>
    </w:p>
    <w:p w14:paraId="217780DA">
      <w:pPr>
        <w:pStyle w:val="174"/>
        <w:ind w:firstLine="4252" w:firstLineChars="2025"/>
        <w:rPr>
          <w:rFonts w:ascii="宋体" w:hAnsi="宋体" w:cs="宋体"/>
          <w:color w:val="auto"/>
          <w:szCs w:val="21"/>
          <w:highlight w:val="none"/>
        </w:rPr>
      </w:pPr>
      <w:r>
        <w:rPr>
          <w:rFonts w:hint="eastAsia" w:ascii="宋体" w:hAnsi="宋体" w:cs="宋体"/>
          <w:color w:val="auto"/>
          <w:szCs w:val="21"/>
          <w:highlight w:val="none"/>
        </w:rPr>
        <w:t>投标人名称（章）：</w:t>
      </w:r>
    </w:p>
    <w:p w14:paraId="39233BC6">
      <w:pPr>
        <w:pStyle w:val="174"/>
        <w:ind w:firstLine="4252" w:firstLineChars="2025"/>
        <w:rPr>
          <w:rFonts w:ascii="宋体" w:hAnsi="宋体" w:cs="宋体"/>
          <w:color w:val="auto"/>
          <w:szCs w:val="21"/>
          <w:highlight w:val="none"/>
        </w:rPr>
      </w:pPr>
      <w:r>
        <w:rPr>
          <w:rFonts w:hint="eastAsia" w:ascii="宋体" w:hAnsi="宋体" w:cs="宋体"/>
          <w:color w:val="auto"/>
          <w:szCs w:val="21"/>
          <w:highlight w:val="none"/>
        </w:rPr>
        <w:t>法定代表人或其委托代理人：         （签字）</w:t>
      </w:r>
    </w:p>
    <w:p w14:paraId="7ECCC078">
      <w:pPr>
        <w:pStyle w:val="174"/>
        <w:wordWrap w:val="0"/>
        <w:jc w:val="right"/>
        <w:rPr>
          <w:rFonts w:ascii="宋体" w:hAnsi="宋体" w:cs="宋体"/>
          <w:color w:val="auto"/>
          <w:sz w:val="24"/>
          <w:szCs w:val="24"/>
          <w:highlight w:val="none"/>
        </w:rPr>
      </w:pPr>
      <w:r>
        <w:rPr>
          <w:rFonts w:hint="eastAsia" w:ascii="宋体" w:hAnsi="宋体" w:cs="宋体"/>
          <w:color w:val="auto"/>
          <w:szCs w:val="21"/>
          <w:highlight w:val="none"/>
        </w:rPr>
        <w:t>年   月   日</w:t>
      </w:r>
    </w:p>
    <w:p w14:paraId="0F1B0EDE">
      <w:pPr>
        <w:rPr>
          <w:rFonts w:ascii="宋体" w:hAnsi="宋体" w:cs="宋体"/>
          <w:color w:val="auto"/>
          <w:kern w:val="0"/>
          <w:sz w:val="24"/>
          <w:szCs w:val="24"/>
          <w:highlight w:val="none"/>
        </w:rPr>
      </w:pPr>
      <w:r>
        <w:rPr>
          <w:rFonts w:ascii="宋体" w:hAnsi="宋体" w:cs="宋体"/>
          <w:color w:val="auto"/>
          <w:kern w:val="0"/>
          <w:sz w:val="24"/>
          <w:szCs w:val="24"/>
          <w:highlight w:val="none"/>
        </w:rPr>
        <w:br w:type="page"/>
      </w:r>
    </w:p>
    <w:p w14:paraId="5132A185">
      <w:pPr>
        <w:wordWrap w:val="0"/>
        <w:jc w:val="center"/>
        <w:rPr>
          <w:rFonts w:ascii="宋体" w:hAnsi="宋体" w:cs="宋体"/>
          <w:b/>
          <w:bCs/>
          <w:color w:val="auto"/>
          <w:kern w:val="0"/>
          <w:sz w:val="36"/>
          <w:szCs w:val="36"/>
          <w:highlight w:val="none"/>
        </w:rPr>
      </w:pPr>
      <w:bookmarkStart w:id="46" w:name="_Toc10918"/>
      <w:r>
        <w:rPr>
          <w:rFonts w:hint="eastAsia" w:ascii="宋体" w:hAnsi="宋体" w:cs="宋体"/>
          <w:b/>
          <w:bCs/>
          <w:color w:val="auto"/>
          <w:kern w:val="0"/>
          <w:sz w:val="36"/>
          <w:szCs w:val="36"/>
          <w:highlight w:val="none"/>
        </w:rPr>
        <w:t>五、投标人基本情况表</w:t>
      </w:r>
      <w:bookmarkEnd w:id="46"/>
    </w:p>
    <w:p w14:paraId="748FBB5E">
      <w:pPr>
        <w:wordWrap w:val="0"/>
        <w:spacing w:line="360" w:lineRule="auto"/>
        <w:rPr>
          <w:rFonts w:ascii="宋体" w:hAnsi="宋体" w:cs="宋体"/>
          <w:b/>
          <w:bCs/>
          <w:color w:val="auto"/>
          <w:kern w:val="0"/>
          <w:szCs w:val="21"/>
          <w:highlight w:val="none"/>
        </w:rPr>
      </w:pPr>
      <w:r>
        <w:rPr>
          <w:rFonts w:hint="eastAsia" w:ascii="宋体" w:hAnsi="宋体" w:cs="宋体"/>
          <w:b/>
          <w:bCs/>
          <w:color w:val="auto"/>
          <w:kern w:val="0"/>
          <w:szCs w:val="21"/>
          <w:highlight w:val="none"/>
        </w:rPr>
        <w:t>盖投标人单位公章</w:t>
      </w:r>
    </w:p>
    <w:tbl>
      <w:tblPr>
        <w:tblStyle w:val="40"/>
        <w:tblW w:w="86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1"/>
        <w:gridCol w:w="416"/>
        <w:gridCol w:w="798"/>
        <w:gridCol w:w="782"/>
        <w:gridCol w:w="1716"/>
        <w:gridCol w:w="159"/>
        <w:gridCol w:w="781"/>
        <w:gridCol w:w="569"/>
        <w:gridCol w:w="1010"/>
        <w:gridCol w:w="465"/>
        <w:gridCol w:w="1213"/>
      </w:tblGrid>
      <w:tr w14:paraId="10A2FD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1965" w:type="dxa"/>
            <w:gridSpan w:val="3"/>
            <w:vAlign w:val="center"/>
          </w:tcPr>
          <w:p w14:paraId="2717D1D7">
            <w:pPr>
              <w:wordWrap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投标人名称</w:t>
            </w:r>
          </w:p>
        </w:tc>
        <w:tc>
          <w:tcPr>
            <w:tcW w:w="4007" w:type="dxa"/>
            <w:gridSpan w:val="5"/>
            <w:vAlign w:val="center"/>
          </w:tcPr>
          <w:p w14:paraId="0E59E416">
            <w:pPr>
              <w:wordWrap w:val="0"/>
              <w:spacing w:line="360" w:lineRule="auto"/>
              <w:jc w:val="center"/>
              <w:rPr>
                <w:rFonts w:ascii="宋体" w:hAnsi="宋体" w:cs="宋体"/>
                <w:color w:val="auto"/>
                <w:kern w:val="0"/>
                <w:szCs w:val="21"/>
                <w:highlight w:val="none"/>
              </w:rPr>
            </w:pPr>
          </w:p>
        </w:tc>
        <w:tc>
          <w:tcPr>
            <w:tcW w:w="1475" w:type="dxa"/>
            <w:gridSpan w:val="2"/>
            <w:vAlign w:val="center"/>
          </w:tcPr>
          <w:p w14:paraId="5011AB4A">
            <w:pPr>
              <w:wordWrap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法定代表人</w:t>
            </w:r>
          </w:p>
        </w:tc>
        <w:tc>
          <w:tcPr>
            <w:tcW w:w="1213" w:type="dxa"/>
            <w:vAlign w:val="center"/>
          </w:tcPr>
          <w:p w14:paraId="267C0BCF">
            <w:pPr>
              <w:wordWrap w:val="0"/>
              <w:spacing w:line="360" w:lineRule="auto"/>
              <w:jc w:val="center"/>
              <w:rPr>
                <w:rFonts w:ascii="宋体" w:hAnsi="宋体" w:cs="宋体"/>
                <w:color w:val="auto"/>
                <w:kern w:val="0"/>
                <w:szCs w:val="21"/>
                <w:highlight w:val="none"/>
              </w:rPr>
            </w:pPr>
          </w:p>
        </w:tc>
      </w:tr>
      <w:tr w14:paraId="083339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1965" w:type="dxa"/>
            <w:gridSpan w:val="3"/>
            <w:vAlign w:val="center"/>
          </w:tcPr>
          <w:p w14:paraId="2BD31D63">
            <w:pPr>
              <w:wordWrap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组织机构代码</w:t>
            </w:r>
          </w:p>
        </w:tc>
        <w:tc>
          <w:tcPr>
            <w:tcW w:w="4007" w:type="dxa"/>
            <w:gridSpan w:val="5"/>
            <w:vAlign w:val="center"/>
          </w:tcPr>
          <w:p w14:paraId="1DC9CE46">
            <w:pPr>
              <w:wordWrap w:val="0"/>
              <w:spacing w:line="360" w:lineRule="auto"/>
              <w:jc w:val="center"/>
              <w:rPr>
                <w:rFonts w:ascii="宋体" w:hAnsi="宋体" w:cs="宋体"/>
                <w:color w:val="auto"/>
                <w:kern w:val="0"/>
                <w:szCs w:val="21"/>
                <w:highlight w:val="none"/>
              </w:rPr>
            </w:pPr>
          </w:p>
        </w:tc>
        <w:tc>
          <w:tcPr>
            <w:tcW w:w="1475" w:type="dxa"/>
            <w:gridSpan w:val="2"/>
            <w:vAlign w:val="center"/>
          </w:tcPr>
          <w:p w14:paraId="4C6E3266">
            <w:pPr>
              <w:wordWrap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邮政编码</w:t>
            </w:r>
          </w:p>
        </w:tc>
        <w:tc>
          <w:tcPr>
            <w:tcW w:w="1213" w:type="dxa"/>
            <w:vAlign w:val="center"/>
          </w:tcPr>
          <w:p w14:paraId="0487AFF9">
            <w:pPr>
              <w:wordWrap w:val="0"/>
              <w:spacing w:line="360" w:lineRule="auto"/>
              <w:jc w:val="center"/>
              <w:rPr>
                <w:rFonts w:ascii="宋体" w:hAnsi="宋体" w:cs="宋体"/>
                <w:color w:val="auto"/>
                <w:kern w:val="0"/>
                <w:szCs w:val="21"/>
                <w:highlight w:val="none"/>
              </w:rPr>
            </w:pPr>
          </w:p>
        </w:tc>
      </w:tr>
      <w:tr w14:paraId="4911E1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1965" w:type="dxa"/>
            <w:gridSpan w:val="3"/>
            <w:vAlign w:val="center"/>
          </w:tcPr>
          <w:p w14:paraId="352BBDB7">
            <w:pPr>
              <w:wordWrap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委托代理人</w:t>
            </w:r>
          </w:p>
        </w:tc>
        <w:tc>
          <w:tcPr>
            <w:tcW w:w="4007" w:type="dxa"/>
            <w:gridSpan w:val="5"/>
            <w:vAlign w:val="center"/>
          </w:tcPr>
          <w:p w14:paraId="6F04B14B">
            <w:pPr>
              <w:wordWrap w:val="0"/>
              <w:spacing w:line="360" w:lineRule="auto"/>
              <w:jc w:val="center"/>
              <w:rPr>
                <w:rFonts w:ascii="宋体" w:hAnsi="宋体" w:cs="宋体"/>
                <w:color w:val="auto"/>
                <w:kern w:val="0"/>
                <w:szCs w:val="21"/>
                <w:highlight w:val="none"/>
              </w:rPr>
            </w:pPr>
          </w:p>
        </w:tc>
        <w:tc>
          <w:tcPr>
            <w:tcW w:w="1475" w:type="dxa"/>
            <w:gridSpan w:val="2"/>
            <w:vAlign w:val="center"/>
          </w:tcPr>
          <w:p w14:paraId="6AAF59A2">
            <w:pPr>
              <w:wordWrap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电子邮箱</w:t>
            </w:r>
          </w:p>
        </w:tc>
        <w:tc>
          <w:tcPr>
            <w:tcW w:w="1213" w:type="dxa"/>
            <w:vAlign w:val="center"/>
          </w:tcPr>
          <w:p w14:paraId="444B707E">
            <w:pPr>
              <w:wordWrap w:val="0"/>
              <w:spacing w:line="360" w:lineRule="auto"/>
              <w:jc w:val="center"/>
              <w:rPr>
                <w:rFonts w:ascii="宋体" w:hAnsi="宋体" w:cs="宋体"/>
                <w:color w:val="auto"/>
                <w:kern w:val="0"/>
                <w:szCs w:val="21"/>
                <w:highlight w:val="none"/>
              </w:rPr>
            </w:pPr>
          </w:p>
        </w:tc>
      </w:tr>
      <w:tr w14:paraId="258388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1965" w:type="dxa"/>
            <w:gridSpan w:val="3"/>
            <w:vAlign w:val="center"/>
          </w:tcPr>
          <w:p w14:paraId="5C90C3D3">
            <w:pPr>
              <w:wordWrap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上年营业收入</w:t>
            </w:r>
          </w:p>
        </w:tc>
        <w:tc>
          <w:tcPr>
            <w:tcW w:w="4007" w:type="dxa"/>
            <w:gridSpan w:val="5"/>
            <w:vAlign w:val="center"/>
          </w:tcPr>
          <w:p w14:paraId="56BE6F1E">
            <w:pPr>
              <w:wordWrap w:val="0"/>
              <w:spacing w:line="360" w:lineRule="auto"/>
              <w:jc w:val="center"/>
              <w:rPr>
                <w:rFonts w:ascii="宋体" w:hAnsi="宋体" w:cs="宋体"/>
                <w:color w:val="auto"/>
                <w:kern w:val="0"/>
                <w:szCs w:val="21"/>
                <w:highlight w:val="none"/>
              </w:rPr>
            </w:pPr>
          </w:p>
        </w:tc>
        <w:tc>
          <w:tcPr>
            <w:tcW w:w="1475" w:type="dxa"/>
            <w:gridSpan w:val="2"/>
            <w:vAlign w:val="center"/>
          </w:tcPr>
          <w:p w14:paraId="7E0BC735">
            <w:pPr>
              <w:wordWrap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员工总人数</w:t>
            </w:r>
          </w:p>
        </w:tc>
        <w:tc>
          <w:tcPr>
            <w:tcW w:w="1213" w:type="dxa"/>
            <w:vAlign w:val="center"/>
          </w:tcPr>
          <w:p w14:paraId="7789AC10">
            <w:pPr>
              <w:wordWrap w:val="0"/>
              <w:spacing w:line="360" w:lineRule="auto"/>
              <w:jc w:val="center"/>
              <w:rPr>
                <w:rFonts w:ascii="宋体" w:hAnsi="宋体" w:cs="宋体"/>
                <w:color w:val="auto"/>
                <w:kern w:val="0"/>
                <w:szCs w:val="21"/>
                <w:highlight w:val="none"/>
              </w:rPr>
            </w:pPr>
          </w:p>
        </w:tc>
      </w:tr>
      <w:tr w14:paraId="4D51E8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1965" w:type="dxa"/>
            <w:gridSpan w:val="3"/>
            <w:vAlign w:val="center"/>
          </w:tcPr>
          <w:p w14:paraId="04EC7F5C">
            <w:pPr>
              <w:wordWrap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固定电话</w:t>
            </w:r>
          </w:p>
        </w:tc>
        <w:tc>
          <w:tcPr>
            <w:tcW w:w="4007" w:type="dxa"/>
            <w:gridSpan w:val="5"/>
            <w:vAlign w:val="center"/>
          </w:tcPr>
          <w:p w14:paraId="6BFE444D">
            <w:pPr>
              <w:wordWrap w:val="0"/>
              <w:spacing w:line="360" w:lineRule="auto"/>
              <w:jc w:val="center"/>
              <w:rPr>
                <w:rFonts w:ascii="宋体" w:hAnsi="宋体" w:cs="宋体"/>
                <w:color w:val="auto"/>
                <w:kern w:val="0"/>
                <w:szCs w:val="21"/>
                <w:highlight w:val="none"/>
              </w:rPr>
            </w:pPr>
          </w:p>
        </w:tc>
        <w:tc>
          <w:tcPr>
            <w:tcW w:w="1475" w:type="dxa"/>
            <w:gridSpan w:val="2"/>
            <w:vAlign w:val="center"/>
          </w:tcPr>
          <w:p w14:paraId="768CD714">
            <w:pPr>
              <w:wordWrap w:val="0"/>
              <w:spacing w:line="360" w:lineRule="auto"/>
              <w:jc w:val="center"/>
              <w:rPr>
                <w:rFonts w:ascii="宋体" w:hAnsi="宋体" w:cs="宋体"/>
                <w:color w:val="auto"/>
                <w:kern w:val="0"/>
                <w:szCs w:val="21"/>
                <w:highlight w:val="none"/>
              </w:rPr>
            </w:pPr>
          </w:p>
        </w:tc>
        <w:tc>
          <w:tcPr>
            <w:tcW w:w="1213" w:type="dxa"/>
            <w:vAlign w:val="center"/>
          </w:tcPr>
          <w:p w14:paraId="5C04B75C">
            <w:pPr>
              <w:wordWrap w:val="0"/>
              <w:spacing w:line="360" w:lineRule="auto"/>
              <w:jc w:val="center"/>
              <w:rPr>
                <w:rFonts w:ascii="宋体" w:hAnsi="宋体" w:cs="宋体"/>
                <w:color w:val="auto"/>
                <w:kern w:val="0"/>
                <w:szCs w:val="21"/>
                <w:highlight w:val="none"/>
              </w:rPr>
            </w:pPr>
          </w:p>
        </w:tc>
      </w:tr>
      <w:tr w14:paraId="635EAD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751" w:type="dxa"/>
            <w:vMerge w:val="restart"/>
            <w:vAlign w:val="center"/>
          </w:tcPr>
          <w:p w14:paraId="73B7DE0C">
            <w:pPr>
              <w:wordWrap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营业执照</w:t>
            </w:r>
          </w:p>
        </w:tc>
        <w:tc>
          <w:tcPr>
            <w:tcW w:w="1996" w:type="dxa"/>
            <w:gridSpan w:val="3"/>
            <w:vAlign w:val="center"/>
          </w:tcPr>
          <w:p w14:paraId="121C2FF9">
            <w:pPr>
              <w:wordWrap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注册号码</w:t>
            </w:r>
          </w:p>
        </w:tc>
        <w:tc>
          <w:tcPr>
            <w:tcW w:w="1875" w:type="dxa"/>
            <w:gridSpan w:val="2"/>
            <w:vAlign w:val="center"/>
          </w:tcPr>
          <w:p w14:paraId="7A374FEE">
            <w:pPr>
              <w:wordWrap w:val="0"/>
              <w:spacing w:line="360" w:lineRule="auto"/>
              <w:jc w:val="center"/>
              <w:rPr>
                <w:rFonts w:ascii="宋体" w:hAnsi="宋体" w:cs="宋体"/>
                <w:color w:val="auto"/>
                <w:kern w:val="0"/>
                <w:szCs w:val="21"/>
                <w:highlight w:val="none"/>
              </w:rPr>
            </w:pPr>
          </w:p>
        </w:tc>
        <w:tc>
          <w:tcPr>
            <w:tcW w:w="1350" w:type="dxa"/>
            <w:gridSpan w:val="2"/>
            <w:vAlign w:val="center"/>
          </w:tcPr>
          <w:p w14:paraId="56979BEA">
            <w:pPr>
              <w:wordWrap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注册地址</w:t>
            </w:r>
          </w:p>
        </w:tc>
        <w:tc>
          <w:tcPr>
            <w:tcW w:w="2688" w:type="dxa"/>
            <w:gridSpan w:val="3"/>
            <w:vAlign w:val="center"/>
          </w:tcPr>
          <w:p w14:paraId="33B40208">
            <w:pPr>
              <w:wordWrap w:val="0"/>
              <w:spacing w:line="360" w:lineRule="auto"/>
              <w:jc w:val="center"/>
              <w:rPr>
                <w:rFonts w:ascii="宋体" w:hAnsi="宋体" w:cs="宋体"/>
                <w:color w:val="auto"/>
                <w:kern w:val="0"/>
                <w:szCs w:val="21"/>
                <w:highlight w:val="none"/>
              </w:rPr>
            </w:pPr>
          </w:p>
        </w:tc>
      </w:tr>
      <w:tr w14:paraId="4D0241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751" w:type="dxa"/>
            <w:vMerge w:val="continue"/>
            <w:vAlign w:val="center"/>
          </w:tcPr>
          <w:p w14:paraId="488BC0F0">
            <w:pPr>
              <w:wordWrap w:val="0"/>
              <w:spacing w:line="360" w:lineRule="auto"/>
              <w:jc w:val="center"/>
              <w:rPr>
                <w:rFonts w:ascii="宋体" w:hAnsi="宋体" w:cs="宋体"/>
                <w:color w:val="auto"/>
                <w:kern w:val="0"/>
                <w:szCs w:val="21"/>
                <w:highlight w:val="none"/>
              </w:rPr>
            </w:pPr>
          </w:p>
        </w:tc>
        <w:tc>
          <w:tcPr>
            <w:tcW w:w="1996" w:type="dxa"/>
            <w:gridSpan w:val="3"/>
            <w:vAlign w:val="center"/>
          </w:tcPr>
          <w:p w14:paraId="0E2D0FD8">
            <w:pPr>
              <w:wordWrap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发证机关</w:t>
            </w:r>
          </w:p>
        </w:tc>
        <w:tc>
          <w:tcPr>
            <w:tcW w:w="1875" w:type="dxa"/>
            <w:gridSpan w:val="2"/>
            <w:vAlign w:val="center"/>
          </w:tcPr>
          <w:p w14:paraId="05CFF6D0">
            <w:pPr>
              <w:wordWrap w:val="0"/>
              <w:spacing w:line="360" w:lineRule="auto"/>
              <w:jc w:val="center"/>
              <w:rPr>
                <w:rFonts w:ascii="宋体" w:hAnsi="宋体" w:cs="宋体"/>
                <w:color w:val="auto"/>
                <w:kern w:val="0"/>
                <w:szCs w:val="21"/>
                <w:highlight w:val="none"/>
              </w:rPr>
            </w:pPr>
          </w:p>
        </w:tc>
        <w:tc>
          <w:tcPr>
            <w:tcW w:w="1350" w:type="dxa"/>
            <w:gridSpan w:val="2"/>
            <w:vAlign w:val="center"/>
          </w:tcPr>
          <w:p w14:paraId="094BCED7">
            <w:pPr>
              <w:wordWrap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发证日期</w:t>
            </w:r>
          </w:p>
        </w:tc>
        <w:tc>
          <w:tcPr>
            <w:tcW w:w="2688" w:type="dxa"/>
            <w:gridSpan w:val="3"/>
            <w:vAlign w:val="center"/>
          </w:tcPr>
          <w:p w14:paraId="475EA7BB">
            <w:pPr>
              <w:wordWrap w:val="0"/>
              <w:spacing w:line="360" w:lineRule="auto"/>
              <w:jc w:val="center"/>
              <w:rPr>
                <w:rFonts w:ascii="宋体" w:hAnsi="宋体" w:cs="宋体"/>
                <w:color w:val="auto"/>
                <w:kern w:val="0"/>
                <w:szCs w:val="21"/>
                <w:highlight w:val="none"/>
              </w:rPr>
            </w:pPr>
          </w:p>
        </w:tc>
      </w:tr>
      <w:tr w14:paraId="48A311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751" w:type="dxa"/>
            <w:vMerge w:val="continue"/>
            <w:vAlign w:val="center"/>
          </w:tcPr>
          <w:p w14:paraId="114C3023">
            <w:pPr>
              <w:wordWrap w:val="0"/>
              <w:spacing w:line="360" w:lineRule="auto"/>
              <w:jc w:val="center"/>
              <w:rPr>
                <w:rFonts w:ascii="宋体" w:hAnsi="宋体" w:cs="宋体"/>
                <w:color w:val="auto"/>
                <w:kern w:val="0"/>
                <w:szCs w:val="21"/>
                <w:highlight w:val="none"/>
              </w:rPr>
            </w:pPr>
          </w:p>
        </w:tc>
        <w:tc>
          <w:tcPr>
            <w:tcW w:w="1996" w:type="dxa"/>
            <w:gridSpan w:val="3"/>
            <w:vAlign w:val="center"/>
          </w:tcPr>
          <w:p w14:paraId="75D35FAF">
            <w:pPr>
              <w:wordWrap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营业范围（主营）</w:t>
            </w:r>
          </w:p>
        </w:tc>
        <w:tc>
          <w:tcPr>
            <w:tcW w:w="5913" w:type="dxa"/>
            <w:gridSpan w:val="7"/>
            <w:vAlign w:val="center"/>
          </w:tcPr>
          <w:p w14:paraId="5C1477BB">
            <w:pPr>
              <w:wordWrap w:val="0"/>
              <w:spacing w:line="360" w:lineRule="auto"/>
              <w:jc w:val="center"/>
              <w:rPr>
                <w:rFonts w:ascii="宋体" w:hAnsi="宋体" w:cs="宋体"/>
                <w:color w:val="auto"/>
                <w:kern w:val="0"/>
                <w:szCs w:val="21"/>
                <w:highlight w:val="none"/>
              </w:rPr>
            </w:pPr>
          </w:p>
        </w:tc>
      </w:tr>
      <w:tr w14:paraId="7DA5F4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751" w:type="dxa"/>
            <w:vMerge w:val="continue"/>
            <w:vAlign w:val="center"/>
          </w:tcPr>
          <w:p w14:paraId="78A40823">
            <w:pPr>
              <w:wordWrap w:val="0"/>
              <w:spacing w:line="360" w:lineRule="auto"/>
              <w:jc w:val="center"/>
              <w:rPr>
                <w:rFonts w:ascii="宋体" w:hAnsi="宋体" w:cs="宋体"/>
                <w:color w:val="auto"/>
                <w:kern w:val="0"/>
                <w:szCs w:val="21"/>
                <w:highlight w:val="none"/>
              </w:rPr>
            </w:pPr>
          </w:p>
        </w:tc>
        <w:tc>
          <w:tcPr>
            <w:tcW w:w="1996" w:type="dxa"/>
            <w:gridSpan w:val="3"/>
            <w:vAlign w:val="center"/>
          </w:tcPr>
          <w:p w14:paraId="4E25C68B">
            <w:pPr>
              <w:wordWrap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营业范围（兼营）</w:t>
            </w:r>
          </w:p>
        </w:tc>
        <w:tc>
          <w:tcPr>
            <w:tcW w:w="5913" w:type="dxa"/>
            <w:gridSpan w:val="7"/>
            <w:vAlign w:val="center"/>
          </w:tcPr>
          <w:p w14:paraId="4514F388">
            <w:pPr>
              <w:wordWrap w:val="0"/>
              <w:spacing w:line="360" w:lineRule="auto"/>
              <w:jc w:val="center"/>
              <w:rPr>
                <w:rFonts w:ascii="宋体" w:hAnsi="宋体" w:cs="宋体"/>
                <w:color w:val="auto"/>
                <w:kern w:val="0"/>
                <w:szCs w:val="21"/>
                <w:highlight w:val="none"/>
              </w:rPr>
            </w:pPr>
          </w:p>
        </w:tc>
      </w:tr>
      <w:tr w14:paraId="73BDF1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2747" w:type="dxa"/>
            <w:gridSpan w:val="4"/>
            <w:vAlign w:val="center"/>
          </w:tcPr>
          <w:p w14:paraId="000FC381">
            <w:pPr>
              <w:wordWrap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基本账户开户行及帐号</w:t>
            </w:r>
          </w:p>
        </w:tc>
        <w:tc>
          <w:tcPr>
            <w:tcW w:w="5913" w:type="dxa"/>
            <w:gridSpan w:val="7"/>
            <w:vAlign w:val="center"/>
          </w:tcPr>
          <w:p w14:paraId="3555F921">
            <w:pPr>
              <w:wordWrap w:val="0"/>
              <w:spacing w:line="360" w:lineRule="auto"/>
              <w:jc w:val="center"/>
              <w:rPr>
                <w:rFonts w:ascii="宋体" w:hAnsi="宋体" w:cs="宋体"/>
                <w:color w:val="auto"/>
                <w:kern w:val="0"/>
                <w:szCs w:val="21"/>
                <w:highlight w:val="none"/>
              </w:rPr>
            </w:pPr>
          </w:p>
        </w:tc>
      </w:tr>
      <w:tr w14:paraId="592A39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2747" w:type="dxa"/>
            <w:gridSpan w:val="4"/>
            <w:vAlign w:val="center"/>
          </w:tcPr>
          <w:p w14:paraId="15A73971">
            <w:pPr>
              <w:wordWrap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税务登记机关</w:t>
            </w:r>
          </w:p>
        </w:tc>
        <w:tc>
          <w:tcPr>
            <w:tcW w:w="5913" w:type="dxa"/>
            <w:gridSpan w:val="7"/>
            <w:vAlign w:val="center"/>
          </w:tcPr>
          <w:p w14:paraId="241D23DD">
            <w:pPr>
              <w:wordWrap w:val="0"/>
              <w:spacing w:line="360" w:lineRule="auto"/>
              <w:jc w:val="center"/>
              <w:rPr>
                <w:rFonts w:ascii="宋体" w:hAnsi="宋体" w:cs="宋体"/>
                <w:color w:val="auto"/>
                <w:kern w:val="0"/>
                <w:szCs w:val="21"/>
                <w:highlight w:val="none"/>
              </w:rPr>
            </w:pPr>
          </w:p>
        </w:tc>
      </w:tr>
      <w:tr w14:paraId="49207B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4463" w:type="dxa"/>
            <w:gridSpan w:val="5"/>
            <w:vAlign w:val="center"/>
          </w:tcPr>
          <w:p w14:paraId="3DDF41ED">
            <w:pPr>
              <w:wordWrap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资质名称</w:t>
            </w:r>
          </w:p>
        </w:tc>
        <w:tc>
          <w:tcPr>
            <w:tcW w:w="940" w:type="dxa"/>
            <w:gridSpan w:val="2"/>
            <w:vAlign w:val="center"/>
          </w:tcPr>
          <w:p w14:paraId="571E295A">
            <w:pPr>
              <w:wordWrap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等级</w:t>
            </w:r>
          </w:p>
        </w:tc>
        <w:tc>
          <w:tcPr>
            <w:tcW w:w="1579" w:type="dxa"/>
            <w:gridSpan w:val="2"/>
            <w:vAlign w:val="center"/>
          </w:tcPr>
          <w:p w14:paraId="6B1DAE99">
            <w:pPr>
              <w:wordWrap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发证机关</w:t>
            </w:r>
          </w:p>
        </w:tc>
        <w:tc>
          <w:tcPr>
            <w:tcW w:w="1678" w:type="dxa"/>
            <w:gridSpan w:val="2"/>
            <w:vAlign w:val="center"/>
          </w:tcPr>
          <w:p w14:paraId="17BB9DB2">
            <w:pPr>
              <w:wordWrap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有效期</w:t>
            </w:r>
          </w:p>
        </w:tc>
      </w:tr>
      <w:tr w14:paraId="015367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4463" w:type="dxa"/>
            <w:gridSpan w:val="5"/>
            <w:vAlign w:val="center"/>
          </w:tcPr>
          <w:p w14:paraId="41268188">
            <w:pPr>
              <w:wordWrap w:val="0"/>
              <w:spacing w:line="360" w:lineRule="auto"/>
              <w:jc w:val="center"/>
              <w:rPr>
                <w:rFonts w:ascii="宋体" w:hAnsi="宋体" w:cs="宋体"/>
                <w:color w:val="auto"/>
                <w:kern w:val="0"/>
                <w:szCs w:val="21"/>
                <w:highlight w:val="none"/>
              </w:rPr>
            </w:pPr>
          </w:p>
        </w:tc>
        <w:tc>
          <w:tcPr>
            <w:tcW w:w="940" w:type="dxa"/>
            <w:gridSpan w:val="2"/>
            <w:vAlign w:val="center"/>
          </w:tcPr>
          <w:p w14:paraId="7E6F8A7F">
            <w:pPr>
              <w:wordWrap w:val="0"/>
              <w:spacing w:line="360" w:lineRule="auto"/>
              <w:jc w:val="center"/>
              <w:rPr>
                <w:rFonts w:ascii="宋体" w:hAnsi="宋体" w:cs="宋体"/>
                <w:color w:val="auto"/>
                <w:kern w:val="0"/>
                <w:szCs w:val="21"/>
                <w:highlight w:val="none"/>
              </w:rPr>
            </w:pPr>
          </w:p>
        </w:tc>
        <w:tc>
          <w:tcPr>
            <w:tcW w:w="1579" w:type="dxa"/>
            <w:gridSpan w:val="2"/>
            <w:vAlign w:val="center"/>
          </w:tcPr>
          <w:p w14:paraId="60B30519">
            <w:pPr>
              <w:wordWrap w:val="0"/>
              <w:spacing w:line="360" w:lineRule="auto"/>
              <w:jc w:val="center"/>
              <w:rPr>
                <w:rFonts w:ascii="宋体" w:hAnsi="宋体" w:cs="宋体"/>
                <w:color w:val="auto"/>
                <w:kern w:val="0"/>
                <w:szCs w:val="21"/>
                <w:highlight w:val="none"/>
              </w:rPr>
            </w:pPr>
          </w:p>
        </w:tc>
        <w:tc>
          <w:tcPr>
            <w:tcW w:w="1678" w:type="dxa"/>
            <w:gridSpan w:val="2"/>
            <w:vAlign w:val="center"/>
          </w:tcPr>
          <w:p w14:paraId="77747103">
            <w:pPr>
              <w:wordWrap w:val="0"/>
              <w:spacing w:line="360" w:lineRule="auto"/>
              <w:jc w:val="center"/>
              <w:rPr>
                <w:rFonts w:ascii="宋体" w:hAnsi="宋体" w:cs="宋体"/>
                <w:color w:val="auto"/>
                <w:kern w:val="0"/>
                <w:szCs w:val="21"/>
                <w:highlight w:val="none"/>
              </w:rPr>
            </w:pPr>
          </w:p>
        </w:tc>
      </w:tr>
      <w:tr w14:paraId="7352A8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4463" w:type="dxa"/>
            <w:gridSpan w:val="5"/>
            <w:vAlign w:val="center"/>
          </w:tcPr>
          <w:p w14:paraId="0CCDCC71">
            <w:pPr>
              <w:wordWrap w:val="0"/>
              <w:spacing w:line="360" w:lineRule="auto"/>
              <w:jc w:val="center"/>
              <w:rPr>
                <w:rFonts w:ascii="宋体" w:hAnsi="宋体" w:cs="宋体"/>
                <w:color w:val="auto"/>
                <w:kern w:val="0"/>
                <w:szCs w:val="21"/>
                <w:highlight w:val="none"/>
              </w:rPr>
            </w:pPr>
          </w:p>
        </w:tc>
        <w:tc>
          <w:tcPr>
            <w:tcW w:w="940" w:type="dxa"/>
            <w:gridSpan w:val="2"/>
            <w:vAlign w:val="center"/>
          </w:tcPr>
          <w:p w14:paraId="5CC1271E">
            <w:pPr>
              <w:wordWrap w:val="0"/>
              <w:spacing w:line="360" w:lineRule="auto"/>
              <w:jc w:val="center"/>
              <w:rPr>
                <w:rFonts w:ascii="宋体" w:hAnsi="宋体" w:cs="宋体"/>
                <w:color w:val="auto"/>
                <w:kern w:val="0"/>
                <w:szCs w:val="21"/>
                <w:highlight w:val="none"/>
              </w:rPr>
            </w:pPr>
          </w:p>
        </w:tc>
        <w:tc>
          <w:tcPr>
            <w:tcW w:w="1579" w:type="dxa"/>
            <w:gridSpan w:val="2"/>
            <w:vAlign w:val="center"/>
          </w:tcPr>
          <w:p w14:paraId="3BAC4CF6">
            <w:pPr>
              <w:wordWrap w:val="0"/>
              <w:spacing w:line="360" w:lineRule="auto"/>
              <w:jc w:val="center"/>
              <w:rPr>
                <w:rFonts w:ascii="宋体" w:hAnsi="宋体" w:cs="宋体"/>
                <w:color w:val="auto"/>
                <w:kern w:val="0"/>
                <w:szCs w:val="21"/>
                <w:highlight w:val="none"/>
              </w:rPr>
            </w:pPr>
          </w:p>
        </w:tc>
        <w:tc>
          <w:tcPr>
            <w:tcW w:w="1678" w:type="dxa"/>
            <w:gridSpan w:val="2"/>
            <w:vAlign w:val="center"/>
          </w:tcPr>
          <w:p w14:paraId="0C70790C">
            <w:pPr>
              <w:wordWrap w:val="0"/>
              <w:spacing w:line="360" w:lineRule="auto"/>
              <w:jc w:val="center"/>
              <w:rPr>
                <w:rFonts w:ascii="宋体" w:hAnsi="宋体" w:cs="宋体"/>
                <w:color w:val="auto"/>
                <w:kern w:val="0"/>
                <w:szCs w:val="21"/>
                <w:highlight w:val="none"/>
              </w:rPr>
            </w:pPr>
          </w:p>
        </w:tc>
      </w:tr>
      <w:tr w14:paraId="07470A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5" w:hRule="atLeast"/>
          <w:jc w:val="center"/>
        </w:trPr>
        <w:tc>
          <w:tcPr>
            <w:tcW w:w="1167" w:type="dxa"/>
            <w:gridSpan w:val="2"/>
            <w:vAlign w:val="center"/>
          </w:tcPr>
          <w:p w14:paraId="0DDAC3F2">
            <w:pPr>
              <w:wordWrap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备注</w:t>
            </w:r>
          </w:p>
        </w:tc>
        <w:tc>
          <w:tcPr>
            <w:tcW w:w="7493" w:type="dxa"/>
            <w:gridSpan w:val="9"/>
            <w:vAlign w:val="center"/>
          </w:tcPr>
          <w:p w14:paraId="179ADDC0">
            <w:pPr>
              <w:wordWrap w:val="0"/>
              <w:spacing w:line="360" w:lineRule="auto"/>
              <w:jc w:val="center"/>
              <w:rPr>
                <w:rFonts w:ascii="宋体" w:hAnsi="宋体" w:cs="宋体"/>
                <w:color w:val="auto"/>
                <w:kern w:val="0"/>
                <w:szCs w:val="21"/>
                <w:highlight w:val="none"/>
              </w:rPr>
            </w:pPr>
          </w:p>
        </w:tc>
      </w:tr>
    </w:tbl>
    <w:p w14:paraId="3C5A031F">
      <w:pPr>
        <w:wordWrap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备注：提供营业执照（未三证合一的提供税务登记证、组织机构代码证）等资格证明材料。</w:t>
      </w:r>
    </w:p>
    <w:p w14:paraId="0D0D0A6A">
      <w:pPr>
        <w:wordWrap w:val="0"/>
        <w:spacing w:line="360" w:lineRule="auto"/>
        <w:jc w:val="center"/>
        <w:outlineLvl w:val="0"/>
        <w:rPr>
          <w:rFonts w:ascii="宋体" w:hAnsi="宋体" w:cs="宋体"/>
          <w:b/>
          <w:bCs/>
          <w:color w:val="auto"/>
          <w:kern w:val="0"/>
          <w:sz w:val="36"/>
          <w:szCs w:val="36"/>
          <w:highlight w:val="none"/>
        </w:rPr>
      </w:pPr>
      <w:r>
        <w:rPr>
          <w:rFonts w:hint="eastAsia" w:ascii="宋体" w:hAnsi="宋体" w:cs="宋体"/>
          <w:color w:val="auto"/>
          <w:kern w:val="0"/>
          <w:sz w:val="24"/>
          <w:szCs w:val="24"/>
          <w:highlight w:val="none"/>
        </w:rPr>
        <w:br w:type="page"/>
      </w:r>
      <w:bookmarkStart w:id="47" w:name="_Toc15973"/>
      <w:r>
        <w:rPr>
          <w:rFonts w:hint="eastAsia" w:ascii="宋体" w:hAnsi="宋体" w:cs="宋体"/>
          <w:b/>
          <w:bCs/>
          <w:color w:val="auto"/>
          <w:kern w:val="0"/>
          <w:sz w:val="36"/>
          <w:szCs w:val="36"/>
          <w:highlight w:val="none"/>
        </w:rPr>
        <w:t>六、资格审查资料</w:t>
      </w:r>
    </w:p>
    <w:p w14:paraId="5755D1A2">
      <w:pPr>
        <w:spacing w:line="360" w:lineRule="auto"/>
        <w:jc w:val="center"/>
        <w:outlineLvl w:val="0"/>
        <w:rPr>
          <w:rFonts w:ascii="宋体" w:hAnsi="宋体" w:cs="宋体"/>
          <w:color w:val="auto"/>
          <w:kern w:val="0"/>
          <w:sz w:val="28"/>
          <w:szCs w:val="28"/>
          <w:highlight w:val="none"/>
        </w:rPr>
      </w:pPr>
      <w:r>
        <w:rPr>
          <w:rFonts w:hint="eastAsia"/>
          <w:b/>
          <w:color w:val="auto"/>
          <w:sz w:val="28"/>
          <w:szCs w:val="28"/>
          <w:highlight w:val="none"/>
        </w:rPr>
        <w:t>（一）满足《政府采购法》第二十二条规定的证明材料</w:t>
      </w:r>
    </w:p>
    <w:p w14:paraId="07299FA1">
      <w:pPr>
        <w:spacing w:line="360" w:lineRule="auto"/>
        <w:ind w:firstLine="420" w:firstLineChars="200"/>
        <w:outlineLvl w:val="0"/>
        <w:rPr>
          <w:rFonts w:ascii="宋体" w:hAnsi="宋体" w:cs="宋体"/>
          <w:color w:val="auto"/>
          <w:kern w:val="0"/>
          <w:szCs w:val="21"/>
          <w:highlight w:val="none"/>
        </w:rPr>
      </w:pPr>
      <w:r>
        <w:rPr>
          <w:rFonts w:hint="eastAsia" w:ascii="宋体" w:hAnsi="宋体" w:cs="宋体"/>
          <w:color w:val="auto"/>
          <w:kern w:val="0"/>
          <w:szCs w:val="21"/>
          <w:highlight w:val="none"/>
        </w:rPr>
        <w:t>1）具有独立承担民事责任的能力；</w:t>
      </w:r>
    </w:p>
    <w:p w14:paraId="0E160735">
      <w:pPr>
        <w:spacing w:line="360" w:lineRule="auto"/>
        <w:ind w:firstLine="420" w:firstLineChars="200"/>
        <w:outlineLvl w:val="0"/>
        <w:rPr>
          <w:rFonts w:ascii="宋体" w:hAnsi="宋体" w:cs="宋体"/>
          <w:color w:val="auto"/>
          <w:kern w:val="0"/>
          <w:szCs w:val="21"/>
          <w:highlight w:val="none"/>
        </w:rPr>
      </w:pPr>
      <w:r>
        <w:rPr>
          <w:rFonts w:hint="eastAsia" w:ascii="宋体" w:hAnsi="宋体" w:cs="宋体"/>
          <w:color w:val="auto"/>
          <w:kern w:val="0"/>
          <w:szCs w:val="21"/>
          <w:highlight w:val="none"/>
        </w:rPr>
        <w:t>提供：法人或者其他组织的营业执照等证明文件复印件（营业执照应具有统一社会信用代码，否则应同时提供组织机构代码证和税务登记证），自然人的身份证明复印件，以证明投标人具有独立承担民事责任的能力。</w:t>
      </w:r>
    </w:p>
    <w:p w14:paraId="14BAA8A6">
      <w:pPr>
        <w:spacing w:line="360" w:lineRule="auto"/>
        <w:ind w:firstLine="420" w:firstLineChars="200"/>
        <w:outlineLvl w:val="0"/>
        <w:rPr>
          <w:rFonts w:ascii="宋体" w:hAnsi="宋体" w:cs="宋体"/>
          <w:color w:val="auto"/>
          <w:kern w:val="0"/>
          <w:szCs w:val="21"/>
          <w:highlight w:val="none"/>
        </w:rPr>
      </w:pPr>
      <w:r>
        <w:rPr>
          <w:rFonts w:hint="eastAsia" w:ascii="宋体" w:hAnsi="宋体" w:cs="宋体"/>
          <w:color w:val="auto"/>
          <w:kern w:val="0"/>
          <w:szCs w:val="21"/>
          <w:highlight w:val="none"/>
        </w:rPr>
        <w:t>2）具有良好的商业信誉和健全的财务会计制度；</w:t>
      </w:r>
    </w:p>
    <w:p w14:paraId="09A83099">
      <w:pPr>
        <w:spacing w:line="360" w:lineRule="auto"/>
        <w:ind w:firstLine="420" w:firstLineChars="200"/>
        <w:outlineLvl w:val="0"/>
        <w:rPr>
          <w:rFonts w:ascii="宋体" w:hAnsi="宋体" w:cs="宋体"/>
          <w:color w:val="auto"/>
          <w:kern w:val="0"/>
          <w:szCs w:val="21"/>
          <w:highlight w:val="none"/>
        </w:rPr>
      </w:pPr>
      <w:r>
        <w:rPr>
          <w:rFonts w:hint="eastAsia" w:ascii="宋体" w:hAnsi="宋体" w:cs="宋体"/>
          <w:color w:val="auto"/>
          <w:kern w:val="0"/>
          <w:szCs w:val="21"/>
          <w:highlight w:val="none"/>
        </w:rPr>
        <w:t>提供：2023年度财务状况报告，以证明投标人具有良好的商业信誉和健全的财务会计制度。应附经会计师事务所或审计机构审计的财务会计报表，包括资产负债表、现金流量表、利润表和财务情况说明书的复印件，自然人应附本人的银行资信证明。投标人的成立时间少于一年的，应提供成立以来的财务状况表并附相应证明文件。</w:t>
      </w:r>
    </w:p>
    <w:p w14:paraId="4B77A234">
      <w:pPr>
        <w:widowControl/>
        <w:jc w:val="left"/>
        <w:rPr>
          <w:rFonts w:ascii="宋体" w:hAnsi="宋体" w:cs="宋体"/>
          <w:color w:val="auto"/>
          <w:kern w:val="0"/>
          <w:szCs w:val="21"/>
          <w:highlight w:val="none"/>
        </w:rPr>
      </w:pPr>
      <w:r>
        <w:rPr>
          <w:rFonts w:ascii="宋体" w:hAnsi="宋体" w:cs="宋体"/>
          <w:color w:val="auto"/>
          <w:kern w:val="0"/>
          <w:szCs w:val="21"/>
          <w:highlight w:val="none"/>
        </w:rPr>
        <w:br w:type="page"/>
      </w:r>
    </w:p>
    <w:p w14:paraId="07452602">
      <w:pPr>
        <w:spacing w:line="360" w:lineRule="auto"/>
        <w:ind w:firstLine="420" w:firstLineChars="200"/>
        <w:outlineLvl w:val="0"/>
        <w:rPr>
          <w:rFonts w:ascii="宋体" w:hAnsi="宋体" w:cs="宋体"/>
          <w:color w:val="auto"/>
          <w:kern w:val="0"/>
          <w:szCs w:val="21"/>
          <w:highlight w:val="none"/>
        </w:rPr>
      </w:pPr>
      <w:r>
        <w:rPr>
          <w:rFonts w:hint="eastAsia" w:ascii="宋体" w:hAnsi="宋体" w:cs="宋体"/>
          <w:color w:val="auto"/>
          <w:kern w:val="0"/>
          <w:szCs w:val="21"/>
          <w:highlight w:val="none"/>
        </w:rPr>
        <w:t>3）具有履行合同所必需的设备和专业技术能力；</w:t>
      </w:r>
    </w:p>
    <w:p w14:paraId="1D531239">
      <w:pPr>
        <w:spacing w:line="360" w:lineRule="auto"/>
        <w:ind w:firstLine="420" w:firstLineChars="200"/>
        <w:outlineLvl w:val="0"/>
        <w:rPr>
          <w:rFonts w:ascii="宋体" w:hAnsi="宋体" w:cs="宋体"/>
          <w:color w:val="auto"/>
          <w:kern w:val="0"/>
          <w:szCs w:val="21"/>
          <w:highlight w:val="none"/>
        </w:rPr>
      </w:pPr>
      <w:r>
        <w:rPr>
          <w:rFonts w:hint="eastAsia" w:ascii="宋体" w:hAnsi="宋体" w:cs="宋体"/>
          <w:color w:val="auto"/>
          <w:kern w:val="0"/>
          <w:szCs w:val="21"/>
          <w:highlight w:val="none"/>
        </w:rPr>
        <w:t>提供：具备履行合同所必需的设备和专业技术能力的证明材料，以证明投标人具有履行合同所必需的设备和专业技术能力。</w:t>
      </w:r>
    </w:p>
    <w:p w14:paraId="325111DA">
      <w:pPr>
        <w:spacing w:line="360" w:lineRule="auto"/>
        <w:jc w:val="center"/>
        <w:rPr>
          <w:rFonts w:ascii="宋体" w:hAnsi="宋体" w:cs="宋体"/>
          <w:b/>
          <w:bCs/>
          <w:color w:val="auto"/>
          <w:kern w:val="0"/>
          <w:szCs w:val="21"/>
          <w:highlight w:val="none"/>
        </w:rPr>
      </w:pPr>
    </w:p>
    <w:p w14:paraId="2CEC8D5A">
      <w:pPr>
        <w:spacing w:line="360" w:lineRule="auto"/>
        <w:jc w:val="center"/>
        <w:rPr>
          <w:rFonts w:ascii="宋体" w:hAnsi="宋体" w:cs="宋体"/>
          <w:b/>
          <w:bCs/>
          <w:color w:val="auto"/>
          <w:kern w:val="0"/>
          <w:sz w:val="28"/>
          <w:szCs w:val="28"/>
          <w:highlight w:val="none"/>
        </w:rPr>
      </w:pPr>
      <w:r>
        <w:rPr>
          <w:rFonts w:hint="eastAsia" w:ascii="宋体" w:hAnsi="宋体" w:cs="宋体"/>
          <w:b/>
          <w:bCs/>
          <w:color w:val="auto"/>
          <w:kern w:val="0"/>
          <w:sz w:val="28"/>
          <w:szCs w:val="28"/>
          <w:highlight w:val="none"/>
        </w:rPr>
        <w:t>具备履行合同所必需的设备和专业技术能力的书面声明</w:t>
      </w:r>
    </w:p>
    <w:p w14:paraId="09F776F6">
      <w:pPr>
        <w:jc w:val="center"/>
        <w:rPr>
          <w:rFonts w:ascii="宋体" w:hAnsi="宋体" w:cs="宋体"/>
          <w:b/>
          <w:bCs/>
          <w:color w:val="auto"/>
          <w:kern w:val="0"/>
          <w:szCs w:val="21"/>
          <w:highlight w:val="none"/>
        </w:rPr>
      </w:pPr>
    </w:p>
    <w:p w14:paraId="759B76DB">
      <w:pPr>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我单位郑重声明：</w:t>
      </w:r>
    </w:p>
    <w:p w14:paraId="682BB84D">
      <w:pPr>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我单位具备履行本项采购合同所必需的设备和专业技术能力，为履行本项采购合同我公司具备如下主要设备和主要专业技术能力：</w:t>
      </w:r>
    </w:p>
    <w:p w14:paraId="704A4ED7">
      <w:pPr>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主要设备有：</w:t>
      </w:r>
      <w:r>
        <w:rPr>
          <w:rFonts w:hint="eastAsia" w:ascii="宋体" w:hAnsi="宋体" w:cs="宋体"/>
          <w:bCs/>
          <w:color w:val="auto"/>
          <w:szCs w:val="21"/>
          <w:highlight w:val="none"/>
          <w:u w:val="single"/>
        </w:rPr>
        <w:t xml:space="preserve">                                                    </w:t>
      </w:r>
      <w:r>
        <w:rPr>
          <w:rFonts w:hint="eastAsia" w:ascii="宋体" w:hAnsi="宋体" w:cs="宋体"/>
          <w:bCs/>
          <w:color w:val="auto"/>
          <w:szCs w:val="21"/>
          <w:highlight w:val="none"/>
        </w:rPr>
        <w:t>。</w:t>
      </w:r>
    </w:p>
    <w:p w14:paraId="6DBF8B62">
      <w:pPr>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主要专业技术能力有：</w:t>
      </w:r>
      <w:r>
        <w:rPr>
          <w:rFonts w:hint="eastAsia" w:ascii="宋体" w:hAnsi="宋体" w:cs="宋体"/>
          <w:bCs/>
          <w:color w:val="auto"/>
          <w:szCs w:val="21"/>
          <w:highlight w:val="none"/>
          <w:u w:val="single"/>
        </w:rPr>
        <w:t xml:space="preserve">                                            </w:t>
      </w:r>
      <w:r>
        <w:rPr>
          <w:rFonts w:hint="eastAsia" w:ascii="宋体" w:hAnsi="宋体" w:cs="宋体"/>
          <w:bCs/>
          <w:color w:val="auto"/>
          <w:szCs w:val="21"/>
          <w:highlight w:val="none"/>
        </w:rPr>
        <w:t>。</w:t>
      </w:r>
    </w:p>
    <w:p w14:paraId="6853236A">
      <w:pPr>
        <w:adjustRightInd w:val="0"/>
        <w:spacing w:line="360" w:lineRule="auto"/>
        <w:ind w:firstLine="420" w:firstLineChars="200"/>
        <w:jc w:val="left"/>
        <w:textAlignment w:val="baseline"/>
        <w:rPr>
          <w:rFonts w:ascii="宋体" w:hAnsi="宋体" w:cs="宋体"/>
          <w:bCs/>
          <w:color w:val="auto"/>
          <w:kern w:val="0"/>
          <w:szCs w:val="21"/>
          <w:highlight w:val="none"/>
        </w:rPr>
      </w:pPr>
    </w:p>
    <w:p w14:paraId="58827A3D">
      <w:pPr>
        <w:pStyle w:val="89"/>
        <w:wordWrap w:val="0"/>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供应商名称（盖单位章）：</w:t>
      </w:r>
    </w:p>
    <w:p w14:paraId="2098631C">
      <w:pPr>
        <w:pStyle w:val="89"/>
        <w:wordWrap w:val="0"/>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法定代表人或其委托代理人签字或盖章：</w:t>
      </w:r>
    </w:p>
    <w:p w14:paraId="111EE0B2">
      <w:pPr>
        <w:pStyle w:val="219"/>
        <w:spacing w:line="360" w:lineRule="auto"/>
        <w:ind w:left="0" w:right="0"/>
        <w:rPr>
          <w:color w:val="auto"/>
          <w:sz w:val="21"/>
          <w:szCs w:val="21"/>
          <w:highlight w:val="none"/>
          <w:lang w:eastAsia="zh-CN"/>
        </w:rPr>
      </w:pPr>
      <w:r>
        <w:rPr>
          <w:rFonts w:hint="eastAsia"/>
          <w:color w:val="auto"/>
          <w:sz w:val="21"/>
          <w:szCs w:val="21"/>
          <w:highlight w:val="none"/>
          <w:lang w:eastAsia="zh-CN"/>
        </w:rPr>
        <w:t>日期：</w:t>
      </w:r>
      <w:r>
        <w:rPr>
          <w:rFonts w:hint="eastAsia"/>
          <w:color w:val="auto"/>
          <w:sz w:val="21"/>
          <w:szCs w:val="21"/>
          <w:highlight w:val="none"/>
          <w:u w:val="single"/>
          <w:lang w:eastAsia="zh-CN"/>
        </w:rPr>
        <w:t xml:space="preserve">        </w:t>
      </w:r>
      <w:r>
        <w:rPr>
          <w:rFonts w:hint="eastAsia"/>
          <w:color w:val="auto"/>
          <w:sz w:val="21"/>
          <w:szCs w:val="21"/>
          <w:highlight w:val="none"/>
          <w:lang w:eastAsia="zh-CN"/>
        </w:rPr>
        <w:t>年</w:t>
      </w:r>
      <w:r>
        <w:rPr>
          <w:rFonts w:hint="eastAsia"/>
          <w:color w:val="auto"/>
          <w:sz w:val="21"/>
          <w:szCs w:val="21"/>
          <w:highlight w:val="none"/>
          <w:u w:val="single"/>
          <w:lang w:eastAsia="zh-CN"/>
        </w:rPr>
        <w:t xml:space="preserve">    </w:t>
      </w:r>
      <w:r>
        <w:rPr>
          <w:rFonts w:hint="eastAsia"/>
          <w:color w:val="auto"/>
          <w:sz w:val="21"/>
          <w:szCs w:val="21"/>
          <w:highlight w:val="none"/>
          <w:lang w:eastAsia="zh-CN"/>
        </w:rPr>
        <w:t>月</w:t>
      </w:r>
      <w:r>
        <w:rPr>
          <w:rFonts w:hint="eastAsia"/>
          <w:color w:val="auto"/>
          <w:sz w:val="21"/>
          <w:szCs w:val="21"/>
          <w:highlight w:val="none"/>
          <w:u w:val="single"/>
          <w:lang w:eastAsia="zh-CN"/>
        </w:rPr>
        <w:t xml:space="preserve">    </w:t>
      </w:r>
      <w:r>
        <w:rPr>
          <w:rFonts w:hint="eastAsia"/>
          <w:color w:val="auto"/>
          <w:sz w:val="21"/>
          <w:szCs w:val="21"/>
          <w:highlight w:val="none"/>
          <w:lang w:eastAsia="zh-CN"/>
        </w:rPr>
        <w:t>日</w:t>
      </w:r>
    </w:p>
    <w:p w14:paraId="689ED6FE">
      <w:pPr>
        <w:pStyle w:val="219"/>
        <w:spacing w:line="360" w:lineRule="auto"/>
        <w:ind w:left="0" w:right="0" w:firstLine="420" w:firstLineChars="200"/>
        <w:rPr>
          <w:color w:val="auto"/>
          <w:sz w:val="21"/>
          <w:szCs w:val="21"/>
          <w:highlight w:val="none"/>
          <w:lang w:eastAsia="zh-CN"/>
        </w:rPr>
      </w:pPr>
    </w:p>
    <w:p w14:paraId="30AAAF4F">
      <w:pPr>
        <w:pStyle w:val="219"/>
        <w:spacing w:line="360" w:lineRule="auto"/>
        <w:ind w:left="0" w:right="0" w:firstLine="420" w:firstLineChars="200"/>
        <w:rPr>
          <w:color w:val="auto"/>
          <w:sz w:val="21"/>
          <w:szCs w:val="21"/>
          <w:highlight w:val="none"/>
          <w:lang w:eastAsia="zh-CN"/>
        </w:rPr>
      </w:pPr>
    </w:p>
    <w:p w14:paraId="1F1425CB">
      <w:pPr>
        <w:pStyle w:val="219"/>
        <w:spacing w:line="360" w:lineRule="auto"/>
        <w:ind w:left="0" w:right="-143" w:firstLine="420" w:firstLineChars="200"/>
        <w:rPr>
          <w:color w:val="auto"/>
          <w:sz w:val="21"/>
          <w:szCs w:val="21"/>
          <w:highlight w:val="none"/>
          <w:lang w:eastAsia="zh-CN"/>
        </w:rPr>
      </w:pPr>
      <w:r>
        <w:rPr>
          <w:rFonts w:hint="eastAsia"/>
          <w:color w:val="auto"/>
          <w:sz w:val="21"/>
          <w:szCs w:val="21"/>
          <w:highlight w:val="none"/>
          <w:lang w:eastAsia="zh-CN"/>
        </w:rPr>
        <w:t>附：具备履行合同所必需的设备和专业技术能力的证明材料，以证明供应商具有履行合同所必需的设备和专业技术能力（内容和格式自拟）。</w:t>
      </w:r>
    </w:p>
    <w:p w14:paraId="29E4E910">
      <w:pPr>
        <w:spacing w:line="360" w:lineRule="auto"/>
        <w:ind w:firstLine="420" w:firstLineChars="200"/>
        <w:outlineLvl w:val="0"/>
        <w:rPr>
          <w:rFonts w:ascii="宋体" w:hAnsi="宋体" w:cs="宋体"/>
          <w:color w:val="auto"/>
          <w:kern w:val="0"/>
          <w:szCs w:val="21"/>
          <w:highlight w:val="none"/>
        </w:rPr>
      </w:pPr>
    </w:p>
    <w:p w14:paraId="29E0E247">
      <w:pPr>
        <w:widowControl/>
        <w:jc w:val="left"/>
        <w:rPr>
          <w:rFonts w:ascii="宋体" w:hAnsi="宋体" w:cs="宋体"/>
          <w:color w:val="auto"/>
          <w:kern w:val="0"/>
          <w:szCs w:val="21"/>
          <w:highlight w:val="none"/>
        </w:rPr>
      </w:pPr>
      <w:r>
        <w:rPr>
          <w:rFonts w:ascii="宋体" w:hAnsi="宋体" w:cs="宋体"/>
          <w:color w:val="auto"/>
          <w:kern w:val="0"/>
          <w:szCs w:val="21"/>
          <w:highlight w:val="none"/>
        </w:rPr>
        <w:br w:type="page"/>
      </w:r>
    </w:p>
    <w:p w14:paraId="1CB9B15F">
      <w:pPr>
        <w:spacing w:line="360" w:lineRule="auto"/>
        <w:ind w:firstLine="420" w:firstLineChars="200"/>
        <w:outlineLvl w:val="0"/>
        <w:rPr>
          <w:rFonts w:ascii="宋体" w:hAnsi="宋体" w:cs="宋体"/>
          <w:color w:val="auto"/>
          <w:kern w:val="0"/>
          <w:szCs w:val="21"/>
          <w:highlight w:val="none"/>
        </w:rPr>
      </w:pPr>
      <w:r>
        <w:rPr>
          <w:rFonts w:hint="eastAsia" w:ascii="宋体" w:hAnsi="宋体" w:cs="宋体"/>
          <w:color w:val="auto"/>
          <w:kern w:val="0"/>
          <w:szCs w:val="21"/>
          <w:highlight w:val="none"/>
        </w:rPr>
        <w:t>4）有依法缴纳税收和社会保障资金的良好记录；</w:t>
      </w:r>
    </w:p>
    <w:p w14:paraId="611954BB">
      <w:pPr>
        <w:pStyle w:val="15"/>
        <w:spacing w:line="360" w:lineRule="auto"/>
        <w:ind w:firstLine="420" w:firstLineChars="200"/>
        <w:rPr>
          <w:rFonts w:ascii="宋体" w:hAnsi="宋体" w:cs="宋体"/>
          <w:color w:val="auto"/>
          <w:sz w:val="24"/>
          <w:szCs w:val="24"/>
          <w:highlight w:val="none"/>
        </w:rPr>
      </w:pPr>
      <w:r>
        <w:rPr>
          <w:rFonts w:hint="eastAsia" w:ascii="宋体" w:hAnsi="宋体" w:cs="宋体"/>
          <w:color w:val="auto"/>
          <w:sz w:val="21"/>
          <w:szCs w:val="21"/>
          <w:highlight w:val="none"/>
        </w:rPr>
        <w:t>提供：近3个月内任意一个月的完税证明（依法免缴的应提供依法免缴的相关证明文件或无欠税证明）和社保缴费证明复印件（具体要求详见评标方法），以证明投标人有依法缴纳税收和社会保障资金的良好记录。</w:t>
      </w:r>
      <w:r>
        <w:rPr>
          <w:rFonts w:hint="eastAsia" w:ascii="宋体" w:hAnsi="宋体" w:cs="宋体"/>
          <w:color w:val="auto"/>
          <w:sz w:val="24"/>
          <w:szCs w:val="24"/>
          <w:highlight w:val="none"/>
        </w:rPr>
        <w:br w:type="page"/>
      </w:r>
      <w:r>
        <w:rPr>
          <w:rFonts w:hint="eastAsia" w:ascii="宋体" w:hAnsi="宋体" w:cs="宋体"/>
          <w:color w:val="auto"/>
          <w:sz w:val="24"/>
          <w:szCs w:val="24"/>
          <w:highlight w:val="none"/>
        </w:rPr>
        <w:t>5）参加政府采购活动前三年内，在经营活动中没有重大违法记录；</w:t>
      </w:r>
    </w:p>
    <w:p w14:paraId="1DA2825E">
      <w:pPr>
        <w:pStyle w:val="146"/>
        <w:spacing w:line="360" w:lineRule="auto"/>
        <w:ind w:left="0" w:right="0"/>
        <w:jc w:val="center"/>
        <w:rPr>
          <w:b/>
          <w:color w:val="auto"/>
          <w:sz w:val="21"/>
          <w:szCs w:val="21"/>
          <w:highlight w:val="none"/>
          <w:lang w:eastAsia="zh-CN"/>
        </w:rPr>
      </w:pPr>
    </w:p>
    <w:p w14:paraId="570F00E0">
      <w:pPr>
        <w:pStyle w:val="146"/>
        <w:spacing w:line="360" w:lineRule="auto"/>
        <w:ind w:left="0" w:right="0"/>
        <w:jc w:val="center"/>
        <w:rPr>
          <w:b/>
          <w:color w:val="auto"/>
          <w:highlight w:val="none"/>
          <w:lang w:eastAsia="zh-CN"/>
        </w:rPr>
      </w:pPr>
      <w:r>
        <w:rPr>
          <w:rFonts w:hint="eastAsia"/>
          <w:b/>
          <w:color w:val="auto"/>
          <w:highlight w:val="none"/>
          <w:lang w:eastAsia="zh-CN"/>
        </w:rPr>
        <w:t>声  明</w:t>
      </w:r>
    </w:p>
    <w:p w14:paraId="3116BFC4">
      <w:pPr>
        <w:pStyle w:val="146"/>
        <w:spacing w:line="360" w:lineRule="auto"/>
        <w:ind w:left="0" w:right="0" w:firstLine="420" w:firstLineChars="200"/>
        <w:jc w:val="both"/>
        <w:rPr>
          <w:color w:val="auto"/>
          <w:sz w:val="21"/>
          <w:szCs w:val="21"/>
          <w:highlight w:val="none"/>
          <w:lang w:eastAsia="zh-CN"/>
        </w:rPr>
      </w:pPr>
      <w:r>
        <w:rPr>
          <w:rFonts w:hint="eastAsia"/>
          <w:color w:val="auto"/>
          <w:sz w:val="21"/>
          <w:szCs w:val="21"/>
          <w:highlight w:val="none"/>
          <w:lang w:eastAsia="zh-CN"/>
        </w:rPr>
        <w:t>我们，</w:t>
      </w:r>
      <w:r>
        <w:rPr>
          <w:rFonts w:hint="eastAsia"/>
          <w:color w:val="auto"/>
          <w:sz w:val="21"/>
          <w:szCs w:val="21"/>
          <w:highlight w:val="none"/>
          <w:u w:val="single"/>
          <w:lang w:eastAsia="zh-CN"/>
        </w:rPr>
        <w:t xml:space="preserve">        </w:t>
      </w:r>
      <w:r>
        <w:rPr>
          <w:rFonts w:hint="eastAsia"/>
          <w:color w:val="auto"/>
          <w:sz w:val="21"/>
          <w:szCs w:val="21"/>
          <w:highlight w:val="none"/>
          <w:lang w:eastAsia="zh-CN"/>
        </w:rPr>
        <w:t>（投标人名称）己认真阅读《中华人民共和国政府采购法》、《中华人民共和国政府采购法实施条例》及</w:t>
      </w:r>
      <w:r>
        <w:rPr>
          <w:rFonts w:hint="eastAsia"/>
          <w:color w:val="auto"/>
          <w:sz w:val="21"/>
          <w:szCs w:val="21"/>
          <w:highlight w:val="none"/>
          <w:u w:val="single"/>
          <w:lang w:eastAsia="zh-CN"/>
        </w:rPr>
        <w:t xml:space="preserve">       </w:t>
      </w:r>
      <w:r>
        <w:rPr>
          <w:rFonts w:hint="eastAsia"/>
          <w:color w:val="auto"/>
          <w:sz w:val="21"/>
          <w:szCs w:val="21"/>
          <w:highlight w:val="none"/>
          <w:lang w:eastAsia="zh-CN"/>
        </w:rPr>
        <w:t>（招标项目名称）（项目编号：</w:t>
      </w:r>
      <w:r>
        <w:rPr>
          <w:rFonts w:hint="eastAsia"/>
          <w:color w:val="auto"/>
          <w:sz w:val="21"/>
          <w:szCs w:val="21"/>
          <w:highlight w:val="none"/>
          <w:u w:val="single"/>
          <w:lang w:eastAsia="zh-CN"/>
        </w:rPr>
        <w:t xml:space="preserve">                </w:t>
      </w:r>
      <w:r>
        <w:rPr>
          <w:rFonts w:hint="eastAsia"/>
          <w:color w:val="auto"/>
          <w:sz w:val="21"/>
          <w:szCs w:val="21"/>
          <w:highlight w:val="none"/>
          <w:lang w:eastAsia="zh-CN"/>
        </w:rPr>
        <w:t>）的招标文件相关内容，知悉投标人参加政府采购活动应当具备的条件。此次按招标文件要求提交的投标人资格证明材料，已经认真核对和检查，全部内容真实、合法、准确和完整，我们对此负责，并愿承担由此引起的法律责任。</w:t>
      </w:r>
    </w:p>
    <w:p w14:paraId="2A227D04">
      <w:pPr>
        <w:pStyle w:val="146"/>
        <w:spacing w:line="360" w:lineRule="auto"/>
        <w:ind w:left="0" w:right="0" w:firstLine="420" w:firstLineChars="200"/>
        <w:jc w:val="both"/>
        <w:rPr>
          <w:color w:val="auto"/>
          <w:sz w:val="21"/>
          <w:szCs w:val="21"/>
          <w:highlight w:val="none"/>
          <w:lang w:eastAsia="zh-CN"/>
        </w:rPr>
      </w:pPr>
      <w:r>
        <w:rPr>
          <w:rFonts w:hint="eastAsia"/>
          <w:color w:val="auto"/>
          <w:sz w:val="21"/>
          <w:szCs w:val="21"/>
          <w:highlight w:val="none"/>
          <w:lang w:eastAsia="zh-CN"/>
        </w:rPr>
        <w:t>我方在此郑重声明，我方在参加本政府采购项目投标近3年内：</w:t>
      </w:r>
    </w:p>
    <w:p w14:paraId="142BB869">
      <w:pPr>
        <w:pStyle w:val="146"/>
        <w:spacing w:line="360" w:lineRule="auto"/>
        <w:ind w:left="0" w:right="0" w:firstLine="420" w:firstLineChars="200"/>
        <w:jc w:val="both"/>
        <w:rPr>
          <w:color w:val="auto"/>
          <w:sz w:val="21"/>
          <w:szCs w:val="21"/>
          <w:highlight w:val="none"/>
          <w:lang w:eastAsia="zh-CN"/>
        </w:rPr>
      </w:pPr>
      <w:r>
        <w:rPr>
          <w:rFonts w:hint="eastAsia"/>
          <w:color w:val="auto"/>
          <w:sz w:val="21"/>
          <w:szCs w:val="21"/>
          <w:highlight w:val="none"/>
          <w:lang w:eastAsia="zh-CN"/>
        </w:rPr>
        <w:t>1、我方依法缴纳了各项税费及各项社会保障资金，没有偷税、漏税及欠缴行为。</w:t>
      </w:r>
    </w:p>
    <w:p w14:paraId="60AC1F7B">
      <w:pPr>
        <w:pStyle w:val="146"/>
        <w:spacing w:line="360" w:lineRule="auto"/>
        <w:ind w:left="0" w:right="0" w:firstLine="420" w:firstLineChars="200"/>
        <w:jc w:val="both"/>
        <w:rPr>
          <w:color w:val="auto"/>
          <w:sz w:val="21"/>
          <w:szCs w:val="21"/>
          <w:highlight w:val="none"/>
          <w:lang w:eastAsia="zh-CN"/>
        </w:rPr>
      </w:pPr>
      <w:r>
        <w:rPr>
          <w:rFonts w:hint="eastAsia"/>
          <w:color w:val="auto"/>
          <w:sz w:val="21"/>
          <w:szCs w:val="21"/>
          <w:highlight w:val="none"/>
          <w:lang w:eastAsia="zh-CN"/>
        </w:rPr>
        <w:t>2、我方在经营活动中没有因违法经营受到刑事处罚或者责令停产停业、者吊销许可证或者执照、200万元以上罚款的行政处罚。</w:t>
      </w:r>
    </w:p>
    <w:p w14:paraId="6CFC6D71">
      <w:pPr>
        <w:rPr>
          <w:color w:val="auto"/>
          <w:highlight w:val="none"/>
        </w:rPr>
      </w:pPr>
    </w:p>
    <w:p w14:paraId="79EE27C8">
      <w:pPr>
        <w:rPr>
          <w:color w:val="auto"/>
          <w:highlight w:val="none"/>
        </w:rPr>
      </w:pPr>
    </w:p>
    <w:p w14:paraId="036DDB41">
      <w:pPr>
        <w:rPr>
          <w:color w:val="auto"/>
          <w:highlight w:val="none"/>
        </w:rPr>
      </w:pPr>
    </w:p>
    <w:p w14:paraId="19B6BEF8">
      <w:pPr>
        <w:pStyle w:val="146"/>
        <w:spacing w:line="360" w:lineRule="auto"/>
        <w:ind w:left="0" w:right="0"/>
        <w:jc w:val="both"/>
        <w:rPr>
          <w:color w:val="auto"/>
          <w:sz w:val="21"/>
          <w:szCs w:val="21"/>
          <w:highlight w:val="none"/>
          <w:lang w:eastAsia="zh-CN"/>
        </w:rPr>
      </w:pPr>
      <w:r>
        <w:rPr>
          <w:rFonts w:hint="eastAsia"/>
          <w:color w:val="auto"/>
          <w:sz w:val="21"/>
          <w:szCs w:val="21"/>
          <w:highlight w:val="none"/>
          <w:lang w:eastAsia="zh-CN"/>
        </w:rPr>
        <w:t>投标人名称（盖单位章）：</w:t>
      </w:r>
    </w:p>
    <w:p w14:paraId="059DC1E2">
      <w:pPr>
        <w:rPr>
          <w:color w:val="auto"/>
          <w:highlight w:val="none"/>
        </w:rPr>
      </w:pPr>
    </w:p>
    <w:p w14:paraId="2C0A2C48">
      <w:pPr>
        <w:pStyle w:val="146"/>
        <w:spacing w:line="360" w:lineRule="auto"/>
        <w:ind w:left="0" w:right="0"/>
        <w:jc w:val="both"/>
        <w:rPr>
          <w:color w:val="auto"/>
          <w:sz w:val="21"/>
          <w:szCs w:val="21"/>
          <w:highlight w:val="none"/>
          <w:lang w:eastAsia="zh-CN"/>
        </w:rPr>
      </w:pPr>
      <w:r>
        <w:rPr>
          <w:rFonts w:hint="eastAsia"/>
          <w:color w:val="auto"/>
          <w:sz w:val="21"/>
          <w:szCs w:val="21"/>
          <w:highlight w:val="none"/>
          <w:lang w:eastAsia="zh-CN"/>
        </w:rPr>
        <w:t>法定代表人或其委托代理人签字：</w:t>
      </w:r>
    </w:p>
    <w:p w14:paraId="6A5C1C2E">
      <w:pPr>
        <w:rPr>
          <w:color w:val="auto"/>
          <w:highlight w:val="none"/>
        </w:rPr>
      </w:pPr>
    </w:p>
    <w:p w14:paraId="17901098">
      <w:pPr>
        <w:pStyle w:val="146"/>
        <w:spacing w:line="360" w:lineRule="auto"/>
        <w:ind w:left="0" w:right="0"/>
        <w:jc w:val="both"/>
        <w:rPr>
          <w:color w:val="auto"/>
          <w:sz w:val="21"/>
          <w:szCs w:val="21"/>
          <w:highlight w:val="none"/>
          <w:lang w:eastAsia="zh-CN"/>
        </w:rPr>
      </w:pPr>
      <w:r>
        <w:rPr>
          <w:rFonts w:hint="eastAsia"/>
          <w:color w:val="auto"/>
          <w:sz w:val="21"/>
          <w:szCs w:val="21"/>
          <w:highlight w:val="none"/>
          <w:lang w:eastAsia="zh-CN"/>
        </w:rPr>
        <w:t>日期：      年   月   日</w:t>
      </w:r>
    </w:p>
    <w:p w14:paraId="191D14D2">
      <w:pPr>
        <w:rPr>
          <w:color w:val="auto"/>
          <w:highlight w:val="none"/>
        </w:rPr>
      </w:pPr>
    </w:p>
    <w:p w14:paraId="3E65F180">
      <w:pPr>
        <w:pStyle w:val="146"/>
        <w:spacing w:line="360" w:lineRule="auto"/>
        <w:ind w:left="0" w:right="0"/>
        <w:jc w:val="both"/>
        <w:rPr>
          <w:color w:val="auto"/>
          <w:sz w:val="21"/>
          <w:szCs w:val="21"/>
          <w:highlight w:val="none"/>
          <w:lang w:eastAsia="zh-CN"/>
        </w:rPr>
      </w:pPr>
      <w:r>
        <w:rPr>
          <w:rFonts w:hint="eastAsia"/>
          <w:color w:val="auto"/>
          <w:sz w:val="21"/>
          <w:szCs w:val="21"/>
          <w:highlight w:val="none"/>
          <w:lang w:eastAsia="zh-CN"/>
        </w:rPr>
        <w:t>注：1、近3年：成立3年以上的，为投标截止时间前3年内；成立不足3年的，为实际时间。</w:t>
      </w:r>
    </w:p>
    <w:p w14:paraId="762EB8F2">
      <w:pPr>
        <w:pStyle w:val="146"/>
        <w:spacing w:line="360" w:lineRule="auto"/>
        <w:ind w:left="0" w:right="0" w:firstLine="420" w:firstLineChars="200"/>
        <w:jc w:val="both"/>
        <w:rPr>
          <w:color w:val="auto"/>
          <w:sz w:val="21"/>
          <w:szCs w:val="21"/>
          <w:highlight w:val="none"/>
          <w:lang w:eastAsia="zh-CN"/>
        </w:rPr>
      </w:pPr>
      <w:r>
        <w:rPr>
          <w:rFonts w:hint="eastAsia"/>
          <w:color w:val="auto"/>
          <w:sz w:val="21"/>
          <w:szCs w:val="21"/>
          <w:highlight w:val="none"/>
          <w:lang w:eastAsia="zh-CN"/>
        </w:rPr>
        <w:t>2、投标人在参加政府采购活动前3年内因违法经营被禁止在一定期限内参加政府采购活动，期限届满的，可以参加政府采购活动。有前述情形的，投标人应附相应的证明材料。</w:t>
      </w:r>
    </w:p>
    <w:p w14:paraId="4EEF1C4D">
      <w:pPr>
        <w:spacing w:line="360" w:lineRule="auto"/>
        <w:ind w:firstLine="480" w:firstLineChars="200"/>
        <w:outlineLvl w:val="0"/>
        <w:rPr>
          <w:rFonts w:ascii="宋体" w:hAnsi="宋体" w:cs="宋体"/>
          <w:color w:val="auto"/>
          <w:kern w:val="0"/>
          <w:sz w:val="24"/>
          <w:szCs w:val="24"/>
          <w:highlight w:val="none"/>
        </w:rPr>
      </w:pPr>
      <w:r>
        <w:rPr>
          <w:rFonts w:hint="eastAsia" w:ascii="宋体" w:hAnsi="宋体" w:cs="宋体"/>
          <w:color w:val="auto"/>
          <w:kern w:val="0"/>
          <w:sz w:val="24"/>
          <w:szCs w:val="24"/>
          <w:highlight w:val="none"/>
        </w:rPr>
        <w:br w:type="page"/>
      </w:r>
      <w:r>
        <w:rPr>
          <w:rFonts w:hint="eastAsia" w:ascii="宋体" w:hAnsi="宋体" w:cs="宋体"/>
          <w:color w:val="auto"/>
          <w:kern w:val="0"/>
          <w:sz w:val="24"/>
          <w:szCs w:val="24"/>
          <w:highlight w:val="none"/>
        </w:rPr>
        <w:t>6）法律、行政法规规定的其他条件。</w:t>
      </w:r>
    </w:p>
    <w:p w14:paraId="3AFC8C71">
      <w:pPr>
        <w:rPr>
          <w:color w:val="auto"/>
          <w:highlight w:val="none"/>
        </w:rPr>
      </w:pPr>
    </w:p>
    <w:p w14:paraId="57AD1BBF">
      <w:pPr>
        <w:spacing w:line="360" w:lineRule="auto"/>
        <w:ind w:firstLine="420" w:firstLineChars="200"/>
        <w:outlineLvl w:val="0"/>
        <w:rPr>
          <w:rFonts w:ascii="宋体" w:hAnsi="宋体" w:cs="宋体"/>
          <w:color w:val="auto"/>
          <w:kern w:val="0"/>
          <w:szCs w:val="21"/>
          <w:highlight w:val="none"/>
        </w:rPr>
      </w:pPr>
      <w:r>
        <w:rPr>
          <w:rFonts w:hint="eastAsia" w:ascii="宋体" w:hAnsi="宋体" w:cs="宋体"/>
          <w:color w:val="auto"/>
          <w:kern w:val="0"/>
          <w:szCs w:val="21"/>
          <w:highlight w:val="none"/>
        </w:rPr>
        <w:t>针对本次项目的反商业贿赂承诺书（格式自拟）。</w:t>
      </w:r>
    </w:p>
    <w:p w14:paraId="6BB5E074">
      <w:pPr>
        <w:rPr>
          <w:color w:val="auto"/>
          <w:highlight w:val="none"/>
        </w:rPr>
      </w:pPr>
    </w:p>
    <w:p w14:paraId="6843FDA6">
      <w:pPr>
        <w:pStyle w:val="146"/>
        <w:spacing w:line="360" w:lineRule="auto"/>
        <w:ind w:left="0" w:right="0"/>
        <w:jc w:val="center"/>
        <w:rPr>
          <w:b/>
          <w:color w:val="auto"/>
          <w:highlight w:val="none"/>
          <w:lang w:eastAsia="zh-CN"/>
        </w:rPr>
      </w:pPr>
      <w:r>
        <w:rPr>
          <w:color w:val="auto"/>
          <w:sz w:val="24"/>
          <w:szCs w:val="24"/>
          <w:highlight w:val="none"/>
          <w:lang w:eastAsia="zh-CN"/>
        </w:rPr>
        <w:br w:type="page"/>
      </w:r>
      <w:r>
        <w:rPr>
          <w:rFonts w:hint="eastAsia"/>
          <w:b/>
          <w:color w:val="auto"/>
          <w:highlight w:val="none"/>
          <w:lang w:eastAsia="zh-CN"/>
        </w:rPr>
        <w:t>（二）落实政府采购政策需满足的资格要求</w:t>
      </w:r>
    </w:p>
    <w:p w14:paraId="1BEB6496">
      <w:pPr>
        <w:pStyle w:val="17"/>
        <w:tabs>
          <w:tab w:val="left" w:pos="2291"/>
          <w:tab w:val="left" w:pos="2395"/>
          <w:tab w:val="left" w:pos="6538"/>
          <w:tab w:val="left" w:pos="6658"/>
          <w:tab w:val="left" w:pos="7481"/>
          <w:tab w:val="left" w:pos="8506"/>
        </w:tabs>
        <w:spacing w:line="360" w:lineRule="auto"/>
        <w:rPr>
          <w:color w:val="auto"/>
          <w:highlight w:val="none"/>
        </w:rPr>
      </w:pPr>
    </w:p>
    <w:p w14:paraId="78BE42C1">
      <w:pPr>
        <w:pStyle w:val="17"/>
        <w:tabs>
          <w:tab w:val="left" w:pos="2291"/>
          <w:tab w:val="left" w:pos="2395"/>
          <w:tab w:val="left" w:pos="6538"/>
          <w:tab w:val="left" w:pos="6658"/>
          <w:tab w:val="left" w:pos="7481"/>
          <w:tab w:val="left" w:pos="8506"/>
        </w:tabs>
        <w:spacing w:line="360" w:lineRule="auto"/>
        <w:ind w:firstLine="420" w:firstLineChars="200"/>
        <w:rPr>
          <w:b/>
          <w:bCs/>
          <w:color w:val="auto"/>
          <w:sz w:val="21"/>
          <w:szCs w:val="21"/>
          <w:highlight w:val="none"/>
        </w:rPr>
      </w:pPr>
      <w:r>
        <w:rPr>
          <w:rFonts w:hint="eastAsia"/>
          <w:color w:val="auto"/>
          <w:sz w:val="21"/>
          <w:szCs w:val="21"/>
          <w:highlight w:val="none"/>
        </w:rPr>
        <w:t>属于专门面向中小或小微企业采购的项目或部分预留份额专门面向中小企业采购项目，提供：《中小企业声明函》（或《残疾人福利性单位声明函》、或由省级以上监狱管理局、戒毒管理局（含新疆生产建设兵团）出具的属于监狱企业的证明文件（格式附后）。</w:t>
      </w:r>
    </w:p>
    <w:p w14:paraId="460EC79A">
      <w:pPr>
        <w:pStyle w:val="6"/>
        <w:ind w:firstLine="0"/>
        <w:rPr>
          <w:rFonts w:ascii="宋体" w:hAnsi="宋体"/>
          <w:color w:val="auto"/>
          <w:highlight w:val="none"/>
        </w:rPr>
      </w:pPr>
      <w:r>
        <w:rPr>
          <w:b/>
          <w:color w:val="auto"/>
          <w:sz w:val="24"/>
          <w:szCs w:val="24"/>
          <w:highlight w:val="none"/>
        </w:rPr>
        <w:br w:type="page"/>
      </w:r>
      <w:r>
        <w:rPr>
          <w:rFonts w:hint="eastAsia" w:ascii="宋体" w:hAnsi="宋体"/>
          <w:color w:val="auto"/>
          <w:highlight w:val="none"/>
        </w:rPr>
        <w:t>附件</w:t>
      </w:r>
      <w:r>
        <w:rPr>
          <w:rFonts w:ascii="宋体" w:hAnsi="宋体"/>
          <w:color w:val="auto"/>
          <w:highlight w:val="none"/>
        </w:rPr>
        <w:t>1</w:t>
      </w:r>
      <w:r>
        <w:rPr>
          <w:rFonts w:hint="eastAsia" w:ascii="宋体" w:hAnsi="宋体"/>
          <w:color w:val="auto"/>
          <w:highlight w:val="none"/>
        </w:rPr>
        <w:t>：</w:t>
      </w:r>
    </w:p>
    <w:p w14:paraId="7CE59007">
      <w:pPr>
        <w:pStyle w:val="6"/>
        <w:ind w:firstLine="0"/>
        <w:rPr>
          <w:rFonts w:ascii="宋体" w:hAnsi="宋体"/>
          <w:color w:val="auto"/>
          <w:highlight w:val="none"/>
        </w:rPr>
      </w:pPr>
    </w:p>
    <w:p w14:paraId="3CB778EB">
      <w:pPr>
        <w:jc w:val="center"/>
        <w:rPr>
          <w:rFonts w:ascii="宋体" w:hAnsi="宋体" w:cs="宋体"/>
          <w:b/>
          <w:bCs/>
          <w:color w:val="auto"/>
          <w:sz w:val="36"/>
          <w:szCs w:val="36"/>
          <w:highlight w:val="none"/>
        </w:rPr>
      </w:pPr>
      <w:r>
        <w:rPr>
          <w:rFonts w:hint="eastAsia" w:ascii="宋体" w:hAnsi="宋体" w:cs="宋体"/>
          <w:b/>
          <w:bCs/>
          <w:color w:val="auto"/>
          <w:sz w:val="28"/>
          <w:szCs w:val="28"/>
          <w:highlight w:val="none"/>
        </w:rPr>
        <w:t>中小企业声明函（货物）</w:t>
      </w:r>
    </w:p>
    <w:p w14:paraId="77F2E8D0">
      <w:pPr>
        <w:spacing w:line="360" w:lineRule="auto"/>
        <w:ind w:firstLine="420" w:firstLineChars="200"/>
        <w:rPr>
          <w:rFonts w:ascii="宋体" w:hAnsi="宋体" w:cs="宋体"/>
          <w:color w:val="auto"/>
          <w:kern w:val="0"/>
          <w:szCs w:val="21"/>
          <w:highlight w:val="none"/>
        </w:rPr>
      </w:pPr>
    </w:p>
    <w:p w14:paraId="2707A3C4">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本公司（联合体）郑重声明，根据《政府采购促进中小企业发展管理办法》（财库﹝2020﹞46号）的规定，本公司（联合体）参加</w:t>
      </w:r>
      <w:r>
        <w:rPr>
          <w:rFonts w:hint="eastAsia" w:ascii="宋体" w:hAnsi="宋体" w:cs="宋体"/>
          <w:color w:val="auto"/>
          <w:kern w:val="0"/>
          <w:szCs w:val="21"/>
          <w:highlight w:val="none"/>
          <w:u w:val="single"/>
        </w:rPr>
        <w:t>（单位名称）</w:t>
      </w:r>
      <w:r>
        <w:rPr>
          <w:rFonts w:hint="eastAsia" w:ascii="宋体" w:hAnsi="宋体" w:cs="宋体"/>
          <w:color w:val="auto"/>
          <w:kern w:val="0"/>
          <w:szCs w:val="21"/>
          <w:highlight w:val="none"/>
        </w:rPr>
        <w:t>的</w:t>
      </w:r>
      <w:r>
        <w:rPr>
          <w:rFonts w:hint="eastAsia" w:ascii="宋体" w:hAnsi="宋体" w:cs="宋体"/>
          <w:color w:val="auto"/>
          <w:kern w:val="0"/>
          <w:szCs w:val="21"/>
          <w:highlight w:val="none"/>
          <w:u w:val="single"/>
        </w:rPr>
        <w:t>（项目名称）</w:t>
      </w:r>
      <w:r>
        <w:rPr>
          <w:rFonts w:hint="eastAsia" w:ascii="宋体" w:hAnsi="宋体" w:cs="宋体"/>
          <w:color w:val="auto"/>
          <w:kern w:val="0"/>
          <w:szCs w:val="21"/>
          <w:highlight w:val="none"/>
        </w:rPr>
        <w:t>采购活动，提供的货物全部由符合政策要求的中小企业制造。相关企业（含联合体中的中小企业、签订分包意向协议的中小企业）的具体情况如下：</w:t>
      </w:r>
    </w:p>
    <w:p w14:paraId="4E24126F">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1.</w:t>
      </w:r>
      <w:r>
        <w:rPr>
          <w:rFonts w:hint="eastAsia" w:ascii="宋体" w:hAnsi="宋体" w:cs="宋体"/>
          <w:color w:val="auto"/>
          <w:kern w:val="0"/>
          <w:szCs w:val="21"/>
          <w:highlight w:val="none"/>
          <w:u w:val="single"/>
        </w:rPr>
        <w:t>（标的名称）</w:t>
      </w:r>
      <w:r>
        <w:rPr>
          <w:rFonts w:hint="eastAsia" w:ascii="宋体" w:hAnsi="宋体" w:cs="宋体"/>
          <w:color w:val="auto"/>
          <w:kern w:val="0"/>
          <w:szCs w:val="21"/>
          <w:highlight w:val="none"/>
        </w:rPr>
        <w:t>，属于</w:t>
      </w:r>
      <w:r>
        <w:rPr>
          <w:rFonts w:hint="eastAsia" w:ascii="宋体" w:hAnsi="宋体" w:cs="宋体"/>
          <w:color w:val="auto"/>
          <w:kern w:val="0"/>
          <w:szCs w:val="21"/>
          <w:highlight w:val="none"/>
          <w:u w:val="single"/>
        </w:rPr>
        <w:t>（采购文件中明确的所属行业）</w:t>
      </w:r>
      <w:r>
        <w:rPr>
          <w:rFonts w:hint="eastAsia" w:ascii="宋体" w:hAnsi="宋体" w:cs="宋体"/>
          <w:color w:val="auto"/>
          <w:kern w:val="0"/>
          <w:szCs w:val="21"/>
          <w:highlight w:val="none"/>
        </w:rPr>
        <w:t>；制造商为</w:t>
      </w:r>
      <w:r>
        <w:rPr>
          <w:rFonts w:hint="eastAsia" w:ascii="宋体" w:hAnsi="宋体" w:cs="宋体"/>
          <w:color w:val="auto"/>
          <w:kern w:val="0"/>
          <w:szCs w:val="21"/>
          <w:highlight w:val="none"/>
          <w:u w:val="single"/>
        </w:rPr>
        <w:t>（企业名称）</w:t>
      </w:r>
      <w:r>
        <w:rPr>
          <w:rFonts w:hint="eastAsia" w:ascii="宋体" w:hAnsi="宋体" w:cs="宋体"/>
          <w:color w:val="auto"/>
          <w:kern w:val="0"/>
          <w:szCs w:val="21"/>
          <w:highlight w:val="none"/>
        </w:rPr>
        <w:t>，从业人员</w:t>
      </w:r>
      <w:r>
        <w:rPr>
          <w:rFonts w:hint="eastAsia" w:ascii="宋体" w:hAnsi="宋体" w:cs="宋体"/>
          <w:color w:val="auto"/>
          <w:kern w:val="0"/>
          <w:szCs w:val="21"/>
          <w:highlight w:val="none"/>
          <w:u w:val="single"/>
        </w:rPr>
        <w:t xml:space="preserve"> </w:t>
      </w:r>
      <w:r>
        <w:rPr>
          <w:rFonts w:ascii="宋体" w:hAnsi="宋体" w:cs="宋体"/>
          <w:color w:val="auto"/>
          <w:kern w:val="0"/>
          <w:szCs w:val="21"/>
          <w:highlight w:val="none"/>
          <w:u w:val="single"/>
        </w:rPr>
        <w:t xml:space="preserve"> </w:t>
      </w:r>
      <w:r>
        <w:rPr>
          <w:rFonts w:hint="eastAsia" w:ascii="宋体" w:hAnsi="宋体" w:cs="宋体"/>
          <w:color w:val="auto"/>
          <w:kern w:val="0"/>
          <w:szCs w:val="21"/>
          <w:highlight w:val="none"/>
        </w:rPr>
        <w:t>人，营业收入为</w:t>
      </w:r>
      <w:r>
        <w:rPr>
          <w:rFonts w:hint="eastAsia" w:ascii="宋体" w:hAnsi="宋体" w:cs="宋体"/>
          <w:color w:val="auto"/>
          <w:kern w:val="0"/>
          <w:szCs w:val="21"/>
          <w:highlight w:val="none"/>
          <w:u w:val="single"/>
        </w:rPr>
        <w:t xml:space="preserve"> </w:t>
      </w:r>
      <w:r>
        <w:rPr>
          <w:rFonts w:ascii="宋体" w:hAnsi="宋体" w:cs="宋体"/>
          <w:color w:val="auto"/>
          <w:kern w:val="0"/>
          <w:szCs w:val="21"/>
          <w:highlight w:val="none"/>
          <w:u w:val="single"/>
        </w:rPr>
        <w:t xml:space="preserve">   </w:t>
      </w:r>
      <w:r>
        <w:rPr>
          <w:rFonts w:hint="eastAsia" w:ascii="宋体" w:hAnsi="宋体" w:cs="宋体"/>
          <w:color w:val="auto"/>
          <w:kern w:val="0"/>
          <w:szCs w:val="21"/>
          <w:highlight w:val="none"/>
        </w:rPr>
        <w:t>万元，资产总额为</w:t>
      </w:r>
      <w:r>
        <w:rPr>
          <w:rFonts w:hint="eastAsia" w:ascii="宋体" w:hAnsi="宋体" w:cs="宋体"/>
          <w:color w:val="auto"/>
          <w:kern w:val="0"/>
          <w:szCs w:val="21"/>
          <w:highlight w:val="none"/>
          <w:u w:val="single"/>
        </w:rPr>
        <w:t xml:space="preserve"> </w:t>
      </w:r>
      <w:r>
        <w:rPr>
          <w:rFonts w:ascii="宋体" w:hAnsi="宋体" w:cs="宋体"/>
          <w:color w:val="auto"/>
          <w:kern w:val="0"/>
          <w:szCs w:val="21"/>
          <w:highlight w:val="none"/>
          <w:u w:val="single"/>
        </w:rPr>
        <w:t xml:space="preserve">   </w:t>
      </w:r>
      <w:r>
        <w:rPr>
          <w:rFonts w:hint="eastAsia" w:ascii="宋体" w:hAnsi="宋体" w:cs="宋体"/>
          <w:color w:val="auto"/>
          <w:kern w:val="0"/>
          <w:szCs w:val="21"/>
          <w:highlight w:val="none"/>
        </w:rPr>
        <w:t>万元</w:t>
      </w:r>
      <w:r>
        <w:rPr>
          <w:rFonts w:hint="eastAsia" w:ascii="宋体" w:hAnsi="宋体" w:cs="宋体"/>
          <w:color w:val="auto"/>
          <w:kern w:val="0"/>
          <w:szCs w:val="21"/>
          <w:highlight w:val="none"/>
          <w:vertAlign w:val="superscript"/>
        </w:rPr>
        <w:t>1</w:t>
      </w:r>
      <w:r>
        <w:rPr>
          <w:rFonts w:hint="eastAsia" w:ascii="宋体" w:hAnsi="宋体" w:cs="宋体"/>
          <w:color w:val="auto"/>
          <w:kern w:val="0"/>
          <w:szCs w:val="21"/>
          <w:highlight w:val="none"/>
        </w:rPr>
        <w:t>，属于</w:t>
      </w:r>
      <w:r>
        <w:rPr>
          <w:rFonts w:hint="eastAsia" w:ascii="宋体" w:hAnsi="宋体" w:cs="宋体"/>
          <w:color w:val="auto"/>
          <w:kern w:val="0"/>
          <w:szCs w:val="21"/>
          <w:highlight w:val="none"/>
          <w:u w:val="single"/>
        </w:rPr>
        <w:t>（中型企业、小型企业、微型企业）</w:t>
      </w:r>
      <w:r>
        <w:rPr>
          <w:rFonts w:hint="eastAsia" w:ascii="宋体" w:hAnsi="宋体" w:cs="宋体"/>
          <w:color w:val="auto"/>
          <w:kern w:val="0"/>
          <w:szCs w:val="21"/>
          <w:highlight w:val="none"/>
        </w:rPr>
        <w:t>；</w:t>
      </w:r>
    </w:p>
    <w:p w14:paraId="284BE4FB">
      <w:pPr>
        <w:spacing w:line="360" w:lineRule="auto"/>
        <w:ind w:firstLine="420" w:firstLineChars="200"/>
        <w:rPr>
          <w:rFonts w:ascii="宋体" w:hAnsi="宋体" w:cs="宋体"/>
          <w:color w:val="auto"/>
          <w:kern w:val="0"/>
          <w:szCs w:val="21"/>
          <w:highlight w:val="none"/>
        </w:rPr>
      </w:pPr>
      <w:r>
        <w:rPr>
          <w:rFonts w:ascii="宋体" w:hAnsi="宋体" w:cs="宋体"/>
          <w:color w:val="auto"/>
          <w:kern w:val="0"/>
          <w:szCs w:val="21"/>
          <w:highlight w:val="none"/>
        </w:rPr>
        <w:t>2</w:t>
      </w:r>
      <w:r>
        <w:rPr>
          <w:rFonts w:hint="eastAsia" w:ascii="宋体" w:hAnsi="宋体" w:cs="宋体"/>
          <w:color w:val="auto"/>
          <w:kern w:val="0"/>
          <w:szCs w:val="21"/>
          <w:highlight w:val="none"/>
        </w:rPr>
        <w:t>.</w:t>
      </w:r>
      <w:r>
        <w:rPr>
          <w:rFonts w:hint="eastAsia" w:ascii="宋体" w:hAnsi="宋体" w:cs="宋体"/>
          <w:color w:val="auto"/>
          <w:kern w:val="0"/>
          <w:szCs w:val="21"/>
          <w:highlight w:val="none"/>
          <w:u w:val="single"/>
        </w:rPr>
        <w:t>（标的名称）</w:t>
      </w:r>
      <w:r>
        <w:rPr>
          <w:rFonts w:hint="eastAsia" w:ascii="宋体" w:hAnsi="宋体" w:cs="宋体"/>
          <w:color w:val="auto"/>
          <w:kern w:val="0"/>
          <w:szCs w:val="21"/>
          <w:highlight w:val="none"/>
        </w:rPr>
        <w:t>，属于</w:t>
      </w:r>
      <w:r>
        <w:rPr>
          <w:rFonts w:hint="eastAsia" w:ascii="宋体" w:hAnsi="宋体" w:cs="宋体"/>
          <w:color w:val="auto"/>
          <w:kern w:val="0"/>
          <w:szCs w:val="21"/>
          <w:highlight w:val="none"/>
          <w:u w:val="single"/>
        </w:rPr>
        <w:t>（采购文件中明确的所属行业）</w:t>
      </w:r>
      <w:r>
        <w:rPr>
          <w:rFonts w:hint="eastAsia" w:ascii="宋体" w:hAnsi="宋体" w:cs="宋体"/>
          <w:color w:val="auto"/>
          <w:kern w:val="0"/>
          <w:szCs w:val="21"/>
          <w:highlight w:val="none"/>
        </w:rPr>
        <w:t>；制造商为</w:t>
      </w:r>
      <w:r>
        <w:rPr>
          <w:rFonts w:hint="eastAsia" w:ascii="宋体" w:hAnsi="宋体" w:cs="宋体"/>
          <w:color w:val="auto"/>
          <w:kern w:val="0"/>
          <w:szCs w:val="21"/>
          <w:highlight w:val="none"/>
          <w:u w:val="single"/>
        </w:rPr>
        <w:t>（企业名称）</w:t>
      </w:r>
      <w:r>
        <w:rPr>
          <w:rFonts w:hint="eastAsia" w:ascii="宋体" w:hAnsi="宋体" w:cs="宋体"/>
          <w:color w:val="auto"/>
          <w:kern w:val="0"/>
          <w:szCs w:val="21"/>
          <w:highlight w:val="none"/>
        </w:rPr>
        <w:t>，从业人员</w:t>
      </w:r>
      <w:r>
        <w:rPr>
          <w:rFonts w:hint="eastAsia" w:ascii="宋体" w:hAnsi="宋体" w:cs="宋体"/>
          <w:color w:val="auto"/>
          <w:kern w:val="0"/>
          <w:szCs w:val="21"/>
          <w:highlight w:val="none"/>
          <w:u w:val="single"/>
        </w:rPr>
        <w:t xml:space="preserve"> </w:t>
      </w:r>
      <w:r>
        <w:rPr>
          <w:rFonts w:ascii="宋体" w:hAnsi="宋体" w:cs="宋体"/>
          <w:color w:val="auto"/>
          <w:kern w:val="0"/>
          <w:szCs w:val="21"/>
          <w:highlight w:val="none"/>
          <w:u w:val="single"/>
        </w:rPr>
        <w:t xml:space="preserve"> </w:t>
      </w:r>
      <w:r>
        <w:rPr>
          <w:rFonts w:hint="eastAsia" w:ascii="宋体" w:hAnsi="宋体" w:cs="宋体"/>
          <w:color w:val="auto"/>
          <w:kern w:val="0"/>
          <w:szCs w:val="21"/>
          <w:highlight w:val="none"/>
        </w:rPr>
        <w:t>人，营业收入为</w:t>
      </w:r>
      <w:r>
        <w:rPr>
          <w:rFonts w:hint="eastAsia" w:ascii="宋体" w:hAnsi="宋体" w:cs="宋体"/>
          <w:color w:val="auto"/>
          <w:kern w:val="0"/>
          <w:szCs w:val="21"/>
          <w:highlight w:val="none"/>
          <w:u w:val="single"/>
        </w:rPr>
        <w:t xml:space="preserve"> </w:t>
      </w:r>
      <w:r>
        <w:rPr>
          <w:rFonts w:ascii="宋体" w:hAnsi="宋体" w:cs="宋体"/>
          <w:color w:val="auto"/>
          <w:kern w:val="0"/>
          <w:szCs w:val="21"/>
          <w:highlight w:val="none"/>
          <w:u w:val="single"/>
        </w:rPr>
        <w:t xml:space="preserve">   </w:t>
      </w:r>
      <w:r>
        <w:rPr>
          <w:rFonts w:hint="eastAsia" w:ascii="宋体" w:hAnsi="宋体" w:cs="宋体"/>
          <w:color w:val="auto"/>
          <w:kern w:val="0"/>
          <w:szCs w:val="21"/>
          <w:highlight w:val="none"/>
        </w:rPr>
        <w:t>万元，资产总额为</w:t>
      </w:r>
      <w:r>
        <w:rPr>
          <w:rFonts w:hint="eastAsia" w:ascii="宋体" w:hAnsi="宋体" w:cs="宋体"/>
          <w:color w:val="auto"/>
          <w:kern w:val="0"/>
          <w:szCs w:val="21"/>
          <w:highlight w:val="none"/>
          <w:u w:val="single"/>
        </w:rPr>
        <w:t xml:space="preserve"> </w:t>
      </w:r>
      <w:r>
        <w:rPr>
          <w:rFonts w:ascii="宋体" w:hAnsi="宋体" w:cs="宋体"/>
          <w:color w:val="auto"/>
          <w:kern w:val="0"/>
          <w:szCs w:val="21"/>
          <w:highlight w:val="none"/>
          <w:u w:val="single"/>
        </w:rPr>
        <w:t xml:space="preserve">   </w:t>
      </w:r>
      <w:r>
        <w:rPr>
          <w:rFonts w:hint="eastAsia" w:ascii="宋体" w:hAnsi="宋体" w:cs="宋体"/>
          <w:color w:val="auto"/>
          <w:kern w:val="0"/>
          <w:szCs w:val="21"/>
          <w:highlight w:val="none"/>
        </w:rPr>
        <w:t>万元，属于</w:t>
      </w:r>
      <w:r>
        <w:rPr>
          <w:rFonts w:hint="eastAsia" w:ascii="宋体" w:hAnsi="宋体" w:cs="宋体"/>
          <w:color w:val="auto"/>
          <w:kern w:val="0"/>
          <w:szCs w:val="21"/>
          <w:highlight w:val="none"/>
          <w:u w:val="single"/>
        </w:rPr>
        <w:t>（中型企业、小型企业、微型企业）</w:t>
      </w:r>
      <w:r>
        <w:rPr>
          <w:rFonts w:hint="eastAsia" w:ascii="宋体" w:hAnsi="宋体" w:cs="宋体"/>
          <w:color w:val="auto"/>
          <w:kern w:val="0"/>
          <w:szCs w:val="21"/>
          <w:highlight w:val="none"/>
        </w:rPr>
        <w:t>；</w:t>
      </w:r>
    </w:p>
    <w:p w14:paraId="32FB9A03">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w:t>
      </w:r>
    </w:p>
    <w:p w14:paraId="6317441B">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以上企业，不属于大企业的分支机构，不存在控股股东为大企业的情形，也不存在与大企业的负责人为同一人的情形。</w:t>
      </w:r>
    </w:p>
    <w:p w14:paraId="19FFACBD">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本企业对上述声明内容的真实性负责。如有虚假，将依法承担相应责任。</w:t>
      </w:r>
    </w:p>
    <w:p w14:paraId="1B28510B">
      <w:pPr>
        <w:spacing w:line="360" w:lineRule="auto"/>
        <w:ind w:firstLine="420" w:firstLineChars="200"/>
        <w:rPr>
          <w:rFonts w:ascii="宋体" w:hAnsi="宋体" w:cs="宋体"/>
          <w:color w:val="auto"/>
          <w:kern w:val="0"/>
          <w:szCs w:val="21"/>
          <w:highlight w:val="none"/>
        </w:rPr>
      </w:pPr>
    </w:p>
    <w:p w14:paraId="05B1833C">
      <w:pPr>
        <w:spacing w:line="360" w:lineRule="auto"/>
        <w:ind w:firstLine="420" w:firstLineChars="200"/>
        <w:rPr>
          <w:rFonts w:ascii="宋体" w:hAnsi="宋体" w:cs="宋体"/>
          <w:color w:val="auto"/>
          <w:kern w:val="0"/>
          <w:szCs w:val="21"/>
          <w:highlight w:val="none"/>
        </w:rPr>
      </w:pPr>
    </w:p>
    <w:p w14:paraId="16C6992E">
      <w:pPr>
        <w:spacing w:line="360" w:lineRule="auto"/>
        <w:ind w:firstLine="420" w:firstLineChars="200"/>
        <w:rPr>
          <w:rFonts w:ascii="宋体" w:hAnsi="宋体" w:cs="宋体"/>
          <w:color w:val="auto"/>
          <w:kern w:val="0"/>
          <w:szCs w:val="21"/>
          <w:highlight w:val="none"/>
        </w:rPr>
      </w:pPr>
    </w:p>
    <w:p w14:paraId="0B8C871A">
      <w:pPr>
        <w:pStyle w:val="17"/>
        <w:tabs>
          <w:tab w:val="left" w:pos="7321"/>
        </w:tabs>
        <w:jc w:val="right"/>
        <w:rPr>
          <w:color w:val="auto"/>
          <w:highlight w:val="none"/>
        </w:rPr>
      </w:pPr>
      <w:r>
        <w:rPr>
          <w:color w:val="auto"/>
          <w:highlight w:val="none"/>
        </w:rPr>
        <w:t>投 标</w:t>
      </w:r>
      <w:r>
        <w:rPr>
          <w:color w:val="auto"/>
          <w:spacing w:val="-2"/>
          <w:highlight w:val="none"/>
        </w:rPr>
        <w:t xml:space="preserve"> </w:t>
      </w:r>
      <w:r>
        <w:rPr>
          <w:color w:val="auto"/>
          <w:highlight w:val="none"/>
        </w:rPr>
        <w:t>人：</w:t>
      </w:r>
      <w:r>
        <w:rPr>
          <w:color w:val="auto"/>
          <w:highlight w:val="none"/>
          <w:u w:val="single"/>
        </w:rPr>
        <w:t xml:space="preserve"> </w:t>
      </w:r>
      <w:r>
        <w:rPr>
          <w:rFonts w:hint="eastAsia"/>
          <w:color w:val="auto"/>
          <w:highlight w:val="none"/>
          <w:u w:val="single"/>
        </w:rPr>
        <w:t xml:space="preserve">                    </w:t>
      </w:r>
      <w:r>
        <w:rPr>
          <w:color w:val="auto"/>
          <w:highlight w:val="none"/>
        </w:rPr>
        <w:t>（盖单位章）</w:t>
      </w:r>
    </w:p>
    <w:p w14:paraId="0A961116">
      <w:pPr>
        <w:pStyle w:val="17"/>
        <w:jc w:val="right"/>
        <w:rPr>
          <w:color w:val="auto"/>
          <w:highlight w:val="none"/>
        </w:rPr>
      </w:pPr>
    </w:p>
    <w:p w14:paraId="3CC09F33">
      <w:pPr>
        <w:pStyle w:val="17"/>
        <w:jc w:val="right"/>
        <w:rPr>
          <w:color w:val="auto"/>
          <w:highlight w:val="none"/>
        </w:rPr>
      </w:pPr>
      <w:r>
        <w:rPr>
          <w:color w:val="auto"/>
          <w:highlight w:val="none"/>
          <w:u w:val="single"/>
        </w:rPr>
        <w:t xml:space="preserve"> </w:t>
      </w:r>
      <w:r>
        <w:rPr>
          <w:rFonts w:hint="eastAsia"/>
          <w:color w:val="auto"/>
          <w:highlight w:val="none"/>
          <w:u w:val="single"/>
        </w:rPr>
        <w:t xml:space="preserve">      </w:t>
      </w:r>
      <w:r>
        <w:rPr>
          <w:color w:val="auto"/>
          <w:highlight w:val="none"/>
        </w:rPr>
        <w:t>年</w:t>
      </w:r>
      <w:r>
        <w:rPr>
          <w:color w:val="auto"/>
          <w:highlight w:val="none"/>
          <w:u w:val="single"/>
        </w:rPr>
        <w:t xml:space="preserve"> </w:t>
      </w:r>
      <w:r>
        <w:rPr>
          <w:rFonts w:hint="eastAsia"/>
          <w:color w:val="auto"/>
          <w:highlight w:val="none"/>
          <w:u w:val="single"/>
        </w:rPr>
        <w:t xml:space="preserve">    </w:t>
      </w:r>
      <w:r>
        <w:rPr>
          <w:color w:val="auto"/>
          <w:highlight w:val="none"/>
        </w:rPr>
        <w:t>月</w:t>
      </w:r>
      <w:r>
        <w:rPr>
          <w:color w:val="auto"/>
          <w:highlight w:val="none"/>
          <w:u w:val="single"/>
        </w:rPr>
        <w:t xml:space="preserve"> </w:t>
      </w:r>
      <w:r>
        <w:rPr>
          <w:rFonts w:hint="eastAsia"/>
          <w:color w:val="auto"/>
          <w:highlight w:val="none"/>
          <w:u w:val="single"/>
        </w:rPr>
        <w:t xml:space="preserve">    </w:t>
      </w:r>
      <w:r>
        <w:rPr>
          <w:color w:val="auto"/>
          <w:highlight w:val="none"/>
        </w:rPr>
        <w:t>日</w:t>
      </w:r>
    </w:p>
    <w:p w14:paraId="00022E60">
      <w:pPr>
        <w:spacing w:line="360" w:lineRule="auto"/>
        <w:ind w:firstLine="420" w:firstLineChars="200"/>
        <w:jc w:val="right"/>
        <w:rPr>
          <w:rFonts w:ascii="宋体" w:hAnsi="宋体" w:cs="宋体"/>
          <w:color w:val="auto"/>
          <w:kern w:val="0"/>
          <w:szCs w:val="21"/>
          <w:highlight w:val="none"/>
        </w:rPr>
      </w:pPr>
    </w:p>
    <w:p w14:paraId="01E3210C">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vertAlign w:val="superscript"/>
        </w:rPr>
        <w:t>1</w:t>
      </w:r>
      <w:r>
        <w:rPr>
          <w:rFonts w:hint="eastAsia" w:ascii="宋体" w:hAnsi="宋体" w:cs="宋体"/>
          <w:color w:val="auto"/>
          <w:kern w:val="0"/>
          <w:szCs w:val="21"/>
          <w:highlight w:val="none"/>
        </w:rPr>
        <w:t>从业人员、营业收入、资产总额填报上一年度数据，无上一年度数据的新成立企业可不填报。</w:t>
      </w:r>
    </w:p>
    <w:p w14:paraId="5A2060C6">
      <w:pPr>
        <w:pStyle w:val="6"/>
        <w:ind w:firstLine="0"/>
        <w:rPr>
          <w:color w:val="auto"/>
          <w:highlight w:val="none"/>
        </w:rPr>
      </w:pPr>
    </w:p>
    <w:p w14:paraId="16C5AC92">
      <w:pPr>
        <w:pStyle w:val="6"/>
        <w:ind w:firstLine="0"/>
        <w:rPr>
          <w:b/>
          <w:color w:val="auto"/>
          <w:highlight w:val="none"/>
        </w:rPr>
      </w:pPr>
      <w:r>
        <w:rPr>
          <w:rFonts w:hint="eastAsia"/>
          <w:b/>
          <w:color w:val="auto"/>
          <w:highlight w:val="none"/>
        </w:rPr>
        <w:t>注：</w:t>
      </w:r>
      <w:r>
        <w:rPr>
          <w:rFonts w:hint="eastAsia" w:ascii="宋体" w:hAnsi="宋体"/>
          <w:b/>
          <w:color w:val="auto"/>
          <w:highlight w:val="none"/>
        </w:rPr>
        <w:t>*</w:t>
      </w:r>
      <w:r>
        <w:rPr>
          <w:rFonts w:hint="eastAsia"/>
          <w:b/>
          <w:color w:val="auto"/>
          <w:highlight w:val="none"/>
        </w:rPr>
        <w:t>“标的名称”应填写投标产品的名称，不得填写项目名称，否则将做无效投标处理。</w:t>
      </w:r>
    </w:p>
    <w:p w14:paraId="5E9527E3">
      <w:pPr>
        <w:pStyle w:val="6"/>
        <w:ind w:firstLine="0"/>
        <w:rPr>
          <w:rFonts w:ascii="宋体" w:hAnsi="宋体"/>
          <w:color w:val="auto"/>
          <w:highlight w:val="none"/>
        </w:rPr>
      </w:pPr>
      <w:r>
        <w:rPr>
          <w:color w:val="auto"/>
          <w:highlight w:val="none"/>
        </w:rPr>
        <w:br w:type="page"/>
      </w:r>
      <w:bookmarkStart w:id="48" w:name="OLE_LINK14"/>
      <w:bookmarkStart w:id="49" w:name="OLE_LINK13"/>
      <w:r>
        <w:rPr>
          <w:rFonts w:hint="eastAsia" w:ascii="宋体" w:hAnsi="宋体"/>
          <w:color w:val="auto"/>
          <w:highlight w:val="none"/>
        </w:rPr>
        <w:t>附件</w:t>
      </w:r>
      <w:r>
        <w:rPr>
          <w:rFonts w:ascii="宋体" w:hAnsi="宋体"/>
          <w:color w:val="auto"/>
          <w:highlight w:val="none"/>
        </w:rPr>
        <w:t>2</w:t>
      </w:r>
      <w:r>
        <w:rPr>
          <w:rFonts w:hint="eastAsia" w:ascii="宋体" w:hAnsi="宋体"/>
          <w:color w:val="auto"/>
          <w:highlight w:val="none"/>
        </w:rPr>
        <w:t>：</w:t>
      </w:r>
    </w:p>
    <w:p w14:paraId="346A6046">
      <w:pPr>
        <w:pStyle w:val="6"/>
        <w:ind w:firstLine="0"/>
        <w:rPr>
          <w:rFonts w:ascii="宋体" w:hAnsi="宋体"/>
          <w:color w:val="auto"/>
          <w:highlight w:val="none"/>
        </w:rPr>
      </w:pPr>
    </w:p>
    <w:p w14:paraId="630DC84E">
      <w:pPr>
        <w:spacing w:line="588" w:lineRule="exact"/>
        <w:jc w:val="center"/>
        <w:rPr>
          <w:rFonts w:ascii="宋体" w:hAnsi="宋体" w:cs="仿宋"/>
          <w:b/>
          <w:color w:val="auto"/>
          <w:spacing w:val="6"/>
          <w:sz w:val="28"/>
          <w:szCs w:val="28"/>
          <w:highlight w:val="none"/>
        </w:rPr>
      </w:pPr>
      <w:r>
        <w:rPr>
          <w:rFonts w:hint="eastAsia" w:ascii="宋体" w:hAnsi="宋体" w:cs="仿宋"/>
          <w:b/>
          <w:color w:val="auto"/>
          <w:spacing w:val="6"/>
          <w:sz w:val="28"/>
          <w:szCs w:val="28"/>
          <w:highlight w:val="none"/>
        </w:rPr>
        <w:t>残疾人福利性单位声明函</w:t>
      </w:r>
    </w:p>
    <w:bookmarkEnd w:id="48"/>
    <w:bookmarkEnd w:id="49"/>
    <w:p w14:paraId="492A9DEA">
      <w:pPr>
        <w:spacing w:line="360" w:lineRule="auto"/>
        <w:rPr>
          <w:rFonts w:ascii="宋体" w:hAnsi="宋体" w:cs="仿宋"/>
          <w:b/>
          <w:color w:val="auto"/>
          <w:szCs w:val="21"/>
          <w:highlight w:val="none"/>
        </w:rPr>
      </w:pPr>
    </w:p>
    <w:p w14:paraId="0B106122">
      <w:pPr>
        <w:spacing w:line="360" w:lineRule="auto"/>
        <w:ind w:firstLine="420" w:firstLineChars="200"/>
        <w:rPr>
          <w:rFonts w:ascii="宋体" w:hAnsi="宋体" w:cs="仿宋"/>
          <w:color w:val="auto"/>
          <w:szCs w:val="21"/>
          <w:highlight w:val="none"/>
        </w:rPr>
      </w:pPr>
      <w:r>
        <w:rPr>
          <w:rFonts w:hint="eastAsia" w:ascii="宋体" w:hAnsi="宋体" w:cs="仿宋"/>
          <w:color w:val="auto"/>
          <w:szCs w:val="21"/>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5A390408">
      <w:pPr>
        <w:spacing w:line="360" w:lineRule="auto"/>
        <w:ind w:firstLine="420" w:firstLineChars="200"/>
        <w:rPr>
          <w:rFonts w:ascii="宋体" w:hAnsi="宋体" w:cs="仿宋"/>
          <w:color w:val="auto"/>
          <w:szCs w:val="21"/>
          <w:highlight w:val="none"/>
        </w:rPr>
      </w:pPr>
      <w:r>
        <w:rPr>
          <w:rFonts w:hint="eastAsia" w:ascii="宋体" w:hAnsi="宋体" w:cs="仿宋"/>
          <w:color w:val="auto"/>
          <w:szCs w:val="21"/>
          <w:highlight w:val="none"/>
        </w:rPr>
        <w:t>本单位对上述声明的真实性负责。如有虚假，将依法承担相应责任。</w:t>
      </w:r>
    </w:p>
    <w:p w14:paraId="7BDE66AA">
      <w:pPr>
        <w:spacing w:line="360" w:lineRule="auto"/>
        <w:ind w:firstLine="420" w:firstLineChars="200"/>
        <w:rPr>
          <w:rFonts w:ascii="宋体" w:hAnsi="宋体" w:cs="仿宋"/>
          <w:color w:val="auto"/>
          <w:szCs w:val="21"/>
          <w:highlight w:val="none"/>
        </w:rPr>
      </w:pPr>
    </w:p>
    <w:p w14:paraId="0F7D2A03">
      <w:pPr>
        <w:spacing w:line="360" w:lineRule="auto"/>
        <w:ind w:firstLine="420" w:firstLineChars="200"/>
        <w:rPr>
          <w:rFonts w:ascii="宋体" w:hAnsi="宋体" w:cs="仿宋"/>
          <w:color w:val="auto"/>
          <w:szCs w:val="21"/>
          <w:highlight w:val="none"/>
        </w:rPr>
      </w:pPr>
    </w:p>
    <w:p w14:paraId="39823B9A">
      <w:pPr>
        <w:spacing w:line="360" w:lineRule="auto"/>
        <w:ind w:firstLine="420" w:firstLineChars="200"/>
        <w:rPr>
          <w:rFonts w:ascii="宋体" w:hAnsi="宋体" w:cs="仿宋"/>
          <w:color w:val="auto"/>
          <w:szCs w:val="21"/>
          <w:highlight w:val="none"/>
        </w:rPr>
      </w:pPr>
    </w:p>
    <w:p w14:paraId="43E457C9">
      <w:pPr>
        <w:pStyle w:val="17"/>
        <w:tabs>
          <w:tab w:val="left" w:pos="7321"/>
        </w:tabs>
        <w:jc w:val="right"/>
        <w:rPr>
          <w:color w:val="auto"/>
          <w:highlight w:val="none"/>
        </w:rPr>
      </w:pPr>
      <w:r>
        <w:rPr>
          <w:color w:val="auto"/>
          <w:highlight w:val="none"/>
        </w:rPr>
        <w:t>投 标</w:t>
      </w:r>
      <w:r>
        <w:rPr>
          <w:color w:val="auto"/>
          <w:spacing w:val="-2"/>
          <w:highlight w:val="none"/>
        </w:rPr>
        <w:t xml:space="preserve"> </w:t>
      </w:r>
      <w:r>
        <w:rPr>
          <w:color w:val="auto"/>
          <w:highlight w:val="none"/>
        </w:rPr>
        <w:t>人：</w:t>
      </w:r>
      <w:r>
        <w:rPr>
          <w:color w:val="auto"/>
          <w:highlight w:val="none"/>
          <w:u w:val="single"/>
        </w:rPr>
        <w:t xml:space="preserve"> </w:t>
      </w:r>
      <w:r>
        <w:rPr>
          <w:rFonts w:hint="eastAsia"/>
          <w:color w:val="auto"/>
          <w:highlight w:val="none"/>
          <w:u w:val="single"/>
        </w:rPr>
        <w:t xml:space="preserve">                    </w:t>
      </w:r>
      <w:r>
        <w:rPr>
          <w:color w:val="auto"/>
          <w:highlight w:val="none"/>
        </w:rPr>
        <w:t>（盖单位章）</w:t>
      </w:r>
    </w:p>
    <w:p w14:paraId="59560AB3">
      <w:pPr>
        <w:pStyle w:val="17"/>
        <w:jc w:val="right"/>
        <w:rPr>
          <w:color w:val="auto"/>
          <w:highlight w:val="none"/>
        </w:rPr>
      </w:pPr>
    </w:p>
    <w:p w14:paraId="4DBEDDEE">
      <w:pPr>
        <w:pStyle w:val="17"/>
        <w:ind w:firstLine="5400" w:firstLineChars="2700"/>
        <w:rPr>
          <w:color w:val="auto"/>
          <w:highlight w:val="none"/>
        </w:rPr>
      </w:pPr>
      <w:r>
        <w:rPr>
          <w:color w:val="auto"/>
          <w:highlight w:val="none"/>
          <w:u w:val="single"/>
        </w:rPr>
        <w:t xml:space="preserve"> </w:t>
      </w:r>
      <w:r>
        <w:rPr>
          <w:rFonts w:hint="eastAsia"/>
          <w:color w:val="auto"/>
          <w:highlight w:val="none"/>
          <w:u w:val="single"/>
        </w:rPr>
        <w:t xml:space="preserve">      </w:t>
      </w:r>
      <w:r>
        <w:rPr>
          <w:color w:val="auto"/>
          <w:highlight w:val="none"/>
        </w:rPr>
        <w:t>年</w:t>
      </w:r>
      <w:r>
        <w:rPr>
          <w:color w:val="auto"/>
          <w:highlight w:val="none"/>
          <w:u w:val="single"/>
        </w:rPr>
        <w:t xml:space="preserve"> </w:t>
      </w:r>
      <w:r>
        <w:rPr>
          <w:rFonts w:hint="eastAsia"/>
          <w:color w:val="auto"/>
          <w:highlight w:val="none"/>
          <w:u w:val="single"/>
        </w:rPr>
        <w:t xml:space="preserve">    </w:t>
      </w:r>
      <w:r>
        <w:rPr>
          <w:color w:val="auto"/>
          <w:highlight w:val="none"/>
        </w:rPr>
        <w:t>月</w:t>
      </w:r>
      <w:r>
        <w:rPr>
          <w:color w:val="auto"/>
          <w:highlight w:val="none"/>
          <w:u w:val="single"/>
        </w:rPr>
        <w:t xml:space="preserve"> </w:t>
      </w:r>
      <w:r>
        <w:rPr>
          <w:rFonts w:hint="eastAsia"/>
          <w:color w:val="auto"/>
          <w:highlight w:val="none"/>
          <w:u w:val="single"/>
        </w:rPr>
        <w:t xml:space="preserve">    </w:t>
      </w:r>
      <w:r>
        <w:rPr>
          <w:color w:val="auto"/>
          <w:highlight w:val="none"/>
        </w:rPr>
        <w:t>日</w:t>
      </w:r>
    </w:p>
    <w:p w14:paraId="55588BA0">
      <w:pPr>
        <w:spacing w:line="360" w:lineRule="auto"/>
        <w:rPr>
          <w:rFonts w:ascii="宋体" w:hAnsi="宋体" w:cs="宋体"/>
          <w:color w:val="auto"/>
          <w:kern w:val="0"/>
          <w:szCs w:val="21"/>
          <w:highlight w:val="none"/>
        </w:rPr>
      </w:pPr>
      <w:r>
        <w:rPr>
          <w:b/>
          <w:color w:val="auto"/>
          <w:sz w:val="24"/>
          <w:szCs w:val="24"/>
          <w:highlight w:val="none"/>
        </w:rPr>
        <w:br w:type="page"/>
      </w:r>
      <w:r>
        <w:rPr>
          <w:rFonts w:hint="eastAsia" w:ascii="宋体" w:hAnsi="宋体" w:cs="宋体"/>
          <w:color w:val="auto"/>
          <w:kern w:val="0"/>
          <w:szCs w:val="21"/>
          <w:highlight w:val="none"/>
        </w:rPr>
        <w:t>附件3：</w:t>
      </w:r>
    </w:p>
    <w:p w14:paraId="0EB11BC3">
      <w:pPr>
        <w:spacing w:line="588" w:lineRule="exact"/>
        <w:jc w:val="center"/>
        <w:rPr>
          <w:rFonts w:ascii="宋体" w:hAnsi="宋体" w:cs="仿宋"/>
          <w:b/>
          <w:color w:val="auto"/>
          <w:spacing w:val="6"/>
          <w:sz w:val="28"/>
          <w:szCs w:val="28"/>
          <w:highlight w:val="none"/>
        </w:rPr>
      </w:pPr>
      <w:r>
        <w:rPr>
          <w:rFonts w:hint="eastAsia" w:ascii="宋体" w:hAnsi="宋体" w:cs="仿宋"/>
          <w:b/>
          <w:color w:val="auto"/>
          <w:spacing w:val="6"/>
          <w:sz w:val="28"/>
          <w:szCs w:val="28"/>
          <w:highlight w:val="none"/>
        </w:rPr>
        <w:t>属于监狱企业的证明文件</w:t>
      </w:r>
    </w:p>
    <w:p w14:paraId="4061A7BE">
      <w:pPr>
        <w:spacing w:line="360" w:lineRule="auto"/>
        <w:ind w:firstLine="420" w:firstLineChars="200"/>
        <w:rPr>
          <w:rFonts w:ascii="宋体" w:hAnsi="宋体" w:cs="宋体"/>
          <w:color w:val="auto"/>
          <w:kern w:val="0"/>
          <w:szCs w:val="21"/>
          <w:highlight w:val="none"/>
        </w:rPr>
      </w:pPr>
    </w:p>
    <w:p w14:paraId="444066D7">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由省级以上监狱管理局、戒毒管理局（含新疆生产建设兵团）出具。</w:t>
      </w:r>
    </w:p>
    <w:p w14:paraId="37CBA5C5">
      <w:pPr>
        <w:rPr>
          <w:color w:val="auto"/>
          <w:highlight w:val="none"/>
        </w:rPr>
      </w:pPr>
    </w:p>
    <w:p w14:paraId="48FB19CD">
      <w:pPr>
        <w:widowControl/>
        <w:jc w:val="left"/>
        <w:rPr>
          <w:rFonts w:ascii="宋体" w:hAnsi="宋体" w:cs="宋体"/>
          <w:color w:val="auto"/>
          <w:kern w:val="0"/>
          <w:sz w:val="24"/>
          <w:szCs w:val="24"/>
          <w:highlight w:val="none"/>
        </w:rPr>
      </w:pPr>
      <w:r>
        <w:rPr>
          <w:color w:val="auto"/>
          <w:sz w:val="24"/>
          <w:szCs w:val="24"/>
          <w:highlight w:val="none"/>
        </w:rPr>
        <w:br w:type="page"/>
      </w:r>
    </w:p>
    <w:p w14:paraId="64467569">
      <w:pPr>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附件</w:t>
      </w:r>
      <w:r>
        <w:rPr>
          <w:rFonts w:ascii="宋体" w:hAnsi="宋体" w:cs="宋体"/>
          <w:color w:val="auto"/>
          <w:kern w:val="0"/>
          <w:szCs w:val="21"/>
          <w:highlight w:val="none"/>
        </w:rPr>
        <w:t>4</w:t>
      </w:r>
      <w:r>
        <w:rPr>
          <w:rFonts w:hint="eastAsia" w:ascii="宋体" w:hAnsi="宋体" w:cs="宋体"/>
          <w:color w:val="auto"/>
          <w:kern w:val="0"/>
          <w:szCs w:val="21"/>
          <w:highlight w:val="none"/>
        </w:rPr>
        <w:t>：</w:t>
      </w:r>
    </w:p>
    <w:p w14:paraId="4827B34F">
      <w:pPr>
        <w:spacing w:line="360" w:lineRule="auto"/>
        <w:jc w:val="center"/>
        <w:rPr>
          <w:rFonts w:ascii="宋体" w:hAnsi="宋体" w:cs="仿宋"/>
          <w:b/>
          <w:bCs/>
          <w:color w:val="auto"/>
          <w:kern w:val="0"/>
          <w:sz w:val="28"/>
          <w:szCs w:val="28"/>
          <w:highlight w:val="none"/>
        </w:rPr>
      </w:pPr>
      <w:r>
        <w:rPr>
          <w:rFonts w:hint="eastAsia" w:ascii="宋体" w:hAnsi="宋体" w:cs="仿宋"/>
          <w:b/>
          <w:bCs/>
          <w:color w:val="auto"/>
          <w:kern w:val="0"/>
          <w:sz w:val="28"/>
          <w:szCs w:val="28"/>
          <w:highlight w:val="none"/>
        </w:rPr>
        <w:t>中小微企业制造产品明细表</w:t>
      </w:r>
    </w:p>
    <w:p w14:paraId="3616C6D3">
      <w:pPr>
        <w:spacing w:line="360" w:lineRule="auto"/>
        <w:jc w:val="center"/>
        <w:rPr>
          <w:rFonts w:ascii="宋体" w:hAnsi="宋体" w:cs="仿宋"/>
          <w:color w:val="auto"/>
          <w:kern w:val="0"/>
          <w:szCs w:val="21"/>
          <w:highlight w:val="none"/>
        </w:rPr>
      </w:pPr>
      <w:r>
        <w:rPr>
          <w:rFonts w:hint="eastAsia" w:ascii="宋体" w:hAnsi="宋体" w:cs="仿宋"/>
          <w:color w:val="auto"/>
          <w:kern w:val="0"/>
          <w:szCs w:val="21"/>
          <w:highlight w:val="none"/>
        </w:rPr>
        <w:t>（适用于二标段）</w:t>
      </w:r>
    </w:p>
    <w:tbl>
      <w:tblPr>
        <w:tblStyle w:val="40"/>
        <w:tblW w:w="9109" w:type="dxa"/>
        <w:tblInd w:w="7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1"/>
        <w:gridCol w:w="2190"/>
        <w:gridCol w:w="45"/>
        <w:gridCol w:w="890"/>
        <w:gridCol w:w="1405"/>
        <w:gridCol w:w="2199"/>
        <w:gridCol w:w="1559"/>
      </w:tblGrid>
      <w:tr w14:paraId="506634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1" w:type="dxa"/>
            <w:vAlign w:val="center"/>
          </w:tcPr>
          <w:p w14:paraId="22D6606D">
            <w:pPr>
              <w:jc w:val="center"/>
              <w:rPr>
                <w:rFonts w:ascii="宋体" w:hAnsi="宋体" w:cs="仿宋"/>
                <w:b/>
                <w:bCs/>
                <w:color w:val="auto"/>
                <w:kern w:val="0"/>
                <w:szCs w:val="21"/>
                <w:highlight w:val="none"/>
              </w:rPr>
            </w:pPr>
            <w:r>
              <w:rPr>
                <w:rFonts w:hint="eastAsia" w:ascii="宋体" w:hAnsi="宋体" w:cs="仿宋"/>
                <w:b/>
                <w:bCs/>
                <w:color w:val="auto"/>
                <w:kern w:val="0"/>
                <w:szCs w:val="21"/>
                <w:highlight w:val="none"/>
              </w:rPr>
              <w:t>序号</w:t>
            </w:r>
          </w:p>
        </w:tc>
        <w:tc>
          <w:tcPr>
            <w:tcW w:w="2190" w:type="dxa"/>
            <w:vAlign w:val="center"/>
          </w:tcPr>
          <w:p w14:paraId="153DEBEC">
            <w:pPr>
              <w:jc w:val="center"/>
              <w:rPr>
                <w:rFonts w:ascii="宋体" w:hAnsi="宋体" w:cs="仿宋"/>
                <w:b/>
                <w:bCs/>
                <w:color w:val="auto"/>
                <w:kern w:val="0"/>
                <w:szCs w:val="21"/>
                <w:highlight w:val="none"/>
              </w:rPr>
            </w:pPr>
            <w:r>
              <w:rPr>
                <w:rFonts w:hint="eastAsia" w:ascii="宋体" w:hAnsi="宋体" w:cs="仿宋"/>
                <w:b/>
                <w:bCs/>
                <w:color w:val="auto"/>
                <w:kern w:val="0"/>
                <w:szCs w:val="21"/>
                <w:highlight w:val="none"/>
              </w:rPr>
              <w:t>产品名称、规格型号</w:t>
            </w:r>
          </w:p>
        </w:tc>
        <w:tc>
          <w:tcPr>
            <w:tcW w:w="935" w:type="dxa"/>
            <w:gridSpan w:val="2"/>
            <w:vAlign w:val="center"/>
          </w:tcPr>
          <w:p w14:paraId="168EAC7B">
            <w:pPr>
              <w:jc w:val="center"/>
              <w:rPr>
                <w:rFonts w:ascii="宋体" w:hAnsi="宋体" w:cs="仿宋"/>
                <w:b/>
                <w:bCs/>
                <w:color w:val="auto"/>
                <w:kern w:val="0"/>
                <w:szCs w:val="21"/>
                <w:highlight w:val="none"/>
              </w:rPr>
            </w:pPr>
            <w:r>
              <w:rPr>
                <w:rFonts w:hint="eastAsia" w:ascii="宋体" w:hAnsi="宋体" w:cs="仿宋"/>
                <w:b/>
                <w:bCs/>
                <w:color w:val="auto"/>
                <w:kern w:val="0"/>
                <w:szCs w:val="21"/>
                <w:highlight w:val="none"/>
              </w:rPr>
              <w:t>数量</w:t>
            </w:r>
          </w:p>
        </w:tc>
        <w:tc>
          <w:tcPr>
            <w:tcW w:w="1405" w:type="dxa"/>
            <w:vAlign w:val="center"/>
          </w:tcPr>
          <w:p w14:paraId="03908AAA">
            <w:pPr>
              <w:jc w:val="center"/>
              <w:rPr>
                <w:rFonts w:ascii="宋体" w:hAnsi="宋体" w:cs="仿宋"/>
                <w:b/>
                <w:bCs/>
                <w:color w:val="auto"/>
                <w:kern w:val="0"/>
                <w:szCs w:val="21"/>
                <w:highlight w:val="none"/>
              </w:rPr>
            </w:pPr>
            <w:r>
              <w:rPr>
                <w:rFonts w:hint="eastAsia" w:ascii="宋体" w:hAnsi="宋体" w:cs="仿宋"/>
                <w:b/>
                <w:bCs/>
                <w:color w:val="auto"/>
                <w:kern w:val="0"/>
                <w:szCs w:val="21"/>
                <w:highlight w:val="none"/>
              </w:rPr>
              <w:t>金额（元）</w:t>
            </w:r>
          </w:p>
        </w:tc>
        <w:tc>
          <w:tcPr>
            <w:tcW w:w="2199" w:type="dxa"/>
            <w:vAlign w:val="center"/>
          </w:tcPr>
          <w:p w14:paraId="5B244BA3">
            <w:pPr>
              <w:jc w:val="center"/>
              <w:rPr>
                <w:rFonts w:ascii="宋体" w:hAnsi="宋体" w:cs="仿宋"/>
                <w:b/>
                <w:bCs/>
                <w:color w:val="auto"/>
                <w:kern w:val="0"/>
                <w:szCs w:val="21"/>
                <w:highlight w:val="none"/>
              </w:rPr>
            </w:pPr>
            <w:r>
              <w:rPr>
                <w:rFonts w:hint="eastAsia" w:ascii="宋体" w:hAnsi="宋体" w:cs="仿宋"/>
                <w:b/>
                <w:bCs/>
                <w:color w:val="auto"/>
                <w:kern w:val="0"/>
                <w:szCs w:val="21"/>
                <w:highlight w:val="none"/>
              </w:rPr>
              <w:t>制造商名称</w:t>
            </w:r>
          </w:p>
        </w:tc>
        <w:tc>
          <w:tcPr>
            <w:tcW w:w="1559" w:type="dxa"/>
            <w:vAlign w:val="center"/>
          </w:tcPr>
          <w:p w14:paraId="1A7688AE">
            <w:pPr>
              <w:jc w:val="center"/>
              <w:rPr>
                <w:rFonts w:ascii="宋体" w:hAnsi="宋体" w:cs="仿宋"/>
                <w:b/>
                <w:bCs/>
                <w:color w:val="auto"/>
                <w:kern w:val="0"/>
                <w:szCs w:val="21"/>
                <w:highlight w:val="none"/>
              </w:rPr>
            </w:pPr>
            <w:r>
              <w:rPr>
                <w:rFonts w:hint="eastAsia" w:ascii="宋体" w:hAnsi="宋体" w:cs="仿宋"/>
                <w:b/>
                <w:bCs/>
                <w:color w:val="auto"/>
                <w:kern w:val="0"/>
                <w:szCs w:val="21"/>
                <w:highlight w:val="none"/>
              </w:rPr>
              <w:t>企业类型</w:t>
            </w:r>
          </w:p>
        </w:tc>
      </w:tr>
      <w:tr w14:paraId="63851A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1" w:type="dxa"/>
            <w:vAlign w:val="center"/>
          </w:tcPr>
          <w:p w14:paraId="03826C51">
            <w:pPr>
              <w:jc w:val="center"/>
              <w:rPr>
                <w:rFonts w:hint="eastAsia" w:ascii="宋体" w:hAnsi="宋体" w:cs="仿宋"/>
                <w:b/>
                <w:bCs/>
                <w:color w:val="auto"/>
                <w:kern w:val="0"/>
                <w:szCs w:val="21"/>
                <w:highlight w:val="none"/>
              </w:rPr>
            </w:pPr>
            <w:r>
              <w:rPr>
                <w:rFonts w:hint="eastAsia" w:ascii="宋体" w:hAnsi="宋体" w:cs="仿宋"/>
                <w:b/>
                <w:bCs/>
                <w:color w:val="auto"/>
                <w:kern w:val="0"/>
                <w:szCs w:val="21"/>
                <w:highlight w:val="none"/>
              </w:rPr>
              <w:t>一</w:t>
            </w:r>
          </w:p>
        </w:tc>
        <w:tc>
          <w:tcPr>
            <w:tcW w:w="8288" w:type="dxa"/>
            <w:gridSpan w:val="6"/>
            <w:vAlign w:val="center"/>
          </w:tcPr>
          <w:p w14:paraId="34134D31">
            <w:pPr>
              <w:rPr>
                <w:rFonts w:hint="eastAsia" w:ascii="宋体" w:hAnsi="宋体" w:cs="仿宋"/>
                <w:b/>
                <w:bCs/>
                <w:color w:val="auto"/>
                <w:kern w:val="0"/>
                <w:szCs w:val="21"/>
                <w:highlight w:val="none"/>
              </w:rPr>
            </w:pPr>
            <w:r>
              <w:rPr>
                <w:rFonts w:hint="eastAsia" w:ascii="宋体" w:hAnsi="宋体" w:cs="仿宋"/>
                <w:b/>
                <w:bCs/>
                <w:color w:val="auto"/>
                <w:kern w:val="0"/>
                <w:szCs w:val="21"/>
                <w:highlight w:val="none"/>
              </w:rPr>
              <w:t>制造商为中型企业产品列表</w:t>
            </w:r>
          </w:p>
        </w:tc>
      </w:tr>
      <w:tr w14:paraId="247E32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1" w:type="dxa"/>
            <w:vAlign w:val="center"/>
          </w:tcPr>
          <w:p w14:paraId="7BEE9E09">
            <w:pPr>
              <w:jc w:val="center"/>
              <w:rPr>
                <w:rFonts w:ascii="宋体" w:hAnsi="宋体" w:cs="仿宋"/>
                <w:b/>
                <w:bCs/>
                <w:color w:val="auto"/>
                <w:kern w:val="0"/>
                <w:szCs w:val="21"/>
                <w:highlight w:val="none"/>
              </w:rPr>
            </w:pPr>
            <w:r>
              <w:rPr>
                <w:rFonts w:hint="eastAsia" w:ascii="宋体" w:hAnsi="宋体" w:cs="仿宋"/>
                <w:b/>
                <w:bCs/>
                <w:color w:val="auto"/>
                <w:kern w:val="0"/>
                <w:szCs w:val="21"/>
                <w:highlight w:val="none"/>
              </w:rPr>
              <w:t>1</w:t>
            </w:r>
          </w:p>
        </w:tc>
        <w:tc>
          <w:tcPr>
            <w:tcW w:w="2235" w:type="dxa"/>
            <w:gridSpan w:val="2"/>
            <w:vAlign w:val="center"/>
          </w:tcPr>
          <w:p w14:paraId="0C31C0F9">
            <w:pPr>
              <w:jc w:val="center"/>
              <w:rPr>
                <w:rFonts w:ascii="宋体" w:hAnsi="宋体" w:cs="仿宋"/>
                <w:b/>
                <w:bCs/>
                <w:color w:val="auto"/>
                <w:kern w:val="0"/>
                <w:szCs w:val="21"/>
                <w:highlight w:val="none"/>
              </w:rPr>
            </w:pPr>
          </w:p>
        </w:tc>
        <w:tc>
          <w:tcPr>
            <w:tcW w:w="890" w:type="dxa"/>
            <w:vAlign w:val="center"/>
          </w:tcPr>
          <w:p w14:paraId="6634F186">
            <w:pPr>
              <w:jc w:val="center"/>
              <w:rPr>
                <w:rFonts w:ascii="宋体" w:hAnsi="宋体" w:cs="仿宋"/>
                <w:b/>
                <w:bCs/>
                <w:color w:val="auto"/>
                <w:kern w:val="0"/>
                <w:szCs w:val="21"/>
                <w:highlight w:val="none"/>
              </w:rPr>
            </w:pPr>
          </w:p>
        </w:tc>
        <w:tc>
          <w:tcPr>
            <w:tcW w:w="1405" w:type="dxa"/>
            <w:vAlign w:val="center"/>
          </w:tcPr>
          <w:p w14:paraId="6BC4D41D">
            <w:pPr>
              <w:jc w:val="center"/>
              <w:rPr>
                <w:rFonts w:ascii="宋体" w:hAnsi="宋体" w:cs="仿宋"/>
                <w:b/>
                <w:bCs/>
                <w:color w:val="auto"/>
                <w:kern w:val="0"/>
                <w:szCs w:val="21"/>
                <w:highlight w:val="none"/>
              </w:rPr>
            </w:pPr>
          </w:p>
        </w:tc>
        <w:tc>
          <w:tcPr>
            <w:tcW w:w="2199" w:type="dxa"/>
            <w:vAlign w:val="center"/>
          </w:tcPr>
          <w:p w14:paraId="790A5D8F">
            <w:pPr>
              <w:jc w:val="center"/>
              <w:rPr>
                <w:rFonts w:ascii="宋体" w:hAnsi="宋体" w:cs="仿宋"/>
                <w:b/>
                <w:bCs/>
                <w:color w:val="auto"/>
                <w:kern w:val="0"/>
                <w:szCs w:val="21"/>
                <w:highlight w:val="none"/>
              </w:rPr>
            </w:pPr>
          </w:p>
        </w:tc>
        <w:tc>
          <w:tcPr>
            <w:tcW w:w="1559" w:type="dxa"/>
            <w:vAlign w:val="center"/>
          </w:tcPr>
          <w:p w14:paraId="1DB42F10">
            <w:pPr>
              <w:jc w:val="center"/>
              <w:rPr>
                <w:rFonts w:ascii="宋体" w:hAnsi="宋体" w:cs="仿宋"/>
                <w:b/>
                <w:bCs/>
                <w:color w:val="auto"/>
                <w:kern w:val="0"/>
                <w:szCs w:val="21"/>
                <w:highlight w:val="none"/>
              </w:rPr>
            </w:pPr>
          </w:p>
        </w:tc>
      </w:tr>
      <w:tr w14:paraId="09B589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1" w:type="dxa"/>
            <w:vAlign w:val="center"/>
          </w:tcPr>
          <w:p w14:paraId="1872D92D">
            <w:pPr>
              <w:jc w:val="center"/>
              <w:rPr>
                <w:rFonts w:ascii="宋体" w:hAnsi="宋体" w:cs="仿宋"/>
                <w:b/>
                <w:bCs/>
                <w:color w:val="auto"/>
                <w:kern w:val="0"/>
                <w:szCs w:val="21"/>
                <w:highlight w:val="none"/>
              </w:rPr>
            </w:pPr>
            <w:r>
              <w:rPr>
                <w:rFonts w:hint="eastAsia" w:ascii="宋体" w:hAnsi="宋体" w:cs="仿宋"/>
                <w:b/>
                <w:bCs/>
                <w:color w:val="auto"/>
                <w:kern w:val="0"/>
                <w:szCs w:val="21"/>
                <w:highlight w:val="none"/>
              </w:rPr>
              <w:t>2</w:t>
            </w:r>
          </w:p>
        </w:tc>
        <w:tc>
          <w:tcPr>
            <w:tcW w:w="2235" w:type="dxa"/>
            <w:gridSpan w:val="2"/>
            <w:vAlign w:val="center"/>
          </w:tcPr>
          <w:p w14:paraId="09025B5C">
            <w:pPr>
              <w:jc w:val="center"/>
              <w:rPr>
                <w:rFonts w:ascii="宋体" w:hAnsi="宋体" w:cs="仿宋"/>
                <w:b/>
                <w:bCs/>
                <w:color w:val="auto"/>
                <w:kern w:val="0"/>
                <w:szCs w:val="21"/>
                <w:highlight w:val="none"/>
              </w:rPr>
            </w:pPr>
          </w:p>
        </w:tc>
        <w:tc>
          <w:tcPr>
            <w:tcW w:w="890" w:type="dxa"/>
            <w:vAlign w:val="center"/>
          </w:tcPr>
          <w:p w14:paraId="219B02C8">
            <w:pPr>
              <w:jc w:val="center"/>
              <w:rPr>
                <w:rFonts w:ascii="宋体" w:hAnsi="宋体" w:cs="仿宋"/>
                <w:b/>
                <w:bCs/>
                <w:color w:val="auto"/>
                <w:kern w:val="0"/>
                <w:szCs w:val="21"/>
                <w:highlight w:val="none"/>
              </w:rPr>
            </w:pPr>
          </w:p>
        </w:tc>
        <w:tc>
          <w:tcPr>
            <w:tcW w:w="1405" w:type="dxa"/>
            <w:vAlign w:val="center"/>
          </w:tcPr>
          <w:p w14:paraId="3A777AE4">
            <w:pPr>
              <w:jc w:val="center"/>
              <w:rPr>
                <w:rFonts w:ascii="宋体" w:hAnsi="宋体" w:cs="仿宋"/>
                <w:b/>
                <w:bCs/>
                <w:color w:val="auto"/>
                <w:kern w:val="0"/>
                <w:szCs w:val="21"/>
                <w:highlight w:val="none"/>
              </w:rPr>
            </w:pPr>
          </w:p>
        </w:tc>
        <w:tc>
          <w:tcPr>
            <w:tcW w:w="2199" w:type="dxa"/>
            <w:vAlign w:val="center"/>
          </w:tcPr>
          <w:p w14:paraId="14B24596">
            <w:pPr>
              <w:jc w:val="center"/>
              <w:rPr>
                <w:rFonts w:ascii="宋体" w:hAnsi="宋体" w:cs="仿宋"/>
                <w:b/>
                <w:bCs/>
                <w:color w:val="auto"/>
                <w:kern w:val="0"/>
                <w:szCs w:val="21"/>
                <w:highlight w:val="none"/>
              </w:rPr>
            </w:pPr>
          </w:p>
        </w:tc>
        <w:tc>
          <w:tcPr>
            <w:tcW w:w="1559" w:type="dxa"/>
            <w:vAlign w:val="center"/>
          </w:tcPr>
          <w:p w14:paraId="16244D48">
            <w:pPr>
              <w:jc w:val="center"/>
              <w:rPr>
                <w:rFonts w:ascii="宋体" w:hAnsi="宋体" w:cs="仿宋"/>
                <w:b/>
                <w:bCs/>
                <w:color w:val="auto"/>
                <w:kern w:val="0"/>
                <w:szCs w:val="21"/>
                <w:highlight w:val="none"/>
              </w:rPr>
            </w:pPr>
          </w:p>
        </w:tc>
      </w:tr>
      <w:tr w14:paraId="0F09E4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1" w:type="dxa"/>
            <w:vAlign w:val="center"/>
          </w:tcPr>
          <w:p w14:paraId="145816B6">
            <w:pPr>
              <w:jc w:val="center"/>
              <w:rPr>
                <w:rFonts w:ascii="宋体" w:hAnsi="宋体" w:cs="仿宋"/>
                <w:b/>
                <w:bCs/>
                <w:color w:val="auto"/>
                <w:kern w:val="0"/>
                <w:szCs w:val="21"/>
                <w:highlight w:val="none"/>
              </w:rPr>
            </w:pPr>
            <w:r>
              <w:rPr>
                <w:rFonts w:hint="eastAsia" w:ascii="宋体" w:hAnsi="宋体" w:cs="仿宋"/>
                <w:b/>
                <w:bCs/>
                <w:color w:val="auto"/>
                <w:kern w:val="0"/>
                <w:szCs w:val="21"/>
                <w:highlight w:val="none"/>
              </w:rPr>
              <w:t>3</w:t>
            </w:r>
          </w:p>
        </w:tc>
        <w:tc>
          <w:tcPr>
            <w:tcW w:w="2235" w:type="dxa"/>
            <w:gridSpan w:val="2"/>
            <w:vAlign w:val="center"/>
          </w:tcPr>
          <w:p w14:paraId="126C0D2D">
            <w:pPr>
              <w:jc w:val="center"/>
              <w:rPr>
                <w:rFonts w:ascii="宋体" w:hAnsi="宋体" w:cs="仿宋"/>
                <w:b/>
                <w:bCs/>
                <w:color w:val="auto"/>
                <w:kern w:val="0"/>
                <w:szCs w:val="21"/>
                <w:highlight w:val="none"/>
              </w:rPr>
            </w:pPr>
          </w:p>
        </w:tc>
        <w:tc>
          <w:tcPr>
            <w:tcW w:w="890" w:type="dxa"/>
            <w:vAlign w:val="center"/>
          </w:tcPr>
          <w:p w14:paraId="580CD6E6">
            <w:pPr>
              <w:jc w:val="center"/>
              <w:rPr>
                <w:rFonts w:ascii="宋体" w:hAnsi="宋体" w:cs="仿宋"/>
                <w:b/>
                <w:bCs/>
                <w:color w:val="auto"/>
                <w:kern w:val="0"/>
                <w:szCs w:val="21"/>
                <w:highlight w:val="none"/>
              </w:rPr>
            </w:pPr>
          </w:p>
        </w:tc>
        <w:tc>
          <w:tcPr>
            <w:tcW w:w="1405" w:type="dxa"/>
            <w:vAlign w:val="center"/>
          </w:tcPr>
          <w:p w14:paraId="56422EA5">
            <w:pPr>
              <w:jc w:val="center"/>
              <w:rPr>
                <w:rFonts w:ascii="宋体" w:hAnsi="宋体" w:cs="仿宋"/>
                <w:b/>
                <w:bCs/>
                <w:color w:val="auto"/>
                <w:kern w:val="0"/>
                <w:szCs w:val="21"/>
                <w:highlight w:val="none"/>
              </w:rPr>
            </w:pPr>
          </w:p>
        </w:tc>
        <w:tc>
          <w:tcPr>
            <w:tcW w:w="2199" w:type="dxa"/>
            <w:vAlign w:val="center"/>
          </w:tcPr>
          <w:p w14:paraId="44044BBB">
            <w:pPr>
              <w:jc w:val="center"/>
              <w:rPr>
                <w:rFonts w:ascii="宋体" w:hAnsi="宋体" w:cs="仿宋"/>
                <w:b/>
                <w:bCs/>
                <w:color w:val="auto"/>
                <w:kern w:val="0"/>
                <w:szCs w:val="21"/>
                <w:highlight w:val="none"/>
              </w:rPr>
            </w:pPr>
          </w:p>
        </w:tc>
        <w:tc>
          <w:tcPr>
            <w:tcW w:w="1559" w:type="dxa"/>
            <w:vAlign w:val="center"/>
          </w:tcPr>
          <w:p w14:paraId="73DA0BF6">
            <w:pPr>
              <w:jc w:val="center"/>
              <w:rPr>
                <w:rFonts w:ascii="宋体" w:hAnsi="宋体" w:cs="仿宋"/>
                <w:b/>
                <w:bCs/>
                <w:color w:val="auto"/>
                <w:kern w:val="0"/>
                <w:szCs w:val="21"/>
                <w:highlight w:val="none"/>
              </w:rPr>
            </w:pPr>
          </w:p>
        </w:tc>
      </w:tr>
      <w:tr w14:paraId="4293FD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1" w:type="dxa"/>
            <w:vAlign w:val="center"/>
          </w:tcPr>
          <w:p w14:paraId="7E5D242A">
            <w:pPr>
              <w:jc w:val="center"/>
              <w:rPr>
                <w:rFonts w:hint="eastAsia" w:ascii="宋体" w:hAnsi="宋体" w:cs="仿宋"/>
                <w:b/>
                <w:bCs/>
                <w:color w:val="auto"/>
                <w:kern w:val="0"/>
                <w:szCs w:val="21"/>
                <w:highlight w:val="none"/>
              </w:rPr>
            </w:pPr>
            <w:r>
              <w:rPr>
                <w:rFonts w:hint="eastAsia" w:ascii="宋体" w:hAnsi="宋体" w:cs="仿宋"/>
                <w:b/>
                <w:bCs/>
                <w:color w:val="auto"/>
                <w:kern w:val="0"/>
                <w:szCs w:val="21"/>
                <w:highlight w:val="none"/>
              </w:rPr>
              <w:t>……</w:t>
            </w:r>
          </w:p>
        </w:tc>
        <w:tc>
          <w:tcPr>
            <w:tcW w:w="2235" w:type="dxa"/>
            <w:gridSpan w:val="2"/>
            <w:vAlign w:val="center"/>
          </w:tcPr>
          <w:p w14:paraId="56416D05">
            <w:pPr>
              <w:jc w:val="center"/>
              <w:rPr>
                <w:rFonts w:ascii="宋体" w:hAnsi="宋体" w:cs="仿宋"/>
                <w:b/>
                <w:bCs/>
                <w:color w:val="auto"/>
                <w:kern w:val="0"/>
                <w:szCs w:val="21"/>
                <w:highlight w:val="none"/>
              </w:rPr>
            </w:pPr>
            <w:r>
              <w:rPr>
                <w:rFonts w:hint="eastAsia" w:ascii="宋体" w:hAnsi="宋体" w:cs="仿宋"/>
                <w:b/>
                <w:bCs/>
                <w:color w:val="auto"/>
                <w:kern w:val="0"/>
                <w:szCs w:val="21"/>
                <w:highlight w:val="none"/>
              </w:rPr>
              <w:t>……</w:t>
            </w:r>
          </w:p>
        </w:tc>
        <w:tc>
          <w:tcPr>
            <w:tcW w:w="890" w:type="dxa"/>
            <w:vAlign w:val="center"/>
          </w:tcPr>
          <w:p w14:paraId="740A2B24">
            <w:pPr>
              <w:jc w:val="center"/>
              <w:rPr>
                <w:rFonts w:ascii="宋体" w:hAnsi="宋体" w:cs="仿宋"/>
                <w:b/>
                <w:bCs/>
                <w:color w:val="auto"/>
                <w:kern w:val="0"/>
                <w:szCs w:val="21"/>
                <w:highlight w:val="none"/>
              </w:rPr>
            </w:pPr>
          </w:p>
        </w:tc>
        <w:tc>
          <w:tcPr>
            <w:tcW w:w="1405" w:type="dxa"/>
            <w:vAlign w:val="center"/>
          </w:tcPr>
          <w:p w14:paraId="27004C22">
            <w:pPr>
              <w:jc w:val="center"/>
              <w:rPr>
                <w:rFonts w:ascii="宋体" w:hAnsi="宋体" w:cs="仿宋"/>
                <w:b/>
                <w:bCs/>
                <w:color w:val="auto"/>
                <w:kern w:val="0"/>
                <w:szCs w:val="21"/>
                <w:highlight w:val="none"/>
              </w:rPr>
            </w:pPr>
            <w:r>
              <w:rPr>
                <w:rFonts w:hint="eastAsia" w:ascii="宋体" w:hAnsi="宋体" w:cs="仿宋"/>
                <w:b/>
                <w:bCs/>
                <w:color w:val="auto"/>
                <w:kern w:val="0"/>
                <w:szCs w:val="21"/>
                <w:highlight w:val="none"/>
              </w:rPr>
              <w:t>……</w:t>
            </w:r>
          </w:p>
        </w:tc>
        <w:tc>
          <w:tcPr>
            <w:tcW w:w="2199" w:type="dxa"/>
            <w:vAlign w:val="center"/>
          </w:tcPr>
          <w:p w14:paraId="51757CBB">
            <w:pPr>
              <w:jc w:val="center"/>
              <w:rPr>
                <w:rFonts w:ascii="宋体" w:hAnsi="宋体" w:cs="仿宋"/>
                <w:b/>
                <w:bCs/>
                <w:color w:val="auto"/>
                <w:kern w:val="0"/>
                <w:szCs w:val="21"/>
                <w:highlight w:val="none"/>
              </w:rPr>
            </w:pPr>
            <w:r>
              <w:rPr>
                <w:rFonts w:hint="eastAsia" w:ascii="宋体" w:hAnsi="宋体" w:cs="仿宋"/>
                <w:b/>
                <w:bCs/>
                <w:color w:val="auto"/>
                <w:kern w:val="0"/>
                <w:szCs w:val="21"/>
                <w:highlight w:val="none"/>
              </w:rPr>
              <w:t>……</w:t>
            </w:r>
          </w:p>
        </w:tc>
        <w:tc>
          <w:tcPr>
            <w:tcW w:w="1559" w:type="dxa"/>
            <w:vAlign w:val="center"/>
          </w:tcPr>
          <w:p w14:paraId="233EFD9C">
            <w:pPr>
              <w:jc w:val="center"/>
              <w:rPr>
                <w:rFonts w:ascii="宋体" w:hAnsi="宋体" w:cs="仿宋"/>
                <w:b/>
                <w:bCs/>
                <w:color w:val="auto"/>
                <w:kern w:val="0"/>
                <w:szCs w:val="21"/>
                <w:highlight w:val="none"/>
              </w:rPr>
            </w:pPr>
            <w:r>
              <w:rPr>
                <w:rFonts w:hint="eastAsia" w:ascii="宋体" w:hAnsi="宋体" w:cs="仿宋"/>
                <w:b/>
                <w:bCs/>
                <w:color w:val="auto"/>
                <w:kern w:val="0"/>
                <w:szCs w:val="21"/>
                <w:highlight w:val="none"/>
              </w:rPr>
              <w:t>……</w:t>
            </w:r>
          </w:p>
        </w:tc>
      </w:tr>
      <w:tr w14:paraId="4E5C95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1" w:type="dxa"/>
            <w:vAlign w:val="center"/>
          </w:tcPr>
          <w:p w14:paraId="1AD99EDE">
            <w:pPr>
              <w:jc w:val="center"/>
              <w:rPr>
                <w:rFonts w:hint="eastAsia" w:ascii="宋体" w:hAnsi="宋体" w:cs="仿宋"/>
                <w:b/>
                <w:bCs/>
                <w:color w:val="auto"/>
                <w:kern w:val="0"/>
                <w:szCs w:val="21"/>
                <w:highlight w:val="none"/>
              </w:rPr>
            </w:pPr>
          </w:p>
        </w:tc>
        <w:tc>
          <w:tcPr>
            <w:tcW w:w="3125" w:type="dxa"/>
            <w:gridSpan w:val="3"/>
            <w:vAlign w:val="center"/>
          </w:tcPr>
          <w:p w14:paraId="29B064F2">
            <w:pPr>
              <w:jc w:val="center"/>
              <w:rPr>
                <w:rFonts w:hint="eastAsia" w:ascii="宋体" w:hAnsi="宋体" w:cs="仿宋"/>
                <w:b/>
                <w:bCs/>
                <w:color w:val="auto"/>
                <w:kern w:val="0"/>
                <w:szCs w:val="21"/>
                <w:highlight w:val="none"/>
              </w:rPr>
            </w:pPr>
            <w:r>
              <w:rPr>
                <w:rFonts w:hint="eastAsia" w:ascii="宋体" w:hAnsi="宋体" w:cs="仿宋"/>
                <w:b/>
                <w:bCs/>
                <w:color w:val="auto"/>
                <w:kern w:val="0"/>
                <w:szCs w:val="21"/>
                <w:highlight w:val="none"/>
              </w:rPr>
              <w:t>小计</w:t>
            </w:r>
          </w:p>
        </w:tc>
        <w:tc>
          <w:tcPr>
            <w:tcW w:w="1405" w:type="dxa"/>
            <w:vAlign w:val="center"/>
          </w:tcPr>
          <w:p w14:paraId="6F1D5787">
            <w:pPr>
              <w:jc w:val="center"/>
              <w:rPr>
                <w:rFonts w:hint="eastAsia" w:ascii="宋体" w:hAnsi="宋体" w:cs="仿宋"/>
                <w:b/>
                <w:bCs/>
                <w:color w:val="auto"/>
                <w:kern w:val="0"/>
                <w:szCs w:val="21"/>
                <w:highlight w:val="none"/>
              </w:rPr>
            </w:pPr>
          </w:p>
        </w:tc>
        <w:tc>
          <w:tcPr>
            <w:tcW w:w="2199" w:type="dxa"/>
            <w:vAlign w:val="center"/>
          </w:tcPr>
          <w:p w14:paraId="53B3B80C">
            <w:pPr>
              <w:jc w:val="center"/>
              <w:rPr>
                <w:rFonts w:hint="eastAsia" w:ascii="宋体" w:hAnsi="宋体" w:cs="仿宋"/>
                <w:b/>
                <w:bCs/>
                <w:color w:val="auto"/>
                <w:kern w:val="0"/>
                <w:szCs w:val="21"/>
                <w:highlight w:val="none"/>
              </w:rPr>
            </w:pPr>
          </w:p>
        </w:tc>
        <w:tc>
          <w:tcPr>
            <w:tcW w:w="1559" w:type="dxa"/>
            <w:vAlign w:val="center"/>
          </w:tcPr>
          <w:p w14:paraId="30A894AE">
            <w:pPr>
              <w:jc w:val="center"/>
              <w:rPr>
                <w:rFonts w:ascii="宋体" w:hAnsi="宋体" w:cs="仿宋"/>
                <w:b/>
                <w:bCs/>
                <w:color w:val="auto"/>
                <w:kern w:val="0"/>
                <w:szCs w:val="21"/>
                <w:highlight w:val="none"/>
              </w:rPr>
            </w:pPr>
          </w:p>
        </w:tc>
      </w:tr>
      <w:tr w14:paraId="362100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1" w:type="dxa"/>
            <w:vAlign w:val="center"/>
          </w:tcPr>
          <w:p w14:paraId="75C0E120">
            <w:pPr>
              <w:jc w:val="center"/>
              <w:rPr>
                <w:rFonts w:hint="eastAsia" w:ascii="宋体" w:hAnsi="宋体" w:cs="仿宋"/>
                <w:b/>
                <w:bCs/>
                <w:color w:val="auto"/>
                <w:kern w:val="0"/>
                <w:szCs w:val="21"/>
                <w:highlight w:val="none"/>
              </w:rPr>
            </w:pPr>
            <w:r>
              <w:rPr>
                <w:rFonts w:hint="eastAsia" w:ascii="宋体" w:hAnsi="宋体" w:cs="仿宋"/>
                <w:b/>
                <w:bCs/>
                <w:color w:val="auto"/>
                <w:kern w:val="0"/>
                <w:szCs w:val="21"/>
                <w:highlight w:val="none"/>
              </w:rPr>
              <w:t>二</w:t>
            </w:r>
          </w:p>
        </w:tc>
        <w:tc>
          <w:tcPr>
            <w:tcW w:w="8288" w:type="dxa"/>
            <w:gridSpan w:val="6"/>
            <w:vAlign w:val="center"/>
          </w:tcPr>
          <w:p w14:paraId="3F658EB8">
            <w:pPr>
              <w:rPr>
                <w:rFonts w:hint="eastAsia" w:ascii="宋体" w:hAnsi="宋体" w:cs="仿宋"/>
                <w:b/>
                <w:bCs/>
                <w:color w:val="auto"/>
                <w:kern w:val="0"/>
                <w:szCs w:val="21"/>
                <w:highlight w:val="none"/>
              </w:rPr>
            </w:pPr>
            <w:r>
              <w:rPr>
                <w:rFonts w:hint="eastAsia" w:ascii="宋体" w:hAnsi="宋体" w:cs="仿宋"/>
                <w:b/>
                <w:bCs/>
                <w:color w:val="auto"/>
                <w:kern w:val="0"/>
                <w:szCs w:val="21"/>
                <w:highlight w:val="none"/>
              </w:rPr>
              <w:t>制造商为小型或微型企业产品列表（含监狱企业、残疾人福利性单位）</w:t>
            </w:r>
          </w:p>
        </w:tc>
      </w:tr>
      <w:tr w14:paraId="61A1EE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1" w:type="dxa"/>
            <w:vAlign w:val="center"/>
          </w:tcPr>
          <w:p w14:paraId="097F11DB">
            <w:pPr>
              <w:jc w:val="center"/>
              <w:rPr>
                <w:rFonts w:ascii="宋体" w:hAnsi="宋体" w:cs="仿宋"/>
                <w:b/>
                <w:bCs/>
                <w:color w:val="auto"/>
                <w:kern w:val="0"/>
                <w:szCs w:val="21"/>
                <w:highlight w:val="none"/>
              </w:rPr>
            </w:pPr>
            <w:r>
              <w:rPr>
                <w:rFonts w:ascii="宋体" w:hAnsi="宋体" w:cs="仿宋"/>
                <w:b/>
                <w:bCs/>
                <w:color w:val="auto"/>
                <w:kern w:val="0"/>
                <w:szCs w:val="21"/>
                <w:highlight w:val="none"/>
              </w:rPr>
              <w:t>1</w:t>
            </w:r>
          </w:p>
        </w:tc>
        <w:tc>
          <w:tcPr>
            <w:tcW w:w="2235" w:type="dxa"/>
            <w:gridSpan w:val="2"/>
            <w:vAlign w:val="center"/>
          </w:tcPr>
          <w:p w14:paraId="6ADCC271">
            <w:pPr>
              <w:jc w:val="center"/>
              <w:rPr>
                <w:rFonts w:ascii="宋体" w:hAnsi="宋体" w:cs="仿宋"/>
                <w:b/>
                <w:bCs/>
                <w:color w:val="auto"/>
                <w:kern w:val="0"/>
                <w:szCs w:val="21"/>
                <w:highlight w:val="none"/>
              </w:rPr>
            </w:pPr>
          </w:p>
        </w:tc>
        <w:tc>
          <w:tcPr>
            <w:tcW w:w="890" w:type="dxa"/>
            <w:vAlign w:val="center"/>
          </w:tcPr>
          <w:p w14:paraId="591422A8">
            <w:pPr>
              <w:jc w:val="center"/>
              <w:rPr>
                <w:rFonts w:ascii="宋体" w:hAnsi="宋体" w:cs="仿宋"/>
                <w:b/>
                <w:bCs/>
                <w:color w:val="auto"/>
                <w:kern w:val="0"/>
                <w:szCs w:val="21"/>
                <w:highlight w:val="none"/>
              </w:rPr>
            </w:pPr>
          </w:p>
        </w:tc>
        <w:tc>
          <w:tcPr>
            <w:tcW w:w="1405" w:type="dxa"/>
            <w:vAlign w:val="center"/>
          </w:tcPr>
          <w:p w14:paraId="321C589F">
            <w:pPr>
              <w:jc w:val="center"/>
              <w:rPr>
                <w:rFonts w:ascii="宋体" w:hAnsi="宋体" w:cs="仿宋"/>
                <w:b/>
                <w:bCs/>
                <w:color w:val="auto"/>
                <w:kern w:val="0"/>
                <w:szCs w:val="21"/>
                <w:highlight w:val="none"/>
              </w:rPr>
            </w:pPr>
          </w:p>
        </w:tc>
        <w:tc>
          <w:tcPr>
            <w:tcW w:w="2199" w:type="dxa"/>
            <w:vAlign w:val="center"/>
          </w:tcPr>
          <w:p w14:paraId="04809113">
            <w:pPr>
              <w:jc w:val="center"/>
              <w:rPr>
                <w:rFonts w:ascii="宋体" w:hAnsi="宋体" w:cs="仿宋"/>
                <w:b/>
                <w:bCs/>
                <w:color w:val="auto"/>
                <w:kern w:val="0"/>
                <w:szCs w:val="21"/>
                <w:highlight w:val="none"/>
              </w:rPr>
            </w:pPr>
          </w:p>
        </w:tc>
        <w:tc>
          <w:tcPr>
            <w:tcW w:w="1559" w:type="dxa"/>
            <w:vAlign w:val="center"/>
          </w:tcPr>
          <w:p w14:paraId="534A3A0D">
            <w:pPr>
              <w:jc w:val="center"/>
              <w:rPr>
                <w:rFonts w:ascii="宋体" w:hAnsi="宋体" w:cs="仿宋"/>
                <w:b/>
                <w:bCs/>
                <w:color w:val="auto"/>
                <w:kern w:val="0"/>
                <w:szCs w:val="21"/>
                <w:highlight w:val="none"/>
              </w:rPr>
            </w:pPr>
          </w:p>
        </w:tc>
      </w:tr>
      <w:tr w14:paraId="73C8E5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1" w:type="dxa"/>
            <w:vAlign w:val="center"/>
          </w:tcPr>
          <w:p w14:paraId="1C50F00D">
            <w:pPr>
              <w:jc w:val="center"/>
              <w:rPr>
                <w:rFonts w:ascii="宋体" w:hAnsi="宋体" w:cs="仿宋"/>
                <w:b/>
                <w:bCs/>
                <w:color w:val="auto"/>
                <w:kern w:val="0"/>
                <w:szCs w:val="21"/>
                <w:highlight w:val="none"/>
              </w:rPr>
            </w:pPr>
            <w:r>
              <w:rPr>
                <w:rFonts w:ascii="宋体" w:hAnsi="宋体" w:cs="仿宋"/>
                <w:b/>
                <w:bCs/>
                <w:color w:val="auto"/>
                <w:kern w:val="0"/>
                <w:szCs w:val="21"/>
                <w:highlight w:val="none"/>
              </w:rPr>
              <w:t>2</w:t>
            </w:r>
          </w:p>
        </w:tc>
        <w:tc>
          <w:tcPr>
            <w:tcW w:w="2235" w:type="dxa"/>
            <w:gridSpan w:val="2"/>
            <w:vAlign w:val="center"/>
          </w:tcPr>
          <w:p w14:paraId="6815F451">
            <w:pPr>
              <w:jc w:val="center"/>
              <w:rPr>
                <w:rFonts w:ascii="宋体" w:hAnsi="宋体" w:cs="仿宋"/>
                <w:b/>
                <w:bCs/>
                <w:color w:val="auto"/>
                <w:kern w:val="0"/>
                <w:szCs w:val="21"/>
                <w:highlight w:val="none"/>
              </w:rPr>
            </w:pPr>
          </w:p>
        </w:tc>
        <w:tc>
          <w:tcPr>
            <w:tcW w:w="890" w:type="dxa"/>
            <w:vAlign w:val="center"/>
          </w:tcPr>
          <w:p w14:paraId="13FA8AFA">
            <w:pPr>
              <w:jc w:val="center"/>
              <w:rPr>
                <w:rFonts w:ascii="宋体" w:hAnsi="宋体" w:cs="仿宋"/>
                <w:b/>
                <w:bCs/>
                <w:color w:val="auto"/>
                <w:kern w:val="0"/>
                <w:szCs w:val="21"/>
                <w:highlight w:val="none"/>
              </w:rPr>
            </w:pPr>
          </w:p>
        </w:tc>
        <w:tc>
          <w:tcPr>
            <w:tcW w:w="1405" w:type="dxa"/>
            <w:vAlign w:val="center"/>
          </w:tcPr>
          <w:p w14:paraId="2D4AC036">
            <w:pPr>
              <w:jc w:val="center"/>
              <w:rPr>
                <w:rFonts w:ascii="宋体" w:hAnsi="宋体" w:cs="仿宋"/>
                <w:b/>
                <w:bCs/>
                <w:color w:val="auto"/>
                <w:kern w:val="0"/>
                <w:szCs w:val="21"/>
                <w:highlight w:val="none"/>
              </w:rPr>
            </w:pPr>
          </w:p>
        </w:tc>
        <w:tc>
          <w:tcPr>
            <w:tcW w:w="2199" w:type="dxa"/>
            <w:vAlign w:val="center"/>
          </w:tcPr>
          <w:p w14:paraId="27BCA9F7">
            <w:pPr>
              <w:jc w:val="center"/>
              <w:rPr>
                <w:rFonts w:ascii="宋体" w:hAnsi="宋体" w:cs="仿宋"/>
                <w:b/>
                <w:bCs/>
                <w:color w:val="auto"/>
                <w:kern w:val="0"/>
                <w:szCs w:val="21"/>
                <w:highlight w:val="none"/>
              </w:rPr>
            </w:pPr>
          </w:p>
        </w:tc>
        <w:tc>
          <w:tcPr>
            <w:tcW w:w="1559" w:type="dxa"/>
            <w:vAlign w:val="center"/>
          </w:tcPr>
          <w:p w14:paraId="0BD1341D">
            <w:pPr>
              <w:jc w:val="center"/>
              <w:rPr>
                <w:rFonts w:ascii="宋体" w:hAnsi="宋体" w:cs="仿宋"/>
                <w:b/>
                <w:bCs/>
                <w:color w:val="auto"/>
                <w:kern w:val="0"/>
                <w:szCs w:val="21"/>
                <w:highlight w:val="none"/>
              </w:rPr>
            </w:pPr>
          </w:p>
        </w:tc>
      </w:tr>
      <w:tr w14:paraId="7D20A3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1" w:type="dxa"/>
            <w:vAlign w:val="center"/>
          </w:tcPr>
          <w:p w14:paraId="7D1FC69B">
            <w:pPr>
              <w:jc w:val="center"/>
              <w:rPr>
                <w:rFonts w:ascii="宋体" w:hAnsi="宋体" w:cs="仿宋"/>
                <w:b/>
                <w:bCs/>
                <w:color w:val="auto"/>
                <w:kern w:val="0"/>
                <w:szCs w:val="21"/>
                <w:highlight w:val="none"/>
              </w:rPr>
            </w:pPr>
            <w:r>
              <w:rPr>
                <w:rFonts w:ascii="宋体" w:hAnsi="宋体" w:cs="仿宋"/>
                <w:b/>
                <w:bCs/>
                <w:color w:val="auto"/>
                <w:kern w:val="0"/>
                <w:szCs w:val="21"/>
                <w:highlight w:val="none"/>
              </w:rPr>
              <w:t>3</w:t>
            </w:r>
          </w:p>
        </w:tc>
        <w:tc>
          <w:tcPr>
            <w:tcW w:w="2235" w:type="dxa"/>
            <w:gridSpan w:val="2"/>
            <w:vAlign w:val="center"/>
          </w:tcPr>
          <w:p w14:paraId="47132151">
            <w:pPr>
              <w:jc w:val="center"/>
              <w:rPr>
                <w:rFonts w:ascii="宋体" w:hAnsi="宋体" w:cs="仿宋"/>
                <w:b/>
                <w:bCs/>
                <w:color w:val="auto"/>
                <w:kern w:val="0"/>
                <w:szCs w:val="21"/>
                <w:highlight w:val="none"/>
              </w:rPr>
            </w:pPr>
          </w:p>
        </w:tc>
        <w:tc>
          <w:tcPr>
            <w:tcW w:w="890" w:type="dxa"/>
            <w:vAlign w:val="center"/>
          </w:tcPr>
          <w:p w14:paraId="4D8994A7">
            <w:pPr>
              <w:jc w:val="center"/>
              <w:rPr>
                <w:rFonts w:ascii="宋体" w:hAnsi="宋体" w:cs="仿宋"/>
                <w:b/>
                <w:bCs/>
                <w:color w:val="auto"/>
                <w:kern w:val="0"/>
                <w:szCs w:val="21"/>
                <w:highlight w:val="none"/>
              </w:rPr>
            </w:pPr>
          </w:p>
        </w:tc>
        <w:tc>
          <w:tcPr>
            <w:tcW w:w="1405" w:type="dxa"/>
            <w:vAlign w:val="center"/>
          </w:tcPr>
          <w:p w14:paraId="43F207C1">
            <w:pPr>
              <w:jc w:val="center"/>
              <w:rPr>
                <w:rFonts w:ascii="宋体" w:hAnsi="宋体" w:cs="仿宋"/>
                <w:b/>
                <w:bCs/>
                <w:color w:val="auto"/>
                <w:kern w:val="0"/>
                <w:szCs w:val="21"/>
                <w:highlight w:val="none"/>
              </w:rPr>
            </w:pPr>
          </w:p>
        </w:tc>
        <w:tc>
          <w:tcPr>
            <w:tcW w:w="2199" w:type="dxa"/>
            <w:vAlign w:val="center"/>
          </w:tcPr>
          <w:p w14:paraId="37203D19">
            <w:pPr>
              <w:jc w:val="center"/>
              <w:rPr>
                <w:rFonts w:ascii="宋体" w:hAnsi="宋体" w:cs="仿宋"/>
                <w:b/>
                <w:bCs/>
                <w:color w:val="auto"/>
                <w:kern w:val="0"/>
                <w:szCs w:val="21"/>
                <w:highlight w:val="none"/>
              </w:rPr>
            </w:pPr>
          </w:p>
        </w:tc>
        <w:tc>
          <w:tcPr>
            <w:tcW w:w="1559" w:type="dxa"/>
            <w:vAlign w:val="center"/>
          </w:tcPr>
          <w:p w14:paraId="6AD4B495">
            <w:pPr>
              <w:jc w:val="center"/>
              <w:rPr>
                <w:rFonts w:ascii="宋体" w:hAnsi="宋体" w:cs="仿宋"/>
                <w:b/>
                <w:bCs/>
                <w:color w:val="auto"/>
                <w:kern w:val="0"/>
                <w:szCs w:val="21"/>
                <w:highlight w:val="none"/>
              </w:rPr>
            </w:pPr>
          </w:p>
        </w:tc>
      </w:tr>
      <w:tr w14:paraId="5CF684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1" w:type="dxa"/>
            <w:vAlign w:val="center"/>
          </w:tcPr>
          <w:p w14:paraId="682A6AA1">
            <w:pPr>
              <w:jc w:val="center"/>
              <w:rPr>
                <w:rFonts w:ascii="宋体" w:hAnsi="宋体" w:cs="仿宋"/>
                <w:b/>
                <w:bCs/>
                <w:color w:val="auto"/>
                <w:kern w:val="0"/>
                <w:szCs w:val="21"/>
                <w:highlight w:val="none"/>
              </w:rPr>
            </w:pPr>
            <w:r>
              <w:rPr>
                <w:rFonts w:hint="eastAsia" w:ascii="宋体" w:hAnsi="宋体" w:cs="仿宋"/>
                <w:b/>
                <w:bCs/>
                <w:color w:val="auto"/>
                <w:kern w:val="0"/>
                <w:szCs w:val="21"/>
                <w:highlight w:val="none"/>
              </w:rPr>
              <w:t>……</w:t>
            </w:r>
          </w:p>
        </w:tc>
        <w:tc>
          <w:tcPr>
            <w:tcW w:w="2235" w:type="dxa"/>
            <w:gridSpan w:val="2"/>
            <w:vAlign w:val="center"/>
          </w:tcPr>
          <w:p w14:paraId="3E49A131">
            <w:pPr>
              <w:jc w:val="center"/>
              <w:rPr>
                <w:rFonts w:ascii="宋体" w:hAnsi="宋体" w:cs="仿宋"/>
                <w:b/>
                <w:bCs/>
                <w:color w:val="auto"/>
                <w:kern w:val="0"/>
                <w:szCs w:val="21"/>
                <w:highlight w:val="none"/>
              </w:rPr>
            </w:pPr>
            <w:r>
              <w:rPr>
                <w:rFonts w:hint="eastAsia" w:ascii="宋体" w:hAnsi="宋体" w:cs="仿宋"/>
                <w:b/>
                <w:bCs/>
                <w:color w:val="auto"/>
                <w:kern w:val="0"/>
                <w:szCs w:val="21"/>
                <w:highlight w:val="none"/>
              </w:rPr>
              <w:t>……</w:t>
            </w:r>
          </w:p>
        </w:tc>
        <w:tc>
          <w:tcPr>
            <w:tcW w:w="890" w:type="dxa"/>
            <w:vAlign w:val="center"/>
          </w:tcPr>
          <w:p w14:paraId="0475A343">
            <w:pPr>
              <w:jc w:val="center"/>
              <w:rPr>
                <w:rFonts w:ascii="宋体" w:hAnsi="宋体" w:cs="仿宋"/>
                <w:b/>
                <w:bCs/>
                <w:color w:val="auto"/>
                <w:kern w:val="0"/>
                <w:szCs w:val="21"/>
                <w:highlight w:val="none"/>
              </w:rPr>
            </w:pPr>
          </w:p>
        </w:tc>
        <w:tc>
          <w:tcPr>
            <w:tcW w:w="1405" w:type="dxa"/>
            <w:vAlign w:val="center"/>
          </w:tcPr>
          <w:p w14:paraId="29B9B490">
            <w:pPr>
              <w:jc w:val="center"/>
              <w:rPr>
                <w:rFonts w:ascii="宋体" w:hAnsi="宋体" w:cs="仿宋"/>
                <w:b/>
                <w:bCs/>
                <w:color w:val="auto"/>
                <w:kern w:val="0"/>
                <w:szCs w:val="21"/>
                <w:highlight w:val="none"/>
              </w:rPr>
            </w:pPr>
            <w:r>
              <w:rPr>
                <w:rFonts w:hint="eastAsia" w:ascii="宋体" w:hAnsi="宋体" w:cs="仿宋"/>
                <w:b/>
                <w:bCs/>
                <w:color w:val="auto"/>
                <w:kern w:val="0"/>
                <w:szCs w:val="21"/>
                <w:highlight w:val="none"/>
              </w:rPr>
              <w:t>……</w:t>
            </w:r>
          </w:p>
        </w:tc>
        <w:tc>
          <w:tcPr>
            <w:tcW w:w="2199" w:type="dxa"/>
            <w:vAlign w:val="center"/>
          </w:tcPr>
          <w:p w14:paraId="5450B108">
            <w:pPr>
              <w:jc w:val="center"/>
              <w:rPr>
                <w:rFonts w:ascii="宋体" w:hAnsi="宋体" w:cs="仿宋"/>
                <w:b/>
                <w:bCs/>
                <w:color w:val="auto"/>
                <w:kern w:val="0"/>
                <w:szCs w:val="21"/>
                <w:highlight w:val="none"/>
              </w:rPr>
            </w:pPr>
            <w:r>
              <w:rPr>
                <w:rFonts w:hint="eastAsia" w:ascii="宋体" w:hAnsi="宋体" w:cs="仿宋"/>
                <w:b/>
                <w:bCs/>
                <w:color w:val="auto"/>
                <w:kern w:val="0"/>
                <w:szCs w:val="21"/>
                <w:highlight w:val="none"/>
              </w:rPr>
              <w:t>……</w:t>
            </w:r>
          </w:p>
        </w:tc>
        <w:tc>
          <w:tcPr>
            <w:tcW w:w="1559" w:type="dxa"/>
            <w:vAlign w:val="center"/>
          </w:tcPr>
          <w:p w14:paraId="36A46D01">
            <w:pPr>
              <w:jc w:val="center"/>
              <w:rPr>
                <w:rFonts w:ascii="宋体" w:hAnsi="宋体" w:cs="仿宋"/>
                <w:b/>
                <w:bCs/>
                <w:color w:val="auto"/>
                <w:kern w:val="0"/>
                <w:szCs w:val="21"/>
                <w:highlight w:val="none"/>
              </w:rPr>
            </w:pPr>
            <w:r>
              <w:rPr>
                <w:rFonts w:hint="eastAsia" w:ascii="宋体" w:hAnsi="宋体" w:cs="仿宋"/>
                <w:b/>
                <w:bCs/>
                <w:color w:val="auto"/>
                <w:kern w:val="0"/>
                <w:szCs w:val="21"/>
                <w:highlight w:val="none"/>
              </w:rPr>
              <w:t>……</w:t>
            </w:r>
          </w:p>
        </w:tc>
      </w:tr>
      <w:tr w14:paraId="61A664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1" w:type="dxa"/>
            <w:vAlign w:val="center"/>
          </w:tcPr>
          <w:p w14:paraId="785254BC">
            <w:pPr>
              <w:jc w:val="center"/>
              <w:rPr>
                <w:rFonts w:ascii="宋体" w:hAnsi="宋体" w:cs="仿宋"/>
                <w:b/>
                <w:bCs/>
                <w:color w:val="auto"/>
                <w:kern w:val="0"/>
                <w:szCs w:val="21"/>
                <w:highlight w:val="none"/>
              </w:rPr>
            </w:pPr>
          </w:p>
        </w:tc>
        <w:tc>
          <w:tcPr>
            <w:tcW w:w="3125" w:type="dxa"/>
            <w:gridSpan w:val="3"/>
            <w:vAlign w:val="center"/>
          </w:tcPr>
          <w:p w14:paraId="0989B872">
            <w:pPr>
              <w:jc w:val="center"/>
              <w:rPr>
                <w:rFonts w:ascii="宋体" w:hAnsi="宋体" w:cs="仿宋"/>
                <w:b/>
                <w:bCs/>
                <w:color w:val="auto"/>
                <w:kern w:val="0"/>
                <w:szCs w:val="21"/>
                <w:highlight w:val="none"/>
              </w:rPr>
            </w:pPr>
            <w:r>
              <w:rPr>
                <w:rFonts w:hint="eastAsia" w:ascii="宋体" w:hAnsi="宋体" w:cs="仿宋"/>
                <w:b/>
                <w:bCs/>
                <w:color w:val="auto"/>
                <w:kern w:val="0"/>
                <w:szCs w:val="21"/>
                <w:highlight w:val="none"/>
              </w:rPr>
              <w:t>小计</w:t>
            </w:r>
          </w:p>
        </w:tc>
        <w:tc>
          <w:tcPr>
            <w:tcW w:w="1405" w:type="dxa"/>
            <w:vAlign w:val="center"/>
          </w:tcPr>
          <w:p w14:paraId="0375A28B">
            <w:pPr>
              <w:jc w:val="center"/>
              <w:rPr>
                <w:rFonts w:ascii="宋体" w:hAnsi="宋体" w:cs="仿宋"/>
                <w:b/>
                <w:bCs/>
                <w:color w:val="auto"/>
                <w:kern w:val="0"/>
                <w:szCs w:val="21"/>
                <w:highlight w:val="none"/>
              </w:rPr>
            </w:pPr>
          </w:p>
        </w:tc>
        <w:tc>
          <w:tcPr>
            <w:tcW w:w="2199" w:type="dxa"/>
            <w:vAlign w:val="center"/>
          </w:tcPr>
          <w:p w14:paraId="52E959A7">
            <w:pPr>
              <w:jc w:val="center"/>
              <w:rPr>
                <w:rFonts w:ascii="宋体" w:hAnsi="宋体" w:cs="仿宋"/>
                <w:b/>
                <w:bCs/>
                <w:color w:val="auto"/>
                <w:kern w:val="0"/>
                <w:szCs w:val="21"/>
                <w:highlight w:val="none"/>
              </w:rPr>
            </w:pPr>
          </w:p>
        </w:tc>
        <w:tc>
          <w:tcPr>
            <w:tcW w:w="1559" w:type="dxa"/>
            <w:vAlign w:val="center"/>
          </w:tcPr>
          <w:p w14:paraId="5D214D7C">
            <w:pPr>
              <w:jc w:val="center"/>
              <w:rPr>
                <w:rFonts w:ascii="宋体" w:hAnsi="宋体" w:cs="仿宋"/>
                <w:b/>
                <w:bCs/>
                <w:color w:val="auto"/>
                <w:kern w:val="0"/>
                <w:szCs w:val="21"/>
                <w:highlight w:val="none"/>
              </w:rPr>
            </w:pPr>
          </w:p>
        </w:tc>
      </w:tr>
      <w:tr w14:paraId="7E07F3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946" w:type="dxa"/>
            <w:gridSpan w:val="4"/>
            <w:vAlign w:val="center"/>
          </w:tcPr>
          <w:p w14:paraId="476AE6F5">
            <w:pPr>
              <w:ind w:right="-143"/>
              <w:jc w:val="center"/>
              <w:rPr>
                <w:rFonts w:ascii="宋体" w:hAnsi="宋体" w:cs="仿宋"/>
                <w:b/>
                <w:bCs/>
                <w:color w:val="auto"/>
                <w:kern w:val="0"/>
                <w:szCs w:val="21"/>
                <w:highlight w:val="none"/>
              </w:rPr>
            </w:pPr>
            <w:r>
              <w:rPr>
                <w:rFonts w:hint="eastAsia" w:ascii="宋体" w:hAnsi="宋体" w:cs="仿宋"/>
                <w:b/>
                <w:bCs/>
                <w:color w:val="auto"/>
                <w:kern w:val="0"/>
                <w:szCs w:val="21"/>
                <w:highlight w:val="none"/>
              </w:rPr>
              <w:t>合计</w:t>
            </w:r>
          </w:p>
        </w:tc>
        <w:tc>
          <w:tcPr>
            <w:tcW w:w="1405" w:type="dxa"/>
            <w:vAlign w:val="center"/>
          </w:tcPr>
          <w:p w14:paraId="6B2B1806">
            <w:pPr>
              <w:jc w:val="center"/>
              <w:rPr>
                <w:rFonts w:ascii="宋体" w:hAnsi="宋体" w:cs="仿宋"/>
                <w:b/>
                <w:bCs/>
                <w:color w:val="auto"/>
                <w:kern w:val="0"/>
                <w:szCs w:val="21"/>
                <w:highlight w:val="none"/>
              </w:rPr>
            </w:pPr>
          </w:p>
        </w:tc>
        <w:tc>
          <w:tcPr>
            <w:tcW w:w="2199" w:type="dxa"/>
            <w:vAlign w:val="center"/>
          </w:tcPr>
          <w:p w14:paraId="6F4581E8">
            <w:pPr>
              <w:jc w:val="center"/>
              <w:rPr>
                <w:rFonts w:ascii="宋体" w:hAnsi="宋体" w:cs="仿宋"/>
                <w:b/>
                <w:bCs/>
                <w:color w:val="auto"/>
                <w:kern w:val="0"/>
                <w:szCs w:val="21"/>
                <w:highlight w:val="none"/>
              </w:rPr>
            </w:pPr>
          </w:p>
        </w:tc>
        <w:tc>
          <w:tcPr>
            <w:tcW w:w="1559" w:type="dxa"/>
            <w:vAlign w:val="center"/>
          </w:tcPr>
          <w:p w14:paraId="5895987E">
            <w:pPr>
              <w:jc w:val="center"/>
              <w:rPr>
                <w:rFonts w:ascii="宋体" w:hAnsi="宋体" w:cs="仿宋"/>
                <w:b/>
                <w:bCs/>
                <w:color w:val="auto"/>
                <w:kern w:val="0"/>
                <w:szCs w:val="21"/>
                <w:highlight w:val="none"/>
              </w:rPr>
            </w:pPr>
          </w:p>
        </w:tc>
      </w:tr>
    </w:tbl>
    <w:p w14:paraId="120E203A">
      <w:pPr>
        <w:spacing w:line="360" w:lineRule="auto"/>
        <w:rPr>
          <w:rFonts w:ascii="宋体" w:hAnsi="宋体" w:cs="仿宋"/>
          <w:b/>
          <w:bCs/>
          <w:color w:val="auto"/>
          <w:kern w:val="0"/>
          <w:szCs w:val="21"/>
          <w:highlight w:val="none"/>
        </w:rPr>
      </w:pPr>
    </w:p>
    <w:p w14:paraId="42F714BB">
      <w:pPr>
        <w:spacing w:line="360" w:lineRule="auto"/>
        <w:rPr>
          <w:rFonts w:ascii="宋体" w:hAnsi="宋体" w:cs="仿宋"/>
          <w:b/>
          <w:bCs/>
          <w:color w:val="auto"/>
          <w:kern w:val="0"/>
          <w:szCs w:val="21"/>
          <w:highlight w:val="none"/>
        </w:rPr>
      </w:pPr>
      <w:r>
        <w:rPr>
          <w:rFonts w:hint="eastAsia" w:ascii="宋体" w:hAnsi="宋体" w:cs="仿宋"/>
          <w:b/>
          <w:bCs/>
          <w:color w:val="auto"/>
          <w:kern w:val="0"/>
          <w:szCs w:val="21"/>
          <w:highlight w:val="none"/>
        </w:rPr>
        <w:t>注：</w:t>
      </w:r>
    </w:p>
    <w:p w14:paraId="1BE32499">
      <w:pPr>
        <w:spacing w:line="360" w:lineRule="auto"/>
        <w:rPr>
          <w:rFonts w:ascii="宋体" w:hAnsi="宋体" w:cs="仿宋"/>
          <w:b/>
          <w:color w:val="auto"/>
          <w:kern w:val="0"/>
          <w:szCs w:val="21"/>
          <w:highlight w:val="none"/>
        </w:rPr>
      </w:pPr>
      <w:r>
        <w:rPr>
          <w:rFonts w:ascii="宋体" w:hAnsi="宋体" w:cs="仿宋"/>
          <w:b/>
          <w:color w:val="auto"/>
          <w:kern w:val="0"/>
          <w:szCs w:val="21"/>
          <w:highlight w:val="none"/>
        </w:rPr>
        <w:t xml:space="preserve">  1</w:t>
      </w:r>
      <w:r>
        <w:rPr>
          <w:rFonts w:hint="eastAsia" w:ascii="宋体" w:hAnsi="宋体" w:cs="仿宋"/>
          <w:b/>
          <w:color w:val="auto"/>
          <w:kern w:val="0"/>
          <w:szCs w:val="21"/>
          <w:highlight w:val="none"/>
        </w:rPr>
        <w:t>、*本采购项目二标段必须填报此表。</w:t>
      </w:r>
    </w:p>
    <w:p w14:paraId="38555E22">
      <w:pPr>
        <w:spacing w:line="360" w:lineRule="auto"/>
        <w:rPr>
          <w:rFonts w:hint="eastAsia" w:ascii="宋体" w:hAnsi="宋体" w:cs="仿宋"/>
          <w:color w:val="auto"/>
          <w:kern w:val="0"/>
          <w:szCs w:val="21"/>
          <w:highlight w:val="none"/>
        </w:rPr>
      </w:pPr>
      <w:r>
        <w:rPr>
          <w:rFonts w:hint="eastAsia" w:ascii="宋体" w:hAnsi="宋体" w:cs="仿宋"/>
          <w:color w:val="auto"/>
          <w:kern w:val="0"/>
          <w:szCs w:val="21"/>
          <w:highlight w:val="none"/>
        </w:rPr>
        <w:t xml:space="preserve">  </w:t>
      </w:r>
      <w:r>
        <w:rPr>
          <w:rFonts w:ascii="宋体" w:hAnsi="宋体" w:cs="仿宋"/>
          <w:color w:val="auto"/>
          <w:kern w:val="0"/>
          <w:szCs w:val="21"/>
          <w:highlight w:val="none"/>
        </w:rPr>
        <w:t>2</w:t>
      </w:r>
      <w:r>
        <w:rPr>
          <w:rFonts w:hint="eastAsia" w:ascii="宋体" w:hAnsi="宋体" w:cs="仿宋"/>
          <w:color w:val="auto"/>
          <w:kern w:val="0"/>
          <w:szCs w:val="21"/>
          <w:highlight w:val="none"/>
        </w:rPr>
        <w:t>、上表中的金额须与分项报价表中的金额一致，否则投标将被否决。中小微企业的产品金额应不低于本采购项目落实政府采购政策需满足的资格要求中规定的份额要求（详见投标须知前附表）。</w:t>
      </w:r>
    </w:p>
    <w:p w14:paraId="6D0B1D5B">
      <w:pPr>
        <w:spacing w:line="360" w:lineRule="auto"/>
        <w:ind w:firstLine="210" w:firstLineChars="100"/>
        <w:rPr>
          <w:rFonts w:hint="eastAsia" w:ascii="宋体" w:hAnsi="宋体" w:cs="仿宋"/>
          <w:color w:val="auto"/>
          <w:kern w:val="0"/>
          <w:szCs w:val="21"/>
          <w:highlight w:val="none"/>
        </w:rPr>
      </w:pPr>
      <w:r>
        <w:rPr>
          <w:rFonts w:hint="eastAsia" w:ascii="宋体" w:hAnsi="宋体" w:cs="仿宋"/>
          <w:color w:val="auto"/>
          <w:kern w:val="0"/>
          <w:szCs w:val="21"/>
          <w:highlight w:val="none"/>
        </w:rPr>
        <w:t>3、上表中“企业类型”栏填写“中型/小型/微型/监狱企业/残疾人福利性单位”,划型标准见投标须知前附表。</w:t>
      </w:r>
    </w:p>
    <w:p w14:paraId="3E0910B3">
      <w:pPr>
        <w:spacing w:line="360" w:lineRule="auto"/>
        <w:rPr>
          <w:rFonts w:ascii="宋体" w:hAnsi="宋体" w:cs="仿宋"/>
          <w:color w:val="auto"/>
          <w:kern w:val="0"/>
          <w:szCs w:val="21"/>
          <w:highlight w:val="none"/>
        </w:rPr>
      </w:pPr>
      <w:r>
        <w:rPr>
          <w:rFonts w:hint="eastAsia" w:ascii="宋体" w:hAnsi="宋体" w:cs="仿宋"/>
          <w:color w:val="auto"/>
          <w:kern w:val="0"/>
          <w:szCs w:val="21"/>
          <w:highlight w:val="none"/>
        </w:rPr>
        <w:t xml:space="preserve">  </w:t>
      </w:r>
      <w:r>
        <w:rPr>
          <w:rFonts w:ascii="宋体" w:hAnsi="宋体" w:cs="仿宋"/>
          <w:color w:val="auto"/>
          <w:kern w:val="0"/>
          <w:szCs w:val="21"/>
          <w:highlight w:val="none"/>
        </w:rPr>
        <w:t>4</w:t>
      </w:r>
      <w:r>
        <w:rPr>
          <w:rFonts w:hint="eastAsia" w:ascii="宋体" w:hAnsi="宋体" w:cs="仿宋"/>
          <w:color w:val="auto"/>
          <w:kern w:val="0"/>
          <w:szCs w:val="21"/>
          <w:highlight w:val="none"/>
        </w:rPr>
        <w:t>、本采购项目一标段不填报此表。</w:t>
      </w:r>
    </w:p>
    <w:p w14:paraId="7CD26E67">
      <w:pPr>
        <w:spacing w:line="360" w:lineRule="auto"/>
        <w:rPr>
          <w:rFonts w:ascii="宋体" w:hAnsi="宋体" w:cs="仿宋"/>
          <w:color w:val="auto"/>
          <w:kern w:val="0"/>
          <w:szCs w:val="21"/>
          <w:highlight w:val="none"/>
        </w:rPr>
      </w:pPr>
    </w:p>
    <w:p w14:paraId="2FE25B48">
      <w:pPr>
        <w:pStyle w:val="17"/>
        <w:tabs>
          <w:tab w:val="left" w:pos="7321"/>
        </w:tabs>
        <w:jc w:val="right"/>
        <w:rPr>
          <w:color w:val="auto"/>
          <w:highlight w:val="none"/>
        </w:rPr>
      </w:pPr>
      <w:r>
        <w:rPr>
          <w:color w:val="auto"/>
          <w:highlight w:val="none"/>
        </w:rPr>
        <w:t>投 标</w:t>
      </w:r>
      <w:r>
        <w:rPr>
          <w:color w:val="auto"/>
          <w:spacing w:val="-2"/>
          <w:highlight w:val="none"/>
        </w:rPr>
        <w:t xml:space="preserve"> </w:t>
      </w:r>
      <w:r>
        <w:rPr>
          <w:color w:val="auto"/>
          <w:highlight w:val="none"/>
        </w:rPr>
        <w:t>人：</w:t>
      </w:r>
      <w:r>
        <w:rPr>
          <w:color w:val="auto"/>
          <w:highlight w:val="none"/>
          <w:u w:val="single"/>
        </w:rPr>
        <w:t xml:space="preserve"> </w:t>
      </w:r>
      <w:r>
        <w:rPr>
          <w:rFonts w:hint="eastAsia"/>
          <w:color w:val="auto"/>
          <w:highlight w:val="none"/>
          <w:u w:val="single"/>
        </w:rPr>
        <w:t xml:space="preserve">                    </w:t>
      </w:r>
      <w:r>
        <w:rPr>
          <w:color w:val="auto"/>
          <w:highlight w:val="none"/>
        </w:rPr>
        <w:t>（盖单位章）</w:t>
      </w:r>
    </w:p>
    <w:p w14:paraId="19D4A85C">
      <w:pPr>
        <w:pStyle w:val="17"/>
        <w:tabs>
          <w:tab w:val="left" w:pos="6481"/>
        </w:tabs>
        <w:jc w:val="right"/>
        <w:rPr>
          <w:color w:val="auto"/>
          <w:highlight w:val="none"/>
        </w:rPr>
      </w:pPr>
      <w:r>
        <w:rPr>
          <w:color w:val="auto"/>
          <w:highlight w:val="none"/>
        </w:rPr>
        <w:t>法定代表人或其委托代理人：</w:t>
      </w:r>
      <w:r>
        <w:rPr>
          <w:color w:val="auto"/>
          <w:highlight w:val="none"/>
          <w:u w:val="single"/>
        </w:rPr>
        <w:t xml:space="preserve"> </w:t>
      </w:r>
      <w:r>
        <w:rPr>
          <w:rFonts w:hint="eastAsia"/>
          <w:color w:val="auto"/>
          <w:highlight w:val="none"/>
          <w:u w:val="single"/>
        </w:rPr>
        <w:t xml:space="preserve">        </w:t>
      </w:r>
      <w:r>
        <w:rPr>
          <w:color w:val="auto"/>
          <w:highlight w:val="none"/>
        </w:rPr>
        <w:t>（签字）</w:t>
      </w:r>
    </w:p>
    <w:p w14:paraId="0E4B84AD">
      <w:pPr>
        <w:pStyle w:val="17"/>
        <w:jc w:val="right"/>
        <w:rPr>
          <w:color w:val="auto"/>
          <w:highlight w:val="none"/>
        </w:rPr>
      </w:pPr>
      <w:r>
        <w:rPr>
          <w:color w:val="auto"/>
          <w:highlight w:val="none"/>
          <w:u w:val="single"/>
        </w:rPr>
        <w:t xml:space="preserve"> </w:t>
      </w:r>
      <w:r>
        <w:rPr>
          <w:rFonts w:hint="eastAsia"/>
          <w:color w:val="auto"/>
          <w:highlight w:val="none"/>
          <w:u w:val="single"/>
        </w:rPr>
        <w:t xml:space="preserve">      </w:t>
      </w:r>
      <w:r>
        <w:rPr>
          <w:color w:val="auto"/>
          <w:highlight w:val="none"/>
        </w:rPr>
        <w:t>年</w:t>
      </w:r>
      <w:r>
        <w:rPr>
          <w:color w:val="auto"/>
          <w:highlight w:val="none"/>
          <w:u w:val="single"/>
        </w:rPr>
        <w:t xml:space="preserve"> </w:t>
      </w:r>
      <w:r>
        <w:rPr>
          <w:rFonts w:hint="eastAsia"/>
          <w:color w:val="auto"/>
          <w:highlight w:val="none"/>
          <w:u w:val="single"/>
        </w:rPr>
        <w:t xml:space="preserve">    </w:t>
      </w:r>
      <w:r>
        <w:rPr>
          <w:color w:val="auto"/>
          <w:highlight w:val="none"/>
        </w:rPr>
        <w:t>月</w:t>
      </w:r>
      <w:r>
        <w:rPr>
          <w:color w:val="auto"/>
          <w:highlight w:val="none"/>
          <w:u w:val="single"/>
        </w:rPr>
        <w:t xml:space="preserve"> </w:t>
      </w:r>
      <w:r>
        <w:rPr>
          <w:rFonts w:hint="eastAsia"/>
          <w:color w:val="auto"/>
          <w:highlight w:val="none"/>
          <w:u w:val="single"/>
        </w:rPr>
        <w:t xml:space="preserve">    </w:t>
      </w:r>
      <w:r>
        <w:rPr>
          <w:color w:val="auto"/>
          <w:highlight w:val="none"/>
        </w:rPr>
        <w:t>日</w:t>
      </w:r>
    </w:p>
    <w:p w14:paraId="5A05FF87">
      <w:pPr>
        <w:pStyle w:val="146"/>
        <w:spacing w:line="360" w:lineRule="auto"/>
        <w:ind w:left="0" w:right="0"/>
        <w:jc w:val="center"/>
        <w:rPr>
          <w:color w:val="auto"/>
          <w:sz w:val="24"/>
          <w:szCs w:val="24"/>
          <w:highlight w:val="none"/>
          <w:lang w:eastAsia="zh-CN"/>
        </w:rPr>
      </w:pPr>
    </w:p>
    <w:p w14:paraId="7CED6418">
      <w:pPr>
        <w:pStyle w:val="146"/>
        <w:spacing w:line="360" w:lineRule="auto"/>
        <w:ind w:left="0" w:right="0"/>
        <w:jc w:val="center"/>
        <w:rPr>
          <w:b/>
          <w:color w:val="auto"/>
          <w:highlight w:val="none"/>
          <w:lang w:eastAsia="zh-CN"/>
        </w:rPr>
      </w:pPr>
      <w:r>
        <w:rPr>
          <w:color w:val="auto"/>
          <w:sz w:val="24"/>
          <w:szCs w:val="24"/>
          <w:highlight w:val="none"/>
          <w:lang w:eastAsia="zh-CN"/>
        </w:rPr>
        <w:br w:type="page"/>
      </w:r>
      <w:r>
        <w:rPr>
          <w:rFonts w:hint="eastAsia"/>
          <w:b/>
          <w:color w:val="auto"/>
          <w:highlight w:val="none"/>
          <w:lang w:eastAsia="zh-CN"/>
        </w:rPr>
        <w:t>（三）满足特定资格要求的证明文件</w:t>
      </w:r>
    </w:p>
    <w:p w14:paraId="353BA8C5">
      <w:pPr>
        <w:pStyle w:val="17"/>
        <w:tabs>
          <w:tab w:val="left" w:pos="2291"/>
          <w:tab w:val="left" w:pos="2395"/>
          <w:tab w:val="left" w:pos="6538"/>
          <w:tab w:val="left" w:pos="6658"/>
          <w:tab w:val="left" w:pos="7481"/>
          <w:tab w:val="left" w:pos="8506"/>
        </w:tabs>
        <w:spacing w:line="360" w:lineRule="auto"/>
        <w:rPr>
          <w:color w:val="auto"/>
          <w:highlight w:val="none"/>
        </w:rPr>
      </w:pPr>
    </w:p>
    <w:p w14:paraId="52209EFE">
      <w:pPr>
        <w:spacing w:line="360" w:lineRule="auto"/>
        <w:ind w:firstLine="420" w:firstLineChars="200"/>
        <w:outlineLvl w:val="0"/>
        <w:rPr>
          <w:color w:val="auto"/>
          <w:highlight w:val="none"/>
        </w:rPr>
      </w:pPr>
      <w:r>
        <w:rPr>
          <w:rFonts w:hint="eastAsia"/>
          <w:color w:val="auto"/>
          <w:highlight w:val="none"/>
        </w:rPr>
        <w:t>提供：投标人满足第二章〈投标须知〉投标须知前附表规定的本项目特定资格要求的证明文件，应附投标人及其制造商（适用于代理经销商投标的情形）资格或者资质证书副本或制造许可证或投标货物检测报告或认证证书复印件等材料或政府强制采购节能产品认证证书复印件。</w:t>
      </w:r>
    </w:p>
    <w:p w14:paraId="72BA67DE">
      <w:pPr>
        <w:spacing w:line="360" w:lineRule="auto"/>
        <w:ind w:firstLine="480" w:firstLineChars="200"/>
        <w:jc w:val="center"/>
        <w:outlineLvl w:val="0"/>
        <w:rPr>
          <w:rFonts w:ascii="宋体" w:hAnsi="宋体" w:cs="宋体"/>
          <w:b/>
          <w:bCs/>
          <w:color w:val="auto"/>
          <w:kern w:val="0"/>
          <w:sz w:val="36"/>
          <w:szCs w:val="36"/>
          <w:highlight w:val="none"/>
        </w:rPr>
      </w:pPr>
      <w:r>
        <w:rPr>
          <w:rFonts w:hint="eastAsia" w:ascii="宋体" w:hAnsi="宋体" w:cs="宋体"/>
          <w:color w:val="auto"/>
          <w:kern w:val="0"/>
          <w:sz w:val="24"/>
          <w:szCs w:val="24"/>
          <w:highlight w:val="none"/>
        </w:rPr>
        <w:br w:type="page"/>
      </w:r>
      <w:r>
        <w:rPr>
          <w:rFonts w:hint="eastAsia" w:ascii="宋体" w:hAnsi="宋体" w:cs="宋体"/>
          <w:b/>
          <w:bCs/>
          <w:color w:val="auto"/>
          <w:kern w:val="0"/>
          <w:sz w:val="36"/>
          <w:szCs w:val="36"/>
          <w:highlight w:val="none"/>
        </w:rPr>
        <w:t>七、类似项目业绩表</w:t>
      </w:r>
      <w:bookmarkEnd w:id="47"/>
    </w:p>
    <w:p w14:paraId="5FFBF4C5">
      <w:pPr>
        <w:pStyle w:val="152"/>
        <w:wordWrap w:val="0"/>
        <w:adjustRightInd w:val="0"/>
        <w:spacing w:line="500" w:lineRule="exact"/>
        <w:rPr>
          <w:rFonts w:ascii="宋体" w:hAnsi="宋体" w:cs="宋体"/>
          <w:color w:val="auto"/>
          <w:sz w:val="21"/>
          <w:szCs w:val="21"/>
          <w:highlight w:val="none"/>
        </w:rPr>
      </w:pPr>
      <w:r>
        <w:rPr>
          <w:rFonts w:hint="eastAsia" w:ascii="宋体" w:hAnsi="宋体" w:cs="宋体"/>
          <w:color w:val="auto"/>
          <w:sz w:val="21"/>
          <w:szCs w:val="21"/>
          <w:highlight w:val="none"/>
        </w:rPr>
        <w:t>项目编号：</w:t>
      </w:r>
      <w:r>
        <w:rPr>
          <w:rFonts w:hint="eastAsia" w:ascii="宋体" w:hAnsi="宋体" w:cs="宋体"/>
          <w:color w:val="auto"/>
          <w:sz w:val="21"/>
          <w:szCs w:val="21"/>
          <w:highlight w:val="none"/>
          <w:u w:val="single"/>
        </w:rPr>
        <w:t xml:space="preserve">                              </w:t>
      </w:r>
    </w:p>
    <w:p w14:paraId="3E2F7379">
      <w:pPr>
        <w:pStyle w:val="152"/>
        <w:wordWrap w:val="0"/>
        <w:adjustRightInd w:val="0"/>
        <w:spacing w:line="500" w:lineRule="exact"/>
        <w:rPr>
          <w:rFonts w:ascii="宋体" w:hAnsi="宋体" w:cs="宋体"/>
          <w:color w:val="auto"/>
          <w:sz w:val="21"/>
          <w:szCs w:val="21"/>
          <w:highlight w:val="none"/>
          <w:u w:val="single"/>
        </w:rPr>
      </w:pPr>
      <w:r>
        <w:rPr>
          <w:rFonts w:hint="eastAsia" w:ascii="宋体" w:hAnsi="宋体" w:cs="宋体"/>
          <w:color w:val="auto"/>
          <w:sz w:val="21"/>
          <w:szCs w:val="21"/>
          <w:highlight w:val="none"/>
        </w:rPr>
        <w:t>项目名称：</w:t>
      </w:r>
      <w:r>
        <w:rPr>
          <w:rFonts w:hint="eastAsia" w:ascii="宋体" w:hAnsi="宋体" w:cs="宋体"/>
          <w:color w:val="auto"/>
          <w:sz w:val="21"/>
          <w:szCs w:val="21"/>
          <w:highlight w:val="none"/>
          <w:u w:val="single"/>
        </w:rPr>
        <w:t xml:space="preserve">                              </w:t>
      </w:r>
    </w:p>
    <w:tbl>
      <w:tblPr>
        <w:tblStyle w:val="40"/>
        <w:tblW w:w="84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97"/>
        <w:gridCol w:w="6602"/>
      </w:tblGrid>
      <w:tr w14:paraId="6C6BF5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1897" w:type="dxa"/>
            <w:vAlign w:val="center"/>
          </w:tcPr>
          <w:p w14:paraId="6CF73FB5">
            <w:pPr>
              <w:pStyle w:val="152"/>
              <w:wordWrap w:val="0"/>
              <w:spacing w:line="36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项目名称</w:t>
            </w:r>
          </w:p>
        </w:tc>
        <w:tc>
          <w:tcPr>
            <w:tcW w:w="6602" w:type="dxa"/>
          </w:tcPr>
          <w:p w14:paraId="788FBBB0">
            <w:pPr>
              <w:pStyle w:val="152"/>
              <w:tabs>
                <w:tab w:val="left" w:pos="2265"/>
              </w:tabs>
              <w:wordWrap w:val="0"/>
              <w:spacing w:line="360" w:lineRule="auto"/>
              <w:jc w:val="center"/>
              <w:rPr>
                <w:rFonts w:ascii="宋体" w:hAnsi="宋体" w:cs="宋体"/>
                <w:color w:val="auto"/>
                <w:sz w:val="21"/>
                <w:szCs w:val="21"/>
                <w:highlight w:val="none"/>
              </w:rPr>
            </w:pPr>
          </w:p>
        </w:tc>
      </w:tr>
      <w:tr w14:paraId="44CB75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1897" w:type="dxa"/>
            <w:vAlign w:val="center"/>
          </w:tcPr>
          <w:p w14:paraId="03D4ECA5">
            <w:pPr>
              <w:pStyle w:val="152"/>
              <w:wordWrap w:val="0"/>
              <w:spacing w:line="36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采购人名称</w:t>
            </w:r>
          </w:p>
        </w:tc>
        <w:tc>
          <w:tcPr>
            <w:tcW w:w="6602" w:type="dxa"/>
          </w:tcPr>
          <w:p w14:paraId="2019E935">
            <w:pPr>
              <w:pStyle w:val="152"/>
              <w:wordWrap w:val="0"/>
              <w:spacing w:line="360" w:lineRule="auto"/>
              <w:jc w:val="center"/>
              <w:rPr>
                <w:rFonts w:ascii="宋体" w:hAnsi="宋体" w:cs="宋体"/>
                <w:color w:val="auto"/>
                <w:sz w:val="21"/>
                <w:szCs w:val="21"/>
                <w:highlight w:val="none"/>
              </w:rPr>
            </w:pPr>
          </w:p>
        </w:tc>
      </w:tr>
      <w:tr w14:paraId="2DA4FD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3" w:hRule="atLeast"/>
          <w:jc w:val="center"/>
        </w:trPr>
        <w:tc>
          <w:tcPr>
            <w:tcW w:w="1897" w:type="dxa"/>
            <w:vAlign w:val="center"/>
          </w:tcPr>
          <w:p w14:paraId="162FC1CA">
            <w:pPr>
              <w:pStyle w:val="152"/>
              <w:wordWrap w:val="0"/>
              <w:spacing w:line="36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采购联系人姓名及联系方式</w:t>
            </w:r>
          </w:p>
        </w:tc>
        <w:tc>
          <w:tcPr>
            <w:tcW w:w="6602" w:type="dxa"/>
          </w:tcPr>
          <w:p w14:paraId="2FFA04ED">
            <w:pPr>
              <w:pStyle w:val="152"/>
              <w:wordWrap w:val="0"/>
              <w:spacing w:line="360" w:lineRule="auto"/>
              <w:jc w:val="center"/>
              <w:rPr>
                <w:rFonts w:ascii="宋体" w:hAnsi="宋体" w:cs="宋体"/>
                <w:color w:val="auto"/>
                <w:sz w:val="21"/>
                <w:szCs w:val="21"/>
                <w:highlight w:val="none"/>
              </w:rPr>
            </w:pPr>
          </w:p>
        </w:tc>
      </w:tr>
      <w:tr w14:paraId="280919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jc w:val="center"/>
        </w:trPr>
        <w:tc>
          <w:tcPr>
            <w:tcW w:w="1897" w:type="dxa"/>
            <w:vAlign w:val="center"/>
          </w:tcPr>
          <w:p w14:paraId="25F41968">
            <w:pPr>
              <w:pStyle w:val="152"/>
              <w:wordWrap w:val="0"/>
              <w:spacing w:line="36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合同金额</w:t>
            </w:r>
          </w:p>
        </w:tc>
        <w:tc>
          <w:tcPr>
            <w:tcW w:w="6602" w:type="dxa"/>
          </w:tcPr>
          <w:p w14:paraId="514D284C">
            <w:pPr>
              <w:pStyle w:val="152"/>
              <w:wordWrap w:val="0"/>
              <w:spacing w:line="360" w:lineRule="auto"/>
              <w:jc w:val="center"/>
              <w:rPr>
                <w:rFonts w:ascii="宋体" w:hAnsi="宋体" w:cs="宋体"/>
                <w:color w:val="auto"/>
                <w:sz w:val="21"/>
                <w:szCs w:val="21"/>
                <w:highlight w:val="none"/>
              </w:rPr>
            </w:pPr>
          </w:p>
        </w:tc>
      </w:tr>
      <w:tr w14:paraId="126314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7" w:hRule="atLeast"/>
          <w:jc w:val="center"/>
        </w:trPr>
        <w:tc>
          <w:tcPr>
            <w:tcW w:w="1897" w:type="dxa"/>
            <w:vAlign w:val="center"/>
          </w:tcPr>
          <w:p w14:paraId="6DD59D95">
            <w:pPr>
              <w:pStyle w:val="152"/>
              <w:wordWrap w:val="0"/>
              <w:spacing w:line="36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项目负责人姓名</w:t>
            </w:r>
          </w:p>
        </w:tc>
        <w:tc>
          <w:tcPr>
            <w:tcW w:w="6602" w:type="dxa"/>
          </w:tcPr>
          <w:p w14:paraId="05069F92">
            <w:pPr>
              <w:pStyle w:val="152"/>
              <w:wordWrap w:val="0"/>
              <w:spacing w:line="360" w:lineRule="auto"/>
              <w:jc w:val="center"/>
              <w:rPr>
                <w:rFonts w:ascii="宋体" w:hAnsi="宋体" w:cs="宋体"/>
                <w:color w:val="auto"/>
                <w:sz w:val="21"/>
                <w:szCs w:val="21"/>
                <w:highlight w:val="none"/>
              </w:rPr>
            </w:pPr>
          </w:p>
        </w:tc>
      </w:tr>
      <w:tr w14:paraId="6B421C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1897" w:type="dxa"/>
            <w:vAlign w:val="center"/>
          </w:tcPr>
          <w:p w14:paraId="418B3D9F">
            <w:pPr>
              <w:pStyle w:val="152"/>
              <w:wordWrap w:val="0"/>
              <w:spacing w:line="36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交付时间</w:t>
            </w:r>
          </w:p>
        </w:tc>
        <w:tc>
          <w:tcPr>
            <w:tcW w:w="6602" w:type="dxa"/>
          </w:tcPr>
          <w:p w14:paraId="287A3A1A">
            <w:pPr>
              <w:pStyle w:val="152"/>
              <w:wordWrap w:val="0"/>
              <w:spacing w:line="360" w:lineRule="auto"/>
              <w:jc w:val="center"/>
              <w:rPr>
                <w:rFonts w:ascii="宋体" w:hAnsi="宋体" w:cs="宋体"/>
                <w:color w:val="auto"/>
                <w:sz w:val="21"/>
                <w:szCs w:val="21"/>
                <w:highlight w:val="none"/>
              </w:rPr>
            </w:pPr>
          </w:p>
        </w:tc>
      </w:tr>
      <w:tr w14:paraId="407CAE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3" w:hRule="atLeast"/>
          <w:jc w:val="center"/>
        </w:trPr>
        <w:tc>
          <w:tcPr>
            <w:tcW w:w="1897" w:type="dxa"/>
            <w:vAlign w:val="center"/>
          </w:tcPr>
          <w:p w14:paraId="2BDF019A">
            <w:pPr>
              <w:pStyle w:val="152"/>
              <w:wordWrap w:val="0"/>
              <w:spacing w:line="36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项目内容说明</w:t>
            </w:r>
          </w:p>
        </w:tc>
        <w:tc>
          <w:tcPr>
            <w:tcW w:w="6602" w:type="dxa"/>
          </w:tcPr>
          <w:p w14:paraId="2A14B29F">
            <w:pPr>
              <w:pStyle w:val="152"/>
              <w:wordWrap w:val="0"/>
              <w:spacing w:line="360" w:lineRule="auto"/>
              <w:jc w:val="center"/>
              <w:rPr>
                <w:rFonts w:ascii="宋体" w:hAnsi="宋体" w:cs="宋体"/>
                <w:color w:val="auto"/>
                <w:sz w:val="21"/>
                <w:szCs w:val="21"/>
                <w:highlight w:val="none"/>
              </w:rPr>
            </w:pPr>
          </w:p>
        </w:tc>
      </w:tr>
    </w:tbl>
    <w:p w14:paraId="689CEA87">
      <w:pPr>
        <w:pStyle w:val="152"/>
        <w:wordWrap w:val="0"/>
        <w:autoSpaceDE w:val="0"/>
        <w:autoSpaceDN w:val="0"/>
        <w:spacing w:line="360" w:lineRule="auto"/>
        <w:ind w:firstLine="480"/>
        <w:rPr>
          <w:rFonts w:ascii="宋体" w:hAnsi="宋体" w:cs="宋体"/>
          <w:color w:val="auto"/>
          <w:sz w:val="21"/>
          <w:szCs w:val="21"/>
          <w:highlight w:val="none"/>
        </w:rPr>
      </w:pPr>
      <w:r>
        <w:rPr>
          <w:rFonts w:hint="eastAsia" w:ascii="宋体" w:hAnsi="宋体" w:cs="宋体"/>
          <w:color w:val="auto"/>
          <w:sz w:val="21"/>
          <w:szCs w:val="21"/>
          <w:highlight w:val="none"/>
        </w:rPr>
        <w:t>说明：1．投标人应结合评标办法提供，每个合同须单独附表，并附相关证明材料（合同或中标/成交通知书复印件），否则专家在评审时将不予认可；</w:t>
      </w:r>
    </w:p>
    <w:p w14:paraId="156907C0">
      <w:pPr>
        <w:pStyle w:val="152"/>
        <w:wordWrap w:val="0"/>
        <w:spacing w:line="360" w:lineRule="auto"/>
        <w:ind w:firstLine="630" w:firstLineChars="300"/>
        <w:rPr>
          <w:rFonts w:ascii="宋体" w:hAnsi="宋体" w:cs="宋体"/>
          <w:color w:val="auto"/>
          <w:sz w:val="21"/>
          <w:szCs w:val="21"/>
          <w:highlight w:val="none"/>
        </w:rPr>
      </w:pPr>
      <w:r>
        <w:rPr>
          <w:rFonts w:hint="eastAsia" w:ascii="宋体" w:hAnsi="宋体" w:cs="宋体"/>
          <w:color w:val="auto"/>
          <w:sz w:val="21"/>
          <w:szCs w:val="21"/>
          <w:highlight w:val="none"/>
        </w:rPr>
        <w:t>2．项目内容请详细说明所承担的具体工作内容；</w:t>
      </w:r>
    </w:p>
    <w:p w14:paraId="6ADBB0BE">
      <w:pPr>
        <w:pStyle w:val="152"/>
        <w:wordWrap w:val="0"/>
        <w:spacing w:line="360" w:lineRule="auto"/>
        <w:ind w:firstLine="630" w:firstLineChars="300"/>
        <w:rPr>
          <w:rFonts w:ascii="宋体" w:hAnsi="宋体" w:cs="宋体"/>
          <w:color w:val="auto"/>
          <w:sz w:val="21"/>
          <w:szCs w:val="21"/>
          <w:highlight w:val="none"/>
        </w:rPr>
      </w:pPr>
    </w:p>
    <w:p w14:paraId="4BF2F0E6">
      <w:pPr>
        <w:pStyle w:val="89"/>
        <w:wordWrap w:val="0"/>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投标人名称（盖单位章）：</w:t>
      </w:r>
    </w:p>
    <w:p w14:paraId="687C8AF1">
      <w:pPr>
        <w:pStyle w:val="89"/>
        <w:wordWrap w:val="0"/>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法定代表人或其委托代理人签字或盖章：</w:t>
      </w:r>
    </w:p>
    <w:p w14:paraId="164BBC2C">
      <w:pPr>
        <w:pStyle w:val="152"/>
        <w:wordWrap w:val="0"/>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日期：</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年</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月</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日</w:t>
      </w:r>
    </w:p>
    <w:p w14:paraId="06AFE7E1">
      <w:pPr>
        <w:wordWrap w:val="0"/>
        <w:spacing w:line="360" w:lineRule="auto"/>
        <w:jc w:val="center"/>
        <w:outlineLvl w:val="0"/>
        <w:rPr>
          <w:rFonts w:ascii="宋体" w:hAnsi="宋体" w:cs="宋体"/>
          <w:b/>
          <w:bCs/>
          <w:color w:val="auto"/>
          <w:kern w:val="0"/>
          <w:sz w:val="36"/>
          <w:szCs w:val="36"/>
          <w:highlight w:val="none"/>
        </w:rPr>
      </w:pPr>
      <w:r>
        <w:rPr>
          <w:rFonts w:hint="eastAsia" w:ascii="宋体" w:hAnsi="宋体" w:cs="宋体"/>
          <w:color w:val="auto"/>
          <w:kern w:val="0"/>
          <w:sz w:val="24"/>
          <w:szCs w:val="24"/>
          <w:highlight w:val="none"/>
        </w:rPr>
        <w:br w:type="page"/>
      </w:r>
      <w:bookmarkStart w:id="50" w:name="_Toc6134"/>
      <w:r>
        <w:rPr>
          <w:rFonts w:hint="eastAsia" w:ascii="宋体" w:hAnsi="宋体" w:cs="宋体"/>
          <w:b/>
          <w:bCs/>
          <w:color w:val="auto"/>
          <w:kern w:val="0"/>
          <w:sz w:val="36"/>
          <w:szCs w:val="36"/>
          <w:highlight w:val="none"/>
        </w:rPr>
        <w:t>八、服务承诺书</w:t>
      </w:r>
      <w:bookmarkEnd w:id="50"/>
    </w:p>
    <w:p w14:paraId="3F22B1B2">
      <w:pPr>
        <w:wordWrap w:val="0"/>
        <w:spacing w:line="360" w:lineRule="auto"/>
        <w:jc w:val="center"/>
        <w:rPr>
          <w:rFonts w:ascii="宋体" w:hAnsi="宋体" w:cs="宋体"/>
          <w:color w:val="auto"/>
          <w:kern w:val="0"/>
          <w:sz w:val="24"/>
          <w:szCs w:val="24"/>
          <w:highlight w:val="none"/>
        </w:rPr>
      </w:pPr>
    </w:p>
    <w:p w14:paraId="6C623890">
      <w:pPr>
        <w:wordWrap w:val="0"/>
        <w:spacing w:line="360" w:lineRule="auto"/>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提供的增值服务承诺、售后服务承诺等，格式自拟。</w:t>
      </w:r>
    </w:p>
    <w:p w14:paraId="571B3455">
      <w:pPr>
        <w:wordWrap w:val="0"/>
        <w:spacing w:line="360" w:lineRule="auto"/>
        <w:jc w:val="center"/>
        <w:outlineLvl w:val="0"/>
        <w:rPr>
          <w:rFonts w:ascii="宋体" w:hAnsi="宋体" w:cs="宋体"/>
          <w:b/>
          <w:color w:val="auto"/>
          <w:sz w:val="24"/>
          <w:highlight w:val="none"/>
        </w:rPr>
      </w:pPr>
      <w:r>
        <w:rPr>
          <w:rFonts w:hint="eastAsia" w:ascii="宋体" w:hAnsi="宋体" w:cs="宋体"/>
          <w:color w:val="auto"/>
          <w:kern w:val="0"/>
          <w:sz w:val="24"/>
          <w:szCs w:val="24"/>
          <w:highlight w:val="none"/>
        </w:rPr>
        <w:br w:type="page"/>
      </w:r>
      <w:bookmarkStart w:id="51" w:name="_Toc31365"/>
      <w:r>
        <w:rPr>
          <w:rFonts w:hint="eastAsia" w:ascii="宋体" w:hAnsi="宋体" w:cs="宋体"/>
          <w:b/>
          <w:bCs/>
          <w:color w:val="auto"/>
          <w:kern w:val="0"/>
          <w:sz w:val="36"/>
          <w:szCs w:val="36"/>
          <w:highlight w:val="none"/>
        </w:rPr>
        <w:t>九、技术/商务响应与偏离表</w:t>
      </w:r>
      <w:bookmarkEnd w:id="51"/>
    </w:p>
    <w:p w14:paraId="7DCA3E41">
      <w:pPr>
        <w:pStyle w:val="190"/>
        <w:wordWrap w:val="0"/>
        <w:spacing w:line="360" w:lineRule="auto"/>
        <w:jc w:val="center"/>
        <w:rPr>
          <w:rFonts w:ascii="宋体" w:hAnsi="宋体" w:cs="宋体"/>
          <w:bCs/>
          <w:color w:val="auto"/>
          <w:sz w:val="21"/>
          <w:szCs w:val="21"/>
          <w:highlight w:val="none"/>
        </w:rPr>
      </w:pPr>
      <w:r>
        <w:rPr>
          <w:rFonts w:hint="eastAsia" w:ascii="宋体" w:hAnsi="宋体" w:cs="宋体"/>
          <w:bCs/>
          <w:color w:val="auto"/>
          <w:sz w:val="21"/>
          <w:szCs w:val="21"/>
          <w:highlight w:val="none"/>
        </w:rPr>
        <w:t>商务偏离表</w:t>
      </w:r>
    </w:p>
    <w:tbl>
      <w:tblPr>
        <w:tblStyle w:val="40"/>
        <w:tblW w:w="87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9"/>
        <w:gridCol w:w="1338"/>
        <w:gridCol w:w="2154"/>
        <w:gridCol w:w="1921"/>
        <w:gridCol w:w="1694"/>
        <w:gridCol w:w="911"/>
      </w:tblGrid>
      <w:tr w14:paraId="5BC140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3" w:hRule="atLeast"/>
          <w:jc w:val="center"/>
        </w:trPr>
        <w:tc>
          <w:tcPr>
            <w:tcW w:w="699" w:type="dxa"/>
            <w:vAlign w:val="center"/>
          </w:tcPr>
          <w:p w14:paraId="3B0D51D7">
            <w:pPr>
              <w:adjustRightInd w:val="0"/>
              <w:snapToGrid w:val="0"/>
              <w:jc w:val="center"/>
              <w:rPr>
                <w:rFonts w:ascii="宋体" w:hAnsi="宋体" w:cs="宋体"/>
                <w:color w:val="auto"/>
                <w:szCs w:val="21"/>
                <w:highlight w:val="none"/>
              </w:rPr>
            </w:pPr>
            <w:r>
              <w:rPr>
                <w:rFonts w:hint="eastAsia" w:ascii="宋体" w:hAnsi="宋体" w:cs="宋体"/>
                <w:color w:val="auto"/>
                <w:szCs w:val="21"/>
                <w:highlight w:val="none"/>
              </w:rPr>
              <w:t>序号</w:t>
            </w:r>
          </w:p>
        </w:tc>
        <w:tc>
          <w:tcPr>
            <w:tcW w:w="1338" w:type="dxa"/>
            <w:vAlign w:val="center"/>
          </w:tcPr>
          <w:p w14:paraId="24581F83">
            <w:pPr>
              <w:adjustRightInd w:val="0"/>
              <w:snapToGrid w:val="0"/>
              <w:jc w:val="center"/>
              <w:rPr>
                <w:rFonts w:ascii="宋体" w:hAnsi="宋体" w:cs="宋体"/>
                <w:color w:val="auto"/>
                <w:szCs w:val="21"/>
                <w:highlight w:val="none"/>
              </w:rPr>
            </w:pPr>
            <w:r>
              <w:rPr>
                <w:rFonts w:hint="eastAsia" w:ascii="宋体" w:hAnsi="宋体" w:cs="宋体"/>
                <w:color w:val="auto"/>
                <w:szCs w:val="21"/>
                <w:highlight w:val="none"/>
              </w:rPr>
              <w:t>招标文件条目号</w:t>
            </w:r>
          </w:p>
        </w:tc>
        <w:tc>
          <w:tcPr>
            <w:tcW w:w="2154" w:type="dxa"/>
            <w:vAlign w:val="center"/>
          </w:tcPr>
          <w:p w14:paraId="58B392A0">
            <w:pPr>
              <w:adjustRightInd w:val="0"/>
              <w:snapToGrid w:val="0"/>
              <w:jc w:val="center"/>
              <w:rPr>
                <w:rFonts w:ascii="宋体" w:hAnsi="宋体" w:cs="宋体"/>
                <w:color w:val="auto"/>
                <w:szCs w:val="21"/>
                <w:highlight w:val="none"/>
              </w:rPr>
            </w:pPr>
            <w:r>
              <w:rPr>
                <w:rFonts w:hint="eastAsia" w:ascii="宋体" w:hAnsi="宋体" w:cs="宋体"/>
                <w:color w:val="auto"/>
                <w:szCs w:val="21"/>
                <w:highlight w:val="none"/>
              </w:rPr>
              <w:t>招标文件要求</w:t>
            </w:r>
          </w:p>
        </w:tc>
        <w:tc>
          <w:tcPr>
            <w:tcW w:w="1921" w:type="dxa"/>
            <w:vAlign w:val="center"/>
          </w:tcPr>
          <w:p w14:paraId="4F66DF0A">
            <w:pPr>
              <w:adjustRightInd w:val="0"/>
              <w:snapToGrid w:val="0"/>
              <w:jc w:val="center"/>
              <w:rPr>
                <w:rFonts w:ascii="宋体" w:hAnsi="宋体" w:cs="宋体"/>
                <w:color w:val="auto"/>
                <w:szCs w:val="21"/>
                <w:highlight w:val="none"/>
              </w:rPr>
            </w:pPr>
            <w:r>
              <w:rPr>
                <w:rFonts w:hint="eastAsia" w:ascii="宋体" w:hAnsi="宋体" w:cs="宋体"/>
                <w:color w:val="auto"/>
                <w:szCs w:val="21"/>
                <w:highlight w:val="none"/>
              </w:rPr>
              <w:t>投标响应内容</w:t>
            </w:r>
          </w:p>
        </w:tc>
        <w:tc>
          <w:tcPr>
            <w:tcW w:w="1694" w:type="dxa"/>
            <w:vAlign w:val="center"/>
          </w:tcPr>
          <w:p w14:paraId="0B7645DD">
            <w:pPr>
              <w:adjustRightInd w:val="0"/>
              <w:snapToGrid w:val="0"/>
              <w:jc w:val="center"/>
              <w:rPr>
                <w:rFonts w:ascii="宋体" w:hAnsi="宋体" w:cs="宋体"/>
                <w:color w:val="auto"/>
                <w:szCs w:val="21"/>
                <w:highlight w:val="none"/>
              </w:rPr>
            </w:pPr>
            <w:r>
              <w:rPr>
                <w:rFonts w:hint="eastAsia" w:ascii="宋体" w:hAnsi="宋体" w:cs="宋体"/>
                <w:color w:val="auto"/>
                <w:szCs w:val="21"/>
                <w:highlight w:val="none"/>
              </w:rPr>
              <w:t>偏离情况</w:t>
            </w:r>
          </w:p>
        </w:tc>
        <w:tc>
          <w:tcPr>
            <w:tcW w:w="911" w:type="dxa"/>
            <w:vAlign w:val="center"/>
          </w:tcPr>
          <w:p w14:paraId="3E070313">
            <w:pPr>
              <w:adjustRightInd w:val="0"/>
              <w:snapToGrid w:val="0"/>
              <w:jc w:val="center"/>
              <w:rPr>
                <w:rFonts w:ascii="宋体" w:hAnsi="宋体" w:cs="宋体"/>
                <w:color w:val="auto"/>
                <w:szCs w:val="21"/>
                <w:highlight w:val="none"/>
              </w:rPr>
            </w:pPr>
            <w:r>
              <w:rPr>
                <w:rFonts w:hint="eastAsia" w:ascii="宋体" w:hAnsi="宋体" w:cs="宋体"/>
                <w:color w:val="auto"/>
                <w:szCs w:val="21"/>
                <w:highlight w:val="none"/>
              </w:rPr>
              <w:t>说明</w:t>
            </w:r>
          </w:p>
        </w:tc>
      </w:tr>
      <w:tr w14:paraId="68EFF3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699" w:type="dxa"/>
            <w:vAlign w:val="center"/>
          </w:tcPr>
          <w:p w14:paraId="5D9ED0FA">
            <w:pPr>
              <w:adjustRightInd w:val="0"/>
              <w:snapToGrid w:val="0"/>
              <w:jc w:val="center"/>
              <w:rPr>
                <w:rFonts w:ascii="宋体" w:hAnsi="宋体" w:cs="宋体"/>
                <w:color w:val="auto"/>
                <w:szCs w:val="21"/>
                <w:highlight w:val="none"/>
              </w:rPr>
            </w:pPr>
          </w:p>
        </w:tc>
        <w:tc>
          <w:tcPr>
            <w:tcW w:w="1338" w:type="dxa"/>
            <w:vAlign w:val="center"/>
          </w:tcPr>
          <w:p w14:paraId="0EF0005C">
            <w:pPr>
              <w:adjustRightInd w:val="0"/>
              <w:snapToGrid w:val="0"/>
              <w:jc w:val="center"/>
              <w:rPr>
                <w:rFonts w:ascii="宋体" w:hAnsi="宋体" w:cs="宋体"/>
                <w:color w:val="auto"/>
                <w:szCs w:val="21"/>
                <w:highlight w:val="none"/>
              </w:rPr>
            </w:pPr>
          </w:p>
        </w:tc>
        <w:tc>
          <w:tcPr>
            <w:tcW w:w="2154" w:type="dxa"/>
            <w:vAlign w:val="center"/>
          </w:tcPr>
          <w:p w14:paraId="2924F471">
            <w:pPr>
              <w:adjustRightInd w:val="0"/>
              <w:snapToGrid w:val="0"/>
              <w:jc w:val="center"/>
              <w:rPr>
                <w:rFonts w:ascii="宋体" w:hAnsi="宋体" w:cs="宋体"/>
                <w:color w:val="auto"/>
                <w:szCs w:val="21"/>
                <w:highlight w:val="none"/>
              </w:rPr>
            </w:pPr>
          </w:p>
        </w:tc>
        <w:tc>
          <w:tcPr>
            <w:tcW w:w="1921" w:type="dxa"/>
            <w:vAlign w:val="center"/>
          </w:tcPr>
          <w:p w14:paraId="40D22F42">
            <w:pPr>
              <w:adjustRightInd w:val="0"/>
              <w:snapToGrid w:val="0"/>
              <w:jc w:val="center"/>
              <w:rPr>
                <w:rFonts w:ascii="宋体" w:hAnsi="宋体" w:cs="宋体"/>
                <w:color w:val="auto"/>
                <w:szCs w:val="21"/>
                <w:highlight w:val="none"/>
              </w:rPr>
            </w:pPr>
          </w:p>
        </w:tc>
        <w:tc>
          <w:tcPr>
            <w:tcW w:w="1694" w:type="dxa"/>
            <w:vAlign w:val="center"/>
          </w:tcPr>
          <w:p w14:paraId="3448B3A0">
            <w:pPr>
              <w:adjustRightInd w:val="0"/>
              <w:snapToGrid w:val="0"/>
              <w:jc w:val="center"/>
              <w:rPr>
                <w:rFonts w:ascii="宋体" w:hAnsi="宋体" w:cs="宋体"/>
                <w:color w:val="auto"/>
                <w:szCs w:val="21"/>
                <w:highlight w:val="none"/>
              </w:rPr>
            </w:pPr>
          </w:p>
        </w:tc>
        <w:tc>
          <w:tcPr>
            <w:tcW w:w="911" w:type="dxa"/>
            <w:vAlign w:val="center"/>
          </w:tcPr>
          <w:p w14:paraId="785F5EA3">
            <w:pPr>
              <w:adjustRightInd w:val="0"/>
              <w:snapToGrid w:val="0"/>
              <w:jc w:val="center"/>
              <w:rPr>
                <w:rFonts w:ascii="宋体" w:hAnsi="宋体" w:cs="宋体"/>
                <w:color w:val="auto"/>
                <w:szCs w:val="21"/>
                <w:highlight w:val="none"/>
              </w:rPr>
            </w:pPr>
          </w:p>
        </w:tc>
      </w:tr>
      <w:tr w14:paraId="530F4C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699" w:type="dxa"/>
            <w:vAlign w:val="center"/>
          </w:tcPr>
          <w:p w14:paraId="039E67D8">
            <w:pPr>
              <w:adjustRightInd w:val="0"/>
              <w:snapToGrid w:val="0"/>
              <w:jc w:val="center"/>
              <w:rPr>
                <w:rFonts w:ascii="宋体" w:hAnsi="宋体" w:cs="宋体"/>
                <w:color w:val="auto"/>
                <w:szCs w:val="21"/>
                <w:highlight w:val="none"/>
              </w:rPr>
            </w:pPr>
          </w:p>
        </w:tc>
        <w:tc>
          <w:tcPr>
            <w:tcW w:w="1338" w:type="dxa"/>
            <w:vAlign w:val="center"/>
          </w:tcPr>
          <w:p w14:paraId="508BC19F">
            <w:pPr>
              <w:adjustRightInd w:val="0"/>
              <w:snapToGrid w:val="0"/>
              <w:jc w:val="center"/>
              <w:rPr>
                <w:rFonts w:ascii="宋体" w:hAnsi="宋体" w:cs="宋体"/>
                <w:color w:val="auto"/>
                <w:szCs w:val="21"/>
                <w:highlight w:val="none"/>
              </w:rPr>
            </w:pPr>
          </w:p>
        </w:tc>
        <w:tc>
          <w:tcPr>
            <w:tcW w:w="2154" w:type="dxa"/>
            <w:vAlign w:val="center"/>
          </w:tcPr>
          <w:p w14:paraId="7E50D288">
            <w:pPr>
              <w:adjustRightInd w:val="0"/>
              <w:snapToGrid w:val="0"/>
              <w:jc w:val="center"/>
              <w:rPr>
                <w:rFonts w:ascii="宋体" w:hAnsi="宋体" w:cs="宋体"/>
                <w:color w:val="auto"/>
                <w:szCs w:val="21"/>
                <w:highlight w:val="none"/>
              </w:rPr>
            </w:pPr>
          </w:p>
        </w:tc>
        <w:tc>
          <w:tcPr>
            <w:tcW w:w="1921" w:type="dxa"/>
            <w:vAlign w:val="center"/>
          </w:tcPr>
          <w:p w14:paraId="4B07A5CB">
            <w:pPr>
              <w:adjustRightInd w:val="0"/>
              <w:snapToGrid w:val="0"/>
              <w:jc w:val="center"/>
              <w:rPr>
                <w:rFonts w:ascii="宋体" w:hAnsi="宋体" w:cs="宋体"/>
                <w:color w:val="auto"/>
                <w:szCs w:val="21"/>
                <w:highlight w:val="none"/>
              </w:rPr>
            </w:pPr>
          </w:p>
        </w:tc>
        <w:tc>
          <w:tcPr>
            <w:tcW w:w="1694" w:type="dxa"/>
            <w:vAlign w:val="center"/>
          </w:tcPr>
          <w:p w14:paraId="312DED9C">
            <w:pPr>
              <w:adjustRightInd w:val="0"/>
              <w:snapToGrid w:val="0"/>
              <w:jc w:val="center"/>
              <w:rPr>
                <w:rFonts w:ascii="宋体" w:hAnsi="宋体" w:cs="宋体"/>
                <w:color w:val="auto"/>
                <w:szCs w:val="21"/>
                <w:highlight w:val="none"/>
              </w:rPr>
            </w:pPr>
          </w:p>
        </w:tc>
        <w:tc>
          <w:tcPr>
            <w:tcW w:w="911" w:type="dxa"/>
            <w:vAlign w:val="center"/>
          </w:tcPr>
          <w:p w14:paraId="285AF6BD">
            <w:pPr>
              <w:adjustRightInd w:val="0"/>
              <w:snapToGrid w:val="0"/>
              <w:jc w:val="center"/>
              <w:rPr>
                <w:rFonts w:ascii="宋体" w:hAnsi="宋体" w:cs="宋体"/>
                <w:color w:val="auto"/>
                <w:szCs w:val="21"/>
                <w:highlight w:val="none"/>
              </w:rPr>
            </w:pPr>
          </w:p>
        </w:tc>
      </w:tr>
      <w:tr w14:paraId="4FDE1D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699" w:type="dxa"/>
            <w:vAlign w:val="center"/>
          </w:tcPr>
          <w:p w14:paraId="5697882B">
            <w:pPr>
              <w:adjustRightInd w:val="0"/>
              <w:snapToGrid w:val="0"/>
              <w:jc w:val="center"/>
              <w:rPr>
                <w:rFonts w:ascii="宋体" w:hAnsi="宋体" w:cs="宋体"/>
                <w:color w:val="auto"/>
                <w:szCs w:val="21"/>
                <w:highlight w:val="none"/>
              </w:rPr>
            </w:pPr>
          </w:p>
        </w:tc>
        <w:tc>
          <w:tcPr>
            <w:tcW w:w="1338" w:type="dxa"/>
            <w:vAlign w:val="center"/>
          </w:tcPr>
          <w:p w14:paraId="4E5D00AB">
            <w:pPr>
              <w:adjustRightInd w:val="0"/>
              <w:snapToGrid w:val="0"/>
              <w:jc w:val="center"/>
              <w:rPr>
                <w:rFonts w:ascii="宋体" w:hAnsi="宋体" w:cs="宋体"/>
                <w:color w:val="auto"/>
                <w:szCs w:val="21"/>
                <w:highlight w:val="none"/>
              </w:rPr>
            </w:pPr>
          </w:p>
        </w:tc>
        <w:tc>
          <w:tcPr>
            <w:tcW w:w="2154" w:type="dxa"/>
            <w:vAlign w:val="center"/>
          </w:tcPr>
          <w:p w14:paraId="55744666">
            <w:pPr>
              <w:adjustRightInd w:val="0"/>
              <w:snapToGrid w:val="0"/>
              <w:jc w:val="center"/>
              <w:rPr>
                <w:rFonts w:ascii="宋体" w:hAnsi="宋体" w:cs="宋体"/>
                <w:color w:val="auto"/>
                <w:szCs w:val="21"/>
                <w:highlight w:val="none"/>
              </w:rPr>
            </w:pPr>
          </w:p>
        </w:tc>
        <w:tc>
          <w:tcPr>
            <w:tcW w:w="1921" w:type="dxa"/>
            <w:vAlign w:val="center"/>
          </w:tcPr>
          <w:p w14:paraId="67BF5144">
            <w:pPr>
              <w:adjustRightInd w:val="0"/>
              <w:snapToGrid w:val="0"/>
              <w:jc w:val="center"/>
              <w:rPr>
                <w:rFonts w:ascii="宋体" w:hAnsi="宋体" w:cs="宋体"/>
                <w:color w:val="auto"/>
                <w:szCs w:val="21"/>
                <w:highlight w:val="none"/>
              </w:rPr>
            </w:pPr>
          </w:p>
        </w:tc>
        <w:tc>
          <w:tcPr>
            <w:tcW w:w="1694" w:type="dxa"/>
            <w:vAlign w:val="center"/>
          </w:tcPr>
          <w:p w14:paraId="048AC67E">
            <w:pPr>
              <w:adjustRightInd w:val="0"/>
              <w:snapToGrid w:val="0"/>
              <w:jc w:val="center"/>
              <w:rPr>
                <w:rFonts w:ascii="宋体" w:hAnsi="宋体" w:cs="宋体"/>
                <w:color w:val="auto"/>
                <w:szCs w:val="21"/>
                <w:highlight w:val="none"/>
              </w:rPr>
            </w:pPr>
          </w:p>
        </w:tc>
        <w:tc>
          <w:tcPr>
            <w:tcW w:w="911" w:type="dxa"/>
            <w:vAlign w:val="center"/>
          </w:tcPr>
          <w:p w14:paraId="73A326F9">
            <w:pPr>
              <w:adjustRightInd w:val="0"/>
              <w:snapToGrid w:val="0"/>
              <w:jc w:val="center"/>
              <w:rPr>
                <w:rFonts w:ascii="宋体" w:hAnsi="宋体" w:cs="宋体"/>
                <w:color w:val="auto"/>
                <w:szCs w:val="21"/>
                <w:highlight w:val="none"/>
              </w:rPr>
            </w:pPr>
          </w:p>
        </w:tc>
      </w:tr>
      <w:tr w14:paraId="5D3BFC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699" w:type="dxa"/>
            <w:vAlign w:val="center"/>
          </w:tcPr>
          <w:p w14:paraId="2086F939">
            <w:pPr>
              <w:adjustRightInd w:val="0"/>
              <w:snapToGrid w:val="0"/>
              <w:jc w:val="center"/>
              <w:rPr>
                <w:rFonts w:ascii="宋体" w:hAnsi="宋体" w:cs="宋体"/>
                <w:color w:val="auto"/>
                <w:szCs w:val="21"/>
                <w:highlight w:val="none"/>
              </w:rPr>
            </w:pPr>
          </w:p>
        </w:tc>
        <w:tc>
          <w:tcPr>
            <w:tcW w:w="1338" w:type="dxa"/>
            <w:vAlign w:val="center"/>
          </w:tcPr>
          <w:p w14:paraId="2D11CF08">
            <w:pPr>
              <w:adjustRightInd w:val="0"/>
              <w:snapToGrid w:val="0"/>
              <w:jc w:val="center"/>
              <w:rPr>
                <w:rFonts w:ascii="宋体" w:hAnsi="宋体" w:cs="宋体"/>
                <w:color w:val="auto"/>
                <w:szCs w:val="21"/>
                <w:highlight w:val="none"/>
              </w:rPr>
            </w:pPr>
          </w:p>
        </w:tc>
        <w:tc>
          <w:tcPr>
            <w:tcW w:w="2154" w:type="dxa"/>
            <w:vAlign w:val="center"/>
          </w:tcPr>
          <w:p w14:paraId="03E64874">
            <w:pPr>
              <w:adjustRightInd w:val="0"/>
              <w:snapToGrid w:val="0"/>
              <w:jc w:val="center"/>
              <w:rPr>
                <w:rFonts w:ascii="宋体" w:hAnsi="宋体" w:cs="宋体"/>
                <w:color w:val="auto"/>
                <w:szCs w:val="21"/>
                <w:highlight w:val="none"/>
              </w:rPr>
            </w:pPr>
          </w:p>
        </w:tc>
        <w:tc>
          <w:tcPr>
            <w:tcW w:w="1921" w:type="dxa"/>
            <w:vAlign w:val="center"/>
          </w:tcPr>
          <w:p w14:paraId="05BCF7EE">
            <w:pPr>
              <w:adjustRightInd w:val="0"/>
              <w:snapToGrid w:val="0"/>
              <w:jc w:val="center"/>
              <w:rPr>
                <w:rFonts w:ascii="宋体" w:hAnsi="宋体" w:cs="宋体"/>
                <w:color w:val="auto"/>
                <w:szCs w:val="21"/>
                <w:highlight w:val="none"/>
              </w:rPr>
            </w:pPr>
          </w:p>
        </w:tc>
        <w:tc>
          <w:tcPr>
            <w:tcW w:w="1694" w:type="dxa"/>
            <w:vAlign w:val="center"/>
          </w:tcPr>
          <w:p w14:paraId="337A52D6">
            <w:pPr>
              <w:adjustRightInd w:val="0"/>
              <w:snapToGrid w:val="0"/>
              <w:jc w:val="center"/>
              <w:rPr>
                <w:rFonts w:ascii="宋体" w:hAnsi="宋体" w:cs="宋体"/>
                <w:color w:val="auto"/>
                <w:szCs w:val="21"/>
                <w:highlight w:val="none"/>
              </w:rPr>
            </w:pPr>
          </w:p>
        </w:tc>
        <w:tc>
          <w:tcPr>
            <w:tcW w:w="911" w:type="dxa"/>
            <w:vAlign w:val="center"/>
          </w:tcPr>
          <w:p w14:paraId="6B9619A0">
            <w:pPr>
              <w:adjustRightInd w:val="0"/>
              <w:snapToGrid w:val="0"/>
              <w:jc w:val="center"/>
              <w:rPr>
                <w:rFonts w:ascii="宋体" w:hAnsi="宋体" w:cs="宋体"/>
                <w:color w:val="auto"/>
                <w:szCs w:val="21"/>
                <w:highlight w:val="none"/>
              </w:rPr>
            </w:pPr>
          </w:p>
        </w:tc>
      </w:tr>
      <w:tr w14:paraId="31677C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699" w:type="dxa"/>
            <w:vAlign w:val="center"/>
          </w:tcPr>
          <w:p w14:paraId="4EB4AD9E">
            <w:pPr>
              <w:adjustRightInd w:val="0"/>
              <w:snapToGrid w:val="0"/>
              <w:jc w:val="center"/>
              <w:rPr>
                <w:rFonts w:ascii="宋体" w:hAnsi="宋体" w:cs="宋体"/>
                <w:color w:val="auto"/>
                <w:szCs w:val="21"/>
                <w:highlight w:val="none"/>
              </w:rPr>
            </w:pPr>
          </w:p>
        </w:tc>
        <w:tc>
          <w:tcPr>
            <w:tcW w:w="1338" w:type="dxa"/>
            <w:vAlign w:val="center"/>
          </w:tcPr>
          <w:p w14:paraId="0363B88C">
            <w:pPr>
              <w:adjustRightInd w:val="0"/>
              <w:snapToGrid w:val="0"/>
              <w:jc w:val="center"/>
              <w:rPr>
                <w:rFonts w:ascii="宋体" w:hAnsi="宋体" w:cs="宋体"/>
                <w:color w:val="auto"/>
                <w:szCs w:val="21"/>
                <w:highlight w:val="none"/>
              </w:rPr>
            </w:pPr>
          </w:p>
        </w:tc>
        <w:tc>
          <w:tcPr>
            <w:tcW w:w="2154" w:type="dxa"/>
            <w:vAlign w:val="center"/>
          </w:tcPr>
          <w:p w14:paraId="282C4623">
            <w:pPr>
              <w:adjustRightInd w:val="0"/>
              <w:snapToGrid w:val="0"/>
              <w:jc w:val="center"/>
              <w:rPr>
                <w:rFonts w:ascii="宋体" w:hAnsi="宋体" w:cs="宋体"/>
                <w:color w:val="auto"/>
                <w:szCs w:val="21"/>
                <w:highlight w:val="none"/>
              </w:rPr>
            </w:pPr>
          </w:p>
        </w:tc>
        <w:tc>
          <w:tcPr>
            <w:tcW w:w="1921" w:type="dxa"/>
            <w:vAlign w:val="center"/>
          </w:tcPr>
          <w:p w14:paraId="32BB0BC9">
            <w:pPr>
              <w:adjustRightInd w:val="0"/>
              <w:snapToGrid w:val="0"/>
              <w:jc w:val="center"/>
              <w:rPr>
                <w:rFonts w:ascii="宋体" w:hAnsi="宋体" w:cs="宋体"/>
                <w:color w:val="auto"/>
                <w:szCs w:val="21"/>
                <w:highlight w:val="none"/>
              </w:rPr>
            </w:pPr>
          </w:p>
        </w:tc>
        <w:tc>
          <w:tcPr>
            <w:tcW w:w="1694" w:type="dxa"/>
            <w:vAlign w:val="center"/>
          </w:tcPr>
          <w:p w14:paraId="19D3A7FE">
            <w:pPr>
              <w:adjustRightInd w:val="0"/>
              <w:snapToGrid w:val="0"/>
              <w:jc w:val="center"/>
              <w:rPr>
                <w:rFonts w:ascii="宋体" w:hAnsi="宋体" w:cs="宋体"/>
                <w:color w:val="auto"/>
                <w:szCs w:val="21"/>
                <w:highlight w:val="none"/>
              </w:rPr>
            </w:pPr>
          </w:p>
        </w:tc>
        <w:tc>
          <w:tcPr>
            <w:tcW w:w="911" w:type="dxa"/>
            <w:vAlign w:val="center"/>
          </w:tcPr>
          <w:p w14:paraId="41651FB7">
            <w:pPr>
              <w:adjustRightInd w:val="0"/>
              <w:snapToGrid w:val="0"/>
              <w:jc w:val="center"/>
              <w:rPr>
                <w:rFonts w:ascii="宋体" w:hAnsi="宋体" w:cs="宋体"/>
                <w:color w:val="auto"/>
                <w:szCs w:val="21"/>
                <w:highlight w:val="none"/>
              </w:rPr>
            </w:pPr>
          </w:p>
        </w:tc>
      </w:tr>
      <w:tr w14:paraId="7C1BE4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699" w:type="dxa"/>
            <w:vAlign w:val="center"/>
          </w:tcPr>
          <w:p w14:paraId="3B25FB7D">
            <w:pPr>
              <w:adjustRightInd w:val="0"/>
              <w:snapToGrid w:val="0"/>
              <w:jc w:val="center"/>
              <w:rPr>
                <w:rFonts w:ascii="宋体" w:hAnsi="宋体" w:cs="宋体"/>
                <w:color w:val="auto"/>
                <w:szCs w:val="21"/>
                <w:highlight w:val="none"/>
              </w:rPr>
            </w:pPr>
          </w:p>
        </w:tc>
        <w:tc>
          <w:tcPr>
            <w:tcW w:w="1338" w:type="dxa"/>
            <w:vAlign w:val="center"/>
          </w:tcPr>
          <w:p w14:paraId="39749D55">
            <w:pPr>
              <w:adjustRightInd w:val="0"/>
              <w:snapToGrid w:val="0"/>
              <w:jc w:val="center"/>
              <w:rPr>
                <w:rFonts w:ascii="宋体" w:hAnsi="宋体" w:cs="宋体"/>
                <w:color w:val="auto"/>
                <w:szCs w:val="21"/>
                <w:highlight w:val="none"/>
              </w:rPr>
            </w:pPr>
          </w:p>
        </w:tc>
        <w:tc>
          <w:tcPr>
            <w:tcW w:w="2154" w:type="dxa"/>
            <w:vAlign w:val="center"/>
          </w:tcPr>
          <w:p w14:paraId="6893644A">
            <w:pPr>
              <w:adjustRightInd w:val="0"/>
              <w:snapToGrid w:val="0"/>
              <w:jc w:val="center"/>
              <w:rPr>
                <w:rFonts w:ascii="宋体" w:hAnsi="宋体" w:cs="宋体"/>
                <w:color w:val="auto"/>
                <w:szCs w:val="21"/>
                <w:highlight w:val="none"/>
              </w:rPr>
            </w:pPr>
          </w:p>
        </w:tc>
        <w:tc>
          <w:tcPr>
            <w:tcW w:w="1921" w:type="dxa"/>
            <w:vAlign w:val="center"/>
          </w:tcPr>
          <w:p w14:paraId="57CF5D28">
            <w:pPr>
              <w:adjustRightInd w:val="0"/>
              <w:snapToGrid w:val="0"/>
              <w:jc w:val="center"/>
              <w:rPr>
                <w:rFonts w:ascii="宋体" w:hAnsi="宋体" w:cs="宋体"/>
                <w:color w:val="auto"/>
                <w:szCs w:val="21"/>
                <w:highlight w:val="none"/>
              </w:rPr>
            </w:pPr>
          </w:p>
        </w:tc>
        <w:tc>
          <w:tcPr>
            <w:tcW w:w="1694" w:type="dxa"/>
            <w:vAlign w:val="center"/>
          </w:tcPr>
          <w:p w14:paraId="4D1E80B5">
            <w:pPr>
              <w:adjustRightInd w:val="0"/>
              <w:snapToGrid w:val="0"/>
              <w:jc w:val="center"/>
              <w:rPr>
                <w:rFonts w:ascii="宋体" w:hAnsi="宋体" w:cs="宋体"/>
                <w:color w:val="auto"/>
                <w:szCs w:val="21"/>
                <w:highlight w:val="none"/>
              </w:rPr>
            </w:pPr>
          </w:p>
        </w:tc>
        <w:tc>
          <w:tcPr>
            <w:tcW w:w="911" w:type="dxa"/>
            <w:vAlign w:val="center"/>
          </w:tcPr>
          <w:p w14:paraId="4C02642A">
            <w:pPr>
              <w:adjustRightInd w:val="0"/>
              <w:snapToGrid w:val="0"/>
              <w:jc w:val="center"/>
              <w:rPr>
                <w:rFonts w:ascii="宋体" w:hAnsi="宋体" w:cs="宋体"/>
                <w:color w:val="auto"/>
                <w:szCs w:val="21"/>
                <w:highlight w:val="none"/>
              </w:rPr>
            </w:pPr>
          </w:p>
        </w:tc>
      </w:tr>
    </w:tbl>
    <w:p w14:paraId="624B974A">
      <w:pPr>
        <w:pStyle w:val="190"/>
        <w:wordWrap w:val="0"/>
        <w:spacing w:line="360" w:lineRule="auto"/>
        <w:jc w:val="center"/>
        <w:rPr>
          <w:rFonts w:ascii="宋体" w:hAnsi="宋体" w:cs="宋体"/>
          <w:bCs/>
          <w:color w:val="auto"/>
          <w:sz w:val="21"/>
          <w:szCs w:val="21"/>
          <w:highlight w:val="none"/>
        </w:rPr>
      </w:pPr>
    </w:p>
    <w:p w14:paraId="081D5DFC">
      <w:pPr>
        <w:wordWrap w:val="0"/>
        <w:adjustRightInd w:val="0"/>
        <w:spacing w:line="360" w:lineRule="auto"/>
        <w:rPr>
          <w:rFonts w:ascii="宋体" w:hAnsi="宋体" w:cs="宋体"/>
          <w:color w:val="auto"/>
          <w:szCs w:val="21"/>
          <w:highlight w:val="none"/>
        </w:rPr>
      </w:pPr>
    </w:p>
    <w:p w14:paraId="596E3544">
      <w:pPr>
        <w:pStyle w:val="89"/>
        <w:wordWrap w:val="0"/>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投标人名称（盖单位章）：</w:t>
      </w:r>
    </w:p>
    <w:p w14:paraId="62E5A3E3">
      <w:pPr>
        <w:pStyle w:val="89"/>
        <w:wordWrap w:val="0"/>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法定代表人或其委托代理人签字或盖章：</w:t>
      </w:r>
    </w:p>
    <w:p w14:paraId="2447AA56">
      <w:pPr>
        <w:wordWrap w:val="0"/>
        <w:adjustRightInd w:val="0"/>
        <w:spacing w:line="440" w:lineRule="exact"/>
        <w:jc w:val="left"/>
        <w:rPr>
          <w:rFonts w:ascii="宋体" w:hAnsi="宋体" w:cs="宋体"/>
          <w:color w:val="auto"/>
          <w:szCs w:val="21"/>
          <w:highlight w:val="none"/>
        </w:rPr>
      </w:pPr>
      <w:r>
        <w:rPr>
          <w:rFonts w:hint="eastAsia" w:ascii="宋体" w:hAnsi="宋体" w:cs="宋体"/>
          <w:color w:val="auto"/>
          <w:szCs w:val="21"/>
          <w:highlight w:val="none"/>
        </w:rPr>
        <w:t>日期：</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w:t>
      </w:r>
    </w:p>
    <w:p w14:paraId="4201697F">
      <w:pPr>
        <w:wordWrap w:val="0"/>
        <w:adjustRightInd w:val="0"/>
        <w:spacing w:line="360" w:lineRule="auto"/>
        <w:jc w:val="right"/>
        <w:rPr>
          <w:rFonts w:ascii="宋体" w:hAnsi="宋体" w:cs="宋体"/>
          <w:color w:val="auto"/>
          <w:szCs w:val="21"/>
          <w:highlight w:val="none"/>
        </w:rPr>
      </w:pPr>
    </w:p>
    <w:p w14:paraId="2B2D556B">
      <w:pPr>
        <w:wordWrap w:val="0"/>
        <w:adjustRightInd w:val="0"/>
        <w:spacing w:line="360" w:lineRule="auto"/>
        <w:jc w:val="right"/>
        <w:rPr>
          <w:rFonts w:ascii="宋体" w:hAnsi="宋体" w:cs="宋体"/>
          <w:color w:val="auto"/>
          <w:szCs w:val="21"/>
          <w:highlight w:val="none"/>
        </w:rPr>
      </w:pPr>
    </w:p>
    <w:p w14:paraId="2C873DA3">
      <w:pPr>
        <w:wordWrap w:val="0"/>
        <w:adjustRightInd w:val="0"/>
        <w:spacing w:line="360" w:lineRule="auto"/>
        <w:rPr>
          <w:rFonts w:ascii="宋体" w:hAnsi="宋体" w:cs="宋体"/>
          <w:color w:val="auto"/>
          <w:szCs w:val="21"/>
          <w:highlight w:val="none"/>
        </w:rPr>
      </w:pPr>
      <w:r>
        <w:rPr>
          <w:rFonts w:hint="eastAsia" w:ascii="宋体" w:hAnsi="宋体" w:cs="宋体"/>
          <w:color w:val="auto"/>
          <w:szCs w:val="21"/>
          <w:highlight w:val="none"/>
        </w:rPr>
        <w:t>注：</w:t>
      </w:r>
    </w:p>
    <w:p w14:paraId="6A7F43EE">
      <w:pPr>
        <w:wordWrap w:val="0"/>
        <w:adjustRightInd w:val="0"/>
        <w:spacing w:line="360" w:lineRule="auto"/>
        <w:rPr>
          <w:rFonts w:ascii="宋体" w:hAnsi="宋体" w:cs="宋体"/>
          <w:color w:val="auto"/>
          <w:szCs w:val="21"/>
          <w:highlight w:val="none"/>
        </w:rPr>
      </w:pPr>
      <w:r>
        <w:rPr>
          <w:rFonts w:hint="eastAsia" w:ascii="宋体" w:hAnsi="宋体" w:cs="宋体"/>
          <w:color w:val="auto"/>
          <w:szCs w:val="21"/>
          <w:highlight w:val="none"/>
        </w:rPr>
        <w:t>1.投标人要将投标文件和招标文件在商务部分的差异之处汇集成表。此表中若无任何文字说明，内容为空白，投标无效。</w:t>
      </w:r>
    </w:p>
    <w:p w14:paraId="32263B18">
      <w:pPr>
        <w:wordWrap w:val="0"/>
        <w:adjustRightInd w:val="0"/>
        <w:spacing w:line="360" w:lineRule="auto"/>
        <w:rPr>
          <w:rFonts w:ascii="宋体" w:hAnsi="宋体" w:cs="宋体"/>
          <w:color w:val="auto"/>
          <w:szCs w:val="21"/>
          <w:highlight w:val="none"/>
        </w:rPr>
      </w:pPr>
      <w:r>
        <w:rPr>
          <w:rFonts w:hint="eastAsia" w:ascii="宋体" w:hAnsi="宋体" w:cs="宋体"/>
          <w:color w:val="auto"/>
          <w:szCs w:val="21"/>
          <w:highlight w:val="none"/>
        </w:rPr>
        <w:t>2.“偏离情况”列应据实填写“正偏离”或“负偏离”或“无偏离”。</w:t>
      </w:r>
    </w:p>
    <w:p w14:paraId="1917A1B1">
      <w:pPr>
        <w:pStyle w:val="6"/>
        <w:wordWrap w:val="0"/>
        <w:spacing w:line="360" w:lineRule="auto"/>
        <w:ind w:firstLine="0"/>
        <w:rPr>
          <w:rFonts w:ascii="宋体" w:hAnsi="宋体" w:cs="宋体"/>
          <w:color w:val="auto"/>
          <w:sz w:val="21"/>
          <w:szCs w:val="21"/>
          <w:highlight w:val="none"/>
        </w:rPr>
      </w:pPr>
    </w:p>
    <w:p w14:paraId="16407906">
      <w:pPr>
        <w:pStyle w:val="190"/>
        <w:wordWrap w:val="0"/>
        <w:spacing w:line="360" w:lineRule="auto"/>
        <w:jc w:val="center"/>
        <w:rPr>
          <w:rFonts w:ascii="宋体" w:hAnsi="宋体" w:cs="宋体"/>
          <w:bCs/>
          <w:color w:val="auto"/>
          <w:sz w:val="21"/>
          <w:szCs w:val="21"/>
          <w:highlight w:val="none"/>
        </w:rPr>
      </w:pPr>
      <w:r>
        <w:rPr>
          <w:rFonts w:hint="eastAsia" w:ascii="宋体" w:hAnsi="宋体" w:cs="宋体"/>
          <w:bCs/>
          <w:color w:val="auto"/>
          <w:sz w:val="32"/>
          <w:szCs w:val="32"/>
          <w:highlight w:val="none"/>
        </w:rPr>
        <w:br w:type="page"/>
      </w:r>
      <w:r>
        <w:rPr>
          <w:rFonts w:hint="eastAsia" w:ascii="宋体" w:hAnsi="宋体" w:cs="宋体"/>
          <w:bCs/>
          <w:color w:val="auto"/>
          <w:sz w:val="21"/>
          <w:szCs w:val="21"/>
          <w:highlight w:val="none"/>
        </w:rPr>
        <w:t>技术条款偏离表</w:t>
      </w:r>
    </w:p>
    <w:tbl>
      <w:tblPr>
        <w:tblStyle w:val="40"/>
        <w:tblW w:w="87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9"/>
        <w:gridCol w:w="1338"/>
        <w:gridCol w:w="2154"/>
        <w:gridCol w:w="1921"/>
        <w:gridCol w:w="1694"/>
        <w:gridCol w:w="911"/>
      </w:tblGrid>
      <w:tr w14:paraId="3F9E57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3" w:hRule="atLeast"/>
          <w:jc w:val="center"/>
        </w:trPr>
        <w:tc>
          <w:tcPr>
            <w:tcW w:w="699" w:type="dxa"/>
            <w:vAlign w:val="center"/>
          </w:tcPr>
          <w:p w14:paraId="1346329C">
            <w:pPr>
              <w:adjustRightInd w:val="0"/>
              <w:snapToGrid w:val="0"/>
              <w:jc w:val="center"/>
              <w:rPr>
                <w:rFonts w:ascii="宋体" w:hAnsi="宋体" w:cs="宋体"/>
                <w:color w:val="auto"/>
                <w:szCs w:val="21"/>
                <w:highlight w:val="none"/>
              </w:rPr>
            </w:pPr>
            <w:r>
              <w:rPr>
                <w:rFonts w:hint="eastAsia" w:ascii="宋体" w:hAnsi="宋体" w:cs="宋体"/>
                <w:color w:val="auto"/>
                <w:szCs w:val="21"/>
                <w:highlight w:val="none"/>
              </w:rPr>
              <w:t>序号</w:t>
            </w:r>
          </w:p>
        </w:tc>
        <w:tc>
          <w:tcPr>
            <w:tcW w:w="1338" w:type="dxa"/>
            <w:vAlign w:val="center"/>
          </w:tcPr>
          <w:p w14:paraId="6761B25D">
            <w:pPr>
              <w:adjustRightInd w:val="0"/>
              <w:snapToGrid w:val="0"/>
              <w:jc w:val="center"/>
              <w:rPr>
                <w:rFonts w:ascii="宋体" w:hAnsi="宋体" w:cs="宋体"/>
                <w:color w:val="auto"/>
                <w:szCs w:val="21"/>
                <w:highlight w:val="none"/>
              </w:rPr>
            </w:pPr>
            <w:r>
              <w:rPr>
                <w:rFonts w:hint="eastAsia" w:ascii="宋体" w:hAnsi="宋体" w:cs="宋体"/>
                <w:color w:val="auto"/>
                <w:szCs w:val="21"/>
                <w:highlight w:val="none"/>
              </w:rPr>
              <w:t>招标文件条目号</w:t>
            </w:r>
          </w:p>
        </w:tc>
        <w:tc>
          <w:tcPr>
            <w:tcW w:w="2154" w:type="dxa"/>
            <w:vAlign w:val="center"/>
          </w:tcPr>
          <w:p w14:paraId="2BCAD5EE">
            <w:pPr>
              <w:adjustRightInd w:val="0"/>
              <w:snapToGrid w:val="0"/>
              <w:jc w:val="center"/>
              <w:rPr>
                <w:rFonts w:ascii="宋体" w:hAnsi="宋体" w:cs="宋体"/>
                <w:color w:val="auto"/>
                <w:szCs w:val="21"/>
                <w:highlight w:val="none"/>
              </w:rPr>
            </w:pPr>
            <w:r>
              <w:rPr>
                <w:rFonts w:hint="eastAsia" w:ascii="宋体" w:hAnsi="宋体" w:cs="宋体"/>
                <w:color w:val="auto"/>
                <w:szCs w:val="21"/>
                <w:highlight w:val="none"/>
              </w:rPr>
              <w:t>招标文件要求</w:t>
            </w:r>
          </w:p>
        </w:tc>
        <w:tc>
          <w:tcPr>
            <w:tcW w:w="1921" w:type="dxa"/>
            <w:vAlign w:val="center"/>
          </w:tcPr>
          <w:p w14:paraId="08CB312D">
            <w:pPr>
              <w:adjustRightInd w:val="0"/>
              <w:snapToGrid w:val="0"/>
              <w:jc w:val="center"/>
              <w:rPr>
                <w:rFonts w:ascii="宋体" w:hAnsi="宋体" w:cs="宋体"/>
                <w:color w:val="auto"/>
                <w:szCs w:val="21"/>
                <w:highlight w:val="none"/>
              </w:rPr>
            </w:pPr>
            <w:r>
              <w:rPr>
                <w:rFonts w:hint="eastAsia" w:ascii="宋体" w:hAnsi="宋体" w:cs="宋体"/>
                <w:color w:val="auto"/>
                <w:szCs w:val="21"/>
                <w:highlight w:val="none"/>
              </w:rPr>
              <w:t>投标响应内容</w:t>
            </w:r>
          </w:p>
        </w:tc>
        <w:tc>
          <w:tcPr>
            <w:tcW w:w="1694" w:type="dxa"/>
            <w:vAlign w:val="center"/>
          </w:tcPr>
          <w:p w14:paraId="49D51777">
            <w:pPr>
              <w:adjustRightInd w:val="0"/>
              <w:snapToGrid w:val="0"/>
              <w:jc w:val="center"/>
              <w:rPr>
                <w:rFonts w:ascii="宋体" w:hAnsi="宋体" w:cs="宋体"/>
                <w:color w:val="auto"/>
                <w:szCs w:val="21"/>
                <w:highlight w:val="none"/>
              </w:rPr>
            </w:pPr>
            <w:r>
              <w:rPr>
                <w:rFonts w:hint="eastAsia" w:ascii="宋体" w:hAnsi="宋体" w:cs="宋体"/>
                <w:color w:val="auto"/>
                <w:szCs w:val="21"/>
                <w:highlight w:val="none"/>
              </w:rPr>
              <w:t>偏离情况</w:t>
            </w:r>
          </w:p>
        </w:tc>
        <w:tc>
          <w:tcPr>
            <w:tcW w:w="911" w:type="dxa"/>
            <w:vAlign w:val="center"/>
          </w:tcPr>
          <w:p w14:paraId="468F3259">
            <w:pPr>
              <w:adjustRightInd w:val="0"/>
              <w:snapToGrid w:val="0"/>
              <w:jc w:val="center"/>
              <w:rPr>
                <w:rFonts w:ascii="宋体" w:hAnsi="宋体" w:cs="宋体"/>
                <w:color w:val="auto"/>
                <w:szCs w:val="21"/>
                <w:highlight w:val="none"/>
              </w:rPr>
            </w:pPr>
            <w:r>
              <w:rPr>
                <w:rFonts w:hint="eastAsia" w:ascii="宋体" w:hAnsi="宋体" w:cs="宋体"/>
                <w:color w:val="auto"/>
                <w:szCs w:val="21"/>
                <w:highlight w:val="none"/>
              </w:rPr>
              <w:t>说明</w:t>
            </w:r>
          </w:p>
        </w:tc>
      </w:tr>
      <w:tr w14:paraId="21E4E5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699" w:type="dxa"/>
            <w:vAlign w:val="center"/>
          </w:tcPr>
          <w:p w14:paraId="533ACF10">
            <w:pPr>
              <w:adjustRightInd w:val="0"/>
              <w:snapToGrid w:val="0"/>
              <w:jc w:val="center"/>
              <w:rPr>
                <w:rFonts w:ascii="宋体" w:hAnsi="宋体" w:cs="宋体"/>
                <w:color w:val="auto"/>
                <w:szCs w:val="21"/>
                <w:highlight w:val="none"/>
              </w:rPr>
            </w:pPr>
          </w:p>
        </w:tc>
        <w:tc>
          <w:tcPr>
            <w:tcW w:w="1338" w:type="dxa"/>
            <w:vAlign w:val="center"/>
          </w:tcPr>
          <w:p w14:paraId="69398D0B">
            <w:pPr>
              <w:adjustRightInd w:val="0"/>
              <w:snapToGrid w:val="0"/>
              <w:jc w:val="center"/>
              <w:rPr>
                <w:rFonts w:ascii="宋体" w:hAnsi="宋体" w:cs="宋体"/>
                <w:color w:val="auto"/>
                <w:szCs w:val="21"/>
                <w:highlight w:val="none"/>
              </w:rPr>
            </w:pPr>
          </w:p>
        </w:tc>
        <w:tc>
          <w:tcPr>
            <w:tcW w:w="2154" w:type="dxa"/>
            <w:vAlign w:val="center"/>
          </w:tcPr>
          <w:p w14:paraId="27F87153">
            <w:pPr>
              <w:adjustRightInd w:val="0"/>
              <w:snapToGrid w:val="0"/>
              <w:jc w:val="center"/>
              <w:rPr>
                <w:rFonts w:ascii="宋体" w:hAnsi="宋体" w:cs="宋体"/>
                <w:color w:val="auto"/>
                <w:szCs w:val="21"/>
                <w:highlight w:val="none"/>
              </w:rPr>
            </w:pPr>
          </w:p>
        </w:tc>
        <w:tc>
          <w:tcPr>
            <w:tcW w:w="1921" w:type="dxa"/>
            <w:vAlign w:val="center"/>
          </w:tcPr>
          <w:p w14:paraId="11B6DE9A">
            <w:pPr>
              <w:adjustRightInd w:val="0"/>
              <w:snapToGrid w:val="0"/>
              <w:jc w:val="center"/>
              <w:rPr>
                <w:rFonts w:ascii="宋体" w:hAnsi="宋体" w:cs="宋体"/>
                <w:color w:val="auto"/>
                <w:szCs w:val="21"/>
                <w:highlight w:val="none"/>
              </w:rPr>
            </w:pPr>
          </w:p>
        </w:tc>
        <w:tc>
          <w:tcPr>
            <w:tcW w:w="1694" w:type="dxa"/>
            <w:vAlign w:val="center"/>
          </w:tcPr>
          <w:p w14:paraId="5058BDB7">
            <w:pPr>
              <w:adjustRightInd w:val="0"/>
              <w:snapToGrid w:val="0"/>
              <w:jc w:val="center"/>
              <w:rPr>
                <w:rFonts w:ascii="宋体" w:hAnsi="宋体" w:cs="宋体"/>
                <w:color w:val="auto"/>
                <w:szCs w:val="21"/>
                <w:highlight w:val="none"/>
              </w:rPr>
            </w:pPr>
          </w:p>
        </w:tc>
        <w:tc>
          <w:tcPr>
            <w:tcW w:w="911" w:type="dxa"/>
            <w:vAlign w:val="center"/>
          </w:tcPr>
          <w:p w14:paraId="0E9C0745">
            <w:pPr>
              <w:adjustRightInd w:val="0"/>
              <w:snapToGrid w:val="0"/>
              <w:jc w:val="center"/>
              <w:rPr>
                <w:rFonts w:ascii="宋体" w:hAnsi="宋体" w:cs="宋体"/>
                <w:color w:val="auto"/>
                <w:szCs w:val="21"/>
                <w:highlight w:val="none"/>
              </w:rPr>
            </w:pPr>
          </w:p>
        </w:tc>
      </w:tr>
      <w:tr w14:paraId="3DAAA3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699" w:type="dxa"/>
            <w:vAlign w:val="center"/>
          </w:tcPr>
          <w:p w14:paraId="703D606D">
            <w:pPr>
              <w:adjustRightInd w:val="0"/>
              <w:snapToGrid w:val="0"/>
              <w:jc w:val="center"/>
              <w:rPr>
                <w:rFonts w:ascii="宋体" w:hAnsi="宋体" w:cs="宋体"/>
                <w:color w:val="auto"/>
                <w:szCs w:val="21"/>
                <w:highlight w:val="none"/>
              </w:rPr>
            </w:pPr>
          </w:p>
        </w:tc>
        <w:tc>
          <w:tcPr>
            <w:tcW w:w="1338" w:type="dxa"/>
            <w:vAlign w:val="center"/>
          </w:tcPr>
          <w:p w14:paraId="43099B90">
            <w:pPr>
              <w:adjustRightInd w:val="0"/>
              <w:snapToGrid w:val="0"/>
              <w:jc w:val="center"/>
              <w:rPr>
                <w:rFonts w:ascii="宋体" w:hAnsi="宋体" w:cs="宋体"/>
                <w:color w:val="auto"/>
                <w:szCs w:val="21"/>
                <w:highlight w:val="none"/>
              </w:rPr>
            </w:pPr>
          </w:p>
        </w:tc>
        <w:tc>
          <w:tcPr>
            <w:tcW w:w="2154" w:type="dxa"/>
            <w:vAlign w:val="center"/>
          </w:tcPr>
          <w:p w14:paraId="30748B26">
            <w:pPr>
              <w:adjustRightInd w:val="0"/>
              <w:snapToGrid w:val="0"/>
              <w:jc w:val="center"/>
              <w:rPr>
                <w:rFonts w:ascii="宋体" w:hAnsi="宋体" w:cs="宋体"/>
                <w:color w:val="auto"/>
                <w:szCs w:val="21"/>
                <w:highlight w:val="none"/>
              </w:rPr>
            </w:pPr>
          </w:p>
        </w:tc>
        <w:tc>
          <w:tcPr>
            <w:tcW w:w="1921" w:type="dxa"/>
            <w:vAlign w:val="center"/>
          </w:tcPr>
          <w:p w14:paraId="44E2FF79">
            <w:pPr>
              <w:adjustRightInd w:val="0"/>
              <w:snapToGrid w:val="0"/>
              <w:jc w:val="center"/>
              <w:rPr>
                <w:rFonts w:ascii="宋体" w:hAnsi="宋体" w:cs="宋体"/>
                <w:color w:val="auto"/>
                <w:szCs w:val="21"/>
                <w:highlight w:val="none"/>
              </w:rPr>
            </w:pPr>
          </w:p>
        </w:tc>
        <w:tc>
          <w:tcPr>
            <w:tcW w:w="1694" w:type="dxa"/>
            <w:vAlign w:val="center"/>
          </w:tcPr>
          <w:p w14:paraId="11863D8C">
            <w:pPr>
              <w:adjustRightInd w:val="0"/>
              <w:snapToGrid w:val="0"/>
              <w:jc w:val="center"/>
              <w:rPr>
                <w:rFonts w:ascii="宋体" w:hAnsi="宋体" w:cs="宋体"/>
                <w:color w:val="auto"/>
                <w:szCs w:val="21"/>
                <w:highlight w:val="none"/>
              </w:rPr>
            </w:pPr>
          </w:p>
        </w:tc>
        <w:tc>
          <w:tcPr>
            <w:tcW w:w="911" w:type="dxa"/>
            <w:vAlign w:val="center"/>
          </w:tcPr>
          <w:p w14:paraId="6944C526">
            <w:pPr>
              <w:adjustRightInd w:val="0"/>
              <w:snapToGrid w:val="0"/>
              <w:jc w:val="center"/>
              <w:rPr>
                <w:rFonts w:ascii="宋体" w:hAnsi="宋体" w:cs="宋体"/>
                <w:color w:val="auto"/>
                <w:szCs w:val="21"/>
                <w:highlight w:val="none"/>
              </w:rPr>
            </w:pPr>
          </w:p>
        </w:tc>
      </w:tr>
      <w:tr w14:paraId="4F6AA2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699" w:type="dxa"/>
            <w:vAlign w:val="center"/>
          </w:tcPr>
          <w:p w14:paraId="78F89523">
            <w:pPr>
              <w:adjustRightInd w:val="0"/>
              <w:snapToGrid w:val="0"/>
              <w:jc w:val="center"/>
              <w:rPr>
                <w:rFonts w:ascii="宋体" w:hAnsi="宋体" w:cs="宋体"/>
                <w:color w:val="auto"/>
                <w:szCs w:val="21"/>
                <w:highlight w:val="none"/>
              </w:rPr>
            </w:pPr>
          </w:p>
        </w:tc>
        <w:tc>
          <w:tcPr>
            <w:tcW w:w="1338" w:type="dxa"/>
            <w:vAlign w:val="center"/>
          </w:tcPr>
          <w:p w14:paraId="41B4CF9A">
            <w:pPr>
              <w:adjustRightInd w:val="0"/>
              <w:snapToGrid w:val="0"/>
              <w:jc w:val="center"/>
              <w:rPr>
                <w:rFonts w:ascii="宋体" w:hAnsi="宋体" w:cs="宋体"/>
                <w:color w:val="auto"/>
                <w:szCs w:val="21"/>
                <w:highlight w:val="none"/>
              </w:rPr>
            </w:pPr>
          </w:p>
        </w:tc>
        <w:tc>
          <w:tcPr>
            <w:tcW w:w="2154" w:type="dxa"/>
            <w:vAlign w:val="center"/>
          </w:tcPr>
          <w:p w14:paraId="53BE8F61">
            <w:pPr>
              <w:adjustRightInd w:val="0"/>
              <w:snapToGrid w:val="0"/>
              <w:jc w:val="center"/>
              <w:rPr>
                <w:rFonts w:ascii="宋体" w:hAnsi="宋体" w:cs="宋体"/>
                <w:color w:val="auto"/>
                <w:szCs w:val="21"/>
                <w:highlight w:val="none"/>
              </w:rPr>
            </w:pPr>
          </w:p>
        </w:tc>
        <w:tc>
          <w:tcPr>
            <w:tcW w:w="1921" w:type="dxa"/>
            <w:vAlign w:val="center"/>
          </w:tcPr>
          <w:p w14:paraId="3CCB87A4">
            <w:pPr>
              <w:adjustRightInd w:val="0"/>
              <w:snapToGrid w:val="0"/>
              <w:jc w:val="center"/>
              <w:rPr>
                <w:rFonts w:ascii="宋体" w:hAnsi="宋体" w:cs="宋体"/>
                <w:color w:val="auto"/>
                <w:szCs w:val="21"/>
                <w:highlight w:val="none"/>
              </w:rPr>
            </w:pPr>
          </w:p>
        </w:tc>
        <w:tc>
          <w:tcPr>
            <w:tcW w:w="1694" w:type="dxa"/>
            <w:vAlign w:val="center"/>
          </w:tcPr>
          <w:p w14:paraId="50906204">
            <w:pPr>
              <w:adjustRightInd w:val="0"/>
              <w:snapToGrid w:val="0"/>
              <w:jc w:val="center"/>
              <w:rPr>
                <w:rFonts w:ascii="宋体" w:hAnsi="宋体" w:cs="宋体"/>
                <w:color w:val="auto"/>
                <w:szCs w:val="21"/>
                <w:highlight w:val="none"/>
              </w:rPr>
            </w:pPr>
          </w:p>
        </w:tc>
        <w:tc>
          <w:tcPr>
            <w:tcW w:w="911" w:type="dxa"/>
            <w:vAlign w:val="center"/>
          </w:tcPr>
          <w:p w14:paraId="327188A0">
            <w:pPr>
              <w:adjustRightInd w:val="0"/>
              <w:snapToGrid w:val="0"/>
              <w:jc w:val="center"/>
              <w:rPr>
                <w:rFonts w:ascii="宋体" w:hAnsi="宋体" w:cs="宋体"/>
                <w:color w:val="auto"/>
                <w:szCs w:val="21"/>
                <w:highlight w:val="none"/>
              </w:rPr>
            </w:pPr>
          </w:p>
        </w:tc>
      </w:tr>
      <w:tr w14:paraId="00BCE2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699" w:type="dxa"/>
            <w:vAlign w:val="center"/>
          </w:tcPr>
          <w:p w14:paraId="023DB500">
            <w:pPr>
              <w:adjustRightInd w:val="0"/>
              <w:snapToGrid w:val="0"/>
              <w:jc w:val="center"/>
              <w:rPr>
                <w:rFonts w:ascii="宋体" w:hAnsi="宋体" w:cs="宋体"/>
                <w:color w:val="auto"/>
                <w:szCs w:val="21"/>
                <w:highlight w:val="none"/>
              </w:rPr>
            </w:pPr>
          </w:p>
        </w:tc>
        <w:tc>
          <w:tcPr>
            <w:tcW w:w="1338" w:type="dxa"/>
            <w:vAlign w:val="center"/>
          </w:tcPr>
          <w:p w14:paraId="4751928C">
            <w:pPr>
              <w:adjustRightInd w:val="0"/>
              <w:snapToGrid w:val="0"/>
              <w:jc w:val="center"/>
              <w:rPr>
                <w:rFonts w:ascii="宋体" w:hAnsi="宋体" w:cs="宋体"/>
                <w:color w:val="auto"/>
                <w:szCs w:val="21"/>
                <w:highlight w:val="none"/>
              </w:rPr>
            </w:pPr>
          </w:p>
        </w:tc>
        <w:tc>
          <w:tcPr>
            <w:tcW w:w="2154" w:type="dxa"/>
            <w:vAlign w:val="center"/>
          </w:tcPr>
          <w:p w14:paraId="54A61385">
            <w:pPr>
              <w:adjustRightInd w:val="0"/>
              <w:snapToGrid w:val="0"/>
              <w:jc w:val="center"/>
              <w:rPr>
                <w:rFonts w:ascii="宋体" w:hAnsi="宋体" w:cs="宋体"/>
                <w:color w:val="auto"/>
                <w:szCs w:val="21"/>
                <w:highlight w:val="none"/>
              </w:rPr>
            </w:pPr>
          </w:p>
        </w:tc>
        <w:tc>
          <w:tcPr>
            <w:tcW w:w="1921" w:type="dxa"/>
            <w:vAlign w:val="center"/>
          </w:tcPr>
          <w:p w14:paraId="63E9813A">
            <w:pPr>
              <w:adjustRightInd w:val="0"/>
              <w:snapToGrid w:val="0"/>
              <w:jc w:val="center"/>
              <w:rPr>
                <w:rFonts w:ascii="宋体" w:hAnsi="宋体" w:cs="宋体"/>
                <w:color w:val="auto"/>
                <w:szCs w:val="21"/>
                <w:highlight w:val="none"/>
              </w:rPr>
            </w:pPr>
          </w:p>
        </w:tc>
        <w:tc>
          <w:tcPr>
            <w:tcW w:w="1694" w:type="dxa"/>
            <w:vAlign w:val="center"/>
          </w:tcPr>
          <w:p w14:paraId="28F78DBC">
            <w:pPr>
              <w:adjustRightInd w:val="0"/>
              <w:snapToGrid w:val="0"/>
              <w:jc w:val="center"/>
              <w:rPr>
                <w:rFonts w:ascii="宋体" w:hAnsi="宋体" w:cs="宋体"/>
                <w:color w:val="auto"/>
                <w:szCs w:val="21"/>
                <w:highlight w:val="none"/>
              </w:rPr>
            </w:pPr>
          </w:p>
        </w:tc>
        <w:tc>
          <w:tcPr>
            <w:tcW w:w="911" w:type="dxa"/>
            <w:vAlign w:val="center"/>
          </w:tcPr>
          <w:p w14:paraId="2B4811CD">
            <w:pPr>
              <w:adjustRightInd w:val="0"/>
              <w:snapToGrid w:val="0"/>
              <w:jc w:val="center"/>
              <w:rPr>
                <w:rFonts w:ascii="宋体" w:hAnsi="宋体" w:cs="宋体"/>
                <w:color w:val="auto"/>
                <w:szCs w:val="21"/>
                <w:highlight w:val="none"/>
              </w:rPr>
            </w:pPr>
          </w:p>
        </w:tc>
      </w:tr>
      <w:tr w14:paraId="4165B9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699" w:type="dxa"/>
            <w:vAlign w:val="center"/>
          </w:tcPr>
          <w:p w14:paraId="2D98B2C4">
            <w:pPr>
              <w:adjustRightInd w:val="0"/>
              <w:snapToGrid w:val="0"/>
              <w:jc w:val="center"/>
              <w:rPr>
                <w:rFonts w:ascii="宋体" w:hAnsi="宋体" w:cs="宋体"/>
                <w:color w:val="auto"/>
                <w:szCs w:val="21"/>
                <w:highlight w:val="none"/>
              </w:rPr>
            </w:pPr>
          </w:p>
        </w:tc>
        <w:tc>
          <w:tcPr>
            <w:tcW w:w="1338" w:type="dxa"/>
            <w:vAlign w:val="center"/>
          </w:tcPr>
          <w:p w14:paraId="5B64D22B">
            <w:pPr>
              <w:adjustRightInd w:val="0"/>
              <w:snapToGrid w:val="0"/>
              <w:jc w:val="center"/>
              <w:rPr>
                <w:rFonts w:ascii="宋体" w:hAnsi="宋体" w:cs="宋体"/>
                <w:color w:val="auto"/>
                <w:szCs w:val="21"/>
                <w:highlight w:val="none"/>
              </w:rPr>
            </w:pPr>
          </w:p>
        </w:tc>
        <w:tc>
          <w:tcPr>
            <w:tcW w:w="2154" w:type="dxa"/>
            <w:vAlign w:val="center"/>
          </w:tcPr>
          <w:p w14:paraId="0012A868">
            <w:pPr>
              <w:adjustRightInd w:val="0"/>
              <w:snapToGrid w:val="0"/>
              <w:jc w:val="center"/>
              <w:rPr>
                <w:rFonts w:ascii="宋体" w:hAnsi="宋体" w:cs="宋体"/>
                <w:color w:val="auto"/>
                <w:szCs w:val="21"/>
                <w:highlight w:val="none"/>
              </w:rPr>
            </w:pPr>
          </w:p>
        </w:tc>
        <w:tc>
          <w:tcPr>
            <w:tcW w:w="1921" w:type="dxa"/>
            <w:vAlign w:val="center"/>
          </w:tcPr>
          <w:p w14:paraId="12496EF7">
            <w:pPr>
              <w:adjustRightInd w:val="0"/>
              <w:snapToGrid w:val="0"/>
              <w:jc w:val="center"/>
              <w:rPr>
                <w:rFonts w:ascii="宋体" w:hAnsi="宋体" w:cs="宋体"/>
                <w:color w:val="auto"/>
                <w:szCs w:val="21"/>
                <w:highlight w:val="none"/>
              </w:rPr>
            </w:pPr>
          </w:p>
        </w:tc>
        <w:tc>
          <w:tcPr>
            <w:tcW w:w="1694" w:type="dxa"/>
            <w:vAlign w:val="center"/>
          </w:tcPr>
          <w:p w14:paraId="57255A6F">
            <w:pPr>
              <w:adjustRightInd w:val="0"/>
              <w:snapToGrid w:val="0"/>
              <w:jc w:val="center"/>
              <w:rPr>
                <w:rFonts w:ascii="宋体" w:hAnsi="宋体" w:cs="宋体"/>
                <w:color w:val="auto"/>
                <w:szCs w:val="21"/>
                <w:highlight w:val="none"/>
              </w:rPr>
            </w:pPr>
          </w:p>
        </w:tc>
        <w:tc>
          <w:tcPr>
            <w:tcW w:w="911" w:type="dxa"/>
            <w:vAlign w:val="center"/>
          </w:tcPr>
          <w:p w14:paraId="6169972E">
            <w:pPr>
              <w:adjustRightInd w:val="0"/>
              <w:snapToGrid w:val="0"/>
              <w:jc w:val="center"/>
              <w:rPr>
                <w:rFonts w:ascii="宋体" w:hAnsi="宋体" w:cs="宋体"/>
                <w:color w:val="auto"/>
                <w:szCs w:val="21"/>
                <w:highlight w:val="none"/>
              </w:rPr>
            </w:pPr>
          </w:p>
        </w:tc>
      </w:tr>
      <w:tr w14:paraId="1AC3A4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699" w:type="dxa"/>
            <w:vAlign w:val="center"/>
          </w:tcPr>
          <w:p w14:paraId="27F0E881">
            <w:pPr>
              <w:adjustRightInd w:val="0"/>
              <w:snapToGrid w:val="0"/>
              <w:jc w:val="center"/>
              <w:rPr>
                <w:rFonts w:ascii="宋体" w:hAnsi="宋体" w:cs="宋体"/>
                <w:color w:val="auto"/>
                <w:szCs w:val="21"/>
                <w:highlight w:val="none"/>
              </w:rPr>
            </w:pPr>
          </w:p>
        </w:tc>
        <w:tc>
          <w:tcPr>
            <w:tcW w:w="1338" w:type="dxa"/>
            <w:vAlign w:val="center"/>
          </w:tcPr>
          <w:p w14:paraId="30939A21">
            <w:pPr>
              <w:adjustRightInd w:val="0"/>
              <w:snapToGrid w:val="0"/>
              <w:jc w:val="center"/>
              <w:rPr>
                <w:rFonts w:ascii="宋体" w:hAnsi="宋体" w:cs="宋体"/>
                <w:color w:val="auto"/>
                <w:szCs w:val="21"/>
                <w:highlight w:val="none"/>
              </w:rPr>
            </w:pPr>
          </w:p>
        </w:tc>
        <w:tc>
          <w:tcPr>
            <w:tcW w:w="2154" w:type="dxa"/>
            <w:vAlign w:val="center"/>
          </w:tcPr>
          <w:p w14:paraId="65E834C7">
            <w:pPr>
              <w:adjustRightInd w:val="0"/>
              <w:snapToGrid w:val="0"/>
              <w:jc w:val="center"/>
              <w:rPr>
                <w:rFonts w:ascii="宋体" w:hAnsi="宋体" w:cs="宋体"/>
                <w:color w:val="auto"/>
                <w:szCs w:val="21"/>
                <w:highlight w:val="none"/>
              </w:rPr>
            </w:pPr>
          </w:p>
        </w:tc>
        <w:tc>
          <w:tcPr>
            <w:tcW w:w="1921" w:type="dxa"/>
            <w:vAlign w:val="center"/>
          </w:tcPr>
          <w:p w14:paraId="1E88BC45">
            <w:pPr>
              <w:adjustRightInd w:val="0"/>
              <w:snapToGrid w:val="0"/>
              <w:jc w:val="center"/>
              <w:rPr>
                <w:rFonts w:ascii="宋体" w:hAnsi="宋体" w:cs="宋体"/>
                <w:color w:val="auto"/>
                <w:szCs w:val="21"/>
                <w:highlight w:val="none"/>
              </w:rPr>
            </w:pPr>
          </w:p>
        </w:tc>
        <w:tc>
          <w:tcPr>
            <w:tcW w:w="1694" w:type="dxa"/>
            <w:vAlign w:val="center"/>
          </w:tcPr>
          <w:p w14:paraId="036629EE">
            <w:pPr>
              <w:adjustRightInd w:val="0"/>
              <w:snapToGrid w:val="0"/>
              <w:jc w:val="center"/>
              <w:rPr>
                <w:rFonts w:ascii="宋体" w:hAnsi="宋体" w:cs="宋体"/>
                <w:color w:val="auto"/>
                <w:szCs w:val="21"/>
                <w:highlight w:val="none"/>
              </w:rPr>
            </w:pPr>
          </w:p>
        </w:tc>
        <w:tc>
          <w:tcPr>
            <w:tcW w:w="911" w:type="dxa"/>
            <w:vAlign w:val="center"/>
          </w:tcPr>
          <w:p w14:paraId="4AFC50BC">
            <w:pPr>
              <w:adjustRightInd w:val="0"/>
              <w:snapToGrid w:val="0"/>
              <w:jc w:val="center"/>
              <w:rPr>
                <w:rFonts w:ascii="宋体" w:hAnsi="宋体" w:cs="宋体"/>
                <w:color w:val="auto"/>
                <w:szCs w:val="21"/>
                <w:highlight w:val="none"/>
              </w:rPr>
            </w:pPr>
          </w:p>
        </w:tc>
      </w:tr>
    </w:tbl>
    <w:p w14:paraId="72607DA9">
      <w:pPr>
        <w:wordWrap w:val="0"/>
        <w:adjustRightInd w:val="0"/>
        <w:spacing w:line="360" w:lineRule="auto"/>
        <w:rPr>
          <w:rFonts w:ascii="宋体" w:hAnsi="宋体" w:cs="宋体"/>
          <w:color w:val="auto"/>
          <w:szCs w:val="21"/>
          <w:highlight w:val="none"/>
        </w:rPr>
      </w:pPr>
    </w:p>
    <w:p w14:paraId="695533B1">
      <w:pPr>
        <w:pStyle w:val="89"/>
        <w:wordWrap w:val="0"/>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投标人名称（盖单位章）：</w:t>
      </w:r>
    </w:p>
    <w:p w14:paraId="10EF9015">
      <w:pPr>
        <w:pStyle w:val="89"/>
        <w:wordWrap w:val="0"/>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法定代表人或其委托代理人签字或盖章：</w:t>
      </w:r>
    </w:p>
    <w:p w14:paraId="4BED6E17">
      <w:pPr>
        <w:wordWrap w:val="0"/>
        <w:adjustRightInd w:val="0"/>
        <w:spacing w:line="440" w:lineRule="exact"/>
        <w:jc w:val="left"/>
        <w:rPr>
          <w:rFonts w:ascii="宋体" w:hAnsi="宋体" w:cs="宋体"/>
          <w:color w:val="auto"/>
          <w:szCs w:val="21"/>
          <w:highlight w:val="none"/>
        </w:rPr>
      </w:pPr>
      <w:r>
        <w:rPr>
          <w:rFonts w:hint="eastAsia" w:ascii="宋体" w:hAnsi="宋体" w:cs="宋体"/>
          <w:color w:val="auto"/>
          <w:szCs w:val="21"/>
          <w:highlight w:val="none"/>
        </w:rPr>
        <w:t>日期：</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w:t>
      </w:r>
    </w:p>
    <w:p w14:paraId="3BD1D758">
      <w:pPr>
        <w:wordWrap w:val="0"/>
        <w:adjustRightInd w:val="0"/>
        <w:spacing w:line="360" w:lineRule="auto"/>
        <w:jc w:val="right"/>
        <w:rPr>
          <w:rFonts w:ascii="宋体" w:hAnsi="宋体" w:cs="宋体"/>
          <w:color w:val="auto"/>
          <w:szCs w:val="21"/>
          <w:highlight w:val="none"/>
        </w:rPr>
      </w:pPr>
    </w:p>
    <w:p w14:paraId="311954E3">
      <w:pPr>
        <w:wordWrap w:val="0"/>
        <w:spacing w:line="360" w:lineRule="auto"/>
        <w:rPr>
          <w:rFonts w:ascii="仿宋" w:hAnsi="仿宋" w:eastAsia="仿宋" w:cs="仿宋"/>
          <w:color w:val="auto"/>
          <w:sz w:val="24"/>
          <w:highlight w:val="none"/>
        </w:rPr>
      </w:pPr>
      <w:r>
        <w:rPr>
          <w:rFonts w:hint="eastAsia" w:ascii="宋体" w:hAnsi="宋体" w:cs="宋体"/>
          <w:color w:val="auto"/>
          <w:szCs w:val="21"/>
          <w:highlight w:val="none"/>
        </w:rPr>
        <w:t>注：</w:t>
      </w:r>
    </w:p>
    <w:p w14:paraId="64A105F7">
      <w:pPr>
        <w:wordWrap w:val="0"/>
        <w:adjustRightInd w:val="0"/>
        <w:spacing w:line="360" w:lineRule="auto"/>
        <w:rPr>
          <w:rFonts w:ascii="宋体" w:hAnsi="宋体" w:cs="宋体"/>
          <w:color w:val="auto"/>
          <w:szCs w:val="21"/>
          <w:highlight w:val="none"/>
        </w:rPr>
      </w:pPr>
      <w:r>
        <w:rPr>
          <w:rFonts w:hint="eastAsia" w:ascii="宋体" w:hAnsi="宋体" w:cs="宋体"/>
          <w:color w:val="auto"/>
          <w:szCs w:val="21"/>
          <w:highlight w:val="none"/>
        </w:rPr>
        <w:t>1.投标人要将投标文件和招标文件在技术部分的差异之处汇集成表。此表中若无任何文字说明，内容为空白，投标无效。</w:t>
      </w:r>
    </w:p>
    <w:p w14:paraId="5FC57094">
      <w:pPr>
        <w:wordWrap w:val="0"/>
        <w:adjustRightInd w:val="0"/>
        <w:spacing w:line="360" w:lineRule="auto"/>
        <w:rPr>
          <w:rFonts w:ascii="宋体" w:hAnsi="宋体" w:cs="宋体"/>
          <w:color w:val="auto"/>
          <w:szCs w:val="21"/>
          <w:highlight w:val="none"/>
        </w:rPr>
      </w:pPr>
      <w:r>
        <w:rPr>
          <w:rFonts w:hint="eastAsia" w:ascii="宋体" w:hAnsi="宋体" w:cs="宋体"/>
          <w:color w:val="auto"/>
          <w:szCs w:val="21"/>
          <w:highlight w:val="none"/>
        </w:rPr>
        <w:t>2.“偏离情况”列应据实填写“正偏离”或“负偏离”或“无偏离”。</w:t>
      </w:r>
    </w:p>
    <w:p w14:paraId="5D132A88">
      <w:pPr>
        <w:pStyle w:val="50"/>
        <w:rPr>
          <w:color w:val="auto"/>
          <w:highlight w:val="none"/>
        </w:rPr>
      </w:pPr>
    </w:p>
    <w:p w14:paraId="58B28EAD">
      <w:pPr>
        <w:widowControl/>
        <w:jc w:val="left"/>
        <w:rPr>
          <w:rFonts w:ascii="宋体" w:hAnsi="宋体" w:cs="宋体"/>
          <w:b/>
          <w:bCs/>
          <w:color w:val="auto"/>
          <w:kern w:val="0"/>
          <w:sz w:val="36"/>
          <w:szCs w:val="36"/>
          <w:highlight w:val="none"/>
        </w:rPr>
      </w:pPr>
      <w:r>
        <w:rPr>
          <w:rFonts w:ascii="宋体" w:hAnsi="宋体" w:cs="宋体"/>
          <w:b/>
          <w:bCs/>
          <w:color w:val="auto"/>
          <w:kern w:val="0"/>
          <w:sz w:val="36"/>
          <w:szCs w:val="36"/>
          <w:highlight w:val="none"/>
        </w:rPr>
        <w:br w:type="page"/>
      </w:r>
    </w:p>
    <w:p w14:paraId="4BC7D93E">
      <w:pPr>
        <w:spacing w:line="360" w:lineRule="auto"/>
        <w:jc w:val="center"/>
        <w:rPr>
          <w:rFonts w:ascii="宋体" w:hAnsi="宋体" w:cs="仿宋"/>
          <w:color w:val="auto"/>
          <w:kern w:val="0"/>
          <w:szCs w:val="21"/>
          <w:highlight w:val="none"/>
        </w:rPr>
      </w:pPr>
      <w:r>
        <w:rPr>
          <w:rFonts w:hint="eastAsia" w:ascii="宋体" w:hAnsi="宋体" w:cs="仿宋"/>
          <w:b/>
          <w:bCs/>
          <w:color w:val="auto"/>
          <w:kern w:val="0"/>
          <w:sz w:val="28"/>
          <w:szCs w:val="28"/>
          <w:highlight w:val="none"/>
        </w:rPr>
        <w:t>政府强制采购节能产品明细表</w:t>
      </w:r>
    </w:p>
    <w:tbl>
      <w:tblPr>
        <w:tblStyle w:val="40"/>
        <w:tblW w:w="9109" w:type="dxa"/>
        <w:tblInd w:w="7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1"/>
        <w:gridCol w:w="3125"/>
        <w:gridCol w:w="1405"/>
        <w:gridCol w:w="2199"/>
        <w:gridCol w:w="1559"/>
      </w:tblGrid>
      <w:tr w14:paraId="6FAF1C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1" w:type="dxa"/>
            <w:vAlign w:val="center"/>
          </w:tcPr>
          <w:p w14:paraId="4CE5F11F">
            <w:pPr>
              <w:jc w:val="center"/>
              <w:rPr>
                <w:rFonts w:ascii="宋体" w:hAnsi="宋体" w:cs="仿宋"/>
                <w:b/>
                <w:bCs/>
                <w:color w:val="auto"/>
                <w:kern w:val="0"/>
                <w:szCs w:val="21"/>
                <w:highlight w:val="none"/>
              </w:rPr>
            </w:pPr>
            <w:r>
              <w:rPr>
                <w:rFonts w:hint="eastAsia" w:ascii="宋体" w:hAnsi="宋体" w:cs="仿宋"/>
                <w:b/>
                <w:bCs/>
                <w:color w:val="auto"/>
                <w:kern w:val="0"/>
                <w:szCs w:val="21"/>
                <w:highlight w:val="none"/>
              </w:rPr>
              <w:t>序号</w:t>
            </w:r>
          </w:p>
        </w:tc>
        <w:tc>
          <w:tcPr>
            <w:tcW w:w="3125" w:type="dxa"/>
            <w:vAlign w:val="center"/>
          </w:tcPr>
          <w:p w14:paraId="2C6004AF">
            <w:pPr>
              <w:jc w:val="center"/>
              <w:rPr>
                <w:rFonts w:ascii="宋体" w:hAnsi="宋体" w:cs="仿宋"/>
                <w:b/>
                <w:bCs/>
                <w:color w:val="auto"/>
                <w:kern w:val="0"/>
                <w:szCs w:val="21"/>
                <w:highlight w:val="none"/>
              </w:rPr>
            </w:pPr>
            <w:r>
              <w:rPr>
                <w:rFonts w:hint="eastAsia" w:ascii="宋体" w:hAnsi="宋体" w:cs="仿宋"/>
                <w:b/>
                <w:bCs/>
                <w:color w:val="auto"/>
                <w:kern w:val="0"/>
                <w:szCs w:val="21"/>
                <w:highlight w:val="none"/>
              </w:rPr>
              <w:t>清单产品名称</w:t>
            </w:r>
          </w:p>
        </w:tc>
        <w:tc>
          <w:tcPr>
            <w:tcW w:w="1405" w:type="dxa"/>
            <w:vAlign w:val="center"/>
          </w:tcPr>
          <w:p w14:paraId="7AA07FEB">
            <w:pPr>
              <w:jc w:val="center"/>
              <w:rPr>
                <w:rFonts w:ascii="宋体" w:hAnsi="宋体" w:cs="仿宋"/>
                <w:b/>
                <w:bCs/>
                <w:color w:val="auto"/>
                <w:kern w:val="0"/>
                <w:szCs w:val="21"/>
                <w:highlight w:val="none"/>
              </w:rPr>
            </w:pPr>
            <w:r>
              <w:rPr>
                <w:rFonts w:hint="eastAsia" w:ascii="宋体" w:hAnsi="宋体" w:cs="仿宋"/>
                <w:b/>
                <w:bCs/>
                <w:color w:val="auto"/>
                <w:kern w:val="0"/>
                <w:szCs w:val="21"/>
                <w:highlight w:val="none"/>
              </w:rPr>
              <w:t>金额（元）</w:t>
            </w:r>
          </w:p>
        </w:tc>
        <w:tc>
          <w:tcPr>
            <w:tcW w:w="2199" w:type="dxa"/>
            <w:vAlign w:val="center"/>
          </w:tcPr>
          <w:p w14:paraId="7A584C1C">
            <w:pPr>
              <w:jc w:val="center"/>
              <w:rPr>
                <w:rFonts w:ascii="宋体" w:hAnsi="宋体" w:cs="仿宋"/>
                <w:b/>
                <w:bCs/>
                <w:color w:val="auto"/>
                <w:kern w:val="0"/>
                <w:szCs w:val="21"/>
                <w:highlight w:val="none"/>
              </w:rPr>
            </w:pPr>
            <w:r>
              <w:rPr>
                <w:rFonts w:hint="eastAsia" w:ascii="宋体" w:hAnsi="宋体" w:cs="仿宋"/>
                <w:b/>
                <w:bCs/>
                <w:color w:val="auto"/>
                <w:kern w:val="0"/>
                <w:szCs w:val="21"/>
                <w:highlight w:val="none"/>
              </w:rPr>
              <w:t>清单页数及序号</w:t>
            </w:r>
          </w:p>
        </w:tc>
        <w:tc>
          <w:tcPr>
            <w:tcW w:w="1559" w:type="dxa"/>
            <w:vAlign w:val="center"/>
          </w:tcPr>
          <w:p w14:paraId="286CC430">
            <w:pPr>
              <w:jc w:val="center"/>
              <w:rPr>
                <w:rFonts w:ascii="宋体" w:hAnsi="宋体" w:cs="仿宋"/>
                <w:b/>
                <w:bCs/>
                <w:color w:val="auto"/>
                <w:kern w:val="0"/>
                <w:szCs w:val="21"/>
                <w:highlight w:val="none"/>
              </w:rPr>
            </w:pPr>
            <w:r>
              <w:rPr>
                <w:rFonts w:hint="eastAsia" w:ascii="宋体" w:hAnsi="宋体" w:cs="仿宋"/>
                <w:b/>
                <w:bCs/>
                <w:color w:val="auto"/>
                <w:kern w:val="0"/>
                <w:szCs w:val="21"/>
                <w:highlight w:val="none"/>
              </w:rPr>
              <w:t>备注</w:t>
            </w:r>
          </w:p>
        </w:tc>
      </w:tr>
      <w:tr w14:paraId="768F4C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1" w:type="dxa"/>
            <w:vAlign w:val="center"/>
          </w:tcPr>
          <w:p w14:paraId="2BDA14FE">
            <w:pPr>
              <w:jc w:val="center"/>
              <w:rPr>
                <w:rFonts w:ascii="宋体" w:hAnsi="宋体" w:cs="仿宋"/>
                <w:b/>
                <w:bCs/>
                <w:color w:val="auto"/>
                <w:kern w:val="0"/>
                <w:szCs w:val="21"/>
                <w:highlight w:val="none"/>
              </w:rPr>
            </w:pPr>
            <w:r>
              <w:rPr>
                <w:rFonts w:hint="eastAsia" w:ascii="宋体" w:hAnsi="宋体" w:cs="仿宋"/>
                <w:b/>
                <w:bCs/>
                <w:color w:val="auto"/>
                <w:kern w:val="0"/>
                <w:szCs w:val="21"/>
                <w:highlight w:val="none"/>
              </w:rPr>
              <w:t>1</w:t>
            </w:r>
          </w:p>
        </w:tc>
        <w:tc>
          <w:tcPr>
            <w:tcW w:w="3125" w:type="dxa"/>
            <w:vAlign w:val="center"/>
          </w:tcPr>
          <w:p w14:paraId="686411F0">
            <w:pPr>
              <w:jc w:val="center"/>
              <w:rPr>
                <w:rFonts w:ascii="宋体" w:hAnsi="宋体" w:cs="仿宋"/>
                <w:b/>
                <w:bCs/>
                <w:color w:val="auto"/>
                <w:kern w:val="0"/>
                <w:szCs w:val="21"/>
                <w:highlight w:val="none"/>
              </w:rPr>
            </w:pPr>
          </w:p>
        </w:tc>
        <w:tc>
          <w:tcPr>
            <w:tcW w:w="1405" w:type="dxa"/>
            <w:vAlign w:val="center"/>
          </w:tcPr>
          <w:p w14:paraId="621110D5">
            <w:pPr>
              <w:jc w:val="center"/>
              <w:rPr>
                <w:rFonts w:ascii="宋体" w:hAnsi="宋体" w:cs="仿宋"/>
                <w:b/>
                <w:bCs/>
                <w:color w:val="auto"/>
                <w:kern w:val="0"/>
                <w:szCs w:val="21"/>
                <w:highlight w:val="none"/>
              </w:rPr>
            </w:pPr>
          </w:p>
        </w:tc>
        <w:tc>
          <w:tcPr>
            <w:tcW w:w="2199" w:type="dxa"/>
            <w:vAlign w:val="center"/>
          </w:tcPr>
          <w:p w14:paraId="43BFA3C1">
            <w:pPr>
              <w:jc w:val="center"/>
              <w:rPr>
                <w:rFonts w:ascii="宋体" w:hAnsi="宋体" w:cs="仿宋"/>
                <w:b/>
                <w:bCs/>
                <w:color w:val="auto"/>
                <w:kern w:val="0"/>
                <w:szCs w:val="21"/>
                <w:highlight w:val="none"/>
              </w:rPr>
            </w:pPr>
          </w:p>
        </w:tc>
        <w:tc>
          <w:tcPr>
            <w:tcW w:w="1559" w:type="dxa"/>
            <w:vAlign w:val="center"/>
          </w:tcPr>
          <w:p w14:paraId="29F9FDEE">
            <w:pPr>
              <w:jc w:val="center"/>
              <w:rPr>
                <w:rFonts w:ascii="宋体" w:hAnsi="宋体" w:cs="仿宋"/>
                <w:b/>
                <w:bCs/>
                <w:color w:val="auto"/>
                <w:kern w:val="0"/>
                <w:szCs w:val="21"/>
                <w:highlight w:val="none"/>
              </w:rPr>
            </w:pPr>
          </w:p>
        </w:tc>
      </w:tr>
      <w:tr w14:paraId="5EDB00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1" w:type="dxa"/>
            <w:vAlign w:val="center"/>
          </w:tcPr>
          <w:p w14:paraId="727BAD07">
            <w:pPr>
              <w:jc w:val="center"/>
              <w:rPr>
                <w:rFonts w:ascii="宋体" w:hAnsi="宋体" w:cs="仿宋"/>
                <w:b/>
                <w:bCs/>
                <w:color w:val="auto"/>
                <w:kern w:val="0"/>
                <w:szCs w:val="21"/>
                <w:highlight w:val="none"/>
              </w:rPr>
            </w:pPr>
            <w:r>
              <w:rPr>
                <w:rFonts w:hint="eastAsia" w:ascii="宋体" w:hAnsi="宋体" w:cs="仿宋"/>
                <w:b/>
                <w:bCs/>
                <w:color w:val="auto"/>
                <w:kern w:val="0"/>
                <w:szCs w:val="21"/>
                <w:highlight w:val="none"/>
              </w:rPr>
              <w:t>2</w:t>
            </w:r>
          </w:p>
        </w:tc>
        <w:tc>
          <w:tcPr>
            <w:tcW w:w="3125" w:type="dxa"/>
            <w:vAlign w:val="center"/>
          </w:tcPr>
          <w:p w14:paraId="0DA9DF28">
            <w:pPr>
              <w:jc w:val="center"/>
              <w:rPr>
                <w:rFonts w:ascii="宋体" w:hAnsi="宋体" w:cs="仿宋"/>
                <w:b/>
                <w:bCs/>
                <w:color w:val="auto"/>
                <w:kern w:val="0"/>
                <w:szCs w:val="21"/>
                <w:highlight w:val="none"/>
              </w:rPr>
            </w:pPr>
          </w:p>
        </w:tc>
        <w:tc>
          <w:tcPr>
            <w:tcW w:w="1405" w:type="dxa"/>
            <w:vAlign w:val="center"/>
          </w:tcPr>
          <w:p w14:paraId="48E2AD84">
            <w:pPr>
              <w:jc w:val="center"/>
              <w:rPr>
                <w:rFonts w:ascii="宋体" w:hAnsi="宋体" w:cs="仿宋"/>
                <w:b/>
                <w:bCs/>
                <w:color w:val="auto"/>
                <w:kern w:val="0"/>
                <w:szCs w:val="21"/>
                <w:highlight w:val="none"/>
              </w:rPr>
            </w:pPr>
          </w:p>
        </w:tc>
        <w:tc>
          <w:tcPr>
            <w:tcW w:w="2199" w:type="dxa"/>
            <w:vAlign w:val="center"/>
          </w:tcPr>
          <w:p w14:paraId="3B276C55">
            <w:pPr>
              <w:jc w:val="center"/>
              <w:rPr>
                <w:rFonts w:ascii="宋体" w:hAnsi="宋体" w:cs="仿宋"/>
                <w:b/>
                <w:bCs/>
                <w:color w:val="auto"/>
                <w:kern w:val="0"/>
                <w:szCs w:val="21"/>
                <w:highlight w:val="none"/>
              </w:rPr>
            </w:pPr>
          </w:p>
        </w:tc>
        <w:tc>
          <w:tcPr>
            <w:tcW w:w="1559" w:type="dxa"/>
            <w:vAlign w:val="center"/>
          </w:tcPr>
          <w:p w14:paraId="7273C860">
            <w:pPr>
              <w:jc w:val="center"/>
              <w:rPr>
                <w:rFonts w:ascii="宋体" w:hAnsi="宋体" w:cs="仿宋"/>
                <w:b/>
                <w:bCs/>
                <w:color w:val="auto"/>
                <w:kern w:val="0"/>
                <w:szCs w:val="21"/>
                <w:highlight w:val="none"/>
              </w:rPr>
            </w:pPr>
          </w:p>
        </w:tc>
      </w:tr>
      <w:tr w14:paraId="590407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1" w:type="dxa"/>
            <w:vAlign w:val="center"/>
          </w:tcPr>
          <w:p w14:paraId="12A9C26F">
            <w:pPr>
              <w:jc w:val="center"/>
              <w:rPr>
                <w:rFonts w:ascii="宋体" w:hAnsi="宋体" w:cs="仿宋"/>
                <w:b/>
                <w:bCs/>
                <w:color w:val="auto"/>
                <w:kern w:val="0"/>
                <w:szCs w:val="21"/>
                <w:highlight w:val="none"/>
              </w:rPr>
            </w:pPr>
            <w:r>
              <w:rPr>
                <w:rFonts w:hint="eastAsia" w:ascii="宋体" w:hAnsi="宋体" w:cs="仿宋"/>
                <w:b/>
                <w:bCs/>
                <w:color w:val="auto"/>
                <w:kern w:val="0"/>
                <w:szCs w:val="21"/>
                <w:highlight w:val="none"/>
              </w:rPr>
              <w:t>3</w:t>
            </w:r>
          </w:p>
        </w:tc>
        <w:tc>
          <w:tcPr>
            <w:tcW w:w="3125" w:type="dxa"/>
            <w:vAlign w:val="center"/>
          </w:tcPr>
          <w:p w14:paraId="1594DD37">
            <w:pPr>
              <w:jc w:val="center"/>
              <w:rPr>
                <w:rFonts w:ascii="宋体" w:hAnsi="宋体" w:cs="仿宋"/>
                <w:b/>
                <w:bCs/>
                <w:color w:val="auto"/>
                <w:kern w:val="0"/>
                <w:szCs w:val="21"/>
                <w:highlight w:val="none"/>
              </w:rPr>
            </w:pPr>
          </w:p>
        </w:tc>
        <w:tc>
          <w:tcPr>
            <w:tcW w:w="1405" w:type="dxa"/>
            <w:vAlign w:val="center"/>
          </w:tcPr>
          <w:p w14:paraId="0AF74600">
            <w:pPr>
              <w:jc w:val="center"/>
              <w:rPr>
                <w:rFonts w:ascii="宋体" w:hAnsi="宋体" w:cs="仿宋"/>
                <w:b/>
                <w:bCs/>
                <w:color w:val="auto"/>
                <w:kern w:val="0"/>
                <w:szCs w:val="21"/>
                <w:highlight w:val="none"/>
              </w:rPr>
            </w:pPr>
          </w:p>
        </w:tc>
        <w:tc>
          <w:tcPr>
            <w:tcW w:w="2199" w:type="dxa"/>
            <w:vAlign w:val="center"/>
          </w:tcPr>
          <w:p w14:paraId="4B451842">
            <w:pPr>
              <w:jc w:val="center"/>
              <w:rPr>
                <w:rFonts w:ascii="宋体" w:hAnsi="宋体" w:cs="仿宋"/>
                <w:b/>
                <w:bCs/>
                <w:color w:val="auto"/>
                <w:kern w:val="0"/>
                <w:szCs w:val="21"/>
                <w:highlight w:val="none"/>
              </w:rPr>
            </w:pPr>
          </w:p>
        </w:tc>
        <w:tc>
          <w:tcPr>
            <w:tcW w:w="1559" w:type="dxa"/>
            <w:vAlign w:val="center"/>
          </w:tcPr>
          <w:p w14:paraId="34C086E6">
            <w:pPr>
              <w:jc w:val="center"/>
              <w:rPr>
                <w:rFonts w:ascii="宋体" w:hAnsi="宋体" w:cs="仿宋"/>
                <w:b/>
                <w:bCs/>
                <w:color w:val="auto"/>
                <w:kern w:val="0"/>
                <w:szCs w:val="21"/>
                <w:highlight w:val="none"/>
              </w:rPr>
            </w:pPr>
          </w:p>
        </w:tc>
      </w:tr>
      <w:tr w14:paraId="4D8B59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1" w:type="dxa"/>
            <w:vAlign w:val="center"/>
          </w:tcPr>
          <w:p w14:paraId="0A91AA0C">
            <w:pPr>
              <w:jc w:val="center"/>
              <w:rPr>
                <w:rFonts w:ascii="宋体" w:hAnsi="宋体" w:cs="仿宋"/>
                <w:b/>
                <w:bCs/>
                <w:color w:val="auto"/>
                <w:kern w:val="0"/>
                <w:szCs w:val="21"/>
                <w:highlight w:val="none"/>
              </w:rPr>
            </w:pPr>
            <w:r>
              <w:rPr>
                <w:rFonts w:hint="eastAsia" w:ascii="宋体" w:hAnsi="宋体" w:cs="仿宋"/>
                <w:b/>
                <w:bCs/>
                <w:color w:val="auto"/>
                <w:kern w:val="0"/>
                <w:szCs w:val="21"/>
                <w:highlight w:val="none"/>
              </w:rPr>
              <w:t>4</w:t>
            </w:r>
          </w:p>
        </w:tc>
        <w:tc>
          <w:tcPr>
            <w:tcW w:w="3125" w:type="dxa"/>
            <w:vAlign w:val="center"/>
          </w:tcPr>
          <w:p w14:paraId="11353EEB">
            <w:pPr>
              <w:jc w:val="center"/>
              <w:rPr>
                <w:rFonts w:ascii="宋体" w:hAnsi="宋体" w:cs="仿宋"/>
                <w:b/>
                <w:bCs/>
                <w:color w:val="auto"/>
                <w:kern w:val="0"/>
                <w:szCs w:val="21"/>
                <w:highlight w:val="none"/>
              </w:rPr>
            </w:pPr>
          </w:p>
        </w:tc>
        <w:tc>
          <w:tcPr>
            <w:tcW w:w="1405" w:type="dxa"/>
            <w:vAlign w:val="center"/>
          </w:tcPr>
          <w:p w14:paraId="42BB6575">
            <w:pPr>
              <w:jc w:val="center"/>
              <w:rPr>
                <w:rFonts w:ascii="宋体" w:hAnsi="宋体" w:cs="仿宋"/>
                <w:b/>
                <w:bCs/>
                <w:color w:val="auto"/>
                <w:kern w:val="0"/>
                <w:szCs w:val="21"/>
                <w:highlight w:val="none"/>
              </w:rPr>
            </w:pPr>
          </w:p>
        </w:tc>
        <w:tc>
          <w:tcPr>
            <w:tcW w:w="2199" w:type="dxa"/>
            <w:vAlign w:val="center"/>
          </w:tcPr>
          <w:p w14:paraId="2A301A2A">
            <w:pPr>
              <w:jc w:val="center"/>
              <w:rPr>
                <w:rFonts w:ascii="宋体" w:hAnsi="宋体" w:cs="仿宋"/>
                <w:b/>
                <w:bCs/>
                <w:color w:val="auto"/>
                <w:kern w:val="0"/>
                <w:szCs w:val="21"/>
                <w:highlight w:val="none"/>
              </w:rPr>
            </w:pPr>
          </w:p>
        </w:tc>
        <w:tc>
          <w:tcPr>
            <w:tcW w:w="1559" w:type="dxa"/>
            <w:vAlign w:val="center"/>
          </w:tcPr>
          <w:p w14:paraId="12687CE0">
            <w:pPr>
              <w:jc w:val="center"/>
              <w:rPr>
                <w:rFonts w:ascii="宋体" w:hAnsi="宋体" w:cs="仿宋"/>
                <w:b/>
                <w:bCs/>
                <w:color w:val="auto"/>
                <w:kern w:val="0"/>
                <w:szCs w:val="21"/>
                <w:highlight w:val="none"/>
              </w:rPr>
            </w:pPr>
          </w:p>
        </w:tc>
      </w:tr>
      <w:tr w14:paraId="17D53E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1" w:type="dxa"/>
            <w:vAlign w:val="center"/>
          </w:tcPr>
          <w:p w14:paraId="75E2DEC5">
            <w:pPr>
              <w:jc w:val="center"/>
              <w:rPr>
                <w:rFonts w:ascii="宋体" w:hAnsi="宋体" w:cs="仿宋"/>
                <w:b/>
                <w:bCs/>
                <w:color w:val="auto"/>
                <w:kern w:val="0"/>
                <w:szCs w:val="21"/>
                <w:highlight w:val="none"/>
              </w:rPr>
            </w:pPr>
            <w:r>
              <w:rPr>
                <w:rFonts w:hint="eastAsia" w:ascii="宋体" w:hAnsi="宋体" w:cs="仿宋"/>
                <w:b/>
                <w:bCs/>
                <w:color w:val="auto"/>
                <w:kern w:val="0"/>
                <w:szCs w:val="21"/>
                <w:highlight w:val="none"/>
              </w:rPr>
              <w:t>5</w:t>
            </w:r>
          </w:p>
        </w:tc>
        <w:tc>
          <w:tcPr>
            <w:tcW w:w="3125" w:type="dxa"/>
            <w:vAlign w:val="center"/>
          </w:tcPr>
          <w:p w14:paraId="1B89101F">
            <w:pPr>
              <w:jc w:val="center"/>
              <w:rPr>
                <w:rFonts w:ascii="宋体" w:hAnsi="宋体" w:cs="仿宋"/>
                <w:b/>
                <w:bCs/>
                <w:color w:val="auto"/>
                <w:kern w:val="0"/>
                <w:szCs w:val="21"/>
                <w:highlight w:val="none"/>
              </w:rPr>
            </w:pPr>
          </w:p>
        </w:tc>
        <w:tc>
          <w:tcPr>
            <w:tcW w:w="1405" w:type="dxa"/>
            <w:vAlign w:val="center"/>
          </w:tcPr>
          <w:p w14:paraId="743C461B">
            <w:pPr>
              <w:jc w:val="center"/>
              <w:rPr>
                <w:rFonts w:ascii="宋体" w:hAnsi="宋体" w:cs="仿宋"/>
                <w:b/>
                <w:bCs/>
                <w:color w:val="auto"/>
                <w:kern w:val="0"/>
                <w:szCs w:val="21"/>
                <w:highlight w:val="none"/>
              </w:rPr>
            </w:pPr>
          </w:p>
        </w:tc>
        <w:tc>
          <w:tcPr>
            <w:tcW w:w="2199" w:type="dxa"/>
            <w:vAlign w:val="center"/>
          </w:tcPr>
          <w:p w14:paraId="475A79A3">
            <w:pPr>
              <w:jc w:val="center"/>
              <w:rPr>
                <w:rFonts w:ascii="宋体" w:hAnsi="宋体" w:cs="仿宋"/>
                <w:b/>
                <w:bCs/>
                <w:color w:val="auto"/>
                <w:kern w:val="0"/>
                <w:szCs w:val="21"/>
                <w:highlight w:val="none"/>
              </w:rPr>
            </w:pPr>
          </w:p>
        </w:tc>
        <w:tc>
          <w:tcPr>
            <w:tcW w:w="1559" w:type="dxa"/>
            <w:vAlign w:val="center"/>
          </w:tcPr>
          <w:p w14:paraId="74F9378E">
            <w:pPr>
              <w:jc w:val="center"/>
              <w:rPr>
                <w:rFonts w:ascii="宋体" w:hAnsi="宋体" w:cs="仿宋"/>
                <w:b/>
                <w:bCs/>
                <w:color w:val="auto"/>
                <w:kern w:val="0"/>
                <w:szCs w:val="21"/>
                <w:highlight w:val="none"/>
              </w:rPr>
            </w:pPr>
          </w:p>
        </w:tc>
      </w:tr>
      <w:tr w14:paraId="20A30B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1" w:type="dxa"/>
            <w:vAlign w:val="center"/>
          </w:tcPr>
          <w:p w14:paraId="6ACC3893">
            <w:pPr>
              <w:jc w:val="center"/>
              <w:rPr>
                <w:rFonts w:ascii="宋体" w:hAnsi="宋体" w:cs="仿宋"/>
                <w:b/>
                <w:bCs/>
                <w:color w:val="auto"/>
                <w:kern w:val="0"/>
                <w:szCs w:val="21"/>
                <w:highlight w:val="none"/>
              </w:rPr>
            </w:pPr>
            <w:r>
              <w:rPr>
                <w:rFonts w:hint="eastAsia" w:ascii="宋体" w:hAnsi="宋体" w:cs="仿宋"/>
                <w:b/>
                <w:bCs/>
                <w:color w:val="auto"/>
                <w:kern w:val="0"/>
                <w:szCs w:val="21"/>
                <w:highlight w:val="none"/>
              </w:rPr>
              <w:t>6</w:t>
            </w:r>
          </w:p>
        </w:tc>
        <w:tc>
          <w:tcPr>
            <w:tcW w:w="3125" w:type="dxa"/>
            <w:vAlign w:val="center"/>
          </w:tcPr>
          <w:p w14:paraId="37A34B73">
            <w:pPr>
              <w:jc w:val="center"/>
              <w:rPr>
                <w:rFonts w:ascii="宋体" w:hAnsi="宋体" w:cs="仿宋"/>
                <w:b/>
                <w:bCs/>
                <w:color w:val="auto"/>
                <w:kern w:val="0"/>
                <w:szCs w:val="21"/>
                <w:highlight w:val="none"/>
              </w:rPr>
            </w:pPr>
          </w:p>
        </w:tc>
        <w:tc>
          <w:tcPr>
            <w:tcW w:w="1405" w:type="dxa"/>
            <w:vAlign w:val="center"/>
          </w:tcPr>
          <w:p w14:paraId="0E9251EC">
            <w:pPr>
              <w:jc w:val="center"/>
              <w:rPr>
                <w:rFonts w:ascii="宋体" w:hAnsi="宋体" w:cs="仿宋"/>
                <w:b/>
                <w:bCs/>
                <w:color w:val="auto"/>
                <w:kern w:val="0"/>
                <w:szCs w:val="21"/>
                <w:highlight w:val="none"/>
              </w:rPr>
            </w:pPr>
          </w:p>
        </w:tc>
        <w:tc>
          <w:tcPr>
            <w:tcW w:w="2199" w:type="dxa"/>
            <w:vAlign w:val="center"/>
          </w:tcPr>
          <w:p w14:paraId="1E5D87BA">
            <w:pPr>
              <w:jc w:val="center"/>
              <w:rPr>
                <w:rFonts w:ascii="宋体" w:hAnsi="宋体" w:cs="仿宋"/>
                <w:b/>
                <w:bCs/>
                <w:color w:val="auto"/>
                <w:kern w:val="0"/>
                <w:szCs w:val="21"/>
                <w:highlight w:val="none"/>
              </w:rPr>
            </w:pPr>
          </w:p>
        </w:tc>
        <w:tc>
          <w:tcPr>
            <w:tcW w:w="1559" w:type="dxa"/>
            <w:vAlign w:val="center"/>
          </w:tcPr>
          <w:p w14:paraId="052CBEDE">
            <w:pPr>
              <w:jc w:val="center"/>
              <w:rPr>
                <w:rFonts w:ascii="宋体" w:hAnsi="宋体" w:cs="仿宋"/>
                <w:b/>
                <w:bCs/>
                <w:color w:val="auto"/>
                <w:kern w:val="0"/>
                <w:szCs w:val="21"/>
                <w:highlight w:val="none"/>
              </w:rPr>
            </w:pPr>
          </w:p>
        </w:tc>
      </w:tr>
      <w:tr w14:paraId="6A30B4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1" w:type="dxa"/>
            <w:vAlign w:val="center"/>
          </w:tcPr>
          <w:p w14:paraId="29F8AC68">
            <w:pPr>
              <w:jc w:val="center"/>
              <w:rPr>
                <w:rFonts w:ascii="宋体" w:hAnsi="宋体" w:cs="仿宋"/>
                <w:b/>
                <w:bCs/>
                <w:color w:val="auto"/>
                <w:kern w:val="0"/>
                <w:szCs w:val="21"/>
                <w:highlight w:val="none"/>
              </w:rPr>
            </w:pPr>
            <w:r>
              <w:rPr>
                <w:rFonts w:hint="eastAsia" w:ascii="宋体" w:hAnsi="宋体" w:cs="仿宋"/>
                <w:b/>
                <w:bCs/>
                <w:color w:val="auto"/>
                <w:kern w:val="0"/>
                <w:szCs w:val="21"/>
                <w:highlight w:val="none"/>
              </w:rPr>
              <w:t>……</w:t>
            </w:r>
          </w:p>
        </w:tc>
        <w:tc>
          <w:tcPr>
            <w:tcW w:w="3125" w:type="dxa"/>
            <w:vAlign w:val="center"/>
          </w:tcPr>
          <w:p w14:paraId="43FAEAA5">
            <w:pPr>
              <w:jc w:val="center"/>
              <w:rPr>
                <w:rFonts w:ascii="宋体" w:hAnsi="宋体" w:cs="仿宋"/>
                <w:b/>
                <w:bCs/>
                <w:color w:val="auto"/>
                <w:kern w:val="0"/>
                <w:szCs w:val="21"/>
                <w:highlight w:val="none"/>
              </w:rPr>
            </w:pPr>
            <w:r>
              <w:rPr>
                <w:rFonts w:hint="eastAsia" w:ascii="宋体" w:hAnsi="宋体" w:cs="仿宋"/>
                <w:b/>
                <w:bCs/>
                <w:color w:val="auto"/>
                <w:kern w:val="0"/>
                <w:szCs w:val="21"/>
                <w:highlight w:val="none"/>
              </w:rPr>
              <w:t>……</w:t>
            </w:r>
          </w:p>
        </w:tc>
        <w:tc>
          <w:tcPr>
            <w:tcW w:w="1405" w:type="dxa"/>
            <w:vAlign w:val="center"/>
          </w:tcPr>
          <w:p w14:paraId="0C08A61E">
            <w:pPr>
              <w:jc w:val="center"/>
              <w:rPr>
                <w:rFonts w:ascii="宋体" w:hAnsi="宋体" w:cs="仿宋"/>
                <w:b/>
                <w:bCs/>
                <w:color w:val="auto"/>
                <w:kern w:val="0"/>
                <w:szCs w:val="21"/>
                <w:highlight w:val="none"/>
              </w:rPr>
            </w:pPr>
            <w:r>
              <w:rPr>
                <w:rFonts w:hint="eastAsia" w:ascii="宋体" w:hAnsi="宋体" w:cs="仿宋"/>
                <w:b/>
                <w:bCs/>
                <w:color w:val="auto"/>
                <w:kern w:val="0"/>
                <w:szCs w:val="21"/>
                <w:highlight w:val="none"/>
              </w:rPr>
              <w:t>……</w:t>
            </w:r>
          </w:p>
        </w:tc>
        <w:tc>
          <w:tcPr>
            <w:tcW w:w="2199" w:type="dxa"/>
            <w:vAlign w:val="center"/>
          </w:tcPr>
          <w:p w14:paraId="42D98F23">
            <w:pPr>
              <w:jc w:val="center"/>
              <w:rPr>
                <w:rFonts w:ascii="宋体" w:hAnsi="宋体" w:cs="仿宋"/>
                <w:b/>
                <w:bCs/>
                <w:color w:val="auto"/>
                <w:kern w:val="0"/>
                <w:szCs w:val="21"/>
                <w:highlight w:val="none"/>
              </w:rPr>
            </w:pPr>
            <w:r>
              <w:rPr>
                <w:rFonts w:hint="eastAsia" w:ascii="宋体" w:hAnsi="宋体" w:cs="仿宋"/>
                <w:b/>
                <w:bCs/>
                <w:color w:val="auto"/>
                <w:kern w:val="0"/>
                <w:szCs w:val="21"/>
                <w:highlight w:val="none"/>
              </w:rPr>
              <w:t>……</w:t>
            </w:r>
          </w:p>
        </w:tc>
        <w:tc>
          <w:tcPr>
            <w:tcW w:w="1559" w:type="dxa"/>
            <w:vAlign w:val="center"/>
          </w:tcPr>
          <w:p w14:paraId="2F54FB12">
            <w:pPr>
              <w:jc w:val="center"/>
              <w:rPr>
                <w:rFonts w:ascii="宋体" w:hAnsi="宋体" w:cs="仿宋"/>
                <w:b/>
                <w:bCs/>
                <w:color w:val="auto"/>
                <w:kern w:val="0"/>
                <w:szCs w:val="21"/>
                <w:highlight w:val="none"/>
              </w:rPr>
            </w:pPr>
          </w:p>
        </w:tc>
      </w:tr>
      <w:tr w14:paraId="7E0256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1" w:type="dxa"/>
            <w:vAlign w:val="center"/>
          </w:tcPr>
          <w:p w14:paraId="6991756B">
            <w:pPr>
              <w:jc w:val="center"/>
              <w:rPr>
                <w:rFonts w:ascii="宋体" w:hAnsi="宋体" w:cs="仿宋"/>
                <w:b/>
                <w:bCs/>
                <w:color w:val="auto"/>
                <w:kern w:val="0"/>
                <w:szCs w:val="21"/>
                <w:highlight w:val="none"/>
              </w:rPr>
            </w:pPr>
            <w:r>
              <w:rPr>
                <w:rFonts w:hint="eastAsia" w:ascii="宋体" w:hAnsi="宋体" w:cs="仿宋"/>
                <w:b/>
                <w:bCs/>
                <w:color w:val="auto"/>
                <w:kern w:val="0"/>
                <w:szCs w:val="21"/>
                <w:highlight w:val="none"/>
              </w:rPr>
              <w:t>……</w:t>
            </w:r>
          </w:p>
        </w:tc>
        <w:tc>
          <w:tcPr>
            <w:tcW w:w="3125" w:type="dxa"/>
            <w:vAlign w:val="center"/>
          </w:tcPr>
          <w:p w14:paraId="0C5278C5">
            <w:pPr>
              <w:jc w:val="center"/>
              <w:rPr>
                <w:rFonts w:ascii="宋体" w:hAnsi="宋体" w:cs="仿宋"/>
                <w:b/>
                <w:bCs/>
                <w:color w:val="auto"/>
                <w:kern w:val="0"/>
                <w:szCs w:val="21"/>
                <w:highlight w:val="none"/>
              </w:rPr>
            </w:pPr>
            <w:r>
              <w:rPr>
                <w:rFonts w:hint="eastAsia" w:ascii="宋体" w:hAnsi="宋体" w:cs="仿宋"/>
                <w:b/>
                <w:bCs/>
                <w:color w:val="auto"/>
                <w:kern w:val="0"/>
                <w:szCs w:val="21"/>
                <w:highlight w:val="none"/>
              </w:rPr>
              <w:t>……</w:t>
            </w:r>
          </w:p>
        </w:tc>
        <w:tc>
          <w:tcPr>
            <w:tcW w:w="1405" w:type="dxa"/>
            <w:vAlign w:val="center"/>
          </w:tcPr>
          <w:p w14:paraId="52EFCA73">
            <w:pPr>
              <w:jc w:val="center"/>
              <w:rPr>
                <w:rFonts w:ascii="宋体" w:hAnsi="宋体" w:cs="仿宋"/>
                <w:b/>
                <w:bCs/>
                <w:color w:val="auto"/>
                <w:kern w:val="0"/>
                <w:szCs w:val="21"/>
                <w:highlight w:val="none"/>
              </w:rPr>
            </w:pPr>
            <w:r>
              <w:rPr>
                <w:rFonts w:hint="eastAsia" w:ascii="宋体" w:hAnsi="宋体" w:cs="仿宋"/>
                <w:b/>
                <w:bCs/>
                <w:color w:val="auto"/>
                <w:kern w:val="0"/>
                <w:szCs w:val="21"/>
                <w:highlight w:val="none"/>
              </w:rPr>
              <w:t>……</w:t>
            </w:r>
          </w:p>
        </w:tc>
        <w:tc>
          <w:tcPr>
            <w:tcW w:w="2199" w:type="dxa"/>
            <w:vAlign w:val="center"/>
          </w:tcPr>
          <w:p w14:paraId="5436700C">
            <w:pPr>
              <w:jc w:val="center"/>
              <w:rPr>
                <w:rFonts w:ascii="宋体" w:hAnsi="宋体" w:cs="仿宋"/>
                <w:b/>
                <w:bCs/>
                <w:color w:val="auto"/>
                <w:kern w:val="0"/>
                <w:szCs w:val="21"/>
                <w:highlight w:val="none"/>
              </w:rPr>
            </w:pPr>
            <w:r>
              <w:rPr>
                <w:rFonts w:hint="eastAsia" w:ascii="宋体" w:hAnsi="宋体" w:cs="仿宋"/>
                <w:b/>
                <w:bCs/>
                <w:color w:val="auto"/>
                <w:kern w:val="0"/>
                <w:szCs w:val="21"/>
                <w:highlight w:val="none"/>
              </w:rPr>
              <w:t>……</w:t>
            </w:r>
          </w:p>
        </w:tc>
        <w:tc>
          <w:tcPr>
            <w:tcW w:w="1559" w:type="dxa"/>
            <w:vAlign w:val="center"/>
          </w:tcPr>
          <w:p w14:paraId="47756722">
            <w:pPr>
              <w:jc w:val="center"/>
              <w:rPr>
                <w:rFonts w:ascii="宋体" w:hAnsi="宋体" w:cs="仿宋"/>
                <w:b/>
                <w:bCs/>
                <w:color w:val="auto"/>
                <w:kern w:val="0"/>
                <w:szCs w:val="21"/>
                <w:highlight w:val="none"/>
              </w:rPr>
            </w:pPr>
          </w:p>
        </w:tc>
      </w:tr>
      <w:tr w14:paraId="146ED6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946" w:type="dxa"/>
            <w:gridSpan w:val="2"/>
            <w:vAlign w:val="center"/>
          </w:tcPr>
          <w:p w14:paraId="3ACF5D35">
            <w:pPr>
              <w:ind w:right="-143"/>
              <w:jc w:val="center"/>
              <w:rPr>
                <w:rFonts w:ascii="宋体" w:hAnsi="宋体" w:cs="仿宋"/>
                <w:b/>
                <w:bCs/>
                <w:color w:val="auto"/>
                <w:kern w:val="0"/>
                <w:szCs w:val="21"/>
                <w:highlight w:val="none"/>
              </w:rPr>
            </w:pPr>
            <w:r>
              <w:rPr>
                <w:rFonts w:hint="eastAsia" w:ascii="宋体" w:hAnsi="宋体" w:cs="仿宋"/>
                <w:b/>
                <w:bCs/>
                <w:color w:val="auto"/>
                <w:kern w:val="0"/>
                <w:szCs w:val="21"/>
                <w:highlight w:val="none"/>
              </w:rPr>
              <w:t>合计</w:t>
            </w:r>
          </w:p>
        </w:tc>
        <w:tc>
          <w:tcPr>
            <w:tcW w:w="1405" w:type="dxa"/>
            <w:vAlign w:val="center"/>
          </w:tcPr>
          <w:p w14:paraId="4037907F">
            <w:pPr>
              <w:jc w:val="center"/>
              <w:rPr>
                <w:rFonts w:ascii="宋体" w:hAnsi="宋体" w:cs="仿宋"/>
                <w:b/>
                <w:bCs/>
                <w:color w:val="auto"/>
                <w:kern w:val="0"/>
                <w:szCs w:val="21"/>
                <w:highlight w:val="none"/>
              </w:rPr>
            </w:pPr>
          </w:p>
        </w:tc>
        <w:tc>
          <w:tcPr>
            <w:tcW w:w="2199" w:type="dxa"/>
            <w:vAlign w:val="center"/>
          </w:tcPr>
          <w:p w14:paraId="2EAF349A">
            <w:pPr>
              <w:jc w:val="center"/>
              <w:rPr>
                <w:rFonts w:ascii="宋体" w:hAnsi="宋体" w:cs="仿宋"/>
                <w:b/>
                <w:bCs/>
                <w:color w:val="auto"/>
                <w:kern w:val="0"/>
                <w:szCs w:val="21"/>
                <w:highlight w:val="none"/>
              </w:rPr>
            </w:pPr>
          </w:p>
        </w:tc>
        <w:tc>
          <w:tcPr>
            <w:tcW w:w="1559" w:type="dxa"/>
            <w:vAlign w:val="center"/>
          </w:tcPr>
          <w:p w14:paraId="1281B0F8">
            <w:pPr>
              <w:jc w:val="center"/>
              <w:rPr>
                <w:rFonts w:ascii="宋体" w:hAnsi="宋体" w:cs="仿宋"/>
                <w:b/>
                <w:bCs/>
                <w:color w:val="auto"/>
                <w:kern w:val="0"/>
                <w:szCs w:val="21"/>
                <w:highlight w:val="none"/>
              </w:rPr>
            </w:pPr>
          </w:p>
        </w:tc>
      </w:tr>
    </w:tbl>
    <w:p w14:paraId="7B217C94">
      <w:pPr>
        <w:spacing w:line="360" w:lineRule="auto"/>
        <w:rPr>
          <w:rFonts w:ascii="宋体" w:hAnsi="宋体" w:cs="仿宋"/>
          <w:b/>
          <w:bCs/>
          <w:color w:val="auto"/>
          <w:kern w:val="0"/>
          <w:szCs w:val="21"/>
          <w:highlight w:val="none"/>
        </w:rPr>
      </w:pPr>
    </w:p>
    <w:p w14:paraId="4EB523B7">
      <w:pPr>
        <w:spacing w:line="360" w:lineRule="auto"/>
        <w:rPr>
          <w:rFonts w:ascii="宋体" w:hAnsi="宋体" w:cs="仿宋"/>
          <w:b/>
          <w:bCs/>
          <w:color w:val="auto"/>
          <w:kern w:val="0"/>
          <w:szCs w:val="21"/>
          <w:highlight w:val="none"/>
        </w:rPr>
      </w:pPr>
      <w:r>
        <w:rPr>
          <w:rFonts w:hint="eastAsia" w:ascii="宋体" w:hAnsi="宋体" w:cs="仿宋"/>
          <w:b/>
          <w:bCs/>
          <w:color w:val="auto"/>
          <w:kern w:val="0"/>
          <w:szCs w:val="21"/>
          <w:highlight w:val="none"/>
        </w:rPr>
        <w:t>注：</w:t>
      </w:r>
    </w:p>
    <w:p w14:paraId="1627F754">
      <w:pPr>
        <w:spacing w:line="360" w:lineRule="auto"/>
        <w:rPr>
          <w:rFonts w:ascii="宋体" w:hAnsi="宋体" w:cs="仿宋"/>
          <w:b/>
          <w:color w:val="auto"/>
          <w:kern w:val="0"/>
          <w:szCs w:val="21"/>
          <w:highlight w:val="none"/>
        </w:rPr>
      </w:pPr>
      <w:r>
        <w:rPr>
          <w:rFonts w:ascii="宋体" w:hAnsi="宋体" w:cs="仿宋"/>
          <w:b/>
          <w:color w:val="auto"/>
          <w:kern w:val="0"/>
          <w:szCs w:val="21"/>
          <w:highlight w:val="none"/>
        </w:rPr>
        <w:t xml:space="preserve">  1</w:t>
      </w:r>
      <w:r>
        <w:rPr>
          <w:rFonts w:hint="eastAsia" w:ascii="宋体" w:hAnsi="宋体" w:cs="仿宋"/>
          <w:b/>
          <w:color w:val="auto"/>
          <w:kern w:val="0"/>
          <w:szCs w:val="21"/>
          <w:highlight w:val="none"/>
        </w:rPr>
        <w:t>、*本项目采购需求中规定的政府强制采购节能产品应当在上表中填列并提供产品认证证书，否则投标将被否决。</w:t>
      </w:r>
    </w:p>
    <w:p w14:paraId="16480ECF">
      <w:pPr>
        <w:spacing w:line="360" w:lineRule="auto"/>
        <w:rPr>
          <w:rFonts w:ascii="宋体" w:hAnsi="宋体" w:cs="仿宋"/>
          <w:color w:val="auto"/>
          <w:kern w:val="0"/>
          <w:szCs w:val="21"/>
          <w:highlight w:val="none"/>
        </w:rPr>
      </w:pPr>
      <w:r>
        <w:rPr>
          <w:rFonts w:hint="eastAsia" w:ascii="宋体" w:hAnsi="宋体" w:cs="仿宋"/>
          <w:color w:val="auto"/>
          <w:kern w:val="0"/>
          <w:szCs w:val="21"/>
          <w:highlight w:val="none"/>
        </w:rPr>
        <w:t xml:space="preserve">  </w:t>
      </w:r>
      <w:r>
        <w:rPr>
          <w:rFonts w:ascii="宋体" w:hAnsi="宋体" w:cs="仿宋"/>
          <w:color w:val="auto"/>
          <w:kern w:val="0"/>
          <w:szCs w:val="21"/>
          <w:highlight w:val="none"/>
        </w:rPr>
        <w:t>2</w:t>
      </w:r>
      <w:r>
        <w:rPr>
          <w:rFonts w:hint="eastAsia" w:ascii="宋体" w:hAnsi="宋体" w:cs="仿宋"/>
          <w:color w:val="auto"/>
          <w:kern w:val="0"/>
          <w:szCs w:val="21"/>
          <w:highlight w:val="none"/>
        </w:rPr>
        <w:t>、投标人须在本表后附国家确定的认证机构出具的、处于有效期之内的节能产品产品认证证书复印件。</w:t>
      </w:r>
    </w:p>
    <w:p w14:paraId="1D9A2DFC">
      <w:pPr>
        <w:spacing w:line="360" w:lineRule="auto"/>
        <w:rPr>
          <w:rFonts w:ascii="宋体" w:hAnsi="宋体" w:cs="仿宋"/>
          <w:color w:val="auto"/>
          <w:kern w:val="0"/>
          <w:szCs w:val="21"/>
          <w:highlight w:val="none"/>
        </w:rPr>
      </w:pPr>
    </w:p>
    <w:p w14:paraId="3EE2CF20">
      <w:pPr>
        <w:spacing w:line="360" w:lineRule="auto"/>
        <w:rPr>
          <w:rFonts w:ascii="宋体" w:hAnsi="宋体" w:cs="仿宋"/>
          <w:color w:val="auto"/>
          <w:kern w:val="0"/>
          <w:szCs w:val="21"/>
          <w:highlight w:val="none"/>
        </w:rPr>
      </w:pPr>
    </w:p>
    <w:p w14:paraId="1E30C968">
      <w:pPr>
        <w:pStyle w:val="17"/>
        <w:tabs>
          <w:tab w:val="left" w:pos="7321"/>
        </w:tabs>
        <w:jc w:val="right"/>
        <w:rPr>
          <w:color w:val="auto"/>
          <w:highlight w:val="none"/>
        </w:rPr>
      </w:pPr>
      <w:r>
        <w:rPr>
          <w:color w:val="auto"/>
          <w:highlight w:val="none"/>
        </w:rPr>
        <w:t>投 标</w:t>
      </w:r>
      <w:r>
        <w:rPr>
          <w:color w:val="auto"/>
          <w:spacing w:val="-2"/>
          <w:highlight w:val="none"/>
        </w:rPr>
        <w:t xml:space="preserve"> </w:t>
      </w:r>
      <w:r>
        <w:rPr>
          <w:color w:val="auto"/>
          <w:highlight w:val="none"/>
        </w:rPr>
        <w:t>人：</w:t>
      </w:r>
      <w:r>
        <w:rPr>
          <w:color w:val="auto"/>
          <w:highlight w:val="none"/>
          <w:u w:val="single"/>
        </w:rPr>
        <w:t xml:space="preserve"> </w:t>
      </w:r>
      <w:r>
        <w:rPr>
          <w:rFonts w:hint="eastAsia"/>
          <w:color w:val="auto"/>
          <w:highlight w:val="none"/>
          <w:u w:val="single"/>
        </w:rPr>
        <w:t xml:space="preserve">                    </w:t>
      </w:r>
      <w:r>
        <w:rPr>
          <w:color w:val="auto"/>
          <w:highlight w:val="none"/>
        </w:rPr>
        <w:t>（盖单位章）</w:t>
      </w:r>
    </w:p>
    <w:p w14:paraId="587E3948">
      <w:pPr>
        <w:pStyle w:val="17"/>
        <w:tabs>
          <w:tab w:val="left" w:pos="6481"/>
        </w:tabs>
        <w:jc w:val="right"/>
        <w:rPr>
          <w:color w:val="auto"/>
          <w:highlight w:val="none"/>
        </w:rPr>
      </w:pPr>
      <w:r>
        <w:rPr>
          <w:color w:val="auto"/>
          <w:highlight w:val="none"/>
        </w:rPr>
        <w:t>法定代表人或其委托代理人：</w:t>
      </w:r>
      <w:r>
        <w:rPr>
          <w:color w:val="auto"/>
          <w:highlight w:val="none"/>
          <w:u w:val="single"/>
        </w:rPr>
        <w:t xml:space="preserve"> </w:t>
      </w:r>
      <w:r>
        <w:rPr>
          <w:rFonts w:hint="eastAsia"/>
          <w:color w:val="auto"/>
          <w:highlight w:val="none"/>
          <w:u w:val="single"/>
        </w:rPr>
        <w:t xml:space="preserve">        </w:t>
      </w:r>
      <w:r>
        <w:rPr>
          <w:color w:val="auto"/>
          <w:highlight w:val="none"/>
        </w:rPr>
        <w:t>（签字）</w:t>
      </w:r>
    </w:p>
    <w:p w14:paraId="2B63CFAF">
      <w:pPr>
        <w:pStyle w:val="17"/>
        <w:jc w:val="right"/>
        <w:rPr>
          <w:color w:val="auto"/>
          <w:highlight w:val="none"/>
        </w:rPr>
      </w:pPr>
      <w:r>
        <w:rPr>
          <w:color w:val="auto"/>
          <w:highlight w:val="none"/>
          <w:u w:val="single"/>
        </w:rPr>
        <w:t xml:space="preserve"> </w:t>
      </w:r>
      <w:r>
        <w:rPr>
          <w:rFonts w:hint="eastAsia"/>
          <w:color w:val="auto"/>
          <w:highlight w:val="none"/>
          <w:u w:val="single"/>
        </w:rPr>
        <w:t xml:space="preserve">      </w:t>
      </w:r>
      <w:r>
        <w:rPr>
          <w:color w:val="auto"/>
          <w:highlight w:val="none"/>
        </w:rPr>
        <w:t>年</w:t>
      </w:r>
      <w:r>
        <w:rPr>
          <w:color w:val="auto"/>
          <w:highlight w:val="none"/>
          <w:u w:val="single"/>
        </w:rPr>
        <w:t xml:space="preserve"> </w:t>
      </w:r>
      <w:r>
        <w:rPr>
          <w:rFonts w:hint="eastAsia"/>
          <w:color w:val="auto"/>
          <w:highlight w:val="none"/>
          <w:u w:val="single"/>
        </w:rPr>
        <w:t xml:space="preserve">    </w:t>
      </w:r>
      <w:r>
        <w:rPr>
          <w:color w:val="auto"/>
          <w:highlight w:val="none"/>
        </w:rPr>
        <w:t>月</w:t>
      </w:r>
      <w:r>
        <w:rPr>
          <w:color w:val="auto"/>
          <w:highlight w:val="none"/>
          <w:u w:val="single"/>
        </w:rPr>
        <w:t xml:space="preserve"> </w:t>
      </w:r>
      <w:r>
        <w:rPr>
          <w:rFonts w:hint="eastAsia"/>
          <w:color w:val="auto"/>
          <w:highlight w:val="none"/>
          <w:u w:val="single"/>
        </w:rPr>
        <w:t xml:space="preserve">    </w:t>
      </w:r>
      <w:r>
        <w:rPr>
          <w:color w:val="auto"/>
          <w:highlight w:val="none"/>
        </w:rPr>
        <w:t>日</w:t>
      </w:r>
    </w:p>
    <w:p w14:paraId="290DF103">
      <w:pPr>
        <w:widowControl/>
        <w:jc w:val="left"/>
        <w:rPr>
          <w:rFonts w:ascii="宋体" w:hAnsi="宋体" w:cs="宋体"/>
          <w:b/>
          <w:bCs/>
          <w:color w:val="auto"/>
          <w:kern w:val="0"/>
          <w:sz w:val="36"/>
          <w:szCs w:val="36"/>
          <w:highlight w:val="none"/>
        </w:rPr>
      </w:pPr>
      <w:r>
        <w:rPr>
          <w:rFonts w:ascii="宋体" w:hAnsi="宋体" w:cs="宋体"/>
          <w:b/>
          <w:bCs/>
          <w:color w:val="auto"/>
          <w:kern w:val="0"/>
          <w:sz w:val="36"/>
          <w:szCs w:val="36"/>
          <w:highlight w:val="none"/>
        </w:rPr>
        <w:br w:type="page"/>
      </w:r>
    </w:p>
    <w:p w14:paraId="0090DB8E">
      <w:pPr>
        <w:spacing w:line="360" w:lineRule="auto"/>
        <w:jc w:val="center"/>
        <w:rPr>
          <w:rFonts w:ascii="宋体" w:hAnsi="宋体" w:cs="仿宋"/>
          <w:b/>
          <w:bCs/>
          <w:color w:val="auto"/>
          <w:kern w:val="0"/>
          <w:sz w:val="28"/>
          <w:szCs w:val="28"/>
          <w:highlight w:val="none"/>
        </w:rPr>
      </w:pPr>
      <w:r>
        <w:rPr>
          <w:rFonts w:hint="eastAsia" w:ascii="宋体" w:hAnsi="宋体" w:cs="仿宋"/>
          <w:b/>
          <w:bCs/>
          <w:color w:val="auto"/>
          <w:kern w:val="0"/>
          <w:sz w:val="28"/>
          <w:szCs w:val="28"/>
          <w:highlight w:val="none"/>
        </w:rPr>
        <w:t>节能、环境标志产品明细表（评审加分用）</w:t>
      </w:r>
    </w:p>
    <w:p w14:paraId="50437827">
      <w:pPr>
        <w:spacing w:line="360" w:lineRule="auto"/>
        <w:jc w:val="center"/>
        <w:rPr>
          <w:rFonts w:ascii="宋体" w:hAnsi="宋体" w:cs="仿宋"/>
          <w:color w:val="auto"/>
          <w:kern w:val="0"/>
          <w:szCs w:val="21"/>
          <w:highlight w:val="none"/>
        </w:rPr>
      </w:pPr>
      <w:r>
        <w:rPr>
          <w:rFonts w:hint="eastAsia" w:ascii="宋体" w:hAnsi="宋体" w:cs="仿宋"/>
          <w:color w:val="auto"/>
          <w:kern w:val="0"/>
          <w:szCs w:val="21"/>
          <w:highlight w:val="none"/>
        </w:rPr>
        <w:t>（若有，请如实填写）</w:t>
      </w:r>
    </w:p>
    <w:tbl>
      <w:tblPr>
        <w:tblStyle w:val="40"/>
        <w:tblW w:w="9109" w:type="dxa"/>
        <w:tblInd w:w="7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1"/>
        <w:gridCol w:w="3125"/>
        <w:gridCol w:w="1405"/>
        <w:gridCol w:w="2199"/>
        <w:gridCol w:w="1559"/>
      </w:tblGrid>
      <w:tr w14:paraId="6AA9D6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1" w:type="dxa"/>
            <w:vAlign w:val="center"/>
          </w:tcPr>
          <w:p w14:paraId="47655865">
            <w:pPr>
              <w:jc w:val="center"/>
              <w:rPr>
                <w:rFonts w:ascii="宋体" w:hAnsi="宋体" w:cs="仿宋"/>
                <w:b/>
                <w:bCs/>
                <w:color w:val="auto"/>
                <w:kern w:val="0"/>
                <w:szCs w:val="21"/>
                <w:highlight w:val="none"/>
              </w:rPr>
            </w:pPr>
            <w:r>
              <w:rPr>
                <w:rFonts w:hint="eastAsia" w:ascii="宋体" w:hAnsi="宋体" w:cs="仿宋"/>
                <w:b/>
                <w:bCs/>
                <w:color w:val="auto"/>
                <w:kern w:val="0"/>
                <w:szCs w:val="21"/>
                <w:highlight w:val="none"/>
              </w:rPr>
              <w:t>序号</w:t>
            </w:r>
          </w:p>
        </w:tc>
        <w:tc>
          <w:tcPr>
            <w:tcW w:w="3125" w:type="dxa"/>
            <w:vAlign w:val="center"/>
          </w:tcPr>
          <w:p w14:paraId="15FCF309">
            <w:pPr>
              <w:jc w:val="center"/>
              <w:rPr>
                <w:rFonts w:ascii="宋体" w:hAnsi="宋体" w:cs="仿宋"/>
                <w:b/>
                <w:bCs/>
                <w:color w:val="auto"/>
                <w:kern w:val="0"/>
                <w:szCs w:val="21"/>
                <w:highlight w:val="none"/>
              </w:rPr>
            </w:pPr>
            <w:r>
              <w:rPr>
                <w:rFonts w:hint="eastAsia" w:ascii="宋体" w:hAnsi="宋体" w:cs="仿宋"/>
                <w:b/>
                <w:bCs/>
                <w:color w:val="auto"/>
                <w:kern w:val="0"/>
                <w:szCs w:val="21"/>
                <w:highlight w:val="none"/>
              </w:rPr>
              <w:t>清单产品名称</w:t>
            </w:r>
          </w:p>
        </w:tc>
        <w:tc>
          <w:tcPr>
            <w:tcW w:w="1405" w:type="dxa"/>
            <w:vAlign w:val="center"/>
          </w:tcPr>
          <w:p w14:paraId="240459AB">
            <w:pPr>
              <w:jc w:val="center"/>
              <w:rPr>
                <w:rFonts w:ascii="宋体" w:hAnsi="宋体" w:cs="仿宋"/>
                <w:b/>
                <w:bCs/>
                <w:color w:val="auto"/>
                <w:kern w:val="0"/>
                <w:szCs w:val="21"/>
                <w:highlight w:val="none"/>
              </w:rPr>
            </w:pPr>
            <w:r>
              <w:rPr>
                <w:rFonts w:hint="eastAsia" w:ascii="宋体" w:hAnsi="宋体" w:cs="仿宋"/>
                <w:b/>
                <w:bCs/>
                <w:color w:val="auto"/>
                <w:kern w:val="0"/>
                <w:szCs w:val="21"/>
                <w:highlight w:val="none"/>
              </w:rPr>
              <w:t>金额（元）</w:t>
            </w:r>
          </w:p>
        </w:tc>
        <w:tc>
          <w:tcPr>
            <w:tcW w:w="2199" w:type="dxa"/>
            <w:vAlign w:val="center"/>
          </w:tcPr>
          <w:p w14:paraId="55F0ADD7">
            <w:pPr>
              <w:jc w:val="center"/>
              <w:rPr>
                <w:rFonts w:ascii="宋体" w:hAnsi="宋体" w:cs="仿宋"/>
                <w:b/>
                <w:bCs/>
                <w:color w:val="auto"/>
                <w:kern w:val="0"/>
                <w:szCs w:val="21"/>
                <w:highlight w:val="none"/>
              </w:rPr>
            </w:pPr>
            <w:r>
              <w:rPr>
                <w:rFonts w:hint="eastAsia" w:ascii="宋体" w:hAnsi="宋体" w:cs="仿宋"/>
                <w:b/>
                <w:bCs/>
                <w:color w:val="auto"/>
                <w:kern w:val="0"/>
                <w:szCs w:val="21"/>
                <w:highlight w:val="none"/>
              </w:rPr>
              <w:t>清单页数及序号</w:t>
            </w:r>
          </w:p>
        </w:tc>
        <w:tc>
          <w:tcPr>
            <w:tcW w:w="1559" w:type="dxa"/>
            <w:vAlign w:val="center"/>
          </w:tcPr>
          <w:p w14:paraId="0D49FE34">
            <w:pPr>
              <w:jc w:val="center"/>
              <w:rPr>
                <w:rFonts w:ascii="宋体" w:hAnsi="宋体" w:cs="仿宋"/>
                <w:b/>
                <w:bCs/>
                <w:color w:val="auto"/>
                <w:kern w:val="0"/>
                <w:szCs w:val="21"/>
                <w:highlight w:val="none"/>
              </w:rPr>
            </w:pPr>
            <w:r>
              <w:rPr>
                <w:rFonts w:hint="eastAsia" w:ascii="宋体" w:hAnsi="宋体" w:cs="仿宋"/>
                <w:b/>
                <w:bCs/>
                <w:color w:val="auto"/>
                <w:kern w:val="0"/>
                <w:szCs w:val="21"/>
                <w:highlight w:val="none"/>
              </w:rPr>
              <w:t>备注</w:t>
            </w:r>
          </w:p>
        </w:tc>
      </w:tr>
      <w:tr w14:paraId="563DBA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1" w:type="dxa"/>
            <w:vAlign w:val="center"/>
          </w:tcPr>
          <w:p w14:paraId="1090FCC9">
            <w:pPr>
              <w:jc w:val="center"/>
              <w:rPr>
                <w:rFonts w:ascii="宋体" w:hAnsi="宋体" w:cs="仿宋"/>
                <w:b/>
                <w:bCs/>
                <w:color w:val="auto"/>
                <w:kern w:val="0"/>
                <w:szCs w:val="21"/>
                <w:highlight w:val="none"/>
              </w:rPr>
            </w:pPr>
            <w:r>
              <w:rPr>
                <w:rFonts w:hint="eastAsia" w:ascii="宋体" w:hAnsi="宋体" w:cs="仿宋"/>
                <w:b/>
                <w:bCs/>
                <w:color w:val="auto"/>
                <w:kern w:val="0"/>
                <w:szCs w:val="21"/>
                <w:highlight w:val="none"/>
              </w:rPr>
              <w:t>1</w:t>
            </w:r>
          </w:p>
        </w:tc>
        <w:tc>
          <w:tcPr>
            <w:tcW w:w="3125" w:type="dxa"/>
            <w:vAlign w:val="center"/>
          </w:tcPr>
          <w:p w14:paraId="253E6671">
            <w:pPr>
              <w:jc w:val="center"/>
              <w:rPr>
                <w:rFonts w:ascii="宋体" w:hAnsi="宋体" w:cs="仿宋"/>
                <w:b/>
                <w:bCs/>
                <w:color w:val="auto"/>
                <w:kern w:val="0"/>
                <w:szCs w:val="21"/>
                <w:highlight w:val="none"/>
              </w:rPr>
            </w:pPr>
          </w:p>
        </w:tc>
        <w:tc>
          <w:tcPr>
            <w:tcW w:w="1405" w:type="dxa"/>
            <w:vAlign w:val="center"/>
          </w:tcPr>
          <w:p w14:paraId="65ECB219">
            <w:pPr>
              <w:jc w:val="center"/>
              <w:rPr>
                <w:rFonts w:ascii="宋体" w:hAnsi="宋体" w:cs="仿宋"/>
                <w:b/>
                <w:bCs/>
                <w:color w:val="auto"/>
                <w:kern w:val="0"/>
                <w:szCs w:val="21"/>
                <w:highlight w:val="none"/>
              </w:rPr>
            </w:pPr>
          </w:p>
        </w:tc>
        <w:tc>
          <w:tcPr>
            <w:tcW w:w="2199" w:type="dxa"/>
            <w:vAlign w:val="center"/>
          </w:tcPr>
          <w:p w14:paraId="44795A00">
            <w:pPr>
              <w:jc w:val="center"/>
              <w:rPr>
                <w:rFonts w:ascii="宋体" w:hAnsi="宋体" w:cs="仿宋"/>
                <w:b/>
                <w:bCs/>
                <w:color w:val="auto"/>
                <w:kern w:val="0"/>
                <w:szCs w:val="21"/>
                <w:highlight w:val="none"/>
              </w:rPr>
            </w:pPr>
          </w:p>
        </w:tc>
        <w:tc>
          <w:tcPr>
            <w:tcW w:w="1559" w:type="dxa"/>
            <w:vAlign w:val="center"/>
          </w:tcPr>
          <w:p w14:paraId="7E7E8192">
            <w:pPr>
              <w:jc w:val="center"/>
              <w:rPr>
                <w:rFonts w:ascii="宋体" w:hAnsi="宋体" w:cs="仿宋"/>
                <w:b/>
                <w:bCs/>
                <w:color w:val="auto"/>
                <w:kern w:val="0"/>
                <w:szCs w:val="21"/>
                <w:highlight w:val="none"/>
              </w:rPr>
            </w:pPr>
          </w:p>
        </w:tc>
      </w:tr>
      <w:tr w14:paraId="3EFBB7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1" w:type="dxa"/>
            <w:vAlign w:val="center"/>
          </w:tcPr>
          <w:p w14:paraId="192868BD">
            <w:pPr>
              <w:jc w:val="center"/>
              <w:rPr>
                <w:rFonts w:ascii="宋体" w:hAnsi="宋体" w:cs="仿宋"/>
                <w:b/>
                <w:bCs/>
                <w:color w:val="auto"/>
                <w:kern w:val="0"/>
                <w:szCs w:val="21"/>
                <w:highlight w:val="none"/>
              </w:rPr>
            </w:pPr>
            <w:r>
              <w:rPr>
                <w:rFonts w:hint="eastAsia" w:ascii="宋体" w:hAnsi="宋体" w:cs="仿宋"/>
                <w:b/>
                <w:bCs/>
                <w:color w:val="auto"/>
                <w:kern w:val="0"/>
                <w:szCs w:val="21"/>
                <w:highlight w:val="none"/>
              </w:rPr>
              <w:t>2</w:t>
            </w:r>
          </w:p>
        </w:tc>
        <w:tc>
          <w:tcPr>
            <w:tcW w:w="3125" w:type="dxa"/>
            <w:vAlign w:val="center"/>
          </w:tcPr>
          <w:p w14:paraId="3E46E2E4">
            <w:pPr>
              <w:jc w:val="center"/>
              <w:rPr>
                <w:rFonts w:ascii="宋体" w:hAnsi="宋体" w:cs="仿宋"/>
                <w:b/>
                <w:bCs/>
                <w:color w:val="auto"/>
                <w:kern w:val="0"/>
                <w:szCs w:val="21"/>
                <w:highlight w:val="none"/>
              </w:rPr>
            </w:pPr>
          </w:p>
        </w:tc>
        <w:tc>
          <w:tcPr>
            <w:tcW w:w="1405" w:type="dxa"/>
            <w:vAlign w:val="center"/>
          </w:tcPr>
          <w:p w14:paraId="407B2290">
            <w:pPr>
              <w:jc w:val="center"/>
              <w:rPr>
                <w:rFonts w:ascii="宋体" w:hAnsi="宋体" w:cs="仿宋"/>
                <w:b/>
                <w:bCs/>
                <w:color w:val="auto"/>
                <w:kern w:val="0"/>
                <w:szCs w:val="21"/>
                <w:highlight w:val="none"/>
              </w:rPr>
            </w:pPr>
          </w:p>
        </w:tc>
        <w:tc>
          <w:tcPr>
            <w:tcW w:w="2199" w:type="dxa"/>
            <w:vAlign w:val="center"/>
          </w:tcPr>
          <w:p w14:paraId="4EE9D111">
            <w:pPr>
              <w:jc w:val="center"/>
              <w:rPr>
                <w:rFonts w:ascii="宋体" w:hAnsi="宋体" w:cs="仿宋"/>
                <w:b/>
                <w:bCs/>
                <w:color w:val="auto"/>
                <w:kern w:val="0"/>
                <w:szCs w:val="21"/>
                <w:highlight w:val="none"/>
              </w:rPr>
            </w:pPr>
          </w:p>
        </w:tc>
        <w:tc>
          <w:tcPr>
            <w:tcW w:w="1559" w:type="dxa"/>
            <w:vAlign w:val="center"/>
          </w:tcPr>
          <w:p w14:paraId="7B066272">
            <w:pPr>
              <w:jc w:val="center"/>
              <w:rPr>
                <w:rFonts w:ascii="宋体" w:hAnsi="宋体" w:cs="仿宋"/>
                <w:b/>
                <w:bCs/>
                <w:color w:val="auto"/>
                <w:kern w:val="0"/>
                <w:szCs w:val="21"/>
                <w:highlight w:val="none"/>
              </w:rPr>
            </w:pPr>
          </w:p>
        </w:tc>
      </w:tr>
      <w:tr w14:paraId="5FF6C8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1" w:type="dxa"/>
            <w:vAlign w:val="center"/>
          </w:tcPr>
          <w:p w14:paraId="59BAE47D">
            <w:pPr>
              <w:jc w:val="center"/>
              <w:rPr>
                <w:rFonts w:ascii="宋体" w:hAnsi="宋体" w:cs="仿宋"/>
                <w:b/>
                <w:bCs/>
                <w:color w:val="auto"/>
                <w:kern w:val="0"/>
                <w:szCs w:val="21"/>
                <w:highlight w:val="none"/>
              </w:rPr>
            </w:pPr>
            <w:r>
              <w:rPr>
                <w:rFonts w:hint="eastAsia" w:ascii="宋体" w:hAnsi="宋体" w:cs="仿宋"/>
                <w:b/>
                <w:bCs/>
                <w:color w:val="auto"/>
                <w:kern w:val="0"/>
                <w:szCs w:val="21"/>
                <w:highlight w:val="none"/>
              </w:rPr>
              <w:t>3</w:t>
            </w:r>
          </w:p>
        </w:tc>
        <w:tc>
          <w:tcPr>
            <w:tcW w:w="3125" w:type="dxa"/>
            <w:vAlign w:val="center"/>
          </w:tcPr>
          <w:p w14:paraId="71DC8472">
            <w:pPr>
              <w:jc w:val="center"/>
              <w:rPr>
                <w:rFonts w:ascii="宋体" w:hAnsi="宋体" w:cs="仿宋"/>
                <w:b/>
                <w:bCs/>
                <w:color w:val="auto"/>
                <w:kern w:val="0"/>
                <w:szCs w:val="21"/>
                <w:highlight w:val="none"/>
              </w:rPr>
            </w:pPr>
          </w:p>
        </w:tc>
        <w:tc>
          <w:tcPr>
            <w:tcW w:w="1405" w:type="dxa"/>
            <w:vAlign w:val="center"/>
          </w:tcPr>
          <w:p w14:paraId="33D1FEFA">
            <w:pPr>
              <w:jc w:val="center"/>
              <w:rPr>
                <w:rFonts w:ascii="宋体" w:hAnsi="宋体" w:cs="仿宋"/>
                <w:b/>
                <w:bCs/>
                <w:color w:val="auto"/>
                <w:kern w:val="0"/>
                <w:szCs w:val="21"/>
                <w:highlight w:val="none"/>
              </w:rPr>
            </w:pPr>
          </w:p>
        </w:tc>
        <w:tc>
          <w:tcPr>
            <w:tcW w:w="2199" w:type="dxa"/>
            <w:vAlign w:val="center"/>
          </w:tcPr>
          <w:p w14:paraId="1A2F9683">
            <w:pPr>
              <w:jc w:val="center"/>
              <w:rPr>
                <w:rFonts w:ascii="宋体" w:hAnsi="宋体" w:cs="仿宋"/>
                <w:b/>
                <w:bCs/>
                <w:color w:val="auto"/>
                <w:kern w:val="0"/>
                <w:szCs w:val="21"/>
                <w:highlight w:val="none"/>
              </w:rPr>
            </w:pPr>
          </w:p>
        </w:tc>
        <w:tc>
          <w:tcPr>
            <w:tcW w:w="1559" w:type="dxa"/>
            <w:vAlign w:val="center"/>
          </w:tcPr>
          <w:p w14:paraId="2EADE354">
            <w:pPr>
              <w:jc w:val="center"/>
              <w:rPr>
                <w:rFonts w:ascii="宋体" w:hAnsi="宋体" w:cs="仿宋"/>
                <w:b/>
                <w:bCs/>
                <w:color w:val="auto"/>
                <w:kern w:val="0"/>
                <w:szCs w:val="21"/>
                <w:highlight w:val="none"/>
              </w:rPr>
            </w:pPr>
          </w:p>
        </w:tc>
      </w:tr>
      <w:tr w14:paraId="341E51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1" w:type="dxa"/>
            <w:vAlign w:val="center"/>
          </w:tcPr>
          <w:p w14:paraId="19819480">
            <w:pPr>
              <w:jc w:val="center"/>
              <w:rPr>
                <w:rFonts w:ascii="宋体" w:hAnsi="宋体" w:cs="仿宋"/>
                <w:b/>
                <w:bCs/>
                <w:color w:val="auto"/>
                <w:kern w:val="0"/>
                <w:szCs w:val="21"/>
                <w:highlight w:val="none"/>
              </w:rPr>
            </w:pPr>
            <w:r>
              <w:rPr>
                <w:rFonts w:hint="eastAsia" w:ascii="宋体" w:hAnsi="宋体" w:cs="仿宋"/>
                <w:b/>
                <w:bCs/>
                <w:color w:val="auto"/>
                <w:kern w:val="0"/>
                <w:szCs w:val="21"/>
                <w:highlight w:val="none"/>
              </w:rPr>
              <w:t>4</w:t>
            </w:r>
          </w:p>
        </w:tc>
        <w:tc>
          <w:tcPr>
            <w:tcW w:w="3125" w:type="dxa"/>
            <w:vAlign w:val="center"/>
          </w:tcPr>
          <w:p w14:paraId="1B2A9EEF">
            <w:pPr>
              <w:jc w:val="center"/>
              <w:rPr>
                <w:rFonts w:ascii="宋体" w:hAnsi="宋体" w:cs="仿宋"/>
                <w:b/>
                <w:bCs/>
                <w:color w:val="auto"/>
                <w:kern w:val="0"/>
                <w:szCs w:val="21"/>
                <w:highlight w:val="none"/>
              </w:rPr>
            </w:pPr>
          </w:p>
        </w:tc>
        <w:tc>
          <w:tcPr>
            <w:tcW w:w="1405" w:type="dxa"/>
            <w:vAlign w:val="center"/>
          </w:tcPr>
          <w:p w14:paraId="4D2005A6">
            <w:pPr>
              <w:jc w:val="center"/>
              <w:rPr>
                <w:rFonts w:ascii="宋体" w:hAnsi="宋体" w:cs="仿宋"/>
                <w:b/>
                <w:bCs/>
                <w:color w:val="auto"/>
                <w:kern w:val="0"/>
                <w:szCs w:val="21"/>
                <w:highlight w:val="none"/>
              </w:rPr>
            </w:pPr>
          </w:p>
        </w:tc>
        <w:tc>
          <w:tcPr>
            <w:tcW w:w="2199" w:type="dxa"/>
            <w:vAlign w:val="center"/>
          </w:tcPr>
          <w:p w14:paraId="60858E70">
            <w:pPr>
              <w:jc w:val="center"/>
              <w:rPr>
                <w:rFonts w:ascii="宋体" w:hAnsi="宋体" w:cs="仿宋"/>
                <w:b/>
                <w:bCs/>
                <w:color w:val="auto"/>
                <w:kern w:val="0"/>
                <w:szCs w:val="21"/>
                <w:highlight w:val="none"/>
              </w:rPr>
            </w:pPr>
          </w:p>
        </w:tc>
        <w:tc>
          <w:tcPr>
            <w:tcW w:w="1559" w:type="dxa"/>
            <w:vAlign w:val="center"/>
          </w:tcPr>
          <w:p w14:paraId="7EB6566B">
            <w:pPr>
              <w:jc w:val="center"/>
              <w:rPr>
                <w:rFonts w:ascii="宋体" w:hAnsi="宋体" w:cs="仿宋"/>
                <w:b/>
                <w:bCs/>
                <w:color w:val="auto"/>
                <w:kern w:val="0"/>
                <w:szCs w:val="21"/>
                <w:highlight w:val="none"/>
              </w:rPr>
            </w:pPr>
          </w:p>
        </w:tc>
      </w:tr>
      <w:tr w14:paraId="22A940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1" w:type="dxa"/>
            <w:vAlign w:val="center"/>
          </w:tcPr>
          <w:p w14:paraId="0A1AA453">
            <w:pPr>
              <w:jc w:val="center"/>
              <w:rPr>
                <w:rFonts w:ascii="宋体" w:hAnsi="宋体" w:cs="仿宋"/>
                <w:b/>
                <w:bCs/>
                <w:color w:val="auto"/>
                <w:kern w:val="0"/>
                <w:szCs w:val="21"/>
                <w:highlight w:val="none"/>
              </w:rPr>
            </w:pPr>
            <w:r>
              <w:rPr>
                <w:rFonts w:hint="eastAsia" w:ascii="宋体" w:hAnsi="宋体" w:cs="仿宋"/>
                <w:b/>
                <w:bCs/>
                <w:color w:val="auto"/>
                <w:kern w:val="0"/>
                <w:szCs w:val="21"/>
                <w:highlight w:val="none"/>
              </w:rPr>
              <w:t>5</w:t>
            </w:r>
          </w:p>
        </w:tc>
        <w:tc>
          <w:tcPr>
            <w:tcW w:w="3125" w:type="dxa"/>
            <w:vAlign w:val="center"/>
          </w:tcPr>
          <w:p w14:paraId="3B1EAF03">
            <w:pPr>
              <w:jc w:val="center"/>
              <w:rPr>
                <w:rFonts w:ascii="宋体" w:hAnsi="宋体" w:cs="仿宋"/>
                <w:b/>
                <w:bCs/>
                <w:color w:val="auto"/>
                <w:kern w:val="0"/>
                <w:szCs w:val="21"/>
                <w:highlight w:val="none"/>
              </w:rPr>
            </w:pPr>
          </w:p>
        </w:tc>
        <w:tc>
          <w:tcPr>
            <w:tcW w:w="1405" w:type="dxa"/>
            <w:vAlign w:val="center"/>
          </w:tcPr>
          <w:p w14:paraId="232CDC09">
            <w:pPr>
              <w:jc w:val="center"/>
              <w:rPr>
                <w:rFonts w:ascii="宋体" w:hAnsi="宋体" w:cs="仿宋"/>
                <w:b/>
                <w:bCs/>
                <w:color w:val="auto"/>
                <w:kern w:val="0"/>
                <w:szCs w:val="21"/>
                <w:highlight w:val="none"/>
              </w:rPr>
            </w:pPr>
          </w:p>
        </w:tc>
        <w:tc>
          <w:tcPr>
            <w:tcW w:w="2199" w:type="dxa"/>
            <w:vAlign w:val="center"/>
          </w:tcPr>
          <w:p w14:paraId="0B0205DC">
            <w:pPr>
              <w:jc w:val="center"/>
              <w:rPr>
                <w:rFonts w:ascii="宋体" w:hAnsi="宋体" w:cs="仿宋"/>
                <w:b/>
                <w:bCs/>
                <w:color w:val="auto"/>
                <w:kern w:val="0"/>
                <w:szCs w:val="21"/>
                <w:highlight w:val="none"/>
              </w:rPr>
            </w:pPr>
          </w:p>
        </w:tc>
        <w:tc>
          <w:tcPr>
            <w:tcW w:w="1559" w:type="dxa"/>
            <w:vAlign w:val="center"/>
          </w:tcPr>
          <w:p w14:paraId="67A7926D">
            <w:pPr>
              <w:jc w:val="center"/>
              <w:rPr>
                <w:rFonts w:ascii="宋体" w:hAnsi="宋体" w:cs="仿宋"/>
                <w:b/>
                <w:bCs/>
                <w:color w:val="auto"/>
                <w:kern w:val="0"/>
                <w:szCs w:val="21"/>
                <w:highlight w:val="none"/>
              </w:rPr>
            </w:pPr>
          </w:p>
        </w:tc>
      </w:tr>
      <w:tr w14:paraId="471173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1" w:type="dxa"/>
            <w:vAlign w:val="center"/>
          </w:tcPr>
          <w:p w14:paraId="522422D0">
            <w:pPr>
              <w:jc w:val="center"/>
              <w:rPr>
                <w:rFonts w:ascii="宋体" w:hAnsi="宋体" w:cs="仿宋"/>
                <w:b/>
                <w:bCs/>
                <w:color w:val="auto"/>
                <w:kern w:val="0"/>
                <w:szCs w:val="21"/>
                <w:highlight w:val="none"/>
              </w:rPr>
            </w:pPr>
            <w:r>
              <w:rPr>
                <w:rFonts w:hint="eastAsia" w:ascii="宋体" w:hAnsi="宋体" w:cs="仿宋"/>
                <w:b/>
                <w:bCs/>
                <w:color w:val="auto"/>
                <w:kern w:val="0"/>
                <w:szCs w:val="21"/>
                <w:highlight w:val="none"/>
              </w:rPr>
              <w:t>6</w:t>
            </w:r>
          </w:p>
        </w:tc>
        <w:tc>
          <w:tcPr>
            <w:tcW w:w="3125" w:type="dxa"/>
            <w:vAlign w:val="center"/>
          </w:tcPr>
          <w:p w14:paraId="4F587534">
            <w:pPr>
              <w:jc w:val="center"/>
              <w:rPr>
                <w:rFonts w:ascii="宋体" w:hAnsi="宋体" w:cs="仿宋"/>
                <w:b/>
                <w:bCs/>
                <w:color w:val="auto"/>
                <w:kern w:val="0"/>
                <w:szCs w:val="21"/>
                <w:highlight w:val="none"/>
              </w:rPr>
            </w:pPr>
          </w:p>
        </w:tc>
        <w:tc>
          <w:tcPr>
            <w:tcW w:w="1405" w:type="dxa"/>
            <w:vAlign w:val="center"/>
          </w:tcPr>
          <w:p w14:paraId="0F953E76">
            <w:pPr>
              <w:jc w:val="center"/>
              <w:rPr>
                <w:rFonts w:ascii="宋体" w:hAnsi="宋体" w:cs="仿宋"/>
                <w:b/>
                <w:bCs/>
                <w:color w:val="auto"/>
                <w:kern w:val="0"/>
                <w:szCs w:val="21"/>
                <w:highlight w:val="none"/>
              </w:rPr>
            </w:pPr>
          </w:p>
        </w:tc>
        <w:tc>
          <w:tcPr>
            <w:tcW w:w="2199" w:type="dxa"/>
            <w:vAlign w:val="center"/>
          </w:tcPr>
          <w:p w14:paraId="6B89DDED">
            <w:pPr>
              <w:jc w:val="center"/>
              <w:rPr>
                <w:rFonts w:ascii="宋体" w:hAnsi="宋体" w:cs="仿宋"/>
                <w:b/>
                <w:bCs/>
                <w:color w:val="auto"/>
                <w:kern w:val="0"/>
                <w:szCs w:val="21"/>
                <w:highlight w:val="none"/>
              </w:rPr>
            </w:pPr>
          </w:p>
        </w:tc>
        <w:tc>
          <w:tcPr>
            <w:tcW w:w="1559" w:type="dxa"/>
            <w:vAlign w:val="center"/>
          </w:tcPr>
          <w:p w14:paraId="2313BB9E">
            <w:pPr>
              <w:jc w:val="center"/>
              <w:rPr>
                <w:rFonts w:ascii="宋体" w:hAnsi="宋体" w:cs="仿宋"/>
                <w:b/>
                <w:bCs/>
                <w:color w:val="auto"/>
                <w:kern w:val="0"/>
                <w:szCs w:val="21"/>
                <w:highlight w:val="none"/>
              </w:rPr>
            </w:pPr>
          </w:p>
        </w:tc>
      </w:tr>
      <w:tr w14:paraId="1B0C1E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1" w:type="dxa"/>
            <w:vAlign w:val="center"/>
          </w:tcPr>
          <w:p w14:paraId="037ED902">
            <w:pPr>
              <w:jc w:val="center"/>
              <w:rPr>
                <w:rFonts w:ascii="宋体" w:hAnsi="宋体" w:cs="仿宋"/>
                <w:b/>
                <w:bCs/>
                <w:color w:val="auto"/>
                <w:kern w:val="0"/>
                <w:szCs w:val="21"/>
                <w:highlight w:val="none"/>
              </w:rPr>
            </w:pPr>
            <w:r>
              <w:rPr>
                <w:rFonts w:hint="eastAsia" w:ascii="宋体" w:hAnsi="宋体" w:cs="仿宋"/>
                <w:b/>
                <w:bCs/>
                <w:color w:val="auto"/>
                <w:kern w:val="0"/>
                <w:szCs w:val="21"/>
                <w:highlight w:val="none"/>
              </w:rPr>
              <w:t>……</w:t>
            </w:r>
          </w:p>
        </w:tc>
        <w:tc>
          <w:tcPr>
            <w:tcW w:w="3125" w:type="dxa"/>
            <w:vAlign w:val="center"/>
          </w:tcPr>
          <w:p w14:paraId="3457E025">
            <w:pPr>
              <w:jc w:val="center"/>
              <w:rPr>
                <w:rFonts w:ascii="宋体" w:hAnsi="宋体" w:cs="仿宋"/>
                <w:b/>
                <w:bCs/>
                <w:color w:val="auto"/>
                <w:kern w:val="0"/>
                <w:szCs w:val="21"/>
                <w:highlight w:val="none"/>
              </w:rPr>
            </w:pPr>
            <w:r>
              <w:rPr>
                <w:rFonts w:hint="eastAsia" w:ascii="宋体" w:hAnsi="宋体" w:cs="仿宋"/>
                <w:b/>
                <w:bCs/>
                <w:color w:val="auto"/>
                <w:kern w:val="0"/>
                <w:szCs w:val="21"/>
                <w:highlight w:val="none"/>
              </w:rPr>
              <w:t>……</w:t>
            </w:r>
          </w:p>
        </w:tc>
        <w:tc>
          <w:tcPr>
            <w:tcW w:w="1405" w:type="dxa"/>
            <w:vAlign w:val="center"/>
          </w:tcPr>
          <w:p w14:paraId="2A3EAAAF">
            <w:pPr>
              <w:jc w:val="center"/>
              <w:rPr>
                <w:rFonts w:ascii="宋体" w:hAnsi="宋体" w:cs="仿宋"/>
                <w:b/>
                <w:bCs/>
                <w:color w:val="auto"/>
                <w:kern w:val="0"/>
                <w:szCs w:val="21"/>
                <w:highlight w:val="none"/>
              </w:rPr>
            </w:pPr>
            <w:r>
              <w:rPr>
                <w:rFonts w:hint="eastAsia" w:ascii="宋体" w:hAnsi="宋体" w:cs="仿宋"/>
                <w:b/>
                <w:bCs/>
                <w:color w:val="auto"/>
                <w:kern w:val="0"/>
                <w:szCs w:val="21"/>
                <w:highlight w:val="none"/>
              </w:rPr>
              <w:t>……</w:t>
            </w:r>
          </w:p>
        </w:tc>
        <w:tc>
          <w:tcPr>
            <w:tcW w:w="2199" w:type="dxa"/>
            <w:vAlign w:val="center"/>
          </w:tcPr>
          <w:p w14:paraId="4126BABD">
            <w:pPr>
              <w:jc w:val="center"/>
              <w:rPr>
                <w:rFonts w:ascii="宋体" w:hAnsi="宋体" w:cs="仿宋"/>
                <w:b/>
                <w:bCs/>
                <w:color w:val="auto"/>
                <w:kern w:val="0"/>
                <w:szCs w:val="21"/>
                <w:highlight w:val="none"/>
              </w:rPr>
            </w:pPr>
            <w:r>
              <w:rPr>
                <w:rFonts w:hint="eastAsia" w:ascii="宋体" w:hAnsi="宋体" w:cs="仿宋"/>
                <w:b/>
                <w:bCs/>
                <w:color w:val="auto"/>
                <w:kern w:val="0"/>
                <w:szCs w:val="21"/>
                <w:highlight w:val="none"/>
              </w:rPr>
              <w:t>……</w:t>
            </w:r>
          </w:p>
        </w:tc>
        <w:tc>
          <w:tcPr>
            <w:tcW w:w="1559" w:type="dxa"/>
            <w:vAlign w:val="center"/>
          </w:tcPr>
          <w:p w14:paraId="05D6C339">
            <w:pPr>
              <w:jc w:val="center"/>
              <w:rPr>
                <w:rFonts w:ascii="宋体" w:hAnsi="宋体" w:cs="仿宋"/>
                <w:b/>
                <w:bCs/>
                <w:color w:val="auto"/>
                <w:kern w:val="0"/>
                <w:szCs w:val="21"/>
                <w:highlight w:val="none"/>
              </w:rPr>
            </w:pPr>
          </w:p>
        </w:tc>
      </w:tr>
      <w:tr w14:paraId="5235BB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1" w:type="dxa"/>
            <w:vAlign w:val="center"/>
          </w:tcPr>
          <w:p w14:paraId="3AE8AE7C">
            <w:pPr>
              <w:jc w:val="center"/>
              <w:rPr>
                <w:rFonts w:ascii="宋体" w:hAnsi="宋体" w:cs="仿宋"/>
                <w:b/>
                <w:bCs/>
                <w:color w:val="auto"/>
                <w:kern w:val="0"/>
                <w:szCs w:val="21"/>
                <w:highlight w:val="none"/>
              </w:rPr>
            </w:pPr>
            <w:r>
              <w:rPr>
                <w:rFonts w:hint="eastAsia" w:ascii="宋体" w:hAnsi="宋体" w:cs="仿宋"/>
                <w:b/>
                <w:bCs/>
                <w:color w:val="auto"/>
                <w:kern w:val="0"/>
                <w:szCs w:val="21"/>
                <w:highlight w:val="none"/>
              </w:rPr>
              <w:t>……</w:t>
            </w:r>
          </w:p>
        </w:tc>
        <w:tc>
          <w:tcPr>
            <w:tcW w:w="3125" w:type="dxa"/>
            <w:vAlign w:val="center"/>
          </w:tcPr>
          <w:p w14:paraId="0B7AB0E1">
            <w:pPr>
              <w:jc w:val="center"/>
              <w:rPr>
                <w:rFonts w:ascii="宋体" w:hAnsi="宋体" w:cs="仿宋"/>
                <w:b/>
                <w:bCs/>
                <w:color w:val="auto"/>
                <w:kern w:val="0"/>
                <w:szCs w:val="21"/>
                <w:highlight w:val="none"/>
              </w:rPr>
            </w:pPr>
            <w:r>
              <w:rPr>
                <w:rFonts w:hint="eastAsia" w:ascii="宋体" w:hAnsi="宋体" w:cs="仿宋"/>
                <w:b/>
                <w:bCs/>
                <w:color w:val="auto"/>
                <w:kern w:val="0"/>
                <w:szCs w:val="21"/>
                <w:highlight w:val="none"/>
              </w:rPr>
              <w:t>……</w:t>
            </w:r>
          </w:p>
        </w:tc>
        <w:tc>
          <w:tcPr>
            <w:tcW w:w="1405" w:type="dxa"/>
            <w:vAlign w:val="center"/>
          </w:tcPr>
          <w:p w14:paraId="7CE05571">
            <w:pPr>
              <w:jc w:val="center"/>
              <w:rPr>
                <w:rFonts w:ascii="宋体" w:hAnsi="宋体" w:cs="仿宋"/>
                <w:b/>
                <w:bCs/>
                <w:color w:val="auto"/>
                <w:kern w:val="0"/>
                <w:szCs w:val="21"/>
                <w:highlight w:val="none"/>
              </w:rPr>
            </w:pPr>
            <w:r>
              <w:rPr>
                <w:rFonts w:hint="eastAsia" w:ascii="宋体" w:hAnsi="宋体" w:cs="仿宋"/>
                <w:b/>
                <w:bCs/>
                <w:color w:val="auto"/>
                <w:kern w:val="0"/>
                <w:szCs w:val="21"/>
                <w:highlight w:val="none"/>
              </w:rPr>
              <w:t>……</w:t>
            </w:r>
          </w:p>
        </w:tc>
        <w:tc>
          <w:tcPr>
            <w:tcW w:w="2199" w:type="dxa"/>
            <w:vAlign w:val="center"/>
          </w:tcPr>
          <w:p w14:paraId="453AC89C">
            <w:pPr>
              <w:jc w:val="center"/>
              <w:rPr>
                <w:rFonts w:ascii="宋体" w:hAnsi="宋体" w:cs="仿宋"/>
                <w:b/>
                <w:bCs/>
                <w:color w:val="auto"/>
                <w:kern w:val="0"/>
                <w:szCs w:val="21"/>
                <w:highlight w:val="none"/>
              </w:rPr>
            </w:pPr>
            <w:r>
              <w:rPr>
                <w:rFonts w:hint="eastAsia" w:ascii="宋体" w:hAnsi="宋体" w:cs="仿宋"/>
                <w:b/>
                <w:bCs/>
                <w:color w:val="auto"/>
                <w:kern w:val="0"/>
                <w:szCs w:val="21"/>
                <w:highlight w:val="none"/>
              </w:rPr>
              <w:t>……</w:t>
            </w:r>
          </w:p>
        </w:tc>
        <w:tc>
          <w:tcPr>
            <w:tcW w:w="1559" w:type="dxa"/>
            <w:vAlign w:val="center"/>
          </w:tcPr>
          <w:p w14:paraId="7B2EEC8C">
            <w:pPr>
              <w:jc w:val="center"/>
              <w:rPr>
                <w:rFonts w:ascii="宋体" w:hAnsi="宋体" w:cs="仿宋"/>
                <w:b/>
                <w:bCs/>
                <w:color w:val="auto"/>
                <w:kern w:val="0"/>
                <w:szCs w:val="21"/>
                <w:highlight w:val="none"/>
              </w:rPr>
            </w:pPr>
          </w:p>
        </w:tc>
      </w:tr>
      <w:tr w14:paraId="26ECDF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946" w:type="dxa"/>
            <w:gridSpan w:val="2"/>
            <w:vAlign w:val="center"/>
          </w:tcPr>
          <w:p w14:paraId="72778A13">
            <w:pPr>
              <w:ind w:right="-143"/>
              <w:jc w:val="center"/>
              <w:rPr>
                <w:rFonts w:ascii="宋体" w:hAnsi="宋体" w:cs="仿宋"/>
                <w:b/>
                <w:bCs/>
                <w:color w:val="auto"/>
                <w:kern w:val="0"/>
                <w:szCs w:val="21"/>
                <w:highlight w:val="none"/>
              </w:rPr>
            </w:pPr>
            <w:r>
              <w:rPr>
                <w:rFonts w:hint="eastAsia" w:ascii="宋体" w:hAnsi="宋体" w:cs="仿宋"/>
                <w:b/>
                <w:bCs/>
                <w:color w:val="auto"/>
                <w:kern w:val="0"/>
                <w:szCs w:val="21"/>
                <w:highlight w:val="none"/>
              </w:rPr>
              <w:t>合计</w:t>
            </w:r>
          </w:p>
        </w:tc>
        <w:tc>
          <w:tcPr>
            <w:tcW w:w="1405" w:type="dxa"/>
            <w:vAlign w:val="center"/>
          </w:tcPr>
          <w:p w14:paraId="6EF8FB54">
            <w:pPr>
              <w:jc w:val="center"/>
              <w:rPr>
                <w:rFonts w:ascii="宋体" w:hAnsi="宋体" w:cs="仿宋"/>
                <w:b/>
                <w:bCs/>
                <w:color w:val="auto"/>
                <w:kern w:val="0"/>
                <w:szCs w:val="21"/>
                <w:highlight w:val="none"/>
              </w:rPr>
            </w:pPr>
          </w:p>
        </w:tc>
        <w:tc>
          <w:tcPr>
            <w:tcW w:w="2199" w:type="dxa"/>
            <w:vAlign w:val="center"/>
          </w:tcPr>
          <w:p w14:paraId="60CEAC3E">
            <w:pPr>
              <w:jc w:val="center"/>
              <w:rPr>
                <w:rFonts w:ascii="宋体" w:hAnsi="宋体" w:cs="仿宋"/>
                <w:b/>
                <w:bCs/>
                <w:color w:val="auto"/>
                <w:kern w:val="0"/>
                <w:szCs w:val="21"/>
                <w:highlight w:val="none"/>
              </w:rPr>
            </w:pPr>
          </w:p>
        </w:tc>
        <w:tc>
          <w:tcPr>
            <w:tcW w:w="1559" w:type="dxa"/>
            <w:vAlign w:val="center"/>
          </w:tcPr>
          <w:p w14:paraId="73B2A18F">
            <w:pPr>
              <w:jc w:val="center"/>
              <w:rPr>
                <w:rFonts w:ascii="宋体" w:hAnsi="宋体" w:cs="仿宋"/>
                <w:b/>
                <w:bCs/>
                <w:color w:val="auto"/>
                <w:kern w:val="0"/>
                <w:szCs w:val="21"/>
                <w:highlight w:val="none"/>
              </w:rPr>
            </w:pPr>
          </w:p>
        </w:tc>
      </w:tr>
    </w:tbl>
    <w:p w14:paraId="6842BD4B">
      <w:pPr>
        <w:spacing w:line="360" w:lineRule="auto"/>
        <w:rPr>
          <w:rFonts w:ascii="宋体" w:hAnsi="宋体" w:cs="仿宋"/>
          <w:b/>
          <w:bCs/>
          <w:color w:val="auto"/>
          <w:kern w:val="0"/>
          <w:szCs w:val="21"/>
          <w:highlight w:val="none"/>
        </w:rPr>
      </w:pPr>
    </w:p>
    <w:p w14:paraId="6364C866">
      <w:pPr>
        <w:spacing w:line="360" w:lineRule="auto"/>
        <w:rPr>
          <w:rFonts w:ascii="宋体" w:hAnsi="宋体" w:cs="仿宋"/>
          <w:b/>
          <w:bCs/>
          <w:color w:val="auto"/>
          <w:kern w:val="0"/>
          <w:szCs w:val="21"/>
          <w:highlight w:val="none"/>
        </w:rPr>
      </w:pPr>
      <w:r>
        <w:rPr>
          <w:rFonts w:hint="eastAsia" w:ascii="宋体" w:hAnsi="宋体" w:cs="仿宋"/>
          <w:b/>
          <w:bCs/>
          <w:color w:val="auto"/>
          <w:kern w:val="0"/>
          <w:szCs w:val="21"/>
          <w:highlight w:val="none"/>
        </w:rPr>
        <w:t>注：</w:t>
      </w:r>
    </w:p>
    <w:p w14:paraId="2C68EF4F">
      <w:pPr>
        <w:spacing w:line="360" w:lineRule="auto"/>
        <w:rPr>
          <w:rFonts w:ascii="宋体" w:hAnsi="宋体" w:cs="仿宋"/>
          <w:b/>
          <w:color w:val="auto"/>
          <w:kern w:val="0"/>
          <w:szCs w:val="21"/>
          <w:highlight w:val="none"/>
        </w:rPr>
      </w:pPr>
      <w:r>
        <w:rPr>
          <w:rFonts w:ascii="宋体" w:hAnsi="宋体" w:cs="仿宋"/>
          <w:b/>
          <w:color w:val="auto"/>
          <w:kern w:val="0"/>
          <w:szCs w:val="21"/>
          <w:highlight w:val="none"/>
        </w:rPr>
        <w:t xml:space="preserve">  1</w:t>
      </w:r>
      <w:r>
        <w:rPr>
          <w:rFonts w:hint="eastAsia" w:ascii="宋体" w:hAnsi="宋体" w:cs="仿宋"/>
          <w:b/>
          <w:color w:val="auto"/>
          <w:kern w:val="0"/>
          <w:szCs w:val="21"/>
          <w:highlight w:val="none"/>
        </w:rPr>
        <w:t>、*本项目采购需求中规定的政府强制采购节能产品不得在上表中填列。</w:t>
      </w:r>
    </w:p>
    <w:p w14:paraId="50B18603">
      <w:pPr>
        <w:spacing w:line="360" w:lineRule="auto"/>
        <w:rPr>
          <w:rFonts w:ascii="宋体" w:hAnsi="宋体" w:cs="仿宋"/>
          <w:color w:val="auto"/>
          <w:kern w:val="0"/>
          <w:szCs w:val="21"/>
          <w:highlight w:val="none"/>
        </w:rPr>
      </w:pPr>
      <w:r>
        <w:rPr>
          <w:rFonts w:hint="eastAsia" w:ascii="宋体" w:hAnsi="宋体" w:cs="仿宋"/>
          <w:color w:val="auto"/>
          <w:kern w:val="0"/>
          <w:szCs w:val="21"/>
          <w:highlight w:val="none"/>
        </w:rPr>
        <w:t xml:space="preserve">  </w:t>
      </w:r>
      <w:r>
        <w:rPr>
          <w:rFonts w:ascii="宋体" w:hAnsi="宋体" w:cs="仿宋"/>
          <w:color w:val="auto"/>
          <w:kern w:val="0"/>
          <w:szCs w:val="21"/>
          <w:highlight w:val="none"/>
        </w:rPr>
        <w:t>2</w:t>
      </w:r>
      <w:r>
        <w:rPr>
          <w:rFonts w:hint="eastAsia" w:ascii="宋体" w:hAnsi="宋体" w:cs="仿宋"/>
          <w:color w:val="auto"/>
          <w:kern w:val="0"/>
          <w:szCs w:val="21"/>
          <w:highlight w:val="none"/>
        </w:rPr>
        <w:t>、上表中填报的节能、环境标志产品必须属于《节能产品、环境标志产品政府采购品目清单》（最新版）范围内，投标人须在本表后附国家确定的认证机构出具的、处于有效期之内的节能产品、环境标志产品认证证书复印件。</w:t>
      </w:r>
    </w:p>
    <w:p w14:paraId="456EF289">
      <w:pPr>
        <w:spacing w:line="360" w:lineRule="auto"/>
        <w:rPr>
          <w:rFonts w:ascii="宋体" w:hAnsi="宋体" w:cs="仿宋"/>
          <w:color w:val="auto"/>
          <w:kern w:val="0"/>
          <w:szCs w:val="21"/>
          <w:highlight w:val="none"/>
        </w:rPr>
      </w:pPr>
      <w:r>
        <w:rPr>
          <w:rFonts w:hint="eastAsia" w:ascii="宋体" w:hAnsi="宋体" w:cs="仿宋"/>
          <w:color w:val="auto"/>
          <w:kern w:val="0"/>
          <w:szCs w:val="21"/>
          <w:highlight w:val="none"/>
        </w:rPr>
        <w:t xml:space="preserve"> </w:t>
      </w:r>
      <w:r>
        <w:rPr>
          <w:rFonts w:ascii="宋体" w:hAnsi="宋体" w:cs="仿宋"/>
          <w:color w:val="auto"/>
          <w:kern w:val="0"/>
          <w:szCs w:val="21"/>
          <w:highlight w:val="none"/>
        </w:rPr>
        <w:t xml:space="preserve"> 3</w:t>
      </w:r>
      <w:r>
        <w:rPr>
          <w:rFonts w:hint="eastAsia" w:ascii="宋体" w:hAnsi="宋体" w:cs="仿宋"/>
          <w:color w:val="auto"/>
          <w:kern w:val="0"/>
          <w:szCs w:val="21"/>
          <w:highlight w:val="none"/>
        </w:rPr>
        <w:t>、上表中的金额须与分项报价表中的金额一致，否则不予认定。</w:t>
      </w:r>
    </w:p>
    <w:p w14:paraId="4C5B5C9E">
      <w:pPr>
        <w:spacing w:line="360" w:lineRule="auto"/>
        <w:rPr>
          <w:rFonts w:ascii="宋体" w:hAnsi="宋体" w:cs="仿宋"/>
          <w:color w:val="auto"/>
          <w:kern w:val="0"/>
          <w:szCs w:val="21"/>
          <w:highlight w:val="none"/>
        </w:rPr>
      </w:pPr>
      <w:r>
        <w:rPr>
          <w:rFonts w:hint="eastAsia" w:ascii="宋体" w:hAnsi="宋体" w:cs="仿宋"/>
          <w:color w:val="auto"/>
          <w:kern w:val="0"/>
          <w:szCs w:val="21"/>
          <w:highlight w:val="none"/>
        </w:rPr>
        <w:t xml:space="preserve">  </w:t>
      </w:r>
      <w:r>
        <w:rPr>
          <w:rFonts w:ascii="宋体" w:hAnsi="宋体" w:cs="仿宋"/>
          <w:color w:val="auto"/>
          <w:kern w:val="0"/>
          <w:szCs w:val="21"/>
          <w:highlight w:val="none"/>
        </w:rPr>
        <w:t>4</w:t>
      </w:r>
      <w:r>
        <w:rPr>
          <w:rFonts w:hint="eastAsia" w:ascii="宋体" w:hAnsi="宋体" w:cs="仿宋"/>
          <w:color w:val="auto"/>
          <w:kern w:val="0"/>
          <w:szCs w:val="21"/>
          <w:highlight w:val="none"/>
        </w:rPr>
        <w:t>、若无产品属于节能、环境标志产品的，则不填报此表。</w:t>
      </w:r>
    </w:p>
    <w:p w14:paraId="67FCF3FC">
      <w:pPr>
        <w:spacing w:line="360" w:lineRule="auto"/>
        <w:rPr>
          <w:rFonts w:ascii="宋体" w:hAnsi="宋体" w:cs="仿宋"/>
          <w:color w:val="auto"/>
          <w:kern w:val="0"/>
          <w:szCs w:val="21"/>
          <w:highlight w:val="none"/>
        </w:rPr>
      </w:pPr>
    </w:p>
    <w:p w14:paraId="6E28FB89">
      <w:pPr>
        <w:pStyle w:val="17"/>
        <w:tabs>
          <w:tab w:val="left" w:pos="7321"/>
        </w:tabs>
        <w:jc w:val="right"/>
        <w:rPr>
          <w:color w:val="auto"/>
          <w:highlight w:val="none"/>
        </w:rPr>
      </w:pPr>
      <w:r>
        <w:rPr>
          <w:color w:val="auto"/>
          <w:highlight w:val="none"/>
        </w:rPr>
        <w:t>投 标</w:t>
      </w:r>
      <w:r>
        <w:rPr>
          <w:color w:val="auto"/>
          <w:spacing w:val="-2"/>
          <w:highlight w:val="none"/>
        </w:rPr>
        <w:t xml:space="preserve"> </w:t>
      </w:r>
      <w:r>
        <w:rPr>
          <w:color w:val="auto"/>
          <w:highlight w:val="none"/>
        </w:rPr>
        <w:t>人：</w:t>
      </w:r>
      <w:r>
        <w:rPr>
          <w:color w:val="auto"/>
          <w:highlight w:val="none"/>
          <w:u w:val="single"/>
        </w:rPr>
        <w:t xml:space="preserve"> </w:t>
      </w:r>
      <w:r>
        <w:rPr>
          <w:rFonts w:hint="eastAsia"/>
          <w:color w:val="auto"/>
          <w:highlight w:val="none"/>
          <w:u w:val="single"/>
        </w:rPr>
        <w:t xml:space="preserve">                    </w:t>
      </w:r>
      <w:r>
        <w:rPr>
          <w:color w:val="auto"/>
          <w:highlight w:val="none"/>
        </w:rPr>
        <w:t>（盖单位章）</w:t>
      </w:r>
    </w:p>
    <w:p w14:paraId="7467C5E4">
      <w:pPr>
        <w:pStyle w:val="17"/>
        <w:tabs>
          <w:tab w:val="left" w:pos="6481"/>
        </w:tabs>
        <w:jc w:val="right"/>
        <w:rPr>
          <w:color w:val="auto"/>
          <w:highlight w:val="none"/>
        </w:rPr>
      </w:pPr>
      <w:r>
        <w:rPr>
          <w:color w:val="auto"/>
          <w:highlight w:val="none"/>
        </w:rPr>
        <w:t>法定代表人或其委托代理人：</w:t>
      </w:r>
      <w:r>
        <w:rPr>
          <w:color w:val="auto"/>
          <w:highlight w:val="none"/>
          <w:u w:val="single"/>
        </w:rPr>
        <w:t xml:space="preserve"> </w:t>
      </w:r>
      <w:r>
        <w:rPr>
          <w:rFonts w:hint="eastAsia"/>
          <w:color w:val="auto"/>
          <w:highlight w:val="none"/>
          <w:u w:val="single"/>
        </w:rPr>
        <w:t xml:space="preserve">        </w:t>
      </w:r>
      <w:r>
        <w:rPr>
          <w:color w:val="auto"/>
          <w:highlight w:val="none"/>
        </w:rPr>
        <w:t>（签字）</w:t>
      </w:r>
    </w:p>
    <w:p w14:paraId="77E4F794">
      <w:pPr>
        <w:pStyle w:val="17"/>
        <w:jc w:val="right"/>
        <w:rPr>
          <w:color w:val="auto"/>
          <w:highlight w:val="none"/>
        </w:rPr>
      </w:pPr>
      <w:r>
        <w:rPr>
          <w:color w:val="auto"/>
          <w:highlight w:val="none"/>
          <w:u w:val="single"/>
        </w:rPr>
        <w:t xml:space="preserve"> </w:t>
      </w:r>
      <w:r>
        <w:rPr>
          <w:rFonts w:hint="eastAsia"/>
          <w:color w:val="auto"/>
          <w:highlight w:val="none"/>
          <w:u w:val="single"/>
        </w:rPr>
        <w:t xml:space="preserve">      </w:t>
      </w:r>
      <w:r>
        <w:rPr>
          <w:color w:val="auto"/>
          <w:highlight w:val="none"/>
        </w:rPr>
        <w:t>年</w:t>
      </w:r>
      <w:r>
        <w:rPr>
          <w:color w:val="auto"/>
          <w:highlight w:val="none"/>
          <w:u w:val="single"/>
        </w:rPr>
        <w:t xml:space="preserve"> </w:t>
      </w:r>
      <w:r>
        <w:rPr>
          <w:rFonts w:hint="eastAsia"/>
          <w:color w:val="auto"/>
          <w:highlight w:val="none"/>
          <w:u w:val="single"/>
        </w:rPr>
        <w:t xml:space="preserve">    </w:t>
      </w:r>
      <w:r>
        <w:rPr>
          <w:color w:val="auto"/>
          <w:highlight w:val="none"/>
        </w:rPr>
        <w:t>月</w:t>
      </w:r>
      <w:r>
        <w:rPr>
          <w:color w:val="auto"/>
          <w:highlight w:val="none"/>
          <w:u w:val="single"/>
        </w:rPr>
        <w:t xml:space="preserve"> </w:t>
      </w:r>
      <w:r>
        <w:rPr>
          <w:rFonts w:hint="eastAsia"/>
          <w:color w:val="auto"/>
          <w:highlight w:val="none"/>
          <w:u w:val="single"/>
        </w:rPr>
        <w:t xml:space="preserve">    </w:t>
      </w:r>
      <w:r>
        <w:rPr>
          <w:color w:val="auto"/>
          <w:highlight w:val="none"/>
        </w:rPr>
        <w:t>日</w:t>
      </w:r>
    </w:p>
    <w:p w14:paraId="574051FD">
      <w:pPr>
        <w:wordWrap w:val="0"/>
        <w:spacing w:line="360" w:lineRule="auto"/>
        <w:jc w:val="center"/>
        <w:outlineLvl w:val="0"/>
        <w:rPr>
          <w:rFonts w:ascii="宋体" w:hAnsi="宋体" w:cs="宋体"/>
          <w:b/>
          <w:bCs/>
          <w:color w:val="auto"/>
          <w:kern w:val="0"/>
          <w:sz w:val="36"/>
          <w:szCs w:val="36"/>
          <w:highlight w:val="none"/>
        </w:rPr>
      </w:pPr>
      <w:r>
        <w:rPr>
          <w:rFonts w:hint="eastAsia" w:ascii="宋体" w:hAnsi="宋体" w:cs="宋体"/>
          <w:b/>
          <w:bCs/>
          <w:color w:val="auto"/>
          <w:kern w:val="0"/>
          <w:sz w:val="36"/>
          <w:szCs w:val="36"/>
          <w:highlight w:val="none"/>
        </w:rPr>
        <w:br w:type="page"/>
      </w:r>
      <w:bookmarkStart w:id="52" w:name="_Toc15364"/>
      <w:r>
        <w:rPr>
          <w:rFonts w:hint="eastAsia" w:ascii="宋体" w:hAnsi="宋体" w:cs="宋体"/>
          <w:b/>
          <w:bCs/>
          <w:color w:val="auto"/>
          <w:kern w:val="0"/>
          <w:sz w:val="36"/>
          <w:szCs w:val="36"/>
          <w:highlight w:val="none"/>
        </w:rPr>
        <w:t>十、投标人自行编写的技术文件</w:t>
      </w:r>
      <w:bookmarkEnd w:id="52"/>
    </w:p>
    <w:p w14:paraId="72B43D70">
      <w:pPr>
        <w:wordWrap w:val="0"/>
        <w:spacing w:line="360" w:lineRule="auto"/>
        <w:ind w:firstLine="560"/>
        <w:jc w:val="left"/>
        <w:rPr>
          <w:rFonts w:ascii="宋体" w:hAnsi="宋体" w:cs="宋体"/>
          <w:color w:val="auto"/>
          <w:kern w:val="0"/>
          <w:sz w:val="24"/>
          <w:szCs w:val="24"/>
          <w:highlight w:val="none"/>
        </w:rPr>
      </w:pPr>
    </w:p>
    <w:p w14:paraId="322752F2">
      <w:pPr>
        <w:wordWrap w:val="0"/>
        <w:spacing w:line="360" w:lineRule="auto"/>
        <w:ind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① 技术指标（自拟）；</w:t>
      </w:r>
    </w:p>
    <w:p w14:paraId="7D941F28">
      <w:pPr>
        <w:wordWrap w:val="0"/>
        <w:spacing w:line="360" w:lineRule="auto"/>
        <w:ind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② 实施方案（自拟）；</w:t>
      </w:r>
    </w:p>
    <w:p w14:paraId="02DE9598">
      <w:pPr>
        <w:wordWrap w:val="0"/>
        <w:spacing w:line="360" w:lineRule="auto"/>
        <w:ind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③ 培训方案（自拟）；</w:t>
      </w:r>
    </w:p>
    <w:p w14:paraId="744F26B2">
      <w:pPr>
        <w:wordWrap w:val="0"/>
        <w:spacing w:line="360" w:lineRule="auto"/>
        <w:ind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④ 投标人认为应提供的其他资料或说明（自拟）。</w:t>
      </w:r>
    </w:p>
    <w:p w14:paraId="2A886756">
      <w:pPr>
        <w:pStyle w:val="208"/>
        <w:widowControl w:val="0"/>
        <w:wordWrap w:val="0"/>
        <w:spacing w:line="360" w:lineRule="auto"/>
        <w:jc w:val="center"/>
        <w:outlineLvl w:val="0"/>
        <w:rPr>
          <w:rFonts w:ascii="宋体" w:hAnsi="宋体" w:cs="宋体"/>
          <w:b/>
          <w:bCs/>
          <w:color w:val="auto"/>
          <w:sz w:val="36"/>
          <w:szCs w:val="36"/>
          <w:highlight w:val="none"/>
        </w:rPr>
      </w:pPr>
      <w:r>
        <w:rPr>
          <w:rFonts w:hint="eastAsia" w:ascii="宋体" w:hAnsi="宋体" w:cs="宋体"/>
          <w:b/>
          <w:color w:val="auto"/>
          <w:highlight w:val="none"/>
        </w:rPr>
        <w:br w:type="page"/>
      </w:r>
      <w:bookmarkStart w:id="53" w:name="_Toc22321"/>
      <w:r>
        <w:rPr>
          <w:rFonts w:hint="eastAsia" w:ascii="宋体" w:hAnsi="宋体" w:cs="宋体"/>
          <w:b/>
          <w:bCs/>
          <w:color w:val="auto"/>
          <w:sz w:val="36"/>
          <w:szCs w:val="36"/>
          <w:highlight w:val="none"/>
        </w:rPr>
        <w:t>十一、投标人自行编写的服务</w:t>
      </w:r>
      <w:bookmarkEnd w:id="53"/>
      <w:r>
        <w:rPr>
          <w:rFonts w:hint="eastAsia" w:ascii="宋体" w:hAnsi="宋体" w:cs="宋体"/>
          <w:b/>
          <w:bCs/>
          <w:color w:val="auto"/>
          <w:sz w:val="36"/>
          <w:szCs w:val="36"/>
          <w:highlight w:val="none"/>
        </w:rPr>
        <w:t>方案</w:t>
      </w:r>
    </w:p>
    <w:p w14:paraId="44D85EA1">
      <w:pPr>
        <w:pStyle w:val="208"/>
        <w:widowControl w:val="0"/>
        <w:wordWrap w:val="0"/>
        <w:spacing w:line="360" w:lineRule="auto"/>
        <w:ind w:firstLine="480" w:firstLineChars="200"/>
        <w:jc w:val="both"/>
        <w:rPr>
          <w:rFonts w:ascii="宋体" w:hAnsi="宋体" w:cs="宋体"/>
          <w:bCs/>
          <w:color w:val="auto"/>
          <w:highlight w:val="none"/>
        </w:rPr>
      </w:pPr>
    </w:p>
    <w:p w14:paraId="207E9A15">
      <w:pPr>
        <w:pStyle w:val="208"/>
        <w:widowControl w:val="0"/>
        <w:wordWrap w:val="0"/>
        <w:spacing w:line="360" w:lineRule="auto"/>
        <w:ind w:firstLine="480" w:firstLineChars="200"/>
        <w:jc w:val="both"/>
        <w:rPr>
          <w:rFonts w:ascii="宋体" w:hAnsi="宋体" w:cs="宋体"/>
          <w:bCs/>
          <w:color w:val="auto"/>
          <w:highlight w:val="none"/>
        </w:rPr>
      </w:pPr>
      <w:r>
        <w:rPr>
          <w:rFonts w:hint="eastAsia" w:ascii="宋体" w:hAnsi="宋体" w:cs="宋体"/>
          <w:bCs/>
          <w:color w:val="auto"/>
          <w:highlight w:val="none"/>
        </w:rPr>
        <w:t>①后续服务:</w:t>
      </w:r>
    </w:p>
    <w:p w14:paraId="5D75DA04">
      <w:pPr>
        <w:pStyle w:val="208"/>
        <w:widowControl w:val="0"/>
        <w:wordWrap w:val="0"/>
        <w:spacing w:line="360" w:lineRule="auto"/>
        <w:ind w:firstLine="480" w:firstLineChars="200"/>
        <w:jc w:val="both"/>
        <w:rPr>
          <w:rFonts w:ascii="宋体" w:hAnsi="宋体" w:cs="宋体"/>
          <w:bCs/>
          <w:color w:val="auto"/>
          <w:highlight w:val="none"/>
        </w:rPr>
      </w:pPr>
      <w:r>
        <w:rPr>
          <w:rFonts w:hint="eastAsia" w:ascii="宋体" w:hAnsi="宋体" w:cs="宋体"/>
          <w:bCs/>
          <w:color w:val="auto"/>
          <w:highlight w:val="none"/>
        </w:rPr>
        <w:t>&lt;1&gt;后续服务的程序、内容、措施以及合理化建议；</w:t>
      </w:r>
    </w:p>
    <w:p w14:paraId="3D2C6F40">
      <w:pPr>
        <w:pStyle w:val="208"/>
        <w:widowControl w:val="0"/>
        <w:wordWrap w:val="0"/>
        <w:spacing w:line="360" w:lineRule="auto"/>
        <w:ind w:firstLine="480" w:firstLineChars="200"/>
        <w:jc w:val="both"/>
        <w:rPr>
          <w:rFonts w:ascii="宋体" w:hAnsi="宋体" w:cs="宋体"/>
          <w:bCs/>
          <w:color w:val="auto"/>
          <w:highlight w:val="none"/>
        </w:rPr>
      </w:pPr>
      <w:r>
        <w:rPr>
          <w:rFonts w:hint="eastAsia" w:ascii="宋体" w:hAnsi="宋体" w:cs="宋体"/>
          <w:bCs/>
          <w:color w:val="auto"/>
          <w:highlight w:val="none"/>
        </w:rPr>
        <w:t>&lt;2&gt;响应时间和技术支持情况；</w:t>
      </w:r>
    </w:p>
    <w:p w14:paraId="6B05546C">
      <w:pPr>
        <w:wordWrap w:val="0"/>
        <w:spacing w:line="360" w:lineRule="auto"/>
        <w:jc w:val="center"/>
        <w:outlineLvl w:val="0"/>
        <w:rPr>
          <w:rFonts w:ascii="宋体" w:hAnsi="宋体" w:cs="宋体"/>
          <w:b/>
          <w:bCs/>
          <w:color w:val="auto"/>
          <w:kern w:val="0"/>
          <w:sz w:val="36"/>
          <w:szCs w:val="36"/>
          <w:highlight w:val="none"/>
        </w:rPr>
      </w:pPr>
      <w:r>
        <w:rPr>
          <w:rFonts w:hint="eastAsia" w:ascii="宋体" w:hAnsi="宋体" w:cs="宋体"/>
          <w:color w:val="auto"/>
          <w:sz w:val="28"/>
          <w:szCs w:val="28"/>
          <w:highlight w:val="none"/>
        </w:rPr>
        <w:br w:type="page"/>
      </w:r>
      <w:bookmarkStart w:id="54" w:name="_Toc2846"/>
      <w:r>
        <w:rPr>
          <w:rFonts w:hint="eastAsia" w:ascii="宋体" w:hAnsi="宋体" w:cs="宋体"/>
          <w:b/>
          <w:bCs/>
          <w:color w:val="auto"/>
          <w:kern w:val="0"/>
          <w:sz w:val="36"/>
          <w:szCs w:val="36"/>
          <w:highlight w:val="none"/>
        </w:rPr>
        <w:t>十二、投标人认为需要提供的其他资料</w:t>
      </w:r>
      <w:bookmarkEnd w:id="54"/>
    </w:p>
    <w:p w14:paraId="38E4DC44">
      <w:pPr>
        <w:pStyle w:val="172"/>
        <w:wordWrap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格式自拟</w:t>
      </w:r>
    </w:p>
    <w:sectPr>
      <w:headerReference r:id="rId4" w:type="default"/>
      <w:footerReference r:id="rId5" w:type="default"/>
      <w:pgSz w:w="11906" w:h="16838"/>
      <w:pgMar w:top="1417" w:right="1701" w:bottom="1417" w:left="1701"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DFHeiW9-GB">
    <w:altName w:val="宋体"/>
    <w:panose1 w:val="00000000000000000000"/>
    <w:charset w:val="86"/>
    <w:family w:val="swiss"/>
    <w:pitch w:val="default"/>
    <w:sig w:usb0="00000000" w:usb1="00000000" w:usb2="00000010" w:usb3="00000000" w:csb0="00040000" w:csb1="00000000"/>
  </w:font>
  <w:font w:name="Century Gothic">
    <w:altName w:val="Yu Gothic UI"/>
    <w:panose1 w:val="020B0502020202020204"/>
    <w:charset w:val="00"/>
    <w:family w:val="swiss"/>
    <w:pitch w:val="default"/>
    <w:sig w:usb0="00000000" w:usb1="00000000" w:usb2="00000000" w:usb3="00000000" w:csb0="2000009F" w:csb1="DFD70000"/>
  </w:font>
  <w:font w:name="Yu Gothic UI">
    <w:panose1 w:val="020B0500000000000000"/>
    <w:charset w:val="80"/>
    <w:family w:val="auto"/>
    <w:pitch w:val="default"/>
    <w:sig w:usb0="E00002FF" w:usb1="2AC7FDFF" w:usb2="00000016" w:usb3="00000000" w:csb0="2002009F" w:csb1="00000000"/>
  </w:font>
  <w:font w:name="Times">
    <w:altName w:val="Times New Roman"/>
    <w:panose1 w:val="02020603050405020304"/>
    <w:charset w:val="00"/>
    <w:family w:val="roman"/>
    <w:pitch w:val="default"/>
    <w:sig w:usb0="00000000" w:usb1="00000000" w:usb2="00000009" w:usb3="00000000" w:csb0="000001FF"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2010609030101010101"/>
    <w:charset w:val="86"/>
    <w:family w:val="roma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新宋体">
    <w:panose1 w:val="02010609030101010101"/>
    <w:charset w:val="86"/>
    <w:family w:val="modern"/>
    <w:pitch w:val="default"/>
    <w:sig w:usb0="00000203" w:usb1="288F0000" w:usb2="00000006" w:usb3="00000000" w:csb0="00040001" w:csb1="00000000"/>
  </w:font>
  <w:font w:name="Microsoft JhengHei">
    <w:panose1 w:val="020B0604030504040204"/>
    <w:charset w:val="88"/>
    <w:family w:val="swiss"/>
    <w:pitch w:val="default"/>
    <w:sig w:usb0="000002A7" w:usb1="28CF4400" w:usb2="00000016" w:usb3="00000000" w:csb0="00100009" w:csb1="00000000"/>
  </w:font>
  <w:font w:name="Arial Unicode MS">
    <w:altName w:val="宋体"/>
    <w:panose1 w:val="020B0604020202020204"/>
    <w:charset w:val="86"/>
    <w:family w:val="swiss"/>
    <w:pitch w:val="default"/>
    <w:sig w:usb0="00000000" w:usb1="00000000"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FE16D5">
    <w:pPr>
      <w:pStyle w:val="28"/>
      <w:pBdr>
        <w:top w:val="single" w:color="auto" w:sz="4" w:space="1"/>
      </w:pBdr>
      <w:jc w:val="left"/>
      <w:rPr>
        <w:rFonts w:hint="default" w:ascii="宋体" w:hAnsi="宋体" w:eastAsia="宋体" w:cs="宋体"/>
        <w:lang w:val="en-US" w:eastAsia="zh-CN"/>
      </w:rPr>
    </w:pPr>
    <w:r>
      <w:rPr>
        <w:rFonts w:hint="eastAsia" w:ascii="宋体" w:hAnsi="宋体" w:cs="宋体"/>
        <w:lang w:eastAsia="zh-CN"/>
      </w:rPr>
      <w:t>新疆新建联项目管理咨询有限公司</w:t>
    </w:r>
    <w:r>
      <w:rPr>
        <w:rFonts w:hint="eastAsia" w:ascii="宋体" w:hAnsi="宋体" w:cs="宋体"/>
      </w:rPr>
      <w:t xml:space="preserve">                        </w:t>
    </w:r>
    <w:r>
      <w:rPr>
        <w:rFonts w:hint="eastAsia" w:ascii="宋体" w:hAnsi="宋体" w:cs="宋体"/>
      </w:rPr>
      <w:fldChar w:fldCharType="begin"/>
    </w:r>
    <w:r>
      <w:rPr>
        <w:rFonts w:hint="eastAsia" w:ascii="宋体" w:hAnsi="宋体" w:cs="宋体"/>
      </w:rPr>
      <w:instrText xml:space="preserve"> PAGE   \* MERGEFORMAT </w:instrText>
    </w:r>
    <w:r>
      <w:rPr>
        <w:rFonts w:hint="eastAsia" w:ascii="宋体" w:hAnsi="宋体" w:cs="宋体"/>
      </w:rPr>
      <w:fldChar w:fldCharType="separate"/>
    </w:r>
    <w:r>
      <w:rPr>
        <w:rFonts w:ascii="宋体" w:hAnsi="宋体" w:cs="宋体"/>
        <w:lang w:val="zh-CN"/>
      </w:rPr>
      <w:t>109</w:t>
    </w:r>
    <w:r>
      <w:rPr>
        <w:rFonts w:hint="eastAsia" w:ascii="宋体" w:hAnsi="宋体" w:cs="宋体"/>
      </w:rPr>
      <w:fldChar w:fldCharType="end"/>
    </w:r>
  </w:p>
  <w:p w14:paraId="44A94A61"/>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0477B1">
    <w:pPr>
      <w:pStyle w:val="29"/>
      <w:pBdr>
        <w:bottom w:val="none" w:color="auto" w:sz="0" w:space="1"/>
      </w:pBd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B556C4">
    <w:pPr>
      <w:pStyle w:val="29"/>
      <w:jc w:val="right"/>
      <w:rPr>
        <w:sz w:val="15"/>
        <w:szCs w:val="15"/>
      </w:rPr>
    </w:pPr>
    <w:r>
      <w:rPr>
        <w:rFonts w:hint="eastAsia"/>
        <w:sz w:val="15"/>
        <w:szCs w:val="15"/>
        <w:lang w:eastAsia="zh-CN"/>
      </w:rPr>
      <w:t>新疆应用职业技术学院新图书馆智慧阅读设备采购项目</w:t>
    </w:r>
    <w:r>
      <w:rPr>
        <w:rFonts w:hint="eastAsia"/>
        <w:sz w:val="15"/>
        <w:szCs w:val="15"/>
      </w:rPr>
      <w:t>招标文件</w:t>
    </w:r>
  </w:p>
  <w:p w14:paraId="459D924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singleLevel"/>
    <w:tmpl w:val="00000001"/>
    <w:lvl w:ilvl="0" w:tentative="0">
      <w:start w:val="4"/>
      <w:numFmt w:val="chineseCounting"/>
      <w:suff w:val="nothing"/>
      <w:lvlText w:val="%1、"/>
      <w:lvlJc w:val="left"/>
    </w:lvl>
  </w:abstractNum>
  <w:abstractNum w:abstractNumId="1">
    <w:nsid w:val="00000002"/>
    <w:multiLevelType w:val="singleLevel"/>
    <w:tmpl w:val="00000002"/>
    <w:lvl w:ilvl="0" w:tentative="0">
      <w:start w:val="1"/>
      <w:numFmt w:val="chineseCounting"/>
      <w:suff w:val="nothing"/>
      <w:lvlText w:val="%1、"/>
      <w:lvlJc w:val="left"/>
    </w:lvl>
  </w:abstractNum>
  <w:abstractNum w:abstractNumId="2">
    <w:nsid w:val="0053208E"/>
    <w:multiLevelType w:val="singleLevel"/>
    <w:tmpl w:val="0053208E"/>
    <w:lvl w:ilvl="0" w:tentative="0">
      <w:start w:val="1"/>
      <w:numFmt w:val="decimal"/>
      <w:suff w:val="space"/>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420"/>
  <w:drawingGridHorizontalSpacing w:val="21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MxZGFiMDI4MzIxM2FmZGYxZjc3YWE0NDc0OGE0YmQifQ=="/>
  </w:docVars>
  <w:rsids>
    <w:rsidRoot w:val="0014181E"/>
    <w:rsid w:val="0000062C"/>
    <w:rsid w:val="00027DBE"/>
    <w:rsid w:val="00062A86"/>
    <w:rsid w:val="0009187F"/>
    <w:rsid w:val="000A7773"/>
    <w:rsid w:val="000B1F39"/>
    <w:rsid w:val="00106483"/>
    <w:rsid w:val="001113BD"/>
    <w:rsid w:val="0014181E"/>
    <w:rsid w:val="00155309"/>
    <w:rsid w:val="00175060"/>
    <w:rsid w:val="00195CC6"/>
    <w:rsid w:val="001A47A2"/>
    <w:rsid w:val="001E5BD5"/>
    <w:rsid w:val="00226971"/>
    <w:rsid w:val="00230B79"/>
    <w:rsid w:val="002C35F4"/>
    <w:rsid w:val="002F629D"/>
    <w:rsid w:val="003173F8"/>
    <w:rsid w:val="00387DE3"/>
    <w:rsid w:val="003B658E"/>
    <w:rsid w:val="003E7D18"/>
    <w:rsid w:val="00407371"/>
    <w:rsid w:val="004245C3"/>
    <w:rsid w:val="00455B07"/>
    <w:rsid w:val="00474689"/>
    <w:rsid w:val="004C39A2"/>
    <w:rsid w:val="004D5885"/>
    <w:rsid w:val="005C2C37"/>
    <w:rsid w:val="005D02B1"/>
    <w:rsid w:val="00623B4C"/>
    <w:rsid w:val="00637124"/>
    <w:rsid w:val="00641D96"/>
    <w:rsid w:val="006903B8"/>
    <w:rsid w:val="00733CAC"/>
    <w:rsid w:val="007378DE"/>
    <w:rsid w:val="00744930"/>
    <w:rsid w:val="007E63BE"/>
    <w:rsid w:val="00816589"/>
    <w:rsid w:val="00844B41"/>
    <w:rsid w:val="00876AFF"/>
    <w:rsid w:val="008B74E0"/>
    <w:rsid w:val="008E42E2"/>
    <w:rsid w:val="008E7B57"/>
    <w:rsid w:val="009114A7"/>
    <w:rsid w:val="00942B4E"/>
    <w:rsid w:val="009516D8"/>
    <w:rsid w:val="00960F40"/>
    <w:rsid w:val="00971AC6"/>
    <w:rsid w:val="009E3DEC"/>
    <w:rsid w:val="00A06781"/>
    <w:rsid w:val="00A123ED"/>
    <w:rsid w:val="00A70161"/>
    <w:rsid w:val="00AB4641"/>
    <w:rsid w:val="00AE3FC1"/>
    <w:rsid w:val="00AF2AA4"/>
    <w:rsid w:val="00B41C43"/>
    <w:rsid w:val="00B474EF"/>
    <w:rsid w:val="00B87A2D"/>
    <w:rsid w:val="00BA6862"/>
    <w:rsid w:val="00BC13EC"/>
    <w:rsid w:val="00C50B26"/>
    <w:rsid w:val="00C7462A"/>
    <w:rsid w:val="00D72B7D"/>
    <w:rsid w:val="00DE0FF6"/>
    <w:rsid w:val="00DE42C2"/>
    <w:rsid w:val="00E06172"/>
    <w:rsid w:val="00E7768E"/>
    <w:rsid w:val="00E96C75"/>
    <w:rsid w:val="00EA1851"/>
    <w:rsid w:val="00F27723"/>
    <w:rsid w:val="00F72358"/>
    <w:rsid w:val="00F760E2"/>
    <w:rsid w:val="00F95A32"/>
    <w:rsid w:val="00FF31FA"/>
    <w:rsid w:val="01872D4D"/>
    <w:rsid w:val="01A050EF"/>
    <w:rsid w:val="01C54B55"/>
    <w:rsid w:val="02187D66"/>
    <w:rsid w:val="02783976"/>
    <w:rsid w:val="02BA3C5C"/>
    <w:rsid w:val="02FD46F3"/>
    <w:rsid w:val="030E7E36"/>
    <w:rsid w:val="03A52548"/>
    <w:rsid w:val="04806B11"/>
    <w:rsid w:val="049363E3"/>
    <w:rsid w:val="04B334F0"/>
    <w:rsid w:val="04D31337"/>
    <w:rsid w:val="04E72EC7"/>
    <w:rsid w:val="0543016B"/>
    <w:rsid w:val="06B15C3E"/>
    <w:rsid w:val="06DC2725"/>
    <w:rsid w:val="0721282E"/>
    <w:rsid w:val="075C5614"/>
    <w:rsid w:val="076D5A73"/>
    <w:rsid w:val="07DE158D"/>
    <w:rsid w:val="07F60D53"/>
    <w:rsid w:val="08277A0D"/>
    <w:rsid w:val="089259BF"/>
    <w:rsid w:val="08DA108E"/>
    <w:rsid w:val="091C4DAE"/>
    <w:rsid w:val="093F5C33"/>
    <w:rsid w:val="09A82D92"/>
    <w:rsid w:val="0AC0410C"/>
    <w:rsid w:val="0B4765DB"/>
    <w:rsid w:val="0B5331D2"/>
    <w:rsid w:val="0BDB744F"/>
    <w:rsid w:val="0C1C7A68"/>
    <w:rsid w:val="0CE642FD"/>
    <w:rsid w:val="0D803A6B"/>
    <w:rsid w:val="0D8A3AA9"/>
    <w:rsid w:val="0DA47D15"/>
    <w:rsid w:val="0DCD726B"/>
    <w:rsid w:val="0E3377EA"/>
    <w:rsid w:val="0E72571D"/>
    <w:rsid w:val="0E795D11"/>
    <w:rsid w:val="0F040A6B"/>
    <w:rsid w:val="0F4277E5"/>
    <w:rsid w:val="0F6C4862"/>
    <w:rsid w:val="0FCC5343"/>
    <w:rsid w:val="0FF22FB9"/>
    <w:rsid w:val="10463305"/>
    <w:rsid w:val="10935BDB"/>
    <w:rsid w:val="110C1E59"/>
    <w:rsid w:val="12E61811"/>
    <w:rsid w:val="13C85275"/>
    <w:rsid w:val="13D10778"/>
    <w:rsid w:val="144F7614"/>
    <w:rsid w:val="14580650"/>
    <w:rsid w:val="149208C7"/>
    <w:rsid w:val="14A56265"/>
    <w:rsid w:val="14A979BF"/>
    <w:rsid w:val="14FE3C2B"/>
    <w:rsid w:val="15542020"/>
    <w:rsid w:val="166965AD"/>
    <w:rsid w:val="16A14DF1"/>
    <w:rsid w:val="17343EB7"/>
    <w:rsid w:val="17435EA8"/>
    <w:rsid w:val="177F276C"/>
    <w:rsid w:val="17E01949"/>
    <w:rsid w:val="18207EBB"/>
    <w:rsid w:val="1830723B"/>
    <w:rsid w:val="18F5792F"/>
    <w:rsid w:val="190B0D39"/>
    <w:rsid w:val="19241D82"/>
    <w:rsid w:val="197902A7"/>
    <w:rsid w:val="199473F6"/>
    <w:rsid w:val="1A1151F4"/>
    <w:rsid w:val="1A3366A8"/>
    <w:rsid w:val="1A7432DC"/>
    <w:rsid w:val="1AB8095B"/>
    <w:rsid w:val="1B3A2A7C"/>
    <w:rsid w:val="1C147666"/>
    <w:rsid w:val="1C6F60A3"/>
    <w:rsid w:val="1C9378D2"/>
    <w:rsid w:val="1CBB2985"/>
    <w:rsid w:val="1CD6156D"/>
    <w:rsid w:val="1CD87093"/>
    <w:rsid w:val="1D8E4214"/>
    <w:rsid w:val="1F81136B"/>
    <w:rsid w:val="1FAD1567"/>
    <w:rsid w:val="1FCF6E73"/>
    <w:rsid w:val="1FED3D79"/>
    <w:rsid w:val="2015302D"/>
    <w:rsid w:val="204F3B10"/>
    <w:rsid w:val="23152DEF"/>
    <w:rsid w:val="233A4603"/>
    <w:rsid w:val="234B4A63"/>
    <w:rsid w:val="23B32608"/>
    <w:rsid w:val="23CE7442"/>
    <w:rsid w:val="23D80925"/>
    <w:rsid w:val="26236D27"/>
    <w:rsid w:val="26D938E3"/>
    <w:rsid w:val="27027B2E"/>
    <w:rsid w:val="285C6DCA"/>
    <w:rsid w:val="28634556"/>
    <w:rsid w:val="288D3427"/>
    <w:rsid w:val="291E4B5E"/>
    <w:rsid w:val="294837F2"/>
    <w:rsid w:val="29F030B0"/>
    <w:rsid w:val="2A2C6FE2"/>
    <w:rsid w:val="2B8E352A"/>
    <w:rsid w:val="2B8E4F5D"/>
    <w:rsid w:val="2BE5357A"/>
    <w:rsid w:val="2D3F1499"/>
    <w:rsid w:val="2D546C0A"/>
    <w:rsid w:val="2D8A262B"/>
    <w:rsid w:val="2E047BD1"/>
    <w:rsid w:val="2E3D31FA"/>
    <w:rsid w:val="2E6961E1"/>
    <w:rsid w:val="2F130AF1"/>
    <w:rsid w:val="2F5B77BD"/>
    <w:rsid w:val="2FF85B5B"/>
    <w:rsid w:val="30044C0D"/>
    <w:rsid w:val="30393E95"/>
    <w:rsid w:val="304545E8"/>
    <w:rsid w:val="306C426A"/>
    <w:rsid w:val="30A65DD3"/>
    <w:rsid w:val="30DB49B0"/>
    <w:rsid w:val="30F54260"/>
    <w:rsid w:val="310B5831"/>
    <w:rsid w:val="31B77767"/>
    <w:rsid w:val="31E247E4"/>
    <w:rsid w:val="32773A5E"/>
    <w:rsid w:val="32790F3E"/>
    <w:rsid w:val="328C0BF4"/>
    <w:rsid w:val="32AC4DF2"/>
    <w:rsid w:val="32AE2918"/>
    <w:rsid w:val="32B63365"/>
    <w:rsid w:val="32F32A21"/>
    <w:rsid w:val="332638F5"/>
    <w:rsid w:val="34081789"/>
    <w:rsid w:val="34692F9B"/>
    <w:rsid w:val="349D2B1B"/>
    <w:rsid w:val="34B33D14"/>
    <w:rsid w:val="354935B5"/>
    <w:rsid w:val="35F31D7F"/>
    <w:rsid w:val="364F060F"/>
    <w:rsid w:val="36796765"/>
    <w:rsid w:val="367F4CF7"/>
    <w:rsid w:val="36CD0C78"/>
    <w:rsid w:val="37421881"/>
    <w:rsid w:val="3750483D"/>
    <w:rsid w:val="377D0BAA"/>
    <w:rsid w:val="37CF580A"/>
    <w:rsid w:val="38495DBD"/>
    <w:rsid w:val="38594718"/>
    <w:rsid w:val="385C27C6"/>
    <w:rsid w:val="386B53F3"/>
    <w:rsid w:val="387A35DA"/>
    <w:rsid w:val="393D2C48"/>
    <w:rsid w:val="395D0BF4"/>
    <w:rsid w:val="398264E4"/>
    <w:rsid w:val="3ABB02C8"/>
    <w:rsid w:val="3AD66F18"/>
    <w:rsid w:val="3ADC0CA4"/>
    <w:rsid w:val="3AEC222F"/>
    <w:rsid w:val="3B2C6AD0"/>
    <w:rsid w:val="3B7010B2"/>
    <w:rsid w:val="3BAA7239"/>
    <w:rsid w:val="3BEE647B"/>
    <w:rsid w:val="3C8B6ACE"/>
    <w:rsid w:val="3CD75FE7"/>
    <w:rsid w:val="3CF25AF7"/>
    <w:rsid w:val="3D6469F5"/>
    <w:rsid w:val="3D687F70"/>
    <w:rsid w:val="3DB86D41"/>
    <w:rsid w:val="3DF27240"/>
    <w:rsid w:val="3E1D4DF6"/>
    <w:rsid w:val="3E284351"/>
    <w:rsid w:val="3E740EBA"/>
    <w:rsid w:val="3EA20190"/>
    <w:rsid w:val="3ED41958"/>
    <w:rsid w:val="3F686171"/>
    <w:rsid w:val="408D1BA0"/>
    <w:rsid w:val="40EF6511"/>
    <w:rsid w:val="40F6635A"/>
    <w:rsid w:val="41811B86"/>
    <w:rsid w:val="41881F15"/>
    <w:rsid w:val="41AF0F4C"/>
    <w:rsid w:val="41C00D60"/>
    <w:rsid w:val="426C261F"/>
    <w:rsid w:val="42B73ACE"/>
    <w:rsid w:val="42BC5173"/>
    <w:rsid w:val="42DE0FF8"/>
    <w:rsid w:val="43670FED"/>
    <w:rsid w:val="438E72DF"/>
    <w:rsid w:val="444441E2"/>
    <w:rsid w:val="444D10F4"/>
    <w:rsid w:val="448B4867"/>
    <w:rsid w:val="45575091"/>
    <w:rsid w:val="4595204F"/>
    <w:rsid w:val="45CF626D"/>
    <w:rsid w:val="469E38B2"/>
    <w:rsid w:val="46A523F5"/>
    <w:rsid w:val="47365A97"/>
    <w:rsid w:val="479652DD"/>
    <w:rsid w:val="48147269"/>
    <w:rsid w:val="482C45B3"/>
    <w:rsid w:val="48B2102B"/>
    <w:rsid w:val="48E32378"/>
    <w:rsid w:val="493556E9"/>
    <w:rsid w:val="499B3971"/>
    <w:rsid w:val="4A342B9D"/>
    <w:rsid w:val="4AD11442"/>
    <w:rsid w:val="4B012120"/>
    <w:rsid w:val="4B313C8F"/>
    <w:rsid w:val="4B744390"/>
    <w:rsid w:val="4B9755E4"/>
    <w:rsid w:val="4BBD7B76"/>
    <w:rsid w:val="4BD74836"/>
    <w:rsid w:val="4EAC1363"/>
    <w:rsid w:val="4F204AAA"/>
    <w:rsid w:val="4F3C1F8D"/>
    <w:rsid w:val="4F915466"/>
    <w:rsid w:val="4FE6773D"/>
    <w:rsid w:val="50416722"/>
    <w:rsid w:val="50BC224C"/>
    <w:rsid w:val="50F57EE6"/>
    <w:rsid w:val="513B7615"/>
    <w:rsid w:val="5244074B"/>
    <w:rsid w:val="52443D8B"/>
    <w:rsid w:val="539A31ED"/>
    <w:rsid w:val="53A913E3"/>
    <w:rsid w:val="53B67427"/>
    <w:rsid w:val="54482775"/>
    <w:rsid w:val="545C3B2A"/>
    <w:rsid w:val="547C0F99"/>
    <w:rsid w:val="54A97595"/>
    <w:rsid w:val="55793D5E"/>
    <w:rsid w:val="558C5CB4"/>
    <w:rsid w:val="55AC0EDD"/>
    <w:rsid w:val="55E62245"/>
    <w:rsid w:val="56C836F9"/>
    <w:rsid w:val="570312CD"/>
    <w:rsid w:val="58AD36D9"/>
    <w:rsid w:val="58D6470F"/>
    <w:rsid w:val="58F76517"/>
    <w:rsid w:val="593C2AAE"/>
    <w:rsid w:val="59417793"/>
    <w:rsid w:val="59633BAD"/>
    <w:rsid w:val="5A1153B7"/>
    <w:rsid w:val="5A38583A"/>
    <w:rsid w:val="5A533C21"/>
    <w:rsid w:val="5A772246"/>
    <w:rsid w:val="5B97034A"/>
    <w:rsid w:val="5C64411C"/>
    <w:rsid w:val="5C806824"/>
    <w:rsid w:val="5CBD1826"/>
    <w:rsid w:val="5CE46DB3"/>
    <w:rsid w:val="5D395350"/>
    <w:rsid w:val="5D831735"/>
    <w:rsid w:val="5DF61B05"/>
    <w:rsid w:val="5DFA418A"/>
    <w:rsid w:val="5ED74E21"/>
    <w:rsid w:val="5EF64B7B"/>
    <w:rsid w:val="5F454E6A"/>
    <w:rsid w:val="5FDC5406"/>
    <w:rsid w:val="60E43825"/>
    <w:rsid w:val="61025A59"/>
    <w:rsid w:val="61471E39"/>
    <w:rsid w:val="62AB1C6F"/>
    <w:rsid w:val="62DD22DA"/>
    <w:rsid w:val="63352116"/>
    <w:rsid w:val="634A4428"/>
    <w:rsid w:val="635B76A3"/>
    <w:rsid w:val="63D74F7B"/>
    <w:rsid w:val="63E45E6C"/>
    <w:rsid w:val="641461CF"/>
    <w:rsid w:val="64607667"/>
    <w:rsid w:val="64D7109F"/>
    <w:rsid w:val="65A6554D"/>
    <w:rsid w:val="65BF660F"/>
    <w:rsid w:val="65E24358"/>
    <w:rsid w:val="66163CF5"/>
    <w:rsid w:val="663D12E2"/>
    <w:rsid w:val="66C421B2"/>
    <w:rsid w:val="670D6F06"/>
    <w:rsid w:val="68EF4B15"/>
    <w:rsid w:val="68F760C0"/>
    <w:rsid w:val="69823BDB"/>
    <w:rsid w:val="6A154A4F"/>
    <w:rsid w:val="6A433CC0"/>
    <w:rsid w:val="6BBB272C"/>
    <w:rsid w:val="6C0C15B8"/>
    <w:rsid w:val="6C1A6CF7"/>
    <w:rsid w:val="6C472EBA"/>
    <w:rsid w:val="6C8C02B4"/>
    <w:rsid w:val="6CC17369"/>
    <w:rsid w:val="6CF57B7D"/>
    <w:rsid w:val="6D321474"/>
    <w:rsid w:val="6DAA1953"/>
    <w:rsid w:val="6E3A3A96"/>
    <w:rsid w:val="6F106C53"/>
    <w:rsid w:val="6FB940CF"/>
    <w:rsid w:val="71500A63"/>
    <w:rsid w:val="71EF202A"/>
    <w:rsid w:val="71F061CA"/>
    <w:rsid w:val="72274BA4"/>
    <w:rsid w:val="729D1A86"/>
    <w:rsid w:val="72A72905"/>
    <w:rsid w:val="750A7ABF"/>
    <w:rsid w:val="76300180"/>
    <w:rsid w:val="76A63283"/>
    <w:rsid w:val="78014865"/>
    <w:rsid w:val="780467C2"/>
    <w:rsid w:val="78796F49"/>
    <w:rsid w:val="78D41F79"/>
    <w:rsid w:val="792C7754"/>
    <w:rsid w:val="79F301DD"/>
    <w:rsid w:val="7A31152D"/>
    <w:rsid w:val="7B3955EF"/>
    <w:rsid w:val="7B755DC4"/>
    <w:rsid w:val="7BDF6C6B"/>
    <w:rsid w:val="7C0E458B"/>
    <w:rsid w:val="7C340BE4"/>
    <w:rsid w:val="7C4B60AF"/>
    <w:rsid w:val="7CC0084B"/>
    <w:rsid w:val="7CCD11BA"/>
    <w:rsid w:val="7D3B0ED6"/>
    <w:rsid w:val="7DCE343B"/>
    <w:rsid w:val="7E1259C9"/>
    <w:rsid w:val="7E543940"/>
    <w:rsid w:val="7E7C751E"/>
    <w:rsid w:val="7EDC1B88"/>
    <w:rsid w:val="7F195760"/>
    <w:rsid w:val="7F1E08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5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51"/>
    <w:autoRedefine/>
    <w:qFormat/>
    <w:uiPriority w:val="9"/>
    <w:pPr>
      <w:keepNext/>
      <w:jc w:val="center"/>
      <w:outlineLvl w:val="0"/>
    </w:pPr>
    <w:rPr>
      <w:rFonts w:ascii="仿宋_GB2312" w:eastAsia="仿宋_GB2312"/>
      <w:kern w:val="0"/>
      <w:sz w:val="28"/>
    </w:rPr>
  </w:style>
  <w:style w:type="paragraph" w:styleId="2">
    <w:name w:val="heading 2"/>
    <w:basedOn w:val="1"/>
    <w:next w:val="1"/>
    <w:link w:val="52"/>
    <w:qFormat/>
    <w:uiPriority w:val="9"/>
    <w:pPr>
      <w:keepNext/>
      <w:tabs>
        <w:tab w:val="left" w:pos="420"/>
      </w:tabs>
      <w:spacing w:line="360" w:lineRule="auto"/>
      <w:ind w:left="330" w:hanging="330"/>
      <w:outlineLvl w:val="1"/>
    </w:pPr>
    <w:rPr>
      <w:b/>
      <w:kern w:val="0"/>
      <w:sz w:val="24"/>
      <w:szCs w:val="24"/>
    </w:rPr>
  </w:style>
  <w:style w:type="paragraph" w:styleId="4">
    <w:name w:val="heading 3"/>
    <w:basedOn w:val="1"/>
    <w:next w:val="1"/>
    <w:link w:val="53"/>
    <w:qFormat/>
    <w:uiPriority w:val="9"/>
    <w:pPr>
      <w:keepNext/>
      <w:tabs>
        <w:tab w:val="left" w:pos="468"/>
      </w:tabs>
      <w:ind w:left="468" w:hanging="468"/>
      <w:outlineLvl w:val="2"/>
    </w:pPr>
    <w:rPr>
      <w:b/>
      <w:bCs/>
      <w:kern w:val="0"/>
      <w:sz w:val="28"/>
      <w:szCs w:val="24"/>
    </w:rPr>
  </w:style>
  <w:style w:type="paragraph" w:styleId="5">
    <w:name w:val="heading 4"/>
    <w:basedOn w:val="1"/>
    <w:next w:val="6"/>
    <w:link w:val="54"/>
    <w:autoRedefine/>
    <w:qFormat/>
    <w:uiPriority w:val="9"/>
    <w:pPr>
      <w:keepNext/>
      <w:tabs>
        <w:tab w:val="left" w:pos="435"/>
      </w:tabs>
      <w:ind w:left="435" w:hanging="435"/>
      <w:outlineLvl w:val="3"/>
    </w:pPr>
    <w:rPr>
      <w:b/>
      <w:color w:val="000000"/>
      <w:kern w:val="0"/>
      <w:sz w:val="28"/>
      <w:szCs w:val="24"/>
      <w:u w:val="single"/>
    </w:rPr>
  </w:style>
  <w:style w:type="paragraph" w:styleId="8">
    <w:name w:val="heading 5"/>
    <w:basedOn w:val="1"/>
    <w:next w:val="1"/>
    <w:link w:val="56"/>
    <w:qFormat/>
    <w:uiPriority w:val="0"/>
    <w:pPr>
      <w:keepNext/>
      <w:keepLines/>
      <w:spacing w:before="280" w:after="290" w:line="376" w:lineRule="auto"/>
      <w:outlineLvl w:val="4"/>
    </w:pPr>
    <w:rPr>
      <w:b/>
      <w:bCs/>
      <w:kern w:val="0"/>
      <w:sz w:val="28"/>
      <w:szCs w:val="28"/>
    </w:rPr>
  </w:style>
  <w:style w:type="paragraph" w:styleId="9">
    <w:name w:val="heading 6"/>
    <w:basedOn w:val="1"/>
    <w:next w:val="1"/>
    <w:link w:val="57"/>
    <w:qFormat/>
    <w:uiPriority w:val="0"/>
    <w:pPr>
      <w:keepNext/>
      <w:keepLines/>
      <w:spacing w:before="240" w:after="64" w:line="320" w:lineRule="auto"/>
      <w:outlineLvl w:val="5"/>
    </w:pPr>
    <w:rPr>
      <w:rFonts w:ascii="Arial" w:hAnsi="Arial" w:eastAsia="黑体"/>
      <w:b/>
      <w:bCs/>
      <w:kern w:val="0"/>
      <w:sz w:val="24"/>
      <w:szCs w:val="24"/>
    </w:rPr>
  </w:style>
  <w:style w:type="paragraph" w:styleId="10">
    <w:name w:val="heading 7"/>
    <w:basedOn w:val="1"/>
    <w:next w:val="1"/>
    <w:link w:val="58"/>
    <w:qFormat/>
    <w:uiPriority w:val="0"/>
    <w:pPr>
      <w:keepNext/>
      <w:tabs>
        <w:tab w:val="left" w:pos="900"/>
      </w:tabs>
      <w:ind w:left="900" w:hanging="300"/>
      <w:outlineLvl w:val="6"/>
    </w:pPr>
    <w:rPr>
      <w:rFonts w:ascii="宋体" w:hAnsi="宋体"/>
      <w:b/>
      <w:kern w:val="0"/>
      <w:sz w:val="28"/>
      <w:szCs w:val="24"/>
    </w:rPr>
  </w:style>
  <w:style w:type="paragraph" w:styleId="11">
    <w:name w:val="heading 8"/>
    <w:basedOn w:val="1"/>
    <w:next w:val="1"/>
    <w:link w:val="59"/>
    <w:autoRedefine/>
    <w:qFormat/>
    <w:uiPriority w:val="0"/>
    <w:pPr>
      <w:keepNext/>
      <w:widowControl/>
      <w:tabs>
        <w:tab w:val="left" w:pos="1260"/>
        <w:tab w:val="left" w:pos="1995"/>
        <w:tab w:val="left" w:pos="2520"/>
        <w:tab w:val="left" w:pos="2730"/>
      </w:tabs>
      <w:spacing w:before="100" w:after="100" w:line="400" w:lineRule="exact"/>
      <w:ind w:left="600" w:hanging="600"/>
      <w:jc w:val="left"/>
      <w:outlineLvl w:val="7"/>
    </w:pPr>
    <w:rPr>
      <w:b/>
      <w:kern w:val="0"/>
      <w:sz w:val="28"/>
      <w:szCs w:val="24"/>
      <w:u w:val="single"/>
    </w:rPr>
  </w:style>
  <w:style w:type="paragraph" w:styleId="12">
    <w:name w:val="heading 9"/>
    <w:basedOn w:val="1"/>
    <w:next w:val="1"/>
    <w:link w:val="60"/>
    <w:qFormat/>
    <w:uiPriority w:val="0"/>
    <w:pPr>
      <w:keepNext/>
      <w:keepLines/>
      <w:adjustRightInd w:val="0"/>
      <w:spacing w:line="360" w:lineRule="atLeast"/>
      <w:ind w:left="3780" w:hanging="420"/>
      <w:textAlignment w:val="baseline"/>
      <w:outlineLvl w:val="8"/>
    </w:pPr>
    <w:rPr>
      <w:kern w:val="0"/>
      <w:sz w:val="24"/>
    </w:rPr>
  </w:style>
  <w:style w:type="character" w:default="1" w:styleId="42">
    <w:name w:val="Default Paragraph Font"/>
    <w:semiHidden/>
    <w:unhideWhenUsed/>
    <w:qFormat/>
    <w:uiPriority w:val="1"/>
  </w:style>
  <w:style w:type="table" w:default="1" w:styleId="40">
    <w:name w:val="Normal Table"/>
    <w:semiHidden/>
    <w:unhideWhenUsed/>
    <w:qFormat/>
    <w:uiPriority w:val="99"/>
    <w:tblPr>
      <w:tblCellMar>
        <w:top w:w="0" w:type="dxa"/>
        <w:left w:w="108" w:type="dxa"/>
        <w:bottom w:w="0" w:type="dxa"/>
        <w:right w:w="108" w:type="dxa"/>
      </w:tblCellMar>
    </w:tblPr>
  </w:style>
  <w:style w:type="paragraph" w:styleId="6">
    <w:name w:val="Normal Indent"/>
    <w:basedOn w:val="1"/>
    <w:next w:val="7"/>
    <w:link w:val="55"/>
    <w:qFormat/>
    <w:uiPriority w:val="0"/>
    <w:pPr>
      <w:ind w:firstLine="420"/>
    </w:pPr>
    <w:rPr>
      <w:kern w:val="0"/>
      <w:sz w:val="20"/>
    </w:rPr>
  </w:style>
  <w:style w:type="paragraph" w:styleId="7">
    <w:name w:val="toc 4"/>
    <w:basedOn w:val="1"/>
    <w:next w:val="1"/>
    <w:qFormat/>
    <w:uiPriority w:val="39"/>
    <w:pPr>
      <w:ind w:left="630"/>
      <w:jc w:val="left"/>
    </w:pPr>
    <w:rPr>
      <w:sz w:val="18"/>
      <w:szCs w:val="18"/>
    </w:rPr>
  </w:style>
  <w:style w:type="paragraph" w:styleId="13">
    <w:name w:val="toc 7"/>
    <w:basedOn w:val="1"/>
    <w:next w:val="1"/>
    <w:qFormat/>
    <w:uiPriority w:val="39"/>
    <w:pPr>
      <w:ind w:left="1260"/>
      <w:jc w:val="left"/>
    </w:pPr>
    <w:rPr>
      <w:sz w:val="18"/>
      <w:szCs w:val="18"/>
    </w:rPr>
  </w:style>
  <w:style w:type="paragraph" w:styleId="14">
    <w:name w:val="Document Map"/>
    <w:basedOn w:val="1"/>
    <w:link w:val="61"/>
    <w:qFormat/>
    <w:uiPriority w:val="0"/>
    <w:pPr>
      <w:shd w:val="clear" w:color="auto" w:fill="000080"/>
    </w:pPr>
    <w:rPr>
      <w:kern w:val="0"/>
      <w:sz w:val="20"/>
    </w:rPr>
  </w:style>
  <w:style w:type="paragraph" w:styleId="15">
    <w:name w:val="annotation text"/>
    <w:basedOn w:val="1"/>
    <w:link w:val="62"/>
    <w:autoRedefine/>
    <w:qFormat/>
    <w:uiPriority w:val="0"/>
    <w:pPr>
      <w:jc w:val="left"/>
    </w:pPr>
    <w:rPr>
      <w:kern w:val="0"/>
      <w:sz w:val="20"/>
    </w:rPr>
  </w:style>
  <w:style w:type="paragraph" w:styleId="16">
    <w:name w:val="Body Text 3"/>
    <w:basedOn w:val="1"/>
    <w:link w:val="63"/>
    <w:autoRedefine/>
    <w:qFormat/>
    <w:uiPriority w:val="0"/>
    <w:pPr>
      <w:spacing w:after="120"/>
    </w:pPr>
    <w:rPr>
      <w:kern w:val="0"/>
      <w:sz w:val="16"/>
      <w:szCs w:val="16"/>
    </w:rPr>
  </w:style>
  <w:style w:type="paragraph" w:styleId="17">
    <w:name w:val="Body Text"/>
    <w:basedOn w:val="1"/>
    <w:link w:val="64"/>
    <w:autoRedefine/>
    <w:qFormat/>
    <w:uiPriority w:val="0"/>
    <w:pPr>
      <w:spacing w:after="120"/>
    </w:pPr>
    <w:rPr>
      <w:kern w:val="0"/>
      <w:sz w:val="20"/>
    </w:rPr>
  </w:style>
  <w:style w:type="paragraph" w:styleId="18">
    <w:name w:val="Body Text Indent"/>
    <w:basedOn w:val="1"/>
    <w:next w:val="19"/>
    <w:link w:val="65"/>
    <w:qFormat/>
    <w:uiPriority w:val="0"/>
    <w:pPr>
      <w:spacing w:line="800" w:lineRule="exact"/>
      <w:ind w:left="315" w:leftChars="150" w:firstLine="664" w:firstLineChars="237"/>
    </w:pPr>
    <w:rPr>
      <w:rFonts w:ascii="仿宋_GB2312" w:eastAsia="仿宋_GB2312"/>
      <w:kern w:val="0"/>
      <w:sz w:val="28"/>
    </w:rPr>
  </w:style>
  <w:style w:type="paragraph" w:styleId="19">
    <w:name w:val="Body Text First Indent 2"/>
    <w:basedOn w:val="18"/>
    <w:next w:val="1"/>
    <w:qFormat/>
    <w:uiPriority w:val="0"/>
    <w:pPr>
      <w:ind w:firstLine="420" w:firstLineChars="200"/>
    </w:pPr>
  </w:style>
  <w:style w:type="paragraph" w:styleId="20">
    <w:name w:val="Block Text"/>
    <w:basedOn w:val="1"/>
    <w:qFormat/>
    <w:uiPriority w:val="0"/>
    <w:pPr>
      <w:spacing w:after="120"/>
      <w:ind w:left="1440" w:leftChars="700" w:right="1440" w:rightChars="700" w:firstLine="480" w:firstLineChars="200"/>
    </w:pPr>
    <w:rPr>
      <w:rFonts w:ascii="微软雅黑" w:hAnsi="微软雅黑" w:eastAsia="微软雅黑" w:cs="微软雅黑"/>
      <w:kern w:val="0"/>
      <w:szCs w:val="21"/>
    </w:rPr>
  </w:style>
  <w:style w:type="paragraph" w:styleId="21">
    <w:name w:val="toc 5"/>
    <w:basedOn w:val="1"/>
    <w:next w:val="1"/>
    <w:qFormat/>
    <w:uiPriority w:val="39"/>
    <w:pPr>
      <w:ind w:left="840"/>
      <w:jc w:val="left"/>
    </w:pPr>
    <w:rPr>
      <w:sz w:val="18"/>
      <w:szCs w:val="18"/>
    </w:rPr>
  </w:style>
  <w:style w:type="paragraph" w:styleId="22">
    <w:name w:val="toc 3"/>
    <w:basedOn w:val="1"/>
    <w:next w:val="1"/>
    <w:autoRedefine/>
    <w:qFormat/>
    <w:uiPriority w:val="39"/>
    <w:pPr>
      <w:ind w:left="840" w:leftChars="400"/>
    </w:pPr>
  </w:style>
  <w:style w:type="paragraph" w:styleId="23">
    <w:name w:val="Plain Text"/>
    <w:basedOn w:val="1"/>
    <w:link w:val="66"/>
    <w:autoRedefine/>
    <w:qFormat/>
    <w:uiPriority w:val="0"/>
    <w:rPr>
      <w:rFonts w:ascii="宋体" w:hAnsi="宋体"/>
      <w:kern w:val="0"/>
      <w:sz w:val="20"/>
    </w:rPr>
  </w:style>
  <w:style w:type="paragraph" w:styleId="24">
    <w:name w:val="toc 8"/>
    <w:basedOn w:val="1"/>
    <w:next w:val="1"/>
    <w:autoRedefine/>
    <w:qFormat/>
    <w:uiPriority w:val="39"/>
    <w:pPr>
      <w:ind w:left="1470"/>
      <w:jc w:val="left"/>
    </w:pPr>
    <w:rPr>
      <w:sz w:val="18"/>
      <w:szCs w:val="18"/>
    </w:rPr>
  </w:style>
  <w:style w:type="paragraph" w:styleId="25">
    <w:name w:val="Date"/>
    <w:basedOn w:val="1"/>
    <w:next w:val="1"/>
    <w:link w:val="67"/>
    <w:autoRedefine/>
    <w:qFormat/>
    <w:uiPriority w:val="0"/>
    <w:rPr>
      <w:color w:val="000000"/>
      <w:kern w:val="0"/>
      <w:sz w:val="30"/>
    </w:rPr>
  </w:style>
  <w:style w:type="paragraph" w:styleId="26">
    <w:name w:val="Body Text Indent 2"/>
    <w:basedOn w:val="1"/>
    <w:link w:val="68"/>
    <w:autoRedefine/>
    <w:qFormat/>
    <w:uiPriority w:val="0"/>
    <w:pPr>
      <w:spacing w:line="360" w:lineRule="auto"/>
      <w:ind w:firstLine="555"/>
    </w:pPr>
    <w:rPr>
      <w:rFonts w:ascii="仿宋_GB2312" w:eastAsia="仿宋_GB2312"/>
      <w:kern w:val="0"/>
      <w:sz w:val="28"/>
    </w:rPr>
  </w:style>
  <w:style w:type="paragraph" w:styleId="27">
    <w:name w:val="Balloon Text"/>
    <w:basedOn w:val="1"/>
    <w:link w:val="69"/>
    <w:autoRedefine/>
    <w:qFormat/>
    <w:uiPriority w:val="99"/>
    <w:rPr>
      <w:kern w:val="0"/>
      <w:sz w:val="18"/>
      <w:szCs w:val="18"/>
    </w:rPr>
  </w:style>
  <w:style w:type="paragraph" w:styleId="28">
    <w:name w:val="footer"/>
    <w:basedOn w:val="1"/>
    <w:link w:val="70"/>
    <w:autoRedefine/>
    <w:qFormat/>
    <w:uiPriority w:val="99"/>
    <w:pPr>
      <w:tabs>
        <w:tab w:val="center" w:pos="4153"/>
        <w:tab w:val="right" w:pos="8306"/>
      </w:tabs>
      <w:snapToGrid w:val="0"/>
      <w:jc w:val="left"/>
    </w:pPr>
    <w:rPr>
      <w:kern w:val="0"/>
      <w:sz w:val="18"/>
      <w:szCs w:val="18"/>
    </w:rPr>
  </w:style>
  <w:style w:type="paragraph" w:styleId="29">
    <w:name w:val="header"/>
    <w:basedOn w:val="1"/>
    <w:link w:val="71"/>
    <w:qFormat/>
    <w:uiPriority w:val="99"/>
    <w:pPr>
      <w:pBdr>
        <w:bottom w:val="single" w:color="auto" w:sz="6" w:space="1"/>
      </w:pBdr>
      <w:tabs>
        <w:tab w:val="center" w:pos="4153"/>
        <w:tab w:val="right" w:pos="8306"/>
      </w:tabs>
      <w:snapToGrid w:val="0"/>
      <w:jc w:val="center"/>
    </w:pPr>
    <w:rPr>
      <w:kern w:val="0"/>
      <w:sz w:val="18"/>
    </w:rPr>
  </w:style>
  <w:style w:type="paragraph" w:styleId="30">
    <w:name w:val="toc 1"/>
    <w:basedOn w:val="1"/>
    <w:next w:val="1"/>
    <w:autoRedefine/>
    <w:qFormat/>
    <w:uiPriority w:val="39"/>
    <w:pPr>
      <w:tabs>
        <w:tab w:val="right" w:leader="dot" w:pos="9016"/>
      </w:tabs>
    </w:pPr>
    <w:rPr>
      <w:rFonts w:ascii="宋体" w:hAnsi="宋体"/>
    </w:rPr>
  </w:style>
  <w:style w:type="paragraph" w:styleId="31">
    <w:name w:val="List"/>
    <w:autoRedefine/>
    <w:qFormat/>
    <w:uiPriority w:val="0"/>
    <w:pPr>
      <w:widowControl w:val="0"/>
      <w:ind w:left="420" w:hanging="420"/>
      <w:jc w:val="both"/>
    </w:pPr>
    <w:rPr>
      <w:rFonts w:ascii="Times New Roman" w:hAnsi="Times New Roman" w:eastAsia="宋体" w:cs="Times New Roman"/>
      <w:kern w:val="2"/>
      <w:sz w:val="21"/>
      <w:szCs w:val="24"/>
      <w:lang w:val="en-US" w:eastAsia="zh-CN" w:bidi="ar-SA"/>
    </w:rPr>
  </w:style>
  <w:style w:type="paragraph" w:styleId="32">
    <w:name w:val="footnote text"/>
    <w:basedOn w:val="1"/>
    <w:link w:val="72"/>
    <w:autoRedefine/>
    <w:qFormat/>
    <w:uiPriority w:val="0"/>
    <w:pPr>
      <w:snapToGrid w:val="0"/>
      <w:jc w:val="left"/>
    </w:pPr>
    <w:rPr>
      <w:sz w:val="18"/>
      <w:szCs w:val="18"/>
    </w:rPr>
  </w:style>
  <w:style w:type="paragraph" w:styleId="33">
    <w:name w:val="toc 6"/>
    <w:basedOn w:val="1"/>
    <w:next w:val="1"/>
    <w:autoRedefine/>
    <w:qFormat/>
    <w:uiPriority w:val="39"/>
    <w:pPr>
      <w:ind w:left="1050"/>
      <w:jc w:val="left"/>
    </w:pPr>
    <w:rPr>
      <w:sz w:val="18"/>
      <w:szCs w:val="18"/>
    </w:rPr>
  </w:style>
  <w:style w:type="paragraph" w:styleId="34">
    <w:name w:val="toc 2"/>
    <w:basedOn w:val="1"/>
    <w:next w:val="1"/>
    <w:autoRedefine/>
    <w:qFormat/>
    <w:uiPriority w:val="39"/>
    <w:pPr>
      <w:ind w:left="420" w:leftChars="200"/>
    </w:pPr>
  </w:style>
  <w:style w:type="paragraph" w:styleId="35">
    <w:name w:val="toc 9"/>
    <w:basedOn w:val="1"/>
    <w:next w:val="1"/>
    <w:autoRedefine/>
    <w:qFormat/>
    <w:uiPriority w:val="39"/>
    <w:pPr>
      <w:ind w:left="1680"/>
      <w:jc w:val="left"/>
    </w:pPr>
    <w:rPr>
      <w:sz w:val="18"/>
      <w:szCs w:val="18"/>
    </w:rPr>
  </w:style>
  <w:style w:type="paragraph" w:styleId="36">
    <w:name w:val="Normal (Web)"/>
    <w:basedOn w:val="1"/>
    <w:qFormat/>
    <w:uiPriority w:val="99"/>
    <w:pPr>
      <w:widowControl/>
      <w:jc w:val="left"/>
    </w:pPr>
    <w:rPr>
      <w:rFonts w:ascii="宋体" w:hAnsi="宋体" w:cs="宋体"/>
      <w:kern w:val="0"/>
      <w:sz w:val="24"/>
      <w:szCs w:val="24"/>
    </w:rPr>
  </w:style>
  <w:style w:type="paragraph" w:styleId="37">
    <w:name w:val="Title"/>
    <w:basedOn w:val="1"/>
    <w:next w:val="1"/>
    <w:link w:val="73"/>
    <w:qFormat/>
    <w:uiPriority w:val="10"/>
    <w:pPr>
      <w:spacing w:before="240" w:after="60"/>
      <w:jc w:val="center"/>
      <w:outlineLvl w:val="0"/>
    </w:pPr>
    <w:rPr>
      <w:rFonts w:ascii="Cambria" w:hAnsi="Cambria"/>
      <w:b/>
      <w:bCs/>
      <w:kern w:val="0"/>
      <w:sz w:val="32"/>
      <w:szCs w:val="32"/>
    </w:rPr>
  </w:style>
  <w:style w:type="paragraph" w:styleId="38">
    <w:name w:val="annotation subject"/>
    <w:basedOn w:val="15"/>
    <w:next w:val="15"/>
    <w:link w:val="74"/>
    <w:autoRedefine/>
    <w:qFormat/>
    <w:uiPriority w:val="0"/>
    <w:rPr>
      <w:b/>
      <w:bCs/>
    </w:rPr>
  </w:style>
  <w:style w:type="paragraph" w:styleId="39">
    <w:name w:val="Body Text First Indent"/>
    <w:basedOn w:val="17"/>
    <w:link w:val="75"/>
    <w:qFormat/>
    <w:uiPriority w:val="0"/>
    <w:pPr>
      <w:ind w:firstLine="420" w:firstLineChars="100"/>
    </w:pPr>
    <w:rPr>
      <w:rFonts w:ascii="Calibri" w:hAnsi="Calibri"/>
      <w:kern w:val="2"/>
      <w:sz w:val="21"/>
      <w:szCs w:val="22"/>
    </w:rPr>
  </w:style>
  <w:style w:type="table" w:styleId="41">
    <w:name w:val="Table Grid"/>
    <w:basedOn w:val="40"/>
    <w:autoRedefine/>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43">
    <w:name w:val="Strong"/>
    <w:qFormat/>
    <w:uiPriority w:val="0"/>
    <w:rPr>
      <w:b/>
      <w:bCs/>
    </w:rPr>
  </w:style>
  <w:style w:type="character" w:styleId="44">
    <w:name w:val="page number"/>
    <w:autoRedefine/>
    <w:qFormat/>
    <w:uiPriority w:val="0"/>
  </w:style>
  <w:style w:type="character" w:styleId="45">
    <w:name w:val="FollowedHyperlink"/>
    <w:qFormat/>
    <w:uiPriority w:val="99"/>
    <w:rPr>
      <w:color w:val="800080"/>
      <w:u w:val="single"/>
    </w:rPr>
  </w:style>
  <w:style w:type="character" w:styleId="46">
    <w:name w:val="Hyperlink"/>
    <w:autoRedefine/>
    <w:qFormat/>
    <w:uiPriority w:val="99"/>
    <w:rPr>
      <w:color w:val="0000FF"/>
      <w:u w:val="single"/>
    </w:rPr>
  </w:style>
  <w:style w:type="character" w:styleId="47">
    <w:name w:val="annotation reference"/>
    <w:autoRedefine/>
    <w:qFormat/>
    <w:uiPriority w:val="0"/>
    <w:rPr>
      <w:sz w:val="21"/>
      <w:szCs w:val="21"/>
    </w:rPr>
  </w:style>
  <w:style w:type="character" w:styleId="48">
    <w:name w:val="HTML Sample"/>
    <w:basedOn w:val="42"/>
    <w:qFormat/>
    <w:uiPriority w:val="0"/>
    <w:rPr>
      <w:rFonts w:ascii="Courier New" w:hAnsi="Courier New"/>
    </w:rPr>
  </w:style>
  <w:style w:type="paragraph" w:customStyle="1" w:styleId="49">
    <w:name w:val="样式 正文首行缩进 2 + 首行缩进:  2 字符"/>
    <w:autoRedefine/>
    <w:qFormat/>
    <w:uiPriority w:val="0"/>
    <w:pPr>
      <w:widowControl w:val="0"/>
      <w:spacing w:after="120"/>
      <w:ind w:left="200" w:leftChars="200" w:firstLine="357" w:firstLineChars="170"/>
      <w:jc w:val="both"/>
    </w:pPr>
    <w:rPr>
      <w:rFonts w:ascii="Calibri" w:hAnsi="Calibri" w:eastAsia="宋体" w:cs="Arial"/>
      <w:kern w:val="2"/>
      <w:sz w:val="21"/>
      <w:lang w:val="en-US" w:eastAsia="zh-CN" w:bidi="ar-SA"/>
    </w:rPr>
  </w:style>
  <w:style w:type="paragraph" w:customStyle="1" w:styleId="50">
    <w:name w:val="Default1"/>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51">
    <w:name w:val="标题 1 字符"/>
    <w:link w:val="3"/>
    <w:autoRedefine/>
    <w:qFormat/>
    <w:uiPriority w:val="9"/>
    <w:rPr>
      <w:rFonts w:ascii="仿宋_GB2312" w:hAnsi="Times New Roman" w:eastAsia="仿宋_GB2312" w:cs="Times New Roman"/>
      <w:sz w:val="28"/>
      <w:szCs w:val="20"/>
    </w:rPr>
  </w:style>
  <w:style w:type="character" w:customStyle="1" w:styleId="52">
    <w:name w:val="标题 2 字符"/>
    <w:link w:val="2"/>
    <w:autoRedefine/>
    <w:qFormat/>
    <w:uiPriority w:val="9"/>
    <w:rPr>
      <w:rFonts w:ascii="Times New Roman" w:hAnsi="Times New Roman" w:eastAsia="宋体" w:cs="Times New Roman"/>
      <w:b/>
      <w:sz w:val="24"/>
      <w:szCs w:val="24"/>
    </w:rPr>
  </w:style>
  <w:style w:type="character" w:customStyle="1" w:styleId="53">
    <w:name w:val="标题 3 字符"/>
    <w:link w:val="4"/>
    <w:autoRedefine/>
    <w:qFormat/>
    <w:uiPriority w:val="9"/>
    <w:rPr>
      <w:rFonts w:ascii="Times New Roman" w:hAnsi="Times New Roman" w:eastAsia="宋体" w:cs="Times New Roman"/>
      <w:b/>
      <w:bCs/>
      <w:sz w:val="28"/>
      <w:szCs w:val="24"/>
    </w:rPr>
  </w:style>
  <w:style w:type="character" w:customStyle="1" w:styleId="54">
    <w:name w:val="标题 4 字符"/>
    <w:link w:val="5"/>
    <w:autoRedefine/>
    <w:qFormat/>
    <w:uiPriority w:val="9"/>
    <w:rPr>
      <w:rFonts w:ascii="Times New Roman" w:hAnsi="Times New Roman" w:eastAsia="宋体" w:cs="Times New Roman"/>
      <w:b/>
      <w:color w:val="000000"/>
      <w:sz w:val="28"/>
      <w:szCs w:val="24"/>
      <w:u w:val="single"/>
    </w:rPr>
  </w:style>
  <w:style w:type="character" w:customStyle="1" w:styleId="55">
    <w:name w:val="正文缩进 字符"/>
    <w:link w:val="6"/>
    <w:autoRedefine/>
    <w:qFormat/>
    <w:uiPriority w:val="0"/>
    <w:rPr>
      <w:rFonts w:eastAsia="宋体"/>
    </w:rPr>
  </w:style>
  <w:style w:type="character" w:customStyle="1" w:styleId="56">
    <w:name w:val="标题 5 字符"/>
    <w:link w:val="8"/>
    <w:autoRedefine/>
    <w:qFormat/>
    <w:uiPriority w:val="0"/>
    <w:rPr>
      <w:rFonts w:ascii="Times New Roman" w:hAnsi="Times New Roman" w:eastAsia="宋体" w:cs="Times New Roman"/>
      <w:b/>
      <w:bCs/>
      <w:sz w:val="28"/>
      <w:szCs w:val="28"/>
    </w:rPr>
  </w:style>
  <w:style w:type="character" w:customStyle="1" w:styleId="57">
    <w:name w:val="标题 6 字符"/>
    <w:link w:val="9"/>
    <w:autoRedefine/>
    <w:qFormat/>
    <w:uiPriority w:val="0"/>
    <w:rPr>
      <w:rFonts w:ascii="Arial" w:hAnsi="Arial" w:eastAsia="黑体" w:cs="Times New Roman"/>
      <w:b/>
      <w:bCs/>
      <w:sz w:val="24"/>
      <w:szCs w:val="24"/>
    </w:rPr>
  </w:style>
  <w:style w:type="character" w:customStyle="1" w:styleId="58">
    <w:name w:val="标题 7 字符"/>
    <w:link w:val="10"/>
    <w:autoRedefine/>
    <w:qFormat/>
    <w:uiPriority w:val="0"/>
    <w:rPr>
      <w:rFonts w:ascii="宋体" w:hAnsi="宋体" w:eastAsia="宋体" w:cs="Times New Roman"/>
      <w:b/>
      <w:sz w:val="28"/>
      <w:szCs w:val="24"/>
    </w:rPr>
  </w:style>
  <w:style w:type="character" w:customStyle="1" w:styleId="59">
    <w:name w:val="标题 8 字符"/>
    <w:link w:val="11"/>
    <w:autoRedefine/>
    <w:qFormat/>
    <w:uiPriority w:val="0"/>
    <w:rPr>
      <w:rFonts w:ascii="Times New Roman" w:hAnsi="Times New Roman" w:eastAsia="宋体" w:cs="Times New Roman"/>
      <w:b/>
      <w:sz w:val="28"/>
      <w:szCs w:val="24"/>
      <w:u w:val="single"/>
    </w:rPr>
  </w:style>
  <w:style w:type="character" w:customStyle="1" w:styleId="60">
    <w:name w:val="标题 9 字符"/>
    <w:link w:val="12"/>
    <w:autoRedefine/>
    <w:qFormat/>
    <w:uiPriority w:val="0"/>
    <w:rPr>
      <w:sz w:val="24"/>
    </w:rPr>
  </w:style>
  <w:style w:type="character" w:customStyle="1" w:styleId="61">
    <w:name w:val="文档结构图 字符"/>
    <w:link w:val="14"/>
    <w:qFormat/>
    <w:uiPriority w:val="0"/>
    <w:rPr>
      <w:rFonts w:ascii="Times New Roman" w:hAnsi="Times New Roman" w:eastAsia="宋体" w:cs="Times New Roman"/>
      <w:szCs w:val="20"/>
      <w:shd w:val="clear" w:color="auto" w:fill="000080"/>
    </w:rPr>
  </w:style>
  <w:style w:type="character" w:customStyle="1" w:styleId="62">
    <w:name w:val="批注文字 字符"/>
    <w:link w:val="15"/>
    <w:qFormat/>
    <w:uiPriority w:val="0"/>
    <w:rPr>
      <w:rFonts w:ascii="Times New Roman" w:hAnsi="Times New Roman" w:eastAsia="宋体" w:cs="Times New Roman"/>
      <w:szCs w:val="20"/>
    </w:rPr>
  </w:style>
  <w:style w:type="character" w:customStyle="1" w:styleId="63">
    <w:name w:val="正文文本 3 字符"/>
    <w:link w:val="16"/>
    <w:autoRedefine/>
    <w:qFormat/>
    <w:uiPriority w:val="0"/>
    <w:rPr>
      <w:rFonts w:ascii="Times New Roman" w:hAnsi="Times New Roman" w:eastAsia="宋体" w:cs="Times New Roman"/>
      <w:sz w:val="16"/>
      <w:szCs w:val="16"/>
    </w:rPr>
  </w:style>
  <w:style w:type="character" w:customStyle="1" w:styleId="64">
    <w:name w:val="正文文本 字符"/>
    <w:link w:val="17"/>
    <w:autoRedefine/>
    <w:qFormat/>
    <w:uiPriority w:val="0"/>
    <w:rPr>
      <w:rFonts w:ascii="Times New Roman" w:hAnsi="Times New Roman" w:eastAsia="宋体" w:cs="Times New Roman"/>
      <w:szCs w:val="20"/>
    </w:rPr>
  </w:style>
  <w:style w:type="character" w:customStyle="1" w:styleId="65">
    <w:name w:val="正文文本缩进 字符"/>
    <w:link w:val="18"/>
    <w:qFormat/>
    <w:uiPriority w:val="0"/>
    <w:rPr>
      <w:rFonts w:ascii="仿宋_GB2312" w:hAnsi="Times New Roman" w:eastAsia="仿宋_GB2312" w:cs="Times New Roman"/>
      <w:sz w:val="28"/>
      <w:szCs w:val="20"/>
    </w:rPr>
  </w:style>
  <w:style w:type="character" w:customStyle="1" w:styleId="66">
    <w:name w:val="纯文本 字符"/>
    <w:link w:val="23"/>
    <w:autoRedefine/>
    <w:qFormat/>
    <w:uiPriority w:val="0"/>
    <w:rPr>
      <w:rFonts w:ascii="宋体" w:hAnsi="宋体" w:eastAsia="宋体" w:cs="Times New Roman"/>
      <w:szCs w:val="20"/>
    </w:rPr>
  </w:style>
  <w:style w:type="character" w:customStyle="1" w:styleId="67">
    <w:name w:val="日期 字符"/>
    <w:link w:val="25"/>
    <w:autoRedefine/>
    <w:qFormat/>
    <w:uiPriority w:val="0"/>
    <w:rPr>
      <w:rFonts w:ascii="Times New Roman" w:hAnsi="Times New Roman" w:eastAsia="宋体" w:cs="Times New Roman"/>
      <w:color w:val="000000"/>
      <w:kern w:val="0"/>
      <w:sz w:val="30"/>
      <w:szCs w:val="20"/>
    </w:rPr>
  </w:style>
  <w:style w:type="character" w:customStyle="1" w:styleId="68">
    <w:name w:val="正文文本缩进 2 字符"/>
    <w:link w:val="26"/>
    <w:autoRedefine/>
    <w:qFormat/>
    <w:uiPriority w:val="0"/>
    <w:rPr>
      <w:rFonts w:ascii="仿宋_GB2312" w:hAnsi="Times New Roman" w:eastAsia="仿宋_GB2312" w:cs="Times New Roman"/>
      <w:sz w:val="28"/>
      <w:szCs w:val="20"/>
    </w:rPr>
  </w:style>
  <w:style w:type="character" w:customStyle="1" w:styleId="69">
    <w:name w:val="批注框文本 字符"/>
    <w:link w:val="27"/>
    <w:autoRedefine/>
    <w:qFormat/>
    <w:uiPriority w:val="99"/>
    <w:rPr>
      <w:rFonts w:ascii="Times New Roman" w:hAnsi="Times New Roman" w:eastAsia="宋体" w:cs="Times New Roman"/>
      <w:sz w:val="18"/>
      <w:szCs w:val="18"/>
    </w:rPr>
  </w:style>
  <w:style w:type="character" w:customStyle="1" w:styleId="70">
    <w:name w:val="页脚 字符"/>
    <w:link w:val="28"/>
    <w:autoRedefine/>
    <w:qFormat/>
    <w:uiPriority w:val="99"/>
    <w:rPr>
      <w:rFonts w:ascii="Times New Roman" w:hAnsi="Times New Roman" w:eastAsia="宋体" w:cs="Times New Roman"/>
      <w:sz w:val="18"/>
      <w:szCs w:val="18"/>
    </w:rPr>
  </w:style>
  <w:style w:type="character" w:customStyle="1" w:styleId="71">
    <w:name w:val="页眉 字符"/>
    <w:link w:val="29"/>
    <w:autoRedefine/>
    <w:qFormat/>
    <w:uiPriority w:val="99"/>
    <w:rPr>
      <w:rFonts w:eastAsia="宋体"/>
      <w:sz w:val="18"/>
    </w:rPr>
  </w:style>
  <w:style w:type="character" w:customStyle="1" w:styleId="72">
    <w:name w:val="脚注文本 字符"/>
    <w:link w:val="32"/>
    <w:autoRedefine/>
    <w:qFormat/>
    <w:uiPriority w:val="0"/>
    <w:rPr>
      <w:kern w:val="2"/>
      <w:sz w:val="18"/>
      <w:szCs w:val="18"/>
    </w:rPr>
  </w:style>
  <w:style w:type="character" w:customStyle="1" w:styleId="73">
    <w:name w:val="标题 字符"/>
    <w:link w:val="37"/>
    <w:autoRedefine/>
    <w:qFormat/>
    <w:uiPriority w:val="10"/>
    <w:rPr>
      <w:rFonts w:ascii="Cambria" w:hAnsi="Cambria" w:eastAsia="宋体" w:cs="Times New Roman"/>
      <w:b/>
      <w:bCs/>
      <w:sz w:val="32"/>
      <w:szCs w:val="32"/>
    </w:rPr>
  </w:style>
  <w:style w:type="character" w:customStyle="1" w:styleId="74">
    <w:name w:val="批注主题 字符"/>
    <w:link w:val="38"/>
    <w:autoRedefine/>
    <w:qFormat/>
    <w:uiPriority w:val="0"/>
    <w:rPr>
      <w:rFonts w:ascii="Times New Roman" w:hAnsi="Times New Roman" w:eastAsia="宋体" w:cs="Times New Roman"/>
      <w:b/>
      <w:bCs/>
      <w:szCs w:val="20"/>
    </w:rPr>
  </w:style>
  <w:style w:type="character" w:customStyle="1" w:styleId="75">
    <w:name w:val="正文首行缩进 字符"/>
    <w:link w:val="39"/>
    <w:autoRedefine/>
    <w:qFormat/>
    <w:uiPriority w:val="0"/>
    <w:rPr>
      <w:kern w:val="2"/>
      <w:sz w:val="21"/>
      <w:szCs w:val="22"/>
    </w:rPr>
  </w:style>
  <w:style w:type="paragraph" w:customStyle="1" w:styleId="76">
    <w:name w:val="Heading4"/>
    <w:basedOn w:val="1"/>
    <w:next w:val="1"/>
    <w:autoRedefine/>
    <w:qFormat/>
    <w:uiPriority w:val="0"/>
    <w:pPr>
      <w:keepNext/>
      <w:keepLines/>
      <w:spacing w:before="280" w:after="290" w:line="376" w:lineRule="atLeast"/>
      <w:ind w:left="-120"/>
      <w:jc w:val="left"/>
      <w:textAlignment w:val="baseline"/>
    </w:pPr>
    <w:rPr>
      <w:rFonts w:ascii="Arial" w:hAnsi="Arial" w:eastAsia="黑体"/>
      <w:b/>
      <w:bCs/>
      <w:kern w:val="0"/>
      <w:sz w:val="28"/>
      <w:szCs w:val="28"/>
    </w:rPr>
  </w:style>
  <w:style w:type="character" w:customStyle="1" w:styleId="77">
    <w:name w:val="页眉 Char1"/>
    <w:autoRedefine/>
    <w:qFormat/>
    <w:uiPriority w:val="99"/>
    <w:rPr>
      <w:rFonts w:ascii="Times New Roman" w:hAnsi="Times New Roman" w:eastAsia="宋体" w:cs="Times New Roman"/>
      <w:sz w:val="18"/>
      <w:szCs w:val="18"/>
    </w:rPr>
  </w:style>
  <w:style w:type="character" w:customStyle="1" w:styleId="78">
    <w:name w:val="THTF-BS-缩进两字正文 Char"/>
    <w:link w:val="79"/>
    <w:qFormat/>
    <w:uiPriority w:val="0"/>
    <w:rPr>
      <w:rFonts w:ascii="宋体"/>
      <w:sz w:val="24"/>
      <w:szCs w:val="24"/>
    </w:rPr>
  </w:style>
  <w:style w:type="paragraph" w:customStyle="1" w:styleId="79">
    <w:name w:val="THTF-BS-缩进两字正文"/>
    <w:basedOn w:val="1"/>
    <w:link w:val="78"/>
    <w:autoRedefine/>
    <w:qFormat/>
    <w:uiPriority w:val="0"/>
    <w:pPr>
      <w:wordWrap w:val="0"/>
      <w:topLinePunct/>
      <w:spacing w:line="360" w:lineRule="auto"/>
      <w:jc w:val="left"/>
    </w:pPr>
    <w:rPr>
      <w:rFonts w:ascii="宋体"/>
      <w:kern w:val="0"/>
      <w:sz w:val="24"/>
      <w:szCs w:val="24"/>
    </w:rPr>
  </w:style>
  <w:style w:type="character" w:customStyle="1" w:styleId="80">
    <w:name w:val="font31"/>
    <w:autoRedefine/>
    <w:qFormat/>
    <w:uiPriority w:val="0"/>
    <w:rPr>
      <w:rFonts w:hint="eastAsia" w:ascii="宋体" w:hAnsi="宋体" w:eastAsia="宋体" w:cs="宋体"/>
      <w:color w:val="000000"/>
      <w:sz w:val="20"/>
      <w:szCs w:val="20"/>
      <w:u w:val="none"/>
    </w:rPr>
  </w:style>
  <w:style w:type="character" w:customStyle="1" w:styleId="81">
    <w:name w:val="sub"/>
    <w:autoRedefine/>
    <w:qFormat/>
    <w:uiPriority w:val="0"/>
  </w:style>
  <w:style w:type="character" w:customStyle="1" w:styleId="82">
    <w:name w:val="标题 2 Char1"/>
    <w:qFormat/>
    <w:uiPriority w:val="0"/>
    <w:rPr>
      <w:rFonts w:ascii="黑体" w:hAnsi="Arial" w:eastAsia="黑体"/>
      <w:b/>
      <w:kern w:val="2"/>
      <w:sz w:val="28"/>
      <w:lang w:val="en-US" w:eastAsia="zh-CN"/>
    </w:rPr>
  </w:style>
  <w:style w:type="character" w:customStyle="1" w:styleId="83">
    <w:name w:val="Default Text Char Char"/>
    <w:autoRedefine/>
    <w:qFormat/>
    <w:uiPriority w:val="0"/>
    <w:rPr>
      <w:color w:val="000000"/>
      <w:sz w:val="24"/>
      <w:szCs w:val="24"/>
      <w:lang w:val="en-US" w:eastAsia="zh-CN" w:bidi="ar-SA"/>
    </w:rPr>
  </w:style>
  <w:style w:type="character" w:customStyle="1" w:styleId="84">
    <w:name w:val="一级缩进 Char"/>
    <w:link w:val="85"/>
    <w:autoRedefine/>
    <w:qFormat/>
    <w:uiPriority w:val="0"/>
    <w:rPr>
      <w:rFonts w:eastAsia="仿宋_GB2312"/>
      <w:kern w:val="2"/>
      <w:sz w:val="24"/>
      <w:szCs w:val="24"/>
      <w:lang w:val="en-US" w:eastAsia="zh-CN" w:bidi="ar-SA"/>
    </w:rPr>
  </w:style>
  <w:style w:type="paragraph" w:customStyle="1" w:styleId="85">
    <w:name w:val="一级缩进"/>
    <w:link w:val="84"/>
    <w:autoRedefine/>
    <w:qFormat/>
    <w:uiPriority w:val="0"/>
    <w:pPr>
      <w:tabs>
        <w:tab w:val="left" w:pos="720"/>
      </w:tabs>
      <w:adjustRightInd w:val="0"/>
      <w:snapToGrid w:val="0"/>
      <w:spacing w:before="120" w:after="120" w:line="360" w:lineRule="auto"/>
      <w:ind w:left="970" w:hanging="250"/>
      <w:jc w:val="both"/>
    </w:pPr>
    <w:rPr>
      <w:rFonts w:ascii="Times New Roman" w:hAnsi="Times New Roman" w:eastAsia="仿宋_GB2312" w:cs="Times New Roman"/>
      <w:kern w:val="2"/>
      <w:sz w:val="24"/>
      <w:szCs w:val="24"/>
      <w:lang w:val="en-US" w:eastAsia="zh-CN" w:bidi="ar-SA"/>
    </w:rPr>
  </w:style>
  <w:style w:type="character" w:customStyle="1" w:styleId="86">
    <w:name w:val="样式1 Char"/>
    <w:link w:val="87"/>
    <w:qFormat/>
    <w:uiPriority w:val="0"/>
    <w:rPr>
      <w:rFonts w:ascii="宋体"/>
      <w:b/>
      <w:color w:val="0000FF"/>
      <w:spacing w:val="4"/>
      <w:sz w:val="24"/>
    </w:rPr>
  </w:style>
  <w:style w:type="paragraph" w:customStyle="1" w:styleId="87">
    <w:name w:val="样式1"/>
    <w:basedOn w:val="1"/>
    <w:link w:val="86"/>
    <w:autoRedefine/>
    <w:qFormat/>
    <w:uiPriority w:val="0"/>
    <w:pPr>
      <w:tabs>
        <w:tab w:val="left" w:pos="425"/>
      </w:tabs>
      <w:adjustRightInd w:val="0"/>
      <w:spacing w:line="480" w:lineRule="exact"/>
      <w:ind w:left="330" w:hanging="330"/>
      <w:textAlignment w:val="baseline"/>
    </w:pPr>
    <w:rPr>
      <w:rFonts w:ascii="宋体"/>
      <w:b/>
      <w:color w:val="0000FF"/>
      <w:spacing w:val="4"/>
      <w:kern w:val="0"/>
      <w:sz w:val="24"/>
    </w:rPr>
  </w:style>
  <w:style w:type="character" w:customStyle="1" w:styleId="88">
    <w:name w:val="Default Text Char"/>
    <w:link w:val="89"/>
    <w:qFormat/>
    <w:uiPriority w:val="0"/>
    <w:rPr>
      <w:color w:val="000000"/>
      <w:kern w:val="2"/>
      <w:sz w:val="24"/>
      <w:szCs w:val="24"/>
      <w:lang w:val="en-US" w:eastAsia="zh-CN" w:bidi="ar-SA"/>
    </w:rPr>
  </w:style>
  <w:style w:type="paragraph" w:customStyle="1" w:styleId="89">
    <w:name w:val="Default Text"/>
    <w:link w:val="88"/>
    <w:autoRedefine/>
    <w:qFormat/>
    <w:uiPriority w:val="0"/>
    <w:pPr>
      <w:widowControl w:val="0"/>
      <w:autoSpaceDE w:val="0"/>
      <w:autoSpaceDN w:val="0"/>
      <w:adjustRightInd w:val="0"/>
    </w:pPr>
    <w:rPr>
      <w:rFonts w:ascii="Times New Roman" w:hAnsi="Times New Roman" w:eastAsia="宋体" w:cs="Times New Roman"/>
      <w:color w:val="000000"/>
      <w:kern w:val="2"/>
      <w:sz w:val="24"/>
      <w:szCs w:val="24"/>
      <w:lang w:val="en-US" w:eastAsia="zh-CN" w:bidi="ar-SA"/>
    </w:rPr>
  </w:style>
  <w:style w:type="character" w:customStyle="1" w:styleId="90">
    <w:name w:val="列出段落 Char"/>
    <w:link w:val="91"/>
    <w:autoRedefine/>
    <w:qFormat/>
    <w:uiPriority w:val="0"/>
    <w:rPr>
      <w:rFonts w:eastAsia="宋体"/>
      <w:szCs w:val="24"/>
    </w:rPr>
  </w:style>
  <w:style w:type="paragraph" w:customStyle="1" w:styleId="91">
    <w:name w:val="列出段落1"/>
    <w:basedOn w:val="1"/>
    <w:link w:val="90"/>
    <w:autoRedefine/>
    <w:qFormat/>
    <w:uiPriority w:val="0"/>
    <w:pPr>
      <w:ind w:firstLine="420" w:firstLineChars="200"/>
    </w:pPr>
    <w:rPr>
      <w:kern w:val="0"/>
      <w:sz w:val="20"/>
      <w:szCs w:val="24"/>
    </w:rPr>
  </w:style>
  <w:style w:type="character" w:customStyle="1" w:styleId="92">
    <w:name w:val="二级大纲 Char Char"/>
    <w:link w:val="93"/>
    <w:autoRedefine/>
    <w:qFormat/>
    <w:uiPriority w:val="0"/>
    <w:rPr>
      <w:rFonts w:ascii="黑体" w:hAnsi="黑体" w:eastAsia="黑体"/>
      <w:b/>
      <w:bCs/>
      <w:sz w:val="30"/>
      <w:szCs w:val="30"/>
    </w:rPr>
  </w:style>
  <w:style w:type="paragraph" w:customStyle="1" w:styleId="93">
    <w:name w:val="二级大纲"/>
    <w:basedOn w:val="2"/>
    <w:link w:val="92"/>
    <w:autoRedefine/>
    <w:qFormat/>
    <w:uiPriority w:val="0"/>
    <w:pPr>
      <w:keepLines/>
      <w:tabs>
        <w:tab w:val="clear" w:pos="420"/>
      </w:tabs>
      <w:spacing w:before="260" w:after="260" w:line="416" w:lineRule="auto"/>
      <w:ind w:left="747" w:hanging="567"/>
    </w:pPr>
    <w:rPr>
      <w:rFonts w:ascii="黑体" w:hAnsi="黑体" w:eastAsia="黑体"/>
      <w:bCs/>
      <w:sz w:val="30"/>
      <w:szCs w:val="30"/>
    </w:rPr>
  </w:style>
  <w:style w:type="character" w:customStyle="1" w:styleId="94">
    <w:name w:val="font01"/>
    <w:autoRedefine/>
    <w:qFormat/>
    <w:uiPriority w:val="0"/>
    <w:rPr>
      <w:rFonts w:hint="default" w:ascii="Calibri" w:hAnsi="Calibri" w:cs="Calibri"/>
      <w:color w:val="000000"/>
      <w:sz w:val="21"/>
      <w:szCs w:val="21"/>
      <w:u w:val="none"/>
    </w:rPr>
  </w:style>
  <w:style w:type="character" w:customStyle="1" w:styleId="95">
    <w:name w:val="A5"/>
    <w:autoRedefine/>
    <w:qFormat/>
    <w:uiPriority w:val="0"/>
    <w:rPr>
      <w:rFonts w:cs="DFHeiW9-GB"/>
      <w:color w:val="000000"/>
      <w:sz w:val="22"/>
      <w:szCs w:val="22"/>
    </w:rPr>
  </w:style>
  <w:style w:type="character" w:customStyle="1" w:styleId="96">
    <w:name w:val="SF正文 Char"/>
    <w:link w:val="97"/>
    <w:autoRedefine/>
    <w:qFormat/>
    <w:uiPriority w:val="0"/>
    <w:rPr>
      <w:rFonts w:ascii="Century Gothic" w:hAnsi="Century Gothic" w:eastAsia="宋体"/>
      <w:sz w:val="24"/>
      <w:szCs w:val="24"/>
    </w:rPr>
  </w:style>
  <w:style w:type="paragraph" w:customStyle="1" w:styleId="97">
    <w:name w:val="SF正文"/>
    <w:basedOn w:val="1"/>
    <w:link w:val="96"/>
    <w:autoRedefine/>
    <w:qFormat/>
    <w:uiPriority w:val="0"/>
    <w:pPr>
      <w:spacing w:line="460" w:lineRule="exact"/>
      <w:ind w:firstLine="200" w:firstLineChars="200"/>
    </w:pPr>
    <w:rPr>
      <w:rFonts w:ascii="Century Gothic" w:hAnsi="Century Gothic"/>
      <w:kern w:val="0"/>
      <w:sz w:val="24"/>
      <w:szCs w:val="24"/>
    </w:rPr>
  </w:style>
  <w:style w:type="character" w:customStyle="1" w:styleId="98">
    <w:name w:val="书籍标题1"/>
    <w:autoRedefine/>
    <w:qFormat/>
    <w:uiPriority w:val="0"/>
    <w:rPr>
      <w:b/>
      <w:bCs/>
      <w:smallCaps/>
      <w:spacing w:val="5"/>
    </w:rPr>
  </w:style>
  <w:style w:type="character" w:customStyle="1" w:styleId="99">
    <w:name w:val="正文格式 Char"/>
    <w:link w:val="100"/>
    <w:autoRedefine/>
    <w:qFormat/>
    <w:uiPriority w:val="0"/>
    <w:rPr>
      <w:sz w:val="24"/>
    </w:rPr>
  </w:style>
  <w:style w:type="paragraph" w:customStyle="1" w:styleId="100">
    <w:name w:val="正文格式"/>
    <w:basedOn w:val="1"/>
    <w:link w:val="99"/>
    <w:autoRedefine/>
    <w:qFormat/>
    <w:uiPriority w:val="0"/>
    <w:pPr>
      <w:widowControl/>
      <w:adjustRightInd w:val="0"/>
      <w:snapToGrid w:val="0"/>
      <w:spacing w:line="360" w:lineRule="atLeast"/>
      <w:ind w:firstLine="482"/>
      <w:textAlignment w:val="baseline"/>
    </w:pPr>
    <w:rPr>
      <w:kern w:val="0"/>
      <w:sz w:val="24"/>
    </w:rPr>
  </w:style>
  <w:style w:type="character" w:customStyle="1" w:styleId="101">
    <w:name w:val="标题 Char1"/>
    <w:autoRedefine/>
    <w:qFormat/>
    <w:uiPriority w:val="0"/>
    <w:rPr>
      <w:rFonts w:ascii="Cambria" w:hAnsi="Cambria" w:cs="Times New Roman"/>
      <w:b/>
      <w:bCs/>
      <w:kern w:val="2"/>
      <w:sz w:val="32"/>
      <w:szCs w:val="32"/>
    </w:rPr>
  </w:style>
  <w:style w:type="character" w:customStyle="1" w:styleId="102">
    <w:name w:val="正文首行缩进 Char1"/>
    <w:autoRedefine/>
    <w:qFormat/>
    <w:uiPriority w:val="99"/>
    <w:rPr>
      <w:rFonts w:ascii="Times New Roman" w:hAnsi="Times New Roman" w:eastAsia="宋体" w:cs="Times New Roman"/>
      <w:kern w:val="2"/>
      <w:sz w:val="21"/>
      <w:szCs w:val="20"/>
    </w:rPr>
  </w:style>
  <w:style w:type="character" w:customStyle="1" w:styleId="103">
    <w:name w:val="样式 正文格式 + Tahoma 行距: 多倍行距 1.25 字行 Char"/>
    <w:link w:val="104"/>
    <w:autoRedefine/>
    <w:qFormat/>
    <w:uiPriority w:val="0"/>
    <w:rPr>
      <w:rFonts w:cs="宋体"/>
      <w:kern w:val="2"/>
      <w:sz w:val="24"/>
    </w:rPr>
  </w:style>
  <w:style w:type="paragraph" w:customStyle="1" w:styleId="104">
    <w:name w:val="样式 正文格式 + Tahoma 行距: 多倍行距 1.25 字行"/>
    <w:basedOn w:val="1"/>
    <w:link w:val="103"/>
    <w:autoRedefine/>
    <w:qFormat/>
    <w:uiPriority w:val="0"/>
    <w:pPr>
      <w:widowControl/>
      <w:adjustRightInd w:val="0"/>
      <w:snapToGrid w:val="0"/>
      <w:spacing w:line="300" w:lineRule="auto"/>
      <w:ind w:firstLine="482"/>
      <w:jc w:val="left"/>
      <w:textAlignment w:val="baseline"/>
    </w:pPr>
    <w:rPr>
      <w:sz w:val="24"/>
    </w:rPr>
  </w:style>
  <w:style w:type="character" w:customStyle="1" w:styleId="105">
    <w:name w:val="bookmark-item"/>
    <w:autoRedefine/>
    <w:qFormat/>
    <w:uiPriority w:val="0"/>
  </w:style>
  <w:style w:type="character" w:customStyle="1" w:styleId="106">
    <w:name w:val="outputtext"/>
    <w:autoRedefine/>
    <w:qFormat/>
    <w:uiPriority w:val="0"/>
  </w:style>
  <w:style w:type="character" w:customStyle="1" w:styleId="107">
    <w:name w:val="font51"/>
    <w:autoRedefine/>
    <w:qFormat/>
    <w:uiPriority w:val="0"/>
    <w:rPr>
      <w:rFonts w:hint="eastAsia" w:ascii="宋体" w:hAnsi="宋体" w:eastAsia="宋体" w:cs="宋体"/>
      <w:b/>
      <w:color w:val="000000"/>
      <w:sz w:val="21"/>
      <w:szCs w:val="21"/>
      <w:u w:val="none"/>
    </w:rPr>
  </w:style>
  <w:style w:type="character" w:customStyle="1" w:styleId="108">
    <w:name w:val="正文缩进 Char"/>
    <w:autoRedefine/>
    <w:qFormat/>
    <w:uiPriority w:val="0"/>
    <w:rPr>
      <w:rFonts w:eastAsia="宋体"/>
    </w:rPr>
  </w:style>
  <w:style w:type="character" w:customStyle="1" w:styleId="109">
    <w:name w:val="未处理的提及"/>
    <w:qFormat/>
    <w:uiPriority w:val="99"/>
    <w:rPr>
      <w:color w:val="605E5C"/>
      <w:shd w:val="clear" w:color="auto" w:fill="E1DFDD"/>
    </w:rPr>
  </w:style>
  <w:style w:type="character" w:customStyle="1" w:styleId="110">
    <w:name w:val="自定义正文 Char Char"/>
    <w:link w:val="111"/>
    <w:autoRedefine/>
    <w:qFormat/>
    <w:uiPriority w:val="0"/>
    <w:rPr>
      <w:rFonts w:ascii="Times New Roman" w:hAnsi="Times New Roman"/>
      <w:kern w:val="2"/>
      <w:sz w:val="24"/>
      <w:szCs w:val="24"/>
    </w:rPr>
  </w:style>
  <w:style w:type="paragraph" w:customStyle="1" w:styleId="111">
    <w:name w:val="自定义正文"/>
    <w:basedOn w:val="1"/>
    <w:link w:val="110"/>
    <w:autoRedefine/>
    <w:qFormat/>
    <w:uiPriority w:val="0"/>
    <w:pPr>
      <w:spacing w:afterLines="50" w:line="360" w:lineRule="auto"/>
      <w:ind w:firstLine="200" w:firstLineChars="200"/>
      <w:jc w:val="left"/>
    </w:pPr>
    <w:rPr>
      <w:sz w:val="24"/>
      <w:szCs w:val="24"/>
    </w:rPr>
  </w:style>
  <w:style w:type="character" w:customStyle="1" w:styleId="112">
    <w:name w:val="font61"/>
    <w:basedOn w:val="42"/>
    <w:qFormat/>
    <w:uiPriority w:val="0"/>
    <w:rPr>
      <w:rFonts w:hint="eastAsia" w:ascii="宋体" w:hAnsi="宋体" w:eastAsia="宋体" w:cs="宋体"/>
      <w:color w:val="000000"/>
      <w:sz w:val="21"/>
      <w:szCs w:val="21"/>
      <w:u w:val="none"/>
    </w:rPr>
  </w:style>
  <w:style w:type="character" w:customStyle="1" w:styleId="113">
    <w:name w:val="NormalCharacter"/>
    <w:qFormat/>
    <w:uiPriority w:val="0"/>
  </w:style>
  <w:style w:type="character" w:customStyle="1" w:styleId="114">
    <w:name w:val="三级大纲 Char Char"/>
    <w:link w:val="115"/>
    <w:autoRedefine/>
    <w:qFormat/>
    <w:uiPriority w:val="0"/>
    <w:rPr>
      <w:rFonts w:ascii="黑体" w:hAnsi="黑体" w:eastAsia="黑体"/>
      <w:b/>
      <w:bCs/>
      <w:sz w:val="28"/>
      <w:szCs w:val="28"/>
    </w:rPr>
  </w:style>
  <w:style w:type="paragraph" w:customStyle="1" w:styleId="115">
    <w:name w:val="三级大纲"/>
    <w:basedOn w:val="4"/>
    <w:link w:val="114"/>
    <w:qFormat/>
    <w:uiPriority w:val="0"/>
    <w:pPr>
      <w:keepLines/>
      <w:tabs>
        <w:tab w:val="clear" w:pos="468"/>
      </w:tabs>
      <w:spacing w:before="260" w:after="260" w:line="416" w:lineRule="auto"/>
      <w:ind w:left="709" w:hanging="709"/>
    </w:pPr>
    <w:rPr>
      <w:rFonts w:ascii="黑体" w:hAnsi="黑体" w:eastAsia="黑体"/>
      <w:szCs w:val="28"/>
    </w:rPr>
  </w:style>
  <w:style w:type="character" w:customStyle="1" w:styleId="116">
    <w:name w:val="脚注文本 Char1"/>
    <w:autoRedefine/>
    <w:qFormat/>
    <w:uiPriority w:val="99"/>
    <w:rPr>
      <w:kern w:val="2"/>
      <w:sz w:val="18"/>
      <w:szCs w:val="18"/>
    </w:rPr>
  </w:style>
  <w:style w:type="character" w:customStyle="1" w:styleId="117">
    <w:name w:val="UserStyle_25"/>
    <w:autoRedefine/>
    <w:qFormat/>
    <w:uiPriority w:val="0"/>
    <w:rPr>
      <w:rFonts w:eastAsia="宋体"/>
      <w:kern w:val="2"/>
      <w:sz w:val="24"/>
      <w:lang w:val="en-US" w:eastAsia="zh-CN" w:bidi="ar-SA"/>
    </w:rPr>
  </w:style>
  <w:style w:type="character" w:customStyle="1" w:styleId="118">
    <w:name w:val="批注框文本 Char1"/>
    <w:autoRedefine/>
    <w:qFormat/>
    <w:uiPriority w:val="99"/>
    <w:rPr>
      <w:kern w:val="2"/>
      <w:sz w:val="18"/>
      <w:szCs w:val="18"/>
    </w:rPr>
  </w:style>
  <w:style w:type="character" w:customStyle="1" w:styleId="119">
    <w:name w:val="链接"/>
    <w:autoRedefine/>
    <w:qFormat/>
    <w:uiPriority w:val="0"/>
    <w:rPr>
      <w:rFonts w:ascii="Times New Roman" w:eastAsia="宋体"/>
      <w:color w:val="0000FF"/>
      <w:sz w:val="21"/>
      <w:u w:val="single" w:color="0000FF"/>
      <w:vertAlign w:val="baseline"/>
      <w:lang w:val="en-US" w:eastAsia="zh-CN"/>
    </w:rPr>
  </w:style>
  <w:style w:type="character" w:customStyle="1" w:styleId="120">
    <w:name w:val="正文文本 Char1"/>
    <w:autoRedefine/>
    <w:qFormat/>
    <w:uiPriority w:val="0"/>
    <w:rPr>
      <w:kern w:val="2"/>
      <w:sz w:val="21"/>
    </w:rPr>
  </w:style>
  <w:style w:type="character" w:customStyle="1" w:styleId="121">
    <w:name w:val="apple-converted-space"/>
    <w:qFormat/>
    <w:uiPriority w:val="0"/>
  </w:style>
  <w:style w:type="character" w:customStyle="1" w:styleId="122">
    <w:name w:val="bg1"/>
    <w:autoRedefine/>
    <w:qFormat/>
    <w:uiPriority w:val="0"/>
    <w:rPr>
      <w:rFonts w:hint="default"/>
      <w:color w:val="000000"/>
      <w:sz w:val="23"/>
      <w:szCs w:val="23"/>
      <w:shd w:val="clear" w:color="auto" w:fill="EC0101"/>
    </w:rPr>
  </w:style>
  <w:style w:type="paragraph" w:customStyle="1" w:styleId="123">
    <w:name w:val="WPSOffice手动目录 1"/>
    <w:autoRedefine/>
    <w:qFormat/>
    <w:uiPriority w:val="0"/>
    <w:rPr>
      <w:rFonts w:ascii="Times New Roman" w:hAnsi="Times New Roman" w:eastAsia="宋体" w:cs="Times New Roman"/>
      <w:lang w:val="en-US" w:eastAsia="zh-CN" w:bidi="ar-SA"/>
    </w:rPr>
  </w:style>
  <w:style w:type="paragraph" w:customStyle="1" w:styleId="124">
    <w:name w:val="彩色列表 - 着色 11"/>
    <w:basedOn w:val="1"/>
    <w:autoRedefine/>
    <w:qFormat/>
    <w:uiPriority w:val="34"/>
    <w:pPr>
      <w:ind w:firstLine="420" w:firstLineChars="200"/>
    </w:pPr>
    <w:rPr>
      <w:szCs w:val="24"/>
    </w:rPr>
  </w:style>
  <w:style w:type="paragraph" w:customStyle="1" w:styleId="125">
    <w:name w:val="正文缩进1"/>
    <w:basedOn w:val="1"/>
    <w:autoRedefine/>
    <w:qFormat/>
    <w:uiPriority w:val="0"/>
    <w:pPr>
      <w:ind w:firstLine="420" w:firstLineChars="200"/>
    </w:pPr>
  </w:style>
  <w:style w:type="paragraph" w:customStyle="1" w:styleId="126">
    <w:name w:val="font10"/>
    <w:basedOn w:val="1"/>
    <w:autoRedefine/>
    <w:qFormat/>
    <w:uiPriority w:val="0"/>
    <w:pPr>
      <w:widowControl/>
      <w:spacing w:before="100" w:beforeAutospacing="1" w:after="100" w:afterAutospacing="1"/>
      <w:jc w:val="left"/>
    </w:pPr>
    <w:rPr>
      <w:rFonts w:hint="eastAsia" w:ascii="宋体" w:hAnsi="宋体"/>
      <w:kern w:val="0"/>
      <w:sz w:val="22"/>
      <w:szCs w:val="22"/>
    </w:rPr>
  </w:style>
  <w:style w:type="paragraph" w:customStyle="1" w:styleId="127">
    <w:name w:val="Default Text:1"/>
    <w:basedOn w:val="1"/>
    <w:qFormat/>
    <w:uiPriority w:val="0"/>
    <w:pPr>
      <w:widowControl/>
      <w:overflowPunct w:val="0"/>
      <w:autoSpaceDE w:val="0"/>
      <w:autoSpaceDN w:val="0"/>
      <w:adjustRightInd w:val="0"/>
      <w:jc w:val="left"/>
      <w:textAlignment w:val="baseline"/>
    </w:pPr>
    <w:rPr>
      <w:kern w:val="0"/>
      <w:sz w:val="24"/>
    </w:rPr>
  </w:style>
  <w:style w:type="paragraph" w:customStyle="1" w:styleId="128">
    <w:name w:val="_Style 3"/>
    <w:basedOn w:val="1"/>
    <w:autoRedefine/>
    <w:qFormat/>
    <w:uiPriority w:val="34"/>
    <w:pPr>
      <w:widowControl/>
      <w:ind w:firstLine="420" w:firstLineChars="200"/>
      <w:jc w:val="left"/>
    </w:pPr>
    <w:rPr>
      <w:rFonts w:ascii="Times" w:hAnsi="Times"/>
      <w:kern w:val="0"/>
      <w:sz w:val="20"/>
    </w:rPr>
  </w:style>
  <w:style w:type="paragraph" w:customStyle="1" w:styleId="129">
    <w:name w:val="xl2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olor w:val="000000"/>
      <w:kern w:val="0"/>
      <w:sz w:val="20"/>
    </w:rPr>
  </w:style>
  <w:style w:type="paragraph" w:customStyle="1" w:styleId="130">
    <w:name w:val="*正文"/>
    <w:basedOn w:val="1"/>
    <w:autoRedefine/>
    <w:qFormat/>
    <w:uiPriority w:val="0"/>
    <w:pPr>
      <w:widowControl/>
      <w:spacing w:line="360" w:lineRule="auto"/>
      <w:jc w:val="left"/>
    </w:pPr>
    <w:rPr>
      <w:rFonts w:ascii="仿宋_GB2312" w:eastAsia="仿宋_GB2312"/>
      <w:sz w:val="24"/>
      <w:szCs w:val="28"/>
    </w:rPr>
  </w:style>
  <w:style w:type="paragraph" w:customStyle="1" w:styleId="131">
    <w:name w:val="THTF-BS-二级标题"/>
    <w:next w:val="79"/>
    <w:autoRedefine/>
    <w:qFormat/>
    <w:uiPriority w:val="0"/>
    <w:pPr>
      <w:widowControl w:val="0"/>
      <w:spacing w:line="360" w:lineRule="auto"/>
      <w:outlineLvl w:val="1"/>
    </w:pPr>
    <w:rPr>
      <w:rFonts w:ascii="宋体" w:hAnsi="Times New Roman" w:eastAsia="宋体" w:cs="Times New Roman"/>
      <w:b/>
      <w:kern w:val="2"/>
      <w:sz w:val="32"/>
      <w:szCs w:val="32"/>
      <w:lang w:val="en-US" w:eastAsia="zh-CN" w:bidi="ar-SA"/>
    </w:rPr>
  </w:style>
  <w:style w:type="paragraph" w:customStyle="1" w:styleId="132">
    <w:name w:val="正文_2_0"/>
    <w:qFormat/>
    <w:uiPriority w:val="0"/>
    <w:pPr>
      <w:widowControl w:val="0"/>
      <w:autoSpaceDE w:val="0"/>
      <w:autoSpaceDN w:val="0"/>
      <w:adjustRightInd w:val="0"/>
      <w:spacing w:line="360" w:lineRule="atLeast"/>
      <w:ind w:left="425" w:hanging="425"/>
      <w:textAlignment w:val="bottom"/>
    </w:pPr>
    <w:rPr>
      <w:rFonts w:ascii="Times New Roman" w:hAnsi="Times New Roman" w:eastAsia="Times New Roman" w:cs="Times New Roman"/>
      <w:position w:val="-6"/>
      <w:sz w:val="24"/>
      <w:szCs w:val="24"/>
      <w:lang w:val="en-US" w:eastAsia="zh-CN" w:bidi="ar-SA"/>
    </w:rPr>
  </w:style>
  <w:style w:type="paragraph" w:customStyle="1" w:styleId="133">
    <w:name w:val="默认段落字体 Para Char Char Char Char Char Char Char"/>
    <w:basedOn w:val="1"/>
    <w:qFormat/>
    <w:uiPriority w:val="0"/>
  </w:style>
  <w:style w:type="paragraph" w:customStyle="1" w:styleId="134">
    <w:name w:val="xl44"/>
    <w:basedOn w:val="1"/>
    <w:qFormat/>
    <w:uiPriority w:val="0"/>
    <w:pPr>
      <w:widowControl/>
      <w:spacing w:before="100" w:beforeAutospacing="1" w:after="100" w:afterAutospacing="1"/>
      <w:jc w:val="center"/>
      <w:textAlignment w:val="center"/>
    </w:pPr>
    <w:rPr>
      <w:rFonts w:ascii="宋体" w:hAnsi="宋体"/>
      <w:b/>
      <w:bCs/>
      <w:color w:val="0000FF"/>
      <w:kern w:val="0"/>
      <w:sz w:val="20"/>
    </w:rPr>
  </w:style>
  <w:style w:type="paragraph" w:customStyle="1" w:styleId="135">
    <w:name w:val="No Spacing_41cd8c3e-a436-449f-8a0d-18eef016dad0"/>
    <w:qFormat/>
    <w:uiPriority w:val="0"/>
    <w:pPr>
      <w:widowControl w:val="0"/>
    </w:pPr>
    <w:rPr>
      <w:rFonts w:ascii="Times New Roman" w:hAnsi="Times New Roman" w:eastAsia="宋体" w:cs="Times New Roman"/>
      <w:sz w:val="22"/>
      <w:szCs w:val="22"/>
      <w:lang w:val="en-US" w:eastAsia="en-US" w:bidi="ar-SA"/>
    </w:rPr>
  </w:style>
  <w:style w:type="paragraph" w:customStyle="1" w:styleId="136">
    <w:name w:val="xl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0"/>
    </w:rPr>
  </w:style>
  <w:style w:type="paragraph" w:customStyle="1" w:styleId="137">
    <w:name w:val="列出段落2"/>
    <w:basedOn w:val="1"/>
    <w:qFormat/>
    <w:uiPriority w:val="34"/>
    <w:pPr>
      <w:ind w:firstLine="420"/>
    </w:pPr>
    <w:rPr>
      <w:szCs w:val="24"/>
    </w:rPr>
  </w:style>
  <w:style w:type="paragraph" w:customStyle="1" w:styleId="138">
    <w:name w:val="_Style 134"/>
    <w:autoRedefine/>
    <w:qFormat/>
    <w:uiPriority w:val="99"/>
    <w:rPr>
      <w:rFonts w:ascii="Times New Roman" w:hAnsi="Times New Roman" w:eastAsia="宋体" w:cs="Times New Roman"/>
      <w:kern w:val="2"/>
      <w:sz w:val="21"/>
      <w:lang w:val="en-US" w:eastAsia="zh-CN" w:bidi="ar-SA"/>
    </w:rPr>
  </w:style>
  <w:style w:type="paragraph" w:customStyle="1" w:styleId="139">
    <w:name w:val="TOC 标题1"/>
    <w:basedOn w:val="3"/>
    <w:next w:val="1"/>
    <w:autoRedefine/>
    <w:qFormat/>
    <w:uiPriority w:val="39"/>
    <w:pPr>
      <w:keepLines/>
      <w:widowControl/>
      <w:spacing w:before="480" w:line="276" w:lineRule="auto"/>
      <w:jc w:val="left"/>
      <w:outlineLvl w:val="9"/>
    </w:pPr>
    <w:rPr>
      <w:rFonts w:ascii="Cambria" w:hAnsi="Cambria" w:eastAsia="宋体"/>
      <w:b/>
      <w:bCs/>
      <w:color w:val="365F91"/>
      <w:szCs w:val="28"/>
    </w:rPr>
  </w:style>
  <w:style w:type="paragraph" w:customStyle="1" w:styleId="140">
    <w:name w:val="Normal_0"/>
    <w:qFormat/>
    <w:uiPriority w:val="0"/>
    <w:pPr>
      <w:widowControl w:val="0"/>
      <w:autoSpaceDE w:val="0"/>
      <w:autoSpaceDN w:val="0"/>
      <w:adjustRightInd w:val="0"/>
      <w:spacing w:line="360" w:lineRule="atLeast"/>
      <w:ind w:left="425" w:hanging="425"/>
      <w:textAlignment w:val="bottom"/>
    </w:pPr>
    <w:rPr>
      <w:rFonts w:ascii="宋体" w:hAnsi="Times New Roman" w:eastAsia="Times New Roman" w:cs="Times New Roman"/>
      <w:position w:val="-6"/>
      <w:sz w:val="24"/>
      <w:szCs w:val="24"/>
      <w:lang w:val="en-US" w:eastAsia="zh-CN" w:bidi="ar-SA"/>
    </w:rPr>
  </w:style>
  <w:style w:type="paragraph" w:customStyle="1" w:styleId="141">
    <w:name w:val="Normal_710fe4ab-e00e-4e25-9ee7-8c733dde7b28"/>
    <w:qFormat/>
    <w:uiPriority w:val="0"/>
    <w:pPr>
      <w:widowControl w:val="0"/>
      <w:autoSpaceDE w:val="0"/>
      <w:autoSpaceDN w:val="0"/>
      <w:adjustRightInd w:val="0"/>
      <w:spacing w:line="360" w:lineRule="atLeast"/>
      <w:ind w:left="425" w:hanging="425"/>
      <w:textAlignment w:val="bottom"/>
    </w:pPr>
    <w:rPr>
      <w:rFonts w:ascii="宋体" w:hAnsi="Times New Roman" w:eastAsia="宋体" w:cs="Times New Roman"/>
      <w:position w:val="-6"/>
      <w:sz w:val="32"/>
      <w:lang w:val="en-US" w:eastAsia="zh-CN" w:bidi="ar-SA"/>
    </w:rPr>
  </w:style>
  <w:style w:type="paragraph" w:customStyle="1" w:styleId="142">
    <w:name w:val="首行缩进"/>
    <w:autoRedefine/>
    <w:qFormat/>
    <w:uiPriority w:val="0"/>
    <w:pPr>
      <w:widowControl w:val="0"/>
      <w:spacing w:line="360" w:lineRule="auto"/>
      <w:ind w:firstLine="480" w:firstLineChars="200"/>
      <w:jc w:val="both"/>
    </w:pPr>
    <w:rPr>
      <w:rFonts w:ascii="Calibri" w:hAnsi="Calibri" w:eastAsia="宋体" w:cs="Times New Roman"/>
      <w:kern w:val="2"/>
      <w:sz w:val="24"/>
      <w:szCs w:val="22"/>
      <w:lang w:val="zh-CN" w:eastAsia="zh-CN" w:bidi="ar-SA"/>
    </w:rPr>
  </w:style>
  <w:style w:type="paragraph" w:customStyle="1" w:styleId="143">
    <w:name w:val="font8"/>
    <w:basedOn w:val="1"/>
    <w:autoRedefine/>
    <w:qFormat/>
    <w:uiPriority w:val="0"/>
    <w:pPr>
      <w:widowControl/>
      <w:spacing w:before="100" w:beforeAutospacing="1" w:after="100" w:afterAutospacing="1"/>
      <w:jc w:val="left"/>
    </w:pPr>
    <w:rPr>
      <w:rFonts w:hint="eastAsia" w:ascii="宋体" w:hAnsi="宋体"/>
      <w:b/>
      <w:bCs/>
      <w:color w:val="0000FF"/>
      <w:kern w:val="0"/>
      <w:sz w:val="20"/>
    </w:rPr>
  </w:style>
  <w:style w:type="paragraph" w:customStyle="1" w:styleId="144">
    <w:name w:val="xl4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0"/>
    </w:rPr>
  </w:style>
  <w:style w:type="paragraph" w:customStyle="1" w:styleId="145">
    <w:name w:val="Table Text"/>
    <w:basedOn w:val="1"/>
    <w:autoRedefine/>
    <w:qFormat/>
    <w:uiPriority w:val="0"/>
    <w:rPr>
      <w:rFonts w:ascii="仿宋" w:hAnsi="仿宋" w:eastAsia="仿宋" w:cs="仿宋"/>
      <w:sz w:val="24"/>
      <w:szCs w:val="24"/>
      <w:lang w:eastAsia="en-US"/>
    </w:rPr>
  </w:style>
  <w:style w:type="paragraph" w:customStyle="1" w:styleId="146">
    <w:name w:val="标题 31"/>
    <w:basedOn w:val="1"/>
    <w:qFormat/>
    <w:uiPriority w:val="1"/>
    <w:pPr>
      <w:ind w:left="237" w:right="102"/>
      <w:jc w:val="left"/>
      <w:outlineLvl w:val="3"/>
    </w:pPr>
    <w:rPr>
      <w:rFonts w:ascii="宋体" w:hAnsi="宋体" w:cs="宋体"/>
      <w:kern w:val="0"/>
      <w:sz w:val="28"/>
      <w:szCs w:val="28"/>
      <w:lang w:eastAsia="en-US"/>
    </w:rPr>
  </w:style>
  <w:style w:type="paragraph" w:customStyle="1" w:styleId="147">
    <w:name w:val="Char Char"/>
    <w:basedOn w:val="1"/>
    <w:autoRedefine/>
    <w:qFormat/>
    <w:uiPriority w:val="0"/>
    <w:rPr>
      <w:szCs w:val="24"/>
    </w:rPr>
  </w:style>
  <w:style w:type="paragraph" w:customStyle="1" w:styleId="148">
    <w:name w:val="表格"/>
    <w:autoRedefine/>
    <w:qFormat/>
    <w:uiPriority w:val="0"/>
    <w:pPr>
      <w:jc w:val="center"/>
    </w:pPr>
    <w:rPr>
      <w:rFonts w:ascii="Times New Roman" w:hAnsi="Times New Roman" w:eastAsia="宋体" w:cs="Tahoma"/>
      <w:color w:val="000000"/>
      <w:sz w:val="21"/>
      <w:szCs w:val="24"/>
      <w:lang w:val="en-US" w:eastAsia="zh-CN" w:bidi="ar-SA"/>
    </w:rPr>
  </w:style>
  <w:style w:type="paragraph" w:customStyle="1" w:styleId="149">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0"/>
    </w:rPr>
  </w:style>
  <w:style w:type="paragraph" w:customStyle="1" w:styleId="150">
    <w:name w:val="正文_2_1_0"/>
    <w:autoRedefine/>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51">
    <w:name w:val="文头字"/>
    <w:basedOn w:val="1"/>
    <w:autoRedefine/>
    <w:qFormat/>
    <w:uiPriority w:val="0"/>
    <w:pPr>
      <w:widowControl/>
      <w:adjustRightInd w:val="0"/>
      <w:snapToGrid w:val="0"/>
      <w:spacing w:before="200" w:line="360" w:lineRule="auto"/>
      <w:jc w:val="center"/>
      <w:textAlignment w:val="baseline"/>
    </w:pPr>
    <w:rPr>
      <w:rFonts w:ascii="宋体"/>
      <w:b/>
      <w:snapToGrid w:val="0"/>
      <w:color w:val="FF0000"/>
      <w:spacing w:val="100"/>
      <w:kern w:val="0"/>
      <w:sz w:val="48"/>
    </w:rPr>
  </w:style>
  <w:style w:type="paragraph" w:customStyle="1" w:styleId="152">
    <w:name w:val="正文_0_0_1"/>
    <w:qFormat/>
    <w:uiPriority w:val="0"/>
    <w:pPr>
      <w:widowControl w:val="0"/>
      <w:jc w:val="both"/>
    </w:pPr>
    <w:rPr>
      <w:rFonts w:ascii="Times New Roman" w:hAnsi="Times New Roman" w:eastAsia="宋体" w:cs="Times New Roman"/>
      <w:kern w:val="2"/>
      <w:sz w:val="28"/>
      <w:szCs w:val="22"/>
      <w:lang w:val="en-US" w:eastAsia="zh-CN" w:bidi="ar-SA"/>
    </w:rPr>
  </w:style>
  <w:style w:type="paragraph" w:customStyle="1" w:styleId="153">
    <w:name w:val="Text"/>
    <w:basedOn w:val="1"/>
    <w:autoRedefine/>
    <w:qFormat/>
    <w:uiPriority w:val="0"/>
    <w:pPr>
      <w:widowControl/>
      <w:jc w:val="left"/>
    </w:pPr>
    <w:rPr>
      <w:rFonts w:ascii="Arial" w:hAnsi="Arial" w:cs="Courier New"/>
      <w:kern w:val="0"/>
      <w:szCs w:val="21"/>
    </w:rPr>
  </w:style>
  <w:style w:type="paragraph" w:customStyle="1" w:styleId="154">
    <w:name w:val="xl4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0"/>
    </w:rPr>
  </w:style>
  <w:style w:type="paragraph" w:customStyle="1" w:styleId="155">
    <w:name w:val="xl4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color w:val="0000FF"/>
      <w:kern w:val="0"/>
      <w:sz w:val="20"/>
    </w:rPr>
  </w:style>
  <w:style w:type="paragraph" w:customStyle="1" w:styleId="156">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b/>
      <w:bCs/>
      <w:color w:val="0000FF"/>
      <w:kern w:val="0"/>
      <w:sz w:val="20"/>
    </w:rPr>
  </w:style>
  <w:style w:type="paragraph" w:customStyle="1" w:styleId="157">
    <w:name w:val="font11"/>
    <w:basedOn w:val="1"/>
    <w:autoRedefine/>
    <w:qFormat/>
    <w:uiPriority w:val="0"/>
    <w:pPr>
      <w:widowControl/>
      <w:spacing w:before="100" w:beforeAutospacing="1" w:after="100" w:afterAutospacing="1"/>
      <w:jc w:val="left"/>
    </w:pPr>
    <w:rPr>
      <w:kern w:val="0"/>
      <w:sz w:val="22"/>
      <w:szCs w:val="22"/>
    </w:rPr>
  </w:style>
  <w:style w:type="paragraph" w:customStyle="1" w:styleId="158">
    <w:name w:val="xl2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color w:val="800000"/>
      <w:kern w:val="0"/>
      <w:sz w:val="20"/>
    </w:rPr>
  </w:style>
  <w:style w:type="paragraph" w:customStyle="1" w:styleId="159">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0"/>
    </w:rPr>
  </w:style>
  <w:style w:type="paragraph" w:customStyle="1" w:styleId="160">
    <w:name w:val="THTF-BS-三级标题"/>
    <w:basedOn w:val="1"/>
    <w:next w:val="79"/>
    <w:qFormat/>
    <w:uiPriority w:val="0"/>
    <w:pPr>
      <w:spacing w:line="360" w:lineRule="auto"/>
      <w:outlineLvl w:val="2"/>
    </w:pPr>
    <w:rPr>
      <w:rFonts w:ascii="宋体"/>
      <w:b/>
      <w:sz w:val="30"/>
      <w:szCs w:val="30"/>
    </w:rPr>
  </w:style>
  <w:style w:type="paragraph" w:customStyle="1" w:styleId="161">
    <w:name w:val="正文文本缩进_1_0"/>
    <w:qFormat/>
    <w:uiPriority w:val="99"/>
    <w:pPr>
      <w:widowControl w:val="0"/>
      <w:spacing w:after="120"/>
      <w:ind w:left="420" w:leftChars="200"/>
      <w:jc w:val="both"/>
    </w:pPr>
    <w:rPr>
      <w:rFonts w:ascii="Times New Roman" w:hAnsi="Times New Roman" w:eastAsia="宋体" w:cs="Times New Roman"/>
      <w:kern w:val="2"/>
      <w:sz w:val="21"/>
      <w:szCs w:val="22"/>
      <w:lang w:val="en-US" w:eastAsia="zh-CN" w:bidi="ar-SA"/>
    </w:rPr>
  </w:style>
  <w:style w:type="paragraph" w:customStyle="1" w:styleId="162">
    <w:name w:val="xl2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b/>
      <w:bCs/>
      <w:color w:val="800000"/>
      <w:kern w:val="0"/>
      <w:sz w:val="20"/>
    </w:rPr>
  </w:style>
  <w:style w:type="paragraph" w:customStyle="1" w:styleId="163">
    <w:name w:val="xl3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0"/>
    </w:rPr>
  </w:style>
  <w:style w:type="paragraph" w:customStyle="1" w:styleId="164">
    <w:name w:val="1级大纲"/>
    <w:basedOn w:val="3"/>
    <w:autoRedefine/>
    <w:qFormat/>
    <w:uiPriority w:val="0"/>
    <w:pPr>
      <w:keepLines/>
      <w:spacing w:before="340" w:after="330" w:line="578" w:lineRule="auto"/>
      <w:ind w:left="425" w:hanging="425"/>
      <w:jc w:val="both"/>
    </w:pPr>
    <w:rPr>
      <w:rFonts w:ascii="黑体" w:hAnsi="黑体" w:eastAsia="黑体"/>
      <w:b/>
      <w:kern w:val="44"/>
      <w:sz w:val="32"/>
    </w:rPr>
  </w:style>
  <w:style w:type="paragraph" w:customStyle="1" w:styleId="165">
    <w:name w:val="Char1 Char Char Char"/>
    <w:basedOn w:val="1"/>
    <w:autoRedefine/>
    <w:qFormat/>
    <w:uiPriority w:val="0"/>
    <w:rPr>
      <w:rFonts w:ascii="Tahoma" w:hAnsi="Tahoma"/>
      <w:sz w:val="24"/>
    </w:rPr>
  </w:style>
  <w:style w:type="paragraph" w:customStyle="1" w:styleId="166">
    <w:name w:val="xl4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olor w:val="000000"/>
      <w:kern w:val="0"/>
      <w:sz w:val="20"/>
    </w:rPr>
  </w:style>
  <w:style w:type="paragraph" w:customStyle="1" w:styleId="167">
    <w:name w:val="xl3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0"/>
    </w:rPr>
  </w:style>
  <w:style w:type="paragraph" w:customStyle="1" w:styleId="168">
    <w:name w:val="reader-word-layer reader-word-s1-14"/>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69">
    <w:name w:val="Default"/>
    <w:autoRedefine/>
    <w:qFormat/>
    <w:uiPriority w:val="0"/>
    <w:pPr>
      <w:widowControl w:val="0"/>
      <w:autoSpaceDE w:val="0"/>
      <w:autoSpaceDN w:val="0"/>
      <w:adjustRightInd w:val="0"/>
    </w:pPr>
    <w:rPr>
      <w:rFonts w:ascii="楷体_GB2312" w:hAnsi="Times New Roman" w:eastAsia="楷体_GB2312" w:cs="Times New Roman"/>
      <w:color w:val="000000"/>
      <w:sz w:val="24"/>
      <w:lang w:val="en-US" w:eastAsia="zh-CN" w:bidi="ar-SA"/>
    </w:rPr>
  </w:style>
  <w:style w:type="paragraph" w:customStyle="1" w:styleId="170">
    <w:name w:val="样式 标题 3-ok"/>
    <w:basedOn w:val="1"/>
    <w:next w:val="1"/>
    <w:autoRedefine/>
    <w:qFormat/>
    <w:uiPriority w:val="0"/>
    <w:pPr>
      <w:keepNext/>
      <w:keepLines/>
      <w:tabs>
        <w:tab w:val="left" w:pos="680"/>
      </w:tabs>
      <w:spacing w:line="300" w:lineRule="auto"/>
      <w:ind w:left="680" w:hanging="680"/>
      <w:jc w:val="left"/>
      <w:outlineLvl w:val="2"/>
    </w:pPr>
    <w:rPr>
      <w:rFonts w:eastAsia="黑体" w:cs="宋体"/>
      <w:kern w:val="0"/>
      <w:sz w:val="24"/>
    </w:rPr>
  </w:style>
  <w:style w:type="paragraph" w:customStyle="1" w:styleId="171">
    <w:name w:val="reader-word-layer"/>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72">
    <w:name w:val="样式 10 磅"/>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73">
    <w:name w:val="font5"/>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174">
    <w:name w:val="正文_7"/>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75">
    <w:name w:val="xl3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0"/>
    </w:rPr>
  </w:style>
  <w:style w:type="paragraph" w:customStyle="1" w:styleId="176">
    <w:name w:val="Char Char Char"/>
    <w:basedOn w:val="1"/>
    <w:autoRedefine/>
    <w:qFormat/>
    <w:uiPriority w:val="0"/>
    <w:pPr>
      <w:widowControl/>
      <w:spacing w:after="160" w:line="240" w:lineRule="exact"/>
      <w:jc w:val="left"/>
    </w:pPr>
    <w:rPr>
      <w:rFonts w:ascii="Verdana" w:hAnsi="Verdana"/>
      <w:kern w:val="0"/>
      <w:sz w:val="20"/>
      <w:lang w:eastAsia="en-US"/>
    </w:rPr>
  </w:style>
  <w:style w:type="paragraph" w:styleId="177">
    <w:name w:val="List Paragraph"/>
    <w:basedOn w:val="1"/>
    <w:qFormat/>
    <w:uiPriority w:val="34"/>
    <w:pPr>
      <w:widowControl/>
      <w:ind w:firstLine="420" w:firstLineChars="200"/>
      <w:jc w:val="left"/>
    </w:pPr>
    <w:rPr>
      <w:rFonts w:ascii="宋体" w:hAnsi="宋体" w:cs="宋体"/>
      <w:kern w:val="0"/>
      <w:sz w:val="24"/>
      <w:szCs w:val="24"/>
    </w:rPr>
  </w:style>
  <w:style w:type="paragraph" w:customStyle="1" w:styleId="178">
    <w:name w:val="xl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olor w:val="000000"/>
      <w:kern w:val="0"/>
      <w:sz w:val="20"/>
    </w:rPr>
  </w:style>
  <w:style w:type="paragraph" w:customStyle="1" w:styleId="179">
    <w:name w:val="Char"/>
    <w:basedOn w:val="1"/>
    <w:qFormat/>
    <w:uiPriority w:val="0"/>
    <w:pPr>
      <w:spacing w:line="360" w:lineRule="auto"/>
    </w:pPr>
    <w:rPr>
      <w:rFonts w:ascii="新宋体" w:hAnsi="新宋体" w:eastAsia="新宋体"/>
      <w:b/>
      <w:sz w:val="24"/>
      <w:szCs w:val="24"/>
    </w:rPr>
  </w:style>
  <w:style w:type="paragraph" w:customStyle="1" w:styleId="180">
    <w:name w:val="xl50"/>
    <w:basedOn w:val="1"/>
    <w:qFormat/>
    <w:uiPriority w:val="0"/>
    <w:pPr>
      <w:widowControl/>
      <w:spacing w:before="100" w:beforeAutospacing="1" w:after="100" w:afterAutospacing="1"/>
      <w:jc w:val="left"/>
      <w:textAlignment w:val="center"/>
    </w:pPr>
    <w:rPr>
      <w:rFonts w:ascii="宋体" w:hAnsi="宋体"/>
      <w:b/>
      <w:bCs/>
      <w:color w:val="0000FF"/>
      <w:kern w:val="0"/>
      <w:sz w:val="32"/>
      <w:szCs w:val="32"/>
    </w:rPr>
  </w:style>
  <w:style w:type="paragraph" w:customStyle="1" w:styleId="181">
    <w:name w:val="Char Char1 Char Char Char"/>
    <w:basedOn w:val="1"/>
    <w:next w:val="1"/>
    <w:qFormat/>
    <w:uiPriority w:val="0"/>
    <w:pPr>
      <w:widowControl/>
      <w:spacing w:after="160" w:line="320" w:lineRule="exact"/>
      <w:ind w:left="504" w:hanging="504"/>
      <w:jc w:val="left"/>
    </w:pPr>
    <w:rPr>
      <w:rFonts w:ascii="宋体" w:hAnsi="宋体"/>
      <w:b/>
      <w:color w:val="000000"/>
      <w:kern w:val="0"/>
      <w:szCs w:val="21"/>
    </w:rPr>
  </w:style>
  <w:style w:type="paragraph" w:customStyle="1" w:styleId="182">
    <w:name w:val="xl43"/>
    <w:basedOn w:val="1"/>
    <w:autoRedefine/>
    <w:qFormat/>
    <w:uiPriority w:val="0"/>
    <w:pPr>
      <w:widowControl/>
      <w:spacing w:before="100" w:beforeAutospacing="1" w:after="100" w:afterAutospacing="1"/>
      <w:jc w:val="left"/>
    </w:pPr>
    <w:rPr>
      <w:rFonts w:ascii="宋体" w:hAnsi="宋体"/>
      <w:kern w:val="0"/>
      <w:sz w:val="20"/>
    </w:rPr>
  </w:style>
  <w:style w:type="paragraph" w:customStyle="1" w:styleId="183">
    <w:name w:val="正文_6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184">
    <w:name w:val="正文11"/>
    <w:basedOn w:val="1"/>
    <w:qFormat/>
    <w:uiPriority w:val="0"/>
    <w:pPr>
      <w:adjustRightInd w:val="0"/>
      <w:ind w:firstLine="560" w:firstLineChars="200"/>
    </w:pPr>
    <w:rPr>
      <w:rFonts w:ascii="宋体" w:hAnsi="宋体"/>
      <w:sz w:val="28"/>
      <w:szCs w:val="24"/>
    </w:rPr>
  </w:style>
  <w:style w:type="paragraph" w:customStyle="1" w:styleId="185">
    <w:name w:val="_Style 2"/>
    <w:basedOn w:val="1"/>
    <w:autoRedefine/>
    <w:qFormat/>
    <w:uiPriority w:val="0"/>
    <w:pPr>
      <w:widowControl/>
      <w:ind w:firstLine="420" w:firstLineChars="200"/>
      <w:jc w:val="left"/>
    </w:pPr>
    <w:rPr>
      <w:rFonts w:ascii="Times" w:hAnsi="Times"/>
      <w:kern w:val="0"/>
      <w:sz w:val="20"/>
    </w:rPr>
  </w:style>
  <w:style w:type="paragraph" w:customStyle="1" w:styleId="186">
    <w:name w:val="Table Paragraph"/>
    <w:basedOn w:val="1"/>
    <w:autoRedefine/>
    <w:qFormat/>
    <w:uiPriority w:val="1"/>
    <w:pPr>
      <w:jc w:val="left"/>
    </w:pPr>
    <w:rPr>
      <w:rFonts w:ascii="宋体" w:hAnsi="宋体" w:cs="宋体"/>
      <w:kern w:val="0"/>
      <w:sz w:val="22"/>
      <w:lang w:eastAsia="en-US"/>
    </w:rPr>
  </w:style>
  <w:style w:type="paragraph" w:customStyle="1" w:styleId="187">
    <w:name w:val="日期1"/>
    <w:basedOn w:val="1"/>
    <w:next w:val="1"/>
    <w:autoRedefine/>
    <w:qFormat/>
    <w:uiPriority w:val="0"/>
    <w:pPr>
      <w:adjustRightInd w:val="0"/>
      <w:textAlignment w:val="baseline"/>
    </w:pPr>
    <w:rPr>
      <w:rFonts w:ascii="宋体"/>
      <w:kern w:val="0"/>
      <w:sz w:val="24"/>
    </w:rPr>
  </w:style>
  <w:style w:type="paragraph" w:customStyle="1" w:styleId="188">
    <w:name w:val="xl45"/>
    <w:basedOn w:val="1"/>
    <w:autoRedefine/>
    <w:qFormat/>
    <w:uiPriority w:val="0"/>
    <w:pPr>
      <w:widowControl/>
      <w:spacing w:before="100" w:beforeAutospacing="1" w:after="100" w:afterAutospacing="1"/>
      <w:jc w:val="left"/>
      <w:textAlignment w:val="center"/>
    </w:pPr>
    <w:rPr>
      <w:rFonts w:ascii="宋体" w:hAnsi="宋体"/>
      <w:kern w:val="0"/>
      <w:sz w:val="20"/>
    </w:rPr>
  </w:style>
  <w:style w:type="paragraph" w:customStyle="1" w:styleId="189">
    <w:name w:val="xl51"/>
    <w:basedOn w:val="1"/>
    <w:autoRedefine/>
    <w:qFormat/>
    <w:uiPriority w:val="0"/>
    <w:pPr>
      <w:widowControl/>
      <w:spacing w:before="100" w:beforeAutospacing="1" w:after="100" w:afterAutospacing="1"/>
      <w:jc w:val="left"/>
      <w:textAlignment w:val="center"/>
    </w:pPr>
    <w:rPr>
      <w:rFonts w:ascii="宋体" w:hAnsi="宋体"/>
      <w:kern w:val="0"/>
      <w:sz w:val="22"/>
      <w:szCs w:val="22"/>
    </w:rPr>
  </w:style>
  <w:style w:type="paragraph" w:customStyle="1" w:styleId="190">
    <w:name w:val="缺省文本"/>
    <w:qFormat/>
    <w:uiPriority w:val="0"/>
    <w:pPr>
      <w:widowControl w:val="0"/>
      <w:autoSpaceDE w:val="0"/>
      <w:autoSpaceDN w:val="0"/>
      <w:adjustRightInd w:val="0"/>
    </w:pPr>
    <w:rPr>
      <w:rFonts w:ascii="Times New Roman" w:hAnsi="Times New Roman" w:eastAsia="宋体" w:cs="Times New Roman"/>
      <w:color w:val="000000"/>
      <w:szCs w:val="24"/>
      <w:lang w:val="en-US" w:eastAsia="zh-CN" w:bidi="ar-SA"/>
    </w:rPr>
  </w:style>
  <w:style w:type="paragraph" w:customStyle="1" w:styleId="191">
    <w:name w:val="正文1"/>
    <w:qFormat/>
    <w:uiPriority w:val="0"/>
    <w:rPr>
      <w:rFonts w:ascii="Times New Roman" w:hAnsi="Times New Roman" w:eastAsia="Times New Roman" w:cs="Times New Roman"/>
      <w:sz w:val="24"/>
      <w:szCs w:val="24"/>
      <w:lang w:val="en-US" w:eastAsia="zh-CN" w:bidi="ar-SA"/>
    </w:rPr>
  </w:style>
  <w:style w:type="paragraph" w:customStyle="1" w:styleId="192">
    <w:name w:val="标准小四"/>
    <w:basedOn w:val="1"/>
    <w:autoRedefine/>
    <w:qFormat/>
    <w:uiPriority w:val="0"/>
    <w:pPr>
      <w:widowControl/>
      <w:spacing w:line="360" w:lineRule="auto"/>
      <w:ind w:firstLine="480" w:firstLineChars="200"/>
      <w:jc w:val="left"/>
    </w:pPr>
    <w:rPr>
      <w:rFonts w:ascii="Arial" w:hAnsi="Arial"/>
      <w:sz w:val="24"/>
      <w:szCs w:val="24"/>
    </w:rPr>
  </w:style>
  <w:style w:type="paragraph" w:customStyle="1" w:styleId="193">
    <w:name w:val="_Style 1"/>
    <w:basedOn w:val="1"/>
    <w:autoRedefine/>
    <w:qFormat/>
    <w:uiPriority w:val="0"/>
    <w:pPr>
      <w:widowControl/>
      <w:ind w:firstLine="420" w:firstLineChars="200"/>
      <w:jc w:val="left"/>
    </w:pPr>
    <w:rPr>
      <w:rFonts w:ascii="Times" w:hAnsi="Times"/>
      <w:kern w:val="0"/>
      <w:sz w:val="20"/>
    </w:rPr>
  </w:style>
  <w:style w:type="paragraph" w:customStyle="1" w:styleId="194">
    <w:name w:val="font7"/>
    <w:basedOn w:val="1"/>
    <w:autoRedefine/>
    <w:qFormat/>
    <w:uiPriority w:val="0"/>
    <w:pPr>
      <w:widowControl/>
      <w:spacing w:before="100" w:beforeAutospacing="1" w:after="100" w:afterAutospacing="1"/>
      <w:jc w:val="left"/>
    </w:pPr>
    <w:rPr>
      <w:rFonts w:hint="eastAsia" w:ascii="宋体" w:hAnsi="宋体"/>
      <w:color w:val="000000"/>
      <w:kern w:val="0"/>
      <w:sz w:val="20"/>
    </w:rPr>
  </w:style>
  <w:style w:type="paragraph" w:customStyle="1" w:styleId="195">
    <w:name w:val="普通正文"/>
    <w:basedOn w:val="1"/>
    <w:autoRedefine/>
    <w:qFormat/>
    <w:uiPriority w:val="0"/>
    <w:pPr>
      <w:adjustRightInd w:val="0"/>
      <w:spacing w:before="120" w:after="120" w:line="360" w:lineRule="auto"/>
      <w:ind w:firstLine="480"/>
      <w:jc w:val="left"/>
      <w:textAlignment w:val="baseline"/>
    </w:pPr>
    <w:rPr>
      <w:rFonts w:ascii="Arial" w:hAnsi="Arial"/>
      <w:kern w:val="0"/>
      <w:sz w:val="24"/>
      <w:szCs w:val="24"/>
    </w:rPr>
  </w:style>
  <w:style w:type="paragraph" w:customStyle="1" w:styleId="196">
    <w:name w:val="font6"/>
    <w:basedOn w:val="1"/>
    <w:autoRedefine/>
    <w:qFormat/>
    <w:uiPriority w:val="0"/>
    <w:pPr>
      <w:widowControl/>
      <w:spacing w:before="100" w:beforeAutospacing="1" w:after="100" w:afterAutospacing="1"/>
      <w:jc w:val="left"/>
    </w:pPr>
    <w:rPr>
      <w:rFonts w:hint="eastAsia" w:ascii="宋体" w:hAnsi="宋体"/>
      <w:kern w:val="0"/>
      <w:sz w:val="20"/>
    </w:rPr>
  </w:style>
  <w:style w:type="paragraph" w:customStyle="1" w:styleId="197">
    <w:name w:val="font12"/>
    <w:basedOn w:val="1"/>
    <w:autoRedefine/>
    <w:qFormat/>
    <w:uiPriority w:val="0"/>
    <w:pPr>
      <w:widowControl/>
      <w:spacing w:before="100" w:beforeAutospacing="1" w:after="100" w:afterAutospacing="1"/>
      <w:jc w:val="left"/>
    </w:pPr>
    <w:rPr>
      <w:rFonts w:hint="eastAsia" w:ascii="楷体_GB2312" w:hAnsi="宋体" w:eastAsia="楷体_GB2312"/>
      <w:b/>
      <w:bCs/>
      <w:color w:val="FF0000"/>
      <w:kern w:val="0"/>
      <w:sz w:val="22"/>
      <w:szCs w:val="22"/>
    </w:rPr>
  </w:style>
  <w:style w:type="paragraph" w:customStyle="1" w:styleId="198">
    <w:name w:val="font13"/>
    <w:basedOn w:val="1"/>
    <w:autoRedefine/>
    <w:qFormat/>
    <w:uiPriority w:val="0"/>
    <w:pPr>
      <w:widowControl/>
      <w:spacing w:before="100" w:beforeAutospacing="1" w:after="100" w:afterAutospacing="1"/>
      <w:jc w:val="left"/>
    </w:pPr>
    <w:rPr>
      <w:b/>
      <w:bCs/>
      <w:color w:val="FF0000"/>
      <w:kern w:val="0"/>
      <w:sz w:val="22"/>
      <w:szCs w:val="22"/>
    </w:rPr>
  </w:style>
  <w:style w:type="paragraph" w:customStyle="1" w:styleId="199">
    <w:name w:val="xl3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b/>
      <w:bCs/>
      <w:color w:val="0000FF"/>
      <w:kern w:val="0"/>
      <w:sz w:val="20"/>
    </w:rPr>
  </w:style>
  <w:style w:type="paragraph" w:customStyle="1" w:styleId="200">
    <w:name w:val="xl2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color w:val="800000"/>
      <w:kern w:val="0"/>
      <w:sz w:val="20"/>
    </w:rPr>
  </w:style>
  <w:style w:type="paragraph" w:customStyle="1" w:styleId="201">
    <w:name w:val="xl3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b/>
      <w:bCs/>
      <w:color w:val="0000FF"/>
      <w:kern w:val="0"/>
      <w:sz w:val="20"/>
    </w:rPr>
  </w:style>
  <w:style w:type="paragraph" w:customStyle="1" w:styleId="202">
    <w:name w:val="正文_0_1_0"/>
    <w:qFormat/>
    <w:uiPriority w:val="0"/>
    <w:pPr>
      <w:widowControl w:val="0"/>
      <w:jc w:val="both"/>
    </w:pPr>
    <w:rPr>
      <w:rFonts w:ascii="Calibri" w:hAnsi="Calibri" w:eastAsia="宋体" w:cs="Times New Roman"/>
      <w:lang w:val="en-US" w:eastAsia="zh-CN" w:bidi="ar-SA"/>
    </w:rPr>
  </w:style>
  <w:style w:type="paragraph" w:customStyle="1" w:styleId="203">
    <w:name w:val="标书正文"/>
    <w:basedOn w:val="1"/>
    <w:autoRedefine/>
    <w:qFormat/>
    <w:uiPriority w:val="0"/>
    <w:pPr>
      <w:spacing w:line="560" w:lineRule="exact"/>
      <w:ind w:firstLine="723" w:firstLineChars="200"/>
      <w:jc w:val="center"/>
    </w:pPr>
    <w:rPr>
      <w:rFonts w:ascii="仿宋_GB2312" w:eastAsia="仿宋_GB2312"/>
      <w:b/>
      <w:sz w:val="36"/>
    </w:rPr>
  </w:style>
  <w:style w:type="paragraph" w:customStyle="1" w:styleId="204">
    <w:name w:val="xl4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olor w:val="0000FF"/>
      <w:kern w:val="0"/>
      <w:sz w:val="20"/>
    </w:rPr>
  </w:style>
  <w:style w:type="paragraph" w:customStyle="1" w:styleId="205">
    <w:name w:val="ÕýÎÄ"/>
    <w:autoRedefine/>
    <w:qFormat/>
    <w:uiPriority w:val="0"/>
    <w:pPr>
      <w:widowControl w:val="0"/>
      <w:overflowPunct w:val="0"/>
      <w:autoSpaceDE w:val="0"/>
      <w:autoSpaceDN w:val="0"/>
      <w:adjustRightInd w:val="0"/>
      <w:jc w:val="both"/>
    </w:pPr>
    <w:rPr>
      <w:rFonts w:ascii="Times New Roman" w:hAnsi="Times New Roman" w:eastAsia="宋体" w:cs="Times New Roman"/>
      <w:kern w:val="2"/>
      <w:sz w:val="21"/>
      <w:lang w:val="en-US" w:eastAsia="zh-CN" w:bidi="ar-SA"/>
    </w:rPr>
  </w:style>
  <w:style w:type="paragraph" w:customStyle="1" w:styleId="206">
    <w:name w:val="标题 21"/>
    <w:basedOn w:val="1"/>
    <w:autoRedefine/>
    <w:qFormat/>
    <w:uiPriority w:val="1"/>
    <w:pPr>
      <w:ind w:left="100" w:right="102"/>
      <w:jc w:val="left"/>
      <w:outlineLvl w:val="2"/>
    </w:pPr>
    <w:rPr>
      <w:rFonts w:ascii="Microsoft JhengHei" w:hAnsi="Microsoft JhengHei" w:eastAsia="Microsoft JhengHei" w:cs="Microsoft JhengHei"/>
      <w:b/>
      <w:bCs/>
      <w:kern w:val="0"/>
      <w:sz w:val="32"/>
      <w:szCs w:val="32"/>
      <w:lang w:eastAsia="en-US"/>
    </w:rPr>
  </w:style>
  <w:style w:type="paragraph" w:customStyle="1" w:styleId="207">
    <w:name w:val="xl3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b/>
      <w:bCs/>
      <w:color w:val="0000FF"/>
      <w:kern w:val="0"/>
      <w:sz w:val="20"/>
    </w:rPr>
  </w:style>
  <w:style w:type="paragraph" w:customStyle="1" w:styleId="208">
    <w:name w:val="È±Ê¡ÎÄ±¾"/>
    <w:basedOn w:val="1"/>
    <w:autoRedefine/>
    <w:qFormat/>
    <w:uiPriority w:val="0"/>
    <w:pPr>
      <w:widowControl/>
      <w:overflowPunct w:val="0"/>
      <w:autoSpaceDE w:val="0"/>
      <w:autoSpaceDN w:val="0"/>
      <w:adjustRightInd w:val="0"/>
      <w:jc w:val="left"/>
    </w:pPr>
    <w:rPr>
      <w:kern w:val="0"/>
      <w:sz w:val="24"/>
    </w:rPr>
  </w:style>
  <w:style w:type="paragraph" w:customStyle="1" w:styleId="209">
    <w:name w:val="正文4编0"/>
    <w:basedOn w:val="1"/>
    <w:autoRedefine/>
    <w:qFormat/>
    <w:uiPriority w:val="0"/>
    <w:pPr>
      <w:tabs>
        <w:tab w:val="left" w:pos="567"/>
        <w:tab w:val="left" w:pos="1134"/>
      </w:tabs>
      <w:spacing w:line="560" w:lineRule="exact"/>
      <w:ind w:left="1134" w:hanging="1134"/>
    </w:pPr>
    <w:rPr>
      <w:sz w:val="28"/>
    </w:rPr>
  </w:style>
  <w:style w:type="paragraph" w:customStyle="1" w:styleId="210">
    <w:name w:val="标题1"/>
    <w:basedOn w:val="1"/>
    <w:qFormat/>
    <w:uiPriority w:val="0"/>
    <w:pPr>
      <w:tabs>
        <w:tab w:val="left" w:pos="6237"/>
      </w:tabs>
      <w:adjustRightInd w:val="0"/>
      <w:snapToGrid w:val="0"/>
      <w:spacing w:line="360" w:lineRule="auto"/>
      <w:ind w:left="420" w:hanging="420"/>
      <w:jc w:val="center"/>
    </w:pPr>
    <w:rPr>
      <w:rFonts w:ascii="黑体" w:eastAsia="黑体"/>
      <w:color w:val="000000"/>
      <w:sz w:val="32"/>
      <w:szCs w:val="32"/>
    </w:rPr>
  </w:style>
  <w:style w:type="paragraph" w:customStyle="1" w:styleId="211">
    <w:name w:val="font9"/>
    <w:basedOn w:val="1"/>
    <w:autoRedefine/>
    <w:qFormat/>
    <w:uiPriority w:val="0"/>
    <w:pPr>
      <w:widowControl/>
      <w:spacing w:before="100" w:beforeAutospacing="1" w:after="100" w:afterAutospacing="1"/>
      <w:jc w:val="left"/>
    </w:pPr>
    <w:rPr>
      <w:rFonts w:hint="eastAsia" w:ascii="宋体" w:hAnsi="宋体"/>
      <w:b/>
      <w:bCs/>
      <w:color w:val="FF0000"/>
      <w:kern w:val="0"/>
      <w:sz w:val="20"/>
    </w:rPr>
  </w:style>
  <w:style w:type="paragraph" w:customStyle="1" w:styleId="212">
    <w:name w:val="多级符号"/>
    <w:basedOn w:val="1"/>
    <w:autoRedefine/>
    <w:qFormat/>
    <w:uiPriority w:val="0"/>
    <w:pPr>
      <w:tabs>
        <w:tab w:val="left" w:pos="1077"/>
      </w:tabs>
      <w:adjustRightInd w:val="0"/>
      <w:spacing w:line="360" w:lineRule="auto"/>
      <w:ind w:left="1272" w:hanging="705"/>
      <w:jc w:val="left"/>
      <w:textAlignment w:val="baseline"/>
    </w:pPr>
    <w:rPr>
      <w:rFonts w:ascii="宋体"/>
      <w:color w:val="0000FF"/>
      <w:kern w:val="0"/>
      <w:sz w:val="24"/>
    </w:rPr>
  </w:style>
  <w:style w:type="paragraph" w:customStyle="1" w:styleId="213">
    <w:name w:val="File1"/>
    <w:autoRedefine/>
    <w:qFormat/>
    <w:uiPriority w:val="0"/>
    <w:pPr>
      <w:tabs>
        <w:tab w:val="left" w:pos="1134"/>
      </w:tabs>
      <w:spacing w:line="360" w:lineRule="exact"/>
      <w:ind w:left="540" w:leftChars="540"/>
    </w:pPr>
    <w:rPr>
      <w:rFonts w:ascii="Arial" w:hAnsi="Arial" w:eastAsia="宋体" w:cs="Times New Roman"/>
      <w:spacing w:val="10"/>
      <w:sz w:val="24"/>
      <w:lang w:val="en-US" w:eastAsia="zh-CN" w:bidi="ar-SA"/>
    </w:rPr>
  </w:style>
  <w:style w:type="paragraph" w:customStyle="1" w:styleId="214">
    <w:name w:val="xl2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color w:val="008000"/>
      <w:kern w:val="0"/>
      <w:sz w:val="20"/>
    </w:rPr>
  </w:style>
  <w:style w:type="paragraph" w:customStyle="1" w:styleId="215">
    <w:name w:val="UserStyle_146"/>
    <w:basedOn w:val="1"/>
    <w:autoRedefine/>
    <w:qFormat/>
    <w:uiPriority w:val="0"/>
    <w:pPr>
      <w:widowControl/>
      <w:jc w:val="left"/>
      <w:textAlignment w:val="baseline"/>
    </w:pPr>
    <w:rPr>
      <w:rFonts w:ascii="宋体" w:hAnsi="宋体"/>
      <w:kern w:val="0"/>
      <w:sz w:val="22"/>
      <w:szCs w:val="22"/>
      <w:lang w:eastAsia="en-US"/>
    </w:rPr>
  </w:style>
  <w:style w:type="paragraph" w:customStyle="1" w:styleId="216">
    <w:name w:val="xl4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olor w:val="FF0000"/>
      <w:kern w:val="0"/>
      <w:sz w:val="20"/>
    </w:rPr>
  </w:style>
  <w:style w:type="paragraph" w:customStyle="1" w:styleId="217">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0"/>
    </w:rPr>
  </w:style>
  <w:style w:type="paragraph" w:customStyle="1" w:styleId="218">
    <w:name w:val="列出段落11"/>
    <w:basedOn w:val="1"/>
    <w:autoRedefine/>
    <w:qFormat/>
    <w:uiPriority w:val="0"/>
    <w:pPr>
      <w:ind w:firstLine="420" w:firstLineChars="200"/>
    </w:pPr>
    <w:rPr>
      <w:szCs w:val="22"/>
    </w:rPr>
  </w:style>
  <w:style w:type="paragraph" w:customStyle="1" w:styleId="219">
    <w:name w:val="标题 32"/>
    <w:qFormat/>
    <w:uiPriority w:val="1"/>
    <w:pPr>
      <w:widowControl w:val="0"/>
      <w:ind w:left="237" w:right="102"/>
      <w:outlineLvl w:val="3"/>
    </w:pPr>
    <w:rPr>
      <w:rFonts w:ascii="宋体" w:hAnsi="宋体" w:eastAsia="宋体" w:cs="宋体"/>
      <w:sz w:val="28"/>
      <w:szCs w:val="28"/>
      <w:lang w:val="en-US" w:eastAsia="en-US" w:bidi="ar-SA"/>
    </w:rPr>
  </w:style>
  <w:style w:type="paragraph" w:customStyle="1" w:styleId="220">
    <w:name w:val="CL表格正文"/>
    <w:qFormat/>
    <w:uiPriority w:val="0"/>
    <w:pPr>
      <w:widowControl w:val="0"/>
      <w:spacing w:line="240" w:lineRule="atLeast"/>
    </w:pPr>
    <w:rPr>
      <w:rFonts w:ascii="Arial" w:hAnsi="Arial" w:eastAsia="宋体" w:cs="Arial Unicode MS"/>
      <w:color w:val="000000"/>
      <w:kern w:val="2"/>
      <w:sz w:val="21"/>
      <w:szCs w:val="21"/>
      <w:lang w:val="en-US" w:eastAsia="zh-CN" w:bidi="ar-SA"/>
    </w:rPr>
  </w:style>
  <w:style w:type="paragraph" w:customStyle="1" w:styleId="221">
    <w:name w:val="p0"/>
    <w:basedOn w:val="1"/>
    <w:qFormat/>
    <w:uiPriority w:val="0"/>
    <w:rPr>
      <w:szCs w:val="21"/>
    </w:rPr>
  </w:style>
  <w:style w:type="character" w:customStyle="1" w:styleId="222">
    <w:name w:val="font91"/>
    <w:basedOn w:val="42"/>
    <w:qFormat/>
    <w:uiPriority w:val="0"/>
    <w:rPr>
      <w:rFonts w:ascii="Calibri" w:hAnsi="Calibri" w:cs="Calibri"/>
      <w:color w:val="000000"/>
      <w:sz w:val="18"/>
      <w:szCs w:val="18"/>
      <w:u w:val="none"/>
    </w:rPr>
  </w:style>
  <w:style w:type="paragraph" w:customStyle="1" w:styleId="223">
    <w:name w:val="正文缩进2"/>
    <w:basedOn w:val="1"/>
    <w:autoRedefine/>
    <w:qFormat/>
    <w:uiPriority w:val="0"/>
    <w:pPr>
      <w:wordWrap w:val="0"/>
      <w:ind w:firstLine="480"/>
    </w:pPr>
    <w:rPr>
      <w:iCs/>
      <w:shd w:val="clear" w:color="auto" w:fill="FFFFFF" w:themeFill="background1"/>
      <w:lang w:val="zh-CN"/>
    </w:rPr>
  </w:style>
  <w:style w:type="paragraph" w:styleId="224">
    <w:name w:val="No Spacing"/>
    <w:autoRedefine/>
    <w:qFormat/>
    <w:uiPriority w:val="1"/>
    <w:pPr>
      <w:widowControl w:val="0"/>
    </w:pPr>
    <w:rPr>
      <w:rFonts w:ascii="宋体" w:hAnsi="宋体" w:eastAsia="宋体" w:cstheme="minorBidi"/>
      <w:kern w:val="2"/>
      <w:sz w:val="24"/>
      <w:szCs w:val="22"/>
      <w:lang w:val="en-US" w:eastAsia="zh-CN" w:bidi="ar-SA"/>
    </w:rPr>
  </w:style>
  <w:style w:type="paragraph" w:customStyle="1" w:styleId="225">
    <w:name w:val="正文_2"/>
    <w:autoRedefine/>
    <w:qFormat/>
    <w:uiPriority w:val="0"/>
    <w:pPr>
      <w:widowControl w:val="0"/>
      <w:jc w:val="both"/>
    </w:pPr>
    <w:rPr>
      <w:rFonts w:ascii="Calibri" w:hAnsi="Calibri" w:eastAsia="宋体" w:cs="Times New Roman"/>
      <w:lang w:val="en-US" w:eastAsia="zh-CN" w:bidi="ar-SA"/>
    </w:rPr>
  </w:style>
  <w:style w:type="paragraph" w:customStyle="1" w:styleId="226">
    <w:name w:val="正文_1_1"/>
    <w:autoRedefine/>
    <w:qFormat/>
    <w:uiPriority w:val="99"/>
    <w:pPr>
      <w:widowControl w:val="0"/>
      <w:jc w:val="both"/>
    </w:pPr>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FCA8E1-ACF8-4732-88CF-185D696D10F7}">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111</Pages>
  <Words>2645</Words>
  <Characters>2998</Characters>
  <Lines>685</Lines>
  <Paragraphs>192</Paragraphs>
  <TotalTime>58</TotalTime>
  <ScaleCrop>false</ScaleCrop>
  <LinksUpToDate>false</LinksUpToDate>
  <CharactersWithSpaces>3068</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2021-07-09T01:27:00Z</dcterms:created>
  <dc:creator>lenovo</dc:creator>
  <cp:lastModifiedBy>admin03</cp:lastModifiedBy>
  <cp:lastPrinted>2023-10-12T12:22:00Z</cp:lastPrinted>
  <dcterms:modified xsi:type="dcterms:W3CDTF">2025-06-25T12:29:56Z</dcterms:modified>
  <cp:revision>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218B4CD6FE134968BD0BE68FC5C69603_13</vt:lpwstr>
  </property>
  <property fmtid="{D5CDD505-2E9C-101B-9397-08002B2CF9AE}" pid="4" name="KSOTemplateDocerSaveRecord">
    <vt:lpwstr>eyJoZGlkIjoiZDcwNmUwMDgzYWYwODdmZDRhYjQ4ZWU1YTc2NTEyMTgiLCJ1c2VySWQiOiIxMDcwODEwMDcxIn0=</vt:lpwstr>
  </property>
</Properties>
</file>