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EB74">
      <w:pPr>
        <w:adjustRightInd w:val="0"/>
        <w:snapToGrid w:val="0"/>
        <w:spacing w:line="800" w:lineRule="exact"/>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-12700</wp:posOffset>
            </wp:positionV>
            <wp:extent cx="834390" cy="1076325"/>
            <wp:effectExtent l="0" t="0" r="3810" b="9525"/>
            <wp:wrapSquare wrapText="bothSides"/>
            <wp:docPr id="3" name="图片 3" descr="盛世乾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世乾元logo"/>
                    <pic:cNvPicPr>
                      <a:picLocks noChangeAspect="1"/>
                    </pic:cNvPicPr>
                  </pic:nvPicPr>
                  <pic:blipFill>
                    <a:blip r:embed="rId14"/>
                    <a:stretch>
                      <a:fillRect/>
                    </a:stretch>
                  </pic:blipFill>
                  <pic:spPr>
                    <a:xfrm>
                      <a:off x="0" y="0"/>
                      <a:ext cx="834390" cy="1076325"/>
                    </a:xfrm>
                    <a:prstGeom prst="rect">
                      <a:avLst/>
                    </a:prstGeom>
                  </pic:spPr>
                </pic:pic>
              </a:graphicData>
            </a:graphic>
          </wp:anchor>
        </w:drawing>
      </w:r>
    </w:p>
    <w:p w14:paraId="5F2EC270">
      <w:pPr>
        <w:adjustRightInd w:val="0"/>
        <w:snapToGrid w:val="0"/>
        <w:spacing w:line="800" w:lineRule="exact"/>
        <w:jc w:val="center"/>
        <w:rPr>
          <w:rFonts w:hint="eastAsia" w:ascii="宋体" w:hAnsi="宋体" w:cs="宋体"/>
          <w:b/>
          <w:color w:val="auto"/>
          <w:sz w:val="72"/>
          <w:szCs w:val="72"/>
          <w:highlight w:val="none"/>
          <w:lang w:val="en-US" w:eastAsia="zh-CN"/>
        </w:rPr>
      </w:pPr>
    </w:p>
    <w:p w14:paraId="6563CD7C">
      <w:pPr>
        <w:adjustRightInd w:val="0"/>
        <w:snapToGrid w:val="0"/>
        <w:spacing w:line="800" w:lineRule="exact"/>
        <w:jc w:val="center"/>
        <w:rPr>
          <w:rFonts w:hint="eastAsia" w:ascii="宋体" w:hAnsi="宋体" w:cs="宋体"/>
          <w:b/>
          <w:color w:val="auto"/>
          <w:sz w:val="72"/>
          <w:szCs w:val="72"/>
          <w:highlight w:val="none"/>
          <w:lang w:val="en-US" w:eastAsia="zh-CN"/>
        </w:rPr>
      </w:pPr>
    </w:p>
    <w:p w14:paraId="0FD37917">
      <w:pPr>
        <w:adjustRightInd w:val="0"/>
        <w:snapToGrid w:val="0"/>
        <w:spacing w:line="800" w:lineRule="exact"/>
        <w:jc w:val="center"/>
        <w:outlineLvl w:val="0"/>
        <w:rPr>
          <w:rFonts w:hint="eastAsia" w:ascii="宋体" w:hAnsi="宋体" w:eastAsia="宋体" w:cs="宋体"/>
          <w:b/>
          <w:color w:val="auto"/>
          <w:sz w:val="72"/>
          <w:szCs w:val="72"/>
          <w:highlight w:val="none"/>
        </w:rPr>
      </w:pPr>
      <w:r>
        <w:rPr>
          <w:rFonts w:hint="eastAsia" w:ascii="宋体" w:hAnsi="宋体" w:cs="宋体"/>
          <w:b/>
          <w:color w:val="auto"/>
          <w:sz w:val="72"/>
          <w:szCs w:val="72"/>
          <w:highlight w:val="none"/>
          <w:lang w:val="en-US" w:eastAsia="zh-CN"/>
        </w:rPr>
        <w:t>采购文件</w:t>
      </w:r>
    </w:p>
    <w:p w14:paraId="128EBE06">
      <w:pPr>
        <w:adjustRightInd w:val="0"/>
        <w:snapToGrid w:val="0"/>
        <w:spacing w:line="800" w:lineRule="exact"/>
        <w:jc w:val="center"/>
        <w:rPr>
          <w:rFonts w:hint="eastAsia" w:ascii="宋体" w:hAnsi="宋体" w:eastAsia="宋体" w:cs="宋体"/>
          <w:b/>
          <w:color w:val="auto"/>
          <w:sz w:val="72"/>
          <w:szCs w:val="72"/>
          <w:highlight w:val="none"/>
        </w:rPr>
      </w:pPr>
    </w:p>
    <w:p w14:paraId="20A84254">
      <w:pPr>
        <w:pStyle w:val="9"/>
        <w:rPr>
          <w:rFonts w:hint="eastAsia"/>
        </w:rPr>
      </w:pPr>
    </w:p>
    <w:p w14:paraId="4298CA34">
      <w:pPr>
        <w:adjustRightInd w:val="0"/>
        <w:snapToGrid w:val="0"/>
        <w:spacing w:line="800" w:lineRule="exact"/>
        <w:jc w:val="center"/>
        <w:outlineLvl w:val="0"/>
        <w:rPr>
          <w:rFonts w:hint="eastAsia" w:ascii="宋体" w:hAnsi="宋体" w:eastAsia="宋体" w:cs="宋体"/>
          <w:b/>
          <w:color w:val="auto"/>
          <w:sz w:val="28"/>
          <w:szCs w:val="28"/>
          <w:highlight w:val="none"/>
        </w:rPr>
      </w:pPr>
      <w:bookmarkStart w:id="0" w:name="_Toc22751"/>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0"/>
      <w:r>
        <w:rPr>
          <w:rFonts w:hint="eastAsia" w:ascii="宋体" w:hAnsi="宋体" w:cs="宋体"/>
          <w:b/>
          <w:color w:val="auto"/>
          <w:sz w:val="30"/>
          <w:szCs w:val="30"/>
          <w:highlight w:val="none"/>
          <w:lang w:eastAsia="zh-CN"/>
        </w:rPr>
        <w:t>SSQYZB- CG2025062</w:t>
      </w:r>
    </w:p>
    <w:p w14:paraId="28ABA39D">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5612B6B7">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eastAsia" w:ascii="宋体" w:hAnsi="宋体" w:eastAsia="宋体" w:cs="宋体"/>
          <w:b/>
          <w:bCs w:val="0"/>
          <w:color w:val="auto"/>
          <w:sz w:val="30"/>
          <w:szCs w:val="30"/>
          <w:highlight w:val="none"/>
          <w:lang w:val="en-US" w:eastAsia="zh-CN"/>
        </w:rPr>
      </w:pPr>
      <w:bookmarkStart w:id="1" w:name="_Toc16785"/>
      <w:r>
        <w:rPr>
          <w:rFonts w:hint="eastAsia" w:ascii="宋体" w:hAnsi="宋体" w:eastAsia="宋体" w:cs="宋体"/>
          <w:b/>
          <w:bCs w:val="0"/>
          <w:color w:val="auto"/>
          <w:sz w:val="30"/>
          <w:szCs w:val="30"/>
          <w:highlight w:val="none"/>
        </w:rPr>
        <w:t>项目名称：</w:t>
      </w:r>
      <w:bookmarkEnd w:id="1"/>
      <w:r>
        <w:rPr>
          <w:rFonts w:hint="eastAsia" w:ascii="宋体" w:hAnsi="宋体" w:cs="宋体"/>
          <w:b/>
          <w:bCs w:val="0"/>
          <w:color w:val="auto"/>
          <w:sz w:val="30"/>
          <w:szCs w:val="30"/>
          <w:highlight w:val="none"/>
          <w:lang w:eastAsia="zh-CN"/>
        </w:rPr>
        <w:t>托里县人民医院一批医疗设备采购项目</w:t>
      </w:r>
    </w:p>
    <w:p w14:paraId="00DD1DAE">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cs="宋体"/>
          <w:b/>
          <w:bCs w:val="0"/>
          <w:color w:val="auto"/>
          <w:sz w:val="30"/>
          <w:szCs w:val="30"/>
          <w:highlight w:val="none"/>
          <w:lang w:val="en-US" w:eastAsia="zh-CN"/>
        </w:rPr>
        <w:t xml:space="preserve"> 托里县人民医院 </w:t>
      </w:r>
      <w:r>
        <w:rPr>
          <w:rFonts w:hint="eastAsia" w:ascii="宋体" w:hAnsi="宋体" w:eastAsia="宋体" w:cs="宋体"/>
          <w:b/>
          <w:bCs w:val="0"/>
          <w:color w:val="auto"/>
          <w:sz w:val="30"/>
          <w:szCs w:val="30"/>
          <w:highlight w:val="none"/>
        </w:rPr>
        <w:t xml:space="preserve"> </w:t>
      </w:r>
    </w:p>
    <w:p w14:paraId="56BA84C2">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bCs w:val="0"/>
          <w:color w:val="auto"/>
          <w:kern w:val="0"/>
          <w:sz w:val="30"/>
          <w:szCs w:val="30"/>
          <w:highlight w:val="none"/>
          <w:lang w:val="en-US" w:eastAsia="zh-CN"/>
        </w:rPr>
        <w:t>崔老师</w:t>
      </w:r>
    </w:p>
    <w:p w14:paraId="3EE38993">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宋体"/>
          <w:b/>
          <w:bCs w:val="0"/>
          <w:color w:val="auto"/>
          <w:sz w:val="30"/>
          <w:szCs w:val="30"/>
          <w:highlight w:val="none"/>
          <w:lang w:val="en-US"/>
        </w:rPr>
      </w:pPr>
      <w:r>
        <w:rPr>
          <w:rFonts w:hint="eastAsia" w:ascii="宋体" w:hAnsi="宋体" w:cs="宋体"/>
          <w:b/>
          <w:bCs w:val="0"/>
          <w:color w:val="auto"/>
          <w:kern w:val="0"/>
          <w:sz w:val="30"/>
          <w:szCs w:val="30"/>
          <w:highlight w:val="none"/>
          <w:lang w:eastAsia="zh-CN"/>
        </w:rPr>
        <w:t>联系电话：</w:t>
      </w:r>
      <w:r>
        <w:rPr>
          <w:rFonts w:hint="eastAsia" w:ascii="宋体" w:hAnsi="宋体" w:cs="宋体"/>
          <w:b/>
          <w:bCs w:val="0"/>
          <w:color w:val="auto"/>
          <w:kern w:val="0"/>
          <w:sz w:val="30"/>
          <w:szCs w:val="30"/>
          <w:highlight w:val="none"/>
          <w:lang w:val="en-US" w:eastAsia="zh-CN"/>
        </w:rPr>
        <w:t>14709016227</w:t>
      </w:r>
    </w:p>
    <w:p w14:paraId="7D2AAD04">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07262F2E">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新疆盛世乾元工程项目管理咨询有限公司</w:t>
      </w:r>
    </w:p>
    <w:p w14:paraId="4DB883DC">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任广文、刘菀榕</w:t>
      </w:r>
    </w:p>
    <w:p w14:paraId="20DB21A1">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cs="宋体"/>
          <w:b w:val="0"/>
          <w:bCs/>
          <w:color w:val="auto"/>
          <w:sz w:val="30"/>
          <w:szCs w:val="30"/>
          <w:highlight w:val="none"/>
          <w:lang w:eastAsia="zh-CN"/>
        </w:rPr>
        <w:t>0991-4659594、13201200217</w:t>
      </w:r>
    </w:p>
    <w:sdt>
      <w:sdtPr>
        <w:rPr>
          <w:rFonts w:ascii="宋体" w:hAnsi="宋体" w:eastAsia="宋体" w:cs="Times New Roman"/>
          <w:color w:val="auto"/>
          <w:kern w:val="2"/>
          <w:sz w:val="21"/>
          <w:szCs w:val="24"/>
          <w:highlight w:val="none"/>
          <w:lang w:val="en-US" w:eastAsia="zh-CN" w:bidi="ar-SA"/>
        </w:rPr>
        <w:id w:val="14747444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2556C12E">
          <w:pPr>
            <w:spacing w:before="0" w:beforeLines="0" w:after="0" w:afterLines="0" w:line="240" w:lineRule="auto"/>
            <w:ind w:left="0" w:leftChars="0" w:right="0" w:rightChars="0" w:firstLine="0" w:firstLineChars="0"/>
            <w:jc w:val="center"/>
            <w:rPr>
              <w:color w:val="auto"/>
              <w:highlight w:val="none"/>
            </w:rPr>
          </w:pPr>
          <w:r>
            <w:rPr>
              <w:rFonts w:hint="eastAsia" w:ascii="Times New Roman" w:hAnsi="Times New Roman" w:eastAsia="宋体" w:cs="Times New Roman"/>
              <w:b/>
              <w:bCs/>
              <w:color w:val="auto"/>
              <w:kern w:val="2"/>
              <w:sz w:val="28"/>
              <w:szCs w:val="28"/>
              <w:highlight w:val="none"/>
              <w:lang w:val="en-US" w:eastAsia="zh-CN" w:bidi="ar-SA"/>
            </w:rPr>
            <w:t>目</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录</w:t>
          </w:r>
        </w:p>
        <w:p w14:paraId="2A24FB7E">
          <w:pPr>
            <w:pStyle w:val="46"/>
            <w:tabs>
              <w:tab w:val="right" w:leader="dot" w:pos="970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7AB1B013">
          <w:pPr>
            <w:rPr>
              <w:color w:val="auto"/>
              <w:highlight w:val="none"/>
            </w:rPr>
          </w:pPr>
          <w:r>
            <w:rPr>
              <w:color w:val="auto"/>
              <w:highlight w:val="none"/>
            </w:rPr>
            <w:fldChar w:fldCharType="end"/>
          </w:r>
        </w:p>
      </w:sdtContent>
    </w:sdt>
    <w:p w14:paraId="6F24FD95">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_Toc9599 </w:instrText>
      </w:r>
      <w:r>
        <w:rPr>
          <w:color w:val="auto"/>
          <w:sz w:val="28"/>
          <w:szCs w:val="28"/>
          <w:highlight w:val="none"/>
        </w:rPr>
        <w:fldChar w:fldCharType="separate"/>
      </w:r>
      <w:r>
        <w:rPr>
          <w:rFonts w:hint="eastAsia" w:ascii="Times New Roman" w:hAnsi="Times New Roman" w:eastAsia="宋体" w:cs="Times New Roman"/>
          <w:bCs/>
          <w:color w:val="auto"/>
          <w:kern w:val="2"/>
          <w:sz w:val="28"/>
          <w:szCs w:val="28"/>
          <w:highlight w:val="none"/>
          <w:lang w:val="en-US" w:eastAsia="zh-CN" w:bidi="ar-SA"/>
        </w:rPr>
        <w:t>第一章</w:t>
      </w:r>
      <w:r>
        <w:rPr>
          <w:rFonts w:hint="eastAsia" w:cs="Times New Roman"/>
          <w:bCs/>
          <w:color w:val="auto"/>
          <w:kern w:val="2"/>
          <w:sz w:val="28"/>
          <w:szCs w:val="28"/>
          <w:highlight w:val="none"/>
          <w:lang w:val="en-US" w:eastAsia="zh-CN" w:bidi="ar-SA"/>
        </w:rPr>
        <w:t xml:space="preserve">  </w:t>
      </w:r>
      <w:r>
        <w:rPr>
          <w:rFonts w:hint="eastAsia" w:ascii="Times New Roman" w:hAnsi="Times New Roman" w:eastAsia="宋体" w:cs="Times New Roman"/>
          <w:bCs/>
          <w:color w:val="auto"/>
          <w:kern w:val="2"/>
          <w:sz w:val="28"/>
          <w:szCs w:val="28"/>
          <w:highlight w:val="none"/>
          <w:lang w:val="en-US" w:eastAsia="zh-CN" w:bidi="ar-SA"/>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_Toc9599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000CC35A">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_Toc2841 </w:instrText>
      </w:r>
      <w:r>
        <w:rPr>
          <w:color w:val="auto"/>
          <w:sz w:val="28"/>
          <w:szCs w:val="28"/>
          <w:highlight w:val="none"/>
        </w:rPr>
        <w:fldChar w:fldCharType="separate"/>
      </w:r>
      <w:r>
        <w:rPr>
          <w:rFonts w:hint="eastAsia"/>
          <w:bCs/>
          <w:color w:val="auto"/>
          <w:sz w:val="28"/>
          <w:szCs w:val="28"/>
          <w:highlight w:val="none"/>
          <w:lang w:val="en-US" w:eastAsia="zh-CN"/>
        </w:rPr>
        <w:t>第二章  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_Toc2841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66344078">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_Toc9167 </w:instrText>
      </w:r>
      <w:r>
        <w:rPr>
          <w:color w:val="auto"/>
          <w:sz w:val="28"/>
          <w:szCs w:val="28"/>
          <w:highlight w:val="none"/>
        </w:rPr>
        <w:fldChar w:fldCharType="separate"/>
      </w:r>
      <w:r>
        <w:rPr>
          <w:rFonts w:hint="eastAsia"/>
          <w:bCs/>
          <w:color w:val="auto"/>
          <w:sz w:val="28"/>
          <w:szCs w:val="28"/>
          <w:highlight w:val="none"/>
          <w:lang w:eastAsia="zh-CN"/>
        </w:rPr>
        <w:t>第三章</w:t>
      </w:r>
      <w:r>
        <w:rPr>
          <w:rFonts w:hint="eastAsia"/>
          <w:bCs/>
          <w:color w:val="auto"/>
          <w:sz w:val="28"/>
          <w:szCs w:val="28"/>
          <w:highlight w:val="none"/>
          <w:lang w:val="en-US" w:eastAsia="zh-CN"/>
        </w:rPr>
        <w:t xml:space="preserve">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_Toc9167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6DFEBDFC">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_Toc17422 </w:instrText>
      </w:r>
      <w:r>
        <w:rPr>
          <w:color w:val="auto"/>
          <w:sz w:val="28"/>
          <w:szCs w:val="28"/>
          <w:highlight w:val="none"/>
        </w:rPr>
        <w:fldChar w:fldCharType="separate"/>
      </w:r>
      <w:r>
        <w:rPr>
          <w:rFonts w:hint="eastAsia" w:asciiTheme="minorEastAsia" w:hAnsiTheme="minorEastAsia" w:eastAsiaTheme="minorEastAsia" w:cstheme="minorEastAsia"/>
          <w:bCs/>
          <w:color w:val="auto"/>
          <w:kern w:val="0"/>
          <w:sz w:val="28"/>
          <w:szCs w:val="28"/>
          <w:highlight w:val="none"/>
          <w:lang w:val="en-US" w:eastAsia="zh-CN"/>
        </w:rPr>
        <w:t xml:space="preserve">第四章  </w:t>
      </w:r>
      <w:r>
        <w:rPr>
          <w:rFonts w:hint="eastAsia" w:ascii="宋体" w:hAnsi="宋体" w:cs="宋体"/>
          <w:bCs/>
          <w:color w:val="auto"/>
          <w:kern w:val="0"/>
          <w:sz w:val="28"/>
          <w:szCs w:val="28"/>
          <w:highlight w:val="none"/>
        </w:rPr>
        <w:t>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_Toc17422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14:paraId="1EB6BDF2">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_Toc10164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 xml:space="preserve">第五章  </w:t>
      </w:r>
      <w:r>
        <w:rPr>
          <w:rFonts w:hint="eastAsia" w:ascii="宋体" w:hAnsi="宋体" w:cs="宋体"/>
          <w:bCs/>
          <w:color w:val="auto"/>
          <w:sz w:val="28"/>
          <w:szCs w:val="28"/>
          <w:highlight w:val="none"/>
          <w:lang w:val="en-US" w:eastAsia="zh-CN"/>
        </w:rPr>
        <w:t>采购需求</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4</w:t>
      </w:r>
    </w:p>
    <w:p w14:paraId="3C0D8697">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_Toc32387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eastAsia="zh-CN"/>
        </w:rPr>
        <w:t>第六章</w:t>
      </w:r>
      <w:r>
        <w:rPr>
          <w:rFonts w:hint="eastAsia" w:asciiTheme="minorEastAsia" w:hAnsiTheme="minorEastAsia" w:eastAsiaTheme="minorEastAsia" w:cstheme="minorEastAsia"/>
          <w:bCs/>
          <w:color w:val="auto"/>
          <w:sz w:val="28"/>
          <w:szCs w:val="28"/>
          <w:highlight w:val="none"/>
          <w:lang w:val="en-US" w:eastAsia="zh-CN"/>
        </w:rPr>
        <w:t xml:space="preserve">  评标标准及办法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_Toc32387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color w:val="auto"/>
          <w:sz w:val="28"/>
          <w:szCs w:val="28"/>
          <w:highlight w:val="none"/>
        </w:rPr>
        <w:fldChar w:fldCharType="end"/>
      </w:r>
    </w:p>
    <w:p w14:paraId="4A9FE860">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_Toc14690 </w:instrText>
      </w:r>
      <w:r>
        <w:rPr>
          <w:color w:val="auto"/>
          <w:sz w:val="28"/>
          <w:szCs w:val="28"/>
          <w:highlight w:val="none"/>
        </w:rPr>
        <w:fldChar w:fldCharType="separate"/>
      </w:r>
      <w:r>
        <w:rPr>
          <w:rFonts w:hint="eastAsia" w:ascii="宋体" w:hAnsi="宋体" w:cs="宋体"/>
          <w:bCs/>
          <w:color w:val="auto"/>
          <w:sz w:val="28"/>
          <w:szCs w:val="28"/>
          <w:highlight w:val="none"/>
          <w:lang w:val="en-US" w:eastAsia="zh-CN"/>
        </w:rPr>
        <w:t>第七章  投标文件</w:t>
      </w:r>
      <w:r>
        <w:rPr>
          <w:rFonts w:hint="eastAsia" w:ascii="宋体" w:hAnsi="宋体" w:eastAsia="宋体" w:cs="宋体"/>
          <w:bCs/>
          <w:color w:val="auto"/>
          <w:sz w:val="28"/>
          <w:szCs w:val="28"/>
          <w:highlight w:val="none"/>
          <w:lang w:val="en-US" w:eastAsia="zh-CN"/>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_Toc14690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color w:val="auto"/>
          <w:sz w:val="28"/>
          <w:szCs w:val="28"/>
          <w:highlight w:val="none"/>
        </w:rPr>
        <w:fldChar w:fldCharType="end"/>
      </w:r>
    </w:p>
    <w:p w14:paraId="5FDB33F1">
      <w:pPr>
        <w:tabs>
          <w:tab w:val="left" w:pos="3921"/>
          <w:tab w:val="center" w:pos="5194"/>
        </w:tabs>
        <w:spacing w:line="600" w:lineRule="auto"/>
        <w:ind w:firstLine="562" w:firstLineChars="200"/>
        <w:jc w:val="left"/>
        <w:outlineLvl w:val="9"/>
        <w:rPr>
          <w:rFonts w:hint="eastAsia" w:ascii="宋体" w:hAnsi="宋体" w:cs="宋体"/>
          <w:b/>
          <w:color w:val="auto"/>
          <w:sz w:val="28"/>
          <w:szCs w:val="28"/>
          <w:highlight w:val="none"/>
          <w:lang w:val="en-US" w:eastAsia="zh-CN"/>
        </w:rPr>
        <w:sectPr>
          <w:headerReference r:id="rId4" w:type="default"/>
          <w:footerReference r:id="rId5" w:type="default"/>
          <w:pgSz w:w="11906" w:h="16839"/>
          <w:pgMar w:top="1431" w:right="1111" w:bottom="1156" w:left="1087" w:header="0" w:footer="996" w:gutter="0"/>
          <w:pgNumType w:fmt="decimal" w:start="1"/>
          <w:cols w:space="720" w:num="1"/>
        </w:sectPr>
      </w:pPr>
    </w:p>
    <w:p w14:paraId="73C97016">
      <w:pPr>
        <w:keepNext w:val="0"/>
        <w:keepLines w:val="0"/>
        <w:pageBreakBefore w:val="0"/>
        <w:widowControl w:val="0"/>
        <w:tabs>
          <w:tab w:val="left" w:pos="3921"/>
          <w:tab w:val="center" w:pos="5194"/>
        </w:tabs>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Times New Roman"/>
          <w:b/>
          <w:bCs/>
          <w:color w:val="auto"/>
          <w:kern w:val="2"/>
          <w:sz w:val="28"/>
          <w:szCs w:val="28"/>
          <w:highlight w:val="none"/>
          <w:lang w:val="en-US" w:eastAsia="zh-CN" w:bidi="ar-SA"/>
        </w:rPr>
      </w:pPr>
      <w:bookmarkStart w:id="2" w:name="_Toc9599"/>
      <w:r>
        <w:rPr>
          <w:rFonts w:hint="eastAsia" w:ascii="Times New Roman" w:hAnsi="Times New Roman" w:eastAsia="宋体" w:cs="Times New Roman"/>
          <w:b/>
          <w:bCs/>
          <w:color w:val="auto"/>
          <w:kern w:val="2"/>
          <w:sz w:val="28"/>
          <w:szCs w:val="28"/>
          <w:highlight w:val="none"/>
          <w:lang w:val="en-US" w:eastAsia="zh-CN" w:bidi="ar-SA"/>
        </w:rPr>
        <w:t>第一章</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招标公告</w:t>
      </w:r>
      <w:bookmarkEnd w:id="2"/>
    </w:p>
    <w:p w14:paraId="61F7B5E6">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一、项目基本情况</w:t>
      </w:r>
    </w:p>
    <w:p w14:paraId="69289DD0">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ascii="仿宋" w:hAnsi="仿宋" w:eastAsia="仿宋" w:cs="仿宋"/>
          <w:color w:val="auto"/>
          <w:sz w:val="27"/>
          <w:szCs w:val="27"/>
          <w:highlight w:val="none"/>
        </w:rPr>
        <w:t>项目编号：</w:t>
      </w:r>
      <w:r>
        <w:rPr>
          <w:rFonts w:hint="eastAsia" w:ascii="仿宋" w:hAnsi="仿宋" w:eastAsia="仿宋" w:cs="仿宋"/>
          <w:color w:val="auto"/>
          <w:sz w:val="27"/>
          <w:szCs w:val="27"/>
          <w:highlight w:val="none"/>
          <w:lang w:eastAsia="zh-CN"/>
        </w:rPr>
        <w:t>SSQYZB- CG2025062</w:t>
      </w:r>
    </w:p>
    <w:p w14:paraId="2DDD1AB4">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hint="eastAsia" w:ascii="仿宋" w:hAnsi="仿宋" w:eastAsia="仿宋" w:cs="仿宋"/>
          <w:color w:val="auto"/>
          <w:sz w:val="27"/>
          <w:szCs w:val="27"/>
          <w:highlight w:val="none"/>
        </w:rPr>
        <w:t>项目名称：</w:t>
      </w:r>
      <w:r>
        <w:rPr>
          <w:rFonts w:hint="eastAsia" w:ascii="仿宋" w:hAnsi="仿宋" w:eastAsia="仿宋" w:cs="仿宋"/>
          <w:color w:val="auto"/>
          <w:sz w:val="27"/>
          <w:szCs w:val="27"/>
          <w:highlight w:val="none"/>
          <w:lang w:eastAsia="zh-CN"/>
        </w:rPr>
        <w:t>托里县人民医院一批医疗设备采购项目</w:t>
      </w:r>
    </w:p>
    <w:p w14:paraId="01B4E944">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采购方式：公开招标</w:t>
      </w:r>
    </w:p>
    <w:p w14:paraId="71C708F5">
      <w:pPr>
        <w:pStyle w:val="24"/>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lang w:val="en-US" w:eastAsia="zh-CN"/>
        </w:rPr>
      </w:pPr>
      <w:r>
        <w:rPr>
          <w:rFonts w:hint="eastAsia" w:ascii="仿宋" w:hAnsi="仿宋" w:eastAsia="仿宋" w:cs="仿宋"/>
          <w:color w:val="auto"/>
          <w:sz w:val="27"/>
          <w:szCs w:val="27"/>
          <w:highlight w:val="none"/>
        </w:rPr>
        <w:t>预算金额（元）：</w:t>
      </w:r>
      <w:r>
        <w:rPr>
          <w:rFonts w:hint="eastAsia" w:ascii="仿宋" w:hAnsi="仿宋" w:eastAsia="仿宋" w:cs="仿宋"/>
          <w:color w:val="auto"/>
          <w:sz w:val="27"/>
          <w:szCs w:val="27"/>
          <w:highlight w:val="none"/>
          <w:lang w:val="en-US" w:eastAsia="zh-CN"/>
        </w:rPr>
        <w:t>3000000.00</w:t>
      </w:r>
    </w:p>
    <w:p w14:paraId="0CA2BF75">
      <w:pPr>
        <w:pStyle w:val="24"/>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最高限价（元）：</w:t>
      </w:r>
      <w:r>
        <w:rPr>
          <w:rFonts w:hint="eastAsia" w:ascii="仿宋" w:hAnsi="仿宋" w:eastAsia="仿宋" w:cs="仿宋"/>
          <w:color w:val="auto"/>
          <w:sz w:val="27"/>
          <w:szCs w:val="27"/>
          <w:highlight w:val="none"/>
          <w:lang w:val="en-US" w:eastAsia="zh-CN"/>
        </w:rPr>
        <w:t>3000000.00</w:t>
      </w:r>
    </w:p>
    <w:p w14:paraId="22BE106D">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采购需求：</w:t>
      </w:r>
    </w:p>
    <w:p w14:paraId="3E3B2106">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lang w:eastAsia="zh-CN"/>
        </w:rPr>
      </w:pPr>
    </w:p>
    <w:p w14:paraId="3A513A07">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shd w:val="clear" w:fill="F7F7F7"/>
        </w:rPr>
        <w:t>   标项名称:</w:t>
      </w:r>
      <w:r>
        <w:rPr>
          <w:rFonts w:hint="eastAsia" w:ascii="仿宋" w:hAnsi="仿宋" w:eastAsia="仿宋" w:cs="仿宋"/>
          <w:color w:val="auto"/>
          <w:sz w:val="27"/>
          <w:szCs w:val="27"/>
          <w:highlight w:val="none"/>
          <w:shd w:val="clear" w:fill="F7F7F7"/>
          <w:lang w:eastAsia="zh-CN"/>
        </w:rPr>
        <w:t>托里县人民医院一批医疗设备采购项目</w:t>
      </w:r>
    </w:p>
    <w:p w14:paraId="54643D18">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lang w:eastAsia="zh-CN"/>
        </w:rPr>
      </w:pPr>
      <w:r>
        <w:rPr>
          <w:rFonts w:hint="eastAsia" w:ascii="仿宋" w:hAnsi="仿宋" w:eastAsia="仿宋" w:cs="仿宋"/>
          <w:color w:val="auto"/>
          <w:sz w:val="27"/>
          <w:szCs w:val="27"/>
          <w:highlight w:val="none"/>
          <w:shd w:val="clear" w:fill="F7F7F7"/>
        </w:rPr>
        <w:t>   数量:1</w:t>
      </w:r>
    </w:p>
    <w:p w14:paraId="53DBC059">
      <w:pPr>
        <w:pStyle w:val="24"/>
        <w:keepNext w:val="0"/>
        <w:keepLines w:val="0"/>
        <w:widowControl/>
        <w:suppressLineNumbers w:val="0"/>
        <w:spacing w:before="75" w:beforeAutospacing="0" w:after="75" w:afterAutospacing="0" w:line="240" w:lineRule="auto"/>
        <w:ind w:left="0" w:right="0" w:firstLine="0"/>
        <w:rPr>
          <w:rFonts w:hint="default"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shd w:val="clear" w:fill="F7F7F7"/>
        </w:rPr>
        <w:t>   预算金额（元）</w:t>
      </w:r>
      <w:r>
        <w:rPr>
          <w:rFonts w:hint="eastAsia" w:ascii="仿宋" w:hAnsi="仿宋" w:eastAsia="仿宋" w:cs="仿宋"/>
          <w:color w:val="auto"/>
          <w:sz w:val="27"/>
          <w:szCs w:val="27"/>
          <w:highlight w:val="none"/>
          <w:shd w:val="clear" w:fill="F7F7F7"/>
          <w:lang w:eastAsia="zh-CN"/>
        </w:rPr>
        <w:t>：</w:t>
      </w:r>
      <w:r>
        <w:rPr>
          <w:rFonts w:hint="eastAsia" w:ascii="仿宋" w:hAnsi="仿宋" w:eastAsia="仿宋" w:cs="仿宋"/>
          <w:color w:val="auto"/>
          <w:sz w:val="27"/>
          <w:szCs w:val="27"/>
          <w:highlight w:val="none"/>
          <w:lang w:val="en-US" w:eastAsia="zh-CN"/>
        </w:rPr>
        <w:t>3000000.00</w:t>
      </w:r>
    </w:p>
    <w:p w14:paraId="3C601B42">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lang w:eastAsia="zh-CN"/>
        </w:rPr>
      </w:pPr>
      <w:r>
        <w:rPr>
          <w:rFonts w:hint="eastAsia" w:ascii="仿宋" w:hAnsi="仿宋" w:eastAsia="仿宋" w:cs="仿宋"/>
          <w:color w:val="auto"/>
          <w:sz w:val="27"/>
          <w:szCs w:val="27"/>
          <w:highlight w:val="none"/>
          <w:shd w:val="clear" w:fill="F7F7F7"/>
        </w:rPr>
        <w:t>   简要规格描述或项目基本概况介绍、用途</w:t>
      </w:r>
      <w:r>
        <w:rPr>
          <w:rFonts w:hint="eastAsia" w:ascii="仿宋" w:hAnsi="仿宋" w:eastAsia="仿宋" w:cs="仿宋"/>
          <w:color w:val="auto"/>
          <w:sz w:val="27"/>
          <w:szCs w:val="27"/>
          <w:highlight w:val="none"/>
          <w:shd w:val="clear" w:fill="F7F7F7"/>
          <w:lang w:eastAsia="zh-CN"/>
        </w:rPr>
        <w:t>：</w:t>
      </w:r>
      <w:r>
        <w:rPr>
          <w:rFonts w:hint="eastAsia" w:ascii="仿宋" w:hAnsi="仿宋" w:eastAsia="仿宋" w:cs="仿宋"/>
          <w:color w:val="auto"/>
          <w:sz w:val="27"/>
          <w:szCs w:val="27"/>
          <w:highlight w:val="none"/>
          <w:shd w:val="clear" w:fill="F7F7F7"/>
          <w:lang w:val="en-US" w:eastAsia="zh-CN"/>
        </w:rPr>
        <w:t>采购</w:t>
      </w:r>
      <w:r>
        <w:rPr>
          <w:rFonts w:hint="eastAsia" w:ascii="仿宋" w:hAnsi="仿宋" w:eastAsia="仿宋" w:cs="仿宋"/>
          <w:color w:val="auto"/>
          <w:sz w:val="27"/>
          <w:szCs w:val="27"/>
          <w:highlight w:val="none"/>
          <w:shd w:val="clear" w:fill="F7F7F7"/>
          <w:lang w:eastAsia="zh-CN"/>
        </w:rPr>
        <w:t>小儿喉镜、便携式心电监护仪、DR</w:t>
      </w:r>
      <w:r>
        <w:rPr>
          <w:rFonts w:hint="eastAsia" w:ascii="仿宋" w:hAnsi="仿宋" w:eastAsia="仿宋" w:cs="仿宋"/>
          <w:color w:val="auto"/>
          <w:sz w:val="27"/>
          <w:szCs w:val="27"/>
          <w:highlight w:val="none"/>
          <w:shd w:val="clear" w:fill="F7F7F7"/>
          <w:lang w:val="en-US" w:eastAsia="zh-CN"/>
        </w:rPr>
        <w:t>等一批医疗设备</w:t>
      </w:r>
      <w:r>
        <w:rPr>
          <w:rFonts w:hint="eastAsia" w:ascii="仿宋" w:hAnsi="仿宋" w:eastAsia="仿宋" w:cs="仿宋"/>
          <w:color w:val="auto"/>
          <w:sz w:val="27"/>
          <w:szCs w:val="27"/>
          <w:highlight w:val="none"/>
          <w:shd w:val="clear" w:fill="F7F7F7"/>
          <w:lang w:eastAsia="zh-CN"/>
        </w:rPr>
        <w:t>。</w:t>
      </w:r>
      <w:r>
        <w:rPr>
          <w:rFonts w:hint="eastAsia" w:ascii="仿宋" w:hAnsi="仿宋" w:eastAsia="仿宋" w:cs="仿宋"/>
          <w:color w:val="auto"/>
          <w:sz w:val="27"/>
          <w:szCs w:val="27"/>
          <w:highlight w:val="none"/>
          <w:shd w:val="clear" w:fill="F7F7F7"/>
        </w:rPr>
        <w:t>（</w:t>
      </w:r>
      <w:r>
        <w:rPr>
          <w:rFonts w:hint="eastAsia" w:ascii="仿宋" w:hAnsi="仿宋" w:eastAsia="仿宋" w:cs="仿宋"/>
          <w:color w:val="auto"/>
          <w:sz w:val="27"/>
          <w:szCs w:val="27"/>
          <w:highlight w:val="none"/>
          <w:shd w:val="clear" w:fill="F7F7F7"/>
          <w:lang w:eastAsia="zh-CN"/>
        </w:rPr>
        <w:t>具体详见采购文件 第五章 采购需求及技术参数</w:t>
      </w:r>
      <w:r>
        <w:rPr>
          <w:rFonts w:hint="eastAsia" w:ascii="仿宋" w:hAnsi="仿宋" w:eastAsia="仿宋" w:cs="仿宋"/>
          <w:color w:val="auto"/>
          <w:sz w:val="27"/>
          <w:szCs w:val="27"/>
          <w:highlight w:val="none"/>
          <w:shd w:val="clear" w:fill="F7F7F7"/>
        </w:rPr>
        <w:t>）</w:t>
      </w:r>
    </w:p>
    <w:p w14:paraId="72ED2BF8">
      <w:pPr>
        <w:pStyle w:val="24"/>
        <w:keepNext w:val="0"/>
        <w:keepLines w:val="0"/>
        <w:widowControl/>
        <w:suppressLineNumbers w:val="0"/>
        <w:spacing w:before="75" w:beforeAutospacing="0" w:after="75" w:afterAutospacing="0" w:line="240" w:lineRule="auto"/>
        <w:ind w:left="0" w:right="0" w:firstLine="0"/>
        <w:rPr>
          <w:color w:val="auto"/>
          <w:highlight w:val="none"/>
        </w:rPr>
      </w:pPr>
      <w:r>
        <w:rPr>
          <w:rFonts w:hint="eastAsia" w:ascii="仿宋" w:hAnsi="仿宋" w:eastAsia="仿宋" w:cs="仿宋"/>
          <w:color w:val="auto"/>
          <w:sz w:val="27"/>
          <w:szCs w:val="27"/>
          <w:highlight w:val="none"/>
          <w:shd w:val="clear" w:fill="F7F7F7"/>
        </w:rPr>
        <w:t>备注：/</w:t>
      </w:r>
    </w:p>
    <w:p w14:paraId="67BC3E69">
      <w:pPr>
        <w:pStyle w:val="24"/>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lang w:val="en-US" w:eastAsia="zh-CN"/>
        </w:rPr>
      </w:pPr>
      <w:r>
        <w:rPr>
          <w:rFonts w:hint="eastAsia" w:ascii="仿宋" w:hAnsi="仿宋" w:eastAsia="仿宋" w:cs="仿宋"/>
          <w:color w:val="auto"/>
          <w:sz w:val="27"/>
          <w:szCs w:val="27"/>
          <w:highlight w:val="none"/>
        </w:rPr>
        <w:t>合同履约期限：</w:t>
      </w:r>
      <w:r>
        <w:rPr>
          <w:rFonts w:hint="eastAsia" w:ascii="仿宋" w:hAnsi="仿宋" w:eastAsia="仿宋" w:cs="仿宋"/>
          <w:color w:val="auto"/>
          <w:sz w:val="27"/>
          <w:szCs w:val="27"/>
          <w:highlight w:val="none"/>
          <w:lang w:eastAsia="zh-CN"/>
        </w:rPr>
        <w:t>合同签订后30天内到货并安装调试完毕，工程师对设备使用人员进行培训及考核。</w:t>
      </w:r>
    </w:p>
    <w:p w14:paraId="0872436E">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本项目（否）接受联合体投标。</w:t>
      </w:r>
    </w:p>
    <w:p w14:paraId="08DB2A94">
      <w:pPr>
        <w:pStyle w:val="24"/>
        <w:keepNext w:val="0"/>
        <w:keepLines w:val="0"/>
        <w:widowControl/>
        <w:suppressLineNumbers w:val="0"/>
        <w:spacing w:before="75" w:beforeAutospacing="0" w:after="75" w:afterAutospacing="0" w:line="300" w:lineRule="atLeast"/>
        <w:ind w:left="0" w:right="0"/>
        <w:rPr>
          <w:color w:val="auto"/>
          <w:highlight w:val="none"/>
        </w:rPr>
      </w:pPr>
    </w:p>
    <w:p w14:paraId="0CF6E75D">
      <w:pPr>
        <w:pStyle w:val="24"/>
        <w:keepNext w:val="0"/>
        <w:keepLines w:val="0"/>
        <w:widowControl/>
        <w:suppressLineNumbers w:val="0"/>
        <w:spacing w:before="75" w:beforeAutospacing="0" w:after="75" w:afterAutospacing="0" w:line="300" w:lineRule="atLeast"/>
        <w:ind w:left="0" w:right="0"/>
        <w:rPr>
          <w:color w:val="auto"/>
          <w:highlight w:val="none"/>
        </w:rPr>
      </w:pPr>
      <w:r>
        <w:rPr>
          <w:rStyle w:val="31"/>
          <w:rFonts w:ascii="黑体" w:hAnsi="宋体" w:eastAsia="黑体" w:cs="黑体"/>
          <w:color w:val="auto"/>
          <w:sz w:val="27"/>
          <w:szCs w:val="27"/>
          <w:highlight w:val="none"/>
        </w:rPr>
        <w:t>二、申请人的资格要求：</w:t>
      </w:r>
    </w:p>
    <w:p w14:paraId="564F73D1">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1.满足《中华人民共和国政府采购法》第二十二条规定；</w:t>
      </w:r>
    </w:p>
    <w:p w14:paraId="2FF9EC8D">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2.落实政府采购政策需满足的资格要求：本项目预算金额中预留30%面向中小企业（其中60%面向小微企业）采购项目，该部分预留份额采取分包意向协议形式向中小企业进行分包，且分包意向协议合同金额需达到规定的比例。</w:t>
      </w:r>
    </w:p>
    <w:p w14:paraId="375E3D2A">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本项目的特定资格要求：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05224D9A">
      <w:pPr>
        <w:pStyle w:val="24"/>
        <w:keepNext w:val="0"/>
        <w:keepLines w:val="0"/>
        <w:widowControl/>
        <w:suppressLineNumbers w:val="0"/>
        <w:spacing w:before="255" w:beforeAutospacing="0" w:after="255" w:afterAutospacing="0" w:line="300" w:lineRule="atLeast"/>
        <w:ind w:left="0" w:right="0"/>
        <w:jc w:val="both"/>
        <w:rPr>
          <w:rFonts w:hint="eastAsia" w:ascii="黑体" w:hAnsi="宋体" w:eastAsia="黑体" w:cs="黑体"/>
          <w:color w:val="auto"/>
          <w:sz w:val="27"/>
          <w:szCs w:val="27"/>
          <w:highlight w:val="none"/>
          <w:lang w:eastAsia="zh-CN"/>
        </w:rPr>
      </w:pPr>
      <w:r>
        <w:rPr>
          <w:rStyle w:val="31"/>
          <w:rFonts w:ascii="黑体" w:hAnsi="宋体" w:eastAsia="黑体" w:cs="黑体"/>
          <w:color w:val="auto"/>
          <w:sz w:val="27"/>
          <w:szCs w:val="27"/>
          <w:highlight w:val="none"/>
        </w:rPr>
        <w:t>三、获取</w:t>
      </w:r>
      <w:r>
        <w:rPr>
          <w:rStyle w:val="31"/>
          <w:rFonts w:hint="eastAsia" w:ascii="黑体" w:hAnsi="宋体" w:eastAsia="黑体" w:cs="黑体"/>
          <w:color w:val="auto"/>
          <w:sz w:val="27"/>
          <w:szCs w:val="27"/>
          <w:highlight w:val="none"/>
          <w:lang w:eastAsia="zh-CN"/>
        </w:rPr>
        <w:t>采购文件</w:t>
      </w:r>
    </w:p>
    <w:p w14:paraId="1E6439EB">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时间：</w:t>
      </w:r>
      <w:r>
        <w:rPr>
          <w:rFonts w:hint="eastAsia" w:ascii="仿宋" w:hAnsi="仿宋" w:eastAsia="仿宋" w:cs="仿宋"/>
          <w:color w:val="auto"/>
          <w:sz w:val="27"/>
          <w:szCs w:val="27"/>
          <w:highlight w:val="none"/>
          <w:lang w:eastAsia="zh-CN"/>
        </w:rPr>
        <w:t>2025年06月27日</w:t>
      </w:r>
      <w:r>
        <w:rPr>
          <w:rFonts w:hint="eastAsia" w:ascii="仿宋" w:hAnsi="仿宋" w:eastAsia="仿宋" w:cs="仿宋"/>
          <w:color w:val="auto"/>
          <w:sz w:val="27"/>
          <w:szCs w:val="27"/>
          <w:highlight w:val="none"/>
        </w:rPr>
        <w:t>至</w:t>
      </w:r>
      <w:r>
        <w:rPr>
          <w:rFonts w:hint="eastAsia" w:ascii="仿宋" w:hAnsi="仿宋" w:eastAsia="仿宋" w:cs="仿宋"/>
          <w:color w:val="auto"/>
          <w:sz w:val="27"/>
          <w:szCs w:val="27"/>
          <w:highlight w:val="none"/>
          <w:lang w:eastAsia="zh-CN"/>
        </w:rPr>
        <w:t>2025年07月04日</w:t>
      </w:r>
      <w:r>
        <w:rPr>
          <w:rFonts w:hint="eastAsia" w:ascii="仿宋" w:hAnsi="仿宋" w:eastAsia="仿宋" w:cs="仿宋"/>
          <w:color w:val="auto"/>
          <w:sz w:val="27"/>
          <w:szCs w:val="27"/>
          <w:highlight w:val="none"/>
        </w:rPr>
        <w:t>，每天上午</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0:00至1</w:t>
      </w: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rPr>
        <w:t>:00，下午</w:t>
      </w:r>
      <w:r>
        <w:rPr>
          <w:rFonts w:hint="eastAsia" w:ascii="仿宋" w:hAnsi="仿宋" w:eastAsia="仿宋" w:cs="仿宋"/>
          <w:color w:val="auto"/>
          <w:sz w:val="27"/>
          <w:szCs w:val="27"/>
          <w:highlight w:val="none"/>
          <w:lang w:val="en-US" w:eastAsia="zh-CN"/>
        </w:rPr>
        <w:t>12</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0至</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59</w:t>
      </w:r>
      <w:r>
        <w:rPr>
          <w:rFonts w:hint="eastAsia" w:ascii="仿宋" w:hAnsi="仿宋" w:eastAsia="仿宋" w:cs="仿宋"/>
          <w:color w:val="auto"/>
          <w:sz w:val="27"/>
          <w:szCs w:val="27"/>
          <w:highlight w:val="none"/>
        </w:rPr>
        <w:t>（北京时间）</w:t>
      </w:r>
    </w:p>
    <w:p w14:paraId="5CD1E7D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地点：政采云平台（www.zcygov.cn）</w:t>
      </w:r>
    </w:p>
    <w:p w14:paraId="2B5338EF">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方式：</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登录政采云平台https://www.zcygov.cn/在线申请获取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（进入“项目采购”应用，在获取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菜单中选择项目，申请获取</w:t>
      </w:r>
      <w:r>
        <w:rPr>
          <w:rFonts w:hint="eastAsia" w:ascii="仿宋" w:hAnsi="仿宋" w:eastAsia="仿宋" w:cs="仿宋"/>
          <w:color w:val="auto"/>
          <w:sz w:val="27"/>
          <w:szCs w:val="27"/>
          <w:highlight w:val="none"/>
          <w:lang w:eastAsia="zh-CN"/>
        </w:rPr>
        <w:t>采购文件</w:t>
      </w:r>
    </w:p>
    <w:p w14:paraId="4E321F5C">
      <w:pPr>
        <w:pStyle w:val="24"/>
        <w:keepNext w:val="0"/>
        <w:keepLines w:val="0"/>
        <w:widowControl/>
        <w:suppressLineNumbers w:val="0"/>
        <w:spacing w:before="75" w:beforeAutospacing="0" w:after="75" w:afterAutospacing="0" w:line="300" w:lineRule="atLeast"/>
        <w:ind w:left="0" w:right="0" w:firstLine="420"/>
        <w:rPr>
          <w:rStyle w:val="31"/>
          <w:rFonts w:ascii="黑体" w:hAnsi="宋体" w:eastAsia="黑体" w:cs="黑体"/>
          <w:color w:val="auto"/>
          <w:sz w:val="27"/>
          <w:szCs w:val="27"/>
          <w:highlight w:val="none"/>
        </w:rPr>
      </w:pPr>
      <w:r>
        <w:rPr>
          <w:rFonts w:hint="eastAsia" w:ascii="仿宋" w:hAnsi="仿宋" w:eastAsia="仿宋" w:cs="仿宋"/>
          <w:color w:val="auto"/>
          <w:sz w:val="27"/>
          <w:szCs w:val="27"/>
          <w:highlight w:val="none"/>
        </w:rPr>
        <w:t>售价（元）：0</w:t>
      </w:r>
    </w:p>
    <w:p w14:paraId="2C8897A9">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四、提交投标文件截止时间、开标时间和地点</w:t>
      </w:r>
    </w:p>
    <w:p w14:paraId="0154B882">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提交投标文件截止时间：</w:t>
      </w:r>
      <w:bookmarkStart w:id="140" w:name="_GoBack"/>
      <w:bookmarkEnd w:id="140"/>
      <w:r>
        <w:rPr>
          <w:rFonts w:hint="eastAsia" w:ascii="仿宋" w:hAnsi="仿宋" w:eastAsia="仿宋" w:cs="仿宋"/>
          <w:color w:val="auto"/>
          <w:sz w:val="27"/>
          <w:szCs w:val="27"/>
          <w:highlight w:val="none"/>
          <w:lang w:eastAsia="zh-CN"/>
        </w:rPr>
        <w:t>2025年07月22日</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05E6C69E">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投标地点：请登录政采云投标客户端投标</w:t>
      </w:r>
    </w:p>
    <w:p w14:paraId="79B667F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开标时间：</w:t>
      </w:r>
      <w:r>
        <w:rPr>
          <w:rFonts w:hint="eastAsia" w:ascii="仿宋" w:hAnsi="仿宋" w:eastAsia="仿宋" w:cs="仿宋"/>
          <w:color w:val="auto"/>
          <w:sz w:val="27"/>
          <w:szCs w:val="27"/>
          <w:highlight w:val="none"/>
          <w:lang w:eastAsia="zh-CN"/>
        </w:rPr>
        <w:t>2025年07月22日</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1F13E824">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开标地点：</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登录政采云平台https://www.zcygov.cn/，进入“项目采购-开标评标-右边选择对应项目点击“进入项目”进入开标大厅。</w:t>
      </w:r>
    </w:p>
    <w:p w14:paraId="099D0862">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五、公告期限</w:t>
      </w:r>
    </w:p>
    <w:p w14:paraId="78CADC94">
      <w:pPr>
        <w:pStyle w:val="24"/>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自本公告发布之日起5个工作日。</w:t>
      </w:r>
    </w:p>
    <w:p w14:paraId="17FB8B97">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六、其他补充事宜</w:t>
      </w:r>
    </w:p>
    <w:p w14:paraId="3A8DA56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（1）请投标单位随时关注本项目的澄清、答疑、变更事项。</w:t>
      </w:r>
    </w:p>
    <w:p w14:paraId="4FB400A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（2）本项目实行电子招投标，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须登录政采云平台申请获取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，并通过政采云电子投标客户端制作投标文件，同时自行承担与投标有关的一切费用。</w:t>
      </w:r>
    </w:p>
    <w:p w14:paraId="5594D75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（3）各</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应在开标前应确保成为政采云平台</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，并完成 CA 数字证书(符合国密标准) 申领。因未注册入库、未办理CA数字证书等原因造成无法投标或投标失败等后果由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556C6941">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下载专区，下载政采云电子投标客户端，安装完成后，可通过账号密码或CA登录客户端进行响应文件制作。在使用政采云电子投标客户端时，建议使用WIN7及以上操作系统。如需咨询，请联系对应CA公司服务热线。</w:t>
      </w:r>
    </w:p>
    <w:p w14:paraId="2DCC04D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（5）本项目采用不见面开标，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须在投标截止时间前通过CA在政采云平台上传加密的电子响应文件。</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”版面获取操作指南，同时对所有无法解决的问题可通过钉钉群33350502及政采云在线客服获取服务支持。</w:t>
      </w:r>
    </w:p>
    <w:p w14:paraId="4B4E2412">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（6）</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在开标前须提前配置好电脑浏览器(建议使用谷歌浏览器) ，开标时请使用制作加密电子响应文件的CA锁进行解密及报价确认。本项目响应文件解密时间定为30分钟，如因自身原因导致无法正常解密，后果由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16180E70">
      <w:pPr>
        <w:pStyle w:val="24"/>
        <w:keepNext w:val="0"/>
        <w:keepLines w:val="0"/>
        <w:widowControl/>
        <w:suppressLineNumbers w:val="0"/>
        <w:spacing w:before="75" w:beforeAutospacing="0" w:after="75" w:afterAutospacing="0"/>
        <w:ind w:left="0" w:right="0"/>
        <w:rPr>
          <w:rFonts w:hint="eastAsia" w:ascii="仿宋" w:hAnsi="仿宋" w:eastAsia="仿宋" w:cs="仿宋"/>
          <w:color w:val="auto"/>
          <w:sz w:val="27"/>
          <w:szCs w:val="27"/>
          <w:highlight w:val="none"/>
        </w:rPr>
      </w:pPr>
    </w:p>
    <w:p w14:paraId="409E8B1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特别提示：</w:t>
      </w:r>
    </w:p>
    <w:p w14:paraId="0E38E1A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1、采购限额标准以上，200万元以下的货物和服务采购项目、400万元以下的工程采购项目，适宜由中小企业提供的，</w:t>
      </w:r>
      <w:r>
        <w:rPr>
          <w:rFonts w:hint="eastAsia"/>
          <w:color w:val="auto"/>
          <w:sz w:val="22"/>
          <w:szCs w:val="28"/>
          <w:highlight w:val="none"/>
          <w:lang w:eastAsia="zh-CN"/>
        </w:rPr>
        <w:t>采购人</w:t>
      </w:r>
      <w:r>
        <w:rPr>
          <w:color w:val="auto"/>
          <w:sz w:val="22"/>
          <w:szCs w:val="28"/>
          <w:highlight w:val="none"/>
        </w:rPr>
        <w:t>应当专门面向中小企业采购。</w:t>
      </w:r>
    </w:p>
    <w:p w14:paraId="42DA974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2、超过200万元的货物和服务采购项目，预留该部分采购项目预算总额的30%以上专门面向中小企业采购，其中预留给小微企业的比例不低于60</w:t>
      </w:r>
      <w:r>
        <w:rPr>
          <w:rFonts w:hint="eastAsia"/>
          <w:color w:val="auto"/>
          <w:sz w:val="22"/>
          <w:szCs w:val="28"/>
          <w:highlight w:val="none"/>
          <w:lang w:val="en-US" w:eastAsia="zh-CN"/>
        </w:rPr>
        <w:t>%</w:t>
      </w:r>
      <w:r>
        <w:rPr>
          <w:color w:val="auto"/>
          <w:sz w:val="22"/>
          <w:szCs w:val="28"/>
          <w:highlight w:val="none"/>
        </w:rPr>
        <w:t>。</w:t>
      </w:r>
    </w:p>
    <w:p w14:paraId="270A8F8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3、超过400万元的工程采购项目中适宜由中小企业提供的，预留该部分采购项目预算总额的40%以上专门面向中小企业采购，其中预留给小微企业的比例不低于60%。</w:t>
      </w:r>
    </w:p>
    <w:p w14:paraId="59EFC1D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4、对于未预留份额专门面向中小企业的采购项目，以及预留份额项目中的非预留部分采购包，</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5DDDB8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8D74AE">
      <w:pPr>
        <w:pStyle w:val="24"/>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七、对本次采购提出询问，请按以下方式联系</w:t>
      </w:r>
    </w:p>
    <w:p w14:paraId="34D65D58">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采购人</w:t>
      </w:r>
      <w:r>
        <w:rPr>
          <w:rFonts w:hint="eastAsia" w:ascii="仿宋" w:hAnsi="仿宋" w:eastAsia="仿宋" w:cs="仿宋"/>
          <w:color w:val="auto"/>
          <w:sz w:val="27"/>
          <w:szCs w:val="27"/>
          <w:highlight w:val="none"/>
        </w:rPr>
        <w:t>信息</w:t>
      </w:r>
    </w:p>
    <w:p w14:paraId="1A294C9A">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eastAsia="zh-CN"/>
        </w:rPr>
        <w:t xml:space="preserve"> 托里县人民医院 </w:t>
      </w:r>
      <w:r>
        <w:rPr>
          <w:rFonts w:hint="eastAsia" w:ascii="仿宋" w:hAnsi="仿宋" w:eastAsia="仿宋" w:cs="仿宋"/>
          <w:color w:val="auto"/>
          <w:sz w:val="27"/>
          <w:szCs w:val="27"/>
          <w:highlight w:val="none"/>
        </w:rPr>
        <w:t xml:space="preserve"> </w:t>
      </w:r>
    </w:p>
    <w:p w14:paraId="58FD0E21">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地 址：</w:t>
      </w:r>
      <w:r>
        <w:rPr>
          <w:rFonts w:hint="eastAsia" w:ascii="仿宋" w:hAnsi="仿宋" w:eastAsia="仿宋" w:cs="仿宋"/>
          <w:color w:val="auto"/>
          <w:sz w:val="27"/>
          <w:szCs w:val="27"/>
          <w:highlight w:val="none"/>
          <w:lang w:eastAsia="zh-CN"/>
        </w:rPr>
        <w:t>托里县文化东路47号</w:t>
      </w:r>
    </w:p>
    <w:p w14:paraId="020F5846">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联系方式：14709016227</w:t>
      </w:r>
    </w:p>
    <w:p w14:paraId="2DDD433A">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eastAsia="zh-CN"/>
        </w:rPr>
        <w:t>采购代理机构</w:t>
      </w:r>
      <w:r>
        <w:rPr>
          <w:rFonts w:hint="eastAsia" w:ascii="仿宋" w:hAnsi="仿宋" w:eastAsia="仿宋" w:cs="仿宋"/>
          <w:color w:val="auto"/>
          <w:sz w:val="27"/>
          <w:szCs w:val="27"/>
          <w:highlight w:val="none"/>
        </w:rPr>
        <w:t>信息</w:t>
      </w:r>
    </w:p>
    <w:p w14:paraId="32B81D78">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val="en-US" w:eastAsia="zh-CN"/>
        </w:rPr>
        <w:t>新疆盛世乾元工程项目管理咨询有限公司</w:t>
      </w:r>
    </w:p>
    <w:p w14:paraId="334A7396">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址：新疆乌鲁木齐市水磨沟区南湖北路1956号亚欧财富广场A座</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03室</w:t>
      </w:r>
    </w:p>
    <w:p w14:paraId="6A0F6BED">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任广文、刘菀榕</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0991-4659594、13201200217</w:t>
      </w:r>
    </w:p>
    <w:p w14:paraId="2AAB93E4">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3.项目联系方式</w:t>
      </w:r>
    </w:p>
    <w:p w14:paraId="0F7AA25E">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项目联系人：</w:t>
      </w:r>
      <w:r>
        <w:rPr>
          <w:rStyle w:val="34"/>
          <w:rFonts w:hint="eastAsia" w:ascii="仿宋" w:hAnsi="仿宋" w:eastAsia="仿宋" w:cs="仿宋"/>
          <w:color w:val="auto"/>
          <w:sz w:val="27"/>
          <w:szCs w:val="27"/>
          <w:highlight w:val="none"/>
          <w:lang w:eastAsia="zh-CN"/>
        </w:rPr>
        <w:t>任广文、刘菀榕</w:t>
      </w:r>
      <w:r>
        <w:rPr>
          <w:rStyle w:val="34"/>
          <w:rFonts w:hint="eastAsia" w:ascii="仿宋" w:hAnsi="仿宋" w:eastAsia="仿宋" w:cs="仿宋"/>
          <w:color w:val="auto"/>
          <w:sz w:val="27"/>
          <w:szCs w:val="27"/>
          <w:highlight w:val="none"/>
        </w:rPr>
        <w:t xml:space="preserve"> </w:t>
      </w:r>
    </w:p>
    <w:p w14:paraId="285DBD37">
      <w:pPr>
        <w:pStyle w:val="24"/>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电 话：</w:t>
      </w:r>
      <w:r>
        <w:rPr>
          <w:rStyle w:val="34"/>
          <w:rFonts w:hint="eastAsia" w:ascii="仿宋" w:hAnsi="仿宋" w:eastAsia="仿宋" w:cs="仿宋"/>
          <w:color w:val="auto"/>
          <w:sz w:val="27"/>
          <w:szCs w:val="27"/>
          <w:highlight w:val="none"/>
        </w:rPr>
        <w:t>0991-4659594</w:t>
      </w:r>
      <w:r>
        <w:rPr>
          <w:rStyle w:val="34"/>
          <w:rFonts w:hint="eastAsia" w:ascii="仿宋" w:hAnsi="仿宋" w:eastAsia="仿宋" w:cs="仿宋"/>
          <w:color w:val="auto"/>
          <w:sz w:val="27"/>
          <w:szCs w:val="27"/>
          <w:highlight w:val="none"/>
          <w:lang w:eastAsia="zh-CN"/>
        </w:rPr>
        <w:t>、13201200217</w:t>
      </w:r>
    </w:p>
    <w:p w14:paraId="0271E446">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43C063C0">
      <w:pPr>
        <w:pStyle w:val="9"/>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3" w:name="_Toc2841"/>
      <w:r>
        <w:rPr>
          <w:rFonts w:hint="eastAsia"/>
          <w:b/>
          <w:bCs/>
          <w:color w:val="auto"/>
          <w:sz w:val="28"/>
          <w:szCs w:val="28"/>
          <w:highlight w:val="none"/>
          <w:lang w:val="en-US" w:eastAsia="zh-CN"/>
        </w:rPr>
        <w:t>第二章  供应商须知前附表</w:t>
      </w:r>
      <w:bookmarkEnd w:id="3"/>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0969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12FCF31">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10AE164E">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r>
      <w:tr w14:paraId="3EC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E57A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79BBE5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4" w:name="OLE_LINK2"/>
            <w:r>
              <w:rPr>
                <w:rFonts w:hint="eastAsia" w:asciiTheme="minorEastAsia" w:hAnsiTheme="minorEastAsia" w:eastAsiaTheme="minorEastAsia" w:cstheme="minorEastAsia"/>
                <w:color w:val="auto"/>
                <w:sz w:val="24"/>
                <w:szCs w:val="24"/>
                <w:highlight w:val="none"/>
                <w:lang w:val="en-US" w:eastAsia="zh-CN"/>
              </w:rPr>
              <w:t>项目名称：托里县人民医院一批医疗设备采购项目</w:t>
            </w:r>
          </w:p>
          <w:p w14:paraId="61EA8C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项目编号：</w:t>
            </w:r>
            <w:bookmarkEnd w:id="4"/>
            <w:r>
              <w:rPr>
                <w:rFonts w:hint="eastAsia" w:asciiTheme="minorEastAsia" w:hAnsiTheme="minorEastAsia" w:eastAsiaTheme="minorEastAsia" w:cstheme="minorEastAsia"/>
                <w:color w:val="auto"/>
                <w:sz w:val="24"/>
                <w:szCs w:val="24"/>
                <w:highlight w:val="none"/>
                <w:lang w:val="en-US" w:eastAsia="zh-CN"/>
              </w:rPr>
              <w:t>SSQYZB- CG2025062-1</w:t>
            </w:r>
          </w:p>
        </w:tc>
      </w:tr>
      <w:tr w14:paraId="3364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08D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42AFB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 xml:space="preserve"> 托里县人民医院 </w:t>
            </w:r>
            <w:r>
              <w:rPr>
                <w:rFonts w:hint="eastAsia" w:asciiTheme="minorEastAsia" w:hAnsiTheme="minorEastAsia" w:eastAsiaTheme="minorEastAsia" w:cstheme="minorEastAsia"/>
                <w:color w:val="auto"/>
                <w:sz w:val="24"/>
                <w:szCs w:val="24"/>
                <w:highlight w:val="none"/>
              </w:rPr>
              <w:t xml:space="preserve">  </w:t>
            </w:r>
          </w:p>
          <w:p w14:paraId="067F383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szCs w:val="24"/>
                <w:highlight w:val="none"/>
                <w:lang w:val="en-US" w:eastAsia="zh-CN"/>
              </w:rPr>
              <w:t>联系</w:t>
            </w:r>
            <w:r>
              <w:rPr>
                <w:rFonts w:hint="eastAsia" w:asciiTheme="minorEastAsia" w:hAnsiTheme="minorEastAsia" w:eastAsiaTheme="minorEastAsia" w:cstheme="minorEastAsia"/>
                <w:color w:val="auto"/>
                <w:kern w:val="2"/>
                <w:sz w:val="24"/>
                <w:szCs w:val="24"/>
                <w:highlight w:val="none"/>
                <w:lang w:val="en-US" w:eastAsia="zh-CN" w:bidi="ar-SA"/>
              </w:rPr>
              <w:t>人：崔老师</w:t>
            </w:r>
          </w:p>
          <w:p w14:paraId="135228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联系电话：14709016227</w:t>
            </w:r>
          </w:p>
        </w:tc>
      </w:tr>
      <w:tr w14:paraId="02B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0BC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10E20587">
            <w:pPr>
              <w:keepNext w:val="0"/>
              <w:keepLines w:val="0"/>
              <w:pageBreakBefore w:val="0"/>
              <w:widowControl w:val="0"/>
              <w:kinsoku/>
              <w:wordWrap/>
              <w:overflowPunct/>
              <w:topLinePunct w:val="0"/>
              <w:autoSpaceDE/>
              <w:autoSpaceDN/>
              <w:bidi w:val="0"/>
              <w:adjustRightInd/>
              <w:snapToGrid/>
              <w:spacing w:line="360" w:lineRule="auto"/>
              <w:ind w:left="1960" w:hanging="1680" w:hangingChars="700"/>
              <w:textAlignment w:val="auto"/>
              <w:rPr>
                <w:rFonts w:hint="eastAsia" w:eastAsia="宋体"/>
                <w:color w:val="auto"/>
                <w:sz w:val="24"/>
                <w:szCs w:val="24"/>
                <w:highlight w:val="none"/>
                <w:lang w:eastAsia="zh-CN"/>
              </w:rPr>
            </w:pPr>
            <w:r>
              <w:rPr>
                <w:rFonts w:hint="eastAsia"/>
                <w:color w:val="auto"/>
                <w:sz w:val="24"/>
                <w:szCs w:val="24"/>
                <w:highlight w:val="none"/>
                <w:lang w:eastAsia="zh-CN"/>
              </w:rPr>
              <w:t>采购代理机构</w:t>
            </w:r>
            <w:r>
              <w:rPr>
                <w:rFonts w:hint="eastAsia"/>
                <w:color w:val="auto"/>
                <w:sz w:val="24"/>
                <w:szCs w:val="24"/>
                <w:highlight w:val="none"/>
              </w:rPr>
              <w:t>：</w:t>
            </w:r>
            <w:r>
              <w:rPr>
                <w:rFonts w:hint="eastAsia"/>
                <w:color w:val="auto"/>
                <w:sz w:val="24"/>
                <w:szCs w:val="24"/>
                <w:highlight w:val="none"/>
                <w:lang w:eastAsia="zh-CN"/>
              </w:rPr>
              <w:t>新疆盛世乾元工程项目管理咨询有限公司</w:t>
            </w:r>
          </w:p>
          <w:p w14:paraId="49A51E0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联系人：任广文、刘菀榕</w:t>
            </w:r>
          </w:p>
          <w:p w14:paraId="085B478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0991-4659594、13201200217</w:t>
            </w:r>
          </w:p>
        </w:tc>
      </w:tr>
      <w:tr w14:paraId="788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99AF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0087BC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内容：采购小儿喉镜、便携式心电监护仪、DR等一批医疗设备。（具体详见采购文件 第五章 采购需求及技术参数）</w:t>
            </w:r>
          </w:p>
        </w:tc>
      </w:tr>
      <w:tr w14:paraId="269E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5985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787855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交货地点：托里县人民医院指定地点</w:t>
            </w:r>
          </w:p>
        </w:tc>
      </w:tr>
      <w:tr w14:paraId="7F0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96306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70F466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合同履约期限</w:t>
            </w:r>
            <w:r>
              <w:rPr>
                <w:rFonts w:hint="eastAsia" w:asciiTheme="minorEastAsia" w:hAnsiTheme="minorEastAsia" w:eastAsiaTheme="minorEastAsia" w:cstheme="minorEastAsia"/>
                <w:color w:val="auto"/>
                <w:sz w:val="24"/>
                <w:szCs w:val="24"/>
                <w:highlight w:val="none"/>
                <w:lang w:val="en-US" w:eastAsia="zh-CN"/>
              </w:rPr>
              <w:t>（交货期）</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合同签订后30天内到货并安装调试完毕，工程师对设备使用人员进行培训及考核。</w:t>
            </w:r>
          </w:p>
          <w:p w14:paraId="1CEF83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质保期：5年，终身免费维护保养</w:t>
            </w:r>
          </w:p>
        </w:tc>
      </w:tr>
      <w:tr w14:paraId="7F3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A1F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52221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付款方式：</w:t>
            </w:r>
            <w:r>
              <w:rPr>
                <w:rFonts w:hint="eastAsia" w:asciiTheme="minorEastAsia" w:hAnsiTheme="minorEastAsia" w:eastAsiaTheme="minorEastAsia" w:cstheme="minorEastAsia"/>
                <w:color w:val="auto"/>
                <w:sz w:val="24"/>
                <w:szCs w:val="24"/>
                <w:highlight w:val="none"/>
                <w:lang w:val="en-US" w:eastAsia="zh-CN"/>
              </w:rPr>
              <w:t>合同签定后，采购人按照合同约定向中标人预付合同价款的60%，到货安装验收合格后支付合同价款的40%，付款前，成交供应商须提供合法的当届结算金额全额增值税发票并经采购人财务审核后方可付款（最终付款方式以和采购单位签订合同为准）。</w:t>
            </w:r>
          </w:p>
        </w:tc>
      </w:tr>
      <w:tr w14:paraId="4A90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C002E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41F54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招标方式：公开招标</w:t>
            </w:r>
          </w:p>
        </w:tc>
      </w:tr>
      <w:tr w14:paraId="7EBB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2C8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12989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审查方式：资格后审</w:t>
            </w:r>
          </w:p>
        </w:tc>
      </w:tr>
      <w:tr w14:paraId="54D8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507A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6D0CF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评标办法：</w:t>
            </w:r>
          </w:p>
          <w:p w14:paraId="7E808A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☑资格后审□资格预审</w:t>
            </w:r>
          </w:p>
          <w:p w14:paraId="1DFE8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☑综合评分法□最低评标价法</w:t>
            </w:r>
          </w:p>
          <w:p w14:paraId="2C553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14:paraId="3BD29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11CDA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按投标报价由低到高顺序排列。得分且投标报价相同的，投标文件满足采购文件全部实质性要求且按评审因素的量化指标评审得分最高的供应商为排名第一的中标候选人。</w:t>
            </w:r>
          </w:p>
          <w:p w14:paraId="1EB0C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若出现综合得分并列时，依次比较投标报价、服务方案、述标，分项得分高者排序在前；若分项得分仍相同，则由评审委员会无记名投票，得票高者排序在前。</w:t>
            </w:r>
          </w:p>
        </w:tc>
      </w:tr>
      <w:tr w14:paraId="11E5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4391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0C715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p>
          <w:p w14:paraId="0EFDD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5F4D9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本项目预算金额中预留30%面向中小企业（其中60%面向小微企业）采购项目，该部分预留份额采取分包意向协议形式向中小企业进行分包，且分包意向协议合同金额需达到规定的比例。</w:t>
            </w:r>
          </w:p>
          <w:p w14:paraId="189DB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本项目的特定资格要求：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tc>
      </w:tr>
      <w:tr w14:paraId="2CF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5B501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57AA6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投标保证金：</w:t>
            </w:r>
          </w:p>
          <w:p w14:paraId="0F885E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金额：</w:t>
            </w:r>
            <w:r>
              <w:rPr>
                <w:rFonts w:hint="eastAsia" w:asciiTheme="minorEastAsia" w:hAnsiTheme="minorEastAsia" w:eastAsiaTheme="minorEastAsia" w:cstheme="minorEastAsia"/>
                <w:color w:val="auto"/>
                <w:sz w:val="24"/>
                <w:szCs w:val="24"/>
                <w:highlight w:val="none"/>
                <w:lang w:val="en-US" w:eastAsia="zh-CN"/>
              </w:rPr>
              <w:t>60000元（大写：陆万元整）</w:t>
            </w:r>
          </w:p>
          <w:p w14:paraId="6E3D8F46">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1.账户名：新疆盛世乾元工程项目管理咨询有限公司</w:t>
            </w:r>
          </w:p>
          <w:p w14:paraId="6F5F3FC0">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2.开户银行：中国农业银行股份有限公司乌鲁木齐南湖路（兵团）支行</w:t>
            </w:r>
          </w:p>
          <w:p w14:paraId="091EE2F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3.账号：30704501040008571</w:t>
            </w:r>
          </w:p>
          <w:p w14:paraId="258296D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4.行号：103881070457</w:t>
            </w:r>
          </w:p>
          <w:p w14:paraId="020DF548">
            <w:pPr>
              <w:pStyle w:val="9"/>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2025年07月22日11:00</w:t>
            </w:r>
            <w:r>
              <w:rPr>
                <w:rFonts w:hint="eastAsia" w:ascii="宋体" w:hAnsi="宋体" w:cs="宋体"/>
                <w:color w:val="auto"/>
                <w:sz w:val="24"/>
                <w:szCs w:val="24"/>
                <w:highlight w:val="none"/>
              </w:rPr>
              <w:t>之前将投标保证金</w:t>
            </w:r>
            <w:r>
              <w:rPr>
                <w:rFonts w:hint="eastAsia" w:ascii="宋体" w:hAnsi="宋体" w:cs="宋体"/>
                <w:color w:val="auto"/>
                <w:sz w:val="24"/>
                <w:szCs w:val="24"/>
                <w:highlight w:val="none"/>
                <w:lang w:eastAsia="zh-CN"/>
              </w:rPr>
              <w:t>以支票、汇票、本票、转账、电汇或者金融机构、担保机构出具的保函等非现金形式</w:t>
            </w:r>
            <w:r>
              <w:rPr>
                <w:rFonts w:hint="eastAsia" w:ascii="宋体" w:hAnsi="宋体" w:cs="宋体"/>
                <w:color w:val="auto"/>
                <w:sz w:val="24"/>
                <w:szCs w:val="24"/>
                <w:highlight w:val="none"/>
                <w:lang w:val="en-US" w:eastAsia="zh-CN"/>
              </w:rPr>
              <w:t>缴纳</w:t>
            </w:r>
            <w:r>
              <w:rPr>
                <w:rFonts w:hint="eastAsia" w:ascii="宋体" w:hAnsi="宋体" w:cs="宋体"/>
                <w:color w:val="auto"/>
                <w:sz w:val="24"/>
                <w:szCs w:val="24"/>
                <w:highlight w:val="none"/>
              </w:rPr>
              <w:t>。</w:t>
            </w:r>
          </w:p>
          <w:p w14:paraId="5697FCE4">
            <w:pPr>
              <w:pStyle w:val="9"/>
              <w:keepNext w:val="0"/>
              <w:keepLines w:val="0"/>
              <w:pageBreakBefore w:val="0"/>
              <w:widowControl w:val="0"/>
              <w:kinsoku/>
              <w:wordWrap/>
              <w:overflowPunct/>
              <w:topLinePunct w:val="0"/>
              <w:bidi w:val="0"/>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ascii="宋体" w:hAnsi="宋体" w:cs="宋体"/>
                <w:b/>
                <w:bCs/>
                <w:color w:val="auto"/>
                <w:sz w:val="24"/>
                <w:szCs w:val="24"/>
                <w:highlight w:val="none"/>
                <w:lang w:eastAsia="zh-CN"/>
              </w:rPr>
              <w:t>备注：需备注项目名称</w:t>
            </w:r>
            <w:r>
              <w:rPr>
                <w:rFonts w:hint="eastAsia" w:ascii="宋体" w:hAnsi="宋体" w:cs="宋体"/>
                <w:b/>
                <w:bCs/>
                <w:color w:val="auto"/>
                <w:sz w:val="24"/>
                <w:szCs w:val="24"/>
                <w:highlight w:val="none"/>
                <w:lang w:val="en-US" w:eastAsia="zh-CN"/>
              </w:rPr>
              <w:t>简称或标项号，如未注明，造成保证金无法查明的，责任由供应商自行承担。</w:t>
            </w:r>
          </w:p>
        </w:tc>
      </w:tr>
      <w:tr w14:paraId="4520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CA5A6AB">
            <w:pPr>
              <w:pageBreakBefore w:val="0"/>
              <w:kinsoku/>
              <w:overflowPunct/>
              <w:topLinePunct w:val="0"/>
              <w:bidi w:val="0"/>
              <w:spacing w:line="240" w:lineRule="auto"/>
              <w:ind w:left="0" w:lef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6930F07A">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对</w:t>
            </w:r>
            <w:r>
              <w:rPr>
                <w:rFonts w:hint="eastAsia" w:ascii="宋体" w:hAnsi="宋体" w:cs="Times New Roman"/>
                <w:b w:val="0"/>
                <w:bCs/>
                <w:snapToGrid w:val="0"/>
                <w:color w:val="auto"/>
                <w:kern w:val="0"/>
                <w:sz w:val="24"/>
                <w:highlight w:val="none"/>
                <w:lang w:val="en-US" w:eastAsia="zh-CN"/>
              </w:rPr>
              <w:t>采购文件</w:t>
            </w:r>
            <w:r>
              <w:rPr>
                <w:rFonts w:hint="eastAsia" w:ascii="宋体" w:hAnsi="宋体" w:eastAsia="宋体" w:cs="Times New Roman"/>
                <w:b w:val="0"/>
                <w:bCs/>
                <w:snapToGrid w:val="0"/>
                <w:color w:val="auto"/>
                <w:kern w:val="0"/>
                <w:sz w:val="24"/>
                <w:highlight w:val="none"/>
                <w:lang w:val="en-US" w:eastAsia="zh-CN"/>
              </w:rPr>
              <w:t>提出质疑的时间、形式：</w:t>
            </w:r>
          </w:p>
          <w:p w14:paraId="70A31F11">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时间：供应商认为采购文件使自己的权益受到损害的，可以在知道或者应知其权益受到损害之日起7个工作日内，以书面形式向采购人、采购代理机构提出质疑，超过期限的</w:t>
            </w:r>
            <w:r>
              <w:rPr>
                <w:rFonts w:hint="eastAsia" w:ascii="宋体" w:hAnsi="宋体" w:cs="Times New Roman"/>
                <w:b w:val="0"/>
                <w:bCs/>
                <w:snapToGrid w:val="0"/>
                <w:color w:val="auto"/>
                <w:kern w:val="0"/>
                <w:sz w:val="24"/>
                <w:highlight w:val="none"/>
                <w:lang w:val="en-US" w:eastAsia="zh-CN"/>
              </w:rPr>
              <w:t>采购人</w:t>
            </w:r>
            <w:r>
              <w:rPr>
                <w:rFonts w:hint="eastAsia" w:ascii="宋体" w:hAnsi="宋体" w:eastAsia="宋体" w:cs="Times New Roman"/>
                <w:b w:val="0"/>
                <w:bCs/>
                <w:snapToGrid w:val="0"/>
                <w:color w:val="auto"/>
                <w:kern w:val="0"/>
                <w:sz w:val="24"/>
                <w:highlight w:val="none"/>
                <w:lang w:val="en-US" w:eastAsia="zh-CN"/>
              </w:rPr>
              <w:t>或</w:t>
            </w:r>
            <w:r>
              <w:rPr>
                <w:rFonts w:hint="eastAsia" w:ascii="宋体" w:hAnsi="宋体" w:cs="Times New Roman"/>
                <w:b w:val="0"/>
                <w:bCs/>
                <w:snapToGrid w:val="0"/>
                <w:color w:val="auto"/>
                <w:kern w:val="0"/>
                <w:sz w:val="24"/>
                <w:highlight w:val="none"/>
                <w:lang w:val="en-US" w:eastAsia="zh-CN"/>
              </w:rPr>
              <w:t>采购代理机构</w:t>
            </w:r>
            <w:r>
              <w:rPr>
                <w:rFonts w:hint="eastAsia" w:ascii="宋体" w:hAnsi="宋体" w:eastAsia="宋体" w:cs="Times New Roman"/>
                <w:b w:val="0"/>
                <w:bCs/>
                <w:snapToGrid w:val="0"/>
                <w:color w:val="auto"/>
                <w:kern w:val="0"/>
                <w:sz w:val="24"/>
                <w:highlight w:val="none"/>
                <w:lang w:val="en-US" w:eastAsia="zh-CN"/>
              </w:rPr>
              <w:t>不再受理</w:t>
            </w:r>
          </w:p>
          <w:p w14:paraId="650EC605">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递交方式： 现场递交纸质版质疑函（加盖公章）及Word格式电子版质疑文件至接受单位，如法定代表人前来递交需携带法定代表人身份证原件，如被委托人前来递交需携带法定代表人授权委托书及被委托人身份证原件。</w:t>
            </w:r>
          </w:p>
          <w:p w14:paraId="592AA5BC">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接收部门：新疆盛世乾元工程项目管理咨询有限公司</w:t>
            </w:r>
          </w:p>
          <w:p w14:paraId="6F3C587E">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联系电话：</w:t>
            </w:r>
            <w:r>
              <w:rPr>
                <w:rFonts w:hint="eastAsia" w:ascii="宋体" w:hAnsi="宋体" w:cs="Times New Roman"/>
                <w:b w:val="0"/>
                <w:bCs/>
                <w:snapToGrid w:val="0"/>
                <w:color w:val="auto"/>
                <w:kern w:val="0"/>
                <w:sz w:val="24"/>
                <w:highlight w:val="none"/>
                <w:lang w:val="en-US" w:eastAsia="zh-CN"/>
              </w:rPr>
              <w:t>13201200217</w:t>
            </w:r>
            <w:r>
              <w:rPr>
                <w:rFonts w:hint="eastAsia" w:ascii="宋体" w:hAnsi="宋体" w:eastAsia="宋体" w:cs="Times New Roman"/>
                <w:b w:val="0"/>
                <w:bCs/>
                <w:snapToGrid w:val="0"/>
                <w:color w:val="auto"/>
                <w:kern w:val="0"/>
                <w:sz w:val="24"/>
                <w:highlight w:val="none"/>
                <w:lang w:val="en-US" w:eastAsia="zh-CN"/>
              </w:rPr>
              <w:t xml:space="preserve">  </w:t>
            </w:r>
          </w:p>
          <w:p w14:paraId="79B6D73F">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 xml:space="preserve">通讯地址：新疆乌鲁木齐市水磨沟区南湖北路1956号亚欧财富广场A座1603室 </w:t>
            </w:r>
          </w:p>
          <w:p w14:paraId="26B2B650">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b w:val="0"/>
                <w:bCs/>
                <w:snapToGrid w:val="0"/>
                <w:color w:val="auto"/>
                <w:kern w:val="0"/>
                <w:sz w:val="24"/>
                <w:highlight w:val="none"/>
                <w:lang w:val="en-US" w:eastAsia="zh-CN"/>
              </w:rPr>
              <w:t>注：</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提出书面质疑必须有理、有据，不得捏造事实、提供虚假材料进行恶意质疑。否则，一经查实，代理机构有权依据政府采购的有关规定，报请政府采购监管部门对该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进行相应的行政处罚和记录该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的失信信息。</w:t>
            </w:r>
          </w:p>
        </w:tc>
      </w:tr>
      <w:tr w14:paraId="2F79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694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58201A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r>
              <w:rPr>
                <w:rFonts w:hint="eastAsia" w:ascii="宋体" w:hAnsi="宋体" w:cs="宋体"/>
                <w:color w:val="auto"/>
                <w:sz w:val="24"/>
                <w:highlight w:val="none"/>
              </w:rPr>
              <w:t>投标截止时间后</w:t>
            </w:r>
            <w:r>
              <w:rPr>
                <w:rFonts w:hint="eastAsia" w:ascii="宋体" w:hAnsi="宋体" w:cs="宋体"/>
                <w:color w:val="auto"/>
                <w:sz w:val="24"/>
                <w:highlight w:val="none"/>
                <w:lang w:val="en-US" w:eastAsia="zh-CN"/>
              </w:rPr>
              <w:t>90日历日</w:t>
            </w:r>
          </w:p>
        </w:tc>
      </w:tr>
      <w:tr w14:paraId="6B8D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84EF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06F2E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w:t>
            </w:r>
            <w:r>
              <w:rPr>
                <w:rFonts w:hint="eastAsia" w:asciiTheme="minorEastAsia" w:hAnsiTheme="minorEastAsia" w:eastAsiaTheme="minorEastAsia" w:cstheme="minorEastAsia"/>
                <w:b w:val="0"/>
                <w:bCs w:val="0"/>
                <w:i w:val="0"/>
                <w:iCs w:val="0"/>
                <w:color w:val="auto"/>
                <w:sz w:val="24"/>
                <w:szCs w:val="24"/>
                <w:highlight w:val="none"/>
              </w:rPr>
              <w:t>截止时间</w:t>
            </w:r>
            <w:r>
              <w:rPr>
                <w:rFonts w:hint="eastAsia" w:asciiTheme="minorEastAsia" w:hAnsiTheme="minorEastAsia" w:eastAsiaTheme="minorEastAsia" w:cstheme="minorEastAsia"/>
                <w:b w:val="0"/>
                <w:bCs w:val="0"/>
                <w:i w:val="0"/>
                <w:iCs w:val="0"/>
                <w:color w:val="auto"/>
                <w:sz w:val="24"/>
                <w:szCs w:val="24"/>
                <w:highlight w:val="none"/>
                <w:lang w:eastAsia="zh-CN"/>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2025年07月22日11时00分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24344FB8">
            <w:pPr>
              <w:pStyle w:val="35"/>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投标文件递交至：</w:t>
            </w:r>
            <w:r>
              <w:rPr>
                <w:rFonts w:hint="eastAsia" w:asciiTheme="minorEastAsia" w:hAnsiTheme="minorEastAsia" w:eastAsiaTheme="minorEastAsia" w:cstheme="minorEastAsia"/>
                <w:b/>
                <w:bCs/>
                <w:i w:val="0"/>
                <w:iCs w:val="0"/>
                <w:color w:val="auto"/>
                <w:sz w:val="24"/>
                <w:szCs w:val="24"/>
                <w:highlight w:val="none"/>
                <w:u w:val="single"/>
                <w:lang w:eastAsia="zh-CN"/>
              </w:rPr>
              <w:t>新疆政府采购网-政采云平台（https://www.zcygov.cn）</w:t>
            </w:r>
          </w:p>
        </w:tc>
      </w:tr>
      <w:tr w14:paraId="617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2E09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74D22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开标时间</w:t>
            </w: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2025年07月22日11时00分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55AB56BA">
            <w:pPr>
              <w:pStyle w:val="35"/>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开标地点：</w:t>
            </w:r>
            <w:r>
              <w:rPr>
                <w:rFonts w:hint="eastAsia" w:asciiTheme="minorEastAsia" w:hAnsiTheme="minorEastAsia" w:eastAsiaTheme="minorEastAsia" w:cstheme="minorEastAsia"/>
                <w:b/>
                <w:bCs/>
                <w:i w:val="0"/>
                <w:iCs w:val="0"/>
                <w:color w:val="auto"/>
                <w:sz w:val="24"/>
                <w:szCs w:val="24"/>
                <w:highlight w:val="none"/>
                <w:u w:val="single"/>
                <w:lang w:eastAsia="zh-CN"/>
              </w:rPr>
              <w:t>供应商登录政采云平台https://www.zcygov.cn/，进入“项目采购-开标评标-右边选择对应项目点击“进入项目”进入开标大厅</w:t>
            </w:r>
          </w:p>
        </w:tc>
      </w:tr>
      <w:tr w14:paraId="0357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793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07BF2B8D">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投标文件份数：</w:t>
            </w:r>
          </w:p>
          <w:p w14:paraId="78C936AC">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1．本项目为电子招投标项目供应商的法人代表人或其委托代理人无需到开标现场递交投标文件。</w:t>
            </w:r>
          </w:p>
          <w:p w14:paraId="69EEDA5F">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68CFC7EA">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w:t>
            </w:r>
          </w:p>
          <w:p w14:paraId="1BE69FD1">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4.不见面开标默认解密时长：30分钟（由于供应商自身原因导致无法按时解密，后果由供应商自行承担）。</w:t>
            </w:r>
          </w:p>
          <w:p w14:paraId="06EB625A">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highlight w:val="none"/>
                <w:lang w:val="en-US" w:eastAsia="zh-CN"/>
              </w:rPr>
              <w:t>5.中标单位在领取中标通知书时须递交纸质投标文件四份（正本一份，副本三份）、格式为Word及PDF的电子投标文件一份并命名单位名称及标项号（U盘存储）。</w:t>
            </w:r>
          </w:p>
        </w:tc>
      </w:tr>
      <w:tr w14:paraId="1F0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547E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19731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资格审查</w:t>
            </w:r>
            <w:r>
              <w:rPr>
                <w:rFonts w:hint="eastAsia" w:ascii="宋体" w:hAnsi="宋体" w:cs="宋体"/>
                <w:b/>
                <w:bCs/>
                <w:color w:val="auto"/>
                <w:sz w:val="24"/>
                <w:highlight w:val="none"/>
                <w:shd w:val="clear" w:color="auto" w:fill="auto"/>
                <w:lang w:eastAsia="zh-CN"/>
              </w:rPr>
              <w:t>：</w:t>
            </w:r>
          </w:p>
          <w:p w14:paraId="3D4CEF5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采购人代表</w:t>
            </w:r>
            <w:r>
              <w:rPr>
                <w:rFonts w:hint="eastAsia" w:ascii="宋体" w:hAnsi="宋体" w:eastAsia="宋体" w:cs="宋体"/>
                <w:b/>
                <w:bCs/>
                <w:color w:val="auto"/>
                <w:sz w:val="24"/>
                <w:szCs w:val="24"/>
                <w:highlight w:val="none"/>
                <w:lang w:val="en-US" w:eastAsia="zh-CN"/>
              </w:rPr>
              <w:t>或</w:t>
            </w:r>
            <w:r>
              <w:rPr>
                <w:rFonts w:hint="eastAsia" w:ascii="宋体" w:hAnsi="宋体" w:cs="宋体"/>
                <w:b/>
                <w:bCs/>
                <w:color w:val="auto"/>
                <w:sz w:val="24"/>
                <w:szCs w:val="24"/>
                <w:highlight w:val="none"/>
                <w:lang w:val="en-US" w:eastAsia="zh-CN"/>
              </w:rPr>
              <w:t>采购代理机构</w:t>
            </w:r>
            <w:r>
              <w:rPr>
                <w:rFonts w:hint="eastAsia" w:ascii="宋体" w:hAnsi="宋体" w:eastAsia="宋体" w:cs="宋体"/>
                <w:b/>
                <w:bCs/>
                <w:color w:val="auto"/>
                <w:sz w:val="24"/>
                <w:szCs w:val="24"/>
                <w:highlight w:val="none"/>
                <w:lang w:val="en-US" w:eastAsia="zh-CN"/>
              </w:rPr>
              <w:t>依据法律法规和</w:t>
            </w:r>
            <w:r>
              <w:rPr>
                <w:rFonts w:hint="eastAsia" w:ascii="宋体" w:hAnsi="宋体" w:cs="宋体"/>
                <w:b/>
                <w:bCs/>
                <w:color w:val="auto"/>
                <w:sz w:val="24"/>
                <w:szCs w:val="24"/>
                <w:highlight w:val="none"/>
                <w:lang w:val="en-US" w:eastAsia="zh-CN"/>
              </w:rPr>
              <w:t>采购文件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的资格进行审查，</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应按照第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章</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须知</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二、对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的资质要求的第8条、投标资</w:t>
            </w:r>
            <w:r>
              <w:rPr>
                <w:rFonts w:hint="eastAsia" w:asciiTheme="minorEastAsia" w:hAnsiTheme="minorEastAsia" w:eastAsiaTheme="minorEastAsia" w:cstheme="minorEastAsia"/>
                <w:b/>
                <w:color w:val="auto"/>
                <w:sz w:val="24"/>
                <w:szCs w:val="24"/>
                <w:highlight w:val="none"/>
              </w:rPr>
              <w:t>质</w:t>
            </w:r>
            <w:r>
              <w:rPr>
                <w:rFonts w:hint="eastAsia" w:ascii="宋体" w:hAnsi="宋体" w:eastAsia="宋体" w:cs="宋体"/>
                <w:b/>
                <w:bCs/>
                <w:color w:val="auto"/>
                <w:sz w:val="24"/>
                <w:szCs w:val="24"/>
                <w:highlight w:val="none"/>
                <w:lang w:val="en-US" w:eastAsia="zh-CN"/>
              </w:rPr>
              <w:t>要求提交资格证明材料。未通过资格审查的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不足3家的，不得评标。</w:t>
            </w:r>
          </w:p>
          <w:p w14:paraId="3F8E5D5A">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4"/>
                <w:szCs w:val="24"/>
                <w:highlight w:val="none"/>
                <w:lang w:val="en-US" w:eastAsia="zh-CN"/>
              </w:rPr>
              <w:t>备注：以上资质证件为投标时资格审查的必备条件，</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必须按要求</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，如果提供不全</w:t>
            </w:r>
            <w:r>
              <w:rPr>
                <w:rFonts w:hint="eastAsia" w:ascii="宋体" w:hAnsi="宋体" w:cs="宋体"/>
                <w:b/>
                <w:bCs/>
                <w:color w:val="auto"/>
                <w:sz w:val="24"/>
                <w:szCs w:val="24"/>
                <w:highlight w:val="none"/>
                <w:lang w:val="en-US" w:eastAsia="zh-CN"/>
              </w:rPr>
              <w:t>或未提供</w:t>
            </w:r>
            <w:r>
              <w:rPr>
                <w:rFonts w:hint="eastAsia" w:ascii="宋体" w:hAnsi="宋体" w:eastAsia="宋体" w:cs="宋体"/>
                <w:b/>
                <w:bCs/>
                <w:color w:val="auto"/>
                <w:sz w:val="24"/>
                <w:szCs w:val="24"/>
                <w:highlight w:val="none"/>
                <w:lang w:val="en-US" w:eastAsia="zh-CN"/>
              </w:rPr>
              <w:t>，则视为对</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66E9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2381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73CF4AAF">
            <w:pPr>
              <w:keepNext w:val="0"/>
              <w:keepLines w:val="0"/>
              <w:pageBreakBefore w:val="0"/>
              <w:widowControl w:val="0"/>
              <w:kinsoku/>
              <w:wordWrap/>
              <w:overflowPunct/>
              <w:topLinePunct w:val="0"/>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报价说明：</w:t>
            </w:r>
          </w:p>
          <w:p w14:paraId="01F81590">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应根据项目的实际需要整体报价，报价包含一切由供方承担的费用，应为人民币完税价。</w:t>
            </w:r>
          </w:p>
          <w:p w14:paraId="2B27BAF4">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综合单价必须包括但不限于</w:t>
            </w:r>
            <w:r>
              <w:rPr>
                <w:rFonts w:hint="eastAsia" w:asciiTheme="minorEastAsia" w:hAnsiTheme="minorEastAsia" w:eastAsiaTheme="minorEastAsia" w:cstheme="minorEastAsia"/>
                <w:b w:val="0"/>
                <w:bCs w:val="0"/>
                <w:color w:val="auto"/>
                <w:sz w:val="24"/>
                <w:szCs w:val="24"/>
                <w:highlight w:val="none"/>
                <w:lang w:val="en-US" w:eastAsia="zh-CN"/>
              </w:rPr>
              <w:t>：</w:t>
            </w:r>
          </w:p>
          <w:p w14:paraId="6BACEEFD">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val="0"/>
                <w:bCs w:val="0"/>
                <w:color w:val="auto"/>
                <w:sz w:val="24"/>
                <w:szCs w:val="24"/>
                <w:highlight w:val="none"/>
                <w:lang w:val="en-US" w:eastAsia="zh-CN"/>
              </w:rPr>
              <w:t>1）设备费；2）设备运输费；3）设备安装调试费；4）与前端设备对接的费用（包括软件的对接）；5）设备安装后，房屋修缮的费用；6）质保5年的费用；7）连接his系统的接口费；8）本设备及机房的放射性职业病危害预评价、控制效果评价。9）完成本项目环境影响登记备案、核技术利用辐射安全许可申报。</w:t>
            </w:r>
          </w:p>
        </w:tc>
      </w:tr>
      <w:tr w14:paraId="618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DD9F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0C566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本项目采购预算：</w:t>
            </w:r>
          </w:p>
          <w:p w14:paraId="43E6D09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预算金额：3000000.00元</w:t>
            </w:r>
          </w:p>
          <w:p w14:paraId="46D29F74">
            <w:pPr>
              <w:pStyle w:val="37"/>
              <w:ind w:left="0" w:leftChars="0" w:firstLine="0" w:firstLineChars="0"/>
              <w:rPr>
                <w:rFonts w:hint="default"/>
                <w:color w:val="auto"/>
                <w:highlight w:val="none"/>
                <w:lang w:val="en-US" w:eastAsia="zh-CN"/>
              </w:rPr>
            </w:pPr>
            <w:r>
              <w:rPr>
                <w:rFonts w:hint="eastAsia" w:ascii="宋体" w:hAnsi="宋体" w:cs="宋体"/>
                <w:b/>
                <w:bCs/>
                <w:color w:val="auto"/>
                <w:sz w:val="24"/>
                <w:szCs w:val="24"/>
                <w:highlight w:val="none"/>
                <w:lang w:val="en-US" w:eastAsia="zh-CN"/>
              </w:rPr>
              <w:t>注：报价均不得超过采购预算，否则做无效标处理。</w:t>
            </w:r>
          </w:p>
        </w:tc>
      </w:tr>
      <w:tr w14:paraId="46C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4D42A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7E8A2B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评评标委员会</w:t>
            </w:r>
            <w:r>
              <w:rPr>
                <w:rFonts w:hint="eastAsia" w:ascii="宋体" w:hAnsi="宋体" w:cs="宋体"/>
                <w:b/>
                <w:bCs/>
                <w:color w:val="auto"/>
                <w:sz w:val="24"/>
                <w:szCs w:val="24"/>
                <w:highlight w:val="none"/>
                <w:lang w:val="en-US" w:eastAsia="zh-CN"/>
              </w:rPr>
              <w:t>：</w:t>
            </w:r>
          </w:p>
          <w:p w14:paraId="00619B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人，其中</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代表</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lang w:val="en-US" w:eastAsia="zh-CN"/>
              </w:rPr>
              <w:t>人</w:t>
            </w:r>
          </w:p>
          <w:p w14:paraId="1492C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（2）方式：</w:t>
            </w:r>
            <w:r>
              <w:rPr>
                <w:rFonts w:hint="eastAsia" w:ascii="宋体" w:hAnsi="宋体" w:cs="宋体"/>
                <w:color w:val="auto"/>
                <w:sz w:val="24"/>
                <w:szCs w:val="24"/>
                <w:highlight w:val="none"/>
                <w:u w:val="single"/>
                <w:lang w:val="en-US" w:eastAsia="zh-CN"/>
              </w:rPr>
              <w:t>新疆政府采购网</w:t>
            </w:r>
            <w:r>
              <w:rPr>
                <w:rFonts w:hint="eastAsia" w:ascii="宋体" w:hAnsi="宋体" w:eastAsia="宋体" w:cs="宋体"/>
                <w:color w:val="auto"/>
                <w:sz w:val="24"/>
                <w:szCs w:val="24"/>
                <w:highlight w:val="none"/>
                <w:u w:val="single"/>
                <w:lang w:val="en-US" w:eastAsia="zh-CN"/>
              </w:rPr>
              <w:t>政采云</w:t>
            </w:r>
            <w:r>
              <w:rPr>
                <w:rFonts w:hint="eastAsia" w:ascii="宋体" w:hAnsi="宋体" w:eastAsia="宋体" w:cs="宋体"/>
                <w:color w:val="auto"/>
                <w:sz w:val="24"/>
                <w:szCs w:val="24"/>
                <w:highlight w:val="none"/>
                <w:lang w:val="en-US" w:eastAsia="zh-CN"/>
              </w:rPr>
              <w:t>评标专家库中随机抽取</w:t>
            </w:r>
          </w:p>
        </w:tc>
      </w:tr>
      <w:tr w14:paraId="136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45CB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6C8C23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w:t>
            </w:r>
            <w:r>
              <w:rPr>
                <w:rFonts w:hint="eastAsia" w:cs="宋体"/>
                <w:color w:val="auto"/>
                <w:sz w:val="24"/>
                <w:szCs w:val="24"/>
                <w:highlight w:val="none"/>
                <w:lang w:val="en-US" w:eastAsia="zh-CN"/>
              </w:rPr>
              <w:t>结果公示</w:t>
            </w:r>
            <w:r>
              <w:rPr>
                <w:rFonts w:hint="eastAsia" w:ascii="宋体" w:hAnsi="宋体" w:eastAsia="宋体" w:cs="宋体"/>
                <w:color w:val="auto"/>
                <w:sz w:val="24"/>
                <w:szCs w:val="24"/>
                <w:highlight w:val="none"/>
                <w:lang w:val="en-US" w:eastAsia="zh-CN"/>
              </w:rPr>
              <w:t>期限为1个工作日</w:t>
            </w:r>
            <w:r>
              <w:rPr>
                <w:rFonts w:hint="eastAsia" w:ascii="宋体" w:hAnsi="宋体" w:cs="宋体"/>
                <w:color w:val="auto"/>
                <w:sz w:val="24"/>
                <w:szCs w:val="24"/>
                <w:highlight w:val="none"/>
                <w:lang w:val="en-US" w:eastAsia="zh-CN"/>
              </w:rPr>
              <w:t>。</w:t>
            </w:r>
          </w:p>
        </w:tc>
      </w:tr>
      <w:tr w14:paraId="4FBF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F13E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2F853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签订合同：中标（成交）通知书发出之日起30日内。</w:t>
            </w:r>
          </w:p>
        </w:tc>
      </w:tr>
      <w:tr w14:paraId="7F17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8A3A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6C9A5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r>
              <w:rPr>
                <w:rFonts w:hint="eastAsia" w:ascii="宋体" w:hAnsi="宋体" w:cs="宋体"/>
                <w:b/>
                <w:bCs/>
                <w:color w:val="auto"/>
                <w:sz w:val="24"/>
                <w:szCs w:val="24"/>
                <w:highlight w:val="none"/>
                <w:lang w:val="en-US" w:eastAsia="zh-CN"/>
              </w:rPr>
              <w:t>：</w:t>
            </w:r>
          </w:p>
          <w:p w14:paraId="0FDA8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公开招标数额标准以上的采购项目，投标截止后</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家或者通过资格审查或符合性审查的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家的，除采购任务取消情形外，根据《政府采购货物和服务招标投标管理办法》（中华人民共和国财政部令第87号）第四十三条规定，按照以下方式处理：</w:t>
            </w:r>
          </w:p>
          <w:p w14:paraId="7851B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改正后依法重新招标；</w:t>
            </w:r>
          </w:p>
          <w:p w14:paraId="2D4505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没有不合理条款、招标程序符合规定，需要采用其他</w:t>
            </w:r>
            <w:r>
              <w:rPr>
                <w:rFonts w:hint="eastAsia" w:ascii="宋体" w:hAnsi="宋体" w:cs="宋体"/>
                <w:color w:val="auto"/>
                <w:sz w:val="24"/>
                <w:szCs w:val="24"/>
                <w:highlight w:val="none"/>
                <w:lang w:val="en-US" w:eastAsia="zh-CN"/>
              </w:rPr>
              <w:t>招标方式</w:t>
            </w:r>
            <w:r>
              <w:rPr>
                <w:rFonts w:hint="eastAsia" w:ascii="宋体" w:hAnsi="宋体" w:eastAsia="宋体" w:cs="宋体"/>
                <w:color w:val="auto"/>
                <w:sz w:val="24"/>
                <w:szCs w:val="24"/>
                <w:highlight w:val="none"/>
                <w:lang w:val="en-US" w:eastAsia="zh-CN"/>
              </w:rPr>
              <w:t>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1DE6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6FE7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75C0E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7C57D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认为</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收到投标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书面质疑后在规定的时间内，对质疑内容作出答复，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未在规定时间内作出答复的，可以在答复期满后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5个工作日内向有关监管部门进行投诉。投诉人对政府采购监督管理部门的投诉处理决定不服或者政府采购监督管理部门逾期未作处理的，可以依法申请行政复议或者向人民法院提起行政诉讼</w:t>
            </w:r>
          </w:p>
          <w:p w14:paraId="1598F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36D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F955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15CB7D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本项目招标代理服务费、</w:t>
            </w:r>
            <w:r>
              <w:rPr>
                <w:rFonts w:hint="eastAsia" w:asciiTheme="minorEastAsia" w:hAnsiTheme="minorEastAsia" w:eastAsiaTheme="minorEastAsia" w:cstheme="minorEastAsia"/>
                <w:b/>
                <w:bCs/>
                <w:color w:val="auto"/>
                <w:sz w:val="24"/>
                <w:szCs w:val="24"/>
                <w:highlight w:val="none"/>
                <w:lang w:val="en-US" w:eastAsia="zh-CN"/>
              </w:rPr>
              <w:t>公证费</w:t>
            </w:r>
            <w:r>
              <w:rPr>
                <w:rFonts w:hint="eastAsia" w:asciiTheme="minorEastAsia" w:hAnsiTheme="minorEastAsia" w:eastAsiaTheme="minorEastAsia" w:cstheme="minorEastAsia"/>
                <w:b/>
                <w:bCs/>
                <w:color w:val="auto"/>
                <w:sz w:val="24"/>
                <w:szCs w:val="24"/>
                <w:highlight w:val="none"/>
                <w:lang w:eastAsia="zh-CN"/>
              </w:rPr>
              <w:t>由中标人支付</w:t>
            </w:r>
            <w:r>
              <w:rPr>
                <w:rFonts w:hint="eastAsia" w:asciiTheme="minorEastAsia" w:hAnsiTheme="minorEastAsia" w:eastAsiaTheme="minorEastAsia" w:cstheme="minorEastAsia"/>
                <w:b/>
                <w:bCs/>
                <w:color w:val="auto"/>
                <w:sz w:val="24"/>
                <w:szCs w:val="24"/>
                <w:highlight w:val="none"/>
                <w:lang w:val="en-US" w:eastAsia="zh-CN"/>
              </w:rPr>
              <w:t>。</w:t>
            </w:r>
          </w:p>
        </w:tc>
      </w:tr>
      <w:tr w14:paraId="3EAC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DF4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14918E06">
            <w:pPr>
              <w:pStyle w:val="9"/>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（1）根据《政府采购促进中小企业发展管理办法》（财库【2020】46号文）规定执行；</w:t>
            </w:r>
          </w:p>
          <w:p w14:paraId="78340424">
            <w:pPr>
              <w:pStyle w:val="9"/>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（2）根据工信部等部委发布的《关于印发中小企业划型标准规定的通知》（工信部联企业[2011]300号）规定执行；</w:t>
            </w:r>
          </w:p>
          <w:p w14:paraId="1FA95CA1">
            <w:pPr>
              <w:rPr>
                <w:rFonts w:hint="eastAsia"/>
                <w:lang w:val="en-US" w:eastAsia="zh-CN"/>
              </w:rPr>
            </w:pPr>
          </w:p>
          <w:p w14:paraId="0389C33A">
            <w:pPr>
              <w:pStyle w:val="9"/>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本项目采购标的对应的中小企业划分标准所属行业为</w:t>
            </w:r>
            <w:r>
              <w:rPr>
                <w:rFonts w:hint="eastAsia"/>
                <w:b/>
                <w:bCs/>
                <w:sz w:val="24"/>
                <w:szCs w:val="24"/>
                <w:u w:val="single"/>
                <w:lang w:val="en-US" w:eastAsia="zh-CN"/>
              </w:rPr>
              <w:t>（二）工业</w:t>
            </w:r>
            <w:r>
              <w:rPr>
                <w:rFonts w:hint="eastAsia"/>
                <w:sz w:val="24"/>
                <w:szCs w:val="24"/>
                <w:u w:val="none"/>
                <w:lang w:val="en-US" w:eastAsia="zh-CN"/>
              </w:rPr>
              <w:t>（附件1中小企业划型标准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95BC3D">
            <w:pPr>
              <w:pStyle w:val="9"/>
              <w:spacing w:line="360" w:lineRule="auto"/>
              <w:ind w:left="0" w:leftChars="0" w:firstLine="0" w:firstLineChars="0"/>
              <w:rPr>
                <w:rFonts w:hint="eastAsia"/>
                <w:b/>
                <w:bCs/>
                <w:sz w:val="24"/>
                <w:szCs w:val="24"/>
                <w:u w:val="none"/>
                <w:lang w:val="en-US" w:eastAsia="zh-CN"/>
              </w:rPr>
            </w:pPr>
            <w:r>
              <w:rPr>
                <w:rFonts w:hint="eastAsia"/>
                <w:b/>
                <w:bCs/>
                <w:sz w:val="24"/>
                <w:szCs w:val="24"/>
                <w:u w:val="none"/>
                <w:lang w:val="en-US" w:eastAsia="zh-CN"/>
              </w:rPr>
              <w:t xml:space="preserve">是否专门面向中小企业采购：否（本项目预算金额中预留30%面向中小企业（其中60%面向小微企业）采购项目，该部分预留份额采取分包意向协议形式向中小企业进行分包，且分包意向协议合同金额需达到规定的比例。） </w:t>
            </w:r>
          </w:p>
          <w:p w14:paraId="0D0B4CD1">
            <w:pPr>
              <w:pStyle w:val="9"/>
              <w:spacing w:line="360" w:lineRule="auto"/>
              <w:ind w:left="0" w:leftChars="0" w:firstLine="0" w:firstLineChars="0"/>
              <w:rPr>
                <w:rFonts w:hint="eastAsia"/>
                <w:b/>
                <w:bCs/>
                <w:sz w:val="24"/>
                <w:szCs w:val="24"/>
                <w:u w:val="none"/>
                <w:lang w:val="en-US" w:eastAsia="zh-CN"/>
              </w:rPr>
            </w:pPr>
            <w:r>
              <w:rPr>
                <w:rFonts w:hint="eastAsia"/>
                <w:b/>
                <w:bCs/>
                <w:sz w:val="24"/>
                <w:szCs w:val="24"/>
                <w:u w:val="none"/>
                <w:lang w:val="en-US" w:eastAsia="zh-CN"/>
              </w:rPr>
              <w:t>是否为本项目面向中小企业采购预留份额：是</w:t>
            </w:r>
          </w:p>
          <w:p w14:paraId="2645332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cs="宋体"/>
                <w:b/>
                <w:bCs/>
                <w:color w:val="auto"/>
                <w:sz w:val="24"/>
                <w:szCs w:val="24"/>
                <w:highlight w:val="none"/>
                <w:lang w:val="en-US" w:eastAsia="zh-CN"/>
              </w:rPr>
              <w:t>预留金额及比例：中</w:t>
            </w:r>
            <w:r>
              <w:rPr>
                <w:rFonts w:hint="eastAsia" w:eastAsia="宋体" w:cs="宋体"/>
                <w:b/>
                <w:bCs/>
                <w:color w:val="auto"/>
                <w:sz w:val="24"/>
                <w:szCs w:val="24"/>
                <w:highlight w:val="none"/>
                <w:lang w:val="en-US" w:eastAsia="zh-CN"/>
              </w:rPr>
              <w:t>小</w:t>
            </w:r>
            <w:r>
              <w:rPr>
                <w:rFonts w:hint="eastAsia" w:cs="宋体"/>
                <w:b/>
                <w:bCs/>
                <w:color w:val="auto"/>
                <w:sz w:val="24"/>
                <w:szCs w:val="24"/>
                <w:highlight w:val="none"/>
                <w:lang w:val="en-US" w:eastAsia="zh-CN"/>
              </w:rPr>
              <w:t>微</w:t>
            </w:r>
            <w:r>
              <w:rPr>
                <w:rFonts w:hint="eastAsia" w:eastAsia="宋体" w:cs="宋体"/>
                <w:b/>
                <w:bCs/>
                <w:color w:val="auto"/>
                <w:sz w:val="24"/>
                <w:szCs w:val="24"/>
                <w:highlight w:val="none"/>
                <w:lang w:val="en-US" w:eastAsia="zh-CN"/>
              </w:rPr>
              <w:t>企业预留</w:t>
            </w:r>
            <w:r>
              <w:rPr>
                <w:rFonts w:hint="eastAsia" w:cs="宋体"/>
                <w:b/>
                <w:bCs/>
                <w:color w:val="auto"/>
                <w:sz w:val="24"/>
                <w:szCs w:val="24"/>
                <w:highlight w:val="none"/>
                <w:lang w:val="en-US" w:eastAsia="zh-CN"/>
              </w:rPr>
              <w:t>900000.00</w:t>
            </w:r>
            <w:r>
              <w:rPr>
                <w:rFonts w:hint="eastAsia" w:eastAsia="宋体" w:cs="宋体"/>
                <w:b/>
                <w:bCs/>
                <w:color w:val="auto"/>
                <w:sz w:val="24"/>
                <w:szCs w:val="24"/>
                <w:highlight w:val="none"/>
                <w:lang w:val="en-US" w:eastAsia="zh-CN"/>
              </w:rPr>
              <w:t>.00元，</w:t>
            </w:r>
            <w:r>
              <w:rPr>
                <w:rFonts w:hint="eastAsia" w:cs="宋体"/>
                <w:b/>
                <w:bCs/>
                <w:color w:val="auto"/>
                <w:sz w:val="24"/>
                <w:szCs w:val="24"/>
                <w:highlight w:val="none"/>
                <w:lang w:val="en-US" w:eastAsia="zh-CN"/>
              </w:rPr>
              <w:t>合同总金额</w:t>
            </w:r>
            <w:r>
              <w:rPr>
                <w:rFonts w:hint="eastAsia" w:eastAsia="宋体" w:cs="宋体"/>
                <w:b/>
                <w:bCs/>
                <w:color w:val="auto"/>
                <w:sz w:val="24"/>
                <w:szCs w:val="24"/>
                <w:highlight w:val="none"/>
                <w:lang w:val="en-US" w:eastAsia="zh-CN"/>
              </w:rPr>
              <w:t>占比</w:t>
            </w:r>
            <w:r>
              <w:rPr>
                <w:rFonts w:hint="eastAsia" w:cs="宋体"/>
                <w:b/>
                <w:bCs/>
                <w:color w:val="auto"/>
                <w:sz w:val="24"/>
                <w:szCs w:val="24"/>
                <w:highlight w:val="none"/>
                <w:lang w:val="en-US" w:eastAsia="zh-CN"/>
              </w:rPr>
              <w:t>3</w:t>
            </w:r>
            <w:r>
              <w:rPr>
                <w:rFonts w:hint="eastAsia" w:eastAsia="宋体" w:cs="宋体"/>
                <w:b/>
                <w:bCs/>
                <w:color w:val="auto"/>
                <w:sz w:val="24"/>
                <w:szCs w:val="24"/>
                <w:highlight w:val="none"/>
                <w:lang w:val="en-US" w:eastAsia="zh-CN"/>
              </w:rPr>
              <w:t>0.00%；</w:t>
            </w:r>
            <w:r>
              <w:rPr>
                <w:rFonts w:hint="eastAsia" w:cs="宋体"/>
                <w:b/>
                <w:bCs/>
                <w:color w:val="auto"/>
                <w:sz w:val="24"/>
                <w:szCs w:val="24"/>
                <w:highlight w:val="none"/>
                <w:lang w:val="en-US" w:eastAsia="zh-CN"/>
              </w:rPr>
              <w:t>其中小微企业预留540000.00元，合同总金额占比18%；</w:t>
            </w:r>
          </w:p>
        </w:tc>
      </w:tr>
      <w:tr w14:paraId="5467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A54E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10A44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kern w:val="1"/>
                <w:sz w:val="24"/>
                <w:highlight w:val="none"/>
              </w:rPr>
              <w:t>如本《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须知前附表》相关内容与</w:t>
            </w:r>
            <w:r>
              <w:rPr>
                <w:rFonts w:hint="eastAsia" w:ascii="宋体" w:hAnsi="宋体" w:cs="宋体"/>
                <w:color w:val="auto"/>
                <w:kern w:val="1"/>
                <w:sz w:val="24"/>
                <w:highlight w:val="none"/>
                <w:lang w:val="en-US" w:eastAsia="zh-CN"/>
              </w:rPr>
              <w:t>采购文件</w:t>
            </w:r>
            <w:r>
              <w:rPr>
                <w:rFonts w:hint="eastAsia" w:ascii="宋体" w:hAnsi="宋体" w:cs="宋体"/>
                <w:color w:val="auto"/>
                <w:kern w:val="1"/>
                <w:sz w:val="24"/>
                <w:highlight w:val="none"/>
              </w:rPr>
              <w:t>中的相关内容如有不一致处，则以本《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须知前附表》相关内容为准。</w:t>
            </w:r>
          </w:p>
        </w:tc>
      </w:tr>
      <w:tr w14:paraId="75D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E4A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6748C0F8">
            <w:pPr>
              <w:spacing w:before="68" w:line="227" w:lineRule="auto"/>
              <w:ind w:left="103"/>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重要说明</w:t>
            </w:r>
            <w:r>
              <w:rPr>
                <w:rFonts w:hint="eastAsia" w:ascii="宋体" w:hAnsi="宋体" w:eastAsia="宋体" w:cs="宋体"/>
                <w:color w:val="auto"/>
                <w:spacing w:val="11"/>
                <w:sz w:val="24"/>
                <w:szCs w:val="24"/>
                <w:highlight w:val="none"/>
                <w:lang w:eastAsia="zh-CN"/>
              </w:rPr>
              <w:t>：</w:t>
            </w:r>
          </w:p>
          <w:p w14:paraId="1CB1BE18">
            <w:pPr>
              <w:spacing w:before="68"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需要使用CA加密设备，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自行进行申领。</w:t>
            </w:r>
          </w:p>
          <w:p w14:paraId="3E6EA484">
            <w:pPr>
              <w:numPr>
                <w:ilvl w:val="0"/>
                <w:numId w:val="0"/>
              </w:numPr>
              <w:spacing w:before="40" w:line="268" w:lineRule="auto"/>
              <w:ind w:right="97" w:rightChars="0"/>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)。若</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p>
          <w:p w14:paraId="311DE137">
            <w:pPr>
              <w:numPr>
                <w:ilvl w:val="0"/>
                <w:numId w:val="0"/>
              </w:numPr>
              <w:spacing w:before="40" w:line="268" w:lineRule="auto"/>
              <w:ind w:right="97"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在开标前应确保成为新疆维吾尔自治区政府采购网正式注册入库</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2"/>
                <w:sz w:val="24"/>
                <w:szCs w:val="24"/>
                <w:highlight w:val="none"/>
              </w:rPr>
              <w:t>，并完成</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数字证书申领。因未注册入库、未办理</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数字证书等原因造成</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w:t>
            </w:r>
            <w:r>
              <w:rPr>
                <w:rFonts w:hint="eastAsia" w:ascii="宋体" w:hAnsi="宋体" w:cs="宋体"/>
                <w:color w:val="auto"/>
                <w:spacing w:val="10"/>
                <w:sz w:val="24"/>
                <w:szCs w:val="24"/>
                <w:highlight w:val="none"/>
                <w:lang w:eastAsia="zh-CN"/>
              </w:rPr>
              <w:t>供应商</w:t>
            </w:r>
            <w:r>
              <w:rPr>
                <w:rFonts w:hint="eastAsia" w:ascii="宋体" w:hAnsi="宋体" w:eastAsia="宋体" w:cs="宋体"/>
                <w:color w:val="auto"/>
                <w:spacing w:val="10"/>
                <w:sz w:val="24"/>
                <w:szCs w:val="24"/>
                <w:highlight w:val="none"/>
              </w:rPr>
              <w:t>自行承担。</w:t>
            </w:r>
          </w:p>
          <w:p w14:paraId="168ACBB8">
            <w:pPr>
              <w:numPr>
                <w:ilvl w:val="0"/>
                <w:numId w:val="0"/>
              </w:numPr>
              <w:spacing w:before="40" w:line="268" w:lineRule="auto"/>
              <w:ind w:right="97" w:rightChars="0"/>
              <w:rPr>
                <w:rFonts w:hint="eastAsia" w:ascii="宋体" w:hAnsi="宋体" w:eastAsia="宋体" w:cs="宋体"/>
                <w:color w:val="auto"/>
                <w:spacing w:val="9"/>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将政采云电子交易客户端下载、安装完成后，可通过账号密码或</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登</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p>
          <w:p w14:paraId="2B702507">
            <w:pPr>
              <w:numPr>
                <w:ilvl w:val="0"/>
                <w:numId w:val="0"/>
              </w:numPr>
              <w:spacing w:before="40" w:line="268" w:lineRule="auto"/>
              <w:ind w:right="97"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在开标时须使用制作加密电子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前配置好浏览器(建议使用谷歌浏览器)，以便开标时解锁。</w:t>
            </w:r>
          </w:p>
          <w:p w14:paraId="2D3CADF2">
            <w:pPr>
              <w:numPr>
                <w:ilvl w:val="0"/>
                <w:numId w:val="0"/>
              </w:numPr>
              <w:spacing w:before="40" w:line="268"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对不见面开评标系统的技术操作咨询，可通过</w:t>
            </w:r>
          </w:p>
          <w:p w14:paraId="6D29E85D">
            <w:pPr>
              <w:spacing w:line="268" w:lineRule="auto"/>
              <w:ind w:left="100" w:right="97" w:hanging="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”版面获取操作指南。</w:t>
            </w:r>
          </w:p>
          <w:p w14:paraId="656768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为了保证开评标</w:t>
            </w:r>
            <w:r>
              <w:rPr>
                <w:rFonts w:hint="eastAsia" w:ascii="宋体" w:hAnsi="宋体" w:eastAsia="宋体" w:cs="宋体"/>
                <w:color w:val="auto"/>
                <w:spacing w:val="4"/>
                <w:sz w:val="24"/>
                <w:szCs w:val="24"/>
                <w:highlight w:val="none"/>
              </w:rPr>
              <w:t>顺</w:t>
            </w:r>
            <w:r>
              <w:rPr>
                <w:rFonts w:hint="eastAsia" w:ascii="宋体" w:hAnsi="宋体" w:eastAsia="宋体" w:cs="宋体"/>
                <w:color w:val="auto"/>
                <w:spacing w:val="3"/>
                <w:sz w:val="24"/>
                <w:szCs w:val="24"/>
                <w:highlight w:val="none"/>
              </w:rPr>
              <w:t>利进行，政采云线上开标功能完全实现，</w:t>
            </w:r>
            <w:r>
              <w:rPr>
                <w:rFonts w:hint="eastAsia" w:ascii="宋体" w:hAnsi="宋体" w:cs="宋体"/>
                <w:color w:val="auto"/>
                <w:spacing w:val="3"/>
                <w:sz w:val="24"/>
                <w:szCs w:val="24"/>
                <w:highlight w:val="none"/>
                <w:lang w:eastAsia="zh-CN"/>
              </w:rPr>
              <w:t>供应商</w:t>
            </w:r>
            <w:r>
              <w:rPr>
                <w:rFonts w:hint="eastAsia" w:ascii="宋体" w:hAnsi="宋体" w:eastAsia="宋体" w:cs="宋体"/>
                <w:color w:val="auto"/>
                <w:spacing w:val="3"/>
                <w:sz w:val="24"/>
                <w:szCs w:val="24"/>
                <w:highlight w:val="none"/>
              </w:rPr>
              <w:t>开标所使用</w:t>
            </w:r>
            <w:r>
              <w:rPr>
                <w:rFonts w:hint="eastAsia" w:ascii="宋体" w:hAnsi="宋体" w:eastAsia="宋体" w:cs="宋体"/>
                <w:color w:val="auto"/>
                <w:spacing w:val="6"/>
                <w:sz w:val="24"/>
                <w:szCs w:val="24"/>
                <w:highlight w:val="none"/>
              </w:rPr>
              <w:t>的电脑设备须具有视频及语音功能。</w:t>
            </w:r>
          </w:p>
          <w:p w14:paraId="0BD0D66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2、电子招投标情况说明：</w:t>
            </w:r>
          </w:p>
          <w:p w14:paraId="3EC5E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(1)电子招投标：本项目以数据电文形式，依托“政府采购云平台(www.zcygov.cn)”进行招投标活动。</w:t>
            </w:r>
          </w:p>
          <w:p w14:paraId="124B6D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0A9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(3)采购文件的获取：使用账号登录或者短信验证码或者使用CA登录政采云平台；进入“项目采购”应用，在获取采购文件菜单中选择项目，获取采购文件。</w:t>
            </w:r>
          </w:p>
          <w:p w14:paraId="3D311B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2FB852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131490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(6)投标文件的解密：供应商按照平台提示和采购文件的规定在半小时内完成在线解密。</w:t>
            </w:r>
          </w:p>
          <w:p w14:paraId="49CAC6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(7)具体操作指南：详见政采云平台“服务中心-帮助文档-项目采购-操作流程-电子招投标-政府采购项目电子交易管理操作指南-供应商”。</w:t>
            </w:r>
          </w:p>
          <w:p w14:paraId="2703B6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(8)供应商在进行上述操作时，如遇技术问题可登录政采云</w:t>
            </w:r>
          </w:p>
          <w:p w14:paraId="14B7C4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(https://www.zcygov.cn/)，点击右侧咨询小采，获取采小蜜智能服务管家帮助，或拨打政采云服务热线“95763”获取热线服务帮助。</w:t>
            </w:r>
          </w:p>
          <w:p w14:paraId="08DE83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温馨提醒：供应商应提前上传，以便在上传时遇到技术问题，有充足的时间请教平台的技术人员；</w:t>
            </w:r>
          </w:p>
        </w:tc>
      </w:tr>
      <w:tr w14:paraId="5939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0F32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4BCDD3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0D57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3EA79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w:t>
            </w:r>
          </w:p>
        </w:tc>
        <w:tc>
          <w:tcPr>
            <w:tcW w:w="8158" w:type="dxa"/>
            <w:tcBorders>
              <w:top w:val="single" w:color="auto" w:sz="4" w:space="0"/>
              <w:left w:val="single" w:color="auto" w:sz="4" w:space="0"/>
              <w:bottom w:val="single" w:color="auto" w:sz="4" w:space="0"/>
              <w:right w:val="single" w:color="auto" w:sz="4" w:space="0"/>
            </w:tcBorders>
            <w:vAlign w:val="center"/>
          </w:tcPr>
          <w:p w14:paraId="560688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7DAC00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sz w:val="24"/>
                <w:szCs w:val="24"/>
                <w:highlight w:val="none"/>
                <w:lang w:val="en-US" w:eastAsia="zh-CN"/>
              </w:rPr>
              <w:t>非单一产品采购项目，采购人应当根据采购项目技术构成、产品价格比重等合理确定核心产品，并在采购文件中载明。多家供应商提供的核心产品品牌相同的，按前款规定处理。</w:t>
            </w:r>
          </w:p>
        </w:tc>
      </w:tr>
      <w:tr w14:paraId="31CE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49E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w:t>
            </w:r>
          </w:p>
        </w:tc>
        <w:tc>
          <w:tcPr>
            <w:tcW w:w="8158" w:type="dxa"/>
            <w:tcBorders>
              <w:top w:val="single" w:color="auto" w:sz="4" w:space="0"/>
              <w:left w:val="single" w:color="auto" w:sz="4" w:space="0"/>
              <w:bottom w:val="single" w:color="auto" w:sz="4" w:space="0"/>
              <w:right w:val="single" w:color="auto" w:sz="4" w:space="0"/>
            </w:tcBorders>
            <w:vAlign w:val="center"/>
          </w:tcPr>
          <w:p w14:paraId="0099F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核心产品：</w:t>
            </w:r>
            <w:r>
              <w:rPr>
                <w:rFonts w:hint="eastAsia" w:ascii="宋体" w:hAnsi="宋体" w:eastAsia="宋体" w:cs="Times New Roman"/>
                <w:bCs/>
                <w:color w:val="auto"/>
                <w:spacing w:val="-2"/>
                <w:sz w:val="21"/>
                <w:szCs w:val="21"/>
                <w:highlight w:val="none"/>
              </w:rPr>
              <w:t>DR</w:t>
            </w:r>
            <w:r>
              <w:rPr>
                <w:rFonts w:hint="eastAsia" w:ascii="宋体" w:hAnsi="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全自动血细胞分析仪</w:t>
            </w:r>
          </w:p>
        </w:tc>
      </w:tr>
      <w:tr w14:paraId="79B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296C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w:t>
            </w:r>
          </w:p>
        </w:tc>
        <w:tc>
          <w:tcPr>
            <w:tcW w:w="8158" w:type="dxa"/>
            <w:tcBorders>
              <w:top w:val="single" w:color="auto" w:sz="4" w:space="0"/>
              <w:left w:val="single" w:color="auto" w:sz="4" w:space="0"/>
              <w:bottom w:val="single" w:color="auto" w:sz="4" w:space="0"/>
              <w:right w:val="single" w:color="auto" w:sz="4" w:space="0"/>
            </w:tcBorders>
            <w:vAlign w:val="center"/>
          </w:tcPr>
          <w:p w14:paraId="7AF76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特别说明：为保证本项目质量，良好的售后服务，最低报价不作为中标的唯一依据。</w:t>
            </w:r>
          </w:p>
        </w:tc>
      </w:tr>
      <w:tr w14:paraId="412E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A88D0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33</w:t>
            </w:r>
          </w:p>
        </w:tc>
        <w:tc>
          <w:tcPr>
            <w:tcW w:w="8158" w:type="dxa"/>
            <w:tcBorders>
              <w:top w:val="single" w:color="auto" w:sz="4" w:space="0"/>
              <w:left w:val="single" w:color="auto" w:sz="4" w:space="0"/>
              <w:bottom w:val="single" w:color="auto" w:sz="4" w:space="0"/>
              <w:right w:val="single" w:color="auto" w:sz="4" w:space="0"/>
            </w:tcBorders>
            <w:vAlign w:val="center"/>
          </w:tcPr>
          <w:p w14:paraId="657F06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政采云平台中的报价明细表需按投标产品逐条填写，如简写为详见投标文件等，则该供应商的投标文件作废标处理。</w:t>
            </w:r>
          </w:p>
        </w:tc>
      </w:tr>
    </w:tbl>
    <w:p w14:paraId="216B822C">
      <w:pPr>
        <w:pStyle w:val="9"/>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5" w:name="_Toc9167"/>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5"/>
    </w:p>
    <w:p w14:paraId="271B4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4EA8C2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1"/>
          <w:rFonts w:hint="eastAsia" w:asciiTheme="minorEastAsia" w:hAnsiTheme="minorEastAsia" w:eastAsiaTheme="minorEastAsia" w:cstheme="minorEastAsia"/>
          <w:color w:val="auto"/>
          <w:sz w:val="24"/>
          <w:szCs w:val="24"/>
          <w:highlight w:val="none"/>
        </w:rPr>
        <w:t>本</w:t>
      </w:r>
      <w:r>
        <w:rPr>
          <w:rStyle w:val="41"/>
          <w:rFonts w:hint="eastAsia" w:asciiTheme="minorEastAsia" w:hAnsiTheme="minorEastAsia" w:eastAsiaTheme="minorEastAsia" w:cstheme="minorEastAsia"/>
          <w:color w:val="auto"/>
          <w:sz w:val="24"/>
          <w:szCs w:val="24"/>
          <w:highlight w:val="none"/>
          <w:lang w:eastAsia="zh-CN"/>
        </w:rPr>
        <w:t>采购文件</w:t>
      </w:r>
      <w:r>
        <w:rPr>
          <w:rStyle w:val="41"/>
          <w:rFonts w:hint="eastAsia" w:asciiTheme="minorEastAsia" w:hAnsiTheme="minorEastAsia" w:eastAsiaTheme="minorEastAsia" w:cstheme="minorEastAsia"/>
          <w:color w:val="auto"/>
          <w:sz w:val="24"/>
          <w:szCs w:val="24"/>
          <w:highlight w:val="none"/>
        </w:rPr>
        <w:t>仅适用于本次招标活动。</w:t>
      </w:r>
    </w:p>
    <w:p w14:paraId="10CC93CE">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r>
        <w:rPr>
          <w:rFonts w:hint="eastAsia" w:asciiTheme="minorEastAsia" w:hAnsiTheme="minorEastAsia" w:eastAsiaTheme="minorEastAsia" w:cstheme="minorEastAsia"/>
          <w:b/>
          <w:color w:val="auto"/>
          <w:sz w:val="24"/>
          <w:szCs w:val="24"/>
          <w:highlight w:val="none"/>
          <w:lang w:eastAsia="zh-CN"/>
        </w:rPr>
        <w:tab/>
      </w:r>
    </w:p>
    <w:p w14:paraId="5BC5EB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7B349A3A">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2.落实政府采购政策需满足的资格要求：本项目预算金额中预留30%面向中小企业（其中60%面向小微企业）采购项目，该部分预留份额采取分包意向协议形式向中小企业进行分包，且分包意向协议合同金额需达到规定的比例。</w:t>
      </w:r>
      <w:r>
        <w:rPr>
          <w:rFonts w:hint="eastAsia" w:asciiTheme="minorEastAsia" w:hAnsiTheme="minorEastAsia" w:eastAsiaTheme="minorEastAsia" w:cstheme="minorEastAsia"/>
          <w:color w:val="auto"/>
          <w:sz w:val="24"/>
          <w:szCs w:val="24"/>
          <w:highlight w:val="none"/>
          <w:lang w:val="en-US" w:eastAsia="zh-CN"/>
        </w:rPr>
        <w:t>；</w:t>
      </w:r>
    </w:p>
    <w:p w14:paraId="01C7DD5D">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3.本项目的特定资格要求：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5660477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566263B0">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下列术语和缩写的定义为：</w:t>
      </w:r>
    </w:p>
    <w:p w14:paraId="2C90B5D2">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3.1“</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val="en-US" w:eastAsia="zh-CN"/>
        </w:rPr>
        <w:t xml:space="preserve"> 托里县人民医院 </w:t>
      </w:r>
      <w:r>
        <w:rPr>
          <w:rStyle w:val="41"/>
          <w:rFonts w:hint="eastAsia" w:asciiTheme="minorEastAsia" w:hAnsiTheme="minorEastAsia" w:eastAsiaTheme="minorEastAsia" w:cstheme="minorEastAsia"/>
          <w:color w:val="auto"/>
          <w:sz w:val="24"/>
          <w:szCs w:val="24"/>
          <w:highlight w:val="none"/>
        </w:rPr>
        <w:t>。</w:t>
      </w:r>
    </w:p>
    <w:p w14:paraId="607BABD2">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3.2“</w:t>
      </w:r>
      <w:r>
        <w:rPr>
          <w:rStyle w:val="41"/>
          <w:rFonts w:hint="eastAsia" w:asciiTheme="minorEastAsia" w:hAnsiTheme="minorEastAsia" w:eastAsiaTheme="minorEastAsia" w:cstheme="minorEastAsia"/>
          <w:color w:val="auto"/>
          <w:sz w:val="24"/>
          <w:szCs w:val="24"/>
          <w:highlight w:val="none"/>
          <w:lang w:eastAsia="zh-CN"/>
        </w:rPr>
        <w:t>采购代理机构</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eastAsia="zh-CN"/>
        </w:rPr>
        <w:t>新疆盛世乾元工程项目管理咨询有限公司</w:t>
      </w:r>
      <w:r>
        <w:rPr>
          <w:rStyle w:val="41"/>
          <w:rFonts w:hint="eastAsia" w:asciiTheme="minorEastAsia" w:hAnsiTheme="minorEastAsia" w:eastAsiaTheme="minorEastAsia" w:cstheme="minorEastAsia"/>
          <w:color w:val="auto"/>
          <w:sz w:val="24"/>
          <w:szCs w:val="24"/>
          <w:highlight w:val="none"/>
        </w:rPr>
        <w:t>。</w:t>
      </w:r>
    </w:p>
    <w:p w14:paraId="5F456B4B">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3.3“</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”系指向</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提交</w:t>
      </w:r>
      <w:r>
        <w:rPr>
          <w:rStyle w:val="41"/>
          <w:rFonts w:hint="eastAsia" w:asciiTheme="minorEastAsia" w:hAnsiTheme="minorEastAsia" w:eastAsiaTheme="minorEastAsia" w:cstheme="minorEastAsia"/>
          <w:color w:val="auto"/>
          <w:sz w:val="24"/>
          <w:szCs w:val="24"/>
          <w:highlight w:val="none"/>
          <w:lang w:eastAsia="zh-CN"/>
        </w:rPr>
        <w:t>投标文件</w:t>
      </w:r>
      <w:r>
        <w:rPr>
          <w:rStyle w:val="41"/>
          <w:rFonts w:hint="eastAsia" w:asciiTheme="minorEastAsia" w:hAnsiTheme="minorEastAsia" w:eastAsiaTheme="minorEastAsia" w:cstheme="minorEastAsia"/>
          <w:color w:val="auto"/>
          <w:sz w:val="24"/>
          <w:szCs w:val="24"/>
          <w:highlight w:val="none"/>
        </w:rPr>
        <w:t>的</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w:t>
      </w:r>
    </w:p>
    <w:p w14:paraId="7752CFE0">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4</w:t>
      </w:r>
      <w:r>
        <w:rPr>
          <w:rStyle w:val="41"/>
          <w:rFonts w:hint="eastAsia" w:asciiTheme="minorEastAsia" w:hAnsiTheme="minorEastAsia" w:eastAsiaTheme="minorEastAsia" w:cstheme="minorEastAsia"/>
          <w:color w:val="auto"/>
          <w:sz w:val="24"/>
          <w:szCs w:val="24"/>
          <w:highlight w:val="none"/>
        </w:rPr>
        <w:t>“服务”系指合同规定中标人须提供合同货物、承担的运输、装卸、仓储保管、售后服务等其他类似的义务。</w:t>
      </w:r>
    </w:p>
    <w:p w14:paraId="70A8D603">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5</w:t>
      </w:r>
      <w:r>
        <w:rPr>
          <w:rStyle w:val="41"/>
          <w:rFonts w:hint="eastAsia" w:asciiTheme="minorEastAsia" w:hAnsiTheme="minorEastAsia" w:eastAsiaTheme="minorEastAsia" w:cstheme="minorEastAsia"/>
          <w:color w:val="auto"/>
          <w:sz w:val="24"/>
          <w:szCs w:val="24"/>
          <w:highlight w:val="none"/>
        </w:rPr>
        <w:t>“乙方”系指提供合同货物和服务的经济实体。</w:t>
      </w:r>
    </w:p>
    <w:p w14:paraId="7A31A4C6">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6</w:t>
      </w:r>
      <w:r>
        <w:rPr>
          <w:rStyle w:val="41"/>
          <w:rFonts w:hint="eastAsia" w:asciiTheme="minorEastAsia" w:hAnsiTheme="minorEastAsia" w:eastAsiaTheme="minorEastAsia" w:cstheme="minorEastAsia"/>
          <w:color w:val="auto"/>
          <w:sz w:val="24"/>
          <w:szCs w:val="24"/>
          <w:highlight w:val="none"/>
        </w:rPr>
        <w:t>“甲方”系指采购货物及要求提供服务的单位。</w:t>
      </w:r>
    </w:p>
    <w:p w14:paraId="7A76317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投标费用</w:t>
      </w:r>
    </w:p>
    <w:p w14:paraId="07C26E0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2024D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79F0EB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的构成</w:t>
      </w:r>
    </w:p>
    <w:p w14:paraId="687B9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由下述部分组成：</w:t>
      </w:r>
    </w:p>
    <w:p w14:paraId="3C96B453">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0C4FF89">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3350296">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6B6C7A09">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792D8E3">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采购需求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9F08B37">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AFA7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1B075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的澄清</w:t>
      </w:r>
    </w:p>
    <w:p w14:paraId="3FE0EDB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51863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6114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C2D390">
      <w:pPr>
        <w:keepNext w:val="0"/>
        <w:keepLines w:val="0"/>
        <w:pageBreakBefore w:val="0"/>
        <w:widowControl w:val="0"/>
        <w:kinsoku/>
        <w:wordWrap/>
        <w:overflowPunct/>
        <w:topLinePunct w:val="0"/>
        <w:bidi w:val="0"/>
        <w:spacing w:line="360" w:lineRule="auto"/>
        <w:ind w:firstLine="723" w:firstLineChars="3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6A0A31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电子交易平台客户端里报价一览表录入的投标报价或优惠率与扫描上传的报价文件信息不一致的，以扫描上传的报价文件信息为准进行修正。</w:t>
      </w:r>
    </w:p>
    <w:p w14:paraId="6841423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投标文件报价出现前后不一致的，除采购文件另有规定外，按照下列规定修正：</w:t>
      </w:r>
    </w:p>
    <w:p w14:paraId="009D81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1）投标函中表述的内容与报价表中不一致的，以报价表为准；报价表中的内容与报价明细表不一致的，以报价表为准；</w:t>
      </w:r>
    </w:p>
    <w:p w14:paraId="5FE9BB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2）投标文件中的大写金额和小写金额不一致的，以大写金额为准；</w:t>
      </w:r>
    </w:p>
    <w:p w14:paraId="072F0B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3）单价金额小数点或者百分比有明显错位的，以报价一览表的总价为准，并修改单价；</w:t>
      </w:r>
    </w:p>
    <w:p w14:paraId="326DB05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4B8927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4349B0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6）如有多报(指数量超出采购文件需求)、重报(指同一货物重复报价)，其投标总价在评标过程中不予调整，如其中标，其合同价按其投标单价予以调整；</w:t>
      </w:r>
    </w:p>
    <w:p w14:paraId="0FEAB83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7）对不同文字文本投标文件的解释发生异议的，以中文文本为准；</w:t>
      </w:r>
    </w:p>
    <w:p w14:paraId="6C3BE7C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9FA7A6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7、采购文件</w:t>
      </w:r>
      <w:r>
        <w:rPr>
          <w:rFonts w:hint="eastAsia" w:asciiTheme="minorEastAsia" w:hAnsiTheme="minorEastAsia" w:eastAsiaTheme="minorEastAsia" w:cstheme="minorEastAsia"/>
          <w:b/>
          <w:color w:val="auto"/>
          <w:sz w:val="24"/>
          <w:szCs w:val="24"/>
          <w:highlight w:val="none"/>
        </w:rPr>
        <w:t>的修改或补充</w:t>
      </w:r>
    </w:p>
    <w:p w14:paraId="28A760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E81AC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38A55A7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635D709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二、对供应商的资质要求</w:t>
      </w:r>
    </w:p>
    <w:p w14:paraId="4819DD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投标资质</w:t>
      </w:r>
    </w:p>
    <w:p w14:paraId="1B6636E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8.1</w:t>
      </w:r>
      <w:r>
        <w:rPr>
          <w:rFonts w:hint="eastAsia" w:asciiTheme="minorEastAsia" w:hAnsiTheme="minorEastAsia" w:eastAsiaTheme="minorEastAsia" w:cstheme="minorEastAsia"/>
          <w:b/>
          <w:color w:val="auto"/>
          <w:sz w:val="24"/>
          <w:szCs w:val="24"/>
          <w:highlight w:val="none"/>
        </w:rPr>
        <w:t>资格审查表</w:t>
      </w:r>
    </w:p>
    <w:tbl>
      <w:tblPr>
        <w:tblStyle w:val="28"/>
        <w:tblW w:w="9912" w:type="dxa"/>
        <w:jc w:val="center"/>
        <w:tblLayout w:type="fixed"/>
        <w:tblCellMar>
          <w:top w:w="0" w:type="dxa"/>
          <w:left w:w="0" w:type="dxa"/>
          <w:bottom w:w="0" w:type="dxa"/>
          <w:right w:w="0" w:type="dxa"/>
        </w:tblCellMar>
      </w:tblPr>
      <w:tblGrid>
        <w:gridCol w:w="750"/>
        <w:gridCol w:w="1950"/>
        <w:gridCol w:w="7212"/>
      </w:tblGrid>
      <w:tr w14:paraId="4F747467">
        <w:tblPrEx>
          <w:tblCellMar>
            <w:top w:w="0" w:type="dxa"/>
            <w:left w:w="0" w:type="dxa"/>
            <w:bottom w:w="0" w:type="dxa"/>
            <w:right w:w="0" w:type="dxa"/>
          </w:tblCellMar>
        </w:tblPrEx>
        <w:trPr>
          <w:trHeight w:val="77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0DAD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29B9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7A330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357C5DF5">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E09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B2FC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60288">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2D8A661B">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A71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D895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5426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312B085B">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77B0636">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39072394">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311C20E8">
        <w:tblPrEx>
          <w:tblCellMar>
            <w:top w:w="0" w:type="dxa"/>
            <w:left w:w="0" w:type="dxa"/>
            <w:bottom w:w="0" w:type="dxa"/>
            <w:right w:w="0" w:type="dxa"/>
          </w:tblCellMar>
        </w:tblPrEx>
        <w:trPr>
          <w:trHeight w:val="794" w:hRule="atLeast"/>
          <w:jc w:val="center"/>
        </w:trPr>
        <w:tc>
          <w:tcPr>
            <w:tcW w:w="75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0CB1C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283F7">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79A41">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373C25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5230FA61">
        <w:tblPrEx>
          <w:tblCellMar>
            <w:top w:w="0" w:type="dxa"/>
            <w:left w:w="0" w:type="dxa"/>
            <w:bottom w:w="0" w:type="dxa"/>
            <w:right w:w="0" w:type="dxa"/>
          </w:tblCellMar>
        </w:tblPrEx>
        <w:trPr>
          <w:trHeight w:val="794" w:hRule="atLeast"/>
          <w:jc w:val="center"/>
        </w:trPr>
        <w:tc>
          <w:tcPr>
            <w:tcW w:w="750"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037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AACE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F90A">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26D7DA8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5CC3B28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73308727">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295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4720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FA4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2BD5054F">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5E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636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5E00B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58D1AFB0">
        <w:tblPrEx>
          <w:tblCellMar>
            <w:top w:w="0" w:type="dxa"/>
            <w:left w:w="0" w:type="dxa"/>
            <w:bottom w:w="0" w:type="dxa"/>
            <w:right w:w="0" w:type="dxa"/>
          </w:tblCellMar>
        </w:tblPrEx>
        <w:trPr>
          <w:trHeight w:val="418"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2B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3D1FF">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224FA2">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52B8E46">
        <w:tblPrEx>
          <w:tblCellMar>
            <w:top w:w="0" w:type="dxa"/>
            <w:left w:w="0" w:type="dxa"/>
            <w:bottom w:w="0" w:type="dxa"/>
            <w:right w:w="0" w:type="dxa"/>
          </w:tblCellMar>
        </w:tblPrEx>
        <w:trPr>
          <w:trHeight w:val="1017"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BE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FF4804">
            <w:pPr>
              <w:adjustRightInd w:val="0"/>
              <w:snapToGrid w:val="0"/>
              <w:spacing w:line="360" w:lineRule="auto"/>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政府采购政策支持</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CAA5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供应商应为中小企业或 供应商以合同分包形式参与采购活动，获得采购合同的供应商将采购合同中的30%分包给一家或多家中小企业。</w:t>
            </w:r>
          </w:p>
          <w:p w14:paraId="2B54F91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请根据要求单独上传《中小企业声明函》。格式以采购文件要求为准。</w:t>
            </w:r>
          </w:p>
          <w:p w14:paraId="3E51E11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请根据要求单独上传《分包意向协议》，并在分包意向协议中进行相关比例说明。格式以采购文件要求为准</w:t>
            </w:r>
          </w:p>
        </w:tc>
      </w:tr>
      <w:tr w14:paraId="7D86F1D4">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9A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1E887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827F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7A6D62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资格（审查）证明文件</w:t>
      </w:r>
      <w:r>
        <w:rPr>
          <w:rFonts w:hint="eastAsia" w:asciiTheme="minorEastAsia" w:hAnsiTheme="minorEastAsia" w:eastAsiaTheme="minorEastAsia" w:cstheme="minorEastAsia"/>
          <w:color w:val="auto"/>
          <w:sz w:val="24"/>
          <w:szCs w:val="24"/>
          <w:highlight w:val="none"/>
        </w:rPr>
        <w:t>必须满足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的要求，否则将视为无效标。</w:t>
      </w:r>
    </w:p>
    <w:p w14:paraId="783CCF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205624C0">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三、投标文件</w:t>
      </w:r>
      <w:r>
        <w:rPr>
          <w:rFonts w:hint="eastAsia" w:asciiTheme="minorEastAsia" w:hAnsiTheme="minorEastAsia" w:eastAsiaTheme="minorEastAsia" w:cstheme="minorEastAsia"/>
          <w:b/>
          <w:bCs/>
          <w:color w:val="auto"/>
          <w:sz w:val="24"/>
          <w:szCs w:val="24"/>
          <w:highlight w:val="none"/>
        </w:rPr>
        <w:t>的编写</w:t>
      </w:r>
    </w:p>
    <w:p w14:paraId="30B7D38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9、投标文件编写</w:t>
      </w:r>
      <w:r>
        <w:rPr>
          <w:rFonts w:hint="eastAsia" w:asciiTheme="minorEastAsia" w:hAnsiTheme="minorEastAsia" w:eastAsiaTheme="minorEastAsia" w:cstheme="minorEastAsia"/>
          <w:b/>
          <w:bCs/>
          <w:color w:val="auto"/>
          <w:sz w:val="24"/>
          <w:szCs w:val="24"/>
          <w:highlight w:val="none"/>
        </w:rPr>
        <w:t>要求</w:t>
      </w:r>
    </w:p>
    <w:p w14:paraId="4DEA3CC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27D5EA6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08F71F3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0715673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2D2DD2D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4CEC147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436FF0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一、资格（审查）证明文件</w:t>
      </w:r>
    </w:p>
    <w:p w14:paraId="2FE2352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1、具有独立承担民事责任的能力</w:t>
      </w:r>
    </w:p>
    <w:p w14:paraId="472A03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2、良好的商业信誉和健全的财务会计制度</w:t>
      </w:r>
    </w:p>
    <w:p w14:paraId="74FEB0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3、依法缴纳税收和社会保障资金的良好记录</w:t>
      </w:r>
    </w:p>
    <w:p w14:paraId="399925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4、履行合同所必需的设备和专业技术能力的承诺函</w:t>
      </w:r>
    </w:p>
    <w:p w14:paraId="71C78A5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5、参加政府采购活动前3年内，在经营活动中没有重大违法记录的书面声明函</w:t>
      </w:r>
    </w:p>
    <w:p w14:paraId="52FA3C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6、限制行为承诺书</w:t>
      </w:r>
    </w:p>
    <w:p w14:paraId="2A9A083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7、中小企业声明函</w:t>
      </w:r>
      <w:r>
        <w:rPr>
          <w:rFonts w:hint="eastAsia" w:ascii="宋体" w:hAnsi="宋体" w:cs="宋体"/>
          <w:b w:val="0"/>
          <w:bCs w:val="0"/>
          <w:color w:val="auto"/>
          <w:sz w:val="24"/>
          <w:szCs w:val="24"/>
          <w:highlight w:val="none"/>
          <w:shd w:val="clear" w:color="auto" w:fill="auto"/>
          <w:lang w:val="en-US" w:eastAsia="zh-CN"/>
        </w:rPr>
        <w:t>及分包意向协议书</w:t>
      </w:r>
    </w:p>
    <w:p w14:paraId="63A8CE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8、投标保证金</w:t>
      </w:r>
    </w:p>
    <w:p w14:paraId="6A6C998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二、报价文件</w:t>
      </w:r>
    </w:p>
    <w:p w14:paraId="0257B7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1.1报价一览表</w:t>
      </w:r>
    </w:p>
    <w:p w14:paraId="0034A7F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1.2报价明细表</w:t>
      </w:r>
    </w:p>
    <w:p w14:paraId="4906DE9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三、商务、技术文件</w:t>
      </w:r>
    </w:p>
    <w:p w14:paraId="55214A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1、投标函</w:t>
      </w:r>
    </w:p>
    <w:p w14:paraId="48F9E0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2、法定代表人（或非法人组织负责人）身份证明书</w:t>
      </w:r>
    </w:p>
    <w:p w14:paraId="2823DC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3、法定代表人（或非法人组织负责人）授权委托书</w:t>
      </w:r>
    </w:p>
    <w:p w14:paraId="11EBD4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4、反商业贿赂承诺书</w:t>
      </w:r>
    </w:p>
    <w:p w14:paraId="187D0BF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5、供应商参与政府采购活动（招投标活动）无异议承诺书</w:t>
      </w:r>
    </w:p>
    <w:p w14:paraId="5D4406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6</w:t>
      </w:r>
      <w:r>
        <w:rPr>
          <w:rFonts w:hint="eastAsia" w:ascii="宋体" w:hAnsi="宋体" w:eastAsia="宋体" w:cs="宋体"/>
          <w:b w:val="0"/>
          <w:bCs w:val="0"/>
          <w:color w:val="auto"/>
          <w:sz w:val="24"/>
          <w:szCs w:val="24"/>
          <w:highlight w:val="none"/>
          <w:shd w:val="clear" w:color="auto" w:fill="auto"/>
          <w:lang w:val="en-US" w:eastAsia="zh-CN"/>
        </w:rPr>
        <w:t>、保密承诺书</w:t>
      </w:r>
    </w:p>
    <w:p w14:paraId="6AAF52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7</w:t>
      </w:r>
      <w:r>
        <w:rPr>
          <w:rFonts w:hint="eastAsia" w:ascii="宋体" w:hAnsi="宋体" w:eastAsia="宋体" w:cs="宋体"/>
          <w:b w:val="0"/>
          <w:bCs w:val="0"/>
          <w:color w:val="auto"/>
          <w:sz w:val="24"/>
          <w:szCs w:val="24"/>
          <w:highlight w:val="none"/>
          <w:shd w:val="clear" w:color="auto" w:fill="auto"/>
          <w:lang w:val="en-US" w:eastAsia="zh-CN"/>
        </w:rPr>
        <w:t>、商务条款偏离表</w:t>
      </w:r>
    </w:p>
    <w:p w14:paraId="190E84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8</w:t>
      </w:r>
      <w:r>
        <w:rPr>
          <w:rFonts w:hint="eastAsia" w:ascii="宋体" w:hAnsi="宋体" w:eastAsia="宋体" w:cs="宋体"/>
          <w:b w:val="0"/>
          <w:bCs w:val="0"/>
          <w:color w:val="auto"/>
          <w:sz w:val="24"/>
          <w:szCs w:val="24"/>
          <w:highlight w:val="none"/>
          <w:shd w:val="clear" w:color="auto" w:fill="auto"/>
          <w:lang w:val="en-US" w:eastAsia="zh-CN"/>
        </w:rPr>
        <w:t>、技术条款偏离表</w:t>
      </w:r>
    </w:p>
    <w:p w14:paraId="2210EB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9</w:t>
      </w:r>
      <w:r>
        <w:rPr>
          <w:rFonts w:hint="eastAsia" w:ascii="宋体" w:hAnsi="宋体" w:eastAsia="宋体" w:cs="宋体"/>
          <w:b w:val="0"/>
          <w:bCs w:val="0"/>
          <w:color w:val="auto"/>
          <w:sz w:val="24"/>
          <w:szCs w:val="24"/>
          <w:highlight w:val="none"/>
          <w:shd w:val="clear" w:color="auto" w:fill="auto"/>
          <w:lang w:val="en-US" w:eastAsia="zh-CN"/>
        </w:rPr>
        <w:t>、供应商近三年（2022年1月1日至今）业绩案例一览表</w:t>
      </w:r>
    </w:p>
    <w:p w14:paraId="414325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cs="宋体"/>
          <w:b w:val="0"/>
          <w:bCs w:val="0"/>
          <w:color w:val="auto"/>
          <w:sz w:val="24"/>
          <w:szCs w:val="24"/>
          <w:highlight w:val="none"/>
          <w:shd w:val="clear" w:color="auto" w:fill="auto"/>
          <w:lang w:val="en-US" w:eastAsia="zh-CN"/>
        </w:rPr>
        <w:t>0</w:t>
      </w:r>
      <w:r>
        <w:rPr>
          <w:rFonts w:hint="eastAsia" w:ascii="宋体" w:hAnsi="宋体" w:eastAsia="宋体" w:cs="宋体"/>
          <w:b w:val="0"/>
          <w:bCs w:val="0"/>
          <w:color w:val="auto"/>
          <w:sz w:val="24"/>
          <w:szCs w:val="24"/>
          <w:highlight w:val="none"/>
          <w:shd w:val="clear" w:color="auto" w:fill="auto"/>
          <w:lang w:val="en-US" w:eastAsia="zh-CN"/>
        </w:rPr>
        <w:t>、拟派项目团队人员</w:t>
      </w:r>
    </w:p>
    <w:p w14:paraId="5B41EE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11、产品注册证或备案证明（需在有效期内）</w:t>
      </w:r>
    </w:p>
    <w:p w14:paraId="1DD892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12、产品技术支持文件（包含但不限于产品检测报告、产品彩页或技术白皮书等）</w:t>
      </w:r>
    </w:p>
    <w:p w14:paraId="273F39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13、售后服务承诺书</w:t>
      </w:r>
    </w:p>
    <w:p w14:paraId="078590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14、服务方案（服务承诺详述、维修、培训以及服务联系人、联系方式等详述）</w:t>
      </w:r>
    </w:p>
    <w:p w14:paraId="60B4A1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15、投标人根据采购文件要求提供的其他材料</w:t>
      </w:r>
    </w:p>
    <w:p w14:paraId="20C589C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四</w:t>
      </w:r>
      <w:r>
        <w:rPr>
          <w:rFonts w:hint="eastAsia" w:ascii="宋体" w:hAnsi="宋体" w:eastAsia="宋体" w:cs="宋体"/>
          <w:b w:val="0"/>
          <w:bCs w:val="0"/>
          <w:color w:val="auto"/>
          <w:sz w:val="24"/>
          <w:szCs w:val="24"/>
          <w:highlight w:val="none"/>
          <w:shd w:val="clear" w:color="auto" w:fill="auto"/>
          <w:lang w:val="en-US" w:eastAsia="zh-CN"/>
        </w:rPr>
        <w:t>、其他文件</w:t>
      </w:r>
    </w:p>
    <w:p w14:paraId="7FEB036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注：1.投标文件的内容包括但不仅限于上述内容，如有不足请自行补充。</w:t>
      </w:r>
    </w:p>
    <w:p w14:paraId="1971A0F3">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4"/>
          <w:shd w:val="clear" w:fill="auto"/>
          <w:lang w:val="en-US" w:eastAsia="zh-CN" w:bidi="ar-SA"/>
        </w:rPr>
        <w:t>2.</w:t>
      </w:r>
      <w:r>
        <w:rPr>
          <w:rFonts w:hint="eastAsia" w:ascii="宋体" w:hAnsi="宋体" w:cs="宋体"/>
          <w:color w:val="auto"/>
          <w:sz w:val="24"/>
          <w:szCs w:val="24"/>
          <w:highlight w:val="none"/>
          <w:shd w:val="clear" w:color="auto" w:fill="auto"/>
          <w:lang w:val="en-US" w:eastAsia="zh-CN"/>
        </w:rPr>
        <w:t>采购文件为提供格式的，请投标人自拟。</w:t>
      </w:r>
    </w:p>
    <w:p w14:paraId="484AAB8F">
      <w:pPr>
        <w:keepNext w:val="0"/>
        <w:keepLines w:val="0"/>
        <w:pageBreakBefore w:val="0"/>
        <w:widowControl w:val="0"/>
        <w:numPr>
          <w:ilvl w:val="0"/>
          <w:numId w:val="0"/>
        </w:numPr>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格式</w:t>
      </w:r>
    </w:p>
    <w:p w14:paraId="2C4256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报价一览表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08C5291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投标报价的货币单位</w:t>
      </w:r>
    </w:p>
    <w:p w14:paraId="10461F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13.1</w:t>
      </w:r>
      <w:r>
        <w:rPr>
          <w:rFonts w:hint="eastAsia" w:asciiTheme="minorEastAsia" w:hAnsiTheme="minorEastAsia" w:eastAsiaTheme="minorEastAsia" w:cstheme="minorEastAsia"/>
          <w:color w:val="auto"/>
          <w:sz w:val="24"/>
          <w:szCs w:val="24"/>
          <w:highlight w:val="none"/>
        </w:rPr>
        <w:t>投标报价单位为</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b w:val="0"/>
          <w:bCs w:val="0"/>
          <w:color w:val="auto"/>
          <w:sz w:val="24"/>
          <w:szCs w:val="24"/>
          <w:highlight w:val="none"/>
        </w:rPr>
        <w:t>。</w:t>
      </w:r>
    </w:p>
    <w:p w14:paraId="05A02F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13.2</w:t>
      </w:r>
      <w:r>
        <w:rPr>
          <w:rFonts w:hint="eastAsia" w:asciiTheme="minorEastAsia" w:hAnsiTheme="minorEastAsia" w:eastAsiaTheme="minorEastAsia" w:cstheme="minorEastAsia"/>
          <w:color w:val="auto"/>
          <w:sz w:val="24"/>
          <w:szCs w:val="24"/>
          <w:highlight w:val="none"/>
        </w:rPr>
        <w:t>投标报价为最终报价，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不得以任何理由要求再追加任何费用。同时，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所报价格在合同实施期间不因市场变化因素而变动。</w:t>
      </w:r>
    </w:p>
    <w:p w14:paraId="29983E1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中的报价只允许一个最终报价，</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不接受任何有选择性的投标报价。</w:t>
      </w:r>
    </w:p>
    <w:p w14:paraId="0701EE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509181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1436C4D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3F92B6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0</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429BBDA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的有效期。</w:t>
      </w:r>
    </w:p>
    <w:p w14:paraId="523C729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投标保证金</w:t>
      </w:r>
    </w:p>
    <w:p w14:paraId="28E82B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5469CF3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7A694E2E">
      <w:pPr>
        <w:pStyle w:val="1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65E2422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0A869C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7F76AE6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16.6</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109FB9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79E10D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中提供虚假材料的；</w:t>
      </w:r>
    </w:p>
    <w:p w14:paraId="4E62F4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7A6205F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恶意串通的；</w:t>
      </w:r>
    </w:p>
    <w:p w14:paraId="77ED186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2844DC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20B962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2C22B82D">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p>
    <w:p w14:paraId="3D2EAA5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的制作、上传及递交要求</w:t>
      </w:r>
    </w:p>
    <w:p w14:paraId="455F22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的制作要求</w:t>
      </w:r>
    </w:p>
    <w:p w14:paraId="184C858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7538F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规定的格式和顺序编制电子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并进行关联定位。本文件《第六章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格式》中有提供格式的，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应按照格式进行编制(格式中要求提供相关证明材料的还需后附相关证明材料)，并按格式要求在指定位置根据要求进行签章，否则视为未提供；本文件《第六章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6F5270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所产生的备份文件。</w:t>
      </w:r>
    </w:p>
    <w:p w14:paraId="6CF7F0F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中所须加盖公章部分均采用CA签章。</w:t>
      </w:r>
    </w:p>
    <w:p w14:paraId="49953EE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视同未提供。</w:t>
      </w:r>
    </w:p>
    <w:p w14:paraId="45F3F57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已有明确规定的，使用</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没有规定的，应采用中华人民共和国法定计量单位(货币单位：人民币元)。</w:t>
      </w:r>
    </w:p>
    <w:p w14:paraId="2ECC03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BFE2D4C">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有针对性、简洁明了</w:t>
      </w:r>
    </w:p>
    <w:p w14:paraId="12CC3947">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的上传</w:t>
      </w:r>
    </w:p>
    <w:p w14:paraId="3FCFE343">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(“.jmbs”格式)：</w:t>
      </w:r>
    </w:p>
    <w:p w14:paraId="02DBB3F5">
      <w:pPr>
        <w:keepNext w:val="0"/>
        <w:keepLines w:val="0"/>
        <w:pageBreakBefore w:val="0"/>
        <w:widowControl/>
        <w:kinsoku w:val="0"/>
        <w:wordWrap/>
        <w:overflowPunct/>
        <w:topLinePunct w:val="0"/>
        <w:autoSpaceDE w:val="0"/>
        <w:autoSpaceDN w:val="0"/>
        <w:bidi w:val="0"/>
        <w:adjustRightInd w:val="0"/>
        <w:snapToGrid w:val="0"/>
        <w:spacing w:before="160" w:line="240" w:lineRule="auto"/>
        <w:ind w:left="2" w:right="54" w:firstLine="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22"/>
          <w:sz w:val="24"/>
          <w:szCs w:val="24"/>
          <w:highlight w:val="none"/>
        </w:rPr>
        <w:t>.</w:t>
      </w:r>
      <w:r>
        <w:rPr>
          <w:rFonts w:hint="eastAsia" w:ascii="宋体" w:hAnsi="宋体" w:cs="宋体"/>
          <w:color w:val="auto"/>
          <w:spacing w:val="14"/>
          <w:sz w:val="24"/>
          <w:szCs w:val="24"/>
          <w:highlight w:val="none"/>
          <w:lang w:eastAsia="zh-CN"/>
        </w:rPr>
        <w:t>供应商</w:t>
      </w:r>
      <w:r>
        <w:rPr>
          <w:rFonts w:hint="eastAsia" w:ascii="宋体" w:hAnsi="宋体" w:eastAsia="宋体" w:cs="宋体"/>
          <w:color w:val="auto"/>
          <w:spacing w:val="11"/>
          <w:sz w:val="24"/>
          <w:szCs w:val="24"/>
          <w:highlight w:val="none"/>
        </w:rPr>
        <w:t>应在投标截止时间前将电子加密</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成功上传递交至新疆政府采购云平台，否则投标</w:t>
      </w:r>
      <w:r>
        <w:rPr>
          <w:rFonts w:hint="eastAsia" w:ascii="宋体" w:hAnsi="宋体" w:eastAsia="宋体" w:cs="宋体"/>
          <w:color w:val="auto"/>
          <w:spacing w:val="3"/>
          <w:sz w:val="24"/>
          <w:szCs w:val="24"/>
          <w:highlight w:val="none"/>
        </w:rPr>
        <w:t>无</w:t>
      </w:r>
      <w:r>
        <w:rPr>
          <w:rFonts w:hint="eastAsia" w:ascii="宋体" w:hAnsi="宋体" w:eastAsia="宋体" w:cs="宋体"/>
          <w:color w:val="auto"/>
          <w:spacing w:val="2"/>
          <w:sz w:val="24"/>
          <w:szCs w:val="24"/>
          <w:highlight w:val="none"/>
        </w:rPr>
        <w:t>效；</w:t>
      </w:r>
    </w:p>
    <w:p w14:paraId="08ED8927">
      <w:pPr>
        <w:keepNext w:val="0"/>
        <w:keepLines w:val="0"/>
        <w:pageBreakBefore w:val="0"/>
        <w:widowControl/>
        <w:kinsoku w:val="0"/>
        <w:wordWrap/>
        <w:overflowPunct/>
        <w:topLinePunct w:val="0"/>
        <w:autoSpaceDE w:val="0"/>
        <w:autoSpaceDN w:val="0"/>
        <w:bidi w:val="0"/>
        <w:adjustRightInd w:val="0"/>
        <w:snapToGrid w:val="0"/>
        <w:spacing w:line="240" w:lineRule="auto"/>
        <w:ind w:left="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b</w:t>
      </w:r>
      <w:r>
        <w:rPr>
          <w:rFonts w:hint="eastAsia" w:ascii="宋体" w:hAnsi="宋体" w:eastAsia="宋体" w:cs="宋体"/>
          <w:color w:val="auto"/>
          <w:spacing w:val="18"/>
          <w:position w:val="1"/>
          <w:sz w:val="24"/>
          <w:szCs w:val="24"/>
          <w:highlight w:val="none"/>
        </w:rPr>
        <w:t>.</w:t>
      </w:r>
      <w:r>
        <w:rPr>
          <w:rFonts w:hint="eastAsia" w:ascii="宋体" w:hAnsi="宋体" w:cs="宋体"/>
          <w:color w:val="auto"/>
          <w:spacing w:val="13"/>
          <w:position w:val="1"/>
          <w:sz w:val="24"/>
          <w:szCs w:val="24"/>
          <w:highlight w:val="none"/>
          <w:lang w:eastAsia="zh-CN"/>
        </w:rPr>
        <w:t>供应商</w:t>
      </w:r>
      <w:r>
        <w:rPr>
          <w:rFonts w:hint="eastAsia" w:ascii="宋体" w:hAnsi="宋体" w:eastAsia="宋体" w:cs="宋体"/>
          <w:color w:val="auto"/>
          <w:spacing w:val="9"/>
          <w:position w:val="1"/>
          <w:sz w:val="24"/>
          <w:szCs w:val="24"/>
          <w:highlight w:val="none"/>
        </w:rPr>
        <w:t>成功上传电子加密</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后，可自行打印</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接收回执。</w:t>
      </w:r>
    </w:p>
    <w:p w14:paraId="0654515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六、开标</w:t>
      </w:r>
    </w:p>
    <w:p w14:paraId="157F8A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p>
    <w:p w14:paraId="204367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18.1</w:t>
      </w:r>
      <w:r>
        <w:rPr>
          <w:rFonts w:hint="eastAsia" w:asciiTheme="minorEastAsia" w:hAnsiTheme="minorEastAsia" w:eastAsiaTheme="minorEastAsia" w:cstheme="minorEastAsia"/>
          <w:color w:val="auto"/>
          <w:sz w:val="24"/>
          <w:szCs w:val="24"/>
          <w:highlight w:val="none"/>
        </w:rPr>
        <w:t>(1)开标准备：本项目开标的准备工作由采购组织机构负责落实，开标过程由采购组织机构负责记录；</w:t>
      </w:r>
    </w:p>
    <w:p w14:paraId="27DFEE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(2)开标主持：本项目开标由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主持；</w:t>
      </w:r>
    </w:p>
    <w:p w14:paraId="47B16FC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(3)开标邀请：本项目采用电子交易，采购组织机构将按照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均应当准时在线参加。</w:t>
      </w:r>
    </w:p>
    <w:p w14:paraId="51372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对开标过程和开标记录有疑义，以及认为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相关工作人员有需要回避的情形的，应当场提出询问或回避申请。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未参加开标的视同认可开标结果，事后不得对采购相关人员、开标过程和开标结果提出异议，同时投标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因未在线参加开标而导致</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无法按时解密等一切后果由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03A7AA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18.2开标</w:t>
      </w:r>
    </w:p>
    <w:p w14:paraId="33F8E1D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(1)开标时间到后，主持人宣布开标会议开始。</w:t>
      </w:r>
    </w:p>
    <w:p w14:paraId="280A16A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(2)投标文件解密(解密规定见《供应商须知前附表》)。</w:t>
      </w:r>
    </w:p>
    <w:p w14:paraId="2DACD0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(3)投标文件解密异常情况处理(处理办法见《供应商须知前附表》)。</w:t>
      </w:r>
    </w:p>
    <w:p w14:paraId="73A6A9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(4)公布投标文件解密情况(投标文件成功解密的供应商名单等信息)。</w:t>
      </w:r>
    </w:p>
    <w:p w14:paraId="62FDE5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启标书信息(资格（审查）证明文件、商务技术文件)。标书信息开启后，首先由采购人代表或采购代理机构依法对投标供应商的资格（审查）证明文件进行审查，审查结束公布投标供应商的资格符合情况。资格审查未获通过的供应商，其商务技术文件及报价文件不再进入评审。</w:t>
      </w:r>
    </w:p>
    <w:p w14:paraId="443DF06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41E03D5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开启有效投标供应商的报价，公布报价一览表有关内容，并【开启签字时段】，供应商对开标录进行在线签字确认(不予确认的应说明理由，否则视为无异议)。开标结束后，由评标委员会对报价的合理性、准确性等进行审查核实。</w:t>
      </w:r>
    </w:p>
    <w:p w14:paraId="4D119970">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(8)评审结束后，采购代理机构在系统上公布评审结果。</w:t>
      </w:r>
    </w:p>
    <w:p w14:paraId="2FA8FB3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0323BEF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(1)本项目采用电子交易，如遇“新疆政府采购云平台”电子化开标或评审程序调整的，按调整后程序执行。</w:t>
      </w:r>
    </w:p>
    <w:p w14:paraId="44D96C1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保证办理投标事宜人员电话畅通、网络在线，签字或盖章确认的时间为20分钟。如未及时签字或盖章确认的，视为无异议。</w:t>
      </w:r>
    </w:p>
    <w:p w14:paraId="70EA600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无效的投标文件</w:t>
      </w:r>
    </w:p>
    <w:p w14:paraId="6125AE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，不得进入评标：</w:t>
      </w:r>
    </w:p>
    <w:p w14:paraId="44A38B8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p>
    <w:p w14:paraId="4F7D99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要求缴纳投标保证金的；</w:t>
      </w:r>
    </w:p>
    <w:p w14:paraId="6B9653F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bookmarkStart w:id="6" w:name="_Toc14129"/>
    </w:p>
    <w:p w14:paraId="79B6495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p>
    <w:p w14:paraId="7153DD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）违反国家及政府部门相关法律、法规、文件规定或经评标委员会认定的其他属于重大偏离</w:t>
      </w:r>
    </w:p>
    <w:p w14:paraId="4B38962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055464C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20.1符合采购文件规定废标情形的；</w:t>
      </w:r>
    </w:p>
    <w:p w14:paraId="2C668E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20.2出现影响采购公正的违法、违规行为的；</w:t>
      </w:r>
    </w:p>
    <w:p w14:paraId="2014363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20.3供应商的报价均超过了采购预算(或最高限价)，采购人不能支付的;</w:t>
      </w:r>
    </w:p>
    <w:p w14:paraId="2FE2BA3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20.4因重大变故，采购任务取消的。</w:t>
      </w:r>
    </w:p>
    <w:p w14:paraId="1F0422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21．突发情况处理</w:t>
      </w:r>
    </w:p>
    <w:p w14:paraId="44B33B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21.1采购过程中出现以下情形，导致电子交易平台无法正常运行，或者无法保证电子交易的公平、公正和安全时，采购组织机构可中止电子交易活动：</w:t>
      </w:r>
    </w:p>
    <w:p w14:paraId="761662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(1)电子交易平台发生故障而无法登录访问的；</w:t>
      </w:r>
    </w:p>
    <w:p w14:paraId="3AFA3B0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(2)电子交易平台应用或数据库出现错误，不能进行正常操作的；</w:t>
      </w:r>
    </w:p>
    <w:p w14:paraId="10926D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(3)电子交易平台发现严重安全漏洞，有潜在泄密危险的；</w:t>
      </w:r>
    </w:p>
    <w:p w14:paraId="25B692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(4)病毒发作导致不能进行正常操作的；</w:t>
      </w:r>
    </w:p>
    <w:p w14:paraId="34EF062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(5)其他无法保证电子交易的公平、公正和安全的情况。</w:t>
      </w:r>
    </w:p>
    <w:p w14:paraId="638096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1B3DB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21.2采购代理机构或评标委员会因不可抗力(不可抗力包括但不限于自然灾害、断电、传播疫病等)原因造成电子交易活动无法正常运行的，将采取以下措施：</w:t>
      </w:r>
    </w:p>
    <w:p w14:paraId="0213E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(1)短时间内能消除不可抗力因素的，采购代理机构或评标委员会在消除不可抗力因素后继续组织电子交易活动；</w:t>
      </w:r>
    </w:p>
    <w:p w14:paraId="070A272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(2)长时间内无法消除不可抗力因素的，采购代理机构或评标委员会将中止电子交易活动。中止电子交易活动的，采购人应当重新组织政府采购活动。</w:t>
      </w:r>
    </w:p>
    <w:p w14:paraId="17663C7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的审查、评估和比较</w:t>
      </w:r>
      <w:bookmarkEnd w:id="6"/>
    </w:p>
    <w:p w14:paraId="704B696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评标</w:t>
      </w:r>
    </w:p>
    <w:p w14:paraId="5EF5AD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项目的特点，组建评标委员会并</w:t>
      </w:r>
      <w:r>
        <w:rPr>
          <w:rFonts w:hint="eastAsia" w:asciiTheme="minorEastAsia" w:hAnsiTheme="minorEastAsia" w:eastAsiaTheme="minorEastAsia" w:cstheme="minorEastAsia"/>
          <w:color w:val="auto"/>
          <w:sz w:val="24"/>
          <w:szCs w:val="24"/>
          <w:highlight w:val="none"/>
          <w:lang w:eastAsia="zh-CN"/>
        </w:rPr>
        <w:t>选定</w:t>
      </w: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eastAsia="zh-CN"/>
        </w:rPr>
        <w:t>组长</w:t>
      </w:r>
      <w:r>
        <w:rPr>
          <w:rFonts w:hint="eastAsia" w:asciiTheme="minorEastAsia" w:hAnsiTheme="minorEastAsia" w:eastAsiaTheme="minorEastAsia" w:cstheme="minorEastAsia"/>
          <w:color w:val="auto"/>
          <w:sz w:val="24"/>
          <w:szCs w:val="24"/>
          <w:highlight w:val="none"/>
        </w:rPr>
        <w:t>。</w:t>
      </w:r>
    </w:p>
    <w:p w14:paraId="0B0AB2F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4B5F66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20.3</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23ED99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20.4</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156171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16E834E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21、</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1E2E437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21.1</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7E910F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进行详细评估之前，评标委员会将审查每一份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的全部条款、条件相符，而没有重大偏离。</w:t>
      </w:r>
    </w:p>
    <w:p w14:paraId="04268E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本身而不靠外部证据。</w:t>
      </w:r>
    </w:p>
    <w:p w14:paraId="0C493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21.4</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5C1E2F7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21.5</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21CF229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205EE2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26.1</w:t>
      </w:r>
      <w:r>
        <w:rPr>
          <w:rFonts w:hint="eastAsia" w:asciiTheme="minorEastAsia" w:hAnsiTheme="minorEastAsia" w:eastAsiaTheme="minorEastAsia" w:cstheme="minorEastAsia"/>
          <w:color w:val="auto"/>
          <w:sz w:val="24"/>
          <w:szCs w:val="24"/>
          <w:highlight w:val="none"/>
        </w:rPr>
        <w:t>评标委员会在评标过程中有权随时请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632000C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4AF98F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中被澄清的部分。</w:t>
      </w:r>
    </w:p>
    <w:p w14:paraId="599F082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26.4</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的澄清不得改变投标的实质内容。</w:t>
      </w:r>
    </w:p>
    <w:p w14:paraId="613184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26.5</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的全部或部分要求。</w:t>
      </w:r>
    </w:p>
    <w:p w14:paraId="3EDA6B2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.定标</w:t>
      </w:r>
    </w:p>
    <w:p w14:paraId="20FD6A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27.1评标委员会有权选择和拒绝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7CED67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27.2评标委员会根据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资格审查情况，投标书的资信内容及开标结果，考虑质量、价格、服务等综合因素评出中标候选人，经招标领导小组审核后确认中标人。</w:t>
      </w:r>
    </w:p>
    <w:p w14:paraId="44C06FD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确定中标人时的原则：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第一的中标候选人为中标人。排名第一的中标候选人放弃中标、因不可抗力提出不能履行合同，或者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319E667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27.4</w:t>
      </w:r>
      <w:r>
        <w:rPr>
          <w:rFonts w:hint="eastAsia" w:ascii="宋体" w:hAnsi="宋体" w:eastAsia="宋体" w:cs="宋体"/>
          <w:color w:val="auto"/>
          <w:spacing w:val="5"/>
          <w:sz w:val="24"/>
          <w:szCs w:val="24"/>
          <w:highlight w:val="none"/>
        </w:rPr>
        <w:t>采购结果确认(确定中标</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3"/>
          <w:sz w:val="24"/>
          <w:szCs w:val="24"/>
          <w:highlight w:val="none"/>
        </w:rPr>
        <w:t>)</w:t>
      </w:r>
    </w:p>
    <w:p w14:paraId="492E2710">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)：本项目由</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根据评标委员会提交的《评审报告》，通过“政府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。具体流程如下：</w:t>
      </w:r>
    </w:p>
    <w:p w14:paraId="48972514">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1)</w:t>
      </w:r>
      <w:r>
        <w:rPr>
          <w:rFonts w:hint="eastAsia" w:ascii="宋体" w:hAnsi="宋体" w:cs="宋体"/>
          <w:color w:val="auto"/>
          <w:spacing w:val="8"/>
          <w:sz w:val="24"/>
          <w:szCs w:val="24"/>
          <w:highlight w:val="none"/>
          <w:lang w:eastAsia="zh-CN"/>
        </w:rPr>
        <w:t>采购代理机构</w:t>
      </w:r>
      <w:r>
        <w:rPr>
          <w:rFonts w:hint="eastAsia" w:ascii="宋体" w:hAnsi="宋体" w:eastAsia="宋体" w:cs="宋体"/>
          <w:color w:val="auto"/>
          <w:spacing w:val="8"/>
          <w:sz w:val="24"/>
          <w:szCs w:val="24"/>
          <w:highlight w:val="none"/>
        </w:rPr>
        <w:t>将在评审结束后2个工作日内将评审报告送</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w:t>
      </w:r>
    </w:p>
    <w:p w14:paraId="028DEB25">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cs="宋体"/>
          <w:color w:val="auto"/>
          <w:spacing w:val="12"/>
          <w:sz w:val="24"/>
          <w:szCs w:val="24"/>
          <w:highlight w:val="none"/>
          <w:lang w:eastAsia="zh-CN"/>
        </w:rPr>
        <w:t>采购人</w:t>
      </w:r>
      <w:r>
        <w:rPr>
          <w:rFonts w:hint="eastAsia" w:ascii="宋体" w:hAnsi="宋体" w:eastAsia="宋体" w:cs="宋体"/>
          <w:color w:val="auto"/>
          <w:spacing w:val="6"/>
          <w:sz w:val="24"/>
          <w:szCs w:val="24"/>
          <w:highlight w:val="none"/>
        </w:rPr>
        <w:t>将在收到评审报告之日起5个工作日内，在评审报告推荐的中标候选</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，并将确认意见以书面形式回复</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w:t>
      </w:r>
    </w:p>
    <w:p w14:paraId="0799909A">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color w:val="auto"/>
          <w:highlight w:val="none"/>
        </w:rPr>
      </w:pPr>
      <w:r>
        <w:rPr>
          <w:rFonts w:hint="eastAsia" w:ascii="宋体" w:hAnsi="宋体" w:eastAsia="宋体" w:cs="宋体"/>
          <w:color w:val="auto"/>
          <w:spacing w:val="5"/>
          <w:sz w:val="24"/>
          <w:szCs w:val="24"/>
          <w:highlight w:val="none"/>
          <w:lang w:val="en-US" w:eastAsia="zh-CN"/>
        </w:rPr>
        <w:t>27.5</w:t>
      </w:r>
      <w:r>
        <w:rPr>
          <w:rFonts w:hint="eastAsia" w:ascii="宋体" w:hAnsi="宋体" w:eastAsia="宋体" w:cs="宋体"/>
          <w:color w:val="auto"/>
          <w:spacing w:val="5"/>
          <w:sz w:val="24"/>
          <w:szCs w:val="24"/>
          <w:highlight w:val="none"/>
        </w:rPr>
        <w:t>采购结果经</w:t>
      </w:r>
      <w:r>
        <w:rPr>
          <w:rFonts w:hint="eastAsia" w:ascii="宋体" w:hAnsi="宋体" w:cs="宋体"/>
          <w:color w:val="auto"/>
          <w:spacing w:val="5"/>
          <w:sz w:val="24"/>
          <w:szCs w:val="24"/>
          <w:highlight w:val="none"/>
          <w:lang w:eastAsia="zh-CN"/>
        </w:rPr>
        <w:t>采购人</w:t>
      </w:r>
      <w:r>
        <w:rPr>
          <w:rFonts w:hint="eastAsia" w:ascii="宋体" w:hAnsi="宋体" w:eastAsia="宋体" w:cs="宋体"/>
          <w:color w:val="auto"/>
          <w:spacing w:val="5"/>
          <w:sz w:val="24"/>
          <w:szCs w:val="24"/>
          <w:highlight w:val="none"/>
        </w:rPr>
        <w:t>确认后2个工作日内，</w:t>
      </w:r>
      <w:r>
        <w:rPr>
          <w:rFonts w:hint="eastAsia" w:ascii="宋体" w:hAnsi="宋体" w:cs="宋体"/>
          <w:color w:val="auto"/>
          <w:spacing w:val="5"/>
          <w:sz w:val="24"/>
          <w:szCs w:val="24"/>
          <w:highlight w:val="none"/>
          <w:lang w:eastAsia="zh-CN"/>
        </w:rPr>
        <w:t>采购代理机构</w:t>
      </w:r>
      <w:r>
        <w:rPr>
          <w:rFonts w:hint="eastAsia" w:ascii="宋体" w:hAnsi="宋体" w:eastAsia="宋体" w:cs="宋体"/>
          <w:color w:val="auto"/>
          <w:spacing w:val="5"/>
          <w:sz w:val="24"/>
          <w:szCs w:val="24"/>
          <w:highlight w:val="none"/>
        </w:rPr>
        <w:t>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4369D5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中标通知</w:t>
      </w:r>
    </w:p>
    <w:p w14:paraId="4ED12FB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根据定标结果，在投标有效期届满前，以书面形式向中标单位发出中标通知书。</w:t>
      </w:r>
    </w:p>
    <w:p w14:paraId="75DD797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02D838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28.3在中标通知书发出前，采购人将中标侯选人的情况在新疆政府采购网予以公示，公示期为一个工作日。待公示期结束后，采购组织机构向中标人发出中标通知书。</w:t>
      </w:r>
    </w:p>
    <w:p w14:paraId="7DD8285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CC5541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29</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拒绝某些或所有投标的权力</w:t>
      </w:r>
    </w:p>
    <w:p w14:paraId="1A5CCED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20047E2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保密</w:t>
      </w:r>
    </w:p>
    <w:p w14:paraId="6A31C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.1有关</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34F6A8E5">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Start w:id="7" w:name="_Toc21533"/>
    </w:p>
    <w:bookmarkEnd w:id="7"/>
    <w:p w14:paraId="2DB9FAA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八、授予合同</w:t>
      </w:r>
    </w:p>
    <w:p w14:paraId="63D21E2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31、合同签订</w:t>
      </w:r>
    </w:p>
    <w:p w14:paraId="6EE3B51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31.1</w:t>
      </w:r>
      <w:r>
        <w:rPr>
          <w:rFonts w:hint="eastAsia" w:asciiTheme="minorEastAsia" w:hAnsiTheme="minorEastAsia" w:eastAsiaTheme="minorEastAsia" w:cstheme="minorEastAsia"/>
          <w:color w:val="auto"/>
          <w:kern w:val="0"/>
          <w:sz w:val="24"/>
          <w:szCs w:val="24"/>
          <w:highlight w:val="none"/>
        </w:rPr>
        <w:t>中标人确定后，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向中标人发出中标通知书，同时通知未中标人。</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和中标人应当自中标通知书发出之日起</w:t>
      </w:r>
      <w:r>
        <w:rPr>
          <w:rFonts w:hint="eastAsia" w:asciiTheme="minorEastAsia" w:hAnsiTheme="minorEastAsia" w:eastAsiaTheme="minorEastAsia" w:cstheme="minorEastAsia"/>
          <w:color w:val="auto"/>
          <w:kern w:val="0"/>
          <w:sz w:val="24"/>
          <w:szCs w:val="24"/>
          <w:highlight w:val="none"/>
          <w:u w:val="single"/>
        </w:rPr>
        <w:t>30</w:t>
      </w:r>
      <w:r>
        <w:rPr>
          <w:rFonts w:hint="eastAsia" w:asciiTheme="minorEastAsia" w:hAnsiTheme="minorEastAsia" w:eastAsiaTheme="minorEastAsia" w:cstheme="minorEastAsia"/>
          <w:color w:val="auto"/>
          <w:kern w:val="0"/>
          <w:sz w:val="24"/>
          <w:szCs w:val="24"/>
          <w:highlight w:val="none"/>
        </w:rPr>
        <w:t>日之内签订合同。</w:t>
      </w:r>
    </w:p>
    <w:p w14:paraId="7C18FD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31.2</w:t>
      </w:r>
      <w:r>
        <w:rPr>
          <w:rFonts w:hint="eastAsia" w:asciiTheme="minorEastAsia" w:hAnsiTheme="minorEastAsia" w:eastAsiaTheme="minorEastAsia" w:cstheme="minorEastAsia"/>
          <w:color w:val="auto"/>
          <w:kern w:val="0"/>
          <w:sz w:val="24"/>
          <w:szCs w:val="24"/>
          <w:highlight w:val="none"/>
        </w:rPr>
        <w:t>中标通知书对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和中标人具有法律约束力。中标通知书发出后，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改变中标结果或者中标人放弃中标的，应当承担法律责任。</w:t>
      </w:r>
    </w:p>
    <w:p w14:paraId="0FAA4B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与中标人应按照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和中标人的</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288F14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31.4</w:t>
      </w:r>
      <w:r>
        <w:rPr>
          <w:rFonts w:hint="eastAsia" w:asciiTheme="minorEastAsia" w:hAnsiTheme="minorEastAsia" w:eastAsiaTheme="minorEastAsia" w:cstheme="minorEastAsia"/>
          <w:b w:val="0"/>
          <w:bCs/>
          <w:color w:val="auto"/>
          <w:sz w:val="24"/>
          <w:szCs w:val="24"/>
          <w:highlight w:val="none"/>
        </w:rPr>
        <w:t>合同的组成</w:t>
      </w:r>
    </w:p>
    <w:p w14:paraId="3DF9B1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32016C4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4EB336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合同条款；</w:t>
      </w:r>
    </w:p>
    <w:p w14:paraId="3C40D0E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w:t>
      </w:r>
    </w:p>
    <w:p w14:paraId="4017AD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乙方中标的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355951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w:t>
      </w:r>
    </w:p>
    <w:p w14:paraId="7E9CC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评标答疑记录。</w:t>
      </w:r>
    </w:p>
    <w:p w14:paraId="36464FD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九、</w:t>
      </w:r>
      <w:r>
        <w:rPr>
          <w:rFonts w:hint="eastAsia" w:asciiTheme="minorEastAsia" w:hAnsiTheme="minorEastAsia" w:eastAsiaTheme="minorEastAsia" w:cstheme="minorEastAsia"/>
          <w:b/>
          <w:bCs/>
          <w:color w:val="auto"/>
          <w:kern w:val="0"/>
          <w:sz w:val="24"/>
          <w:szCs w:val="24"/>
          <w:highlight w:val="none"/>
          <w:lang w:eastAsia="zh-CN"/>
        </w:rPr>
        <w:t>纪律和监督</w:t>
      </w:r>
    </w:p>
    <w:p w14:paraId="13FCEC2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32.对采购人的纪律要求</w:t>
      </w:r>
    </w:p>
    <w:p w14:paraId="7710162E">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32</w:t>
      </w:r>
      <w:r>
        <w:rPr>
          <w:rFonts w:hint="eastAsia" w:ascii="宋体" w:hAnsi="宋体" w:eastAsia="宋体" w:cs="宋体"/>
          <w:color w:val="auto"/>
          <w:spacing w:val="12"/>
          <w:sz w:val="24"/>
          <w:szCs w:val="24"/>
          <w:highlight w:val="none"/>
        </w:rPr>
        <w:t>.1</w:t>
      </w:r>
      <w:r>
        <w:rPr>
          <w:rFonts w:hint="eastAsia" w:ascii="宋体" w:hAnsi="宋体" w:cs="宋体"/>
          <w:color w:val="auto"/>
          <w:spacing w:val="10"/>
          <w:sz w:val="24"/>
          <w:szCs w:val="24"/>
          <w:highlight w:val="none"/>
          <w:lang w:eastAsia="zh-CN"/>
        </w:rPr>
        <w:t>采购人</w:t>
      </w:r>
      <w:r>
        <w:rPr>
          <w:rFonts w:hint="eastAsia" w:ascii="宋体" w:hAnsi="宋体" w:eastAsia="宋体" w:cs="宋体"/>
          <w:color w:val="auto"/>
          <w:spacing w:val="6"/>
          <w:sz w:val="24"/>
          <w:szCs w:val="24"/>
          <w:highlight w:val="none"/>
        </w:rPr>
        <w:t>不得泄漏招标投标活动中应当保密的情况和资料，不得与</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串通损害国家利益，社会公</w:t>
      </w:r>
      <w:r>
        <w:rPr>
          <w:rFonts w:hint="eastAsia" w:ascii="宋体" w:hAnsi="宋体" w:eastAsia="宋体" w:cs="宋体"/>
          <w:color w:val="auto"/>
          <w:spacing w:val="13"/>
          <w:sz w:val="24"/>
          <w:szCs w:val="24"/>
          <w:highlight w:val="none"/>
        </w:rPr>
        <w:t>共</w:t>
      </w:r>
      <w:r>
        <w:rPr>
          <w:rFonts w:hint="eastAsia" w:ascii="宋体" w:hAnsi="宋体" w:eastAsia="宋体" w:cs="宋体"/>
          <w:color w:val="auto"/>
          <w:spacing w:val="8"/>
          <w:sz w:val="24"/>
          <w:szCs w:val="24"/>
          <w:highlight w:val="none"/>
        </w:rPr>
        <w:t>利益或者他人合法权益。</w:t>
      </w:r>
    </w:p>
    <w:p w14:paraId="6C9B95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33.对供应商的纪律要求</w:t>
      </w:r>
    </w:p>
    <w:p w14:paraId="287AD296">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33</w:t>
      </w:r>
      <w:r>
        <w:rPr>
          <w:rFonts w:hint="eastAsia" w:ascii="宋体" w:hAnsi="宋体" w:eastAsia="宋体" w:cs="宋体"/>
          <w:color w:val="auto"/>
          <w:spacing w:val="11"/>
          <w:sz w:val="24"/>
          <w:szCs w:val="24"/>
          <w:highlight w:val="none"/>
        </w:rPr>
        <w:t>.1</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不得相互串通投标或者与</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串通投标，不得向</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或者评标委员会成员行贿谋取中</w:t>
      </w:r>
      <w:r>
        <w:rPr>
          <w:rFonts w:hint="eastAsia" w:ascii="宋体" w:hAnsi="宋体" w:eastAsia="宋体" w:cs="宋体"/>
          <w:color w:val="auto"/>
          <w:spacing w:val="16"/>
          <w:sz w:val="24"/>
          <w:szCs w:val="24"/>
          <w:highlight w:val="none"/>
        </w:rPr>
        <w:t>标，不</w:t>
      </w:r>
      <w:r>
        <w:rPr>
          <w:rFonts w:hint="eastAsia" w:ascii="宋体" w:hAnsi="宋体" w:eastAsia="宋体" w:cs="宋体"/>
          <w:color w:val="auto"/>
          <w:spacing w:val="14"/>
          <w:sz w:val="24"/>
          <w:szCs w:val="24"/>
          <w:highlight w:val="none"/>
        </w:rPr>
        <w:t>得</w:t>
      </w:r>
      <w:r>
        <w:rPr>
          <w:rFonts w:hint="eastAsia" w:ascii="宋体" w:hAnsi="宋体" w:eastAsia="宋体" w:cs="宋体"/>
          <w:color w:val="auto"/>
          <w:spacing w:val="8"/>
          <w:sz w:val="24"/>
          <w:szCs w:val="24"/>
          <w:highlight w:val="none"/>
        </w:rPr>
        <w:t>以他人名义投标或者以其他方式弄虚作假骗取中标；</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不得以任何方式干扰、影响评标工作。</w:t>
      </w:r>
    </w:p>
    <w:p w14:paraId="124ECB7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34.对评标委员会成员的纪律要求</w:t>
      </w:r>
    </w:p>
    <w:p w14:paraId="483DCC1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评</w:t>
      </w:r>
      <w:r>
        <w:rPr>
          <w:rFonts w:hint="eastAsia" w:ascii="宋体" w:hAnsi="宋体" w:eastAsia="宋体" w:cs="宋体"/>
          <w:color w:val="auto"/>
          <w:spacing w:val="6"/>
          <w:sz w:val="24"/>
          <w:szCs w:val="24"/>
          <w:highlight w:val="none"/>
        </w:rPr>
        <w:t>标委员会成员不得收受他人的财物或者其他好处，不得向他人透漏对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的评审和比较、中</w:t>
      </w:r>
      <w:r>
        <w:rPr>
          <w:rFonts w:hint="eastAsia" w:ascii="宋体" w:hAnsi="宋体" w:eastAsia="宋体" w:cs="宋体"/>
          <w:color w:val="auto"/>
          <w:spacing w:val="9"/>
          <w:sz w:val="24"/>
          <w:szCs w:val="24"/>
          <w:highlight w:val="none"/>
        </w:rPr>
        <w:t>标候选人的推荐情况以及评标有关的其他情况</w:t>
      </w:r>
      <w:r>
        <w:rPr>
          <w:rFonts w:hint="eastAsia" w:ascii="宋体" w:hAnsi="宋体" w:eastAsia="宋体" w:cs="宋体"/>
          <w:color w:val="auto"/>
          <w:spacing w:val="8"/>
          <w:sz w:val="24"/>
          <w:szCs w:val="24"/>
          <w:highlight w:val="none"/>
        </w:rPr>
        <w:t>。</w:t>
      </w:r>
    </w:p>
    <w:p w14:paraId="4B22A91B">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6"/>
          <w:sz w:val="24"/>
          <w:szCs w:val="24"/>
          <w:highlight w:val="none"/>
        </w:rPr>
        <w:t>评标活动中，评标委员会成员不得擅离职守，影响评标程序正常进行，不得使用第三章“评标办</w:t>
      </w:r>
      <w:r>
        <w:rPr>
          <w:rFonts w:hint="eastAsia" w:ascii="宋体" w:hAnsi="宋体" w:eastAsia="宋体" w:cs="宋体"/>
          <w:color w:val="auto"/>
          <w:spacing w:val="9"/>
          <w:sz w:val="24"/>
          <w:szCs w:val="24"/>
          <w:highlight w:val="none"/>
        </w:rPr>
        <w:t>法”没有规定的评审因素和标准进行评标</w:t>
      </w:r>
      <w:r>
        <w:rPr>
          <w:rFonts w:hint="eastAsia" w:ascii="宋体" w:hAnsi="宋体" w:eastAsia="宋体" w:cs="宋体"/>
          <w:color w:val="auto"/>
          <w:spacing w:val="6"/>
          <w:sz w:val="24"/>
          <w:szCs w:val="24"/>
          <w:highlight w:val="none"/>
        </w:rPr>
        <w:t>。</w:t>
      </w:r>
    </w:p>
    <w:p w14:paraId="039535C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35.对与评标活动有关的工作人员的纪律要求</w:t>
      </w:r>
    </w:p>
    <w:p w14:paraId="4ECF152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35</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6"/>
          <w:sz w:val="24"/>
          <w:szCs w:val="24"/>
          <w:highlight w:val="none"/>
        </w:rPr>
        <w:t>评标活动有关的工作人员不得收受他人的财物或者其他好处，不得向他人透漏对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w:t>
      </w:r>
      <w:r>
        <w:rPr>
          <w:rFonts w:hint="eastAsia" w:ascii="宋体" w:hAnsi="宋体" w:eastAsia="宋体" w:cs="宋体"/>
          <w:color w:val="auto"/>
          <w:spacing w:val="22"/>
          <w:sz w:val="24"/>
          <w:szCs w:val="24"/>
          <w:highlight w:val="none"/>
        </w:rPr>
        <w:t>和比</w:t>
      </w:r>
      <w:r>
        <w:rPr>
          <w:rFonts w:hint="eastAsia" w:ascii="宋体" w:hAnsi="宋体" w:eastAsia="宋体" w:cs="宋体"/>
          <w:color w:val="auto"/>
          <w:spacing w:val="17"/>
          <w:sz w:val="24"/>
          <w:szCs w:val="24"/>
          <w:highlight w:val="none"/>
        </w:rPr>
        <w:t>较</w:t>
      </w:r>
      <w:r>
        <w:rPr>
          <w:rFonts w:hint="eastAsia" w:ascii="宋体" w:hAnsi="宋体" w:eastAsia="宋体" w:cs="宋体"/>
          <w:color w:val="auto"/>
          <w:spacing w:val="11"/>
          <w:sz w:val="24"/>
          <w:szCs w:val="24"/>
          <w:highlight w:val="none"/>
        </w:rPr>
        <w:t>、中标候选人的推荐情况以及评标有关的其他情况。在评标活动中，与评标活动有关的工作人员不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25C32A6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十、质疑与投诉</w:t>
      </w:r>
    </w:p>
    <w:p w14:paraId="15367D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54" w:firstLineChars="100"/>
        <w:textAlignment w:val="baseline"/>
        <w:rPr>
          <w:rFonts w:hint="eastAsia" w:ascii="宋体" w:hAnsi="宋体" w:eastAsia="宋体" w:cs="宋体"/>
          <w:color w:val="auto"/>
          <w:spacing w:val="7"/>
          <w:position w:val="1"/>
          <w:sz w:val="24"/>
          <w:szCs w:val="24"/>
          <w:highlight w:val="none"/>
        </w:rPr>
      </w:pPr>
      <w:r>
        <w:rPr>
          <w:rFonts w:hint="eastAsia" w:ascii="宋体" w:hAnsi="宋体" w:eastAsia="宋体" w:cs="宋体"/>
          <w:color w:val="auto"/>
          <w:spacing w:val="7"/>
          <w:position w:val="1"/>
          <w:sz w:val="24"/>
          <w:szCs w:val="24"/>
          <w:highlight w:val="none"/>
          <w:lang w:val="en-US" w:eastAsia="zh-CN"/>
        </w:rPr>
        <w:t>36、</w:t>
      </w:r>
      <w:r>
        <w:rPr>
          <w:rFonts w:hint="eastAsia" w:ascii="宋体" w:hAnsi="宋体" w:eastAsia="宋体" w:cs="宋体"/>
          <w:color w:val="auto"/>
          <w:spacing w:val="7"/>
          <w:position w:val="1"/>
          <w:sz w:val="24"/>
          <w:szCs w:val="24"/>
          <w:highlight w:val="none"/>
        </w:rPr>
        <w:t>质疑和投诉</w:t>
      </w:r>
    </w:p>
    <w:p w14:paraId="341453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64"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.1.</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、采购过程和中标、成交结果使自己的权益受到损害的，可以在知道或者应知</w:t>
      </w:r>
      <w:r>
        <w:rPr>
          <w:rFonts w:hint="eastAsia" w:ascii="宋体" w:hAnsi="宋体" w:eastAsia="宋体" w:cs="宋体"/>
          <w:color w:val="auto"/>
          <w:spacing w:val="18"/>
          <w:sz w:val="24"/>
          <w:szCs w:val="24"/>
          <w:highlight w:val="none"/>
        </w:rPr>
        <w:t>其权益</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9"/>
          <w:sz w:val="24"/>
          <w:szCs w:val="24"/>
          <w:highlight w:val="none"/>
        </w:rPr>
        <w:t>到损害之日起七个工作日内，以书面形式向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提出质疑。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应当在法定</w:t>
      </w:r>
      <w:r>
        <w:rPr>
          <w:rFonts w:hint="eastAsia" w:ascii="宋体" w:hAnsi="宋体" w:eastAsia="宋体" w:cs="宋体"/>
          <w:color w:val="auto"/>
          <w:spacing w:val="18"/>
          <w:sz w:val="24"/>
          <w:szCs w:val="24"/>
          <w:highlight w:val="none"/>
        </w:rPr>
        <w:t>质疑</w:t>
      </w:r>
      <w:r>
        <w:rPr>
          <w:rFonts w:hint="eastAsia" w:ascii="宋体" w:hAnsi="宋体" w:eastAsia="宋体" w:cs="宋体"/>
          <w:color w:val="auto"/>
          <w:spacing w:val="10"/>
          <w:sz w:val="24"/>
          <w:szCs w:val="24"/>
          <w:highlight w:val="none"/>
        </w:rPr>
        <w:t>期</w:t>
      </w:r>
      <w:r>
        <w:rPr>
          <w:rFonts w:hint="eastAsia" w:ascii="宋体" w:hAnsi="宋体" w:eastAsia="宋体" w:cs="宋体"/>
          <w:color w:val="auto"/>
          <w:spacing w:val="9"/>
          <w:sz w:val="24"/>
          <w:szCs w:val="24"/>
          <w:highlight w:val="none"/>
        </w:rPr>
        <w:t>内一次性提出针对同一采购程序环节的质疑。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应知其权益受到损害之日，是指：</w:t>
      </w:r>
    </w:p>
    <w:p w14:paraId="12F0E923">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(一)对可以质疑的</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提出质疑的，为收到</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之日或者</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公告期限届满之日</w:t>
      </w:r>
      <w:r>
        <w:rPr>
          <w:rFonts w:hint="eastAsia" w:ascii="宋体" w:hAnsi="宋体" w:eastAsia="宋体" w:cs="宋体"/>
          <w:color w:val="auto"/>
          <w:spacing w:val="3"/>
          <w:sz w:val="24"/>
          <w:szCs w:val="24"/>
          <w:highlight w:val="none"/>
        </w:rPr>
        <w:t>；</w:t>
      </w:r>
    </w:p>
    <w:p w14:paraId="52B84B93">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2"/>
          <w:sz w:val="24"/>
          <w:szCs w:val="24"/>
          <w:highlight w:val="none"/>
        </w:rPr>
        <w:t>二)对采购过程提出质疑的，为各采购程序环节结束之日；</w:t>
      </w:r>
    </w:p>
    <w:p w14:paraId="5E75CCBF">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(三</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对中标或者成交结果提出质疑的，为中标或者成交结果公告期限届满之日。</w:t>
      </w:r>
    </w:p>
    <w:p w14:paraId="57EF65AB">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.2</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提出质疑应当提交质疑函和必要的证明材料。质疑函应当包括下列内容：</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的姓名或者</w:t>
      </w:r>
      <w:r>
        <w:rPr>
          <w:rFonts w:hint="eastAsia" w:ascii="宋体" w:hAnsi="宋体" w:eastAsia="宋体" w:cs="宋体"/>
          <w:color w:val="auto"/>
          <w:spacing w:val="18"/>
          <w:sz w:val="24"/>
          <w:szCs w:val="24"/>
          <w:highlight w:val="none"/>
        </w:rPr>
        <w:t>名称、</w:t>
      </w:r>
      <w:r>
        <w:rPr>
          <w:rFonts w:hint="eastAsia" w:ascii="宋体" w:hAnsi="宋体" w:eastAsia="宋体" w:cs="宋体"/>
          <w:color w:val="auto"/>
          <w:spacing w:val="14"/>
          <w:sz w:val="24"/>
          <w:szCs w:val="24"/>
          <w:highlight w:val="none"/>
        </w:rPr>
        <w:t>地</w:t>
      </w:r>
      <w:r>
        <w:rPr>
          <w:rFonts w:hint="eastAsia" w:ascii="宋体" w:hAnsi="宋体" w:eastAsia="宋体" w:cs="宋体"/>
          <w:color w:val="auto"/>
          <w:spacing w:val="9"/>
          <w:sz w:val="24"/>
          <w:szCs w:val="24"/>
          <w:highlight w:val="none"/>
        </w:rPr>
        <w:t>址、邮编、联系人及联系电话；质疑项目的名称、编号；具体、明确的质疑事项和与质疑事项相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6"/>
          <w:sz w:val="24"/>
          <w:szCs w:val="24"/>
          <w:highlight w:val="none"/>
        </w:rPr>
        <w:t>请求；事实依据；必要的法律依据；提出质疑的日期。(具体格式详见附件)</w:t>
      </w:r>
    </w:p>
    <w:p w14:paraId="40581F59">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4"/>
          <w:szCs w:val="24"/>
          <w:highlight w:val="none"/>
        </w:rPr>
      </w:pP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6"/>
          <w:sz w:val="24"/>
          <w:szCs w:val="24"/>
          <w:highlight w:val="none"/>
        </w:rPr>
        <w:t>自然人的，应当由本人签字；</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为法人或者其他组织的，应当由法定代表人、主要负责人，</w:t>
      </w:r>
      <w:r>
        <w:rPr>
          <w:rFonts w:hint="eastAsia" w:ascii="宋体" w:hAnsi="宋体" w:eastAsia="宋体" w:cs="宋体"/>
          <w:color w:val="auto"/>
          <w:spacing w:val="9"/>
          <w:sz w:val="24"/>
          <w:szCs w:val="24"/>
          <w:highlight w:val="none"/>
        </w:rPr>
        <w:t>或者其授权代表签字或者盖章，并加盖公章</w:t>
      </w:r>
      <w:r>
        <w:rPr>
          <w:rFonts w:hint="eastAsia" w:ascii="宋体" w:hAnsi="宋体" w:eastAsia="宋体" w:cs="宋体"/>
          <w:color w:val="auto"/>
          <w:spacing w:val="7"/>
          <w:sz w:val="24"/>
          <w:szCs w:val="24"/>
          <w:highlight w:val="none"/>
        </w:rPr>
        <w:t>。</w:t>
      </w:r>
    </w:p>
    <w:p w14:paraId="60F268C0">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.3</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质疑、投诉应当有明确的请求和必要的证明材料。</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投诉的事项不得超出已质疑事项的</w:t>
      </w:r>
      <w:r>
        <w:rPr>
          <w:rFonts w:hint="eastAsia" w:ascii="宋体" w:hAnsi="宋体" w:eastAsia="宋体" w:cs="宋体"/>
          <w:color w:val="auto"/>
          <w:spacing w:val="18"/>
          <w:sz w:val="24"/>
          <w:szCs w:val="24"/>
          <w:highlight w:val="none"/>
        </w:rPr>
        <w:t>范</w:t>
      </w:r>
      <w:r>
        <w:rPr>
          <w:rFonts w:hint="eastAsia" w:ascii="宋体" w:hAnsi="宋体" w:eastAsia="宋体" w:cs="宋体"/>
          <w:color w:val="auto"/>
          <w:spacing w:val="13"/>
          <w:sz w:val="24"/>
          <w:szCs w:val="24"/>
          <w:highlight w:val="none"/>
        </w:rPr>
        <w:t>围</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及</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按《政府采购质疑和投诉办法》进行处理</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质疑事项。</w:t>
      </w:r>
    </w:p>
    <w:p w14:paraId="5DFABBB3">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.4质疑</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对</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的质疑答复不满意，或者</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未在规定期限</w:t>
      </w:r>
      <w:r>
        <w:rPr>
          <w:rFonts w:hint="eastAsia" w:ascii="宋体" w:hAnsi="宋体" w:eastAsia="宋体" w:cs="宋体"/>
          <w:color w:val="auto"/>
          <w:spacing w:val="10"/>
          <w:sz w:val="24"/>
          <w:szCs w:val="24"/>
          <w:highlight w:val="none"/>
        </w:rPr>
        <w:t>内作出答</w:t>
      </w:r>
      <w:r>
        <w:rPr>
          <w:rFonts w:hint="eastAsia" w:ascii="宋体" w:hAnsi="宋体" w:eastAsia="宋体" w:cs="宋体"/>
          <w:color w:val="auto"/>
          <w:spacing w:val="8"/>
          <w:sz w:val="24"/>
          <w:szCs w:val="24"/>
          <w:highlight w:val="none"/>
        </w:rPr>
        <w:t>复</w:t>
      </w:r>
      <w:r>
        <w:rPr>
          <w:rFonts w:hint="eastAsia" w:ascii="宋体" w:hAnsi="宋体" w:eastAsia="宋体" w:cs="宋体"/>
          <w:color w:val="auto"/>
          <w:spacing w:val="5"/>
          <w:sz w:val="24"/>
          <w:szCs w:val="24"/>
          <w:highlight w:val="none"/>
        </w:rPr>
        <w:t>的，</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5"/>
          <w:sz w:val="24"/>
          <w:szCs w:val="24"/>
          <w:highlight w:val="none"/>
        </w:rPr>
        <w:t>可以在答复期满后15个工作日内向同级财政部门提起投诉。</w:t>
      </w:r>
    </w:p>
    <w:p w14:paraId="7194ACED">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5</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有下列情形之一的，将其列入不良行为记录名单：</w:t>
      </w:r>
    </w:p>
    <w:p w14:paraId="54D4FD1C">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7"/>
          <w:sz w:val="24"/>
          <w:szCs w:val="24"/>
          <w:highlight w:val="none"/>
        </w:rPr>
        <w:t>一)一年内三次以上质疑均查无实据的；</w:t>
      </w:r>
    </w:p>
    <w:p w14:paraId="17B20FC4">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(二)捏造事实或者提供虚假质疑材料的</w:t>
      </w:r>
      <w:r>
        <w:rPr>
          <w:rFonts w:hint="eastAsia" w:ascii="宋体" w:hAnsi="宋体" w:eastAsia="宋体" w:cs="宋体"/>
          <w:color w:val="auto"/>
          <w:spacing w:val="12"/>
          <w:sz w:val="24"/>
          <w:szCs w:val="24"/>
          <w:highlight w:val="none"/>
        </w:rPr>
        <w:t>。</w:t>
      </w:r>
    </w:p>
    <w:p w14:paraId="3E8F4858">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1"/>
          <w:sz w:val="24"/>
          <w:szCs w:val="24"/>
          <w:highlight w:val="none"/>
        </w:rPr>
        <w:t>三</w:t>
      </w:r>
      <w:r>
        <w:rPr>
          <w:rFonts w:hint="eastAsia" w:ascii="宋体" w:hAnsi="宋体" w:eastAsia="宋体" w:cs="宋体"/>
          <w:color w:val="auto"/>
          <w:spacing w:val="8"/>
          <w:sz w:val="24"/>
          <w:szCs w:val="24"/>
          <w:highlight w:val="none"/>
        </w:rPr>
        <w:t>)以非法手段取得证明材料。证据来源的合法性存在明显疑问，质疑人无法证明其取得方式合法的，</w:t>
      </w:r>
      <w:r>
        <w:rPr>
          <w:rFonts w:hint="eastAsia" w:ascii="宋体" w:hAnsi="宋体" w:eastAsia="宋体" w:cs="宋体"/>
          <w:color w:val="auto"/>
          <w:spacing w:val="16"/>
          <w:sz w:val="24"/>
          <w:szCs w:val="24"/>
          <w:highlight w:val="none"/>
        </w:rPr>
        <w:t>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8"/>
          <w:sz w:val="24"/>
          <w:szCs w:val="24"/>
          <w:highlight w:val="none"/>
        </w:rPr>
        <w:t>以非法手段取得证明材料。</w:t>
      </w:r>
    </w:p>
    <w:p w14:paraId="1744D9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6" w:type="default"/>
          <w:pgSz w:w="11906" w:h="16839"/>
          <w:pgMar w:top="1431" w:right="1111" w:bottom="1156" w:left="1087" w:header="0" w:footer="996" w:gutter="0"/>
          <w:pgNumType w:fmt="decimal" w:start="1"/>
          <w:cols w:space="720" w:num="1"/>
        </w:sectPr>
      </w:pPr>
    </w:p>
    <w:p w14:paraId="2961A791">
      <w:pPr>
        <w:spacing w:before="60"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5A0E37C9">
      <w:pPr>
        <w:spacing w:line="343" w:lineRule="auto"/>
        <w:rPr>
          <w:rFonts w:hint="eastAsia" w:ascii="宋体" w:hAnsi="宋体" w:eastAsia="宋体" w:cs="宋体"/>
          <w:color w:val="auto"/>
          <w:sz w:val="24"/>
          <w:szCs w:val="24"/>
          <w:highlight w:val="none"/>
        </w:rPr>
      </w:pPr>
    </w:p>
    <w:p w14:paraId="75EB618C">
      <w:pPr>
        <w:spacing w:line="344" w:lineRule="auto"/>
        <w:rPr>
          <w:rFonts w:hint="eastAsia" w:ascii="宋体" w:hAnsi="宋体" w:eastAsia="宋体" w:cs="宋体"/>
          <w:color w:val="auto"/>
          <w:sz w:val="24"/>
          <w:szCs w:val="24"/>
          <w:highlight w:val="none"/>
        </w:rPr>
      </w:pPr>
    </w:p>
    <w:p w14:paraId="079D8B92">
      <w:pPr>
        <w:spacing w:before="101" w:line="548" w:lineRule="exact"/>
        <w:ind w:left="210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14:textOutline w14:w="5793" w14:cap="sq" w14:cmpd="sng">
            <w14:solidFill>
              <w14:srgbClr w14:val="000000"/>
            </w14:solidFill>
            <w14:prstDash w14:val="solid"/>
            <w14:bevel/>
          </w14:textOutline>
        </w:rPr>
        <w:t>政</w:t>
      </w:r>
      <w:r>
        <w:rPr>
          <w:rFonts w:hint="eastAsia" w:ascii="宋体" w:hAnsi="宋体" w:eastAsia="宋体" w:cs="宋体"/>
          <w:color w:val="auto"/>
          <w:spacing w:val="9"/>
          <w:position w:val="17"/>
          <w:sz w:val="24"/>
          <w:szCs w:val="24"/>
          <w:highlight w:val="none"/>
          <w14:textOutline w14:w="5793" w14:cap="sq" w14:cmpd="sng">
            <w14:solidFill>
              <w14:srgbClr w14:val="000000"/>
            </w14:solidFill>
            <w14:prstDash w14:val="solid"/>
            <w14:bevel/>
          </w14:textOutline>
        </w:rPr>
        <w:t>府采购投诉书(范本)、质疑函范本</w:t>
      </w:r>
    </w:p>
    <w:p w14:paraId="112664DC">
      <w:pPr>
        <w:spacing w:line="219" w:lineRule="auto"/>
        <w:ind w:left="3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5103" w14:cap="sq" w14:cmpd="sng">
            <w14:solidFill>
              <w14:srgbClr w14:val="000000"/>
            </w14:solidFill>
            <w14:prstDash w14:val="solid"/>
            <w14:bevel/>
          </w14:textOutline>
        </w:rPr>
        <w:t>政府采购投诉书(范本)</w:t>
      </w:r>
    </w:p>
    <w:p w14:paraId="41298DCC">
      <w:pPr>
        <w:spacing w:line="88" w:lineRule="exact"/>
        <w:rPr>
          <w:rFonts w:hint="eastAsia" w:ascii="宋体" w:hAnsi="宋体" w:eastAsia="宋体" w:cs="宋体"/>
          <w:color w:val="auto"/>
          <w:sz w:val="24"/>
          <w:szCs w:val="24"/>
          <w:highlight w:val="none"/>
        </w:rPr>
      </w:pPr>
    </w:p>
    <w:p w14:paraId="7E2A0ABF">
      <w:pPr>
        <w:rPr>
          <w:rFonts w:hint="eastAsia" w:ascii="宋体" w:hAnsi="宋体" w:eastAsia="宋体" w:cs="宋体"/>
          <w:color w:val="auto"/>
          <w:sz w:val="24"/>
          <w:szCs w:val="24"/>
          <w:highlight w:val="none"/>
        </w:rPr>
        <w:sectPr>
          <w:footerReference r:id="rId7" w:type="default"/>
          <w:pgSz w:w="11906" w:h="16839"/>
          <w:pgMar w:top="1431" w:right="1111" w:bottom="1156" w:left="1087" w:header="0" w:footer="996" w:gutter="0"/>
          <w:pgNumType w:fmt="decimal"/>
          <w:cols w:equalWidth="0" w:num="1">
            <w:col w:w="9708"/>
          </w:cols>
        </w:sectPr>
      </w:pPr>
    </w:p>
    <w:p w14:paraId="192F45F0">
      <w:pPr>
        <w:spacing w:before="42" w:line="369" w:lineRule="auto"/>
        <w:ind w:right="435" w:firstLine="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5"/>
          <w:sz w:val="24"/>
          <w:szCs w:val="24"/>
          <w:highlight w:val="none"/>
        </w:rPr>
        <w:t>诉人：</w:t>
      </w:r>
      <w:r>
        <w:rPr>
          <w:rFonts w:hint="eastAsia" w:ascii="宋体" w:hAnsi="宋体" w:eastAsia="宋体" w:cs="宋体"/>
          <w:color w:val="auto"/>
          <w:spacing w:val="-8"/>
          <w:sz w:val="24"/>
          <w:szCs w:val="24"/>
          <w:highlight w:val="none"/>
        </w:rPr>
        <w:t>地址：</w:t>
      </w:r>
      <w:r>
        <w:rPr>
          <w:rFonts w:hint="eastAsia" w:ascii="宋体" w:hAnsi="宋体" w:eastAsia="宋体" w:cs="宋体"/>
          <w:color w:val="auto"/>
          <w:sz w:val="24"/>
          <w:szCs w:val="24"/>
          <w:highlight w:val="none"/>
        </w:rPr>
        <w:t>委托代理人姓名：</w:t>
      </w:r>
      <w:r>
        <w:rPr>
          <w:rFonts w:hint="eastAsia" w:ascii="宋体" w:hAnsi="宋体" w:eastAsia="宋体" w:cs="宋体"/>
          <w:color w:val="auto"/>
          <w:spacing w:val="-8"/>
          <w:sz w:val="24"/>
          <w:szCs w:val="24"/>
          <w:highlight w:val="none"/>
        </w:rPr>
        <w:t>住址：</w:t>
      </w:r>
      <w:r>
        <w:rPr>
          <w:rFonts w:hint="eastAsia" w:ascii="宋体" w:hAnsi="宋体" w:eastAsia="宋体" w:cs="宋体"/>
          <w:color w:val="auto"/>
          <w:spacing w:val="6"/>
          <w:sz w:val="24"/>
          <w:szCs w:val="24"/>
          <w:highlight w:val="none"/>
        </w:rPr>
        <w:t>被投诉人：</w:t>
      </w:r>
    </w:p>
    <w:p w14:paraId="74FBE430">
      <w:pPr>
        <w:spacing w:before="1" w:line="19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地址：</w:t>
      </w:r>
    </w:p>
    <w:p w14:paraId="754F01E1">
      <w:pPr>
        <w:spacing w:line="1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797AF32E">
      <w:pPr>
        <w:spacing w:before="40" w:line="368" w:lineRule="auto"/>
        <w:ind w:firstLine="774"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4DF66710">
      <w:pPr>
        <w:spacing w:before="1" w:line="229" w:lineRule="auto"/>
        <w:ind w:left="6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6CD9AE7A">
      <w:pPr>
        <w:spacing w:before="151" w:line="228" w:lineRule="auto"/>
        <w:ind w:left="63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职务</w:t>
      </w:r>
      <w:r>
        <w:rPr>
          <w:rFonts w:hint="eastAsia" w:ascii="宋体" w:hAnsi="宋体" w:eastAsia="宋体" w:cs="宋体"/>
          <w:color w:val="auto"/>
          <w:spacing w:val="2"/>
          <w:sz w:val="24"/>
          <w:szCs w:val="24"/>
          <w:highlight w:val="none"/>
        </w:rPr>
        <w:t>：</w:t>
      </w:r>
    </w:p>
    <w:p w14:paraId="5F01E64A">
      <w:pPr>
        <w:spacing w:before="154" w:line="368" w:lineRule="auto"/>
        <w:ind w:left="211" w:firstLine="51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16B06173">
      <w:pPr>
        <w:spacing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3D486697">
      <w:pPr>
        <w:spacing w:before="156" w:line="193" w:lineRule="auto"/>
        <w:ind w:left="6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71195212">
      <w:pPr>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2">
            <w:col w:w="2737" w:space="100"/>
            <w:col w:w="6872"/>
          </w:cols>
        </w:sectPr>
      </w:pPr>
    </w:p>
    <w:p w14:paraId="1992C64B">
      <w:pPr>
        <w:spacing w:line="261" w:lineRule="auto"/>
        <w:rPr>
          <w:rFonts w:hint="eastAsia" w:ascii="宋体" w:hAnsi="宋体" w:eastAsia="宋体" w:cs="宋体"/>
          <w:color w:val="auto"/>
          <w:sz w:val="24"/>
          <w:szCs w:val="24"/>
          <w:highlight w:val="none"/>
        </w:rPr>
      </w:pPr>
    </w:p>
    <w:p w14:paraId="143CA9FA">
      <w:pPr>
        <w:spacing w:line="262" w:lineRule="auto"/>
        <w:rPr>
          <w:rFonts w:hint="eastAsia" w:ascii="宋体" w:hAnsi="宋体" w:eastAsia="宋体" w:cs="宋体"/>
          <w:color w:val="auto"/>
          <w:sz w:val="24"/>
          <w:szCs w:val="24"/>
          <w:highlight w:val="none"/>
        </w:rPr>
      </w:pPr>
    </w:p>
    <w:p w14:paraId="1BB69C75">
      <w:pPr>
        <w:spacing w:before="66" w:line="369" w:lineRule="auto"/>
        <w:ind w:left="1"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我公司参加了年月日被投诉人组织的</w:t>
      </w:r>
      <w:r>
        <w:rPr>
          <w:rFonts w:hint="eastAsia" w:ascii="宋体" w:hAnsi="宋体" w:eastAsia="宋体" w:cs="宋体"/>
          <w:color w:val="auto"/>
          <w:spacing w:val="7"/>
          <w:sz w:val="24"/>
          <w:szCs w:val="24"/>
          <w:highlight w:val="none"/>
          <w:u w:val="single" w:color="auto"/>
        </w:rPr>
        <w:t>(</w:t>
      </w:r>
      <w:r>
        <w:rPr>
          <w:rFonts w:hint="eastAsia" w:ascii="宋体" w:hAnsi="宋体" w:cs="宋体"/>
          <w:color w:val="auto"/>
          <w:spacing w:val="7"/>
          <w:sz w:val="24"/>
          <w:szCs w:val="24"/>
          <w:highlight w:val="none"/>
          <w:u w:val="single" w:color="auto"/>
          <w:lang w:eastAsia="zh-CN"/>
        </w:rPr>
        <w:t>采购人</w:t>
      </w:r>
      <w:r>
        <w:rPr>
          <w:rFonts w:hint="eastAsia" w:ascii="宋体" w:hAnsi="宋体" w:eastAsia="宋体" w:cs="宋体"/>
          <w:color w:val="auto"/>
          <w:spacing w:val="7"/>
          <w:sz w:val="24"/>
          <w:szCs w:val="24"/>
          <w:highlight w:val="none"/>
          <w:u w:val="single" w:color="auto"/>
        </w:rPr>
        <w:t>)(项目名称)(项目编号)</w:t>
      </w:r>
      <w:r>
        <w:rPr>
          <w:rFonts w:hint="eastAsia" w:ascii="宋体" w:hAnsi="宋体" w:eastAsia="宋体" w:cs="宋体"/>
          <w:color w:val="auto"/>
          <w:spacing w:val="7"/>
          <w:sz w:val="24"/>
          <w:szCs w:val="24"/>
          <w:highlight w:val="none"/>
        </w:rPr>
        <w:t>的采购活</w:t>
      </w:r>
      <w:r>
        <w:rPr>
          <w:rFonts w:hint="eastAsia" w:ascii="宋体" w:hAnsi="宋体" w:eastAsia="宋体" w:cs="宋体"/>
          <w:color w:val="auto"/>
          <w:spacing w:val="6"/>
          <w:sz w:val="24"/>
          <w:szCs w:val="24"/>
          <w:highlight w:val="none"/>
        </w:rPr>
        <w:t>动</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我公司认为该项目的</w:t>
      </w:r>
      <w:r>
        <w:rPr>
          <w:rFonts w:hint="eastAsia" w:ascii="宋体" w:hAnsi="宋体" w:eastAsia="宋体" w:cs="宋体"/>
          <w:color w:val="auto"/>
          <w:spacing w:val="4"/>
          <w:sz w:val="24"/>
          <w:szCs w:val="24"/>
          <w:highlight w:val="none"/>
          <w:u w:val="single" w:color="auto"/>
        </w:rPr>
        <w:t>(</w:t>
      </w:r>
      <w:r>
        <w:rPr>
          <w:rFonts w:hint="eastAsia" w:ascii="宋体" w:hAnsi="宋体" w:cs="宋体"/>
          <w:color w:val="auto"/>
          <w:spacing w:val="4"/>
          <w:sz w:val="24"/>
          <w:szCs w:val="24"/>
          <w:highlight w:val="none"/>
          <w:u w:val="single" w:color="auto"/>
          <w:lang w:eastAsia="zh-CN"/>
        </w:rPr>
        <w:t>采购文件</w:t>
      </w:r>
      <w:r>
        <w:rPr>
          <w:rFonts w:hint="eastAsia" w:ascii="宋体" w:hAnsi="宋体" w:eastAsia="宋体" w:cs="宋体"/>
          <w:color w:val="auto"/>
          <w:spacing w:val="4"/>
          <w:sz w:val="24"/>
          <w:szCs w:val="24"/>
          <w:highlight w:val="none"/>
          <w:u w:val="single" w:color="auto"/>
        </w:rPr>
        <w:t>/采购过程</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2"/>
          <w:sz w:val="24"/>
          <w:szCs w:val="24"/>
          <w:highlight w:val="none"/>
          <w:u w:val="single" w:color="auto"/>
        </w:rPr>
        <w:t>中标(中标)结果)</w:t>
      </w:r>
      <w:r>
        <w:rPr>
          <w:rFonts w:hint="eastAsia" w:ascii="宋体" w:hAnsi="宋体" w:eastAsia="宋体" w:cs="宋体"/>
          <w:color w:val="auto"/>
          <w:spacing w:val="2"/>
          <w:sz w:val="24"/>
          <w:szCs w:val="24"/>
          <w:highlight w:val="none"/>
        </w:rPr>
        <w:t>损害了我公司权益，对此，我公司于年</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6"/>
          <w:sz w:val="24"/>
          <w:szCs w:val="24"/>
          <w:highlight w:val="none"/>
        </w:rPr>
        <w:t>日向</w:t>
      </w:r>
      <w:r>
        <w:rPr>
          <w:rFonts w:hint="eastAsia" w:ascii="宋体" w:hAnsi="宋体" w:eastAsia="宋体" w:cs="宋体"/>
          <w:color w:val="auto"/>
          <w:spacing w:val="6"/>
          <w:sz w:val="24"/>
          <w:szCs w:val="24"/>
          <w:highlight w:val="none"/>
          <w:u w:val="single" w:color="auto"/>
        </w:rPr>
        <w:t>(</w:t>
      </w:r>
      <w:r>
        <w:rPr>
          <w:rFonts w:hint="eastAsia" w:ascii="宋体" w:hAnsi="宋体" w:cs="宋体"/>
          <w:color w:val="auto"/>
          <w:spacing w:val="6"/>
          <w:sz w:val="24"/>
          <w:szCs w:val="24"/>
          <w:highlight w:val="none"/>
          <w:u w:val="single" w:color="auto"/>
          <w:lang w:eastAsia="zh-CN"/>
        </w:rPr>
        <w:t>采购人</w:t>
      </w:r>
      <w:r>
        <w:rPr>
          <w:rFonts w:hint="eastAsia" w:ascii="宋体" w:hAnsi="宋体" w:eastAsia="宋体" w:cs="宋体"/>
          <w:color w:val="auto"/>
          <w:spacing w:val="6"/>
          <w:sz w:val="24"/>
          <w:szCs w:val="24"/>
          <w:highlight w:val="none"/>
          <w:u w:val="single" w:color="auto"/>
        </w:rPr>
        <w:t>或者政府</w:t>
      </w:r>
      <w:r>
        <w:rPr>
          <w:rFonts w:hint="eastAsia" w:ascii="宋体" w:hAnsi="宋体" w:cs="宋体"/>
          <w:color w:val="auto"/>
          <w:spacing w:val="6"/>
          <w:sz w:val="24"/>
          <w:szCs w:val="24"/>
          <w:highlight w:val="none"/>
          <w:u w:val="single" w:color="auto"/>
          <w:lang w:eastAsia="zh-CN"/>
        </w:rPr>
        <w:t>采购代理机构</w:t>
      </w:r>
      <w:r>
        <w:rPr>
          <w:rFonts w:hint="eastAsia" w:ascii="宋体" w:hAnsi="宋体" w:eastAsia="宋体" w:cs="宋体"/>
          <w:color w:val="auto"/>
          <w:spacing w:val="6"/>
          <w:sz w:val="24"/>
          <w:szCs w:val="24"/>
          <w:highlight w:val="none"/>
          <w:u w:val="single" w:color="auto"/>
        </w:rPr>
        <w:t>)</w:t>
      </w:r>
      <w:r>
        <w:rPr>
          <w:rFonts w:hint="eastAsia" w:ascii="宋体" w:hAnsi="宋体" w:eastAsia="宋体" w:cs="宋体"/>
          <w:color w:val="auto"/>
          <w:spacing w:val="6"/>
          <w:sz w:val="24"/>
          <w:szCs w:val="24"/>
          <w:highlight w:val="none"/>
        </w:rPr>
        <w:t>提出了质疑，</w:t>
      </w:r>
      <w:r>
        <w:rPr>
          <w:rFonts w:hint="eastAsia" w:ascii="宋体" w:hAnsi="宋体" w:eastAsia="宋体" w:cs="宋体"/>
          <w:color w:val="auto"/>
          <w:spacing w:val="6"/>
          <w:sz w:val="24"/>
          <w:szCs w:val="24"/>
          <w:highlight w:val="none"/>
          <w:u w:val="single" w:color="auto"/>
        </w:rPr>
        <w:t>(其于年月日作出书面答复，因对其</w:t>
      </w:r>
      <w:r>
        <w:rPr>
          <w:rFonts w:hint="eastAsia" w:ascii="宋体" w:hAnsi="宋体" w:eastAsia="宋体" w:cs="宋体"/>
          <w:color w:val="auto"/>
          <w:spacing w:val="4"/>
          <w:sz w:val="24"/>
          <w:szCs w:val="24"/>
          <w:highlight w:val="none"/>
          <w:u w:val="single" w:color="auto"/>
        </w:rPr>
        <w:t>作出的答复不满意)/(被质疑人未在法定期内予以答复，按照政府采购有关规定)</w:t>
      </w:r>
      <w:r>
        <w:rPr>
          <w:rFonts w:hint="eastAsia" w:ascii="宋体" w:hAnsi="宋体" w:eastAsia="宋体" w:cs="宋体"/>
          <w:color w:val="auto"/>
          <w:spacing w:val="4"/>
          <w:sz w:val="24"/>
          <w:szCs w:val="24"/>
          <w:highlight w:val="none"/>
        </w:rPr>
        <w:t>，现向贵机关提起投诉：</w:t>
      </w:r>
    </w:p>
    <w:p w14:paraId="11010CC5">
      <w:pPr>
        <w:spacing w:line="224"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u w:val="single" w:color="auto"/>
        </w:rPr>
        <w:t>具体的投诉事项及事实依据；</w:t>
      </w:r>
    </w:p>
    <w:p w14:paraId="23A1FE91">
      <w:pPr>
        <w:spacing w:before="158" w:line="227"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u w:val="single" w:color="auto"/>
        </w:rPr>
        <w:t>质疑和质疑答复情况简要描述；</w:t>
      </w:r>
    </w:p>
    <w:p w14:paraId="0D1A812A">
      <w:pPr>
        <w:spacing w:before="153" w:line="22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u w:val="single" w:color="auto"/>
        </w:rPr>
        <w:t>投诉请求。</w:t>
      </w:r>
    </w:p>
    <w:p w14:paraId="285EDF69">
      <w:pPr>
        <w:spacing w:before="153" w:line="401"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3"/>
          <w:position w:val="14"/>
          <w:sz w:val="24"/>
          <w:szCs w:val="24"/>
          <w:highlight w:val="none"/>
        </w:rPr>
        <w:t>附</w:t>
      </w:r>
      <w:r>
        <w:rPr>
          <w:rFonts w:hint="eastAsia" w:ascii="宋体" w:hAnsi="宋体" w:eastAsia="宋体" w:cs="宋体"/>
          <w:color w:val="auto"/>
          <w:spacing w:val="-2"/>
          <w:position w:val="14"/>
          <w:sz w:val="24"/>
          <w:szCs w:val="24"/>
          <w:highlight w:val="none"/>
        </w:rPr>
        <w:t>件：</w:t>
      </w:r>
    </w:p>
    <w:p w14:paraId="6B6688DC">
      <w:pPr>
        <w:spacing w:line="270" w:lineRule="exact"/>
        <w:ind w:left="16"/>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1</w:t>
      </w:r>
      <w:r>
        <w:rPr>
          <w:rFonts w:hint="eastAsia" w:ascii="宋体" w:hAnsi="宋体" w:eastAsia="宋体" w:cs="宋体"/>
          <w:color w:val="auto"/>
          <w:spacing w:val="6"/>
          <w:position w:val="1"/>
          <w:sz w:val="24"/>
          <w:szCs w:val="24"/>
          <w:highlight w:val="none"/>
        </w:rPr>
        <w:t>.质疑书和质疑答复书；</w:t>
      </w:r>
    </w:p>
    <w:p w14:paraId="04681369">
      <w:pPr>
        <w:spacing w:before="128" w:line="401" w:lineRule="exact"/>
        <w:ind w:left="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4"/>
          <w:sz w:val="24"/>
          <w:szCs w:val="24"/>
          <w:highlight w:val="none"/>
        </w:rPr>
        <w:t>2</w:t>
      </w:r>
      <w:r>
        <w:rPr>
          <w:rFonts w:hint="eastAsia" w:ascii="宋体" w:hAnsi="宋体" w:eastAsia="宋体" w:cs="宋体"/>
          <w:color w:val="auto"/>
          <w:spacing w:val="11"/>
          <w:position w:val="14"/>
          <w:sz w:val="24"/>
          <w:szCs w:val="24"/>
          <w:highlight w:val="none"/>
        </w:rPr>
        <w:t>.</w:t>
      </w:r>
      <w:r>
        <w:rPr>
          <w:rFonts w:hint="eastAsia" w:ascii="宋体" w:hAnsi="宋体" w:eastAsia="宋体" w:cs="宋体"/>
          <w:color w:val="auto"/>
          <w:spacing w:val="8"/>
          <w:position w:val="14"/>
          <w:sz w:val="24"/>
          <w:szCs w:val="24"/>
          <w:highlight w:val="none"/>
        </w:rPr>
        <w:t>证据材料(需注明证据来源)，证人的姓名、住址和联系方式等；</w:t>
      </w:r>
    </w:p>
    <w:p w14:paraId="5D25603D">
      <w:pPr>
        <w:spacing w:line="269"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3.营业执照</w:t>
      </w:r>
      <w:r>
        <w:rPr>
          <w:rFonts w:hint="eastAsia" w:ascii="宋体" w:hAnsi="宋体" w:eastAsia="宋体" w:cs="宋体"/>
          <w:color w:val="auto"/>
          <w:spacing w:val="4"/>
          <w:position w:val="1"/>
          <w:sz w:val="24"/>
          <w:szCs w:val="24"/>
          <w:highlight w:val="none"/>
        </w:rPr>
        <w:t>；</w:t>
      </w:r>
    </w:p>
    <w:p w14:paraId="7B3E55E7">
      <w:pPr>
        <w:spacing w:before="132" w:line="398" w:lineRule="exact"/>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4</w:t>
      </w:r>
      <w:r>
        <w:rPr>
          <w:rFonts w:hint="eastAsia" w:ascii="宋体" w:hAnsi="宋体" w:eastAsia="宋体" w:cs="宋体"/>
          <w:color w:val="auto"/>
          <w:spacing w:val="8"/>
          <w:position w:val="14"/>
          <w:sz w:val="24"/>
          <w:szCs w:val="24"/>
          <w:highlight w:val="none"/>
        </w:rPr>
        <w:t>.法定代表人身份证明函</w:t>
      </w:r>
    </w:p>
    <w:p w14:paraId="064F0A86">
      <w:pPr>
        <w:spacing w:line="224"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5.</w:t>
      </w:r>
      <w:r>
        <w:rPr>
          <w:rFonts w:hint="eastAsia" w:ascii="宋体" w:hAnsi="宋体" w:eastAsia="宋体" w:cs="宋体"/>
          <w:color w:val="auto"/>
          <w:spacing w:val="13"/>
          <w:sz w:val="24"/>
          <w:szCs w:val="24"/>
          <w:highlight w:val="none"/>
        </w:rPr>
        <w:t>法</w:t>
      </w:r>
      <w:r>
        <w:rPr>
          <w:rFonts w:hint="eastAsia" w:ascii="宋体" w:hAnsi="宋体" w:eastAsia="宋体" w:cs="宋体"/>
          <w:color w:val="auto"/>
          <w:spacing w:val="8"/>
          <w:sz w:val="24"/>
          <w:szCs w:val="24"/>
          <w:highlight w:val="none"/>
        </w:rPr>
        <w:t>定代表人授权委托书(包含法定代表人和委托代理人的身份证复印件)；</w:t>
      </w:r>
    </w:p>
    <w:p w14:paraId="6F0F2503">
      <w:pPr>
        <w:spacing w:before="158" w:line="269"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8"/>
          <w:position w:val="1"/>
          <w:sz w:val="24"/>
          <w:szCs w:val="24"/>
          <w:highlight w:val="none"/>
        </w:rPr>
        <w:t>政府采购监管部门认为应当提供的其它材料。</w:t>
      </w:r>
    </w:p>
    <w:p w14:paraId="4F848B61">
      <w:pPr>
        <w:spacing w:before="132" w:line="227" w:lineRule="auto"/>
        <w:ind w:left="31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投诉</w:t>
      </w: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：(盖章</w:t>
      </w:r>
      <w:r>
        <w:rPr>
          <w:rFonts w:hint="eastAsia" w:ascii="宋体" w:hAnsi="宋体" w:eastAsia="宋体" w:cs="宋体"/>
          <w:color w:val="auto"/>
          <w:sz w:val="24"/>
          <w:szCs w:val="24"/>
          <w:highlight w:val="none"/>
        </w:rPr>
        <w:t>)</w:t>
      </w:r>
    </w:p>
    <w:p w14:paraId="2FC7B683">
      <w:pPr>
        <w:spacing w:before="152" w:line="225" w:lineRule="auto"/>
        <w:ind w:left="31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3"/>
          <w:sz w:val="24"/>
          <w:szCs w:val="24"/>
          <w:highlight w:val="none"/>
        </w:rPr>
        <w:t>或</w:t>
      </w:r>
      <w:r>
        <w:rPr>
          <w:rFonts w:hint="eastAsia" w:ascii="宋体" w:hAnsi="宋体" w:eastAsia="宋体" w:cs="宋体"/>
          <w:color w:val="auto"/>
          <w:spacing w:val="2"/>
          <w:sz w:val="24"/>
          <w:szCs w:val="24"/>
          <w:highlight w:val="none"/>
        </w:rPr>
        <w:t>主要负责人)：(签字)</w:t>
      </w:r>
    </w:p>
    <w:p w14:paraId="5D866B74">
      <w:pPr>
        <w:tabs>
          <w:tab w:val="left" w:pos="3990"/>
        </w:tabs>
        <w:spacing w:before="157" w:line="228" w:lineRule="auto"/>
        <w:ind w:left="3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1"/>
          <w:sz w:val="24"/>
          <w:szCs w:val="24"/>
          <w:highlight w:val="none"/>
        </w:rPr>
        <w:t>年</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日</w:t>
      </w:r>
    </w:p>
    <w:p w14:paraId="6B99F834">
      <w:pPr>
        <w:spacing w:before="154" w:line="193" w:lineRule="auto"/>
        <w:ind w:right="65"/>
        <w:jc w:val="right"/>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1">
            <w:col w:w="9708"/>
          </w:cols>
        </w:sectPr>
      </w:pPr>
      <w:r>
        <w:rPr>
          <w:rFonts w:hint="eastAsia" w:ascii="宋体" w:hAnsi="宋体" w:eastAsia="宋体" w:cs="宋体"/>
          <w:color w:val="auto"/>
          <w:spacing w:val="8"/>
          <w:sz w:val="24"/>
          <w:szCs w:val="24"/>
          <w:highlight w:val="none"/>
        </w:rPr>
        <w:t>本投诉书正本份，副本份并附电子文档</w:t>
      </w:r>
      <w:r>
        <w:rPr>
          <w:rFonts w:hint="eastAsia" w:ascii="宋体" w:hAnsi="宋体" w:eastAsia="宋体" w:cs="宋体"/>
          <w:color w:val="auto"/>
          <w:spacing w:val="4"/>
          <w:sz w:val="24"/>
          <w:szCs w:val="24"/>
          <w:highlight w:val="none"/>
        </w:rPr>
        <w:t>。</w:t>
      </w:r>
    </w:p>
    <w:p w14:paraId="4A979465">
      <w:pPr>
        <w:spacing w:before="162" w:line="22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t>投诉相关说明</w:t>
      </w:r>
    </w:p>
    <w:p w14:paraId="600E3B77">
      <w:pPr>
        <w:keepNext w:val="0"/>
        <w:keepLines w:val="0"/>
        <w:pageBreakBefore w:val="0"/>
        <w:widowControl/>
        <w:kinsoku w:val="0"/>
        <w:wordWrap/>
        <w:overflowPunct/>
        <w:topLinePunct w:val="0"/>
        <w:autoSpaceDE w:val="0"/>
        <w:autoSpaceDN w:val="0"/>
        <w:bidi w:val="0"/>
        <w:adjustRightInd w:val="0"/>
        <w:snapToGrid w:val="0"/>
        <w:spacing w:before="232" w:line="360" w:lineRule="auto"/>
        <w:ind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投诉人</w:t>
      </w:r>
      <w:r>
        <w:rPr>
          <w:rFonts w:hint="eastAsia" w:ascii="宋体" w:hAnsi="宋体" w:eastAsia="宋体" w:cs="宋体"/>
          <w:color w:val="auto"/>
          <w:spacing w:val="12"/>
          <w:sz w:val="24"/>
          <w:szCs w:val="24"/>
          <w:highlight w:val="none"/>
        </w:rPr>
        <w:t>应</w:t>
      </w:r>
      <w:r>
        <w:rPr>
          <w:rFonts w:hint="eastAsia" w:ascii="宋体" w:hAnsi="宋体" w:eastAsia="宋体" w:cs="宋体"/>
          <w:color w:val="auto"/>
          <w:spacing w:val="9"/>
          <w:sz w:val="24"/>
          <w:szCs w:val="24"/>
          <w:highlight w:val="none"/>
        </w:rPr>
        <w:t>当满足《</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民共和国政府采购法实施条例》和《政府采购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投诉处理办法》的相</w:t>
      </w:r>
      <w:r>
        <w:rPr>
          <w:rFonts w:hint="eastAsia" w:ascii="宋体" w:hAnsi="宋体" w:eastAsia="宋体" w:cs="宋体"/>
          <w:color w:val="auto"/>
          <w:spacing w:val="5"/>
          <w:sz w:val="24"/>
          <w:szCs w:val="24"/>
          <w:highlight w:val="none"/>
        </w:rPr>
        <w:t>关</w:t>
      </w:r>
      <w:r>
        <w:rPr>
          <w:rFonts w:hint="eastAsia" w:ascii="宋体" w:hAnsi="宋体" w:eastAsia="宋体" w:cs="宋体"/>
          <w:color w:val="auto"/>
          <w:spacing w:val="4"/>
          <w:sz w:val="24"/>
          <w:szCs w:val="24"/>
          <w:highlight w:val="none"/>
        </w:rPr>
        <w:t>规定。</w:t>
      </w:r>
    </w:p>
    <w:p w14:paraId="3F529BBA">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position w:val="2"/>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3795" w14:cap="sq" w14:cmpd="sng">
            <w14:solidFill>
              <w14:srgbClr w14:val="000000"/>
            </w14:solidFill>
            <w14:prstDash w14:val="solid"/>
            <w14:bevel/>
          </w14:textOutline>
        </w:rPr>
        <w:t>、质疑前置及时间要求</w:t>
      </w:r>
    </w:p>
    <w:p w14:paraId="1067F7BF">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民共和国政府采购法》第五十一条：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对政府采购活动事项有疑问的，可以向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提</w:t>
      </w:r>
      <w:r>
        <w:rPr>
          <w:rFonts w:hint="eastAsia" w:ascii="宋体" w:hAnsi="宋体" w:eastAsia="宋体" w:cs="宋体"/>
          <w:color w:val="auto"/>
          <w:spacing w:val="16"/>
          <w:sz w:val="24"/>
          <w:szCs w:val="24"/>
          <w:highlight w:val="none"/>
        </w:rPr>
        <w:t>出询</w:t>
      </w:r>
      <w:r>
        <w:rPr>
          <w:rFonts w:hint="eastAsia" w:ascii="宋体" w:hAnsi="宋体" w:eastAsia="宋体" w:cs="宋体"/>
          <w:color w:val="auto"/>
          <w:spacing w:val="15"/>
          <w:sz w:val="24"/>
          <w:szCs w:val="24"/>
          <w:highlight w:val="none"/>
        </w:rPr>
        <w:t>问</w:t>
      </w:r>
      <w:r>
        <w:rPr>
          <w:rFonts w:hint="eastAsia" w:ascii="宋体" w:hAnsi="宋体" w:eastAsia="宋体" w:cs="宋体"/>
          <w:color w:val="auto"/>
          <w:spacing w:val="8"/>
          <w:sz w:val="24"/>
          <w:szCs w:val="24"/>
          <w:highlight w:val="none"/>
        </w:rPr>
        <w:t>，</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应当及时作出答复，但答复的内容不得涉及商业秘密。</w:t>
      </w:r>
    </w:p>
    <w:p w14:paraId="7BBED0BD">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二条：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、采购过程和中标、中标结果使自己的权益受到损害的，可以在知</w:t>
      </w:r>
      <w:r>
        <w:rPr>
          <w:rFonts w:hint="eastAsia" w:ascii="宋体" w:hAnsi="宋体" w:eastAsia="宋体" w:cs="宋体"/>
          <w:color w:val="auto"/>
          <w:spacing w:val="12"/>
          <w:sz w:val="24"/>
          <w:szCs w:val="24"/>
          <w:highlight w:val="none"/>
        </w:rPr>
        <w:t>道或者</w:t>
      </w:r>
      <w:r>
        <w:rPr>
          <w:rFonts w:hint="eastAsia" w:ascii="宋体" w:hAnsi="宋体" w:eastAsia="宋体" w:cs="宋体"/>
          <w:color w:val="auto"/>
          <w:spacing w:val="7"/>
          <w:sz w:val="24"/>
          <w:szCs w:val="24"/>
          <w:highlight w:val="none"/>
        </w:rPr>
        <w:t>应</w:t>
      </w:r>
      <w:r>
        <w:rPr>
          <w:rFonts w:hint="eastAsia" w:ascii="宋体" w:hAnsi="宋体" w:eastAsia="宋体" w:cs="宋体"/>
          <w:color w:val="auto"/>
          <w:spacing w:val="6"/>
          <w:sz w:val="24"/>
          <w:szCs w:val="24"/>
          <w:highlight w:val="none"/>
        </w:rPr>
        <w:t>知其权益受到损害之日起七个工作日内，以书面形式向</w:t>
      </w:r>
      <w:r>
        <w:rPr>
          <w:rFonts w:hint="eastAsia" w:ascii="宋体" w:hAnsi="宋体" w:cs="宋体"/>
          <w:color w:val="auto"/>
          <w:spacing w:val="6"/>
          <w:sz w:val="24"/>
          <w:szCs w:val="24"/>
          <w:highlight w:val="none"/>
          <w:lang w:eastAsia="zh-CN"/>
        </w:rPr>
        <w:t>采购人</w:t>
      </w:r>
      <w:r>
        <w:rPr>
          <w:rFonts w:hint="eastAsia" w:ascii="宋体" w:hAnsi="宋体" w:eastAsia="宋体" w:cs="宋体"/>
          <w:color w:val="auto"/>
          <w:spacing w:val="6"/>
          <w:sz w:val="24"/>
          <w:szCs w:val="24"/>
          <w:highlight w:val="none"/>
        </w:rPr>
        <w:t>提出质疑。</w:t>
      </w:r>
    </w:p>
    <w:p w14:paraId="15ED8AD5">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8"/>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应当在收到</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的书面质疑后七个工作日内作出答复，并以书面形式通知质疑</w:t>
      </w:r>
      <w:r>
        <w:rPr>
          <w:rFonts w:hint="eastAsia" w:ascii="宋体" w:hAnsi="宋体" w:cs="宋体"/>
          <w:color w:val="auto"/>
          <w:spacing w:val="15"/>
          <w:sz w:val="24"/>
          <w:szCs w:val="24"/>
          <w:highlight w:val="none"/>
          <w:lang w:eastAsia="zh-CN"/>
        </w:rPr>
        <w:t>供应商</w:t>
      </w:r>
      <w:r>
        <w:rPr>
          <w:rFonts w:hint="eastAsia" w:ascii="宋体" w:hAnsi="宋体" w:eastAsia="宋体" w:cs="宋体"/>
          <w:color w:val="auto"/>
          <w:spacing w:val="9"/>
          <w:sz w:val="24"/>
          <w:szCs w:val="24"/>
          <w:highlight w:val="none"/>
        </w:rPr>
        <w:t>和其他有关</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，但答复的内容不得涉及商业秘密。</w:t>
      </w:r>
    </w:p>
    <w:p w14:paraId="12606501">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第五十</w:t>
      </w:r>
      <w:r>
        <w:rPr>
          <w:rFonts w:hint="eastAsia" w:ascii="宋体" w:hAnsi="宋体" w:eastAsia="宋体" w:cs="宋体"/>
          <w:color w:val="auto"/>
          <w:spacing w:val="9"/>
          <w:sz w:val="24"/>
          <w:szCs w:val="24"/>
          <w:highlight w:val="none"/>
        </w:rPr>
        <w:t>五条:质疑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的答复不满意或者</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未在规定</w:t>
      </w:r>
      <w:r>
        <w:rPr>
          <w:rFonts w:hint="eastAsia" w:ascii="宋体" w:hAnsi="宋体" w:eastAsia="宋体" w:cs="宋体"/>
          <w:color w:val="auto"/>
          <w:spacing w:val="12"/>
          <w:sz w:val="24"/>
          <w:szCs w:val="24"/>
          <w:highlight w:val="none"/>
        </w:rPr>
        <w:t>的</w:t>
      </w:r>
      <w:r>
        <w:rPr>
          <w:rFonts w:hint="eastAsia" w:ascii="宋体" w:hAnsi="宋体" w:eastAsia="宋体" w:cs="宋体"/>
          <w:color w:val="auto"/>
          <w:spacing w:val="9"/>
          <w:sz w:val="24"/>
          <w:szCs w:val="24"/>
          <w:highlight w:val="none"/>
        </w:rPr>
        <w:t>时间内作出答复的，可以在答复期满后十五个工作日内向同级政府采购监督管理部门投诉。</w:t>
      </w:r>
    </w:p>
    <w:p w14:paraId="5960BA41">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9"/>
          <w:sz w:val="24"/>
          <w:szCs w:val="24"/>
          <w:highlight w:val="none"/>
        </w:rPr>
        <w:t>采购实施条例》第五十五条：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质疑、投诉应当有明确的请求和必要的证明材料。</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11"/>
          <w:sz w:val="24"/>
          <w:szCs w:val="24"/>
          <w:highlight w:val="none"/>
        </w:rPr>
        <w:t>诉</w:t>
      </w:r>
      <w:r>
        <w:rPr>
          <w:rFonts w:hint="eastAsia" w:ascii="宋体" w:hAnsi="宋体" w:eastAsia="宋体" w:cs="宋体"/>
          <w:color w:val="auto"/>
          <w:spacing w:val="8"/>
          <w:sz w:val="24"/>
          <w:szCs w:val="24"/>
          <w:highlight w:val="none"/>
        </w:rPr>
        <w:t>的事项不得超出质疑事项的范围。</w:t>
      </w:r>
    </w:p>
    <w:p w14:paraId="5134139E">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1"/>
          <w:sz w:val="24"/>
          <w:szCs w:val="24"/>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8"/>
          <w:position w:val="1"/>
          <w:sz w:val="24"/>
          <w:szCs w:val="24"/>
          <w:highlight w:val="none"/>
          <w14:textOutline w14:w="3795" w14:cap="sq" w14:cmpd="sng">
            <w14:solidFill>
              <w14:srgbClr w14:val="000000"/>
            </w14:solidFill>
            <w14:prstDash w14:val="solid"/>
            <w14:bevel/>
          </w14:textOutline>
        </w:rPr>
        <w:t>、书面方式</w:t>
      </w:r>
    </w:p>
    <w:p w14:paraId="6815CDF3">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2" w:firstLine="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1"/>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投诉处理办法》第八条：投诉人投诉时，应当提交投诉书，并按照被投诉人以及与投诉事项有关的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数量提供投诉书的副本</w:t>
      </w:r>
      <w:r>
        <w:rPr>
          <w:rFonts w:hint="eastAsia" w:ascii="宋体" w:hAnsi="宋体" w:eastAsia="宋体" w:cs="宋体"/>
          <w:color w:val="auto"/>
          <w:spacing w:val="7"/>
          <w:sz w:val="24"/>
          <w:szCs w:val="24"/>
          <w:highlight w:val="none"/>
        </w:rPr>
        <w:t>。</w:t>
      </w:r>
    </w:p>
    <w:p w14:paraId="156DC1E7">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投</w:t>
      </w:r>
      <w:r>
        <w:rPr>
          <w:rFonts w:hint="eastAsia" w:ascii="宋体" w:hAnsi="宋体" w:eastAsia="宋体" w:cs="宋体"/>
          <w:color w:val="auto"/>
          <w:spacing w:val="8"/>
          <w:sz w:val="24"/>
          <w:szCs w:val="24"/>
          <w:highlight w:val="none"/>
        </w:rPr>
        <w:t>诉书应当包括下列主要内容：</w:t>
      </w:r>
    </w:p>
    <w:p w14:paraId="09EF59F2">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一)投诉人和被投诉人的名称、地址、电话等；</w:t>
      </w:r>
    </w:p>
    <w:p w14:paraId="5AD96BF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3"/>
          <w:sz w:val="24"/>
          <w:szCs w:val="24"/>
          <w:highlight w:val="none"/>
        </w:rPr>
        <w:t>二)具体的投诉事项及事实依据；</w:t>
      </w:r>
    </w:p>
    <w:p w14:paraId="2DB3F334">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三</w:t>
      </w:r>
      <w:r>
        <w:rPr>
          <w:rFonts w:hint="eastAsia" w:ascii="宋体" w:hAnsi="宋体" w:eastAsia="宋体" w:cs="宋体"/>
          <w:color w:val="auto"/>
          <w:spacing w:val="12"/>
          <w:sz w:val="24"/>
          <w:szCs w:val="24"/>
          <w:highlight w:val="none"/>
        </w:rPr>
        <w:t>)质疑和质疑答复情况及相关证明材料；</w:t>
      </w:r>
    </w:p>
    <w:p w14:paraId="45F0B196">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4"/>
          <w:sz w:val="24"/>
          <w:szCs w:val="24"/>
          <w:highlight w:val="none"/>
        </w:rPr>
        <w:t>四)提起投诉的日期。</w:t>
      </w:r>
    </w:p>
    <w:p w14:paraId="52C30A5C">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w:t>
      </w:r>
      <w:r>
        <w:rPr>
          <w:rFonts w:hint="eastAsia" w:ascii="宋体" w:hAnsi="宋体" w:eastAsia="宋体" w:cs="宋体"/>
          <w:color w:val="auto"/>
          <w:spacing w:val="16"/>
          <w:sz w:val="24"/>
          <w:szCs w:val="24"/>
          <w:highlight w:val="none"/>
        </w:rPr>
        <w:t>诉</w:t>
      </w:r>
      <w:r>
        <w:rPr>
          <w:rFonts w:hint="eastAsia" w:ascii="宋体" w:hAnsi="宋体" w:eastAsia="宋体" w:cs="宋体"/>
          <w:color w:val="auto"/>
          <w:spacing w:val="9"/>
          <w:sz w:val="24"/>
          <w:szCs w:val="24"/>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4"/>
          <w:szCs w:val="24"/>
          <w:highlight w:val="none"/>
        </w:rPr>
        <w:t>。</w:t>
      </w:r>
    </w:p>
    <w:p w14:paraId="73BD9CDA">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政</w:t>
      </w:r>
      <w:r>
        <w:rPr>
          <w:rFonts w:hint="eastAsia" w:ascii="宋体" w:hAnsi="宋体" w:eastAsia="宋体" w:cs="宋体"/>
          <w:color w:val="auto"/>
          <w:spacing w:val="9"/>
          <w:sz w:val="24"/>
          <w:szCs w:val="24"/>
          <w:highlight w:val="none"/>
        </w:rPr>
        <w:t>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投诉处理办法》第九条：投诉人可以委托代理人办理投诉事务。代理人办理投书</w:t>
      </w:r>
      <w:r>
        <w:rPr>
          <w:rFonts w:hint="eastAsia" w:ascii="宋体" w:hAnsi="宋体" w:eastAsia="宋体" w:cs="宋体"/>
          <w:color w:val="auto"/>
          <w:spacing w:val="10"/>
          <w:sz w:val="24"/>
          <w:szCs w:val="24"/>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4"/>
          <w:szCs w:val="24"/>
          <w:highlight w:val="none"/>
        </w:rPr>
        <w:t>代</w:t>
      </w:r>
      <w:r>
        <w:rPr>
          <w:rFonts w:hint="eastAsia" w:ascii="宋体" w:hAnsi="宋体" w:eastAsia="宋体" w:cs="宋体"/>
          <w:color w:val="auto"/>
          <w:spacing w:val="8"/>
          <w:sz w:val="24"/>
          <w:szCs w:val="24"/>
          <w:highlight w:val="none"/>
        </w:rPr>
        <w:t>理的具体权限和事项。</w:t>
      </w:r>
    </w:p>
    <w:p w14:paraId="1F98807C">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9"/>
          <w:sz w:val="24"/>
          <w:szCs w:val="24"/>
          <w:highlight w:val="none"/>
        </w:rPr>
        <w:t>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投诉处理办法》第十条：投诉人提起投诉应当符合下列条件：</w:t>
      </w:r>
    </w:p>
    <w:p w14:paraId="5C8A647D">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8"/>
          <w:sz w:val="24"/>
          <w:szCs w:val="24"/>
          <w:highlight w:val="none"/>
        </w:rPr>
        <w:t>)投诉人是参与所投诉政府采购活动的</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w:t>
      </w:r>
    </w:p>
    <w:p w14:paraId="022CFC66">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二)提起投诉诉前已依法进行质疑；</w:t>
      </w:r>
    </w:p>
    <w:p w14:paraId="5C10384E">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三)投诉书内容符合本办法的规定；</w:t>
      </w:r>
    </w:p>
    <w:p w14:paraId="7BDF757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3"/>
          <w:sz w:val="24"/>
          <w:szCs w:val="24"/>
          <w:highlight w:val="none"/>
        </w:rPr>
        <w:t>四)在投诉有效期内提起投诉；</w:t>
      </w:r>
    </w:p>
    <w:p w14:paraId="7BE7B703">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13"/>
          <w:sz w:val="24"/>
          <w:szCs w:val="24"/>
          <w:highlight w:val="none"/>
        </w:rPr>
        <w:t>五)属于本级财政部门管辖；</w:t>
      </w:r>
    </w:p>
    <w:p w14:paraId="37F5E15E">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六</w:t>
      </w:r>
      <w:r>
        <w:rPr>
          <w:rFonts w:hint="eastAsia" w:ascii="宋体" w:hAnsi="宋体" w:eastAsia="宋体" w:cs="宋体"/>
          <w:color w:val="auto"/>
          <w:spacing w:val="12"/>
          <w:sz w:val="24"/>
          <w:szCs w:val="24"/>
          <w:highlight w:val="none"/>
        </w:rPr>
        <w:t>)同一投诉事项未经财政部门投诉处理；</w:t>
      </w:r>
    </w:p>
    <w:p w14:paraId="0B1035FF">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(七)国务院财政部门规定的其他条件。</w:t>
      </w:r>
    </w:p>
    <w:p w14:paraId="72B8140B">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1"/>
          <w:sz w:val="24"/>
          <w:szCs w:val="24"/>
          <w:highlight w:val="none"/>
          <w14:textOutline w14:w="3795" w14:cap="sq" w14:cmpd="sng">
            <w14:solidFill>
              <w14:srgbClr w14:val="000000"/>
            </w14:solidFill>
            <w14:prstDash w14:val="solid"/>
            <w14:bevel/>
          </w14:textOutline>
        </w:rPr>
        <w:t>三、虚假、恶意投诉法律责任</w:t>
      </w:r>
    </w:p>
    <w:p w14:paraId="7EAB39C2">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第七</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捏造实施、提供虚假材料或者以非法手段取得证明材料进行投诉的，由财政部门</w:t>
      </w:r>
      <w:r>
        <w:rPr>
          <w:rFonts w:hint="eastAsia" w:ascii="宋体" w:hAnsi="宋体" w:eastAsia="宋体" w:cs="宋体"/>
          <w:color w:val="auto"/>
          <w:spacing w:val="2"/>
          <w:sz w:val="24"/>
          <w:szCs w:val="24"/>
          <w:highlight w:val="none"/>
        </w:rPr>
        <w:t>列入不良行为记录名单，禁止其1至3年</w:t>
      </w:r>
      <w:r>
        <w:rPr>
          <w:rFonts w:hint="eastAsia" w:ascii="宋体" w:hAnsi="宋体" w:eastAsia="宋体" w:cs="宋体"/>
          <w:color w:val="auto"/>
          <w:spacing w:val="1"/>
          <w:sz w:val="24"/>
          <w:szCs w:val="24"/>
          <w:highlight w:val="none"/>
        </w:rPr>
        <w:t>内参加政府采购活动。</w:t>
      </w:r>
    </w:p>
    <w:p w14:paraId="0CD0E21A">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投诉处理办法》第二十六条：投诉人有下列情形之一的，属于虚假、恶意投诉，财</w:t>
      </w:r>
      <w:r>
        <w:rPr>
          <w:rFonts w:hint="eastAsia" w:ascii="宋体" w:hAnsi="宋体" w:eastAsia="宋体" w:cs="宋体"/>
          <w:color w:val="auto"/>
          <w:spacing w:val="18"/>
          <w:sz w:val="24"/>
          <w:szCs w:val="24"/>
          <w:highlight w:val="none"/>
        </w:rPr>
        <w:t>政</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9"/>
          <w:sz w:val="24"/>
          <w:szCs w:val="24"/>
          <w:highlight w:val="none"/>
        </w:rPr>
        <w:t>门应当驳回投诉，将其列入不良行为记录名单，并依法予以处罚：</w:t>
      </w:r>
    </w:p>
    <w:p w14:paraId="5EBC019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(一)1</w:t>
      </w:r>
      <w:r>
        <w:rPr>
          <w:rFonts w:hint="eastAsia" w:ascii="宋体" w:hAnsi="宋体" w:eastAsia="宋体" w:cs="宋体"/>
          <w:color w:val="auto"/>
          <w:sz w:val="24"/>
          <w:szCs w:val="24"/>
          <w:highlight w:val="none"/>
        </w:rPr>
        <w:t>年内3次以上投诉均查无实据的；</w:t>
      </w:r>
    </w:p>
    <w:p w14:paraId="159F135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(二)捏造事实或者提供虚假投诉材料的</w:t>
      </w:r>
      <w:r>
        <w:rPr>
          <w:rFonts w:hint="eastAsia" w:ascii="宋体" w:hAnsi="宋体" w:eastAsia="宋体" w:cs="宋体"/>
          <w:color w:val="auto"/>
          <w:spacing w:val="12"/>
          <w:sz w:val="24"/>
          <w:szCs w:val="24"/>
          <w:highlight w:val="none"/>
        </w:rPr>
        <w:t>。</w:t>
      </w:r>
    </w:p>
    <w:p w14:paraId="32B53C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B8251F0">
      <w:pP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br w:type="page"/>
      </w:r>
    </w:p>
    <w:p w14:paraId="2CF550FD">
      <w:pPr>
        <w:spacing w:before="167" w:line="224" w:lineRule="auto"/>
        <w:ind w:left="3614"/>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t>质疑函范</w:t>
      </w:r>
      <w:r>
        <w:rPr>
          <w:rFonts w:hint="eastAsia" w:ascii="宋体" w:hAnsi="宋体" w:eastAsia="宋体" w:cs="宋体"/>
          <w:b/>
          <w:bCs/>
          <w:color w:val="auto"/>
          <w:spacing w:val="7"/>
          <w:sz w:val="24"/>
          <w:szCs w:val="24"/>
          <w:highlight w:val="none"/>
          <w14:textOutline w14:w="5793" w14:cap="sq" w14:cmpd="sng">
            <w14:solidFill>
              <w14:srgbClr w14:val="000000"/>
            </w14:solidFill>
            <w14:prstDash w14:val="solid"/>
            <w14:bevel/>
          </w14:textOutline>
        </w:rPr>
        <w:t>本</w:t>
      </w:r>
    </w:p>
    <w:p w14:paraId="40284170">
      <w:pPr>
        <w:spacing w:line="251" w:lineRule="auto"/>
        <w:rPr>
          <w:rFonts w:hint="eastAsia" w:ascii="宋体" w:hAnsi="宋体" w:eastAsia="宋体" w:cs="宋体"/>
          <w:color w:val="auto"/>
          <w:sz w:val="24"/>
          <w:szCs w:val="24"/>
          <w:highlight w:val="none"/>
        </w:rPr>
      </w:pPr>
    </w:p>
    <w:p w14:paraId="1AD33D24">
      <w:pPr>
        <w:spacing w:line="251" w:lineRule="auto"/>
        <w:rPr>
          <w:rFonts w:hint="eastAsia" w:ascii="宋体" w:hAnsi="宋体" w:eastAsia="宋体" w:cs="宋体"/>
          <w:color w:val="auto"/>
          <w:sz w:val="24"/>
          <w:szCs w:val="24"/>
          <w:highlight w:val="none"/>
        </w:rPr>
      </w:pPr>
    </w:p>
    <w:p w14:paraId="0BFAF6A9">
      <w:pPr>
        <w:spacing w:before="65" w:line="343"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9"/>
          <w:position w:val="2"/>
          <w:sz w:val="24"/>
          <w:szCs w:val="24"/>
          <w:highlight w:val="none"/>
        </w:rPr>
        <w:t>一、质疑</w:t>
      </w:r>
      <w:r>
        <w:rPr>
          <w:rFonts w:hint="eastAsia" w:ascii="宋体" w:hAnsi="宋体" w:cs="宋体"/>
          <w:color w:val="auto"/>
          <w:spacing w:val="9"/>
          <w:position w:val="2"/>
          <w:sz w:val="24"/>
          <w:szCs w:val="24"/>
          <w:highlight w:val="none"/>
          <w:lang w:eastAsia="zh-CN"/>
        </w:rPr>
        <w:t>供应商</w:t>
      </w:r>
      <w:r>
        <w:rPr>
          <w:rFonts w:hint="eastAsia" w:ascii="宋体" w:hAnsi="宋体" w:eastAsia="宋体" w:cs="宋体"/>
          <w:color w:val="auto"/>
          <w:spacing w:val="9"/>
          <w:position w:val="2"/>
          <w:sz w:val="24"/>
          <w:szCs w:val="24"/>
          <w:highlight w:val="none"/>
        </w:rPr>
        <w:t>基本信</w:t>
      </w:r>
      <w:r>
        <w:rPr>
          <w:rFonts w:hint="eastAsia" w:ascii="宋体" w:hAnsi="宋体" w:eastAsia="宋体" w:cs="宋体"/>
          <w:color w:val="auto"/>
          <w:spacing w:val="7"/>
          <w:position w:val="2"/>
          <w:sz w:val="24"/>
          <w:szCs w:val="24"/>
          <w:highlight w:val="none"/>
        </w:rPr>
        <w:t>息</w:t>
      </w:r>
    </w:p>
    <w:p w14:paraId="6AC240B0">
      <w:pPr>
        <w:spacing w:before="197" w:line="227"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质</w:t>
      </w:r>
      <w:r>
        <w:rPr>
          <w:rFonts w:hint="eastAsia" w:ascii="宋体" w:hAnsi="宋体" w:eastAsia="宋体" w:cs="宋体"/>
          <w:color w:val="auto"/>
          <w:spacing w:val="6"/>
          <w:sz w:val="24"/>
          <w:szCs w:val="24"/>
          <w:highlight w:val="none"/>
        </w:rPr>
        <w:t>疑</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w:t>
      </w:r>
    </w:p>
    <w:p w14:paraId="4150C1D8">
      <w:pPr>
        <w:spacing w:before="293"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r>
        <w:rPr>
          <w:rFonts w:hint="eastAsia" w:ascii="宋体" w:hAnsi="宋体" w:eastAsia="宋体" w:cs="宋体"/>
          <w:color w:val="auto"/>
          <w:spacing w:val="-3"/>
          <w:sz w:val="24"/>
          <w:szCs w:val="24"/>
          <w:highlight w:val="none"/>
        </w:rPr>
        <w:t>邮编：</w:t>
      </w:r>
    </w:p>
    <w:p w14:paraId="284DB3A8">
      <w:pPr>
        <w:spacing w:before="293"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z w:val="24"/>
          <w:szCs w:val="24"/>
          <w:highlight w:val="none"/>
        </w:rPr>
        <w:t>联系电话：</w:t>
      </w:r>
    </w:p>
    <w:p w14:paraId="1A06A06E">
      <w:pPr>
        <w:spacing w:before="291"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授权代表：</w:t>
      </w:r>
    </w:p>
    <w:p w14:paraId="109B8912">
      <w:pPr>
        <w:spacing w:before="294"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2262C63A">
      <w:pPr>
        <w:spacing w:before="291"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地址：邮编：</w:t>
      </w:r>
    </w:p>
    <w:p w14:paraId="4346DEA3">
      <w:pPr>
        <w:spacing w:before="293" w:line="274"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二</w:t>
      </w:r>
      <w:r>
        <w:rPr>
          <w:rFonts w:hint="eastAsia" w:ascii="宋体" w:hAnsi="宋体" w:eastAsia="宋体" w:cs="宋体"/>
          <w:color w:val="auto"/>
          <w:spacing w:val="8"/>
          <w:position w:val="1"/>
          <w:sz w:val="24"/>
          <w:szCs w:val="24"/>
          <w:highlight w:val="none"/>
        </w:rPr>
        <w:t>、质疑项目基本情况</w:t>
      </w:r>
    </w:p>
    <w:p w14:paraId="2AF224A5">
      <w:pPr>
        <w:spacing w:before="266"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质</w:t>
      </w:r>
      <w:r>
        <w:rPr>
          <w:rFonts w:hint="eastAsia" w:ascii="宋体" w:hAnsi="宋体" w:eastAsia="宋体" w:cs="宋体"/>
          <w:color w:val="auto"/>
          <w:spacing w:val="7"/>
          <w:sz w:val="24"/>
          <w:szCs w:val="24"/>
          <w:highlight w:val="none"/>
        </w:rPr>
        <w:t>疑项目的名称：</w:t>
      </w:r>
    </w:p>
    <w:p w14:paraId="1948F67E">
      <w:pPr>
        <w:spacing w:before="293"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pacing w:val="-1"/>
          <w:sz w:val="24"/>
          <w:szCs w:val="24"/>
          <w:highlight w:val="none"/>
        </w:rPr>
        <w:t>包号：</w:t>
      </w:r>
    </w:p>
    <w:p w14:paraId="288C8C11">
      <w:pPr>
        <w:spacing w:before="293"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名称</w:t>
      </w:r>
      <w:r>
        <w:rPr>
          <w:rFonts w:hint="eastAsia" w:ascii="宋体" w:hAnsi="宋体" w:eastAsia="宋体" w:cs="宋体"/>
          <w:color w:val="auto"/>
          <w:spacing w:val="6"/>
          <w:sz w:val="24"/>
          <w:szCs w:val="24"/>
          <w:highlight w:val="none"/>
        </w:rPr>
        <w:t>：</w:t>
      </w:r>
    </w:p>
    <w:p w14:paraId="6FC3D0C8">
      <w:pPr>
        <w:spacing w:before="294"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8"/>
          <w:sz w:val="24"/>
          <w:szCs w:val="24"/>
          <w:highlight w:val="none"/>
          <w:lang w:eastAsia="zh-CN"/>
        </w:rPr>
        <w:t>采购文件</w:t>
      </w:r>
      <w:r>
        <w:rPr>
          <w:rFonts w:hint="eastAsia" w:ascii="宋体" w:hAnsi="宋体" w:eastAsia="宋体" w:cs="宋体"/>
          <w:color w:val="auto"/>
          <w:spacing w:val="8"/>
          <w:sz w:val="24"/>
          <w:szCs w:val="24"/>
          <w:highlight w:val="none"/>
        </w:rPr>
        <w:t>获取日期</w:t>
      </w:r>
      <w:r>
        <w:rPr>
          <w:rFonts w:hint="eastAsia" w:ascii="宋体" w:hAnsi="宋体" w:eastAsia="宋体" w:cs="宋体"/>
          <w:color w:val="auto"/>
          <w:spacing w:val="6"/>
          <w:sz w:val="24"/>
          <w:szCs w:val="24"/>
          <w:highlight w:val="none"/>
        </w:rPr>
        <w:t>：</w:t>
      </w:r>
    </w:p>
    <w:p w14:paraId="4D9C0CFA">
      <w:pPr>
        <w:spacing w:before="295" w:line="265" w:lineRule="exact"/>
        <w:ind w:left="1"/>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三、质疑事项具体内</w:t>
      </w:r>
      <w:r>
        <w:rPr>
          <w:rFonts w:hint="eastAsia" w:ascii="宋体" w:hAnsi="宋体" w:eastAsia="宋体" w:cs="宋体"/>
          <w:color w:val="auto"/>
          <w:spacing w:val="8"/>
          <w:position w:val="1"/>
          <w:sz w:val="24"/>
          <w:szCs w:val="24"/>
          <w:highlight w:val="none"/>
        </w:rPr>
        <w:t>容</w:t>
      </w:r>
    </w:p>
    <w:sdt>
      <w:sdtPr>
        <w:rPr>
          <w:rFonts w:hint="eastAsia" w:ascii="宋体" w:hAnsi="宋体" w:eastAsia="宋体" w:cs="宋体"/>
          <w:color w:val="auto"/>
          <w:sz w:val="24"/>
          <w:szCs w:val="24"/>
          <w:highlight w:val="none"/>
        </w:rPr>
        <w:id w:val="2"/>
        <w:docPartObj>
          <w:docPartGallery w:val="Table of Contents"/>
          <w:docPartUnique/>
        </w:docPartObj>
      </w:sdtPr>
      <w:sdtEndPr>
        <w:rPr>
          <w:rFonts w:hint="eastAsia" w:ascii="宋体" w:hAnsi="宋体" w:eastAsia="宋体" w:cs="宋体"/>
          <w:color w:val="auto"/>
          <w:sz w:val="24"/>
          <w:szCs w:val="24"/>
          <w:highlight w:val="none"/>
        </w:rPr>
      </w:sdtEndPr>
      <w:sdtContent>
        <w:p w14:paraId="0D53F2C8">
          <w:pPr>
            <w:tabs>
              <w:tab w:val="right" w:leader="dot" w:pos="5505"/>
            </w:tabs>
            <w:spacing w:before="274" w:line="228"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质</w:t>
          </w:r>
          <w:r>
            <w:rPr>
              <w:rFonts w:hint="eastAsia" w:ascii="宋体" w:hAnsi="宋体" w:eastAsia="宋体" w:cs="宋体"/>
              <w:color w:val="auto"/>
              <w:spacing w:val="-22"/>
              <w:sz w:val="24"/>
              <w:szCs w:val="24"/>
              <w:highlight w:val="none"/>
            </w:rPr>
            <w:t>疑事项1：</w:t>
          </w:r>
          <w:r>
            <w:rPr>
              <w:rFonts w:hint="eastAsia" w:ascii="宋体" w:hAnsi="宋体" w:eastAsia="宋体" w:cs="宋体"/>
              <w:color w:val="auto"/>
              <w:sz w:val="24"/>
              <w:szCs w:val="24"/>
              <w:highlight w:val="none"/>
            </w:rPr>
            <w:tab/>
          </w:r>
        </w:p>
        <w:p w14:paraId="74822F8B">
          <w:pPr>
            <w:tabs>
              <w:tab w:val="right" w:leader="dot" w:pos="5557"/>
            </w:tabs>
            <w:spacing w:before="294" w:line="224"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事</w:t>
          </w:r>
          <w:r>
            <w:rPr>
              <w:rFonts w:hint="eastAsia" w:ascii="宋体" w:hAnsi="宋体" w:eastAsia="宋体" w:cs="宋体"/>
              <w:color w:val="auto"/>
              <w:spacing w:val="-22"/>
              <w:sz w:val="24"/>
              <w:szCs w:val="24"/>
              <w:highlight w:val="none"/>
            </w:rPr>
            <w:t>实依据：</w:t>
          </w:r>
          <w:r>
            <w:rPr>
              <w:rFonts w:hint="eastAsia" w:ascii="宋体" w:hAnsi="宋体" w:eastAsia="宋体" w:cs="宋体"/>
              <w:color w:val="auto"/>
              <w:sz w:val="24"/>
              <w:szCs w:val="24"/>
              <w:highlight w:val="none"/>
            </w:rPr>
            <w:tab/>
          </w:r>
        </w:p>
        <w:p w14:paraId="3268B99C">
          <w:pPr>
            <w:tabs>
              <w:tab w:val="right" w:leader="dot" w:pos="5557"/>
            </w:tabs>
            <w:spacing w:before="297"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法</w:t>
          </w:r>
          <w:r>
            <w:rPr>
              <w:rFonts w:hint="eastAsia" w:ascii="宋体" w:hAnsi="宋体" w:eastAsia="宋体" w:cs="宋体"/>
              <w:color w:val="auto"/>
              <w:spacing w:val="-22"/>
              <w:sz w:val="24"/>
              <w:szCs w:val="24"/>
              <w:highlight w:val="none"/>
            </w:rPr>
            <w:t>律依据：</w:t>
          </w:r>
          <w:r>
            <w:rPr>
              <w:rFonts w:hint="eastAsia" w:ascii="宋体" w:hAnsi="宋体" w:eastAsia="宋体" w:cs="宋体"/>
              <w:color w:val="auto"/>
              <w:sz w:val="24"/>
              <w:szCs w:val="24"/>
              <w:highlight w:val="none"/>
            </w:rPr>
            <w:tab/>
          </w:r>
        </w:p>
      </w:sdtContent>
    </w:sdt>
    <w:p w14:paraId="15BD0F9E">
      <w:pPr>
        <w:spacing w:before="294" w:line="540"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
          <w:position w:val="26"/>
          <w:sz w:val="24"/>
          <w:szCs w:val="24"/>
          <w:highlight w:val="none"/>
        </w:rPr>
        <w:t>质疑事项2</w:t>
      </w:r>
    </w:p>
    <w:p w14:paraId="0B52DA34">
      <w:pPr>
        <w:spacing w:line="322" w:lineRule="exact"/>
        <w:ind w:left="14"/>
        <w:rPr>
          <w:rFonts w:hint="eastAsia" w:ascii="宋体" w:hAnsi="宋体" w:eastAsia="宋体" w:cs="宋体"/>
          <w:color w:val="auto"/>
          <w:sz w:val="24"/>
          <w:szCs w:val="24"/>
          <w:highlight w:val="none"/>
        </w:rPr>
      </w:pPr>
      <w:r>
        <w:rPr>
          <w:rFonts w:hint="eastAsia" w:ascii="宋体" w:hAnsi="宋体" w:eastAsia="宋体" w:cs="宋体"/>
          <w:color w:val="auto"/>
          <w:spacing w:val="4"/>
          <w:position w:val="2"/>
          <w:sz w:val="24"/>
          <w:szCs w:val="24"/>
          <w:highlight w:val="none"/>
        </w:rPr>
        <w:t>……</w:t>
      </w:r>
    </w:p>
    <w:p w14:paraId="73D46092">
      <w:pPr>
        <w:spacing w:before="217" w:line="231"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四、与质疑事项相关的质疑请</w:t>
      </w:r>
      <w:r>
        <w:rPr>
          <w:rFonts w:hint="eastAsia" w:ascii="宋体" w:hAnsi="宋体" w:eastAsia="宋体" w:cs="宋体"/>
          <w:color w:val="auto"/>
          <w:spacing w:val="5"/>
          <w:sz w:val="24"/>
          <w:szCs w:val="24"/>
          <w:highlight w:val="none"/>
        </w:rPr>
        <w:t>求</w:t>
      </w:r>
    </w:p>
    <w:p w14:paraId="33679093">
      <w:pPr>
        <w:spacing w:before="291" w:line="22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请</w:t>
      </w:r>
      <w:r>
        <w:rPr>
          <w:rFonts w:hint="eastAsia" w:ascii="宋体" w:hAnsi="宋体" w:eastAsia="宋体" w:cs="宋体"/>
          <w:color w:val="auto"/>
          <w:spacing w:val="3"/>
          <w:sz w:val="24"/>
          <w:szCs w:val="24"/>
          <w:highlight w:val="none"/>
        </w:rPr>
        <w:t>求：</w:t>
      </w:r>
    </w:p>
    <w:p w14:paraId="21172A46">
      <w:pPr>
        <w:spacing w:before="293"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签字(签章</w:t>
      </w:r>
      <w:r>
        <w:rPr>
          <w:rFonts w:hint="eastAsia" w:ascii="宋体" w:hAnsi="宋体" w:eastAsia="宋体" w:cs="宋体"/>
          <w:color w:val="auto"/>
          <w:spacing w:val="-1"/>
          <w:sz w:val="24"/>
          <w:szCs w:val="24"/>
          <w:highlight w:val="none"/>
        </w:rPr>
        <w:t>)：公章：</w:t>
      </w:r>
    </w:p>
    <w:p w14:paraId="6E825960">
      <w:pPr>
        <w:spacing w:before="294" w:line="228" w:lineRule="auto"/>
        <w:ind w:left="37"/>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8"/>
          <w:sz w:val="24"/>
          <w:szCs w:val="24"/>
          <w:highlight w:val="none"/>
        </w:rPr>
        <w:t>期：</w:t>
      </w:r>
    </w:p>
    <w:p w14:paraId="4964D9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招标代理费</w:t>
      </w:r>
    </w:p>
    <w:p w14:paraId="7755C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color w:val="auto"/>
          <w:sz w:val="24"/>
          <w:szCs w:val="24"/>
          <w:highlight w:val="none"/>
          <w:lang w:eastAsia="zh-CN"/>
        </w:rPr>
        <w:t>由中标人支付</w:t>
      </w:r>
      <w:r>
        <w:rPr>
          <w:rFonts w:hint="eastAsia" w:asciiTheme="minorEastAsia" w:hAnsiTheme="minorEastAsia" w:eastAsiaTheme="minorEastAsia" w:cstheme="minorEastAsia"/>
          <w:color w:val="auto"/>
          <w:sz w:val="24"/>
          <w:szCs w:val="24"/>
          <w:highlight w:val="none"/>
        </w:rPr>
        <w:t>。</w:t>
      </w:r>
    </w:p>
    <w:p w14:paraId="6217A7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其它</w:t>
      </w:r>
    </w:p>
    <w:p w14:paraId="3322EDF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lang w:val="en-US" w:eastAsia="zh-CN"/>
        </w:rPr>
        <w:t>编制依据为</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政府采购法实施条例》相关法律法规</w:t>
      </w:r>
      <w:r>
        <w:rPr>
          <w:rFonts w:hint="eastAsia" w:asciiTheme="minorEastAsia" w:hAnsiTheme="minorEastAsia" w:eastAsiaTheme="minorEastAsia" w:cstheme="minorEastAsia"/>
          <w:color w:val="auto"/>
          <w:kern w:val="0"/>
          <w:sz w:val="24"/>
          <w:szCs w:val="24"/>
          <w:highlight w:val="none"/>
        </w:rPr>
        <w:t>。</w:t>
      </w:r>
    </w:p>
    <w:p w14:paraId="0B90BAD9">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415FCAA5">
      <w:pPr>
        <w:autoSpaceDE w:val="0"/>
        <w:autoSpaceDN w:val="0"/>
        <w:adjustRightInd w:val="0"/>
        <w:spacing w:line="360" w:lineRule="auto"/>
        <w:jc w:val="center"/>
        <w:outlineLvl w:val="0"/>
        <w:rPr>
          <w:rFonts w:hint="eastAsia" w:ascii="宋体" w:hAnsi="宋体" w:cs="宋体"/>
          <w:b/>
          <w:bCs/>
          <w:color w:val="auto"/>
          <w:kern w:val="0"/>
          <w:sz w:val="30"/>
          <w:szCs w:val="30"/>
          <w:highlight w:val="none"/>
        </w:rPr>
      </w:pPr>
      <w:bookmarkStart w:id="8" w:name="_Toc17422"/>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8"/>
    </w:p>
    <w:p w14:paraId="656B221C">
      <w:pPr>
        <w:pStyle w:val="13"/>
        <w:rPr>
          <w:rFonts w:hint="eastAsia"/>
          <w:color w:val="auto"/>
          <w:highlight w:val="none"/>
        </w:rPr>
      </w:pPr>
    </w:p>
    <w:p w14:paraId="67820E67">
      <w:pPr>
        <w:pStyle w:val="13"/>
        <w:spacing w:after="0"/>
        <w:jc w:val="center"/>
        <w:rPr>
          <w:rFonts w:ascii="宋体" w:hAnsi="宋体" w:cs="宋体"/>
          <w:b/>
          <w:bCs/>
          <w:spacing w:val="-20"/>
          <w:kern w:val="44"/>
          <w:sz w:val="48"/>
          <w:szCs w:val="48"/>
        </w:rPr>
      </w:pPr>
    </w:p>
    <w:p w14:paraId="623128DA">
      <w:pPr>
        <w:pStyle w:val="13"/>
        <w:spacing w:after="0"/>
        <w:jc w:val="center"/>
        <w:rPr>
          <w:rFonts w:ascii="宋体" w:hAnsi="宋体" w:cs="宋体"/>
          <w:b/>
          <w:bCs/>
          <w:spacing w:val="-20"/>
          <w:kern w:val="44"/>
          <w:sz w:val="48"/>
          <w:szCs w:val="48"/>
        </w:rPr>
      </w:pPr>
    </w:p>
    <w:p w14:paraId="47775253">
      <w:pPr>
        <w:pStyle w:val="13"/>
        <w:spacing w:after="0"/>
        <w:jc w:val="center"/>
        <w:rPr>
          <w:rFonts w:ascii="宋体" w:hAnsi="宋体" w:cs="宋体"/>
          <w:b/>
          <w:bCs/>
          <w:spacing w:val="-20"/>
          <w:kern w:val="44"/>
          <w:sz w:val="48"/>
          <w:szCs w:val="48"/>
        </w:rPr>
      </w:pPr>
    </w:p>
    <w:p w14:paraId="6B8DFB3D">
      <w:pPr>
        <w:pStyle w:val="1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FA85175">
      <w:pPr>
        <w:pStyle w:val="1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00AF483">
      <w:pPr>
        <w:rPr>
          <w:rFonts w:ascii="宋体" w:hAnsi="宋体" w:cs="宋体"/>
          <w:b/>
          <w:bCs/>
          <w:spacing w:val="-20"/>
          <w:kern w:val="44"/>
          <w:sz w:val="40"/>
          <w:szCs w:val="40"/>
        </w:rPr>
      </w:pPr>
    </w:p>
    <w:p w14:paraId="5E89F78C">
      <w:pPr>
        <w:rPr>
          <w:rFonts w:ascii="宋体" w:hAnsi="宋体" w:cs="宋体"/>
          <w:b/>
          <w:bCs/>
          <w:spacing w:val="-20"/>
          <w:kern w:val="44"/>
          <w:sz w:val="40"/>
          <w:szCs w:val="40"/>
        </w:rPr>
      </w:pPr>
    </w:p>
    <w:p w14:paraId="474A615D">
      <w:pPr>
        <w:rPr>
          <w:rFonts w:ascii="宋体" w:hAnsi="宋体" w:cs="宋体"/>
          <w:b/>
          <w:bCs/>
          <w:spacing w:val="-20"/>
          <w:kern w:val="44"/>
          <w:sz w:val="40"/>
          <w:szCs w:val="40"/>
        </w:rPr>
      </w:pPr>
    </w:p>
    <w:p w14:paraId="7477B41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1C3B1EF">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1D5519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00027C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0622E1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9387E24"/>
    <w:p w14:paraId="1F4664AF">
      <w:pPr>
        <w:rPr>
          <w:rFonts w:eastAsia="黑体"/>
          <w:sz w:val="44"/>
          <w:szCs w:val="44"/>
        </w:rPr>
      </w:pPr>
      <w:r>
        <w:rPr>
          <w:rFonts w:eastAsia="黑体"/>
          <w:sz w:val="44"/>
          <w:szCs w:val="44"/>
        </w:rPr>
        <w:br w:type="page"/>
      </w:r>
    </w:p>
    <w:p w14:paraId="32FF6E0A">
      <w:pPr>
        <w:rPr>
          <w:rFonts w:eastAsia="黑体"/>
          <w:sz w:val="44"/>
          <w:szCs w:val="44"/>
        </w:rPr>
      </w:pPr>
    </w:p>
    <w:p w14:paraId="462E3BFC">
      <w:pPr>
        <w:rPr>
          <w:rFonts w:eastAsia="黑体"/>
          <w:sz w:val="44"/>
          <w:szCs w:val="44"/>
        </w:rPr>
      </w:pPr>
    </w:p>
    <w:p w14:paraId="00614A9F">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0BA8745">
      <w:pPr>
        <w:ind w:firstLine="640" w:firstLineChars="200"/>
        <w:rPr>
          <w:rFonts w:hint="eastAsia" w:ascii="仿宋_GB2312" w:hAnsi="仿宋_GB2312" w:eastAsia="仿宋_GB2312" w:cs="仿宋_GB2312"/>
          <w:sz w:val="32"/>
          <w:szCs w:val="32"/>
          <w:lang w:val="en-US" w:eastAsia="zh-CN"/>
        </w:rPr>
      </w:pPr>
    </w:p>
    <w:p w14:paraId="75C1E5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0A6CA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E9C87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CDF854A">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12ED272">
      <w:pPr>
        <w:pStyle w:val="4"/>
        <w:adjustRightInd w:val="0"/>
        <w:snapToGrid w:val="0"/>
        <w:spacing w:beforeLines="0" w:line="400" w:lineRule="exact"/>
        <w:jc w:val="center"/>
        <w:rPr>
          <w:rFonts w:hint="eastAsia" w:ascii="黑体" w:hAnsi="黑体" w:eastAsia="黑体"/>
          <w:sz w:val="28"/>
          <w:szCs w:val="28"/>
        </w:rPr>
      </w:pPr>
      <w:bookmarkStart w:id="9" w:name="_Toc22209"/>
    </w:p>
    <w:p w14:paraId="0837C0D5">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9"/>
    </w:p>
    <w:p w14:paraId="5CA2019B">
      <w:pPr>
        <w:pStyle w:val="4"/>
        <w:adjustRightInd w:val="0"/>
        <w:snapToGrid w:val="0"/>
        <w:spacing w:beforeLines="0" w:line="400" w:lineRule="exact"/>
        <w:jc w:val="center"/>
        <w:rPr>
          <w:rFonts w:hint="eastAsia" w:ascii="黑体" w:hAnsi="华文中宋" w:eastAsia="黑体"/>
          <w:b w:val="0"/>
          <w:bCs w:val="0"/>
          <w:sz w:val="28"/>
          <w:szCs w:val="28"/>
        </w:rPr>
      </w:pPr>
    </w:p>
    <w:p w14:paraId="4C4BD12E">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采购人、受采购人委托签订合同的单位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4E0A1FB">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供应商</w:t>
      </w:r>
      <w:r>
        <w:rPr>
          <w:rFonts w:hint="eastAsia" w:ascii="宋体" w:hAnsi="宋体"/>
          <w:szCs w:val="21"/>
        </w:rPr>
        <w:t>）</w:t>
      </w:r>
    </w:p>
    <w:p w14:paraId="6D6732CB">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w:t>
      </w:r>
      <w:r>
        <w:rPr>
          <w:rFonts w:hint="eastAsia" w:ascii="宋体" w:hAnsi="宋体"/>
          <w:szCs w:val="21"/>
          <w:lang w:eastAsia="zh-CN"/>
        </w:rPr>
        <w:t>供应商</w:t>
      </w:r>
      <w:r>
        <w:rPr>
          <w:rFonts w:hint="eastAsia" w:ascii="宋体" w:hAnsi="宋体"/>
          <w:szCs w:val="21"/>
        </w:rPr>
        <w:t>或其他合同主体）（如有）</w:t>
      </w:r>
    </w:p>
    <w:p w14:paraId="608E8F5D">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w:t>
      </w:r>
      <w:r>
        <w:rPr>
          <w:rFonts w:hint="eastAsia" w:ascii="宋体" w:hAnsi="宋体"/>
          <w:szCs w:val="21"/>
          <w:lang w:eastAsia="zh-CN"/>
        </w:rPr>
        <w:t>供应商</w:t>
      </w:r>
      <w:r>
        <w:rPr>
          <w:rFonts w:hint="eastAsia" w:ascii="宋体" w:hAnsi="宋体"/>
          <w:szCs w:val="21"/>
        </w:rPr>
        <w:t>或其他合同主体）（如有）</w:t>
      </w:r>
    </w:p>
    <w:p w14:paraId="6AB34DB1">
      <w:pPr>
        <w:keepNext w:val="0"/>
        <w:keepLines w:val="0"/>
        <w:pageBreakBefore w:val="0"/>
        <w:widowControl w:val="0"/>
        <w:kinsoku/>
        <w:wordWrap/>
        <w:overflowPunct/>
        <w:topLinePunct w:val="0"/>
        <w:autoSpaceDE/>
        <w:autoSpaceDN/>
        <w:bidi w:val="0"/>
        <w:spacing w:beforeLines="0" w:line="400" w:lineRule="exact"/>
        <w:ind w:firstLine="420" w:firstLineChars="200"/>
        <w:textAlignment w:val="auto"/>
        <w:rPr>
          <w:rFonts w:hint="default" w:eastAsia="宋体"/>
          <w:lang w:val="en-US" w:eastAsia="zh-CN"/>
        </w:rPr>
      </w:pPr>
    </w:p>
    <w:p w14:paraId="57FEDD85">
      <w:pPr>
        <w:pStyle w:val="1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文件等采购文件、</w:t>
      </w:r>
      <w:r>
        <w:rPr>
          <w:rFonts w:hint="eastAsia" w:ascii="宋体" w:hAnsi="宋体"/>
          <w:szCs w:val="21"/>
        </w:rPr>
        <w:t xml:space="preserve">乙方的《投标（响应）文件》及《中标（成交）通知书》，甲乙双方同意签订本合同。具体情况及要求如下：     </w:t>
      </w:r>
    </w:p>
    <w:p w14:paraId="67D46EC4">
      <w:pPr>
        <w:numPr>
          <w:ilvl w:val="0"/>
          <w:numId w:val="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0A5C5E99">
      <w:pPr>
        <w:pStyle w:val="14"/>
        <w:numPr>
          <w:ilvl w:val="0"/>
          <w:numId w:val="3"/>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B5F20CE">
      <w:pPr>
        <w:pStyle w:val="1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8BF3F1B">
      <w:pPr>
        <w:pStyle w:val="1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961D46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516488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14:paraId="4003A92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C00F5B1">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3722FC7">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C91C27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365C45F">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E68D1DE">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19796AF">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BA928A2">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38C65E2">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3540CD9">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34073AA">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2C5A1D0D">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68F50F1">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2128492">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AC88012">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4D1CDF0">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6741A3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E2F5FD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47FD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81F79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01A4E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489258">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57B191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lang w:eastAsia="zh-CN"/>
        </w:rPr>
        <w:t>供应商/制造商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1E77072">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661469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w:t>
      </w:r>
      <w:r>
        <w:rPr>
          <w:rFonts w:hint="eastAsia" w:ascii="宋体" w:hAnsi="宋体"/>
          <w:szCs w:val="21"/>
          <w:highlight w:val="none"/>
          <w:lang w:eastAsia="zh-CN"/>
        </w:rPr>
        <w:t>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F055EAF">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41ECB55">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10B415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AA21E05">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036929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7760CF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AA1A738">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07890B9">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621E8F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448748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1F1C98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5D6E54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52A532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602516E">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E41E80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264C01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2E43283">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654F44A">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3C4CF3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88A4B08">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176AEA2F">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C0E5A28">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A4D136B">
      <w:pPr>
        <w:numPr>
          <w:ilvl w:val="0"/>
          <w:numId w:val="2"/>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29F2FF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F9675E9">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6D78A9C">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F8B4B5A">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8CDD26B">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AC06FB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A61354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BF69289">
      <w:pPr>
        <w:pStyle w:val="8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5734208">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7C017CD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65513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13CC466">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95E8F3A">
      <w:pPr>
        <w:numPr>
          <w:ilvl w:val="0"/>
          <w:numId w:val="2"/>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23577C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CE2D5D0">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79E8A29">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1B8BC3B">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4ECC1B6">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1C41188">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6CA5C33">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72E595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99E4305">
      <w:pPr>
        <w:numPr>
          <w:ilvl w:val="0"/>
          <w:numId w:val="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44AD7F1">
      <w:pPr>
        <w:numPr>
          <w:ilvl w:val="0"/>
          <w:numId w:val="4"/>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865EAF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4CCB501F">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w:t>
      </w:r>
      <w:r>
        <w:rPr>
          <w:rFonts w:hint="eastAsia" w:ascii="宋体" w:hAnsi="宋体"/>
          <w:bCs/>
          <w:szCs w:val="21"/>
          <w:lang w:eastAsia="zh-CN"/>
        </w:rPr>
        <w:t>供应商参加验收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7C1D1C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D67440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9A08B9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1E5960">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7AD425B">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583600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706E6F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0E34C3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w:t>
      </w:r>
      <w:r>
        <w:rPr>
          <w:rFonts w:hint="eastAsia" w:ascii="宋体" w:hAnsi="宋体"/>
          <w:bCs/>
          <w:szCs w:val="21"/>
          <w:u w:val="single"/>
          <w:lang w:eastAsia="zh-CN"/>
        </w:rPr>
        <w:t>供应商</w:t>
      </w:r>
      <w:r>
        <w:rPr>
          <w:rFonts w:hint="eastAsia" w:ascii="宋体" w:hAnsi="宋体"/>
          <w:bCs/>
          <w:szCs w:val="21"/>
          <w:u w:val="single"/>
        </w:rPr>
        <w:t>提出验收申请之日起   日内组织验收）</w:t>
      </w:r>
      <w:r>
        <w:rPr>
          <w:rFonts w:hint="eastAsia" w:ascii="宋体" w:hAnsi="宋体"/>
          <w:bCs/>
          <w:szCs w:val="21"/>
          <w:u w:val="single"/>
          <w:lang w:val="en-US" w:eastAsia="zh-CN"/>
        </w:rPr>
        <w:t xml:space="preserve"> </w:t>
      </w:r>
    </w:p>
    <w:p w14:paraId="129D50D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603D89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E6F345">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B688B41">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76488E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9632523">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84BC77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325B1DC">
      <w:pPr>
        <w:numPr>
          <w:ilvl w:val="0"/>
          <w:numId w:val="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D5753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39CDBC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F3D1AF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3EA256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365187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530489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5867BC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szCs w:val="21"/>
        </w:rPr>
        <w:t>（6）</w:t>
      </w:r>
      <w:r>
        <w:rPr>
          <w:rFonts w:hint="eastAsia" w:ascii="宋体" w:hAnsi="宋体"/>
          <w:szCs w:val="21"/>
          <w:lang w:eastAsia="zh-CN"/>
        </w:rPr>
        <w:t>采购文件</w:t>
      </w:r>
    </w:p>
    <w:p w14:paraId="75A85AF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FA4AFFB">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9745DA0">
      <w:pPr>
        <w:numPr>
          <w:ilvl w:val="0"/>
          <w:numId w:val="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48B2A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837AEE8">
      <w:pPr>
        <w:numPr>
          <w:ilvl w:val="0"/>
          <w:numId w:val="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8EACD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9B45AE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B2F6FB">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55D4302">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280DFD5">
      <w:pPr>
        <w:pStyle w:val="83"/>
        <w:spacing w:beforeLines="0" w:line="400" w:lineRule="exact"/>
      </w:pPr>
    </w:p>
    <w:p w14:paraId="5C639D4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AF776FD">
      <w:pPr>
        <w:rPr>
          <w:rFonts w:hint="eastAsia"/>
        </w:rPr>
      </w:pPr>
      <w:r>
        <w:rPr>
          <w:rFonts w:hint="eastAsia"/>
        </w:rPr>
        <w:br w:type="page"/>
      </w:r>
    </w:p>
    <w:p w14:paraId="79383319">
      <w:pPr>
        <w:pStyle w:val="83"/>
        <w:rPr>
          <w:rFonts w:hint="eastAsia"/>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85"/>
        <w:gridCol w:w="2532"/>
        <w:gridCol w:w="2077"/>
        <w:gridCol w:w="2222"/>
      </w:tblGrid>
      <w:tr w14:paraId="03FBAE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1F6BEED">
            <w:pPr>
              <w:adjustRightInd w:val="0"/>
              <w:snapToGrid w:val="0"/>
              <w:spacing w:line="300" w:lineRule="exact"/>
              <w:jc w:val="center"/>
            </w:pPr>
            <w:r>
              <w:rPr>
                <w:szCs w:val="21"/>
              </w:rPr>
              <w:t>甲方</w:t>
            </w:r>
            <w:r>
              <w:rPr>
                <w:rFonts w:hint="eastAsia"/>
                <w:szCs w:val="21"/>
              </w:rPr>
              <w:t>（</w:t>
            </w:r>
            <w:r>
              <w:rPr>
                <w:rFonts w:hint="eastAsia"/>
                <w:szCs w:val="21"/>
                <w:lang w:eastAsia="zh-CN"/>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lang w:eastAsia="zh-CN"/>
              </w:rPr>
              <w:t>采购文件</w:t>
            </w:r>
            <w:r>
              <w:rPr>
                <w:rFonts w:hint="eastAsia"/>
                <w:szCs w:val="21"/>
              </w:rPr>
              <w:t>约定的合同甲方）</w:t>
            </w:r>
          </w:p>
        </w:tc>
        <w:tc>
          <w:tcPr>
            <w:tcW w:w="2437" w:type="pct"/>
            <w:gridSpan w:val="2"/>
            <w:tcBorders>
              <w:left w:val="single" w:color="auto" w:sz="2" w:space="0"/>
              <w:bottom w:val="single" w:color="auto" w:sz="2" w:space="0"/>
            </w:tcBorders>
            <w:vAlign w:val="center"/>
          </w:tcPr>
          <w:p w14:paraId="7BAC3A96">
            <w:pPr>
              <w:adjustRightInd w:val="0"/>
              <w:snapToGrid w:val="0"/>
              <w:spacing w:line="300" w:lineRule="exact"/>
              <w:jc w:val="center"/>
            </w:pPr>
            <w:r>
              <w:rPr>
                <w:szCs w:val="21"/>
              </w:rPr>
              <w:t>乙方</w:t>
            </w:r>
            <w:r>
              <w:rPr>
                <w:rFonts w:hint="eastAsia"/>
                <w:szCs w:val="21"/>
              </w:rPr>
              <w:t>（</w:t>
            </w:r>
            <w:r>
              <w:rPr>
                <w:rFonts w:hint="eastAsia"/>
                <w:szCs w:val="21"/>
                <w:lang w:eastAsia="zh-CN"/>
              </w:rPr>
              <w:t>供应商</w:t>
            </w:r>
            <w:r>
              <w:rPr>
                <w:rFonts w:hint="eastAsia"/>
                <w:szCs w:val="21"/>
              </w:rPr>
              <w:t>）</w:t>
            </w:r>
          </w:p>
        </w:tc>
      </w:tr>
      <w:tr w14:paraId="0D8CA1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0A3CBC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F949EA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3764D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D0A43C8">
            <w:pPr>
              <w:adjustRightInd w:val="0"/>
              <w:snapToGrid w:val="0"/>
              <w:spacing w:line="300" w:lineRule="exact"/>
              <w:jc w:val="center"/>
              <w:rPr>
                <w:spacing w:val="20"/>
                <w:szCs w:val="21"/>
              </w:rPr>
            </w:pPr>
          </w:p>
        </w:tc>
      </w:tr>
      <w:tr w14:paraId="35B2A1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125A658">
            <w:pPr>
              <w:adjustRightInd w:val="0"/>
              <w:snapToGrid w:val="0"/>
              <w:spacing w:line="300" w:lineRule="exact"/>
              <w:jc w:val="center"/>
              <w:rPr>
                <w:szCs w:val="21"/>
              </w:rPr>
            </w:pPr>
            <w:r>
              <w:rPr>
                <w:szCs w:val="21"/>
              </w:rPr>
              <w:t>法定代表人</w:t>
            </w:r>
          </w:p>
          <w:p w14:paraId="6812B0B3">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27F9E304">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4A873094">
            <w:pPr>
              <w:adjustRightInd w:val="0"/>
              <w:snapToGrid w:val="0"/>
              <w:spacing w:line="300" w:lineRule="exact"/>
              <w:jc w:val="center"/>
              <w:rPr>
                <w:szCs w:val="21"/>
              </w:rPr>
            </w:pPr>
            <w:r>
              <w:rPr>
                <w:szCs w:val="21"/>
              </w:rPr>
              <w:t>法定代表人</w:t>
            </w:r>
          </w:p>
          <w:p w14:paraId="0E0F58B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D1AAB51">
            <w:pPr>
              <w:adjustRightInd w:val="0"/>
              <w:snapToGrid w:val="0"/>
              <w:spacing w:line="300" w:lineRule="exact"/>
              <w:jc w:val="center"/>
              <w:rPr>
                <w:szCs w:val="21"/>
              </w:rPr>
            </w:pPr>
          </w:p>
        </w:tc>
      </w:tr>
      <w:tr w14:paraId="750C1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0F1B67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0261AF0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4FC3F1">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993F91C">
            <w:pPr>
              <w:adjustRightInd w:val="0"/>
              <w:snapToGrid w:val="0"/>
              <w:spacing w:line="300" w:lineRule="exact"/>
              <w:jc w:val="center"/>
              <w:rPr>
                <w:spacing w:val="20"/>
                <w:szCs w:val="21"/>
              </w:rPr>
            </w:pPr>
          </w:p>
        </w:tc>
      </w:tr>
      <w:tr w14:paraId="68101F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F8B13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A143C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BD757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4FCA536F">
            <w:pPr>
              <w:adjustRightInd w:val="0"/>
              <w:snapToGrid w:val="0"/>
              <w:spacing w:line="300" w:lineRule="exact"/>
              <w:jc w:val="center"/>
              <w:rPr>
                <w:spacing w:val="20"/>
                <w:szCs w:val="21"/>
              </w:rPr>
            </w:pPr>
          </w:p>
        </w:tc>
      </w:tr>
      <w:tr w14:paraId="56B306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DF793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BFE4C7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8919B4">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A97418E">
            <w:pPr>
              <w:adjustRightInd w:val="0"/>
              <w:snapToGrid w:val="0"/>
              <w:spacing w:line="300" w:lineRule="exact"/>
              <w:jc w:val="center"/>
              <w:rPr>
                <w:spacing w:val="20"/>
                <w:szCs w:val="21"/>
              </w:rPr>
            </w:pPr>
          </w:p>
        </w:tc>
      </w:tr>
      <w:tr w14:paraId="6484F2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4041E9">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C4491E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D7D5A1">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4437640">
            <w:pPr>
              <w:adjustRightInd w:val="0"/>
              <w:snapToGrid w:val="0"/>
              <w:spacing w:line="300" w:lineRule="exact"/>
              <w:jc w:val="center"/>
              <w:rPr>
                <w:spacing w:val="20"/>
                <w:szCs w:val="21"/>
              </w:rPr>
            </w:pPr>
          </w:p>
        </w:tc>
      </w:tr>
      <w:tr w14:paraId="243A83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B484BB">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9DD72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1CD35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BC23DDC">
            <w:pPr>
              <w:adjustRightInd w:val="0"/>
              <w:snapToGrid w:val="0"/>
              <w:spacing w:line="300" w:lineRule="exact"/>
              <w:jc w:val="center"/>
              <w:rPr>
                <w:spacing w:val="20"/>
                <w:szCs w:val="21"/>
              </w:rPr>
            </w:pPr>
          </w:p>
        </w:tc>
      </w:tr>
      <w:tr w14:paraId="155876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3C0BF4">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887D35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A592F4">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B29E3DF">
            <w:pPr>
              <w:adjustRightInd w:val="0"/>
              <w:snapToGrid w:val="0"/>
              <w:spacing w:line="300" w:lineRule="exact"/>
              <w:jc w:val="center"/>
              <w:rPr>
                <w:spacing w:val="20"/>
                <w:szCs w:val="21"/>
              </w:rPr>
            </w:pPr>
          </w:p>
        </w:tc>
      </w:tr>
      <w:tr w14:paraId="76890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CD1C6C">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C5097D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74DD27">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3659B54">
            <w:pPr>
              <w:adjustRightInd w:val="0"/>
              <w:snapToGrid w:val="0"/>
              <w:spacing w:line="300" w:lineRule="exact"/>
              <w:jc w:val="center"/>
              <w:rPr>
                <w:spacing w:val="20"/>
                <w:szCs w:val="21"/>
              </w:rPr>
            </w:pPr>
          </w:p>
        </w:tc>
      </w:tr>
      <w:tr w14:paraId="24BF43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A25F8C">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C5F7C1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3C5BAF">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5CDF04B">
            <w:pPr>
              <w:adjustRightInd w:val="0"/>
              <w:snapToGrid w:val="0"/>
              <w:spacing w:line="300" w:lineRule="exact"/>
              <w:jc w:val="center"/>
              <w:rPr>
                <w:spacing w:val="20"/>
                <w:szCs w:val="21"/>
              </w:rPr>
            </w:pPr>
          </w:p>
        </w:tc>
      </w:tr>
      <w:tr w14:paraId="529D3E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EB5E1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768FBA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F8B68E">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5F7245F">
            <w:pPr>
              <w:adjustRightInd w:val="0"/>
              <w:snapToGrid w:val="0"/>
              <w:spacing w:line="300" w:lineRule="exact"/>
              <w:jc w:val="center"/>
              <w:rPr>
                <w:spacing w:val="20"/>
                <w:szCs w:val="21"/>
              </w:rPr>
            </w:pPr>
          </w:p>
        </w:tc>
      </w:tr>
      <w:tr w14:paraId="7A12A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61A17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1F80A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A16446">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609B9A3">
            <w:pPr>
              <w:adjustRightInd w:val="0"/>
              <w:snapToGrid w:val="0"/>
              <w:spacing w:line="300" w:lineRule="exact"/>
              <w:jc w:val="center"/>
              <w:rPr>
                <w:spacing w:val="20"/>
                <w:szCs w:val="21"/>
              </w:rPr>
            </w:pPr>
          </w:p>
        </w:tc>
      </w:tr>
      <w:tr w14:paraId="5E1497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7BC93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C8CED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D5A09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28A10ACA">
            <w:pPr>
              <w:adjustRightInd w:val="0"/>
              <w:snapToGrid w:val="0"/>
              <w:spacing w:line="300" w:lineRule="exact"/>
              <w:jc w:val="center"/>
              <w:rPr>
                <w:spacing w:val="20"/>
                <w:szCs w:val="21"/>
              </w:rPr>
            </w:pPr>
          </w:p>
        </w:tc>
      </w:tr>
      <w:tr w14:paraId="39D3B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8EF1DD8">
            <w:pPr>
              <w:pStyle w:val="1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E7E60E7">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 w:name="_Toc27624"/>
      <w:r>
        <w:rPr>
          <w:rFonts w:hint="eastAsia" w:ascii="黑体" w:hAnsi="黑体" w:eastAsia="黑体"/>
          <w:b w:val="0"/>
          <w:bCs w:val="0"/>
          <w:sz w:val="28"/>
          <w:szCs w:val="28"/>
        </w:rPr>
        <w:t>第二节 政府采购合同通用条款</w:t>
      </w:r>
      <w:bookmarkEnd w:id="10"/>
    </w:p>
    <w:p w14:paraId="1AF067D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E53A4B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BC923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采购人</w:t>
      </w:r>
      <w:r>
        <w:rPr>
          <w:rFonts w:hint="eastAsia" w:ascii="宋体" w:hAnsi="宋体"/>
          <w:color w:val="auto"/>
          <w:szCs w:val="21"/>
          <w:highlight w:val="none"/>
        </w:rPr>
        <w:t>（以下称甲方）是指使用财政性资金，通过政府采购方式向</w:t>
      </w:r>
      <w:r>
        <w:rPr>
          <w:rFonts w:hint="eastAsia" w:ascii="宋体" w:hAnsi="宋体"/>
          <w:color w:val="auto"/>
          <w:szCs w:val="21"/>
          <w:highlight w:val="none"/>
          <w:lang w:eastAsia="zh-CN"/>
        </w:rPr>
        <w:t>供应商</w:t>
      </w:r>
      <w:r>
        <w:rPr>
          <w:rFonts w:hint="eastAsia" w:ascii="宋体" w:hAnsi="宋体"/>
          <w:color w:val="auto"/>
          <w:szCs w:val="21"/>
          <w:highlight w:val="none"/>
        </w:rPr>
        <w:t>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C3CC1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w:t>
      </w:r>
      <w:r>
        <w:rPr>
          <w:rFonts w:hint="eastAsia" w:ascii="宋体" w:hAnsi="宋体"/>
          <w:color w:val="auto"/>
          <w:szCs w:val="21"/>
          <w:highlight w:val="none"/>
          <w:lang w:eastAsia="zh-CN"/>
        </w:rPr>
        <w:t>采购人</w:t>
      </w:r>
      <w:r>
        <w:rPr>
          <w:rFonts w:hint="eastAsia" w:ascii="宋体" w:hAnsi="宋体"/>
          <w:color w:val="auto"/>
          <w:szCs w:val="21"/>
          <w:highlight w:val="none"/>
        </w:rPr>
        <w:t>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2260E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w:t>
      </w:r>
      <w:r>
        <w:rPr>
          <w:rFonts w:hint="eastAsia" w:ascii="宋体" w:hAnsi="宋体"/>
          <w:color w:val="auto"/>
          <w:szCs w:val="21"/>
          <w:highlight w:val="none"/>
          <w:lang w:eastAsia="zh-CN"/>
        </w:rPr>
        <w:t>采购人</w:t>
      </w:r>
      <w:r>
        <w:rPr>
          <w:rFonts w:hint="eastAsia" w:ascii="宋体" w:hAnsi="宋体"/>
          <w:color w:val="auto"/>
          <w:szCs w:val="21"/>
          <w:highlight w:val="none"/>
        </w:rPr>
        <w:t>和</w:t>
      </w:r>
      <w:r>
        <w:rPr>
          <w:rFonts w:hint="eastAsia" w:ascii="宋体" w:hAnsi="宋体"/>
          <w:color w:val="auto"/>
          <w:szCs w:val="21"/>
          <w:highlight w:val="none"/>
          <w:lang w:eastAsia="zh-CN"/>
        </w:rPr>
        <w:t>供应商</w:t>
      </w:r>
      <w:r>
        <w:rPr>
          <w:rFonts w:hint="eastAsia" w:ascii="宋体" w:hAnsi="宋体"/>
          <w:color w:val="auto"/>
          <w:szCs w:val="21"/>
          <w:highlight w:val="none"/>
        </w:rPr>
        <w:t>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FC72FF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C01942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，采购文件，</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642540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053E0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D45EB3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02EFB6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按</w:t>
      </w:r>
      <w:r>
        <w:rPr>
          <w:rFonts w:hint="eastAsia" w:ascii="宋体" w:hAnsi="宋体"/>
          <w:color w:val="000000" w:themeColor="text1"/>
          <w:szCs w:val="21"/>
          <w:highlight w:val="none"/>
          <w:lang w:eastAsia="zh-CN"/>
          <w14:textFill>
            <w14:solidFill>
              <w14:schemeClr w14:val="tx1"/>
            </w14:solidFill>
          </w14:textFill>
        </w:rPr>
        <w:t>采购文件</w:t>
      </w:r>
      <w:r>
        <w:rPr>
          <w:rFonts w:hint="eastAsia" w:ascii="宋体" w:hAnsi="宋体"/>
          <w:color w:val="000000" w:themeColor="text1"/>
          <w:szCs w:val="21"/>
          <w:highlight w:val="none"/>
          <w14:textFill>
            <w14:solidFill>
              <w14:schemeClr w14:val="tx1"/>
            </w14:solidFill>
          </w14:textFill>
        </w:rPr>
        <w:t>、投标（响应）文件的规定，根据分包意向协议，将中标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履行合同的行为。</w:t>
      </w:r>
    </w:p>
    <w:p w14:paraId="5776BCC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38412C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5089C42">
      <w:pPr>
        <w:numPr>
          <w:ilvl w:val="0"/>
          <w:numId w:val="5"/>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9FB21A7">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9525401">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346E3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F71448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4788B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CE0A9C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80ACD9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F0494F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2DC9F9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561FED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DB0CBD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6AC17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675EA8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93317D4">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C36118A">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CD79E74">
      <w:pPr>
        <w:numPr>
          <w:ilvl w:val="0"/>
          <w:numId w:val="6"/>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B8E1D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F450D77">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F87084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E11CF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BE8AC4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A4F3EF9">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504399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D4759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07AFBA9">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6149AA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063BF72">
      <w:pPr>
        <w:pStyle w:val="1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A34AB6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66971A7">
      <w:pPr>
        <w:pStyle w:val="1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EF8DF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B074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B23A1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5498D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595F8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CC9BD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BED6D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702CD02B">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3D9885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785C2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0F1AD4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7A5E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56329DB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1ED5B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1"/>
      <w:r>
        <w:rPr>
          <w:rFonts w:hint="eastAsia" w:ascii="宋体" w:hAnsi="宋体"/>
          <w:color w:val="auto"/>
          <w:szCs w:val="21"/>
          <w:highlight w:val="none"/>
        </w:rPr>
        <w:t>。</w:t>
      </w:r>
    </w:p>
    <w:p w14:paraId="13EB26C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F251DD1">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8254E9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C2CEB0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FC17106">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w:t>
      </w:r>
      <w:r>
        <w:rPr>
          <w:rFonts w:hint="eastAsia" w:ascii="宋体" w:hAnsi="宋体" w:eastAsia="宋体" w:cs="Times New Roman"/>
          <w:b w:val="0"/>
          <w:bCs w:val="0"/>
          <w:color w:val="auto"/>
          <w:kern w:val="2"/>
          <w:sz w:val="21"/>
          <w:szCs w:val="21"/>
          <w:highlight w:val="none"/>
          <w:lang w:eastAsia="zh-CN"/>
        </w:rPr>
        <w:t>采购文件</w:t>
      </w:r>
      <w:r>
        <w:rPr>
          <w:rFonts w:hint="eastAsia" w:ascii="宋体" w:hAnsi="宋体" w:eastAsia="宋体" w:cs="Times New Roman"/>
          <w:b w:val="0"/>
          <w:bCs w:val="0"/>
          <w:color w:val="auto"/>
          <w:kern w:val="2"/>
          <w:sz w:val="21"/>
          <w:szCs w:val="21"/>
          <w:highlight w:val="none"/>
        </w:rPr>
        <w:t>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A2F52B0">
      <w:pPr>
        <w:pStyle w:val="1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66E3AB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ADF7D8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57FDF7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9523AE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54CD6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CB0B1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8E1AB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FF87A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DDD7BA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3175E72">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321DC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41827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799125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A4A1B2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38634B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E151EA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F5847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45E287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F7E1A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88918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8DE4CC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09057ED">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047A4E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00922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D238C5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68970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w:t>
      </w:r>
      <w:r>
        <w:rPr>
          <w:rFonts w:hint="eastAsia" w:ascii="宋体" w:hAnsi="宋体"/>
          <w:color w:val="auto"/>
          <w:szCs w:val="21"/>
          <w:highlight w:val="none"/>
          <w:lang w:eastAsia="zh-CN"/>
        </w:rPr>
        <w:t>供应商</w:t>
      </w:r>
      <w:r>
        <w:rPr>
          <w:rFonts w:hint="eastAsia" w:ascii="宋体" w:hAnsi="宋体"/>
          <w:color w:val="auto"/>
          <w:szCs w:val="21"/>
          <w:highlight w:val="none"/>
        </w:rPr>
        <w:t>就</w:t>
      </w:r>
      <w:r>
        <w:rPr>
          <w:rFonts w:hint="eastAsia" w:ascii="宋体" w:hAnsi="宋体"/>
          <w:color w:val="auto"/>
          <w:szCs w:val="21"/>
          <w:highlight w:val="none"/>
          <w:lang w:eastAsia="zh-CN"/>
        </w:rPr>
        <w:t>采购文件</w:t>
      </w:r>
      <w:r>
        <w:rPr>
          <w:rFonts w:hint="eastAsia" w:ascii="宋体" w:hAnsi="宋体"/>
          <w:color w:val="auto"/>
          <w:szCs w:val="21"/>
          <w:highlight w:val="none"/>
        </w:rPr>
        <w:t>、采购过程或结果提起投诉的，甲方认为有必要的，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C9D502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16EF57E">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F1A385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883AF6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14C82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FFF77B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CC92636">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60BE47B">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F4897B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D4A6D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2049F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w:t>
      </w:r>
      <w:r>
        <w:rPr>
          <w:rFonts w:hint="eastAsia" w:ascii="宋体" w:hAnsi="宋体"/>
          <w:color w:val="auto"/>
          <w:szCs w:val="21"/>
          <w:highlight w:val="none"/>
          <w:lang w:eastAsia="zh-CN"/>
        </w:rPr>
        <w:t>采购文件和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45146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F5A26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C95B5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1F91C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D62F3E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6CAABDE">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870AB72">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100BF48">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D05BC5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90AF25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11C18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A18B1CB">
      <w:pPr>
        <w:pStyle w:val="13"/>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63DA7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FD77842">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316CB5B">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9F7627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BC8D695">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DF517B6">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67A781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2C1B45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F3A8827">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4D5260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AD2CDE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2" w:name="_Toc20313"/>
    </w:p>
    <w:p w14:paraId="18DED5BC">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9FB4535">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2"/>
    </w:p>
    <w:tbl>
      <w:tblPr>
        <w:tblStyle w:val="28"/>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3F2E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E438E14">
            <w:pPr>
              <w:adjustRightInd w:val="0"/>
              <w:snapToGrid w:val="0"/>
              <w:jc w:val="center"/>
              <w:rPr>
                <w:rFonts w:ascii="宋体" w:hAnsi="宋体"/>
                <w:szCs w:val="21"/>
              </w:rPr>
            </w:pPr>
            <w:r>
              <w:rPr>
                <w:rFonts w:hint="eastAsia" w:ascii="宋体" w:hAnsi="宋体"/>
                <w:szCs w:val="21"/>
              </w:rPr>
              <w:t>第二节</w:t>
            </w:r>
          </w:p>
          <w:p w14:paraId="0F8EBC7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8144E2A">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0E83AEA">
            <w:pPr>
              <w:adjustRightInd w:val="0"/>
              <w:snapToGrid w:val="0"/>
              <w:jc w:val="left"/>
              <w:rPr>
                <w:rFonts w:ascii="宋体" w:hAnsi="宋体"/>
                <w:szCs w:val="21"/>
              </w:rPr>
            </w:pPr>
          </w:p>
        </w:tc>
      </w:tr>
      <w:tr w14:paraId="77E981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2F48108D">
            <w:pPr>
              <w:adjustRightInd w:val="0"/>
              <w:snapToGrid w:val="0"/>
              <w:jc w:val="center"/>
              <w:rPr>
                <w:rFonts w:ascii="宋体" w:hAnsi="宋体"/>
                <w:szCs w:val="21"/>
              </w:rPr>
            </w:pPr>
            <w:r>
              <w:rPr>
                <w:rFonts w:hint="eastAsia" w:ascii="宋体" w:hAnsi="宋体"/>
                <w:szCs w:val="21"/>
              </w:rPr>
              <w:t>第二节</w:t>
            </w:r>
          </w:p>
          <w:p w14:paraId="712075F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D6272A3">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FDA821F">
            <w:pPr>
              <w:adjustRightInd w:val="0"/>
              <w:snapToGrid w:val="0"/>
              <w:jc w:val="left"/>
              <w:rPr>
                <w:rFonts w:ascii="宋体" w:hAnsi="宋体" w:eastAsia="宋体" w:cs="Times New Roman"/>
                <w:kern w:val="2"/>
                <w:sz w:val="21"/>
                <w:szCs w:val="21"/>
                <w:lang w:val="en-US" w:eastAsia="zh-CN" w:bidi="ar-SA"/>
              </w:rPr>
            </w:pPr>
          </w:p>
        </w:tc>
      </w:tr>
      <w:tr w14:paraId="1A3A9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AB24BE">
            <w:pPr>
              <w:adjustRightInd w:val="0"/>
              <w:snapToGrid w:val="0"/>
              <w:jc w:val="center"/>
              <w:rPr>
                <w:rFonts w:ascii="宋体" w:hAnsi="宋体"/>
                <w:szCs w:val="21"/>
              </w:rPr>
            </w:pPr>
            <w:r>
              <w:rPr>
                <w:rFonts w:hint="eastAsia" w:ascii="宋体" w:hAnsi="宋体"/>
                <w:szCs w:val="21"/>
              </w:rPr>
              <w:t>第二节</w:t>
            </w:r>
          </w:p>
          <w:p w14:paraId="1F076ECA">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68DEBBC">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490B875">
            <w:pPr>
              <w:adjustRightInd w:val="0"/>
              <w:snapToGrid w:val="0"/>
              <w:jc w:val="left"/>
              <w:rPr>
                <w:rFonts w:ascii="宋体" w:hAnsi="宋体" w:eastAsia="宋体" w:cs="Times New Roman"/>
                <w:kern w:val="2"/>
                <w:sz w:val="21"/>
                <w:szCs w:val="21"/>
                <w:lang w:val="en-US" w:eastAsia="zh-CN" w:bidi="ar-SA"/>
              </w:rPr>
            </w:pPr>
          </w:p>
        </w:tc>
      </w:tr>
      <w:tr w14:paraId="63E0D9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ABA93FF">
            <w:pPr>
              <w:adjustRightInd w:val="0"/>
              <w:snapToGrid w:val="0"/>
              <w:jc w:val="center"/>
              <w:rPr>
                <w:rFonts w:ascii="宋体" w:hAnsi="宋体"/>
                <w:szCs w:val="21"/>
              </w:rPr>
            </w:pPr>
            <w:r>
              <w:rPr>
                <w:rFonts w:hint="eastAsia" w:ascii="宋体" w:hAnsi="宋体"/>
                <w:szCs w:val="21"/>
              </w:rPr>
              <w:t>第二节</w:t>
            </w:r>
          </w:p>
          <w:p w14:paraId="6DF7DF3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896474C">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C27B279">
            <w:pPr>
              <w:adjustRightInd w:val="0"/>
              <w:snapToGrid w:val="0"/>
              <w:jc w:val="left"/>
              <w:rPr>
                <w:rFonts w:ascii="宋体" w:hAnsi="宋体" w:eastAsia="宋体" w:cs="Times New Roman"/>
                <w:kern w:val="2"/>
                <w:sz w:val="21"/>
                <w:szCs w:val="21"/>
                <w:lang w:val="en-US" w:eastAsia="zh-CN" w:bidi="ar-SA"/>
              </w:rPr>
            </w:pPr>
          </w:p>
        </w:tc>
      </w:tr>
      <w:tr w14:paraId="3A57E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1F9E4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21A643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A0298F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14DDA940">
            <w:pPr>
              <w:adjustRightInd w:val="0"/>
              <w:snapToGrid w:val="0"/>
              <w:jc w:val="left"/>
              <w:rPr>
                <w:rFonts w:ascii="宋体" w:hAnsi="宋体" w:eastAsia="宋体" w:cs="Times New Roman"/>
                <w:kern w:val="2"/>
                <w:sz w:val="21"/>
                <w:szCs w:val="21"/>
                <w:lang w:val="en-US" w:eastAsia="zh-CN" w:bidi="ar-SA"/>
              </w:rPr>
            </w:pPr>
          </w:p>
        </w:tc>
      </w:tr>
      <w:tr w14:paraId="22AC7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DCF9FF4">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8907D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CBD33C8">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A204A2F">
            <w:pPr>
              <w:adjustRightInd w:val="0"/>
              <w:snapToGrid w:val="0"/>
              <w:jc w:val="left"/>
              <w:rPr>
                <w:rFonts w:ascii="宋体" w:hAnsi="宋体" w:eastAsia="宋体" w:cs="Times New Roman"/>
                <w:kern w:val="2"/>
                <w:sz w:val="21"/>
                <w:szCs w:val="21"/>
                <w:lang w:val="en-US" w:eastAsia="zh-CN" w:bidi="ar-SA"/>
              </w:rPr>
            </w:pPr>
          </w:p>
        </w:tc>
      </w:tr>
      <w:tr w14:paraId="6AA32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4E605B69">
            <w:pPr>
              <w:adjustRightInd w:val="0"/>
              <w:snapToGrid w:val="0"/>
              <w:jc w:val="center"/>
              <w:rPr>
                <w:rFonts w:ascii="宋体" w:hAnsi="宋体"/>
                <w:szCs w:val="21"/>
              </w:rPr>
            </w:pPr>
            <w:r>
              <w:rPr>
                <w:rFonts w:hint="eastAsia" w:ascii="宋体" w:hAnsi="宋体"/>
                <w:szCs w:val="21"/>
              </w:rPr>
              <w:t>第二节</w:t>
            </w:r>
          </w:p>
          <w:p w14:paraId="0B5DC76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8DFDEA3">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7D7070E"/>
        </w:tc>
      </w:tr>
      <w:tr w14:paraId="472F3C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0300F7BE">
            <w:pPr>
              <w:adjustRightInd w:val="0"/>
              <w:snapToGrid w:val="0"/>
              <w:jc w:val="center"/>
              <w:rPr>
                <w:rFonts w:hint="eastAsia" w:ascii="宋体" w:hAnsi="宋体"/>
                <w:szCs w:val="21"/>
              </w:rPr>
            </w:pPr>
          </w:p>
        </w:tc>
        <w:tc>
          <w:tcPr>
            <w:tcW w:w="1742" w:type="dxa"/>
            <w:vAlign w:val="center"/>
          </w:tcPr>
          <w:p w14:paraId="11E4395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2609E574">
            <w:pPr>
              <w:rPr>
                <w:rFonts w:hint="eastAsia"/>
              </w:rPr>
            </w:pPr>
          </w:p>
        </w:tc>
      </w:tr>
      <w:tr w14:paraId="502D9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2AAF1BD1">
            <w:pPr>
              <w:adjustRightInd w:val="0"/>
              <w:snapToGrid w:val="0"/>
              <w:jc w:val="center"/>
              <w:rPr>
                <w:rFonts w:ascii="宋体" w:hAnsi="宋体"/>
                <w:szCs w:val="21"/>
              </w:rPr>
            </w:pPr>
            <w:r>
              <w:rPr>
                <w:rFonts w:hint="eastAsia" w:ascii="宋体" w:hAnsi="宋体"/>
                <w:szCs w:val="21"/>
              </w:rPr>
              <w:t>第二节</w:t>
            </w:r>
          </w:p>
          <w:p w14:paraId="3A56661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3E7B47E5">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FA10CCB">
            <w:pPr>
              <w:rPr>
                <w:rFonts w:hint="eastAsia"/>
              </w:rPr>
            </w:pPr>
          </w:p>
        </w:tc>
      </w:tr>
      <w:tr w14:paraId="4AE6B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033C165F">
            <w:pPr>
              <w:adjustRightInd w:val="0"/>
              <w:snapToGrid w:val="0"/>
              <w:jc w:val="center"/>
              <w:rPr>
                <w:rFonts w:ascii="宋体" w:hAnsi="宋体"/>
                <w:szCs w:val="21"/>
              </w:rPr>
            </w:pPr>
            <w:r>
              <w:rPr>
                <w:rFonts w:hint="eastAsia" w:ascii="宋体" w:hAnsi="宋体"/>
                <w:szCs w:val="21"/>
              </w:rPr>
              <w:t>第二节</w:t>
            </w:r>
          </w:p>
          <w:p w14:paraId="624C2A0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1C73A6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ED8D6DB">
            <w:pPr>
              <w:rPr>
                <w:rFonts w:hint="eastAsia"/>
              </w:rPr>
            </w:pPr>
          </w:p>
        </w:tc>
      </w:tr>
      <w:tr w14:paraId="53630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8879A3F">
            <w:pPr>
              <w:adjustRightInd w:val="0"/>
              <w:snapToGrid w:val="0"/>
              <w:jc w:val="center"/>
              <w:rPr>
                <w:rFonts w:ascii="宋体" w:hAnsi="宋体"/>
                <w:szCs w:val="21"/>
              </w:rPr>
            </w:pPr>
            <w:r>
              <w:rPr>
                <w:rFonts w:hint="eastAsia" w:ascii="宋体" w:hAnsi="宋体"/>
                <w:szCs w:val="21"/>
              </w:rPr>
              <w:t>第二节</w:t>
            </w:r>
          </w:p>
          <w:p w14:paraId="56EACAA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110246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5033FDD">
            <w:pPr>
              <w:autoSpaceDE w:val="0"/>
              <w:autoSpaceDN w:val="0"/>
              <w:adjustRightInd w:val="0"/>
              <w:snapToGrid w:val="0"/>
              <w:ind w:firstLine="420" w:firstLineChars="200"/>
              <w:jc w:val="left"/>
              <w:rPr>
                <w:rFonts w:ascii="宋体" w:hAnsi="宋体"/>
                <w:szCs w:val="21"/>
              </w:rPr>
            </w:pPr>
          </w:p>
        </w:tc>
      </w:tr>
      <w:tr w14:paraId="76F68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0554B0C">
            <w:pPr>
              <w:adjustRightInd w:val="0"/>
              <w:snapToGrid w:val="0"/>
              <w:jc w:val="center"/>
              <w:rPr>
                <w:rFonts w:ascii="宋体" w:hAnsi="宋体"/>
                <w:szCs w:val="21"/>
              </w:rPr>
            </w:pPr>
            <w:r>
              <w:rPr>
                <w:rFonts w:hint="eastAsia" w:ascii="宋体" w:hAnsi="宋体"/>
                <w:szCs w:val="21"/>
              </w:rPr>
              <w:t>第二节</w:t>
            </w:r>
          </w:p>
          <w:p w14:paraId="415F693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3689766E">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456D286A">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440C8B02">
            <w:pPr>
              <w:adjustRightInd w:val="0"/>
              <w:snapToGrid w:val="0"/>
              <w:jc w:val="left"/>
              <w:rPr>
                <w:rFonts w:ascii="宋体" w:hAnsi="宋体"/>
                <w:szCs w:val="21"/>
              </w:rPr>
            </w:pPr>
          </w:p>
        </w:tc>
      </w:tr>
      <w:tr w14:paraId="634E9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B2785B">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48AA1F19">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C48146A">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4F088CB">
            <w:pPr>
              <w:adjustRightInd w:val="0"/>
              <w:snapToGrid w:val="0"/>
              <w:jc w:val="left"/>
              <w:rPr>
                <w:rFonts w:ascii="宋体" w:hAnsi="宋体"/>
                <w:szCs w:val="21"/>
              </w:rPr>
            </w:pPr>
          </w:p>
        </w:tc>
      </w:tr>
      <w:tr w14:paraId="23323A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0779AD2F">
            <w:pPr>
              <w:adjustRightInd w:val="0"/>
              <w:snapToGrid w:val="0"/>
              <w:jc w:val="center"/>
              <w:rPr>
                <w:rFonts w:ascii="宋体" w:hAnsi="宋体"/>
                <w:szCs w:val="21"/>
              </w:rPr>
            </w:pPr>
            <w:r>
              <w:rPr>
                <w:rFonts w:hint="eastAsia" w:ascii="宋体" w:hAnsi="宋体"/>
                <w:szCs w:val="21"/>
              </w:rPr>
              <w:t>第二节</w:t>
            </w:r>
          </w:p>
          <w:p w14:paraId="72EFFDC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518DC15">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3B0D17C">
            <w:pPr>
              <w:adjustRightInd w:val="0"/>
              <w:snapToGrid w:val="0"/>
              <w:jc w:val="left"/>
              <w:rPr>
                <w:rFonts w:ascii="宋体" w:hAnsi="宋体"/>
                <w:szCs w:val="21"/>
              </w:rPr>
            </w:pPr>
          </w:p>
        </w:tc>
      </w:tr>
      <w:tr w14:paraId="7E6F18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3689F630">
            <w:pPr>
              <w:adjustRightInd w:val="0"/>
              <w:snapToGrid w:val="0"/>
              <w:jc w:val="center"/>
              <w:rPr>
                <w:rFonts w:hint="eastAsia" w:ascii="宋体" w:hAnsi="宋体"/>
                <w:szCs w:val="21"/>
              </w:rPr>
            </w:pPr>
            <w:r>
              <w:rPr>
                <w:rFonts w:hint="eastAsia" w:ascii="宋体" w:hAnsi="宋体"/>
                <w:szCs w:val="21"/>
              </w:rPr>
              <w:t>第二节</w:t>
            </w:r>
          </w:p>
          <w:p w14:paraId="02EB5BC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97A0BF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31C7E16">
            <w:pPr>
              <w:adjustRightInd w:val="0"/>
              <w:snapToGrid w:val="0"/>
              <w:jc w:val="left"/>
              <w:rPr>
                <w:rFonts w:ascii="宋体" w:hAnsi="宋体"/>
                <w:szCs w:val="21"/>
              </w:rPr>
            </w:pPr>
          </w:p>
        </w:tc>
      </w:tr>
      <w:tr w14:paraId="46FE3D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130BC82">
            <w:pPr>
              <w:adjustRightInd w:val="0"/>
              <w:snapToGrid w:val="0"/>
              <w:jc w:val="center"/>
              <w:rPr>
                <w:rFonts w:hint="eastAsia" w:ascii="宋体" w:hAnsi="宋体"/>
                <w:szCs w:val="21"/>
              </w:rPr>
            </w:pPr>
            <w:r>
              <w:rPr>
                <w:rFonts w:hint="eastAsia" w:ascii="宋体" w:hAnsi="宋体"/>
                <w:szCs w:val="21"/>
              </w:rPr>
              <w:t>第二节</w:t>
            </w:r>
          </w:p>
          <w:p w14:paraId="0A5FC44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2E5CE0EC">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8229D8A">
            <w:pPr>
              <w:adjustRightInd w:val="0"/>
              <w:snapToGrid w:val="0"/>
              <w:jc w:val="left"/>
              <w:rPr>
                <w:rFonts w:ascii="宋体" w:hAnsi="宋体"/>
                <w:szCs w:val="21"/>
              </w:rPr>
            </w:pPr>
          </w:p>
        </w:tc>
      </w:tr>
      <w:tr w14:paraId="30814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5C9E839F">
            <w:pPr>
              <w:adjustRightInd w:val="0"/>
              <w:snapToGrid w:val="0"/>
              <w:jc w:val="center"/>
              <w:rPr>
                <w:rFonts w:ascii="宋体" w:hAnsi="宋体"/>
                <w:szCs w:val="21"/>
              </w:rPr>
            </w:pPr>
            <w:r>
              <w:rPr>
                <w:rFonts w:hint="eastAsia" w:ascii="宋体" w:hAnsi="宋体"/>
                <w:szCs w:val="21"/>
              </w:rPr>
              <w:t>第二节</w:t>
            </w:r>
          </w:p>
          <w:p w14:paraId="471F7CA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9333E8F">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303FBBF">
            <w:pPr>
              <w:adjustRightInd w:val="0"/>
              <w:snapToGrid w:val="0"/>
              <w:jc w:val="left"/>
              <w:rPr>
                <w:rFonts w:ascii="宋体" w:hAnsi="宋体"/>
                <w:szCs w:val="21"/>
              </w:rPr>
            </w:pPr>
          </w:p>
        </w:tc>
      </w:tr>
      <w:tr w14:paraId="3857E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4BDA0A8">
            <w:pPr>
              <w:adjustRightInd w:val="0"/>
              <w:snapToGrid w:val="0"/>
              <w:jc w:val="center"/>
              <w:rPr>
                <w:rFonts w:ascii="宋体" w:hAnsi="宋体"/>
                <w:szCs w:val="21"/>
              </w:rPr>
            </w:pPr>
            <w:r>
              <w:rPr>
                <w:rFonts w:hint="eastAsia" w:ascii="宋体" w:hAnsi="宋体"/>
                <w:szCs w:val="21"/>
              </w:rPr>
              <w:t>第二节</w:t>
            </w:r>
          </w:p>
          <w:p w14:paraId="071CDBF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8A9D02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D4C5D8E">
            <w:pPr>
              <w:adjustRightInd w:val="0"/>
              <w:snapToGrid w:val="0"/>
              <w:jc w:val="left"/>
              <w:rPr>
                <w:rFonts w:ascii="宋体" w:hAnsi="宋体"/>
                <w:szCs w:val="21"/>
              </w:rPr>
            </w:pPr>
          </w:p>
        </w:tc>
      </w:tr>
      <w:tr w14:paraId="791E8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8701849">
            <w:pPr>
              <w:adjustRightInd w:val="0"/>
              <w:snapToGrid w:val="0"/>
              <w:jc w:val="center"/>
              <w:rPr>
                <w:rFonts w:ascii="宋体" w:hAnsi="宋体"/>
                <w:szCs w:val="21"/>
              </w:rPr>
            </w:pPr>
            <w:r>
              <w:rPr>
                <w:rFonts w:hint="eastAsia" w:ascii="宋体" w:hAnsi="宋体"/>
                <w:szCs w:val="21"/>
              </w:rPr>
              <w:t>第二节</w:t>
            </w:r>
          </w:p>
          <w:p w14:paraId="28EA3D1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325790D1">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962401F">
            <w:pPr>
              <w:adjustRightInd w:val="0"/>
              <w:snapToGrid w:val="0"/>
              <w:jc w:val="left"/>
              <w:rPr>
                <w:rFonts w:ascii="宋体" w:hAnsi="宋体"/>
                <w:szCs w:val="21"/>
              </w:rPr>
            </w:pPr>
          </w:p>
        </w:tc>
      </w:tr>
      <w:tr w14:paraId="0CE4D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2DCAC81">
            <w:pPr>
              <w:adjustRightInd w:val="0"/>
              <w:snapToGrid w:val="0"/>
              <w:jc w:val="center"/>
              <w:rPr>
                <w:rFonts w:ascii="宋体" w:hAnsi="宋体"/>
                <w:szCs w:val="21"/>
              </w:rPr>
            </w:pPr>
            <w:r>
              <w:rPr>
                <w:rFonts w:hint="eastAsia" w:ascii="宋体" w:hAnsi="宋体"/>
                <w:szCs w:val="21"/>
              </w:rPr>
              <w:t>第二节</w:t>
            </w:r>
          </w:p>
          <w:p w14:paraId="328AD1B4">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395BC31">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0B0B1BD">
            <w:pPr>
              <w:adjustRightInd w:val="0"/>
              <w:snapToGrid w:val="0"/>
              <w:jc w:val="left"/>
              <w:rPr>
                <w:rFonts w:ascii="宋体" w:hAnsi="宋体"/>
                <w:szCs w:val="21"/>
              </w:rPr>
            </w:pPr>
          </w:p>
        </w:tc>
      </w:tr>
      <w:tr w14:paraId="16C56B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6A965CE">
            <w:pPr>
              <w:adjustRightInd w:val="0"/>
              <w:snapToGrid w:val="0"/>
              <w:jc w:val="center"/>
              <w:rPr>
                <w:rFonts w:ascii="宋体" w:hAnsi="宋体"/>
                <w:szCs w:val="21"/>
              </w:rPr>
            </w:pPr>
            <w:r>
              <w:rPr>
                <w:rFonts w:hint="eastAsia" w:ascii="宋体" w:hAnsi="宋体"/>
                <w:szCs w:val="21"/>
              </w:rPr>
              <w:t>第二节</w:t>
            </w:r>
          </w:p>
          <w:p w14:paraId="4F4B1F4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4549818">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CD114EF">
            <w:pPr>
              <w:adjustRightInd w:val="0"/>
              <w:snapToGrid w:val="0"/>
              <w:jc w:val="left"/>
              <w:rPr>
                <w:rFonts w:ascii="宋体" w:hAnsi="宋体"/>
                <w:szCs w:val="21"/>
                <w:u w:val="single"/>
              </w:rPr>
            </w:pPr>
          </w:p>
        </w:tc>
      </w:tr>
      <w:tr w14:paraId="2BB95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0C126F2">
            <w:pPr>
              <w:adjustRightInd w:val="0"/>
              <w:snapToGrid w:val="0"/>
              <w:jc w:val="center"/>
              <w:rPr>
                <w:rFonts w:ascii="宋体" w:hAnsi="宋体"/>
                <w:szCs w:val="21"/>
              </w:rPr>
            </w:pPr>
            <w:r>
              <w:rPr>
                <w:rFonts w:hint="eastAsia" w:ascii="宋体" w:hAnsi="宋体"/>
                <w:szCs w:val="21"/>
              </w:rPr>
              <w:t>第二节</w:t>
            </w:r>
          </w:p>
          <w:p w14:paraId="4D9092D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C1C2757">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C3FD047">
            <w:pPr>
              <w:adjustRightInd w:val="0"/>
              <w:snapToGrid w:val="0"/>
              <w:jc w:val="left"/>
              <w:rPr>
                <w:rFonts w:ascii="宋体" w:hAnsi="宋体"/>
                <w:szCs w:val="21"/>
                <w:u w:val="single"/>
              </w:rPr>
            </w:pPr>
          </w:p>
        </w:tc>
      </w:tr>
      <w:tr w14:paraId="71BEF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55EE9743">
            <w:pPr>
              <w:adjustRightInd w:val="0"/>
              <w:snapToGrid w:val="0"/>
              <w:jc w:val="center"/>
              <w:rPr>
                <w:rFonts w:ascii="宋体" w:hAnsi="宋体"/>
                <w:szCs w:val="21"/>
              </w:rPr>
            </w:pPr>
            <w:r>
              <w:rPr>
                <w:rFonts w:hint="eastAsia" w:ascii="宋体" w:hAnsi="宋体"/>
                <w:szCs w:val="21"/>
              </w:rPr>
              <w:t>第二节</w:t>
            </w:r>
          </w:p>
          <w:p w14:paraId="071E77D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F51045B">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5B93FB6">
            <w:pPr>
              <w:adjustRightInd w:val="0"/>
              <w:snapToGrid w:val="0"/>
              <w:jc w:val="left"/>
              <w:rPr>
                <w:rFonts w:ascii="宋体" w:hAnsi="宋体"/>
                <w:szCs w:val="21"/>
                <w:u w:val="single"/>
              </w:rPr>
            </w:pPr>
          </w:p>
        </w:tc>
      </w:tr>
      <w:tr w14:paraId="6A0E78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04289069">
            <w:pPr>
              <w:adjustRightInd w:val="0"/>
              <w:snapToGrid w:val="0"/>
              <w:jc w:val="center"/>
              <w:rPr>
                <w:rFonts w:ascii="宋体" w:hAnsi="宋体"/>
                <w:szCs w:val="21"/>
              </w:rPr>
            </w:pPr>
            <w:r>
              <w:rPr>
                <w:rFonts w:hint="eastAsia" w:ascii="宋体" w:hAnsi="宋体"/>
                <w:szCs w:val="21"/>
              </w:rPr>
              <w:t>第二节</w:t>
            </w:r>
          </w:p>
          <w:p w14:paraId="3054E9A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EBF02B5">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686ACF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03DC43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750A7C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C883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3D4B6725">
            <w:pPr>
              <w:adjustRightInd w:val="0"/>
              <w:snapToGrid w:val="0"/>
              <w:jc w:val="center"/>
              <w:rPr>
                <w:rFonts w:ascii="宋体" w:hAnsi="宋体"/>
                <w:szCs w:val="21"/>
              </w:rPr>
            </w:pPr>
            <w:r>
              <w:rPr>
                <w:rFonts w:hint="eastAsia" w:ascii="宋体" w:hAnsi="宋体"/>
                <w:szCs w:val="21"/>
              </w:rPr>
              <w:t>第二节</w:t>
            </w:r>
          </w:p>
          <w:p w14:paraId="4A6F8E1D">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B6A0F3D">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C4C624E">
            <w:pPr>
              <w:adjustRightInd w:val="0"/>
              <w:snapToGrid w:val="0"/>
              <w:jc w:val="left"/>
              <w:rPr>
                <w:rFonts w:hint="default" w:ascii="宋体" w:hAnsi="宋体" w:eastAsia="宋体"/>
                <w:szCs w:val="21"/>
                <w:lang w:val="en-US" w:eastAsia="zh-CN"/>
              </w:rPr>
            </w:pPr>
          </w:p>
        </w:tc>
      </w:tr>
    </w:tbl>
    <w:p w14:paraId="4AA6D4EA">
      <w:pPr>
        <w:spacing w:line="400" w:lineRule="exact"/>
        <w:ind w:firstLine="482" w:firstLineChars="200"/>
        <w:rPr>
          <w:rFonts w:hint="eastAsia" w:hAnsi="宋体" w:cs="宋体"/>
          <w:b/>
          <w:color w:val="auto"/>
          <w:sz w:val="24"/>
          <w:szCs w:val="24"/>
          <w:highlight w:val="none"/>
          <w:lang w:eastAsia="zh-CN"/>
        </w:rPr>
      </w:pPr>
      <w:r>
        <w:rPr>
          <w:rFonts w:hint="eastAsia" w:hAnsi="宋体" w:cs="宋体"/>
          <w:b/>
          <w:color w:val="auto"/>
          <w:sz w:val="24"/>
          <w:szCs w:val="24"/>
          <w:highlight w:val="none"/>
        </w:rPr>
        <w:t>注：合同条款可根据</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及</w:t>
      </w:r>
      <w:r>
        <w:rPr>
          <w:rFonts w:hint="eastAsia" w:hAnsi="宋体" w:cs="宋体"/>
          <w:b/>
          <w:color w:val="auto"/>
          <w:sz w:val="24"/>
          <w:szCs w:val="24"/>
          <w:highlight w:val="none"/>
          <w:lang w:val="en-US" w:eastAsia="zh-CN"/>
        </w:rPr>
        <w:t>中标</w:t>
      </w:r>
      <w:r>
        <w:rPr>
          <w:rFonts w:hint="eastAsia" w:hAnsi="宋体" w:cs="宋体"/>
          <w:b/>
          <w:color w:val="auto"/>
          <w:sz w:val="24"/>
          <w:szCs w:val="24"/>
          <w:highlight w:val="none"/>
        </w:rPr>
        <w:t>人签订合同时的实际情况进行修改调整</w:t>
      </w:r>
      <w:bookmarkStart w:id="13" w:name="_Toc10164"/>
      <w:bookmarkStart w:id="14" w:name="_Toc2103"/>
      <w:bookmarkStart w:id="15" w:name="_Toc267301295"/>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合同内容仅做参考，以实际签订为准</w:t>
      </w:r>
      <w:r>
        <w:rPr>
          <w:rFonts w:hint="eastAsia" w:hAnsi="宋体" w:cs="宋体"/>
          <w:b/>
          <w:color w:val="auto"/>
          <w:sz w:val="24"/>
          <w:szCs w:val="24"/>
          <w:highlight w:val="none"/>
          <w:lang w:eastAsia="zh-CN"/>
        </w:rPr>
        <w:t>。</w:t>
      </w:r>
    </w:p>
    <w:p w14:paraId="570C9B22">
      <w:pPr>
        <w:spacing w:line="400" w:lineRule="exact"/>
        <w:ind w:firstLine="482" w:firstLineChars="200"/>
        <w:rPr>
          <w:rFonts w:hint="eastAsia" w:hAnsi="宋体" w:cs="宋体"/>
          <w:b/>
          <w:color w:val="auto"/>
          <w:sz w:val="24"/>
          <w:szCs w:val="24"/>
          <w:highlight w:val="none"/>
          <w:lang w:eastAsia="zh-CN"/>
        </w:rPr>
      </w:pPr>
    </w:p>
    <w:p w14:paraId="6C6ADCBC">
      <w:p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br w:type="page"/>
      </w:r>
    </w:p>
    <w:p w14:paraId="7FD421CB">
      <w:pPr>
        <w:numPr>
          <w:ilvl w:val="0"/>
          <w:numId w:val="0"/>
        </w:numPr>
        <w:snapToGrid w:val="0"/>
        <w:spacing w:line="360" w:lineRule="auto"/>
        <w:jc w:val="center"/>
        <w:rPr>
          <w:rFonts w:hint="eastAsia" w:ascii="宋体" w:hAnsi="宋体" w:cs="宋体"/>
          <w:b/>
          <w:bCs/>
          <w:color w:val="auto"/>
          <w:sz w:val="28"/>
          <w:szCs w:val="28"/>
          <w:highlight w:val="none"/>
          <w:lang w:val="en-US" w:eastAsia="zh-CN"/>
        </w:rPr>
      </w:pPr>
      <w:r>
        <w:rPr>
          <w:rFonts w:hint="eastAsia" w:ascii="宋体" w:hAnsi="宋体" w:eastAsia="宋体" w:cs="宋体"/>
          <w:b/>
          <w:bCs/>
          <w:color w:val="auto"/>
          <w:kern w:val="2"/>
          <w:sz w:val="28"/>
          <w:szCs w:val="28"/>
          <w:lang w:val="en-US" w:eastAsia="zh-CN" w:bidi="ar-SA"/>
        </w:rPr>
        <w:t>第五章</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采购需求及技术参数</w:t>
      </w:r>
    </w:p>
    <w:bookmarkEnd w:id="13"/>
    <w:bookmarkEnd w:id="14"/>
    <w:tbl>
      <w:tblPr>
        <w:tblStyle w:val="28"/>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84"/>
        <w:gridCol w:w="6428"/>
        <w:gridCol w:w="773"/>
        <w:gridCol w:w="952"/>
      </w:tblGrid>
      <w:tr w14:paraId="13C4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0"/>
            <w:vAlign w:val="center"/>
          </w:tcPr>
          <w:p w14:paraId="3EBBE355">
            <w:pPr>
              <w:spacing w:line="440" w:lineRule="exact"/>
              <w:jc w:val="center"/>
              <w:rPr>
                <w:rFonts w:hint="eastAsia" w:ascii="宋体" w:hAnsi="宋体" w:eastAsia="宋体" w:cs="Times New Roman"/>
                <w:b/>
                <w:bCs w:val="0"/>
                <w:color w:val="auto"/>
                <w:spacing w:val="-2"/>
                <w:sz w:val="21"/>
                <w:szCs w:val="21"/>
                <w:highlight w:val="none"/>
              </w:rPr>
            </w:pPr>
            <w:bookmarkStart w:id="16" w:name="_Toc32387"/>
            <w:r>
              <w:rPr>
                <w:rFonts w:hint="eastAsia" w:ascii="宋体" w:hAnsi="宋体" w:eastAsia="宋体" w:cs="Times New Roman"/>
                <w:b/>
                <w:bCs w:val="0"/>
                <w:color w:val="auto"/>
                <w:spacing w:val="-2"/>
                <w:sz w:val="21"/>
                <w:szCs w:val="21"/>
                <w:highlight w:val="none"/>
              </w:rPr>
              <w:t>序号</w:t>
            </w:r>
          </w:p>
        </w:tc>
        <w:tc>
          <w:tcPr>
            <w:tcW w:w="884" w:type="dxa"/>
            <w:noWrap w:val="0"/>
            <w:vAlign w:val="center"/>
          </w:tcPr>
          <w:p w14:paraId="5F1AC164">
            <w:pPr>
              <w:spacing w:line="440" w:lineRule="exact"/>
              <w:jc w:val="center"/>
              <w:rPr>
                <w:rFonts w:hint="eastAsia" w:ascii="宋体" w:hAnsi="宋体" w:eastAsia="宋体" w:cs="Times New Roman"/>
                <w:b/>
                <w:bCs w:val="0"/>
                <w:color w:val="auto"/>
                <w:spacing w:val="-2"/>
                <w:sz w:val="21"/>
                <w:szCs w:val="21"/>
                <w:highlight w:val="none"/>
              </w:rPr>
            </w:pPr>
            <w:r>
              <w:rPr>
                <w:rFonts w:hint="eastAsia" w:ascii="宋体" w:hAnsi="宋体" w:eastAsia="宋体" w:cs="Times New Roman"/>
                <w:b/>
                <w:bCs w:val="0"/>
                <w:color w:val="auto"/>
                <w:spacing w:val="-2"/>
                <w:sz w:val="21"/>
                <w:szCs w:val="21"/>
                <w:highlight w:val="none"/>
              </w:rPr>
              <w:t>品名</w:t>
            </w:r>
          </w:p>
        </w:tc>
        <w:tc>
          <w:tcPr>
            <w:tcW w:w="6428" w:type="dxa"/>
            <w:noWrap w:val="0"/>
            <w:vAlign w:val="center"/>
          </w:tcPr>
          <w:p w14:paraId="01667909">
            <w:pPr>
              <w:keepNext w:val="0"/>
              <w:keepLines w:val="0"/>
              <w:pageBreakBefore w:val="0"/>
              <w:kinsoku/>
              <w:wordWrap/>
              <w:overflowPunct/>
              <w:topLinePunct w:val="0"/>
              <w:autoSpaceDE/>
              <w:autoSpaceDN/>
              <w:bidi w:val="0"/>
              <w:adjustRightInd/>
              <w:snapToGrid/>
              <w:spacing w:line="440" w:lineRule="exact"/>
              <w:ind w:firstLine="414" w:firstLineChars="200"/>
              <w:jc w:val="center"/>
              <w:textAlignment w:val="auto"/>
              <w:rPr>
                <w:rFonts w:hint="eastAsia" w:ascii="宋体" w:hAnsi="宋体" w:eastAsia="宋体" w:cs="Times New Roman"/>
                <w:b/>
                <w:bCs w:val="0"/>
                <w:color w:val="auto"/>
                <w:spacing w:val="-2"/>
                <w:sz w:val="21"/>
                <w:szCs w:val="21"/>
                <w:highlight w:val="none"/>
              </w:rPr>
            </w:pPr>
            <w:r>
              <w:rPr>
                <w:rFonts w:hint="eastAsia" w:ascii="宋体" w:hAnsi="宋体" w:eastAsia="宋体" w:cs="Times New Roman"/>
                <w:b/>
                <w:bCs w:val="0"/>
                <w:color w:val="auto"/>
                <w:spacing w:val="-2"/>
                <w:sz w:val="21"/>
                <w:szCs w:val="21"/>
                <w:highlight w:val="none"/>
              </w:rPr>
              <w:t>规格参数及要求</w:t>
            </w:r>
          </w:p>
        </w:tc>
        <w:tc>
          <w:tcPr>
            <w:tcW w:w="773" w:type="dxa"/>
            <w:noWrap w:val="0"/>
            <w:vAlign w:val="center"/>
          </w:tcPr>
          <w:p w14:paraId="3020A5D6">
            <w:pPr>
              <w:spacing w:line="440" w:lineRule="exact"/>
              <w:jc w:val="center"/>
              <w:rPr>
                <w:rFonts w:hint="eastAsia" w:ascii="宋体" w:hAnsi="宋体" w:eastAsia="宋体" w:cs="Times New Roman"/>
                <w:b/>
                <w:bCs w:val="0"/>
                <w:color w:val="auto"/>
                <w:spacing w:val="-2"/>
                <w:sz w:val="21"/>
                <w:szCs w:val="21"/>
                <w:highlight w:val="none"/>
              </w:rPr>
            </w:pPr>
            <w:r>
              <w:rPr>
                <w:rFonts w:hint="eastAsia" w:ascii="宋体" w:hAnsi="宋体" w:eastAsia="宋体" w:cs="Times New Roman"/>
                <w:b/>
                <w:bCs w:val="0"/>
                <w:color w:val="auto"/>
                <w:spacing w:val="-2"/>
                <w:sz w:val="21"/>
                <w:szCs w:val="21"/>
                <w:highlight w:val="none"/>
              </w:rPr>
              <w:t>数量</w:t>
            </w:r>
          </w:p>
        </w:tc>
        <w:tc>
          <w:tcPr>
            <w:tcW w:w="952" w:type="dxa"/>
            <w:noWrap w:val="0"/>
            <w:vAlign w:val="center"/>
          </w:tcPr>
          <w:p w14:paraId="617E0FAC">
            <w:pPr>
              <w:spacing w:line="440" w:lineRule="exact"/>
              <w:jc w:val="center"/>
              <w:rPr>
                <w:rFonts w:hint="eastAsia" w:ascii="宋体" w:hAnsi="宋体" w:eastAsia="宋体" w:cs="Times New Roman"/>
                <w:b/>
                <w:bCs w:val="0"/>
                <w:color w:val="auto"/>
                <w:spacing w:val="-2"/>
                <w:sz w:val="21"/>
                <w:szCs w:val="21"/>
                <w:highlight w:val="none"/>
              </w:rPr>
            </w:pPr>
            <w:r>
              <w:rPr>
                <w:rFonts w:hint="eastAsia" w:ascii="宋体" w:hAnsi="宋体" w:eastAsia="宋体" w:cs="Times New Roman"/>
                <w:b/>
                <w:bCs w:val="0"/>
                <w:color w:val="auto"/>
                <w:spacing w:val="-2"/>
                <w:sz w:val="21"/>
                <w:szCs w:val="21"/>
                <w:highlight w:val="none"/>
              </w:rPr>
              <w:t>单位</w:t>
            </w:r>
          </w:p>
        </w:tc>
      </w:tr>
      <w:tr w14:paraId="74ED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4" w:hRule="atLeast"/>
        </w:trPr>
        <w:tc>
          <w:tcPr>
            <w:tcW w:w="720" w:type="dxa"/>
            <w:noWrap w:val="0"/>
            <w:vAlign w:val="center"/>
          </w:tcPr>
          <w:p w14:paraId="5AEEE76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884" w:type="dxa"/>
            <w:noWrap w:val="0"/>
            <w:vAlign w:val="center"/>
          </w:tcPr>
          <w:p w14:paraId="10FA7F71">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小儿喉镜</w:t>
            </w:r>
          </w:p>
        </w:tc>
        <w:tc>
          <w:tcPr>
            <w:tcW w:w="6428" w:type="dxa"/>
            <w:noWrap w:val="0"/>
            <w:vAlign w:val="center"/>
          </w:tcPr>
          <w:p w14:paraId="079B58C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1、手柄配有LED灯泡。</w:t>
            </w:r>
          </w:p>
          <w:p w14:paraId="79B9546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2、LED灯泡照度</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8000Lx。</w:t>
            </w:r>
          </w:p>
          <w:p w14:paraId="01BCE6A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、手柄尺寸</w:t>
            </w:r>
            <w:r>
              <w:rPr>
                <w:rFonts w:hint="eastAsia" w:ascii="宋体" w:hAnsi="宋体" w:eastAsia="宋体" w:cs="Times New Roman"/>
                <w:bCs/>
                <w:color w:val="auto"/>
                <w:spacing w:val="-2"/>
                <w:sz w:val="21"/>
                <w:szCs w:val="21"/>
                <w:highlight w:val="none"/>
                <w:lang w:eastAsia="zh-CN"/>
              </w:rPr>
              <w:t>约</w:t>
            </w:r>
            <w:r>
              <w:rPr>
                <w:rFonts w:hint="eastAsia" w:ascii="宋体" w:hAnsi="宋体" w:eastAsia="宋体" w:cs="Times New Roman"/>
                <w:bCs/>
                <w:color w:val="auto"/>
                <w:spacing w:val="-2"/>
                <w:sz w:val="21"/>
                <w:szCs w:val="21"/>
                <w:highlight w:val="none"/>
              </w:rPr>
              <w:t>150*30mm。</w:t>
            </w:r>
          </w:p>
          <w:p w14:paraId="35AE4DA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rPr>
              <w:t>、高亮度光纤线束。</w:t>
            </w:r>
          </w:p>
          <w:p w14:paraId="4527703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、医用级304不锈钢 表面哑光处理 防光反射。</w:t>
            </w:r>
          </w:p>
          <w:p w14:paraId="7B4C53F2">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、叶片流畅的弯曲设计。</w:t>
            </w:r>
          </w:p>
          <w:p w14:paraId="65220499">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r>
              <w:rPr>
                <w:rFonts w:hint="eastAsia" w:ascii="宋体" w:hAnsi="宋体" w:eastAsia="宋体" w:cs="Times New Roman"/>
                <w:bCs/>
                <w:color w:val="auto"/>
                <w:spacing w:val="-2"/>
                <w:sz w:val="21"/>
                <w:szCs w:val="21"/>
                <w:highlight w:val="none"/>
              </w:rPr>
              <w:t>、光纤导管设计,可拆卸。</w:t>
            </w:r>
          </w:p>
          <w:p w14:paraId="2DBEF34B">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8</w:t>
            </w:r>
            <w:r>
              <w:rPr>
                <w:rFonts w:hint="eastAsia" w:ascii="宋体" w:hAnsi="宋体" w:eastAsia="宋体" w:cs="Times New Roman"/>
                <w:bCs/>
                <w:color w:val="auto"/>
                <w:spacing w:val="-2"/>
                <w:sz w:val="21"/>
                <w:szCs w:val="21"/>
                <w:highlight w:val="none"/>
              </w:rPr>
              <w:t>、前端的光照强度</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700LX。</w:t>
            </w:r>
          </w:p>
          <w:p w14:paraId="6C51C91E">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9</w:t>
            </w:r>
            <w:r>
              <w:rPr>
                <w:rFonts w:hint="eastAsia" w:ascii="宋体" w:hAnsi="宋体" w:eastAsia="宋体" w:cs="Times New Roman"/>
                <w:bCs/>
                <w:color w:val="auto"/>
                <w:spacing w:val="-2"/>
                <w:sz w:val="21"/>
                <w:szCs w:val="21"/>
                <w:highlight w:val="none"/>
              </w:rPr>
              <w:t>、高温高压消毒</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3000次</w:t>
            </w:r>
          </w:p>
          <w:p w14:paraId="73AA425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p>
          <w:p w14:paraId="2BC90B4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光纤叶片配置：</w:t>
            </w:r>
          </w:p>
          <w:p w14:paraId="16250BF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40</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val="en-US" w:eastAsia="zh-CN"/>
              </w:rPr>
              <w:t>±2mm</w:t>
            </w:r>
            <w:r>
              <w:rPr>
                <w:rFonts w:hint="eastAsia" w:ascii="宋体" w:hAnsi="宋体" w:eastAsia="宋体" w:cs="Times New Roman"/>
                <w:bCs/>
                <w:color w:val="auto"/>
                <w:spacing w:val="-2"/>
                <w:sz w:val="21"/>
                <w:szCs w:val="21"/>
                <w:highlight w:val="none"/>
              </w:rPr>
              <w:t>直</w:t>
            </w:r>
          </w:p>
          <w:p w14:paraId="3860CF1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55</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val="en-US" w:eastAsia="zh-CN"/>
              </w:rPr>
              <w:t>±2mm</w:t>
            </w:r>
            <w:r>
              <w:rPr>
                <w:rFonts w:hint="eastAsia" w:ascii="宋体" w:hAnsi="宋体" w:eastAsia="宋体" w:cs="Times New Roman"/>
                <w:bCs/>
                <w:color w:val="auto"/>
                <w:spacing w:val="-2"/>
                <w:sz w:val="21"/>
                <w:szCs w:val="21"/>
                <w:highlight w:val="none"/>
              </w:rPr>
              <w:t>直</w:t>
            </w:r>
          </w:p>
          <w:p w14:paraId="1EBBB04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（7</w:t>
            </w:r>
            <w:r>
              <w:rPr>
                <w:rFonts w:hint="eastAsia" w:ascii="宋体" w:hAnsi="宋体" w:eastAsia="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val="en-US" w:eastAsia="zh-CN"/>
              </w:rPr>
              <w:t>0</w:t>
            </w:r>
            <w:r>
              <w:rPr>
                <w:rFonts w:hint="eastAsia" w:ascii="宋体" w:hAnsi="宋体" w:eastAsia="宋体" w:cs="Times New Roman"/>
                <w:bCs/>
                <w:color w:val="auto"/>
                <w:spacing w:val="-2"/>
                <w:sz w:val="21"/>
                <w:szCs w:val="21"/>
                <w:highlight w:val="none"/>
              </w:rPr>
              <w:t>mm）</w:t>
            </w:r>
            <w:r>
              <w:rPr>
                <w:rFonts w:hint="eastAsia" w:ascii="宋体" w:hAnsi="宋体" w:eastAsia="宋体" w:cs="Times New Roman"/>
                <w:bCs/>
                <w:color w:val="auto"/>
                <w:spacing w:val="-2"/>
                <w:sz w:val="21"/>
                <w:szCs w:val="21"/>
                <w:highlight w:val="none"/>
                <w:lang w:val="en-US" w:eastAsia="zh-CN"/>
              </w:rPr>
              <w:t>±2mm</w:t>
            </w:r>
            <w:r>
              <w:rPr>
                <w:rFonts w:hint="eastAsia" w:ascii="宋体" w:hAnsi="宋体" w:eastAsia="宋体" w:cs="Times New Roman"/>
                <w:bCs/>
                <w:color w:val="auto"/>
                <w:spacing w:val="-2"/>
                <w:sz w:val="21"/>
                <w:szCs w:val="21"/>
                <w:highlight w:val="none"/>
              </w:rPr>
              <w:t>直</w:t>
            </w:r>
          </w:p>
          <w:p w14:paraId="73ECA03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（6</w:t>
            </w:r>
            <w:r>
              <w:rPr>
                <w:rFonts w:hint="eastAsia" w:ascii="宋体" w:hAnsi="宋体" w:eastAsia="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35</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val="en-US" w:eastAsia="zh-CN"/>
              </w:rPr>
              <w:t>±2mm</w:t>
            </w:r>
          </w:p>
          <w:p w14:paraId="13F7DE9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（8</w:t>
            </w:r>
            <w:r>
              <w:rPr>
                <w:rFonts w:hint="eastAsia" w:ascii="宋体" w:hAnsi="宋体" w:eastAsia="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rPr>
              <w:t>*35*1</w:t>
            </w:r>
            <w:r>
              <w:rPr>
                <w:rFonts w:hint="eastAsia" w:ascii="宋体" w:hAnsi="宋体" w:eastAsia="宋体" w:cs="Times New Roman"/>
                <w:bCs/>
                <w:color w:val="auto"/>
                <w:spacing w:val="-2"/>
                <w:sz w:val="21"/>
                <w:szCs w:val="21"/>
                <w:highlight w:val="none"/>
                <w:lang w:val="en-US" w:eastAsia="zh-CN"/>
              </w:rPr>
              <w:t>0</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val="en-US" w:eastAsia="zh-CN"/>
              </w:rPr>
              <w:t>±2mm</w:t>
            </w:r>
          </w:p>
          <w:p w14:paraId="71ED734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（105*40*</w:t>
            </w:r>
            <w:r>
              <w:rPr>
                <w:rFonts w:hint="eastAsia" w:ascii="宋体" w:hAnsi="宋体" w:eastAsia="宋体" w:cs="Times New Roman"/>
                <w:bCs/>
                <w:color w:val="auto"/>
                <w:spacing w:val="-2"/>
                <w:sz w:val="21"/>
                <w:szCs w:val="21"/>
                <w:highlight w:val="none"/>
                <w:lang w:val="en-US" w:eastAsia="zh-CN"/>
              </w:rPr>
              <w:t>15</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val="en-US" w:eastAsia="zh-CN"/>
              </w:rPr>
              <w:t>±2mm</w:t>
            </w:r>
          </w:p>
          <w:p w14:paraId="5268569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7.</w:t>
            </w:r>
            <w:r>
              <w:rPr>
                <w:rFonts w:hint="eastAsia" w:ascii="宋体" w:hAnsi="宋体" w:eastAsia="宋体" w:cs="Times New Roman"/>
                <w:bCs/>
                <w:color w:val="auto"/>
                <w:spacing w:val="-2"/>
                <w:sz w:val="21"/>
                <w:szCs w:val="21"/>
                <w:highlight w:val="none"/>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130</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60</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val="en-US" w:eastAsia="zh-CN"/>
              </w:rPr>
              <w:t>15</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val="en-US" w:eastAsia="zh-CN"/>
              </w:rPr>
              <w:t>±2mm</w:t>
            </w:r>
          </w:p>
          <w:p w14:paraId="2EFD080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p>
          <w:p w14:paraId="6AE667E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标配：手柄一支</w:t>
            </w:r>
          </w:p>
          <w:p w14:paraId="35B3B42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      叶片三支（叶片可任选）</w:t>
            </w:r>
          </w:p>
        </w:tc>
        <w:tc>
          <w:tcPr>
            <w:tcW w:w="773" w:type="dxa"/>
            <w:noWrap w:val="0"/>
            <w:vAlign w:val="center"/>
          </w:tcPr>
          <w:p w14:paraId="35349D1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7F99FDD2">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台</w:t>
            </w:r>
          </w:p>
        </w:tc>
      </w:tr>
      <w:tr w14:paraId="48F5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7" w:hRule="atLeast"/>
        </w:trPr>
        <w:tc>
          <w:tcPr>
            <w:tcW w:w="720" w:type="dxa"/>
            <w:noWrap w:val="0"/>
            <w:vAlign w:val="center"/>
          </w:tcPr>
          <w:p w14:paraId="114B3880">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w:t>
            </w:r>
          </w:p>
        </w:tc>
        <w:tc>
          <w:tcPr>
            <w:tcW w:w="884" w:type="dxa"/>
            <w:noWrap w:val="0"/>
            <w:vAlign w:val="center"/>
          </w:tcPr>
          <w:p w14:paraId="2073DA9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便携式心电监护仪</w:t>
            </w:r>
          </w:p>
        </w:tc>
        <w:tc>
          <w:tcPr>
            <w:tcW w:w="6428" w:type="dxa"/>
            <w:noWrap w:val="0"/>
            <w:vAlign w:val="center"/>
          </w:tcPr>
          <w:p w14:paraId="2EE1211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bookmarkStart w:id="17" w:name="_Hlk112441282"/>
            <w:bookmarkEnd w:id="17"/>
            <w:bookmarkStart w:id="18" w:name="OLE_LINK7"/>
            <w:bookmarkStart w:id="19" w:name="OLE_LINK8"/>
            <w:r>
              <w:rPr>
                <w:rFonts w:hint="eastAsia" w:ascii="宋体" w:hAnsi="宋体" w:eastAsia="宋体" w:cs="Times New Roman"/>
                <w:bCs/>
                <w:color w:val="auto"/>
                <w:spacing w:val="-2"/>
                <w:sz w:val="21"/>
                <w:szCs w:val="21"/>
                <w:highlight w:val="none"/>
              </w:rPr>
              <w:t>整机要求：</w:t>
            </w:r>
          </w:p>
          <w:p w14:paraId="120F4F81">
            <w:pPr>
              <w:keepNext w:val="0"/>
              <w:keepLines w:val="0"/>
              <w:pageBreakBefore w:val="0"/>
              <w:numPr>
                <w:ilvl w:val="0"/>
                <w:numId w:val="9"/>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便携一体式监护仪, 整机无风扇</w:t>
            </w:r>
          </w:p>
          <w:p w14:paraId="12F45D2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2、</w:t>
            </w:r>
            <w:r>
              <w:rPr>
                <w:rFonts w:hint="eastAsia" w:ascii="宋体" w:hAnsi="宋体" w:eastAsia="宋体" w:cs="Times New Roman"/>
                <w:bCs/>
                <w:color w:val="auto"/>
                <w:spacing w:val="-2"/>
                <w:sz w:val="21"/>
                <w:szCs w:val="21"/>
                <w:highlight w:val="none"/>
              </w:rPr>
              <w:t>≥12英寸彩色液晶触摸屏，分辨率≥1280*800，≥10通道波形显示。</w:t>
            </w:r>
          </w:p>
          <w:p w14:paraId="3470EDA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3、</w:t>
            </w:r>
            <w:r>
              <w:rPr>
                <w:rFonts w:hint="eastAsia" w:ascii="宋体" w:hAnsi="宋体" w:eastAsia="宋体" w:cs="Times New Roman"/>
                <w:bCs/>
                <w:color w:val="auto"/>
                <w:spacing w:val="-2"/>
                <w:sz w:val="21"/>
                <w:szCs w:val="21"/>
                <w:highlight w:val="none"/>
              </w:rPr>
              <w:t>屏幕标配电容屏非电阻屏。</w:t>
            </w:r>
          </w:p>
          <w:p w14:paraId="6AA3AEE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rPr>
              <w:t>配锂电池，工作时间≥9小时。</w:t>
            </w:r>
          </w:p>
          <w:p w14:paraId="18E766A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rPr>
              <w:t>安全规格：ECG, TEMP, SpO2 , NIBP监测参数抗电击程度为防除颤CF型。</w:t>
            </w:r>
          </w:p>
          <w:p w14:paraId="485B43E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rPr>
              <w:t>设计使用年限≥10年。</w:t>
            </w:r>
          </w:p>
          <w:p w14:paraId="5B48838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7、</w:t>
            </w:r>
            <w:r>
              <w:rPr>
                <w:rFonts w:hint="eastAsia" w:ascii="宋体" w:hAnsi="宋体" w:eastAsia="宋体" w:cs="Times New Roman"/>
                <w:bCs/>
                <w:color w:val="auto"/>
                <w:spacing w:val="-2"/>
                <w:sz w:val="21"/>
                <w:szCs w:val="21"/>
                <w:highlight w:val="none"/>
              </w:rPr>
              <w:t>消毒剂≥7种。</w:t>
            </w:r>
          </w:p>
          <w:p w14:paraId="565EEB3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p>
          <w:p w14:paraId="02393E0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监测参数：</w:t>
            </w:r>
          </w:p>
          <w:p w14:paraId="43CE2147">
            <w:pPr>
              <w:keepNext w:val="0"/>
              <w:keepLines w:val="0"/>
              <w:pageBreakBefore w:val="0"/>
              <w:numPr>
                <w:ilvl w:val="0"/>
                <w:numId w:val="1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可监测心电，呼吸，无创血压，血氧饱和度，脉搏和体温，适用于成人、小儿和新生儿。</w:t>
            </w:r>
          </w:p>
          <w:p w14:paraId="2FCB2F56">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2、</w:t>
            </w:r>
            <w:r>
              <w:rPr>
                <w:rFonts w:hint="eastAsia" w:ascii="宋体" w:hAnsi="宋体" w:eastAsia="宋体" w:cs="Times New Roman"/>
                <w:bCs/>
                <w:color w:val="auto"/>
                <w:spacing w:val="-2"/>
                <w:sz w:val="21"/>
                <w:szCs w:val="21"/>
                <w:highlight w:val="none"/>
              </w:rPr>
              <w:t>具备智能导联脱落监测功能。</w:t>
            </w:r>
          </w:p>
          <w:p w14:paraId="30FC8EF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val="en-US" w:eastAsia="zh-CN"/>
              </w:rPr>
              <w:t>3、具备</w:t>
            </w:r>
            <w:r>
              <w:rPr>
                <w:rFonts w:hint="eastAsia" w:ascii="宋体" w:hAnsi="宋体" w:eastAsia="宋体" w:cs="Times New Roman"/>
                <w:bCs/>
                <w:color w:val="auto"/>
                <w:spacing w:val="-2"/>
                <w:sz w:val="21"/>
                <w:szCs w:val="21"/>
                <w:highlight w:val="none"/>
              </w:rPr>
              <w:t>提供QRS阈值调节功能</w:t>
            </w:r>
            <w:r>
              <w:rPr>
                <w:rFonts w:hint="eastAsia" w:ascii="宋体" w:hAnsi="宋体" w:eastAsia="宋体" w:cs="Times New Roman"/>
                <w:bCs/>
                <w:color w:val="auto"/>
                <w:spacing w:val="-2"/>
                <w:sz w:val="21"/>
                <w:szCs w:val="21"/>
                <w:highlight w:val="none"/>
                <w:lang w:eastAsia="zh-CN"/>
              </w:rPr>
              <w:t>。</w:t>
            </w:r>
          </w:p>
          <w:p w14:paraId="7433242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rPr>
              <w:t>心率监测范围：成人10～300bpm，小儿/新生儿：10～350bpm,。</w:t>
            </w:r>
          </w:p>
          <w:p w14:paraId="608CD34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具备</w:t>
            </w:r>
            <w:r>
              <w:rPr>
                <w:rFonts w:hint="eastAsia" w:ascii="宋体" w:hAnsi="宋体" w:eastAsia="宋体" w:cs="Times New Roman"/>
                <w:bCs/>
                <w:color w:val="auto"/>
                <w:spacing w:val="-2"/>
                <w:sz w:val="21"/>
                <w:szCs w:val="21"/>
                <w:highlight w:val="none"/>
              </w:rPr>
              <w:t>查看与打印</w:t>
            </w:r>
            <w:r>
              <w:rPr>
                <w:rFonts w:hint="eastAsia" w:ascii="宋体" w:hAnsi="宋体" w:eastAsia="宋体" w:cs="Times New Roman"/>
                <w:bCs/>
                <w:color w:val="auto"/>
                <w:spacing w:val="-2"/>
                <w:sz w:val="21"/>
                <w:szCs w:val="21"/>
                <w:highlight w:val="none"/>
                <w:lang w:val="en-US" w:eastAsia="zh-CN"/>
              </w:rPr>
              <w:t>过去</w:t>
            </w:r>
            <w:r>
              <w:rPr>
                <w:rFonts w:hint="eastAsia" w:ascii="宋体" w:hAnsi="宋体" w:eastAsia="宋体" w:cs="Times New Roman"/>
                <w:bCs/>
                <w:color w:val="auto"/>
                <w:spacing w:val="-2"/>
                <w:sz w:val="21"/>
                <w:szCs w:val="21"/>
                <w:highlight w:val="none"/>
              </w:rPr>
              <w:t>24小时心电概览报告。</w:t>
            </w:r>
          </w:p>
          <w:p w14:paraId="0DB76D2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5、具备</w:t>
            </w:r>
            <w:r>
              <w:rPr>
                <w:rFonts w:hint="eastAsia" w:ascii="宋体" w:hAnsi="宋体" w:eastAsia="宋体" w:cs="Times New Roman"/>
                <w:bCs/>
                <w:color w:val="auto"/>
                <w:spacing w:val="-2"/>
                <w:sz w:val="21"/>
                <w:szCs w:val="21"/>
                <w:highlight w:val="none"/>
              </w:rPr>
              <w:t>SpO2和PR的实时监测</w:t>
            </w:r>
            <w:r>
              <w:rPr>
                <w:rFonts w:hint="eastAsia" w:ascii="宋体" w:hAnsi="宋体" w:eastAsia="宋体" w:cs="Times New Roman"/>
                <w:bCs/>
                <w:color w:val="auto"/>
                <w:spacing w:val="-2"/>
                <w:sz w:val="21"/>
                <w:szCs w:val="21"/>
                <w:highlight w:val="none"/>
                <w:lang w:eastAsia="zh-CN"/>
              </w:rPr>
              <w:t>功能</w:t>
            </w:r>
            <w:r>
              <w:rPr>
                <w:rFonts w:hint="eastAsia" w:ascii="宋体" w:hAnsi="宋体" w:eastAsia="宋体" w:cs="Times New Roman"/>
                <w:bCs/>
                <w:color w:val="auto"/>
                <w:spacing w:val="-2"/>
                <w:sz w:val="21"/>
                <w:szCs w:val="21"/>
                <w:highlight w:val="none"/>
              </w:rPr>
              <w:t>，适用于成人，小儿和新生儿。</w:t>
            </w:r>
          </w:p>
          <w:p w14:paraId="3420FFE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抗干扰和弱灌注血氧技术。</w:t>
            </w:r>
          </w:p>
          <w:p w14:paraId="6BDE418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7、</w:t>
            </w:r>
            <w:r>
              <w:rPr>
                <w:rFonts w:hint="eastAsia" w:ascii="宋体" w:hAnsi="宋体" w:eastAsia="宋体" w:cs="Times New Roman"/>
                <w:bCs/>
                <w:color w:val="auto"/>
                <w:spacing w:val="-2"/>
                <w:sz w:val="21"/>
                <w:szCs w:val="21"/>
                <w:highlight w:val="none"/>
              </w:rPr>
              <w:t>提供手动，自动，连续、序列和整点5种测量模式，。</w:t>
            </w:r>
          </w:p>
          <w:p w14:paraId="0A9FB03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rPr>
              <w:t>配置无创血压测量，适用于成人，小儿和新生儿。无创血压成人测量范围：25~290mm</w:t>
            </w:r>
            <w:r>
              <w:rPr>
                <w:rFonts w:hint="eastAsia" w:ascii="宋体" w:hAnsi="宋体" w:eastAsia="宋体" w:cs="Times New Roman"/>
                <w:bCs/>
                <w:color w:val="auto"/>
                <w:spacing w:val="-2"/>
                <w:sz w:val="21"/>
                <w:szCs w:val="21"/>
                <w:highlight w:val="none"/>
                <w:lang w:eastAsia="zh-CN"/>
              </w:rPr>
              <w:t>g</w:t>
            </w:r>
            <w:r>
              <w:rPr>
                <w:rFonts w:hint="eastAsia" w:ascii="宋体" w:hAnsi="宋体" w:eastAsia="宋体" w:cs="Times New Roman"/>
                <w:bCs/>
                <w:color w:val="auto"/>
                <w:spacing w:val="-2"/>
                <w:sz w:val="21"/>
                <w:szCs w:val="21"/>
                <w:highlight w:val="none"/>
              </w:rPr>
              <w:t>H</w:t>
            </w:r>
            <w:r>
              <w:rPr>
                <w:rFonts w:hint="eastAsia" w:ascii="宋体" w:hAnsi="宋体" w:eastAsia="宋体" w:cs="Times New Roman"/>
                <w:bCs/>
                <w:color w:val="auto"/>
                <w:spacing w:val="-2"/>
                <w:sz w:val="21"/>
                <w:szCs w:val="21"/>
                <w:highlight w:val="none"/>
                <w:lang w:eastAsia="zh-CN"/>
              </w:rPr>
              <w:t>g</w:t>
            </w:r>
            <w:r>
              <w:rPr>
                <w:rFonts w:hint="eastAsia" w:ascii="宋体" w:hAnsi="宋体" w:eastAsia="宋体" w:cs="Times New Roman"/>
                <w:bCs/>
                <w:color w:val="auto"/>
                <w:spacing w:val="-2"/>
                <w:sz w:val="21"/>
                <w:szCs w:val="21"/>
                <w:highlight w:val="none"/>
              </w:rPr>
              <w:t>。</w:t>
            </w:r>
          </w:p>
          <w:p w14:paraId="63317D4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val="en-US" w:eastAsia="zh-CN"/>
              </w:rPr>
              <w:t>9、具备</w:t>
            </w:r>
            <w:r>
              <w:rPr>
                <w:rFonts w:hint="eastAsia" w:ascii="宋体" w:hAnsi="宋体" w:eastAsia="宋体" w:cs="Times New Roman"/>
                <w:bCs/>
                <w:color w:val="auto"/>
                <w:spacing w:val="-2"/>
                <w:sz w:val="21"/>
                <w:szCs w:val="21"/>
                <w:highlight w:val="none"/>
              </w:rPr>
              <w:t>动态血压分析界面，包括平均血压、白天平均血压、夜间平均血压、最高血压、最低血压和正常血压比例等</w:t>
            </w:r>
            <w:r>
              <w:rPr>
                <w:rFonts w:hint="eastAsia" w:ascii="宋体" w:hAnsi="宋体" w:eastAsia="宋体" w:cs="Times New Roman"/>
                <w:bCs/>
                <w:color w:val="auto"/>
                <w:spacing w:val="-2"/>
                <w:sz w:val="21"/>
                <w:szCs w:val="21"/>
                <w:highlight w:val="none"/>
                <w:lang w:eastAsia="zh-CN"/>
              </w:rPr>
              <w:t>。</w:t>
            </w:r>
          </w:p>
          <w:p w14:paraId="2F90B14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10、具备</w:t>
            </w:r>
            <w:r>
              <w:rPr>
                <w:rFonts w:hint="eastAsia" w:ascii="宋体" w:hAnsi="宋体" w:eastAsia="宋体" w:cs="Times New Roman"/>
                <w:bCs/>
                <w:color w:val="auto"/>
                <w:spacing w:val="-2"/>
                <w:sz w:val="21"/>
                <w:szCs w:val="21"/>
                <w:highlight w:val="none"/>
              </w:rPr>
              <w:t>呼吸测量，适用于成人、小儿和新生儿。呼吸测量范围：1-200 rpm。</w:t>
            </w:r>
          </w:p>
          <w:p w14:paraId="472308F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p>
          <w:p w14:paraId="783D77F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系统功能：</w:t>
            </w:r>
          </w:p>
          <w:p w14:paraId="39AC624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1、</w:t>
            </w:r>
            <w:r>
              <w:rPr>
                <w:rFonts w:hint="eastAsia" w:ascii="宋体" w:hAnsi="宋体" w:eastAsia="宋体" w:cs="Times New Roman"/>
                <w:bCs/>
                <w:color w:val="auto"/>
                <w:spacing w:val="-2"/>
                <w:sz w:val="21"/>
                <w:szCs w:val="21"/>
                <w:highlight w:val="none"/>
              </w:rPr>
              <w:t>具有三级声光报警，参数报警级别可调。</w:t>
            </w:r>
          </w:p>
          <w:p w14:paraId="32CBCC8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val="en-US" w:eastAsia="zh-CN"/>
              </w:rPr>
              <w:t>2、</w:t>
            </w:r>
            <w:r>
              <w:rPr>
                <w:rFonts w:hint="eastAsia" w:ascii="宋体" w:hAnsi="宋体" w:eastAsia="宋体" w:cs="Times New Roman"/>
                <w:bCs/>
                <w:color w:val="auto"/>
                <w:spacing w:val="-2"/>
                <w:sz w:val="21"/>
                <w:szCs w:val="21"/>
                <w:highlight w:val="none"/>
              </w:rPr>
              <w:t>支持自主培训功能，通过动画与图文结合</w:t>
            </w:r>
            <w:r>
              <w:rPr>
                <w:rFonts w:hint="eastAsia" w:ascii="宋体" w:hAnsi="宋体" w:eastAsia="宋体" w:cs="Times New Roman"/>
                <w:bCs/>
                <w:color w:val="auto"/>
                <w:spacing w:val="-2"/>
                <w:sz w:val="21"/>
                <w:szCs w:val="21"/>
                <w:highlight w:val="none"/>
                <w:lang w:eastAsia="zh-CN"/>
              </w:rPr>
              <w:t>。</w:t>
            </w:r>
          </w:p>
          <w:p w14:paraId="6C9275A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3、具备</w:t>
            </w:r>
            <w:r>
              <w:rPr>
                <w:rFonts w:hint="eastAsia" w:ascii="宋体" w:hAnsi="宋体" w:eastAsia="宋体" w:cs="Times New Roman"/>
                <w:bCs/>
                <w:color w:val="auto"/>
                <w:spacing w:val="-2"/>
                <w:sz w:val="21"/>
                <w:szCs w:val="21"/>
                <w:highlight w:val="none"/>
              </w:rPr>
              <w:t>一键设置所有监测参数</w:t>
            </w:r>
            <w:r>
              <w:rPr>
                <w:rFonts w:hint="eastAsia" w:ascii="宋体" w:hAnsi="宋体" w:eastAsia="宋体" w:cs="Times New Roman"/>
                <w:bCs/>
                <w:color w:val="auto"/>
                <w:spacing w:val="-2"/>
                <w:sz w:val="21"/>
                <w:szCs w:val="21"/>
                <w:highlight w:val="none"/>
                <w:lang w:val="en-US" w:eastAsia="zh-CN"/>
              </w:rPr>
              <w:t>自动</w:t>
            </w:r>
            <w:r>
              <w:rPr>
                <w:rFonts w:hint="eastAsia" w:ascii="宋体" w:hAnsi="宋体" w:eastAsia="宋体" w:cs="Times New Roman"/>
                <w:bCs/>
                <w:color w:val="auto"/>
                <w:spacing w:val="-2"/>
                <w:sz w:val="21"/>
                <w:szCs w:val="21"/>
                <w:highlight w:val="none"/>
              </w:rPr>
              <w:t>报警功能。</w:t>
            </w:r>
          </w:p>
          <w:p w14:paraId="2EC66CA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rPr>
              <w:t>具有图形化技术报警指示功能，。</w:t>
            </w:r>
          </w:p>
          <w:p w14:paraId="77E4701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USB外部存储，</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≥2400小时趋势数据的存储与回顾功能</w:t>
            </w:r>
          </w:p>
          <w:p w14:paraId="18D1CCD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≥5000组无创血压测量记录，≥120小时全息波形的存储与回顾功能</w:t>
            </w:r>
          </w:p>
          <w:p w14:paraId="6D59885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7、</w:t>
            </w:r>
            <w:r>
              <w:rPr>
                <w:rFonts w:hint="eastAsia" w:ascii="宋体" w:hAnsi="宋体" w:eastAsia="宋体" w:cs="Times New Roman"/>
                <w:bCs/>
                <w:color w:val="auto"/>
                <w:spacing w:val="-2"/>
                <w:sz w:val="21"/>
                <w:szCs w:val="21"/>
                <w:highlight w:val="none"/>
              </w:rPr>
              <w:t>具备监护模式</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待机模式，演示模式</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夜间模式</w:t>
            </w:r>
            <w:r>
              <w:rPr>
                <w:rFonts w:hint="eastAsia" w:ascii="宋体" w:hAnsi="宋体" w:eastAsia="宋体" w:cs="Times New Roman"/>
                <w:bCs/>
                <w:color w:val="auto"/>
                <w:spacing w:val="-2"/>
                <w:sz w:val="21"/>
                <w:szCs w:val="21"/>
                <w:highlight w:val="none"/>
                <w:lang w:val="en-US" w:eastAsia="zh-CN"/>
              </w:rPr>
              <w:t>和</w:t>
            </w:r>
            <w:r>
              <w:rPr>
                <w:rFonts w:hint="eastAsia" w:ascii="宋体" w:hAnsi="宋体" w:eastAsia="宋体" w:cs="Times New Roman"/>
                <w:bCs/>
                <w:color w:val="auto"/>
                <w:spacing w:val="-2"/>
                <w:sz w:val="21"/>
                <w:szCs w:val="21"/>
                <w:highlight w:val="none"/>
              </w:rPr>
              <w:t>隐私模式。</w:t>
            </w:r>
          </w:p>
          <w:p w14:paraId="3F0CA44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格拉斯哥昏迷评分（GCS）功能</w:t>
            </w:r>
          </w:p>
          <w:p w14:paraId="6C81CC5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9、</w:t>
            </w:r>
            <w:r>
              <w:rPr>
                <w:rFonts w:hint="eastAsia" w:ascii="宋体" w:hAnsi="宋体" w:eastAsia="宋体" w:cs="Times New Roman"/>
                <w:bCs/>
                <w:color w:val="auto"/>
                <w:spacing w:val="-2"/>
                <w:sz w:val="21"/>
                <w:szCs w:val="21"/>
                <w:highlight w:val="none"/>
              </w:rPr>
              <w:t>动态趋势界面可统计1-24小时心律失常报警、参数超限报警信息，并对超限报警区间的波形进行高亮显示。</w:t>
            </w:r>
          </w:p>
          <w:p w14:paraId="5EBA945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带ABD事件的呼吸氧合界面。</w:t>
            </w:r>
          </w:p>
          <w:p w14:paraId="33AE4C5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11、</w:t>
            </w: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RJ45接口进行有线网络通信，和除颤监护仪一起联网通信到中心监护系统。</w:t>
            </w:r>
          </w:p>
          <w:p w14:paraId="4294CFA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12、</w:t>
            </w: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监护仪的系统日志向U盘设备的导出功能，日志包括：系统状态、异常和技术报警等。</w:t>
            </w:r>
          </w:p>
          <w:p w14:paraId="7940DAC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13、</w:t>
            </w:r>
            <w:r>
              <w:rPr>
                <w:rFonts w:hint="eastAsia" w:ascii="宋体" w:hAnsi="宋体" w:eastAsia="宋体" w:cs="Times New Roman"/>
                <w:bCs/>
                <w:color w:val="auto"/>
                <w:spacing w:val="-2"/>
                <w:sz w:val="21"/>
                <w:szCs w:val="21"/>
                <w:highlight w:val="none"/>
              </w:rPr>
              <w:t>主机集成附件收纳箱，</w:t>
            </w: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将心电、血氧和无创血压等导联线附件进行收纳放置。</w:t>
            </w:r>
          </w:p>
          <w:p w14:paraId="7C3CFC9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eastAsia="zh-CN"/>
              </w:rPr>
            </w:pPr>
            <w:r>
              <w:rPr>
                <w:rFonts w:hint="eastAsia" w:ascii="宋体" w:hAnsi="宋体" w:cs="Times New Roman"/>
                <w:bCs/>
                <w:color w:val="auto"/>
                <w:spacing w:val="-2"/>
                <w:sz w:val="21"/>
                <w:szCs w:val="21"/>
                <w:highlight w:val="none"/>
                <w:lang w:val="en-US" w:eastAsia="zh-CN"/>
              </w:rPr>
              <w:t>14、</w:t>
            </w:r>
            <w:r>
              <w:rPr>
                <w:rFonts w:hint="eastAsia" w:ascii="宋体" w:hAnsi="宋体" w:eastAsia="宋体" w:cs="Times New Roman"/>
                <w:bCs/>
                <w:color w:val="auto"/>
                <w:spacing w:val="-2"/>
                <w:sz w:val="21"/>
                <w:szCs w:val="21"/>
                <w:highlight w:val="none"/>
              </w:rPr>
              <w:t>可升级内置记录仪。</w:t>
            </w:r>
            <w:bookmarkEnd w:id="18"/>
            <w:bookmarkEnd w:id="19"/>
          </w:p>
        </w:tc>
        <w:tc>
          <w:tcPr>
            <w:tcW w:w="773" w:type="dxa"/>
            <w:noWrap w:val="0"/>
            <w:vAlign w:val="center"/>
          </w:tcPr>
          <w:p w14:paraId="3113FF7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AB951E9">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台</w:t>
            </w:r>
          </w:p>
        </w:tc>
      </w:tr>
      <w:tr w14:paraId="4796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0" w:type="dxa"/>
            <w:noWrap w:val="0"/>
            <w:vAlign w:val="center"/>
          </w:tcPr>
          <w:p w14:paraId="3A4A8368">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w:t>
            </w:r>
          </w:p>
        </w:tc>
        <w:tc>
          <w:tcPr>
            <w:tcW w:w="884" w:type="dxa"/>
            <w:noWrap w:val="0"/>
            <w:vAlign w:val="center"/>
          </w:tcPr>
          <w:p w14:paraId="2F3883C2">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便携式出诊箱</w:t>
            </w:r>
          </w:p>
        </w:tc>
        <w:tc>
          <w:tcPr>
            <w:tcW w:w="6428" w:type="dxa"/>
            <w:noWrap w:val="0"/>
            <w:vAlign w:val="center"/>
          </w:tcPr>
          <w:p w14:paraId="24CE1B3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14寸便携式出诊箱 </w:t>
            </w:r>
          </w:p>
          <w:p w14:paraId="209BEAEB">
            <w:pPr>
              <w:keepNext w:val="0"/>
              <w:keepLines w:val="0"/>
              <w:pageBreakBefore w:val="0"/>
              <w:numPr>
                <w:ilvl w:val="0"/>
                <w:numId w:val="11"/>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尺寸约：</w:t>
            </w:r>
            <w:r>
              <w:rPr>
                <w:rFonts w:hint="eastAsia" w:ascii="宋体" w:hAnsi="宋体" w:eastAsia="宋体" w:cs="Times New Roman"/>
                <w:bCs/>
                <w:color w:val="auto"/>
                <w:spacing w:val="-2"/>
                <w:sz w:val="21"/>
                <w:szCs w:val="21"/>
                <w:highlight w:val="none"/>
                <w:lang w:eastAsia="zh-CN"/>
              </w:rPr>
              <w:t>高</w:t>
            </w:r>
            <w:r>
              <w:rPr>
                <w:rFonts w:hint="eastAsia" w:ascii="宋体" w:hAnsi="宋体" w:eastAsia="宋体" w:cs="Times New Roman"/>
                <w:bCs/>
                <w:color w:val="auto"/>
                <w:spacing w:val="-2"/>
                <w:sz w:val="21"/>
                <w:szCs w:val="21"/>
                <w:highlight w:val="none"/>
                <w:lang w:val="en-US" w:eastAsia="zh-CN"/>
              </w:rPr>
              <w:t>190</w:t>
            </w:r>
            <w:r>
              <w:rPr>
                <w:rFonts w:hint="eastAsia" w:ascii="宋体" w:hAnsi="宋体" w:eastAsia="宋体" w:cs="Times New Roman"/>
                <w:bCs/>
                <w:color w:val="auto"/>
                <w:spacing w:val="-2"/>
                <w:sz w:val="21"/>
                <w:szCs w:val="21"/>
                <w:highlight w:val="none"/>
                <w:lang w:eastAsia="zh-CN"/>
              </w:rPr>
              <w:t>mm±10mm ,长</w:t>
            </w:r>
            <w:r>
              <w:rPr>
                <w:rFonts w:hint="eastAsia" w:ascii="宋体" w:hAnsi="宋体" w:eastAsia="宋体" w:cs="Times New Roman"/>
                <w:bCs/>
                <w:color w:val="auto"/>
                <w:spacing w:val="-2"/>
                <w:sz w:val="21"/>
                <w:szCs w:val="21"/>
                <w:highlight w:val="none"/>
                <w:lang w:val="en-US" w:eastAsia="zh-CN"/>
              </w:rPr>
              <w:t>300</w:t>
            </w:r>
            <w:r>
              <w:rPr>
                <w:rFonts w:hint="eastAsia" w:ascii="宋体" w:hAnsi="宋体" w:eastAsia="宋体" w:cs="Times New Roman"/>
                <w:bCs/>
                <w:color w:val="auto"/>
                <w:spacing w:val="-2"/>
                <w:sz w:val="21"/>
                <w:szCs w:val="21"/>
                <w:highlight w:val="none"/>
                <w:lang w:eastAsia="zh-CN"/>
              </w:rPr>
              <w:t>mm±10mm， 宽</w:t>
            </w:r>
            <w:r>
              <w:rPr>
                <w:rFonts w:hint="eastAsia" w:ascii="宋体" w:hAnsi="宋体" w:eastAsia="宋体" w:cs="Times New Roman"/>
                <w:bCs/>
                <w:color w:val="auto"/>
                <w:spacing w:val="-2"/>
                <w:sz w:val="21"/>
                <w:szCs w:val="21"/>
                <w:highlight w:val="none"/>
                <w:lang w:val="en-US" w:eastAsia="zh-CN"/>
              </w:rPr>
              <w:t>200</w:t>
            </w:r>
            <w:r>
              <w:rPr>
                <w:rFonts w:hint="eastAsia" w:ascii="宋体" w:hAnsi="宋体" w:eastAsia="宋体" w:cs="Times New Roman"/>
                <w:bCs/>
                <w:color w:val="auto"/>
                <w:spacing w:val="-2"/>
                <w:sz w:val="21"/>
                <w:szCs w:val="21"/>
                <w:highlight w:val="none"/>
                <w:lang w:eastAsia="zh-CN"/>
              </w:rPr>
              <w:t>mm±10mm，</w:t>
            </w:r>
          </w:p>
          <w:p w14:paraId="73A712A3">
            <w:pPr>
              <w:keepNext w:val="0"/>
              <w:keepLines w:val="0"/>
              <w:pageBreakBefore w:val="0"/>
              <w:numPr>
                <w:ilvl w:val="0"/>
                <w:numId w:val="11"/>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材质铝合金</w:t>
            </w:r>
          </w:p>
        </w:tc>
        <w:tc>
          <w:tcPr>
            <w:tcW w:w="773" w:type="dxa"/>
            <w:noWrap w:val="0"/>
            <w:vAlign w:val="center"/>
          </w:tcPr>
          <w:p w14:paraId="2924CCB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6EC29958">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台</w:t>
            </w:r>
          </w:p>
        </w:tc>
      </w:tr>
      <w:tr w14:paraId="646B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20" w:type="dxa"/>
            <w:noWrap w:val="0"/>
            <w:vAlign w:val="center"/>
          </w:tcPr>
          <w:p w14:paraId="320A970F">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w:t>
            </w:r>
          </w:p>
        </w:tc>
        <w:tc>
          <w:tcPr>
            <w:tcW w:w="884" w:type="dxa"/>
            <w:noWrap w:val="0"/>
            <w:vAlign w:val="center"/>
          </w:tcPr>
          <w:p w14:paraId="69FBFFC1">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水冷机</w:t>
            </w:r>
          </w:p>
        </w:tc>
        <w:tc>
          <w:tcPr>
            <w:tcW w:w="6428" w:type="dxa"/>
            <w:noWrap w:val="0"/>
            <w:vAlign w:val="center"/>
          </w:tcPr>
          <w:p w14:paraId="7D971BB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名称：磁共振水冷机组</w:t>
            </w:r>
          </w:p>
          <w:p w14:paraId="3E70C6C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1：工作模式：双机组 一备一用 循环工作</w:t>
            </w:r>
          </w:p>
          <w:p w14:paraId="7AB2AEC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2.电源 ：380V</w:t>
            </w:r>
          </w:p>
          <w:p w14:paraId="19C3975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3.制冷剂 R22</w:t>
            </w:r>
          </w:p>
          <w:p w14:paraId="392226C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eastAsia="zh-CN"/>
              </w:rPr>
              <w:t>4.总制冷量/显冷量：70</w:t>
            </w:r>
            <w:r>
              <w:rPr>
                <w:rFonts w:hint="eastAsia" w:ascii="宋体" w:hAnsi="宋体" w:eastAsia="宋体" w:cs="Times New Roman"/>
                <w:bCs/>
                <w:color w:val="auto"/>
                <w:spacing w:val="-2"/>
                <w:sz w:val="21"/>
                <w:szCs w:val="21"/>
                <w:highlight w:val="none"/>
                <w:lang w:val="en-US" w:eastAsia="zh-CN"/>
              </w:rPr>
              <w:t>kw</w:t>
            </w:r>
            <w:r>
              <w:rPr>
                <w:rFonts w:hint="eastAsia" w:ascii="宋体" w:hAnsi="宋体" w:eastAsia="宋体" w:cs="Times New Roman"/>
                <w:bCs/>
                <w:color w:val="auto"/>
                <w:spacing w:val="-2"/>
                <w:sz w:val="21"/>
                <w:szCs w:val="21"/>
                <w:highlight w:val="none"/>
                <w:lang w:eastAsia="zh-CN"/>
              </w:rPr>
              <w:t>/68.5</w:t>
            </w:r>
            <w:r>
              <w:rPr>
                <w:rFonts w:hint="eastAsia" w:ascii="宋体" w:hAnsi="宋体" w:eastAsia="宋体" w:cs="Times New Roman"/>
                <w:bCs/>
                <w:color w:val="auto"/>
                <w:spacing w:val="-2"/>
                <w:sz w:val="21"/>
                <w:szCs w:val="21"/>
                <w:highlight w:val="none"/>
                <w:lang w:val="en-US" w:eastAsia="zh-CN"/>
              </w:rPr>
              <w:t>kw</w:t>
            </w:r>
          </w:p>
          <w:p w14:paraId="7190470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5.压缩机数量2（台）/功率≥16（Kw）</w:t>
            </w:r>
          </w:p>
          <w:p w14:paraId="41C29E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6.水泵额定流量：4-m8(m³/h)</w:t>
            </w:r>
          </w:p>
          <w:p w14:paraId="11074D0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7.水泵数量(台) 1台</w:t>
            </w:r>
          </w:p>
          <w:p w14:paraId="43BF0B1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8.冷凝风机风量（m3/h）不小于3000</w:t>
            </w:r>
          </w:p>
          <w:p w14:paraId="5C9B7EE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9.冷风机数量：2（台），噪音≤75（dB）</w:t>
            </w:r>
          </w:p>
          <w:p w14:paraId="257FDA8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10.冷凝风机：轴流风机</w:t>
            </w:r>
          </w:p>
          <w:p w14:paraId="61B01AF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11.进水温度/出水温度： 12°/7°</w:t>
            </w:r>
          </w:p>
          <w:p w14:paraId="578C868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12.制冷回路/自来水冷却回路：2/1</w:t>
            </w:r>
          </w:p>
        </w:tc>
        <w:tc>
          <w:tcPr>
            <w:tcW w:w="773" w:type="dxa"/>
            <w:noWrap w:val="0"/>
            <w:vAlign w:val="center"/>
          </w:tcPr>
          <w:p w14:paraId="75FD921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73428944">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台</w:t>
            </w:r>
          </w:p>
        </w:tc>
      </w:tr>
      <w:tr w14:paraId="63CE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720" w:type="dxa"/>
            <w:noWrap w:val="0"/>
            <w:vAlign w:val="center"/>
          </w:tcPr>
          <w:p w14:paraId="2FDB032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5</w:t>
            </w:r>
          </w:p>
        </w:tc>
        <w:tc>
          <w:tcPr>
            <w:tcW w:w="884" w:type="dxa"/>
            <w:noWrap w:val="0"/>
            <w:vAlign w:val="center"/>
          </w:tcPr>
          <w:p w14:paraId="366B2CCE">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冷头</w:t>
            </w:r>
          </w:p>
        </w:tc>
        <w:tc>
          <w:tcPr>
            <w:tcW w:w="6428" w:type="dxa"/>
            <w:noWrap w:val="0"/>
            <w:vAlign w:val="center"/>
          </w:tcPr>
          <w:p w14:paraId="72DE56C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w:t>
            </w:r>
            <w:r>
              <w:rPr>
                <w:rFonts w:hint="eastAsia" w:ascii="宋体" w:hAnsi="宋体" w:eastAsia="宋体" w:cs="Times New Roman"/>
                <w:bCs/>
                <w:color w:val="auto"/>
                <w:spacing w:val="-2"/>
                <w:sz w:val="21"/>
                <w:szCs w:val="21"/>
                <w:highlight w:val="none"/>
                <w:lang w:eastAsia="zh-CN"/>
              </w:rPr>
              <w:t>制冷量</w:t>
            </w:r>
          </w:p>
          <w:p w14:paraId="277E4A7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第一阶段：50W 45K （50/60HZ）</w:t>
            </w:r>
          </w:p>
          <w:p w14:paraId="6243BC0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第二阶段：1.0W 4.2K （50/60HZ）</w:t>
            </w:r>
          </w:p>
          <w:p w14:paraId="31EC644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2、</w:t>
            </w:r>
            <w:r>
              <w:rPr>
                <w:rFonts w:hint="eastAsia" w:ascii="宋体" w:hAnsi="宋体" w:eastAsia="宋体" w:cs="Times New Roman"/>
                <w:bCs/>
                <w:color w:val="auto"/>
                <w:spacing w:val="-2"/>
                <w:sz w:val="21"/>
                <w:szCs w:val="21"/>
                <w:highlight w:val="none"/>
                <w:lang w:eastAsia="zh-CN"/>
              </w:rPr>
              <w:t>工作环境温度：5-28℃ 28-35℃ （5%容量损失）</w:t>
            </w:r>
          </w:p>
          <w:p w14:paraId="7F6896D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3、</w:t>
            </w:r>
            <w:r>
              <w:rPr>
                <w:rFonts w:hint="eastAsia" w:ascii="宋体" w:hAnsi="宋体" w:eastAsia="宋体" w:cs="Times New Roman"/>
                <w:bCs/>
                <w:color w:val="auto"/>
                <w:spacing w:val="-2"/>
                <w:sz w:val="21"/>
                <w:szCs w:val="21"/>
                <w:highlight w:val="none"/>
                <w:lang w:eastAsia="zh-CN"/>
              </w:rPr>
              <w:t>氦气压力：1.60-1.65MPa （20℃）静态模式2.10-2.30MPa （高压侧）</w:t>
            </w:r>
          </w:p>
          <w:p w14:paraId="5A36C60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lang w:eastAsia="zh-CN"/>
              </w:rPr>
              <w:t>减压阀参数设置：减压阀参数设置</w:t>
            </w:r>
          </w:p>
          <w:p w14:paraId="109D0C2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cs="Times New Roman"/>
                <w:bCs/>
                <w:color w:val="auto"/>
                <w:spacing w:val="-2"/>
                <w:sz w:val="21"/>
                <w:szCs w:val="21"/>
                <w:highlight w:val="none"/>
                <w:lang w:val="en-US" w:eastAsia="zh-CN"/>
              </w:rPr>
            </w:pPr>
            <w:r>
              <w:rPr>
                <w:rFonts w:hint="eastAsia" w:ascii="宋体" w:hAnsi="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lang w:eastAsia="zh-CN"/>
              </w:rPr>
              <w:t>供气管接头形式：1/2英寸</w:t>
            </w:r>
          </w:p>
          <w:p w14:paraId="4654E2C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lang w:eastAsia="zh-CN"/>
              </w:rPr>
              <w:t>回气管接头形式：1/2英寸接头</w:t>
            </w:r>
          </w:p>
          <w:p w14:paraId="7F3756B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7、</w:t>
            </w:r>
            <w:r>
              <w:rPr>
                <w:rFonts w:hint="eastAsia" w:ascii="宋体" w:hAnsi="宋体" w:eastAsia="宋体" w:cs="Times New Roman"/>
                <w:bCs/>
                <w:color w:val="auto"/>
                <w:spacing w:val="-2"/>
                <w:sz w:val="21"/>
                <w:szCs w:val="21"/>
                <w:highlight w:val="none"/>
                <w:lang w:eastAsia="zh-CN"/>
              </w:rPr>
              <w:t>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lang w:eastAsia="zh-CN"/>
              </w:rPr>
              <w:t>29</w:t>
            </w:r>
            <w:r>
              <w:rPr>
                <w:rFonts w:hint="eastAsia" w:ascii="宋体" w:hAnsi="宋体" w:eastAsia="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lang w:eastAsia="zh-CN"/>
              </w:rPr>
              <w:t>mm*180mm*</w:t>
            </w:r>
            <w:r>
              <w:rPr>
                <w:rFonts w:hint="eastAsia" w:ascii="宋体" w:hAnsi="宋体" w:eastAsia="宋体" w:cs="Times New Roman"/>
                <w:bCs/>
                <w:color w:val="auto"/>
                <w:spacing w:val="-2"/>
                <w:sz w:val="21"/>
                <w:szCs w:val="21"/>
                <w:highlight w:val="none"/>
                <w:lang w:val="en-US" w:eastAsia="zh-CN"/>
              </w:rPr>
              <w:t>560</w:t>
            </w:r>
            <w:r>
              <w:rPr>
                <w:rFonts w:hint="eastAsia" w:ascii="宋体" w:hAnsi="宋体" w:eastAsia="宋体" w:cs="Times New Roman"/>
                <w:bCs/>
                <w:color w:val="auto"/>
                <w:spacing w:val="-2"/>
                <w:sz w:val="21"/>
                <w:szCs w:val="21"/>
                <w:highlight w:val="none"/>
                <w:lang w:eastAsia="zh-CN"/>
              </w:rPr>
              <w:t>mm（长*宽*高，</w:t>
            </w:r>
            <w:r>
              <w:rPr>
                <w:rFonts w:hint="eastAsia" w:ascii="宋体" w:hAnsi="宋体" w:eastAsia="宋体" w:cs="Times New Roman"/>
                <w:bCs/>
                <w:color w:val="auto"/>
                <w:spacing w:val="-2"/>
                <w:sz w:val="21"/>
                <w:szCs w:val="21"/>
                <w:highlight w:val="none"/>
                <w:lang w:val="en-US" w:eastAsia="zh-CN"/>
              </w:rPr>
              <w:t>±5mm</w:t>
            </w:r>
            <w:r>
              <w:rPr>
                <w:rFonts w:hint="eastAsia" w:ascii="宋体" w:hAnsi="宋体" w:eastAsia="宋体" w:cs="Times New Roman"/>
                <w:bCs/>
                <w:color w:val="auto"/>
                <w:spacing w:val="-2"/>
                <w:sz w:val="21"/>
                <w:szCs w:val="21"/>
                <w:highlight w:val="none"/>
                <w:lang w:eastAsia="zh-CN"/>
              </w:rPr>
              <w:t>）</w:t>
            </w:r>
          </w:p>
          <w:p w14:paraId="7FAC11C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eastAsia="zh-CN"/>
              </w:rPr>
            </w:pPr>
            <w:r>
              <w:rPr>
                <w:rFonts w:hint="eastAsia" w:ascii="宋体" w:hAnsi="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lang w:val="en-US" w:eastAsia="zh-CN"/>
              </w:rPr>
              <w:t>需提供液氦：纯度</w:t>
            </w:r>
            <w:r>
              <w:rPr>
                <w:rFonts w:hint="eastAsia" w:ascii="宋体" w:hAnsi="宋体" w:eastAsia="宋体" w:cs="Times New Roman"/>
                <w:bCs/>
                <w:color w:val="auto"/>
                <w:spacing w:val="-2"/>
                <w:sz w:val="21"/>
                <w:szCs w:val="21"/>
                <w:highlight w:val="none"/>
                <w:lang w:eastAsia="zh-CN"/>
              </w:rPr>
              <w:t>99.999%（5N）以上</w:t>
            </w:r>
            <w:r>
              <w:rPr>
                <w:rFonts w:hint="eastAsia" w:ascii="宋体" w:hAnsi="宋体" w:eastAsia="宋体" w:cs="Times New Roman"/>
                <w:bCs/>
                <w:color w:val="auto"/>
                <w:spacing w:val="-2"/>
                <w:sz w:val="21"/>
                <w:szCs w:val="21"/>
                <w:highlight w:val="none"/>
                <w:lang w:val="en-US" w:eastAsia="zh-CN"/>
              </w:rPr>
              <w:t>的500L</w:t>
            </w:r>
          </w:p>
        </w:tc>
        <w:tc>
          <w:tcPr>
            <w:tcW w:w="773" w:type="dxa"/>
            <w:noWrap w:val="0"/>
            <w:vAlign w:val="center"/>
          </w:tcPr>
          <w:p w14:paraId="120C5A3E">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0E155758">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台</w:t>
            </w:r>
          </w:p>
        </w:tc>
      </w:tr>
      <w:tr w14:paraId="3166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20" w:type="dxa"/>
            <w:noWrap w:val="0"/>
            <w:vAlign w:val="center"/>
          </w:tcPr>
          <w:p w14:paraId="3FB542D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6</w:t>
            </w:r>
          </w:p>
        </w:tc>
        <w:tc>
          <w:tcPr>
            <w:tcW w:w="884" w:type="dxa"/>
            <w:noWrap w:val="0"/>
            <w:vAlign w:val="center"/>
          </w:tcPr>
          <w:p w14:paraId="2E1C6173">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DR（核心产品</w:t>
            </w:r>
            <w:r>
              <w:rPr>
                <w:rFonts w:hint="eastAsia" w:ascii="宋体" w:hAnsi="宋体" w:eastAsia="宋体" w:cs="Times New Roman"/>
                <w:bCs/>
                <w:color w:val="auto"/>
                <w:spacing w:val="-2"/>
                <w:sz w:val="21"/>
                <w:szCs w:val="21"/>
                <w:highlight w:val="none"/>
                <w:lang w:eastAsia="zh-CN"/>
              </w:rPr>
              <w:t>）（包含防护 和医院系统对接等软件支持</w:t>
            </w:r>
            <w:r>
              <w:rPr>
                <w:rFonts w:hint="eastAsia" w:ascii="宋体" w:hAnsi="宋体" w:eastAsia="宋体" w:cs="Times New Roman"/>
                <w:bCs/>
                <w:color w:val="auto"/>
                <w:spacing w:val="-2"/>
                <w:sz w:val="21"/>
                <w:szCs w:val="21"/>
                <w:highlight w:val="none"/>
              </w:rPr>
              <w:t>）</w:t>
            </w:r>
          </w:p>
        </w:tc>
        <w:tc>
          <w:tcPr>
            <w:tcW w:w="6428" w:type="dxa"/>
            <w:noWrap w:val="0"/>
            <w:vAlign w:val="center"/>
          </w:tcPr>
          <w:p w14:paraId="00A0435C">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1.功能需求：</w:t>
            </w:r>
            <w:r>
              <w:rPr>
                <w:rFonts w:hint="eastAsia" w:ascii="宋体" w:hAnsi="宋体" w:cs="宋体"/>
                <w:color w:val="auto"/>
                <w:kern w:val="0"/>
                <w:szCs w:val="21"/>
                <w:highlight w:val="none"/>
              </w:rPr>
              <w:t>用于头颅、脊柱、四肢、胸部、腹部等全身站立位和卧位拍摄的天轨悬吊臂结构（三维运动x轴、y轴、z轴），悬吊机架可实现自动运动，可电动切换机架的立位拍摄及卧位拍摄，并可实现一键自动摆位功能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并且可完成透视检查工作</w:t>
            </w:r>
            <w:r>
              <w:rPr>
                <w:rFonts w:hint="eastAsia" w:ascii="宋体" w:hAnsi="宋体" w:cs="宋体"/>
                <w:color w:val="auto"/>
                <w:kern w:val="0"/>
                <w:szCs w:val="21"/>
                <w:highlight w:val="none"/>
                <w:lang w:eastAsia="zh-CN"/>
              </w:rPr>
              <w:t>。</w:t>
            </w:r>
          </w:p>
          <w:p w14:paraId="5210B036">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2.主要技术规格和要求</w:t>
            </w:r>
          </w:p>
          <w:p w14:paraId="0182D4E7">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2.1高压发生器</w:t>
            </w:r>
          </w:p>
          <w:p w14:paraId="7A258AA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2.1.1.最大输出频率：≥500kHz</w:t>
            </w:r>
            <w:r>
              <w:rPr>
                <w:rFonts w:hint="eastAsia" w:ascii="宋体" w:hAnsi="宋体" w:cs="宋体"/>
                <w:color w:val="auto"/>
                <w:kern w:val="0"/>
                <w:szCs w:val="21"/>
                <w:highlight w:val="none"/>
              </w:rPr>
              <w:t>（需提供相关证明文件证明）</w:t>
            </w:r>
          </w:p>
          <w:p w14:paraId="5F2B3AF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2.1.2.高压发生器功率：≥80kW</w:t>
            </w:r>
            <w:r>
              <w:rPr>
                <w:rFonts w:hint="eastAsia" w:ascii="宋体" w:hAnsi="宋体" w:cs="宋体"/>
                <w:color w:val="auto"/>
                <w:kern w:val="0"/>
                <w:szCs w:val="21"/>
                <w:highlight w:val="none"/>
              </w:rPr>
              <w:t>（需提供相关证明文件证明）</w:t>
            </w:r>
          </w:p>
          <w:p w14:paraId="36A23FF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2.1.3.管电压可调范围：40～150kV</w:t>
            </w:r>
          </w:p>
          <w:p w14:paraId="73ACC7E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2.1.4.加载时间范围：最小加载时间≤1ms，最大加载时间≥10s</w:t>
            </w:r>
          </w:p>
          <w:p w14:paraId="1C79FB7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2.1.5.最大输出电流：≥1000mA</w:t>
            </w:r>
            <w:r>
              <w:rPr>
                <w:rFonts w:hint="eastAsia" w:ascii="宋体" w:hAnsi="宋体" w:cs="宋体"/>
                <w:color w:val="auto"/>
                <w:kern w:val="0"/>
                <w:szCs w:val="21"/>
                <w:highlight w:val="none"/>
              </w:rPr>
              <w:t>（需提供相关证明文件证明）</w:t>
            </w:r>
          </w:p>
          <w:p w14:paraId="63D95567">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2.1.6.最大电流时间积：≥1000mAs</w:t>
            </w:r>
          </w:p>
          <w:p w14:paraId="53167762">
            <w:pPr>
              <w:pStyle w:val="9"/>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2.1.7. 最大透视管电压</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Cs w:val="21"/>
                <w:highlight w:val="none"/>
              </w:rPr>
              <w:t>≥</w:t>
            </w:r>
            <w:r>
              <w:rPr>
                <w:rFonts w:hint="eastAsia" w:ascii="宋体" w:hAnsi="宋体" w:eastAsia="宋体" w:cs="宋体"/>
                <w:color w:val="auto"/>
                <w:kern w:val="0"/>
                <w:sz w:val="21"/>
                <w:szCs w:val="21"/>
                <w:highlight w:val="none"/>
                <w:lang w:val="en-US" w:eastAsia="zh-CN" w:bidi="ar-SA"/>
              </w:rPr>
              <w:t>125kV</w:t>
            </w:r>
          </w:p>
          <w:p w14:paraId="730B3C5A">
            <w:pPr>
              <w:pStyle w:val="9"/>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2.1.8</w:t>
            </w:r>
            <w:r>
              <w:rPr>
                <w:rFonts w:hint="eastAsia" w:ascii="宋体" w:hAnsi="宋体" w:eastAsia="宋体" w:cs="宋体"/>
                <w:color w:val="auto"/>
                <w:kern w:val="0"/>
                <w:sz w:val="21"/>
                <w:szCs w:val="21"/>
                <w:highlight w:val="none"/>
                <w:lang w:val="en-US" w:eastAsia="zh-CN" w:bidi="ar-SA"/>
              </w:rPr>
              <w:t xml:space="preserve"> 最大透视电流：≥20mA</w:t>
            </w:r>
          </w:p>
          <w:p w14:paraId="6D0A11A6">
            <w:pPr>
              <w:pStyle w:val="9"/>
              <w:keepNext w:val="0"/>
              <w:keepLines w:val="0"/>
              <w:pageBreakBefore w:val="0"/>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2.1.9. 最大脉冲透视电流：</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0mA</w:t>
            </w:r>
            <w:r>
              <w:rPr>
                <w:rFonts w:hint="eastAsia" w:ascii="宋体" w:hAnsi="宋体" w:cs="宋体"/>
                <w:color w:val="auto"/>
                <w:kern w:val="0"/>
                <w:szCs w:val="21"/>
                <w:highlight w:val="none"/>
              </w:rPr>
              <w:t>（需提供相关证明文件证明）</w:t>
            </w:r>
          </w:p>
          <w:p w14:paraId="78E7E14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Arial"/>
                <w:color w:val="auto"/>
                <w:szCs w:val="21"/>
                <w:highlight w:val="none"/>
                <w:lang w:eastAsia="zh-CN"/>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 xml:space="preserve">10. </w:t>
            </w:r>
            <w:r>
              <w:rPr>
                <w:rFonts w:hint="eastAsia" w:ascii="宋体" w:hAnsi="宋体" w:cs="Arial"/>
                <w:color w:val="auto"/>
                <w:szCs w:val="21"/>
                <w:highlight w:val="none"/>
              </w:rPr>
              <w:t>具</w:t>
            </w:r>
            <w:r>
              <w:rPr>
                <w:rFonts w:ascii="宋体" w:hAnsi="宋体" w:cs="Arial"/>
                <w:color w:val="auto"/>
                <w:szCs w:val="21"/>
                <w:highlight w:val="none"/>
              </w:rPr>
              <w:t>备自动器官程序摄影（APR）功能</w:t>
            </w:r>
          </w:p>
          <w:p w14:paraId="24FBF1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Arial"/>
                <w:color w:val="auto"/>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11.</w:t>
            </w:r>
            <w:r>
              <w:rPr>
                <w:rFonts w:hint="eastAsia" w:ascii="宋体" w:hAnsi="宋体" w:cs="Arial"/>
                <w:color w:val="auto"/>
                <w:szCs w:val="21"/>
                <w:highlight w:val="none"/>
              </w:rPr>
              <w:t>具备发生器参数状态可与采集图像集成显示及故障自诊断功能</w:t>
            </w:r>
          </w:p>
          <w:p w14:paraId="27236F3B">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2.2  X线球管</w:t>
            </w:r>
          </w:p>
          <w:p w14:paraId="1FB7CD2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2.2.1.球管</w:t>
            </w:r>
            <w:r>
              <w:rPr>
                <w:rFonts w:hint="eastAsia" w:ascii="宋体" w:hAnsi="宋体" w:cs="宋体"/>
                <w:color w:val="auto"/>
                <w:kern w:val="0"/>
                <w:szCs w:val="21"/>
                <w:highlight w:val="none"/>
                <w:lang w:val="en-US" w:eastAsia="zh-CN"/>
              </w:rPr>
              <w:t>焦点</w:t>
            </w:r>
            <w:r>
              <w:rPr>
                <w:rFonts w:hint="eastAsia" w:ascii="宋体" w:hAnsi="宋体" w:cs="宋体"/>
                <w:color w:val="auto"/>
                <w:kern w:val="0"/>
                <w:szCs w:val="21"/>
                <w:highlight w:val="none"/>
              </w:rPr>
              <w:t>功率：</w:t>
            </w:r>
            <w:r>
              <w:rPr>
                <w:rFonts w:hint="eastAsia" w:ascii="宋体" w:hAnsi="宋体" w:cs="宋体"/>
                <w:color w:val="auto"/>
                <w:kern w:val="0"/>
                <w:szCs w:val="21"/>
                <w:highlight w:val="none"/>
                <w:lang w:val="en-US" w:eastAsia="zh-CN"/>
              </w:rPr>
              <w:t>小焦点</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0kW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大焦点10</w:t>
            </w:r>
            <w:r>
              <w:rPr>
                <w:rFonts w:hint="eastAsia" w:ascii="宋体" w:hAnsi="宋体" w:cs="宋体"/>
                <w:color w:val="auto"/>
                <w:kern w:val="0"/>
                <w:szCs w:val="21"/>
                <w:highlight w:val="none"/>
              </w:rPr>
              <w:t>0kW</w:t>
            </w:r>
          </w:p>
          <w:p w14:paraId="18DCA8F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2.2.2.球管焦点：≤0.6/1.2mm</w:t>
            </w:r>
          </w:p>
          <w:p w14:paraId="4EBE21C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2.2.3.阳极热容量：≥</w:t>
            </w:r>
            <w:r>
              <w:rPr>
                <w:rFonts w:hint="eastAsia" w:ascii="宋体" w:hAnsi="宋体" w:cs="宋体"/>
                <w:color w:val="auto"/>
                <w:kern w:val="0"/>
                <w:szCs w:val="21"/>
                <w:highlight w:val="none"/>
                <w:lang w:val="en-US" w:eastAsia="zh-CN"/>
              </w:rPr>
              <w:t>400</w:t>
            </w:r>
            <w:r>
              <w:rPr>
                <w:rFonts w:hint="eastAsia" w:ascii="宋体" w:hAnsi="宋体" w:cs="宋体"/>
                <w:color w:val="auto"/>
                <w:kern w:val="0"/>
                <w:szCs w:val="21"/>
                <w:highlight w:val="none"/>
              </w:rPr>
              <w:t>kHU（需提供相关证明文件证明）</w:t>
            </w:r>
          </w:p>
          <w:p w14:paraId="2B5BDE99">
            <w:pPr>
              <w:pStyle w:val="9"/>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2.3.4．阳极旋转速度≥</w:t>
            </w:r>
            <w:r>
              <w:rPr>
                <w:rFonts w:hint="eastAsia" w:ascii="宋体" w:hAnsi="宋体" w:cs="宋体"/>
                <w:color w:val="auto"/>
                <w:kern w:val="0"/>
                <w:szCs w:val="21"/>
                <w:highlight w:val="none"/>
                <w:lang w:val="en-US" w:eastAsia="zh-CN"/>
              </w:rPr>
              <w:t>97</w:t>
            </w:r>
            <w:r>
              <w:rPr>
                <w:rFonts w:hint="eastAsia" w:ascii="宋体" w:hAnsi="宋体" w:cs="宋体"/>
                <w:color w:val="auto"/>
                <w:kern w:val="0"/>
                <w:szCs w:val="21"/>
                <w:highlight w:val="none"/>
              </w:rPr>
              <w:t>00rpm</w:t>
            </w:r>
          </w:p>
          <w:p w14:paraId="5CF5F4A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2.2.5.射线野指示灯类型：LED</w:t>
            </w:r>
          </w:p>
          <w:p w14:paraId="7C678294">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2.3.球管悬吊支架</w:t>
            </w:r>
          </w:p>
          <w:p w14:paraId="21080A7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2.3.1.吊架运动模式：电动（双模式）</w:t>
            </w:r>
          </w:p>
          <w:p w14:paraId="378C4CFC">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2.3.2.球管架垂直运动距离：≥140cm</w:t>
            </w:r>
          </w:p>
          <w:p w14:paraId="1AC3FC90">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2.3.3.球管架沿纵轴运动距离：≥</w:t>
            </w:r>
            <w:r>
              <w:rPr>
                <w:rFonts w:hint="eastAsia" w:ascii="宋体" w:hAnsi="宋体" w:cs="宋体"/>
                <w:color w:val="auto"/>
                <w:kern w:val="0"/>
                <w:szCs w:val="21"/>
                <w:highlight w:val="none"/>
                <w:lang w:val="en-US" w:eastAsia="zh-CN"/>
              </w:rPr>
              <w:t>230</w:t>
            </w:r>
            <w:r>
              <w:rPr>
                <w:rFonts w:hint="eastAsia" w:ascii="宋体" w:hAnsi="宋体" w:cs="宋体"/>
                <w:color w:val="auto"/>
                <w:kern w:val="0"/>
                <w:szCs w:val="21"/>
                <w:highlight w:val="none"/>
              </w:rPr>
              <w:t>cm（需提供相关证明文件证明）</w:t>
            </w:r>
          </w:p>
          <w:p w14:paraId="2D121F0F">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2.3.4.球管架沿横轴运动距离：≥200cm（需提供相关证明文件证明）</w:t>
            </w:r>
          </w:p>
          <w:p w14:paraId="6242C4B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2.3.5.球管可沿垂直轴旋转：≥±90°</w:t>
            </w:r>
          </w:p>
          <w:p w14:paraId="6E7733B8">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2.3.6.球管可沿水平轴旋转：≥±120°</w:t>
            </w:r>
          </w:p>
          <w:p w14:paraId="178B8ED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2.3.7. 具备临床常用自动摆位功能（需提供相关证明文件证明）</w:t>
            </w:r>
          </w:p>
          <w:p w14:paraId="63955A84">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2.3.8.悬吊支架可根据预设位置实现自动摆位功能</w:t>
            </w:r>
          </w:p>
          <w:p w14:paraId="75CF89A7">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2.4.全自动摆位</w:t>
            </w:r>
          </w:p>
          <w:p w14:paraId="6609F57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2.4.1支持一键摆位功能</w:t>
            </w:r>
          </w:p>
          <w:p w14:paraId="0E5FF7BE">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2.5.无线平板探测器（两块）</w:t>
            </w:r>
          </w:p>
          <w:p w14:paraId="47CAAD54">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2.5.1.配备两块17×17英寸无线移动式平板探测器，可交替置于胸片架和摄影床的平板托盘内</w:t>
            </w:r>
            <w:r>
              <w:rPr>
                <w:rFonts w:hint="eastAsia" w:ascii="宋体" w:hAnsi="宋体" w:cs="宋体"/>
                <w:color w:val="auto"/>
                <w:kern w:val="0"/>
                <w:szCs w:val="21"/>
                <w:highlight w:val="none"/>
                <w:lang w:eastAsia="zh-CN"/>
              </w:rPr>
              <w:t>。</w:t>
            </w:r>
          </w:p>
          <w:p w14:paraId="4840B004">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2.5.2.闪烁体类型：碘化铯（CsI）</w:t>
            </w:r>
          </w:p>
          <w:p w14:paraId="028DCF7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2.5.3.半导体材料：非晶体硅（a-Si）</w:t>
            </w:r>
          </w:p>
          <w:p w14:paraId="528E3AC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2.5.4.像素尺寸：≤</w:t>
            </w:r>
            <w:r>
              <w:rPr>
                <w:rFonts w:hint="eastAsia" w:ascii="宋体" w:hAnsi="宋体" w:cs="宋体"/>
                <w:color w:val="auto"/>
                <w:kern w:val="0"/>
                <w:szCs w:val="21"/>
                <w:highlight w:val="none"/>
                <w:lang w:val="en-US" w:eastAsia="zh-CN"/>
              </w:rPr>
              <w:t>139</w:t>
            </w:r>
            <w:r>
              <w:rPr>
                <w:rFonts w:hint="eastAsia" w:ascii="宋体" w:hAnsi="宋体" w:cs="宋体"/>
                <w:color w:val="auto"/>
                <w:kern w:val="0"/>
                <w:szCs w:val="21"/>
                <w:highlight w:val="none"/>
              </w:rPr>
              <w:t>um（提供证明材料）</w:t>
            </w:r>
          </w:p>
          <w:p w14:paraId="090446A2">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2.5.5.采集灰阶度：≥16bits</w:t>
            </w:r>
          </w:p>
          <w:p w14:paraId="3D79A55E">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2.5.6.空间分辨率：≥</w:t>
            </w:r>
            <w:r>
              <w:rPr>
                <w:rFonts w:hint="eastAsia" w:ascii="宋体" w:hAnsi="宋体" w:cs="宋体"/>
                <w:color w:val="auto"/>
                <w:kern w:val="0"/>
                <w:szCs w:val="21"/>
                <w:highlight w:val="none"/>
                <w:lang w:val="en-US" w:eastAsia="zh-CN"/>
              </w:rPr>
              <w:t>3.6</w:t>
            </w:r>
            <w:r>
              <w:rPr>
                <w:rFonts w:hint="eastAsia" w:ascii="宋体" w:hAnsi="宋体" w:cs="宋体"/>
                <w:color w:val="auto"/>
                <w:kern w:val="0"/>
                <w:szCs w:val="21"/>
                <w:highlight w:val="none"/>
              </w:rPr>
              <w:t>lp/mm</w:t>
            </w:r>
            <w:r>
              <w:rPr>
                <w:rFonts w:hint="eastAsia" w:ascii="宋体" w:hAnsi="宋体" w:cs="宋体"/>
                <w:color w:val="auto"/>
                <w:kern w:val="0"/>
                <w:szCs w:val="21"/>
                <w:highlight w:val="none"/>
                <w:lang w:eastAsia="zh-CN"/>
              </w:rPr>
              <w:t>（需提供相关证明文件证明）</w:t>
            </w:r>
          </w:p>
          <w:p w14:paraId="34511862">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2.5.7.采集距阵：≥</w:t>
            </w:r>
            <w:r>
              <w:rPr>
                <w:rFonts w:hint="eastAsia" w:ascii="宋体" w:hAnsi="宋体" w:cs="宋体"/>
                <w:color w:val="auto"/>
                <w:kern w:val="0"/>
                <w:szCs w:val="21"/>
                <w:highlight w:val="none"/>
                <w:lang w:val="en-US" w:eastAsia="zh-CN"/>
              </w:rPr>
              <w:t>3072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3072</w:t>
            </w:r>
          </w:p>
          <w:p w14:paraId="312FFA2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2.5.8.平板探测器的量子捕获效率（DQE）≥7</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（需提供相关证明文件证明）</w:t>
            </w:r>
          </w:p>
          <w:p w14:paraId="2A9EAC7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2.5.9.平板探测器通讯模式：无线传输</w:t>
            </w:r>
          </w:p>
          <w:p w14:paraId="5C2063CE">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2.5.10.探测器供电方式为锂电池</w:t>
            </w:r>
          </w:p>
          <w:p w14:paraId="5417BCC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2.5.11.探测器可放置于床面或床外做无滤线栅拍摄</w:t>
            </w:r>
          </w:p>
          <w:p w14:paraId="437FDB10">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2.5.12.平板探测器在线充电技术（无需拆卸电池进行充电或拔插电缆）</w:t>
            </w:r>
          </w:p>
          <w:p w14:paraId="6635E3D7">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2.5.13. 成像时间：≤</w:t>
            </w:r>
            <w:r>
              <w:rPr>
                <w:rFonts w:hint="eastAsia" w:ascii="宋体" w:hAnsi="宋体" w:cs="宋体"/>
                <w:color w:val="auto"/>
                <w:kern w:val="0"/>
                <w:szCs w:val="21"/>
                <w:highlight w:val="none"/>
                <w:lang w:val="en-US" w:eastAsia="zh-CN"/>
              </w:rPr>
              <w:t>3s（需提供相关证明文件证明）</w:t>
            </w:r>
          </w:p>
          <w:p w14:paraId="3A03C3AA">
            <w:pPr>
              <w:pStyle w:val="9"/>
              <w:keepNext w:val="0"/>
              <w:keepLines w:val="0"/>
              <w:pageBreakBefore w:val="0"/>
              <w:kinsoku/>
              <w:wordWrap/>
              <w:overflowPunct/>
              <w:topLinePunct w:val="0"/>
              <w:autoSpaceDE/>
              <w:autoSpaceDN/>
              <w:bidi w:val="0"/>
              <w:adjustRightInd/>
              <w:snapToGrid/>
              <w:ind w:left="0" w:leftChars="0" w:firstLine="420" w:firstLineChars="200"/>
              <w:textAlignment w:val="auto"/>
              <w:rPr>
                <w:rFonts w:hint="default"/>
                <w:color w:val="auto"/>
                <w:highlight w:val="none"/>
                <w:lang w:val="en-US" w:eastAsia="zh-CN"/>
              </w:rPr>
            </w:pPr>
            <w:r>
              <w:rPr>
                <w:rFonts w:hint="eastAsia" w:ascii="宋体" w:hAnsi="宋体" w:cs="宋体"/>
                <w:color w:val="auto"/>
                <w:kern w:val="0"/>
                <w:szCs w:val="21"/>
                <w:highlight w:val="none"/>
                <w:lang w:val="en-US" w:eastAsia="zh-CN"/>
              </w:rPr>
              <w:t>2.5.14. 透视最大采集速率≥30帧/s（需提供相关证明文件证明）</w:t>
            </w:r>
          </w:p>
          <w:p w14:paraId="0875865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2.5.1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在床下和胸片架均</w:t>
            </w:r>
            <w:r>
              <w:rPr>
                <w:rFonts w:hint="eastAsia" w:ascii="宋体" w:hAnsi="宋体" w:cs="宋体"/>
                <w:color w:val="auto"/>
                <w:kern w:val="0"/>
                <w:szCs w:val="21"/>
                <w:highlight w:val="none"/>
              </w:rPr>
              <w:t>具备自动曝光控制系统，</w:t>
            </w:r>
            <w:r>
              <w:rPr>
                <w:rFonts w:hint="eastAsia" w:ascii="宋体" w:hAnsi="宋体" w:cs="宋体"/>
                <w:color w:val="auto"/>
                <w:kern w:val="0"/>
                <w:szCs w:val="21"/>
                <w:highlight w:val="none"/>
                <w:lang w:val="en-US" w:eastAsia="zh-CN"/>
              </w:rPr>
              <w:t>为三野式物理电离室，非软件。</w:t>
            </w:r>
          </w:p>
          <w:p w14:paraId="7D6C17DD">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2.6胸片架</w:t>
            </w:r>
          </w:p>
          <w:p w14:paraId="1693795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2.6.1.胸片架垂直运动行程：≥1</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cm</w:t>
            </w:r>
          </w:p>
          <w:p w14:paraId="5B632F0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2.6.2.胸片架上探测器中心最低到地面高度：≤38cm</w:t>
            </w:r>
          </w:p>
          <w:p w14:paraId="2EC91DB8">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2.6.3.</w:t>
            </w:r>
            <w:r>
              <w:rPr>
                <w:rFonts w:hint="eastAsia" w:ascii="宋体" w:hAnsi="宋体" w:cs="宋体"/>
                <w:color w:val="auto"/>
                <w:kern w:val="0"/>
                <w:szCs w:val="21"/>
                <w:lang w:val="en-US" w:eastAsia="zh-CN"/>
              </w:rPr>
              <w:t>遥控器控制平板探测器上升下降</w:t>
            </w:r>
          </w:p>
          <w:p w14:paraId="026FEE4F">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2.6.4.胸片架运动模式：电动、手动</w:t>
            </w:r>
          </w:p>
          <w:p w14:paraId="78567E3F">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2.6.5.平板支持在胸片架上的片盒内在线充电，直接接触式，无需插拔电缆</w:t>
            </w:r>
          </w:p>
          <w:p w14:paraId="2CB0F42C">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2.6.6.可隔室遥控胸片架垂直升降</w:t>
            </w:r>
          </w:p>
          <w:p w14:paraId="4A566D2F">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2.6.7.平板在线充电指示灯</w:t>
            </w:r>
          </w:p>
          <w:p w14:paraId="4FB672E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2.6.8.实体滤线栅不用工具即可移除</w:t>
            </w:r>
            <w:r>
              <w:rPr>
                <w:rFonts w:hint="eastAsia" w:ascii="宋体" w:hAnsi="宋体" w:cs="宋体"/>
                <w:color w:val="auto"/>
                <w:kern w:val="0"/>
                <w:szCs w:val="21"/>
                <w:highlight w:val="none"/>
                <w:lang w:eastAsia="zh-CN"/>
              </w:rPr>
              <w:t>（需提供相关证明文件证明）</w:t>
            </w:r>
          </w:p>
          <w:p w14:paraId="0616B8D2">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2.7.球管侧近台操控系统</w:t>
            </w:r>
          </w:p>
          <w:p w14:paraId="7C579312">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2.7.1.</w:t>
            </w:r>
            <w:r>
              <w:rPr>
                <w:rFonts w:hint="eastAsia"/>
                <w:color w:val="auto"/>
                <w:highlight w:val="none"/>
              </w:rPr>
              <w:t xml:space="preserve"> </w:t>
            </w:r>
            <w:r>
              <w:rPr>
                <w:rFonts w:hint="eastAsia" w:ascii="宋体" w:hAnsi="宋体" w:cs="宋体"/>
                <w:color w:val="auto"/>
                <w:kern w:val="0"/>
                <w:szCs w:val="21"/>
                <w:highlight w:val="none"/>
              </w:rPr>
              <w:t>具备近台操控彩色触摸屏</w:t>
            </w:r>
          </w:p>
          <w:p w14:paraId="73022B87">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2.7.2.</w:t>
            </w:r>
            <w:r>
              <w:rPr>
                <w:rFonts w:hint="eastAsia"/>
                <w:color w:val="auto"/>
                <w:highlight w:val="none"/>
              </w:rPr>
              <w:t xml:space="preserve"> </w:t>
            </w:r>
            <w:r>
              <w:rPr>
                <w:rFonts w:hint="eastAsia" w:ascii="宋体" w:hAnsi="宋体" w:cs="宋体"/>
                <w:color w:val="auto"/>
                <w:kern w:val="0"/>
                <w:szCs w:val="21"/>
                <w:highlight w:val="none"/>
              </w:rPr>
              <w:t>屏幕尺寸≥</w:t>
            </w:r>
            <w:r>
              <w:rPr>
                <w:rFonts w:hint="eastAsia" w:ascii="宋体" w:hAnsi="宋体" w:cs="宋体"/>
                <w:color w:val="auto"/>
                <w:kern w:val="0"/>
                <w:szCs w:val="21"/>
                <w:highlight w:val="none"/>
                <w:lang w:val="en-US" w:eastAsia="zh-CN"/>
              </w:rPr>
              <w:t>9.5</w:t>
            </w:r>
            <w:r>
              <w:rPr>
                <w:rFonts w:hint="eastAsia" w:ascii="宋体" w:hAnsi="宋体" w:cs="宋体"/>
                <w:color w:val="auto"/>
                <w:kern w:val="0"/>
                <w:szCs w:val="21"/>
                <w:highlight w:val="none"/>
              </w:rPr>
              <w:t>英寸</w:t>
            </w:r>
          </w:p>
          <w:p w14:paraId="0B49522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2.7.3. 屏幕显示可依据重力方向自动调整显示的方向</w:t>
            </w:r>
          </w:p>
          <w:p w14:paraId="1AF46D7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2.7.4. 可显示患者的详细登记信息、摆位引导图、SID数值等</w:t>
            </w:r>
          </w:p>
          <w:p w14:paraId="2F9F2152">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2.7.5. 可调整曝光参数（kV，mA，mAs等）、部位选择、体型选择等</w:t>
            </w:r>
          </w:p>
          <w:p w14:paraId="7619D105">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2.7.6. 可通过触控系统一键摆位</w:t>
            </w:r>
          </w:p>
          <w:p w14:paraId="666B464D">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2.8固定摄影床</w:t>
            </w:r>
          </w:p>
          <w:p w14:paraId="3A4563C7">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2.8.1.配备固定式摄影床，非移动式</w:t>
            </w:r>
          </w:p>
          <w:p w14:paraId="6A6615B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2.8.2.四向浮动床面板，浮动床面移动范围：纵向≥90cm 、横向≥25cm</w:t>
            </w:r>
          </w:p>
          <w:p w14:paraId="2EA33842">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2.8.3.床面板解锁方式：脚踏方式电磁解锁</w:t>
            </w:r>
          </w:p>
          <w:p w14:paraId="282E57CE">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2.8.4.为防治误触发，脚踏控制板为双击生效控制形式</w:t>
            </w:r>
          </w:p>
          <w:p w14:paraId="6303E9B8">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2.8.5. 床面最大承重：≥250kg</w:t>
            </w:r>
          </w:p>
          <w:p w14:paraId="21A7EA3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2.8.6.平板托盘移动范围：≥500mm</w:t>
            </w:r>
          </w:p>
          <w:p w14:paraId="36748FDE">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2.8.7.平板支持在摄影床下的托盘内在线充电</w:t>
            </w:r>
          </w:p>
          <w:p w14:paraId="24752456">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eastAsia="宋体"/>
                <w:color w:val="auto"/>
                <w:highlight w:val="none"/>
                <w:lang w:eastAsia="zh-CN"/>
              </w:rPr>
            </w:pPr>
            <w:r>
              <w:rPr>
                <w:rFonts w:hint="eastAsia" w:ascii="宋体" w:hAnsi="宋体" w:cs="宋体"/>
                <w:color w:val="auto"/>
                <w:kern w:val="0"/>
                <w:szCs w:val="21"/>
                <w:highlight w:val="none"/>
              </w:rPr>
              <w:t>2.8.8. 床面升降行程≥400mm</w:t>
            </w:r>
            <w:r>
              <w:rPr>
                <w:rFonts w:hint="eastAsia" w:ascii="宋体" w:hAnsi="宋体" w:cs="宋体"/>
                <w:color w:val="auto"/>
                <w:kern w:val="0"/>
                <w:szCs w:val="21"/>
                <w:highlight w:val="none"/>
                <w:lang w:eastAsia="zh-CN"/>
              </w:rPr>
              <w:t>（需提供相关证明文件证明）</w:t>
            </w:r>
          </w:p>
          <w:p w14:paraId="36B5F152">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2.9.无线远程遥控器</w:t>
            </w:r>
          </w:p>
          <w:p w14:paraId="2C8450B9">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2.9.1.可遥控</w:t>
            </w:r>
            <w:r>
              <w:rPr>
                <w:rFonts w:ascii="宋体" w:hAnsi="宋体" w:cs="Arial"/>
                <w:color w:val="auto"/>
                <w:szCs w:val="21"/>
                <w:highlight w:val="none"/>
              </w:rPr>
              <w:t>遥控机架各向运动、实现位置自动转换</w:t>
            </w:r>
          </w:p>
          <w:p w14:paraId="049C6438">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2.9.</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.控制类型：无线遥控方式</w:t>
            </w:r>
          </w:p>
          <w:p w14:paraId="240BB308">
            <w:pPr>
              <w:pStyle w:val="9"/>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2.9.3 采用射频信号传输的方式实现可靠有效的无线控制</w:t>
            </w:r>
          </w:p>
          <w:p w14:paraId="67A7804D">
            <w:pPr>
              <w:pStyle w:val="9"/>
              <w:keepNext w:val="0"/>
              <w:keepLines w:val="0"/>
              <w:pageBreakBefore w:val="0"/>
              <w:kinsoku/>
              <w:wordWrap/>
              <w:overflowPunct/>
              <w:topLinePunct w:val="0"/>
              <w:autoSpaceDE/>
              <w:autoSpaceDN/>
              <w:bidi w:val="0"/>
              <w:adjustRightInd/>
              <w:snapToGrid/>
              <w:ind w:left="0" w:leftChars="0" w:firstLine="420" w:firstLineChars="20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2.9.4</w:t>
            </w:r>
            <w:r>
              <w:rPr>
                <w:rFonts w:hint="eastAsia" w:ascii="宋体" w:hAnsi="宋体" w:eastAsia="宋体" w:cs="宋体"/>
                <w:color w:val="auto"/>
                <w:kern w:val="0"/>
                <w:sz w:val="21"/>
                <w:szCs w:val="21"/>
                <w:highlight w:val="none"/>
                <w:lang w:val="en-US" w:eastAsia="zh-CN" w:bidi="ar-SA"/>
              </w:rPr>
              <w:t xml:space="preserve"> 遥控装置附近配备了应急停止控制器</w:t>
            </w:r>
          </w:p>
          <w:p w14:paraId="48813A54">
            <w:pPr>
              <w:keepNext w:val="0"/>
              <w:keepLines w:val="0"/>
              <w:pageBreakBefore w:val="0"/>
              <w:widowControl/>
              <w:kinsoku/>
              <w:wordWrap/>
              <w:overflowPunct/>
              <w:topLinePunct w:val="0"/>
              <w:autoSpaceDE/>
              <w:autoSpaceDN/>
              <w:bidi w:val="0"/>
              <w:adjustRightInd/>
              <w:snapToGrid/>
              <w:spacing w:line="288"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2.10.系统操作台</w:t>
            </w:r>
          </w:p>
          <w:p w14:paraId="258D4CEF">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2.10.1.主机工作站操作台内存：≥8GB</w:t>
            </w:r>
          </w:p>
          <w:p w14:paraId="07B134C2">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2.10.2.主机工作站操作台硬盘：≥1TB</w:t>
            </w:r>
          </w:p>
          <w:p w14:paraId="0BF5CE6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2.10.3.图像文件存储容量：≥20000幅</w:t>
            </w:r>
          </w:p>
          <w:p w14:paraId="64E3ED96">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2.10.4.采集工作站显示器尺寸：≥23.5英寸</w:t>
            </w:r>
          </w:p>
          <w:p w14:paraId="17E4C731">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2.10.5.采集工作站显示器分辨率：≥1920×1</w:t>
            </w:r>
            <w:r>
              <w:rPr>
                <w:rFonts w:hint="eastAsia" w:ascii="宋体" w:hAnsi="宋体" w:cs="宋体"/>
                <w:color w:val="auto"/>
                <w:kern w:val="0"/>
                <w:szCs w:val="21"/>
                <w:highlight w:val="none"/>
                <w:lang w:val="en-US" w:eastAsia="zh-CN"/>
              </w:rPr>
              <w:t>080</w:t>
            </w:r>
          </w:p>
          <w:p w14:paraId="76F8C71B">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2.10.6.对比度：≥1000：1</w:t>
            </w:r>
          </w:p>
          <w:p w14:paraId="23729DC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2.10.7.</w:t>
            </w:r>
            <w:r>
              <w:rPr>
                <w:rFonts w:hint="eastAsia"/>
                <w:color w:val="auto"/>
                <w:highlight w:val="none"/>
              </w:rPr>
              <w:t xml:space="preserve"> </w:t>
            </w:r>
            <w:r>
              <w:rPr>
                <w:rFonts w:hint="eastAsia" w:ascii="宋体" w:hAnsi="宋体" w:cs="宋体"/>
                <w:color w:val="auto"/>
                <w:kern w:val="0"/>
                <w:szCs w:val="21"/>
                <w:highlight w:val="none"/>
              </w:rPr>
              <w:t>操作界面语言采用中文设计</w:t>
            </w:r>
          </w:p>
          <w:p w14:paraId="32F3A410">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2.10.8.</w:t>
            </w:r>
            <w:r>
              <w:rPr>
                <w:rFonts w:hint="eastAsia"/>
                <w:color w:val="auto"/>
                <w:highlight w:val="none"/>
              </w:rPr>
              <w:t xml:space="preserve"> </w:t>
            </w:r>
            <w:r>
              <w:rPr>
                <w:rFonts w:hint="eastAsia" w:ascii="宋体" w:hAnsi="宋体" w:cs="宋体"/>
                <w:color w:val="auto"/>
                <w:kern w:val="0"/>
                <w:szCs w:val="21"/>
                <w:highlight w:val="none"/>
              </w:rPr>
              <w:t>具有病人登记，信息管理功能</w:t>
            </w:r>
          </w:p>
          <w:p w14:paraId="5398459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2.10.9.</w:t>
            </w:r>
            <w:r>
              <w:rPr>
                <w:rFonts w:hint="eastAsia"/>
                <w:color w:val="auto"/>
                <w:highlight w:val="none"/>
              </w:rPr>
              <w:t xml:space="preserve"> </w:t>
            </w:r>
            <w:r>
              <w:rPr>
                <w:rFonts w:hint="eastAsia" w:ascii="宋体" w:hAnsi="宋体" w:cs="宋体"/>
                <w:color w:val="auto"/>
                <w:kern w:val="0"/>
                <w:szCs w:val="21"/>
                <w:highlight w:val="none"/>
              </w:rPr>
              <w:t>具有曝光参数记录和显示功能</w:t>
            </w:r>
          </w:p>
          <w:p w14:paraId="2407BB16">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2.10.11.具有故障代码发送，高压发生器操作过程记录功能</w:t>
            </w:r>
          </w:p>
          <w:p w14:paraId="018582C7">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2.10.12.支持图像基本后处理功能，如图像预览、缩放、窗宽/窗位调整、标注、反色、翻转、旋转、输入文本、长度测量及校正、裁剪功能、感兴趣区域及角度测量</w:t>
            </w:r>
          </w:p>
          <w:p w14:paraId="26FD504E">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2.10.13.具有DICOM图像导出存储功能</w:t>
            </w:r>
          </w:p>
          <w:p w14:paraId="2BDF374E">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color w:val="auto"/>
                <w:highlight w:val="none"/>
              </w:rPr>
            </w:pPr>
            <w:r>
              <w:rPr>
                <w:rFonts w:hint="eastAsia" w:ascii="宋体" w:hAnsi="宋体" w:cs="宋体"/>
                <w:color w:val="auto"/>
                <w:kern w:val="0"/>
                <w:szCs w:val="21"/>
                <w:highlight w:val="none"/>
              </w:rPr>
              <w:t>2.10.14.支持DICOM3，WORKLIST，MPPS</w:t>
            </w:r>
          </w:p>
          <w:p w14:paraId="499BA92C">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eastAsia="宋体"/>
                <w:color w:val="auto"/>
                <w:highlight w:val="none"/>
                <w:lang w:eastAsia="zh-CN"/>
              </w:rPr>
            </w:pPr>
            <w:r>
              <w:rPr>
                <w:rFonts w:hint="eastAsia" w:ascii="宋体" w:hAnsi="宋体" w:cs="宋体"/>
                <w:color w:val="auto"/>
                <w:kern w:val="0"/>
                <w:szCs w:val="21"/>
                <w:highlight w:val="none"/>
              </w:rPr>
              <w:t>2.10.15.具有统计功能</w:t>
            </w:r>
            <w:r>
              <w:rPr>
                <w:rFonts w:hint="eastAsia" w:ascii="宋体" w:hAnsi="宋体" w:cs="宋体"/>
                <w:color w:val="auto"/>
                <w:kern w:val="0"/>
                <w:szCs w:val="21"/>
                <w:highlight w:val="none"/>
                <w:lang w:eastAsia="zh-CN"/>
              </w:rPr>
              <w:t>。</w:t>
            </w:r>
          </w:p>
          <w:p w14:paraId="37D8DF94">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2.10.16.具有辐射剂量的记录和显示功能</w:t>
            </w:r>
          </w:p>
          <w:p w14:paraId="019CD0A4">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2.10.17. 具有智能售后远程服务系统</w:t>
            </w:r>
            <w:r>
              <w:rPr>
                <w:rFonts w:hint="eastAsia" w:ascii="宋体" w:hAnsi="宋体" w:cs="宋体"/>
                <w:color w:val="auto"/>
                <w:kern w:val="0"/>
                <w:szCs w:val="21"/>
                <w:highlight w:val="none"/>
                <w:lang w:eastAsia="zh-CN"/>
              </w:rPr>
              <w:t>，</w:t>
            </w:r>
            <w:r>
              <w:rPr>
                <w:rFonts w:hint="eastAsia"/>
                <w:color w:val="auto"/>
                <w:highlight w:val="none"/>
                <w:lang w:eastAsia="zh-CN"/>
              </w:rPr>
              <w:t>需提供相关证明文件证明</w:t>
            </w:r>
            <w:r>
              <w:rPr>
                <w:rFonts w:hint="eastAsia"/>
                <w:color w:val="auto"/>
                <w:highlight w:val="none"/>
                <w:lang w:val="en-US" w:eastAsia="zh-CN"/>
              </w:rPr>
              <w:t>.</w:t>
            </w:r>
          </w:p>
          <w:p w14:paraId="4B07088C">
            <w:pPr>
              <w:pStyle w:val="9"/>
              <w:keepNext w:val="0"/>
              <w:keepLines w:val="0"/>
              <w:pageBreakBefore w:val="0"/>
              <w:kinsoku/>
              <w:wordWrap/>
              <w:overflowPunct/>
              <w:topLinePunct w:val="0"/>
              <w:autoSpaceDE/>
              <w:autoSpaceDN/>
              <w:bidi w:val="0"/>
              <w:adjustRightInd/>
              <w:snapToGrid/>
              <w:ind w:firstLine="420" w:firstLineChars="200"/>
              <w:textAlignment w:val="auto"/>
              <w:rPr>
                <w:rFonts w:hint="eastAsia" w:eastAsia="宋体"/>
                <w:color w:val="auto"/>
                <w:highlight w:val="none"/>
                <w:lang w:eastAsia="zh-CN"/>
              </w:rPr>
            </w:pPr>
            <w:r>
              <w:rPr>
                <w:rFonts w:hint="eastAsia" w:ascii="宋体" w:hAnsi="宋体" w:cs="宋体"/>
                <w:color w:val="auto"/>
                <w:kern w:val="0"/>
                <w:szCs w:val="21"/>
                <w:highlight w:val="none"/>
              </w:rPr>
              <w:t>2.10.18</w:t>
            </w:r>
            <w:r>
              <w:rPr>
                <w:rFonts w:hint="eastAsia"/>
                <w:color w:val="auto"/>
                <w:highlight w:val="none"/>
              </w:rPr>
              <w:t>支持远程升级、远程故障诊断和故障处理、远程桌面协助</w:t>
            </w:r>
            <w:r>
              <w:rPr>
                <w:rFonts w:hint="eastAsia"/>
                <w:color w:val="auto"/>
                <w:highlight w:val="none"/>
                <w:lang w:eastAsia="zh-CN"/>
              </w:rPr>
              <w:t>（需提供相关证明文件证明）</w:t>
            </w:r>
          </w:p>
          <w:p w14:paraId="550D1301">
            <w:pPr>
              <w:pStyle w:val="9"/>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 xml:space="preserve">2.10.19 </w:t>
            </w:r>
            <w:r>
              <w:rPr>
                <w:rFonts w:hint="eastAsia" w:ascii="宋体" w:hAnsi="宋体" w:eastAsia="宋体" w:cs="宋体"/>
                <w:color w:val="auto"/>
                <w:kern w:val="0"/>
                <w:sz w:val="21"/>
                <w:szCs w:val="21"/>
                <w:highlight w:val="none"/>
                <w:lang w:val="en-US" w:eastAsia="zh-CN" w:bidi="ar-SA"/>
              </w:rPr>
              <w:t>具备全脊柱、全下肢拼接功能</w:t>
            </w:r>
            <w:r>
              <w:rPr>
                <w:rFonts w:hint="default" w:ascii="宋体" w:hAnsi="宋体" w:eastAsia="宋体" w:cs="宋体"/>
                <w:color w:val="auto"/>
                <w:kern w:val="0"/>
                <w:sz w:val="21"/>
                <w:szCs w:val="21"/>
                <w:highlight w:val="none"/>
                <w:lang w:val="en-US" w:eastAsia="zh-CN" w:bidi="ar-SA"/>
              </w:rPr>
              <w:t>，具备设备整机原厂立位和卧位全自动长骨拼接功能（自动拍摄，自动拼接，非手动拼接，无需多次进入检查室），自动拼接功能在本机全自动完成。</w:t>
            </w:r>
          </w:p>
          <w:p w14:paraId="31AE70EB">
            <w:pPr>
              <w:pStyle w:val="9"/>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2.10.20 具备尘肺检查功能</w:t>
            </w:r>
          </w:p>
          <w:p w14:paraId="72440D62">
            <w:pPr>
              <w:pStyle w:val="9"/>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2.10.21 配备远程云、诊断云系统1套，提供云端会诊功能。</w:t>
            </w:r>
          </w:p>
          <w:p w14:paraId="027344B0">
            <w:pPr>
              <w:pStyle w:val="9"/>
              <w:keepNext w:val="0"/>
              <w:keepLines w:val="0"/>
              <w:pageBreakBefore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2.10.22</w:t>
            </w:r>
            <w:r>
              <w:rPr>
                <w:rFonts w:hint="eastAsia" w:ascii="宋体" w:hAnsi="宋体" w:cs="宋体"/>
                <w:color w:val="auto"/>
                <w:kern w:val="0"/>
                <w:sz w:val="21"/>
                <w:szCs w:val="21"/>
                <w:highlight w:val="none"/>
                <w:lang w:val="en-US" w:eastAsia="zh-CN" w:bidi="ar-SA"/>
              </w:rPr>
              <w:t xml:space="preserve"> </w:t>
            </w:r>
            <w:r>
              <w:rPr>
                <w:rFonts w:hint="eastAsia" w:ascii="宋体" w:hAnsi="宋体" w:eastAsia="宋体" w:cs="宋体"/>
                <w:color w:val="auto"/>
                <w:kern w:val="0"/>
                <w:sz w:val="21"/>
                <w:szCs w:val="21"/>
                <w:highlight w:val="none"/>
                <w:lang w:val="en-US" w:eastAsia="zh-CN" w:bidi="ar-SA"/>
              </w:rPr>
              <w:t>具备骨密度测量功能</w:t>
            </w:r>
          </w:p>
          <w:p w14:paraId="718A4F71">
            <w:pPr>
              <w:keepNext w:val="0"/>
              <w:keepLines w:val="0"/>
              <w:pageBreakBefore w:val="0"/>
              <w:kinsoku/>
              <w:wordWrap/>
              <w:overflowPunct/>
              <w:topLinePunct w:val="0"/>
              <w:autoSpaceDE/>
              <w:autoSpaceDN/>
              <w:bidi w:val="0"/>
              <w:adjustRightInd/>
              <w:snapToGrid/>
              <w:ind w:firstLine="412" w:firstLineChars="200"/>
              <w:textAlignment w:val="auto"/>
              <w:rPr>
                <w:rFonts w:hint="eastAsia" w:ascii="宋体" w:hAnsi="宋体" w:eastAsia="宋体" w:cs="Times New Roman"/>
                <w:bCs/>
                <w:color w:val="auto"/>
                <w:spacing w:val="-2"/>
                <w:sz w:val="21"/>
                <w:szCs w:val="21"/>
                <w:highlight w:val="none"/>
                <w:lang w:eastAsia="zh-CN"/>
              </w:rPr>
            </w:pPr>
          </w:p>
        </w:tc>
        <w:tc>
          <w:tcPr>
            <w:tcW w:w="773" w:type="dxa"/>
            <w:noWrap w:val="0"/>
            <w:vAlign w:val="center"/>
          </w:tcPr>
          <w:p w14:paraId="1FB6486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7DD5E0D7">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套</w:t>
            </w:r>
          </w:p>
        </w:tc>
      </w:tr>
      <w:tr w14:paraId="515F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20" w:type="dxa"/>
            <w:noWrap w:val="0"/>
            <w:vAlign w:val="center"/>
          </w:tcPr>
          <w:p w14:paraId="052CEA7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p>
        </w:tc>
        <w:tc>
          <w:tcPr>
            <w:tcW w:w="884" w:type="dxa"/>
            <w:noWrap w:val="0"/>
            <w:vAlign w:val="center"/>
          </w:tcPr>
          <w:p w14:paraId="4B8615FD">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纯水机</w:t>
            </w:r>
          </w:p>
        </w:tc>
        <w:tc>
          <w:tcPr>
            <w:tcW w:w="6428" w:type="dxa"/>
            <w:noWrap w:val="0"/>
            <w:vAlign w:val="center"/>
          </w:tcPr>
          <w:p w14:paraId="2D25A03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进水要求：</w:t>
            </w:r>
          </w:p>
          <w:p w14:paraId="248DB98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市政自来水，工作时进水水压 0.1-0.3Mpa,水温 5-45℃ ，水质符合 GB5749 规定</w:t>
            </w:r>
          </w:p>
          <w:p w14:paraId="273145F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系统流程：PF+AC+RO+DI</w:t>
            </w:r>
          </w:p>
          <w:p w14:paraId="4E26F03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纯化系统：</w:t>
            </w:r>
          </w:p>
          <w:p w14:paraId="02AE03B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10"PP 滤芯*2+ 10"活性炭滤芯*2+400GPD RO  反渗透膜*2+去离子交换柱*1  出水水质符和国标 GB/T6682-2008 符合一级水要求</w:t>
            </w:r>
          </w:p>
          <w:p w14:paraId="54E4525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DI 去离子水指标</w:t>
            </w:r>
          </w:p>
          <w:p w14:paraId="41A4D95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电导率：0.055-0.1 μs/cm</w:t>
            </w:r>
          </w:p>
          <w:p w14:paraId="3A74D4B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电阻率：10-18.25MΩ ·cm@25℃</w:t>
            </w:r>
          </w:p>
          <w:p w14:paraId="09B0C3C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重金属离子：&lt;0.1 μg/L</w:t>
            </w:r>
          </w:p>
          <w:p w14:paraId="683316F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颗粒物：&lt;1/ml</w:t>
            </w:r>
          </w:p>
          <w:p w14:paraId="75BAE17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RO 反渗透水指标</w:t>
            </w:r>
          </w:p>
          <w:p w14:paraId="4E97523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离子截留率：96-99%</w:t>
            </w:r>
          </w:p>
          <w:p w14:paraId="01D1AB4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有机物截留率：&gt;99%</w:t>
            </w:r>
          </w:p>
          <w:p w14:paraId="1C321A4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颗粒和细菌截留率：&gt;99%</w:t>
            </w:r>
          </w:p>
          <w:p w14:paraId="511A17A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产水量 (25℃)： 100 升/小时</w:t>
            </w:r>
          </w:p>
          <w:p w14:paraId="2FBF4C0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瞬间出水量：2500ml/min</w:t>
            </w:r>
          </w:p>
          <w:p w14:paraId="2C0A4AE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出水口：1 个 RO 反渗透水 (</w:t>
            </w:r>
            <w:r>
              <w:rPr>
                <w:rFonts w:hint="eastAsia" w:ascii="宋体" w:hAnsi="宋体" w:eastAsia="宋体" w:cs="Times New Roman"/>
                <w:bCs/>
                <w:color w:val="auto"/>
                <w:spacing w:val="-2"/>
                <w:sz w:val="21"/>
                <w:szCs w:val="21"/>
                <w:highlight w:val="none"/>
                <w:lang w:eastAsia="zh-CN"/>
              </w:rPr>
              <w:t>标配</w:t>
            </w:r>
            <w:r>
              <w:rPr>
                <w:rFonts w:hint="eastAsia" w:ascii="宋体" w:hAnsi="宋体" w:eastAsia="宋体" w:cs="Times New Roman"/>
                <w:bCs/>
                <w:color w:val="auto"/>
                <w:spacing w:val="-2"/>
                <w:sz w:val="21"/>
                <w:szCs w:val="21"/>
                <w:highlight w:val="none"/>
              </w:rPr>
              <w:t>)，1 个 DI 去离子水 (标配)</w:t>
            </w:r>
          </w:p>
          <w:p w14:paraId="4DBC808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出水压力：0.25Mpa</w:t>
            </w:r>
          </w:p>
          <w:p w14:paraId="15CE167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裸机外形尺寸：</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rPr>
              <w:t>400*3</w:t>
            </w:r>
            <w:r>
              <w:rPr>
                <w:rFonts w:hint="eastAsia" w:ascii="宋体" w:hAnsi="宋体" w:eastAsia="宋体" w:cs="Times New Roman"/>
                <w:bCs/>
                <w:color w:val="auto"/>
                <w:spacing w:val="-2"/>
                <w:sz w:val="21"/>
                <w:szCs w:val="21"/>
                <w:highlight w:val="none"/>
                <w:lang w:val="en-US" w:eastAsia="zh-CN"/>
              </w:rPr>
              <w:t>90</w:t>
            </w:r>
            <w:r>
              <w:rPr>
                <w:rFonts w:hint="eastAsia" w:ascii="宋体" w:hAnsi="宋体" w:eastAsia="宋体" w:cs="Times New Roman"/>
                <w:bCs/>
                <w:color w:val="auto"/>
                <w:spacing w:val="-2"/>
                <w:sz w:val="21"/>
                <w:szCs w:val="21"/>
                <w:highlight w:val="none"/>
              </w:rPr>
              <w:t>*100</w:t>
            </w:r>
            <w:r>
              <w:rPr>
                <w:rFonts w:hint="eastAsia" w:ascii="宋体" w:hAnsi="宋体" w:eastAsia="宋体" w:cs="Times New Roman"/>
                <w:bCs/>
                <w:color w:val="auto"/>
                <w:spacing w:val="-2"/>
                <w:sz w:val="21"/>
                <w:szCs w:val="21"/>
                <w:highlight w:val="none"/>
                <w:lang w:val="en-US" w:eastAsia="zh-CN"/>
              </w:rPr>
              <w:t>0</w:t>
            </w:r>
            <w:r>
              <w:rPr>
                <w:rFonts w:hint="eastAsia" w:ascii="宋体" w:hAnsi="宋体" w:eastAsia="宋体" w:cs="Times New Roman"/>
                <w:bCs/>
                <w:color w:val="auto"/>
                <w:spacing w:val="-2"/>
                <w:sz w:val="21"/>
                <w:szCs w:val="21"/>
                <w:highlight w:val="none"/>
              </w:rPr>
              <w:t>mm</w:t>
            </w:r>
          </w:p>
          <w:p w14:paraId="5F0808E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标准配置：主机+水桶+附件</w:t>
            </w:r>
          </w:p>
        </w:tc>
        <w:tc>
          <w:tcPr>
            <w:tcW w:w="773" w:type="dxa"/>
            <w:noWrap w:val="0"/>
            <w:vAlign w:val="center"/>
          </w:tcPr>
          <w:p w14:paraId="03442D6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435DF817">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台</w:t>
            </w:r>
          </w:p>
        </w:tc>
      </w:tr>
      <w:tr w14:paraId="13B0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0" w:type="dxa"/>
            <w:noWrap w:val="0"/>
            <w:vAlign w:val="center"/>
          </w:tcPr>
          <w:p w14:paraId="49CB91E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8</w:t>
            </w:r>
          </w:p>
        </w:tc>
        <w:tc>
          <w:tcPr>
            <w:tcW w:w="884" w:type="dxa"/>
            <w:noWrap w:val="0"/>
            <w:vAlign w:val="center"/>
          </w:tcPr>
          <w:p w14:paraId="08B31360">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全自动血细胞分析仪</w:t>
            </w:r>
            <w:r>
              <w:rPr>
                <w:rFonts w:hint="eastAsia" w:ascii="宋体" w:hAnsi="宋体" w:eastAsia="宋体" w:cs="Times New Roman"/>
                <w:bCs/>
                <w:color w:val="auto"/>
                <w:spacing w:val="-2"/>
                <w:sz w:val="21"/>
                <w:szCs w:val="21"/>
                <w:highlight w:val="none"/>
                <w:lang w:eastAsia="zh-CN"/>
              </w:rPr>
              <w:t>（核心产品 ）(包含后期与医院系统软件对接）</w:t>
            </w:r>
          </w:p>
        </w:tc>
        <w:tc>
          <w:tcPr>
            <w:tcW w:w="6428" w:type="dxa"/>
            <w:noWrap w:val="0"/>
            <w:vAlign w:val="center"/>
          </w:tcPr>
          <w:p w14:paraId="545E821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val="en-US" w:eastAsia="zh-CN"/>
              </w:rPr>
              <w:t>1.</w:t>
            </w:r>
            <w:r>
              <w:rPr>
                <w:rFonts w:hint="eastAsia" w:ascii="宋体" w:hAnsi="宋体" w:eastAsia="宋体" w:cs="Times New Roman"/>
                <w:bCs/>
                <w:color w:val="auto"/>
                <w:spacing w:val="-2"/>
                <w:sz w:val="21"/>
                <w:szCs w:val="21"/>
                <w:highlight w:val="none"/>
              </w:rPr>
              <w:t>检测方法及原理：半导体激光法、鞘流电阻抗法、荧光染色法、流式细胞技术。</w:t>
            </w:r>
          </w:p>
          <w:p w14:paraId="6EC21CA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血液模式检测参数：报告参数≥</w:t>
            </w:r>
            <w:r>
              <w:rPr>
                <w:rFonts w:hint="eastAsia" w:ascii="宋体" w:hAnsi="宋体" w:eastAsia="宋体" w:cs="Times New Roman"/>
                <w:bCs/>
                <w:color w:val="auto"/>
                <w:spacing w:val="-2"/>
                <w:sz w:val="21"/>
                <w:szCs w:val="21"/>
                <w:highlight w:val="none"/>
                <w:lang w:eastAsia="zh-CN"/>
              </w:rPr>
              <w:t>32</w:t>
            </w:r>
            <w:r>
              <w:rPr>
                <w:rFonts w:hint="eastAsia" w:ascii="宋体" w:hAnsi="宋体" w:eastAsia="宋体" w:cs="Times New Roman"/>
                <w:bCs/>
                <w:color w:val="auto"/>
                <w:spacing w:val="-2"/>
                <w:sz w:val="21"/>
                <w:szCs w:val="21"/>
                <w:highlight w:val="none"/>
              </w:rPr>
              <w:t>个参数，能提供三维散点图。</w:t>
            </w:r>
          </w:p>
          <w:p w14:paraId="580A43E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检测速度：CBC＋DIFF＋NRBC ≥10</w:t>
            </w:r>
            <w:r>
              <w:rPr>
                <w:rFonts w:hint="eastAsia" w:ascii="宋体" w:hAnsi="宋体" w:eastAsia="宋体" w:cs="Times New Roman"/>
                <w:bCs/>
                <w:color w:val="auto"/>
                <w:spacing w:val="-2"/>
                <w:sz w:val="21"/>
                <w:szCs w:val="21"/>
                <w:highlight w:val="none"/>
                <w:lang w:val="en-US" w:eastAsia="zh-CN"/>
              </w:rPr>
              <w:t>0</w:t>
            </w:r>
            <w:r>
              <w:rPr>
                <w:rFonts w:hint="eastAsia" w:ascii="宋体" w:hAnsi="宋体" w:eastAsia="宋体" w:cs="Times New Roman"/>
                <w:bCs/>
                <w:color w:val="auto"/>
                <w:spacing w:val="-2"/>
                <w:sz w:val="21"/>
                <w:szCs w:val="21"/>
                <w:highlight w:val="none"/>
              </w:rPr>
              <w:t>个样本/小时。</w:t>
            </w:r>
          </w:p>
          <w:p w14:paraId="5E38F07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标配自动进样器，自动进样器内轨标配回退功能，并可同时配开放进样或封闭进样装置。</w:t>
            </w:r>
          </w:p>
          <w:p w14:paraId="19DDD61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具有末梢血检测模式，末梢血预稀释模式也能进行白细胞五分类、有核红细胞检测，有急诊插入功能。</w:t>
            </w:r>
          </w:p>
          <w:p w14:paraId="27DA20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具有全自动体液（含胸水、腹水、脑脊液和浆膜液等体液）细胞计数和对体液中的白细胞进行分类的功能；具有通过高荧光体液细胞参数对肿瘤细胞进行提示功能。</w:t>
            </w:r>
          </w:p>
          <w:p w14:paraId="2C38BC5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使用荧光染料和半导体激光进行WBC五分类，并具有有核红细胞检测功能，并能自动进行对白细胞计数的校正。</w:t>
            </w:r>
          </w:p>
          <w:p w14:paraId="1821D04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体液模式报告检测参数≥6项，研究参数≥5项。体液模式下检测速度≥3</w:t>
            </w:r>
            <w:r>
              <w:rPr>
                <w:rFonts w:hint="eastAsia" w:ascii="宋体" w:hAnsi="宋体" w:eastAsia="宋体" w:cs="Times New Roman"/>
                <w:bCs/>
                <w:color w:val="auto"/>
                <w:spacing w:val="-2"/>
                <w:sz w:val="21"/>
                <w:szCs w:val="21"/>
                <w:highlight w:val="none"/>
                <w:lang w:eastAsia="zh-CN"/>
              </w:rPr>
              <w:t>9</w:t>
            </w:r>
            <w:r>
              <w:rPr>
                <w:rFonts w:hint="eastAsia" w:ascii="宋体" w:hAnsi="宋体" w:eastAsia="宋体" w:cs="Times New Roman"/>
                <w:bCs/>
                <w:color w:val="auto"/>
                <w:spacing w:val="-2"/>
                <w:sz w:val="21"/>
                <w:szCs w:val="21"/>
                <w:highlight w:val="none"/>
              </w:rPr>
              <w:t>T/H。</w:t>
            </w:r>
          </w:p>
          <w:p w14:paraId="1C08E37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具有低值白细胞检测功能，如遇白细胞低值时自动增加计数颗粒数量来保证检测结果的准确。</w:t>
            </w:r>
          </w:p>
          <w:p w14:paraId="595BEBA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进样模式及样本量：手动进样</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rPr>
              <w:t>40μl，自动穿刺进样</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rPr>
              <w:t>小于100μl，预稀释模式20μl。</w:t>
            </w:r>
          </w:p>
          <w:p w14:paraId="11DB8B7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配备原厂中文报告及数据处理系统。</w:t>
            </w:r>
          </w:p>
          <w:p w14:paraId="66300A3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血液分析仪主机≥10寸大屏幕彩色液晶触摸屏。</w:t>
            </w:r>
          </w:p>
          <w:p w14:paraId="0708D0A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rPr>
              <w:t>血液分析线性范围（静脉血）：白细胞：（0-450）</w:t>
            </w:r>
            <w:r>
              <w:rPr>
                <w:rFonts w:hint="eastAsia" w:ascii="宋体" w:hAnsi="宋体" w:eastAsia="宋体" w:cs="Times New Roman"/>
                <w:bCs/>
                <w:color w:val="auto"/>
                <w:spacing w:val="-2"/>
                <w:sz w:val="21"/>
                <w:szCs w:val="21"/>
                <w:highlight w:val="none"/>
              </w:rPr>
              <w:sym w:font="Symbol" w:char="F0B4"/>
            </w:r>
            <w:r>
              <w:rPr>
                <w:rFonts w:hint="eastAsia" w:ascii="宋体" w:hAnsi="宋体" w:eastAsia="宋体" w:cs="Times New Roman"/>
                <w:bCs/>
                <w:color w:val="auto"/>
                <w:spacing w:val="-2"/>
                <w:sz w:val="21"/>
                <w:szCs w:val="21"/>
                <w:highlight w:val="none"/>
              </w:rPr>
              <w:t xml:space="preserve"> 109/L，血小板：（0-4500） </w:t>
            </w:r>
            <w:r>
              <w:rPr>
                <w:rFonts w:hint="eastAsia" w:ascii="宋体" w:hAnsi="宋体" w:eastAsia="宋体" w:cs="Times New Roman"/>
                <w:bCs/>
                <w:color w:val="auto"/>
                <w:spacing w:val="-2"/>
                <w:sz w:val="21"/>
                <w:szCs w:val="21"/>
                <w:highlight w:val="none"/>
              </w:rPr>
              <w:sym w:font="Symbol" w:char="F0B4"/>
            </w:r>
            <w:r>
              <w:rPr>
                <w:rFonts w:hint="eastAsia" w:ascii="宋体" w:hAnsi="宋体" w:eastAsia="宋体" w:cs="Times New Roman"/>
                <w:bCs/>
                <w:color w:val="auto"/>
                <w:spacing w:val="-2"/>
                <w:sz w:val="21"/>
                <w:szCs w:val="21"/>
                <w:highlight w:val="none"/>
              </w:rPr>
              <w:t xml:space="preserve"> 109/L。</w:t>
            </w:r>
          </w:p>
          <w:p w14:paraId="0A68EA1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供应商能提供原厂配套的质控品和校准品。</w:t>
            </w:r>
          </w:p>
          <w:p w14:paraId="4D22C3C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原厂提供实时在线网络室间质量控制系统，实现实时的仪器功能监控和远程维护功能。</w:t>
            </w:r>
          </w:p>
        </w:tc>
        <w:tc>
          <w:tcPr>
            <w:tcW w:w="773" w:type="dxa"/>
            <w:noWrap w:val="0"/>
            <w:vAlign w:val="center"/>
          </w:tcPr>
          <w:p w14:paraId="49B733D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51DB6C43">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台</w:t>
            </w:r>
          </w:p>
        </w:tc>
      </w:tr>
      <w:tr w14:paraId="5C53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20" w:type="dxa"/>
            <w:noWrap w:val="0"/>
            <w:vAlign w:val="center"/>
          </w:tcPr>
          <w:p w14:paraId="3B71099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9</w:t>
            </w:r>
          </w:p>
        </w:tc>
        <w:tc>
          <w:tcPr>
            <w:tcW w:w="884" w:type="dxa"/>
            <w:noWrap w:val="0"/>
            <w:vAlign w:val="center"/>
          </w:tcPr>
          <w:p w14:paraId="0AC56FD8">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尿液分析仪</w:t>
            </w:r>
          </w:p>
        </w:tc>
        <w:tc>
          <w:tcPr>
            <w:tcW w:w="6428" w:type="dxa"/>
            <w:noWrap w:val="0"/>
            <w:vAlign w:val="center"/>
          </w:tcPr>
          <w:p w14:paraId="72CC9C7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一、技术要求：</w:t>
            </w:r>
          </w:p>
          <w:p w14:paraId="609CAAC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1、测定原理：反射光电比色法</w:t>
            </w:r>
          </w:p>
          <w:p w14:paraId="23AC126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2、光源系统：采用冷光源测定系统</w:t>
            </w:r>
          </w:p>
          <w:p w14:paraId="00CC787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3、测定速度：≥</w:t>
            </w:r>
            <w:r>
              <w:rPr>
                <w:rFonts w:hint="eastAsia" w:ascii="宋体" w:hAnsi="宋体" w:eastAsia="宋体" w:cs="Times New Roman"/>
                <w:bCs/>
                <w:color w:val="auto"/>
                <w:spacing w:val="-2"/>
                <w:sz w:val="21"/>
                <w:szCs w:val="21"/>
                <w:highlight w:val="none"/>
                <w:lang w:eastAsia="zh-CN"/>
              </w:rPr>
              <w:t>500</w:t>
            </w:r>
            <w:r>
              <w:rPr>
                <w:rFonts w:hint="eastAsia" w:ascii="宋体" w:hAnsi="宋体" w:eastAsia="宋体" w:cs="Times New Roman"/>
                <w:bCs/>
                <w:color w:val="auto"/>
                <w:spacing w:val="-2"/>
                <w:sz w:val="21"/>
                <w:szCs w:val="21"/>
                <w:highlight w:val="none"/>
              </w:rPr>
              <w:t>条/h</w:t>
            </w:r>
          </w:p>
          <w:p w14:paraId="12435E0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4、试纸项目选择</w:t>
            </w:r>
            <w:r>
              <w:rPr>
                <w:rFonts w:hint="eastAsia" w:ascii="宋体" w:hAnsi="宋体" w:eastAsia="宋体" w:cs="Times New Roman"/>
                <w:bCs/>
                <w:color w:val="auto"/>
                <w:spacing w:val="-2"/>
                <w:sz w:val="21"/>
                <w:szCs w:val="21"/>
                <w:highlight w:val="none"/>
                <w:lang w:val="en-US" w:eastAsia="zh-CN"/>
              </w:rPr>
              <w:t>大于</w:t>
            </w:r>
            <w:r>
              <w:rPr>
                <w:rFonts w:hint="eastAsia" w:ascii="宋体" w:hAnsi="宋体" w:eastAsia="宋体" w:cs="Times New Roman"/>
                <w:bCs/>
                <w:color w:val="auto"/>
                <w:spacing w:val="-2"/>
                <w:sz w:val="21"/>
                <w:szCs w:val="21"/>
                <w:highlight w:val="none"/>
                <w:lang w:eastAsia="zh-CN"/>
              </w:rPr>
              <w:t>10</w:t>
            </w:r>
            <w:r>
              <w:rPr>
                <w:rFonts w:hint="eastAsia" w:ascii="宋体" w:hAnsi="宋体" w:eastAsia="宋体" w:cs="Times New Roman"/>
                <w:bCs/>
                <w:color w:val="auto"/>
                <w:spacing w:val="-2"/>
                <w:sz w:val="21"/>
                <w:szCs w:val="21"/>
                <w:highlight w:val="none"/>
              </w:rPr>
              <w:t>项</w:t>
            </w:r>
          </w:p>
          <w:p w14:paraId="1A2F875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5、可测项目：白细胞、酮体、亚硝酸盐、尿胆原、胆红素、尿蛋白、葡萄糖、比重、隐血、pH、维生素C</w:t>
            </w:r>
            <w:r>
              <w:rPr>
                <w:rFonts w:hint="eastAsia" w:ascii="宋体" w:hAnsi="宋体" w:eastAsia="宋体" w:cs="Times New Roman"/>
                <w:bCs/>
                <w:color w:val="auto"/>
                <w:spacing w:val="-2"/>
                <w:sz w:val="21"/>
                <w:szCs w:val="21"/>
                <w:highlight w:val="none"/>
                <w:lang w:eastAsia="zh-CN"/>
              </w:rPr>
              <w:t>等</w:t>
            </w:r>
          </w:p>
          <w:p w14:paraId="61203C1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6、工作方式：可选择单条测试或连续测试</w:t>
            </w:r>
          </w:p>
          <w:p w14:paraId="757765A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7、显示：≥5.5英寸触摸液晶显示屏</w:t>
            </w:r>
          </w:p>
          <w:p w14:paraId="4C74E0D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8、仪器能准确感应尿试纸条的数量</w:t>
            </w:r>
          </w:p>
          <w:p w14:paraId="26EB37E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9、自动卸条功能：能自动将测试过的试纸条卸到废料盒内</w:t>
            </w:r>
          </w:p>
          <w:p w14:paraId="4B3B572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10、重复性：分析仪反射率测试结果的变异系数≤1.0%</w:t>
            </w:r>
          </w:p>
          <w:p w14:paraId="2CFF08F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11、稳定性：分析仪开机8h内，反射率测试结果的变异系数≤1.0%</w:t>
            </w:r>
          </w:p>
          <w:p w14:paraId="5BCC5F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12、存储结果：≥9500个结果</w:t>
            </w:r>
          </w:p>
        </w:tc>
        <w:tc>
          <w:tcPr>
            <w:tcW w:w="773" w:type="dxa"/>
            <w:noWrap w:val="0"/>
            <w:vAlign w:val="center"/>
          </w:tcPr>
          <w:p w14:paraId="6575733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val="en-US" w:eastAsia="zh-CN"/>
              </w:rPr>
              <w:t>3</w:t>
            </w:r>
          </w:p>
        </w:tc>
        <w:tc>
          <w:tcPr>
            <w:tcW w:w="952" w:type="dxa"/>
            <w:noWrap w:val="0"/>
            <w:vAlign w:val="center"/>
          </w:tcPr>
          <w:p w14:paraId="4E4534C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4F2C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45330E76">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10</w:t>
            </w:r>
          </w:p>
        </w:tc>
        <w:tc>
          <w:tcPr>
            <w:tcW w:w="884" w:type="dxa"/>
            <w:noWrap w:val="0"/>
            <w:vAlign w:val="center"/>
          </w:tcPr>
          <w:p w14:paraId="6D28204B">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水平旋转仪</w:t>
            </w:r>
          </w:p>
        </w:tc>
        <w:tc>
          <w:tcPr>
            <w:tcW w:w="6428" w:type="dxa"/>
            <w:noWrap w:val="0"/>
            <w:vAlign w:val="center"/>
          </w:tcPr>
          <w:p w14:paraId="4847C1B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转速：0-210r/min 偏心回转直径：22mm 工作面尺寸：约315*218mm</w:t>
            </w:r>
          </w:p>
        </w:tc>
        <w:tc>
          <w:tcPr>
            <w:tcW w:w="773" w:type="dxa"/>
            <w:noWrap w:val="0"/>
            <w:vAlign w:val="center"/>
          </w:tcPr>
          <w:p w14:paraId="418E403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20BA31F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580E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720" w:type="dxa"/>
            <w:noWrap w:val="0"/>
            <w:vAlign w:val="center"/>
          </w:tcPr>
          <w:p w14:paraId="228DB1B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11</w:t>
            </w:r>
          </w:p>
        </w:tc>
        <w:tc>
          <w:tcPr>
            <w:tcW w:w="884" w:type="dxa"/>
            <w:noWrap w:val="0"/>
            <w:vAlign w:val="center"/>
          </w:tcPr>
          <w:p w14:paraId="638A2E86">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人体成分分析仪</w:t>
            </w:r>
          </w:p>
        </w:tc>
        <w:tc>
          <w:tcPr>
            <w:tcW w:w="6428" w:type="dxa"/>
            <w:noWrap w:val="0"/>
            <w:vAlign w:val="center"/>
          </w:tcPr>
          <w:p w14:paraId="06DF375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产品参数与功能：</w:t>
            </w:r>
          </w:p>
          <w:p w14:paraId="745AFAF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产品应用范围：通过DSM-BIA全身生物电阻抗测量原理，测量并分析人体身体相关参数与成分，客观评估人体肥胖及健康情况。</w:t>
            </w:r>
          </w:p>
          <w:p w14:paraId="78A1084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主要技术参数：</w:t>
            </w:r>
          </w:p>
          <w:p w14:paraId="72FCE69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身高功能参数：</w:t>
            </w:r>
          </w:p>
          <w:p w14:paraId="2FB09C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测量原理：DSM-BIA全身生物电阻抗测量原理</w:t>
            </w:r>
          </w:p>
          <w:p w14:paraId="3537910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测量范围：身高：60～200cm</w:t>
            </w:r>
          </w:p>
          <w:p w14:paraId="306CB12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测量精准度：±0.5cm</w:t>
            </w:r>
          </w:p>
          <w:p w14:paraId="461B7AB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体重功能参数：</w:t>
            </w:r>
          </w:p>
          <w:p w14:paraId="130720B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测量原理：精密平衡梁式压力传感器称重</w:t>
            </w:r>
          </w:p>
          <w:p w14:paraId="1B18D33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测量范围：5～200Kg</w:t>
            </w:r>
          </w:p>
          <w:p w14:paraId="76EFB4D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最大超量程：</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rPr>
              <w:t>500Kg</w:t>
            </w:r>
          </w:p>
          <w:p w14:paraId="673F016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测量精准度：±0.5Kg</w:t>
            </w:r>
          </w:p>
          <w:p w14:paraId="72ECB19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准确等级：Ⅲ级</w:t>
            </w:r>
          </w:p>
          <w:p w14:paraId="2407A61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体质指数</w:t>
            </w:r>
          </w:p>
          <w:p w14:paraId="1272B1F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包含：中国BMI评估标准与WHO通用BMI评估标准</w:t>
            </w:r>
          </w:p>
          <w:p w14:paraId="01741C8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人体成分功能参数</w:t>
            </w:r>
          </w:p>
          <w:p w14:paraId="6422FB7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性别：男/女</w:t>
            </w:r>
          </w:p>
          <w:p w14:paraId="71A6523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检测人群：普通人群</w:t>
            </w:r>
          </w:p>
          <w:p w14:paraId="5B0BAC7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年龄范围：3—99岁</w:t>
            </w:r>
          </w:p>
          <w:p w14:paraId="49B9093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身高范围：60—200cm</w:t>
            </w:r>
          </w:p>
          <w:p w14:paraId="364E268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电极数：八电极</w:t>
            </w:r>
          </w:p>
          <w:p w14:paraId="4743E2D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测试频率：5 kHz /50 kHz /250 kHz /500 kHz /1000kHz</w:t>
            </w:r>
          </w:p>
          <w:p w14:paraId="467F56D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测量电流：90μA或以下</w:t>
            </w:r>
          </w:p>
          <w:p w14:paraId="444FEF5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电极材质：304不锈钢与电镀材料</w:t>
            </w:r>
          </w:p>
          <w:p w14:paraId="186CA0B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电阻分析部位： 右手 / 左手 / 右足 / 左足 / 躯干</w:t>
            </w:r>
          </w:p>
          <w:p w14:paraId="59A8ACE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电阻分析部位：躯干（排除法）</w:t>
            </w:r>
          </w:p>
          <w:p w14:paraId="372792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电阻测量范围：205.0 Ω ～ 1480.0 Ω（上肢、下肢与躯干）</w:t>
            </w:r>
          </w:p>
          <w:p w14:paraId="649D233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测量输出数据：</w:t>
            </w:r>
          </w:p>
          <w:p w14:paraId="5CCAC6C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人体成分数据：体脂肪、骨矿量（无机盐）、体水分、细胞内液、细胞外液、蛋白质、肌肉量、肌肉率、非脂肪含量、细胞外水分比率、体脂肪率、腰臀比、内脏脂肪等级、基础代谢、骨骼肌、骨骼肌率、内脏脂肪面积、身体浮肿指数等；</w:t>
            </w:r>
          </w:p>
          <w:p w14:paraId="31C5F18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节段脂肪分析:左上肢、左下肢、躯干、右上肢、右下肢；</w:t>
            </w:r>
          </w:p>
          <w:p w14:paraId="6D2887B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节段非脂肪分析：左上肢、左下肢、躯干、右上肢、右下肢</w:t>
            </w:r>
          </w:p>
          <w:p w14:paraId="1DB57A9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节段水分分析：左上肢、左下肢、躯干、右上肢、右下肢</w:t>
            </w:r>
          </w:p>
          <w:p w14:paraId="01D50AE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节段浮肿分析：左上肢、左下肢、躯干、右上肢、右下肢</w:t>
            </w:r>
          </w:p>
          <w:p w14:paraId="4D89364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重量控制：目标体重、体重控制、脂肪控制、肌肉控制、健康指数、身体年龄</w:t>
            </w:r>
          </w:p>
          <w:p w14:paraId="26F49F6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运动建议：运动强度分析、自觉疲劳RPE、按体重与性别年龄的个性化运动项目及耗能、减重建议、每日摄入热量数据；</w:t>
            </w:r>
          </w:p>
          <w:p w14:paraId="3C82341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设备硬件参数：</w:t>
            </w:r>
          </w:p>
          <w:p w14:paraId="1E7B0FF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CPU：RK3288 Cortex-A17，四核处理器，主频</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rPr>
              <w:t>1.8GHz</w:t>
            </w:r>
          </w:p>
          <w:p w14:paraId="3CD45D1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内存/存储：</w:t>
            </w:r>
            <w:r>
              <w:rPr>
                <w:rFonts w:hint="eastAsia" w:ascii="宋体" w:hAnsi="宋体" w:eastAsia="宋体" w:cs="Times New Roman"/>
                <w:bCs/>
                <w:color w:val="auto"/>
                <w:spacing w:val="-2"/>
                <w:sz w:val="21"/>
                <w:szCs w:val="21"/>
                <w:highlight w:val="none"/>
                <w:lang w:val="en-US" w:eastAsia="zh-CN"/>
              </w:rPr>
              <w:t>8G+1T</w:t>
            </w:r>
          </w:p>
          <w:p w14:paraId="65E2976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显示与触摸：</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rPr>
              <w:t>10．1寸</w:t>
            </w:r>
          </w:p>
          <w:p w14:paraId="3597106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分辨率：</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rPr>
              <w:t>1280*800</w:t>
            </w:r>
          </w:p>
          <w:p w14:paraId="4337E99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液晶面板材质：IPS屏幕</w:t>
            </w:r>
          </w:p>
          <w:p w14:paraId="7BA4737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表面硬度：&gt; 6H</w:t>
            </w:r>
          </w:p>
          <w:p w14:paraId="72283F5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网络功能：10/100M自适应以太网；</w:t>
            </w:r>
          </w:p>
          <w:p w14:paraId="4B44820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升级功能：支持USB系统软件升级</w:t>
            </w:r>
          </w:p>
          <w:p w14:paraId="7565CAF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平均功耗：≤48W</w:t>
            </w:r>
          </w:p>
          <w:p w14:paraId="72F24B0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电击防护：I类BF型设备</w:t>
            </w:r>
          </w:p>
          <w:p w14:paraId="30A90EF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软件功能参数：</w:t>
            </w:r>
          </w:p>
          <w:p w14:paraId="3EB9996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全自动检测：自动检测人体体重、人体成分，支持完整数据自动显示；</w:t>
            </w:r>
          </w:p>
          <w:p w14:paraId="2F790C0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报告输出：A4报告直接打印输出与U盘备份输出；</w:t>
            </w:r>
          </w:p>
          <w:p w14:paraId="7DC6868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登录模式：会员登录(手机号）与访客登录</w:t>
            </w:r>
          </w:p>
          <w:p w14:paraId="5C4461F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注册管控功能：注册要有管理员确认方可开启；</w:t>
            </w:r>
          </w:p>
          <w:p w14:paraId="6556B35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信息档案功能：拍照、详细信息录入、多种联系通讯信息录入与存储功能；</w:t>
            </w:r>
          </w:p>
          <w:p w14:paraId="70C4A49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管理员与超级管理员功能：支持超级管理员，通过超级管理员，可设定设备各种参数与校准等；</w:t>
            </w:r>
          </w:p>
          <w:p w14:paraId="2032F48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支持自定义检测数据上传的网络接口，可编辑上传地址；</w:t>
            </w:r>
          </w:p>
          <w:p w14:paraId="586F4A3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可自定义关闭与修改软件界面LOGO；</w:t>
            </w:r>
          </w:p>
          <w:p w14:paraId="6CFD261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隐私功能：可关闭用户隐私信息的显示与打印；</w:t>
            </w:r>
          </w:p>
          <w:p w14:paraId="3845491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支持数据导出与导入功能；</w:t>
            </w:r>
          </w:p>
          <w:p w14:paraId="35115BE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支持主界面双语言一键切换，支持双语言自定义；</w:t>
            </w:r>
          </w:p>
          <w:p w14:paraId="6E93806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具备用户信息与数据存储功能，具备用户个人中心，可查看用户所有的历史检测数据，并打印历史检测的报告；</w:t>
            </w:r>
          </w:p>
          <w:p w14:paraId="268B48B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支持用户信息可修改编辑功能，支持用户卡变更功能；</w:t>
            </w:r>
          </w:p>
          <w:p w14:paraId="5D70BDF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支持黑白激光打印机打印（</w:t>
            </w:r>
            <w:r>
              <w:rPr>
                <w:rFonts w:hint="eastAsia" w:ascii="宋体" w:hAnsi="宋体" w:eastAsia="宋体" w:cs="Times New Roman"/>
                <w:bCs/>
                <w:color w:val="auto"/>
                <w:spacing w:val="-2"/>
                <w:sz w:val="21"/>
                <w:szCs w:val="21"/>
                <w:highlight w:val="none"/>
                <w:lang w:val="en-US" w:eastAsia="zh-CN"/>
              </w:rPr>
              <w:t>按用户需求配置</w:t>
            </w:r>
            <w:r>
              <w:rPr>
                <w:rFonts w:hint="eastAsia" w:ascii="宋体" w:hAnsi="宋体" w:eastAsia="宋体" w:cs="Times New Roman"/>
                <w:bCs/>
                <w:color w:val="auto"/>
                <w:spacing w:val="-2"/>
                <w:sz w:val="21"/>
                <w:szCs w:val="21"/>
                <w:highlight w:val="none"/>
              </w:rPr>
              <w:t>），支持彩色报告打印功能</w:t>
            </w:r>
          </w:p>
          <w:p w14:paraId="628251F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支持动态检测提示，人体成分检测进度可视化；</w:t>
            </w:r>
          </w:p>
          <w:p w14:paraId="793E9C5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设备支持多种不同的物联网远程升级功能，包括：支持系统USB手动升级，支持APP远程自动升级；</w:t>
            </w:r>
          </w:p>
          <w:p w14:paraId="45725AE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未成年人体成分测量报告：</w:t>
            </w:r>
            <w:r>
              <w:rPr>
                <w:rFonts w:hint="eastAsia" w:ascii="宋体" w:hAnsi="宋体" w:eastAsia="宋体" w:cs="Times New Roman"/>
                <w:bCs/>
                <w:color w:val="auto"/>
                <w:spacing w:val="-2"/>
                <w:sz w:val="21"/>
                <w:szCs w:val="21"/>
                <w:highlight w:val="none"/>
              </w:rPr>
              <w:cr/>
            </w:r>
            <w:r>
              <w:rPr>
                <w:rFonts w:hint="eastAsia" w:ascii="宋体" w:hAnsi="宋体" w:eastAsia="宋体" w:cs="Times New Roman"/>
                <w:bCs/>
                <w:color w:val="auto"/>
                <w:spacing w:val="-2"/>
                <w:sz w:val="21"/>
                <w:szCs w:val="21"/>
                <w:highlight w:val="none"/>
              </w:rPr>
              <w:t>1、测量身高范围：60～200cm；</w:t>
            </w:r>
          </w:p>
          <w:p w14:paraId="2AF7B76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2、测量体重范围：5～200Kg；</w:t>
            </w:r>
          </w:p>
          <w:p w14:paraId="164B97C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3、年龄范围：3-17岁；</w:t>
            </w:r>
          </w:p>
          <w:p w14:paraId="42B0315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4、测量项目：体重、身高、肌肉量、体脂肪量、儿童身体质量指数、体脂肪率、节段平衡分析、体重控制、基础代谢量、身体总评分、体型。</w:t>
            </w:r>
          </w:p>
          <w:p w14:paraId="18C5487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5、身高成长曲线、体重成长曲线、同龄体重对比、同龄身高对比。</w:t>
            </w:r>
            <w:r>
              <w:rPr>
                <w:rFonts w:hint="eastAsia" w:ascii="宋体" w:hAnsi="宋体" w:eastAsia="宋体" w:cs="Times New Roman"/>
                <w:bCs/>
                <w:color w:val="auto"/>
                <w:spacing w:val="-2"/>
                <w:sz w:val="21"/>
                <w:szCs w:val="21"/>
                <w:highlight w:val="none"/>
              </w:rPr>
              <w:cr/>
            </w:r>
            <w:r>
              <w:rPr>
                <w:rFonts w:hint="eastAsia" w:ascii="宋体" w:hAnsi="宋体" w:eastAsia="宋体" w:cs="Times New Roman"/>
                <w:bCs/>
                <w:color w:val="auto"/>
                <w:spacing w:val="-2"/>
                <w:sz w:val="21"/>
                <w:szCs w:val="21"/>
                <w:highlight w:val="none"/>
              </w:rPr>
              <w:t xml:space="preserve">6、成长曲线采用七条曲线分别标注相对曲线下限、曲线中位线和曲线上限，以判断儿童成长状况与趋势 </w:t>
            </w:r>
          </w:p>
          <w:p w14:paraId="4B78A1B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产品配置：</w:t>
            </w:r>
          </w:p>
          <w:p w14:paraId="27C5FE2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标准配置：设备主机、连接螺丝与工具、电源线及说明书相关文件资料。</w:t>
            </w:r>
          </w:p>
        </w:tc>
        <w:tc>
          <w:tcPr>
            <w:tcW w:w="773" w:type="dxa"/>
            <w:noWrap w:val="0"/>
            <w:vAlign w:val="center"/>
          </w:tcPr>
          <w:p w14:paraId="58E2D855">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E25CBA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60C5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20" w:type="dxa"/>
            <w:noWrap w:val="0"/>
            <w:vAlign w:val="center"/>
          </w:tcPr>
          <w:p w14:paraId="75206CC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12</w:t>
            </w:r>
          </w:p>
        </w:tc>
        <w:tc>
          <w:tcPr>
            <w:tcW w:w="884" w:type="dxa"/>
            <w:noWrap w:val="0"/>
            <w:vAlign w:val="center"/>
          </w:tcPr>
          <w:p w14:paraId="30779F22">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雾化室</w:t>
            </w:r>
          </w:p>
        </w:tc>
        <w:tc>
          <w:tcPr>
            <w:tcW w:w="6428" w:type="dxa"/>
            <w:noWrap w:val="0"/>
            <w:vAlign w:val="center"/>
          </w:tcPr>
          <w:p w14:paraId="30CFD3F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一．雾化台</w:t>
            </w:r>
          </w:p>
          <w:p w14:paraId="6AA6646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雾化桌</w:t>
            </w:r>
            <w:r>
              <w:rPr>
                <w:rFonts w:hint="eastAsia" w:ascii="宋体" w:hAnsi="宋体" w:eastAsia="宋体" w:cs="Times New Roman"/>
                <w:bCs/>
                <w:color w:val="auto"/>
                <w:spacing w:val="-2"/>
                <w:sz w:val="21"/>
                <w:szCs w:val="21"/>
                <w:highlight w:val="none"/>
              </w:rPr>
              <w:t>：</w:t>
            </w:r>
          </w:p>
          <w:p w14:paraId="0CDB737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外型尺寸： </w:t>
            </w:r>
            <w:r>
              <w:rPr>
                <w:rFonts w:hint="eastAsia" w:ascii="宋体" w:hAnsi="宋体" w:eastAsia="宋体" w:cs="Times New Roman"/>
                <w:bCs/>
                <w:color w:val="auto"/>
                <w:spacing w:val="-2"/>
                <w:sz w:val="21"/>
                <w:szCs w:val="21"/>
                <w:highlight w:val="none"/>
                <w:lang w:eastAsia="zh-CN"/>
              </w:rPr>
              <w:t>800</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eastAsia="zh-CN"/>
              </w:rPr>
              <w:t>500</w:t>
            </w:r>
            <w:r>
              <w:rPr>
                <w:rFonts w:hint="eastAsia" w:ascii="宋体" w:hAnsi="宋体" w:eastAsia="宋体" w:cs="Times New Roman"/>
                <w:bCs/>
                <w:color w:val="auto"/>
                <w:spacing w:val="-2"/>
                <w:sz w:val="21"/>
                <w:szCs w:val="21"/>
                <w:highlight w:val="none"/>
              </w:rPr>
              <w:t xml:space="preserve"> mm×</w:t>
            </w:r>
            <w:r>
              <w:rPr>
                <w:rFonts w:hint="eastAsia" w:ascii="宋体" w:hAnsi="宋体" w:eastAsia="宋体" w:cs="Times New Roman"/>
                <w:bCs/>
                <w:color w:val="auto"/>
                <w:spacing w:val="-2"/>
                <w:sz w:val="21"/>
                <w:szCs w:val="21"/>
                <w:highlight w:val="none"/>
                <w:lang w:eastAsia="zh-CN"/>
              </w:rPr>
              <w:t>120</w:t>
            </w:r>
            <w:r>
              <w:rPr>
                <w:rFonts w:hint="eastAsia" w:ascii="宋体" w:hAnsi="宋体" w:eastAsia="宋体" w:cs="Times New Roman"/>
                <w:bCs/>
                <w:color w:val="auto"/>
                <w:spacing w:val="-2"/>
                <w:sz w:val="21"/>
                <w:szCs w:val="21"/>
                <w:highlight w:val="none"/>
              </w:rPr>
              <w:t>0mm（长×宽×高</w:t>
            </w:r>
            <w:r>
              <w:rPr>
                <w:rFonts w:hint="eastAsia" w:ascii="宋体" w:hAnsi="宋体" w:eastAsia="宋体" w:cs="Times New Roman"/>
                <w:bCs/>
                <w:color w:val="auto"/>
                <w:spacing w:val="-2"/>
                <w:sz w:val="21"/>
                <w:szCs w:val="21"/>
                <w:highlight w:val="none"/>
                <w:lang w:eastAsia="zh-CN"/>
              </w:rPr>
              <w:t>±20mm</w:t>
            </w:r>
            <w:r>
              <w:rPr>
                <w:rFonts w:hint="eastAsia" w:ascii="宋体" w:hAnsi="宋体" w:eastAsia="宋体" w:cs="Times New Roman"/>
                <w:bCs/>
                <w:color w:val="auto"/>
                <w:spacing w:val="-2"/>
                <w:sz w:val="21"/>
                <w:szCs w:val="21"/>
                <w:highlight w:val="none"/>
              </w:rPr>
              <w:t>）；</w:t>
            </w:r>
          </w:p>
          <w:p w14:paraId="220A51D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材质：PE</w:t>
            </w:r>
          </w:p>
          <w:p w14:paraId="590B009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4、≥10寸LED高清液晶屏、双核单片机控制电路板</w:t>
            </w:r>
          </w:p>
          <w:p w14:paraId="6BE917A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二</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雾化台</w:t>
            </w:r>
            <w:r>
              <w:rPr>
                <w:rFonts w:hint="eastAsia" w:ascii="宋体" w:hAnsi="宋体" w:eastAsia="宋体" w:cs="Times New Roman"/>
                <w:bCs/>
                <w:color w:val="auto"/>
                <w:spacing w:val="-2"/>
                <w:sz w:val="21"/>
                <w:szCs w:val="21"/>
                <w:highlight w:val="none"/>
              </w:rPr>
              <w:t>输出气体：</w:t>
            </w:r>
          </w:p>
          <w:p w14:paraId="64D4D12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1、雾化台</w:t>
            </w:r>
            <w:r>
              <w:rPr>
                <w:rFonts w:hint="eastAsia" w:ascii="宋体" w:hAnsi="宋体" w:eastAsia="宋体" w:cs="Times New Roman"/>
                <w:bCs/>
                <w:color w:val="auto"/>
                <w:spacing w:val="-2"/>
                <w:sz w:val="21"/>
                <w:szCs w:val="21"/>
                <w:highlight w:val="none"/>
              </w:rPr>
              <w:t>气体洁净、无油；</w:t>
            </w:r>
          </w:p>
          <w:p w14:paraId="36AAD35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2、主雾化</w:t>
            </w:r>
            <w:r>
              <w:rPr>
                <w:rFonts w:hint="eastAsia" w:ascii="宋体" w:hAnsi="宋体" w:eastAsia="宋体" w:cs="Times New Roman"/>
                <w:bCs/>
                <w:color w:val="auto"/>
                <w:spacing w:val="-2"/>
                <w:sz w:val="21"/>
                <w:szCs w:val="21"/>
                <w:highlight w:val="none"/>
              </w:rPr>
              <w:t>气体输出</w:t>
            </w:r>
            <w:r>
              <w:rPr>
                <w:rFonts w:hint="eastAsia" w:ascii="宋体" w:hAnsi="宋体" w:eastAsia="宋体" w:cs="Times New Roman"/>
                <w:bCs/>
                <w:color w:val="auto"/>
                <w:spacing w:val="-2"/>
                <w:sz w:val="21"/>
                <w:szCs w:val="21"/>
                <w:highlight w:val="none"/>
                <w:lang w:eastAsia="zh-CN"/>
              </w:rPr>
              <w:t>口：气体输出最大</w:t>
            </w:r>
            <w:r>
              <w:rPr>
                <w:rFonts w:hint="eastAsia" w:ascii="宋体" w:hAnsi="宋体" w:eastAsia="宋体" w:cs="Times New Roman"/>
                <w:bCs/>
                <w:color w:val="auto"/>
                <w:spacing w:val="-2"/>
                <w:sz w:val="21"/>
                <w:szCs w:val="21"/>
                <w:highlight w:val="none"/>
              </w:rPr>
              <w:t>压力</w:t>
            </w:r>
            <w:r>
              <w:rPr>
                <w:rFonts w:hint="eastAsia" w:ascii="宋体" w:hAnsi="宋体" w:eastAsia="宋体" w:cs="Times New Roman"/>
                <w:bCs/>
                <w:color w:val="auto"/>
                <w:spacing w:val="-2"/>
                <w:sz w:val="21"/>
                <w:szCs w:val="21"/>
                <w:highlight w:val="none"/>
                <w:lang w:eastAsia="zh-CN"/>
              </w:rPr>
              <w:t>20</w:t>
            </w:r>
            <w:r>
              <w:rPr>
                <w:rFonts w:hint="eastAsia" w:ascii="宋体" w:hAnsi="宋体" w:eastAsia="宋体" w:cs="Times New Roman"/>
                <w:bCs/>
                <w:color w:val="auto"/>
                <w:spacing w:val="-2"/>
                <w:sz w:val="21"/>
                <w:szCs w:val="21"/>
                <w:highlight w:val="none"/>
              </w:rPr>
              <w:t>0KPa；最大流量</w:t>
            </w:r>
            <w:r>
              <w:rPr>
                <w:rFonts w:hint="eastAsia" w:ascii="宋体" w:hAnsi="宋体" w:eastAsia="宋体" w:cs="Times New Roman"/>
                <w:bCs/>
                <w:color w:val="auto"/>
                <w:spacing w:val="-2"/>
                <w:sz w:val="21"/>
                <w:szCs w:val="21"/>
                <w:highlight w:val="none"/>
                <w:lang w:eastAsia="zh-CN"/>
              </w:rPr>
              <w:t>12</w:t>
            </w:r>
            <w:r>
              <w:rPr>
                <w:rFonts w:hint="eastAsia" w:ascii="宋体" w:hAnsi="宋体" w:eastAsia="宋体" w:cs="Times New Roman"/>
                <w:bCs/>
                <w:color w:val="auto"/>
                <w:spacing w:val="-2"/>
                <w:sz w:val="21"/>
                <w:szCs w:val="21"/>
                <w:highlight w:val="none"/>
              </w:rPr>
              <w:t>L/min；</w:t>
            </w:r>
          </w:p>
          <w:p w14:paraId="3153486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3、辅雾化</w:t>
            </w:r>
            <w:r>
              <w:rPr>
                <w:rFonts w:hint="eastAsia" w:ascii="宋体" w:hAnsi="宋体" w:eastAsia="宋体" w:cs="Times New Roman"/>
                <w:bCs/>
                <w:color w:val="auto"/>
                <w:spacing w:val="-2"/>
                <w:sz w:val="21"/>
                <w:szCs w:val="21"/>
                <w:highlight w:val="none"/>
              </w:rPr>
              <w:t>气体输出</w:t>
            </w:r>
            <w:r>
              <w:rPr>
                <w:rFonts w:hint="eastAsia" w:ascii="宋体" w:hAnsi="宋体" w:eastAsia="宋体" w:cs="Times New Roman"/>
                <w:bCs/>
                <w:color w:val="auto"/>
                <w:spacing w:val="-2"/>
                <w:sz w:val="21"/>
                <w:szCs w:val="21"/>
                <w:highlight w:val="none"/>
                <w:lang w:eastAsia="zh-CN"/>
              </w:rPr>
              <w:t>口：气体输出</w:t>
            </w:r>
            <w:r>
              <w:rPr>
                <w:rFonts w:hint="eastAsia" w:ascii="宋体" w:hAnsi="宋体" w:eastAsia="宋体" w:cs="Times New Roman"/>
                <w:bCs/>
                <w:color w:val="auto"/>
                <w:spacing w:val="-2"/>
                <w:sz w:val="21"/>
                <w:szCs w:val="21"/>
                <w:highlight w:val="none"/>
              </w:rPr>
              <w:t>最大压力20KPa；最大流量</w:t>
            </w: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L/min；</w:t>
            </w:r>
          </w:p>
          <w:p w14:paraId="5ABAACA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4、洗鼻气体输出口：</w:t>
            </w:r>
            <w:r>
              <w:rPr>
                <w:rFonts w:hint="eastAsia" w:ascii="宋体" w:hAnsi="宋体" w:eastAsia="宋体" w:cs="Times New Roman"/>
                <w:bCs/>
                <w:color w:val="auto"/>
                <w:spacing w:val="-2"/>
                <w:sz w:val="21"/>
                <w:szCs w:val="21"/>
                <w:highlight w:val="none"/>
              </w:rPr>
              <w:t>气体输出</w:t>
            </w:r>
            <w:r>
              <w:rPr>
                <w:rFonts w:hint="eastAsia" w:ascii="宋体" w:hAnsi="宋体" w:eastAsia="宋体" w:cs="Times New Roman"/>
                <w:bCs/>
                <w:color w:val="auto"/>
                <w:spacing w:val="-2"/>
                <w:sz w:val="21"/>
                <w:szCs w:val="21"/>
                <w:highlight w:val="none"/>
                <w:lang w:eastAsia="zh-CN"/>
              </w:rPr>
              <w:t>最大</w:t>
            </w:r>
            <w:r>
              <w:rPr>
                <w:rFonts w:hint="eastAsia" w:ascii="宋体" w:hAnsi="宋体" w:eastAsia="宋体" w:cs="Times New Roman"/>
                <w:bCs/>
                <w:color w:val="auto"/>
                <w:spacing w:val="-2"/>
                <w:sz w:val="21"/>
                <w:szCs w:val="21"/>
                <w:highlight w:val="none"/>
              </w:rPr>
              <w:t>压力</w:t>
            </w:r>
            <w:r>
              <w:rPr>
                <w:rFonts w:hint="eastAsia" w:ascii="宋体" w:hAnsi="宋体" w:eastAsia="宋体" w:cs="Times New Roman"/>
                <w:bCs/>
                <w:color w:val="auto"/>
                <w:spacing w:val="-2"/>
                <w:sz w:val="21"/>
                <w:szCs w:val="21"/>
                <w:highlight w:val="none"/>
                <w:lang w:eastAsia="zh-CN"/>
              </w:rPr>
              <w:t>10</w:t>
            </w:r>
            <w:r>
              <w:rPr>
                <w:rFonts w:hint="eastAsia" w:ascii="宋体" w:hAnsi="宋体" w:eastAsia="宋体" w:cs="Times New Roman"/>
                <w:bCs/>
                <w:color w:val="auto"/>
                <w:spacing w:val="-2"/>
                <w:sz w:val="21"/>
                <w:szCs w:val="21"/>
                <w:highlight w:val="none"/>
              </w:rPr>
              <w:t>0KPa；最大流量</w:t>
            </w: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L/min；</w:t>
            </w:r>
          </w:p>
          <w:p w14:paraId="334E011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（三）主要功能用途</w:t>
            </w:r>
          </w:p>
          <w:p w14:paraId="2A5281E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对呼吸道进行各种药液的雾化吸入治疗及鼻炎患者的鼻腔冲洗。</w:t>
            </w:r>
          </w:p>
        </w:tc>
        <w:tc>
          <w:tcPr>
            <w:tcW w:w="773" w:type="dxa"/>
            <w:noWrap w:val="0"/>
            <w:vAlign w:val="center"/>
          </w:tcPr>
          <w:p w14:paraId="3B7294F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22C5755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0956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trPr>
        <w:tc>
          <w:tcPr>
            <w:tcW w:w="720" w:type="dxa"/>
            <w:noWrap w:val="0"/>
            <w:vAlign w:val="center"/>
          </w:tcPr>
          <w:p w14:paraId="0FD2E45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13</w:t>
            </w:r>
          </w:p>
        </w:tc>
        <w:tc>
          <w:tcPr>
            <w:tcW w:w="884" w:type="dxa"/>
            <w:noWrap w:val="0"/>
            <w:vAlign w:val="center"/>
          </w:tcPr>
          <w:p w14:paraId="7E09F126">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微波治疗仪</w:t>
            </w:r>
          </w:p>
        </w:tc>
        <w:tc>
          <w:tcPr>
            <w:tcW w:w="6428" w:type="dxa"/>
            <w:noWrap w:val="0"/>
            <w:vAlign w:val="center"/>
          </w:tcPr>
          <w:p w14:paraId="1EA1370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整机功耗：≤850VA。</w:t>
            </w:r>
          </w:p>
          <w:p w14:paraId="6C93E4D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工作频率：2450MHz±50MHz。</w:t>
            </w:r>
          </w:p>
          <w:p w14:paraId="421221B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波长：12.2cm。</w:t>
            </w:r>
          </w:p>
          <w:p w14:paraId="6BD7465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工作方式：连续输出。</w:t>
            </w:r>
          </w:p>
          <w:p w14:paraId="4AE7D23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治疗时间：理疗模式1-30分钟可调，手术模式1-99秒可调。</w:t>
            </w:r>
          </w:p>
          <w:p w14:paraId="6EF3FF2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辐射器驻波比：S≤2.0。</w:t>
            </w:r>
          </w:p>
          <w:p w14:paraId="15A9E45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微波输出功率：手术模式：1～120W连续可调。理疗模式：连续1～60W连续可调。</w:t>
            </w:r>
          </w:p>
          <w:p w14:paraId="2C015EE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辐射器无用辐射：≤2mW/cm2。(全金属外壳屏蔽)。</w:t>
            </w:r>
          </w:p>
          <w:p w14:paraId="5231182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微波机辐射泄漏：≤1mW/cm2。(全金属外壳屏蔽)。</w:t>
            </w:r>
          </w:p>
          <w:p w14:paraId="1BF2127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保护功能：具有闭锁保护、过载保护、超温报警、误操作报警、功率自检及功率输出时键盘锁定功能、电压监测功能。</w:t>
            </w:r>
          </w:p>
        </w:tc>
        <w:tc>
          <w:tcPr>
            <w:tcW w:w="773" w:type="dxa"/>
            <w:noWrap w:val="0"/>
            <w:vAlign w:val="center"/>
          </w:tcPr>
          <w:p w14:paraId="4CA3C45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007FBBE5">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0897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67160CA2">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14</w:t>
            </w:r>
          </w:p>
        </w:tc>
        <w:tc>
          <w:tcPr>
            <w:tcW w:w="884" w:type="dxa"/>
            <w:noWrap w:val="0"/>
            <w:vAlign w:val="center"/>
          </w:tcPr>
          <w:p w14:paraId="67A0D1D0">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超声手柄</w:t>
            </w:r>
          </w:p>
        </w:tc>
        <w:tc>
          <w:tcPr>
            <w:tcW w:w="6428" w:type="dxa"/>
            <w:noWrap w:val="0"/>
            <w:vAlign w:val="center"/>
          </w:tcPr>
          <w:p w14:paraId="793E7ED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洁牙机的组合部件，带光手柄，手柄封装专利技术，可高温高压消毒</w:t>
            </w:r>
          </w:p>
        </w:tc>
        <w:tc>
          <w:tcPr>
            <w:tcW w:w="773" w:type="dxa"/>
            <w:noWrap w:val="0"/>
            <w:vAlign w:val="center"/>
          </w:tcPr>
          <w:p w14:paraId="1CA9054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39E3C54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套</w:t>
            </w:r>
          </w:p>
        </w:tc>
      </w:tr>
      <w:tr w14:paraId="1BDC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040645C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15</w:t>
            </w:r>
          </w:p>
        </w:tc>
        <w:tc>
          <w:tcPr>
            <w:tcW w:w="884" w:type="dxa"/>
            <w:noWrap w:val="0"/>
            <w:vAlign w:val="center"/>
          </w:tcPr>
          <w:p w14:paraId="448BC001">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超声工作尖</w:t>
            </w:r>
          </w:p>
        </w:tc>
        <w:tc>
          <w:tcPr>
            <w:tcW w:w="6428" w:type="dxa"/>
            <w:noWrap w:val="0"/>
            <w:vAlign w:val="center"/>
          </w:tcPr>
          <w:p w14:paraId="5DA5350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用于龈下牙石探诊，龈下刮治，根面平整，适用于所有牙的唇（颊）面和舌（腭）面</w:t>
            </w:r>
          </w:p>
        </w:tc>
        <w:tc>
          <w:tcPr>
            <w:tcW w:w="773" w:type="dxa"/>
            <w:noWrap w:val="0"/>
            <w:vAlign w:val="center"/>
          </w:tcPr>
          <w:p w14:paraId="3AA524D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78F62D6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套</w:t>
            </w:r>
          </w:p>
        </w:tc>
      </w:tr>
      <w:tr w14:paraId="7607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27DF08C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16</w:t>
            </w:r>
          </w:p>
        </w:tc>
        <w:tc>
          <w:tcPr>
            <w:tcW w:w="884" w:type="dxa"/>
            <w:noWrap w:val="0"/>
            <w:vAlign w:val="center"/>
          </w:tcPr>
          <w:p w14:paraId="0D4B7783">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高速手机</w:t>
            </w:r>
          </w:p>
        </w:tc>
        <w:tc>
          <w:tcPr>
            <w:tcW w:w="6428" w:type="dxa"/>
            <w:noWrap w:val="0"/>
            <w:vAlign w:val="center"/>
          </w:tcPr>
          <w:p w14:paraId="6645B43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取针方式:按压</w:t>
            </w:r>
          </w:p>
          <w:p w14:paraId="0497278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工作气压:0.22mpa-0.25mpa</w:t>
            </w:r>
          </w:p>
          <w:p w14:paraId="2CF6F43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转速范围:320.000-420.000rpm</w:t>
            </w:r>
          </w:p>
          <w:p w14:paraId="2B88FB9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适用车针:φ1.593mm-p1.598mm喷雾方式:4点喷雾</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夹持力:20-45</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N</w:t>
            </w:r>
            <w:r>
              <w:rPr>
                <w:rFonts w:hint="eastAsia" w:ascii="宋体" w:hAnsi="宋体" w:eastAsia="宋体" w:cs="Times New Roman"/>
                <w:bCs/>
                <w:color w:val="auto"/>
                <w:spacing w:val="-2"/>
                <w:sz w:val="21"/>
                <w:szCs w:val="21"/>
                <w:highlight w:val="none"/>
                <w:lang w:eastAsia="zh-CN"/>
              </w:rPr>
              <w:t>噪</w:t>
            </w:r>
            <w:r>
              <w:rPr>
                <w:rFonts w:hint="eastAsia" w:ascii="宋体" w:hAnsi="宋体" w:eastAsia="宋体" w:cs="Times New Roman"/>
                <w:bCs/>
                <w:color w:val="auto"/>
                <w:spacing w:val="-2"/>
                <w:sz w:val="21"/>
                <w:szCs w:val="21"/>
                <w:highlight w:val="none"/>
              </w:rPr>
              <w:t>音:≤65d</w:t>
            </w:r>
            <w:r>
              <w:rPr>
                <w:rFonts w:hint="eastAsia" w:ascii="宋体" w:hAnsi="宋体" w:eastAsia="宋体" w:cs="Times New Roman"/>
                <w:bCs/>
                <w:color w:val="auto"/>
                <w:spacing w:val="-2"/>
                <w:sz w:val="21"/>
                <w:szCs w:val="21"/>
                <w:highlight w:val="none"/>
                <w:lang w:eastAsia="zh-CN"/>
              </w:rPr>
              <w:t>B.</w:t>
            </w:r>
          </w:p>
        </w:tc>
        <w:tc>
          <w:tcPr>
            <w:tcW w:w="773" w:type="dxa"/>
            <w:noWrap w:val="0"/>
            <w:vAlign w:val="center"/>
          </w:tcPr>
          <w:p w14:paraId="29CB1D2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138F632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3DC2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20" w:type="dxa"/>
            <w:noWrap w:val="0"/>
            <w:vAlign w:val="center"/>
          </w:tcPr>
          <w:p w14:paraId="09E1A00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17</w:t>
            </w:r>
          </w:p>
        </w:tc>
        <w:tc>
          <w:tcPr>
            <w:tcW w:w="884" w:type="dxa"/>
            <w:noWrap w:val="0"/>
            <w:vAlign w:val="center"/>
          </w:tcPr>
          <w:p w14:paraId="4859F39A">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慢速手机</w:t>
            </w:r>
          </w:p>
        </w:tc>
        <w:tc>
          <w:tcPr>
            <w:tcW w:w="6428" w:type="dxa"/>
            <w:noWrap w:val="0"/>
            <w:vAlign w:val="center"/>
          </w:tcPr>
          <w:p w14:paraId="26F2FCB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等速：1:1Ratio</w:t>
            </w:r>
          </w:p>
          <w:p w14:paraId="3ED8971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工作气压：0.30Mpa-0.35Mpa</w:t>
            </w:r>
          </w:p>
          <w:p w14:paraId="0648B9E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转速：≥18.000r/min</w:t>
            </w:r>
          </w:p>
          <w:p w14:paraId="25B6ED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取针方式：卡簧式</w:t>
            </w:r>
          </w:p>
          <w:p w14:paraId="7FBC296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车针标准：Φ2.345-2.355mm（低速车针）</w:t>
            </w:r>
          </w:p>
          <w:p w14:paraId="7AFF181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噪音：≤60d</w:t>
            </w:r>
            <w:r>
              <w:rPr>
                <w:rFonts w:hint="eastAsia" w:ascii="宋体" w:hAnsi="宋体" w:eastAsia="宋体" w:cs="Times New Roman"/>
                <w:bCs/>
                <w:color w:val="auto"/>
                <w:spacing w:val="-2"/>
                <w:sz w:val="21"/>
                <w:szCs w:val="21"/>
                <w:highlight w:val="none"/>
                <w:lang w:eastAsia="zh-CN"/>
              </w:rPr>
              <w:t>B</w:t>
            </w:r>
          </w:p>
        </w:tc>
        <w:tc>
          <w:tcPr>
            <w:tcW w:w="773" w:type="dxa"/>
            <w:noWrap w:val="0"/>
            <w:vAlign w:val="center"/>
          </w:tcPr>
          <w:p w14:paraId="1B4E580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6D844A86">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358F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20" w:type="dxa"/>
            <w:noWrap w:val="0"/>
            <w:vAlign w:val="center"/>
          </w:tcPr>
          <w:p w14:paraId="17E1A0F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18</w:t>
            </w:r>
          </w:p>
        </w:tc>
        <w:tc>
          <w:tcPr>
            <w:tcW w:w="884" w:type="dxa"/>
            <w:noWrap w:val="0"/>
            <w:vAlign w:val="center"/>
          </w:tcPr>
          <w:p w14:paraId="0A44AD1C">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仰角手机</w:t>
            </w:r>
          </w:p>
        </w:tc>
        <w:tc>
          <w:tcPr>
            <w:tcW w:w="6428" w:type="dxa"/>
            <w:noWrap w:val="0"/>
            <w:vAlign w:val="center"/>
          </w:tcPr>
          <w:p w14:paraId="119E5B7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取针方式：按压  </w:t>
            </w:r>
          </w:p>
          <w:p w14:paraId="5A5ACFB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工作气压：0.22mpa-0.25mpa</w:t>
            </w:r>
          </w:p>
          <w:p w14:paraId="7B8E8F8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转速范围：320.000-420.000 rpm</w:t>
            </w:r>
          </w:p>
          <w:p w14:paraId="1941969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适用车针：φ1.593mm-φ1.598mm</w:t>
            </w:r>
          </w:p>
          <w:p w14:paraId="58B7622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喷雾方式：单点喷雾</w:t>
            </w:r>
          </w:p>
          <w:p w14:paraId="53D6663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夹持力：20-45N</w:t>
            </w:r>
          </w:p>
          <w:p w14:paraId="3A54A7B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噪       音：≤65d</w:t>
            </w:r>
            <w:r>
              <w:rPr>
                <w:rFonts w:hint="eastAsia" w:ascii="宋体" w:hAnsi="宋体" w:eastAsia="宋体" w:cs="Times New Roman"/>
                <w:bCs/>
                <w:color w:val="auto"/>
                <w:spacing w:val="-2"/>
                <w:sz w:val="21"/>
                <w:szCs w:val="21"/>
                <w:highlight w:val="none"/>
                <w:lang w:eastAsia="zh-CN"/>
              </w:rPr>
              <w:t>B</w:t>
            </w:r>
          </w:p>
        </w:tc>
        <w:tc>
          <w:tcPr>
            <w:tcW w:w="773" w:type="dxa"/>
            <w:noWrap w:val="0"/>
            <w:vAlign w:val="center"/>
          </w:tcPr>
          <w:p w14:paraId="22899F5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34C50159">
            <w:pPr>
              <w:spacing w:line="440" w:lineRule="exact"/>
              <w:jc w:val="center"/>
              <w:rPr>
                <w:rFonts w:hint="eastAsia" w:ascii="宋体" w:hAnsi="宋体" w:eastAsia="宋体" w:cs="Times New Roman"/>
                <w:bCs/>
                <w:color w:val="auto"/>
                <w:spacing w:val="-2"/>
                <w:sz w:val="21"/>
                <w:szCs w:val="21"/>
                <w:highlight w:val="none"/>
                <w:lang w:eastAsia="zh-CN"/>
              </w:rPr>
            </w:pPr>
          </w:p>
        </w:tc>
      </w:tr>
      <w:tr w14:paraId="3983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0" w:type="dxa"/>
            <w:noWrap w:val="0"/>
            <w:vAlign w:val="center"/>
          </w:tcPr>
          <w:p w14:paraId="430D3DD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19</w:t>
            </w:r>
          </w:p>
        </w:tc>
        <w:tc>
          <w:tcPr>
            <w:tcW w:w="884" w:type="dxa"/>
            <w:noWrap w:val="0"/>
            <w:vAlign w:val="center"/>
          </w:tcPr>
          <w:p w14:paraId="0CB9FB0B">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光固化灯</w:t>
            </w:r>
          </w:p>
        </w:tc>
        <w:tc>
          <w:tcPr>
            <w:tcW w:w="6428" w:type="dxa"/>
            <w:noWrap w:val="0"/>
            <w:vAlign w:val="center"/>
          </w:tcPr>
          <w:p w14:paraId="5B8571D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恒流驱动技术，流体型设计，金属头，360°旋转照射，电池容量:</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1400mAh</w:t>
            </w:r>
          </w:p>
          <w:p w14:paraId="7632DB6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波长:385nm~515nm</w:t>
            </w:r>
          </w:p>
        </w:tc>
        <w:tc>
          <w:tcPr>
            <w:tcW w:w="773" w:type="dxa"/>
            <w:noWrap w:val="0"/>
            <w:vAlign w:val="center"/>
          </w:tcPr>
          <w:p w14:paraId="2A836FE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4195F22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2BC6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20" w:type="dxa"/>
            <w:noWrap w:val="0"/>
            <w:vAlign w:val="center"/>
          </w:tcPr>
          <w:p w14:paraId="79AC9D4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20</w:t>
            </w:r>
          </w:p>
        </w:tc>
        <w:tc>
          <w:tcPr>
            <w:tcW w:w="884" w:type="dxa"/>
            <w:noWrap w:val="0"/>
            <w:vAlign w:val="center"/>
          </w:tcPr>
          <w:p w14:paraId="5927AE1F">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精密持针器（口腔科用</w:t>
            </w:r>
          </w:p>
        </w:tc>
        <w:tc>
          <w:tcPr>
            <w:tcW w:w="6428" w:type="dxa"/>
            <w:noWrap w:val="0"/>
            <w:vAlign w:val="center"/>
          </w:tcPr>
          <w:p w14:paraId="4CA533A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供夹持缝合针缝合皮肤，微(小)血管或组织用</w:t>
            </w:r>
          </w:p>
          <w:p w14:paraId="3BF716B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产品性能及结构组成持针钳应以GB/T1220中规定的3Cr13、3Cr13MO、4Cr13材料制成，产品表面经电镀(铬)处理</w:t>
            </w:r>
          </w:p>
        </w:tc>
        <w:tc>
          <w:tcPr>
            <w:tcW w:w="773" w:type="dxa"/>
            <w:noWrap w:val="0"/>
            <w:vAlign w:val="center"/>
          </w:tcPr>
          <w:p w14:paraId="717C995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446F699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7778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2CF162C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21</w:t>
            </w:r>
          </w:p>
        </w:tc>
        <w:tc>
          <w:tcPr>
            <w:tcW w:w="884" w:type="dxa"/>
            <w:noWrap w:val="0"/>
            <w:vAlign w:val="center"/>
          </w:tcPr>
          <w:p w14:paraId="4DF8633F">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精密弯钳（口腔科用）</w:t>
            </w:r>
          </w:p>
        </w:tc>
        <w:tc>
          <w:tcPr>
            <w:tcW w:w="6428" w:type="dxa"/>
            <w:noWrap w:val="0"/>
            <w:vAlign w:val="center"/>
          </w:tcPr>
          <w:p w14:paraId="617AEDC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供夹持缝合针缝合皮肤，微(小)血管或组织用</w:t>
            </w:r>
          </w:p>
          <w:p w14:paraId="37A6128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产品性能及结构组成持针钳应以GB/T1220中规定的3Cr13、3Cr13MO、4Cr13材料制成，产品表面经电镀(铬)处理</w:t>
            </w:r>
          </w:p>
        </w:tc>
        <w:tc>
          <w:tcPr>
            <w:tcW w:w="773" w:type="dxa"/>
            <w:noWrap w:val="0"/>
            <w:vAlign w:val="center"/>
          </w:tcPr>
          <w:p w14:paraId="5D47A35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0D6E454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56F0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751797D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22</w:t>
            </w:r>
          </w:p>
        </w:tc>
        <w:tc>
          <w:tcPr>
            <w:tcW w:w="884" w:type="dxa"/>
            <w:noWrap w:val="0"/>
            <w:vAlign w:val="center"/>
          </w:tcPr>
          <w:p w14:paraId="4CF2D110">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精密眼科剪</w:t>
            </w:r>
          </w:p>
        </w:tc>
        <w:tc>
          <w:tcPr>
            <w:tcW w:w="6428" w:type="dxa"/>
            <w:noWrap w:val="0"/>
            <w:vAlign w:val="center"/>
          </w:tcPr>
          <w:p w14:paraId="2F10EF9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由一对中间连接的叶片组成，头部为刀刃，尾部为弹片。可重复使用</w:t>
            </w:r>
          </w:p>
        </w:tc>
        <w:tc>
          <w:tcPr>
            <w:tcW w:w="773" w:type="dxa"/>
            <w:noWrap w:val="0"/>
            <w:vAlign w:val="center"/>
          </w:tcPr>
          <w:p w14:paraId="22CFFF1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5E9CB65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1A5E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20" w:type="dxa"/>
            <w:noWrap w:val="0"/>
            <w:vAlign w:val="center"/>
          </w:tcPr>
          <w:p w14:paraId="7E98952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23</w:t>
            </w:r>
          </w:p>
        </w:tc>
        <w:tc>
          <w:tcPr>
            <w:tcW w:w="884" w:type="dxa"/>
            <w:noWrap w:val="0"/>
            <w:vAlign w:val="center"/>
          </w:tcPr>
          <w:p w14:paraId="1F8240B6">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医用升温毯</w:t>
            </w:r>
          </w:p>
        </w:tc>
        <w:tc>
          <w:tcPr>
            <w:tcW w:w="6428" w:type="dxa"/>
            <w:noWrap w:val="0"/>
            <w:vAlign w:val="center"/>
          </w:tcPr>
          <w:p w14:paraId="11F9B6C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温度设置范围：32.0℃～41.0℃；</w:t>
            </w:r>
          </w:p>
          <w:p w14:paraId="04C4D6B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温度设置步进：</w:t>
            </w:r>
            <m:oMath>
              <m:r>
                <m:rPr>
                  <m:sty m:val="p"/>
                </m:rPr>
                <w:rPr>
                  <w:rFonts w:hint="eastAsia" w:ascii="Cambria Math" w:hAnsi="Cambria Math" w:eastAsia="微软雅黑" w:cs="微软雅黑"/>
                  <w:color w:val="000000"/>
                  <w:sz w:val="21"/>
                  <w:szCs w:val="21"/>
                  <w:shd w:val="pct15" w:color="auto" w:fill="FFFFFF"/>
                </w:rPr>
                <m:t>0.1</m:t>
              </m:r>
            </m:oMath>
            <w:r>
              <w:rPr>
                <w:rFonts w:hint="eastAsia" w:ascii="宋体" w:hAnsi="宋体" w:eastAsia="宋体" w:cs="Times New Roman"/>
                <w:bCs/>
                <w:color w:val="auto"/>
                <w:spacing w:val="-2"/>
                <w:sz w:val="21"/>
                <w:szCs w:val="21"/>
                <w:highlight w:val="none"/>
              </w:rPr>
              <w:t>℃；</w:t>
            </w:r>
          </w:p>
          <w:p w14:paraId="53E9F0A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温度精度：≤</w:t>
            </w:r>
            <m:oMath>
              <m:r>
                <m:rPr>
                  <m:sty m:val="p"/>
                </m:rPr>
                <w:rPr>
                  <w:rFonts w:hint="eastAsia" w:ascii="Cambria Math" w:hAnsi="Cambria Math" w:eastAsia="微软雅黑" w:cs="微软雅黑"/>
                  <w:color w:val="000000"/>
                  <w:sz w:val="21"/>
                  <w:szCs w:val="21"/>
                  <w:shd w:val="pct15" w:color="auto" w:fill="FFFFFF"/>
                </w:rPr>
                <m:t>±</m:t>
              </m:r>
            </m:oMath>
            <w:r>
              <w:rPr>
                <w:rFonts w:hint="eastAsia" w:ascii="宋体" w:hAnsi="宋体" w:eastAsia="宋体" w:cs="Times New Roman"/>
                <w:bCs/>
                <w:color w:val="auto"/>
                <w:spacing w:val="-2"/>
                <w:sz w:val="21"/>
                <w:szCs w:val="21"/>
                <w:highlight w:val="none"/>
              </w:rPr>
              <w:t>1℃；</w:t>
            </w:r>
          </w:p>
          <w:p w14:paraId="728EEA9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预热时间：≤4分钟；</w:t>
            </w:r>
          </w:p>
          <w:p w14:paraId="6B8F244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升温毯模式：自然风模式和温控模式；</w:t>
            </w:r>
          </w:p>
          <w:p w14:paraId="7E41991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运行时间范围：00:00:00-99:59:59，实时显示运行时间；</w:t>
            </w:r>
          </w:p>
          <w:p w14:paraId="393791C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显示屏：</w:t>
            </w:r>
            <w:r>
              <w:rPr>
                <w:rFonts w:hint="eastAsia" w:ascii="宋体" w:hAnsi="宋体" w:eastAsia="宋体" w:cs="Times New Roman"/>
                <w:bCs/>
                <w:color w:val="auto"/>
                <w:spacing w:val="-2"/>
                <w:sz w:val="21"/>
                <w:szCs w:val="21"/>
                <w:highlight w:val="none"/>
                <w:lang w:eastAsia="zh-CN"/>
              </w:rPr>
              <w:t>≥3.0</w:t>
            </w:r>
            <w:r>
              <w:rPr>
                <w:rFonts w:hint="eastAsia" w:ascii="宋体" w:hAnsi="宋体" w:eastAsia="宋体" w:cs="Times New Roman"/>
                <w:bCs/>
                <w:color w:val="auto"/>
                <w:spacing w:val="-2"/>
                <w:sz w:val="21"/>
                <w:szCs w:val="21"/>
                <w:highlight w:val="none"/>
              </w:rPr>
              <w:t>英寸彩色液晶显示屏；</w:t>
            </w:r>
          </w:p>
          <w:p w14:paraId="3E61D03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风量档位：60m³/h～95m³/h ，</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8档可调；</w:t>
            </w:r>
          </w:p>
          <w:p w14:paraId="2C8D2AC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风量误差：≤±10m³/h</w:t>
            </w:r>
          </w:p>
          <w:p w14:paraId="73AEDF7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快速温度设置：35℃、37℃、39℃、41℃共4个快捷设置键；</w:t>
            </w:r>
          </w:p>
          <w:p w14:paraId="1C2A8E3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加温提示：当检测到温度小于预设温度时，运行指示灯闪烁，当检测到软管出风口的温度达到预设温度时，运行指示灯常亮；</w:t>
            </w:r>
          </w:p>
          <w:p w14:paraId="4DA1AD4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历史记录：具有历史记录，可查询日志内容；</w:t>
            </w:r>
          </w:p>
          <w:p w14:paraId="124F8B9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环境温度：实时显示环境温度；</w:t>
            </w:r>
          </w:p>
          <w:p w14:paraId="3263F0F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空气净化：有等离子空气净化功能；</w:t>
            </w:r>
          </w:p>
        </w:tc>
        <w:tc>
          <w:tcPr>
            <w:tcW w:w="773" w:type="dxa"/>
            <w:noWrap w:val="0"/>
            <w:vAlign w:val="center"/>
          </w:tcPr>
          <w:p w14:paraId="3D6E004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9824EC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套</w:t>
            </w:r>
          </w:p>
        </w:tc>
      </w:tr>
      <w:tr w14:paraId="2CF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20" w:type="dxa"/>
            <w:noWrap w:val="0"/>
            <w:vAlign w:val="center"/>
          </w:tcPr>
          <w:p w14:paraId="7DB6D55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24</w:t>
            </w:r>
          </w:p>
        </w:tc>
        <w:tc>
          <w:tcPr>
            <w:tcW w:w="884" w:type="dxa"/>
            <w:noWrap w:val="0"/>
            <w:vAlign w:val="center"/>
          </w:tcPr>
          <w:p w14:paraId="06F294D2">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自动脱水机</w:t>
            </w:r>
          </w:p>
        </w:tc>
        <w:tc>
          <w:tcPr>
            <w:tcW w:w="6428" w:type="dxa"/>
            <w:noWrap w:val="0"/>
            <w:vAlign w:val="center"/>
          </w:tcPr>
          <w:p w14:paraId="5B3727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单缸处理量</w:t>
            </w:r>
            <w:r>
              <w:rPr>
                <w:rFonts w:hint="eastAsia" w:ascii="宋体" w:hAnsi="宋体" w:eastAsia="宋体" w:cs="Times New Roman"/>
                <w:bCs/>
                <w:color w:val="auto"/>
                <w:spacing w:val="-2"/>
                <w:sz w:val="21"/>
                <w:szCs w:val="21"/>
                <w:highlight w:val="none"/>
                <w:lang w:eastAsia="zh-CN"/>
              </w:rPr>
              <w:t>≥200</w:t>
            </w:r>
            <w:r>
              <w:rPr>
                <w:rFonts w:hint="eastAsia" w:ascii="宋体" w:hAnsi="宋体" w:eastAsia="宋体" w:cs="Times New Roman"/>
                <w:bCs/>
                <w:color w:val="auto"/>
                <w:spacing w:val="-2"/>
                <w:sz w:val="21"/>
                <w:szCs w:val="21"/>
                <w:highlight w:val="none"/>
              </w:rPr>
              <w:t>个有序排列标准包埋盒。</w:t>
            </w:r>
          </w:p>
          <w:p w14:paraId="633C049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组织脱水缸和标本篮筐材质要求为不锈钢，拒绝塑料或高分子材料；组织脱水缸盖主开关要求为机械手柄，拒绝电子开关；试剂缸要求可自由抽出和推入，无需螺丝固定，无需借助任何工具拆装。</w:t>
            </w:r>
          </w:p>
          <w:p w14:paraId="1FBA0C4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互相独立的液体和气体通路，并可通过独特设计的冷凝管将气道中的气体液化并排入废液瓶，无污染气体外泄。</w:t>
            </w:r>
          </w:p>
          <w:p w14:paraId="537B940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定时功能：可按星期设定任意一天组织脱水完成时间。</w:t>
            </w:r>
          </w:p>
          <w:p w14:paraId="3EB11DE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具有断电保护功能，停电后重新来电，仪器能自动从断点按序工作。</w:t>
            </w:r>
          </w:p>
          <w:p w14:paraId="19A436A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试剂管理系统：根据处理的包埋盒数量、试剂使用的天数或者脱水次数来设定试剂和石蜡的使用周期。系统自动计数，到达阀值后提示更换试剂和石蜡.酒精和石蜡自动梯度更换。</w:t>
            </w:r>
          </w:p>
          <w:p w14:paraId="4DBB4A5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一键式自由切换常规脱水和快速脱水。白天启动快速脱水程序，对小标本进行快速脱水，≤3小时完成脱水。晚上启动常规脱水程序。</w:t>
            </w:r>
          </w:p>
          <w:p w14:paraId="7072ED6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气体压力转换装置：由一个机械结构装置完成气体压力转换，避免了电磁阀引起的高故障率。</w:t>
            </w:r>
          </w:p>
          <w:p w14:paraId="5D20706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自动换蜡功能：第一缸石蜡排到废蜡缸后，由原来的第二缸石蜡进入第一缸，再由原来的第三缸石蜡进入第二缸，第三缸加入新蜡即可。</w:t>
            </w:r>
          </w:p>
          <w:p w14:paraId="4E2A35E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试剂自动轮换功能：同一种试剂的第一缸试剂排入废液缸后，系统将以正确的顺序 (根据清洁度由低至高排列)自动使用试剂并在使用完成后排入前一个试剂缸，无需手动轮换试剂瓶位置。</w:t>
            </w:r>
          </w:p>
          <w:p w14:paraId="4E75EF5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多重安全保护功能：2个光学传感器感知最低和最高液平面，提示和停止运行保护功能；工作室超温检测和断电保护功能；工作室盖未锁紧自动报警功能。</w:t>
            </w:r>
          </w:p>
          <w:p w14:paraId="39183B9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磁力搅拌功能，缩短了标本脱水时间，脱水效果更好。</w:t>
            </w:r>
          </w:p>
          <w:p w14:paraId="7F2AA99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工作结束有声音和屏幕提示。</w:t>
            </w:r>
          </w:p>
          <w:p w14:paraId="39434F1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试剂瓶数量：≥12个</w:t>
            </w:r>
          </w:p>
          <w:p w14:paraId="54183C2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蜡缸数量：≥3个</w:t>
            </w:r>
          </w:p>
          <w:p w14:paraId="16F36E3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脱水缸容积：≥</w:t>
            </w: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L,试剂瓶容积：≥</w:t>
            </w: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rPr>
              <w:t>L</w:t>
            </w:r>
          </w:p>
          <w:p w14:paraId="4C7438E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工作室加热温度：介质为溶剂时温度为0℃-45℃，介质为石蜡时温度为58℃-70℃,可调。</w:t>
            </w:r>
          </w:p>
          <w:p w14:paraId="1B3429B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工作压力：正压≥30Kpa 负压0-70Kpa,可调。</w:t>
            </w:r>
          </w:p>
          <w:p w14:paraId="40A694A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蜡缸温度：58℃-70℃,可调</w:t>
            </w:r>
          </w:p>
          <w:p w14:paraId="37F1FE6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石蜡融化时间＜3小时</w:t>
            </w:r>
          </w:p>
          <w:p w14:paraId="12496FC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浸浴设定时间：0～</w:t>
            </w:r>
            <w:r>
              <w:rPr>
                <w:rFonts w:hint="eastAsia" w:ascii="宋体" w:hAnsi="宋体" w:eastAsia="宋体" w:cs="Times New Roman"/>
                <w:bCs/>
                <w:color w:val="auto"/>
                <w:spacing w:val="-2"/>
                <w:sz w:val="21"/>
                <w:szCs w:val="21"/>
                <w:highlight w:val="none"/>
                <w:lang w:eastAsia="zh-CN"/>
              </w:rPr>
              <w:t>300分钟</w:t>
            </w:r>
            <w:r>
              <w:rPr>
                <w:rFonts w:hint="eastAsia" w:ascii="宋体" w:hAnsi="宋体" w:eastAsia="宋体" w:cs="Times New Roman"/>
                <w:bCs/>
                <w:color w:val="auto"/>
                <w:spacing w:val="-2"/>
                <w:sz w:val="21"/>
                <w:szCs w:val="21"/>
                <w:highlight w:val="none"/>
              </w:rPr>
              <w:t>,可设</w:t>
            </w:r>
          </w:p>
          <w:p w14:paraId="22450A5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进液时间：1-5min；排液时间1-5min可设。</w:t>
            </w:r>
          </w:p>
          <w:p w14:paraId="7704A80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搅拌时间：任意设定,搅拌间隔时间：任意设定</w:t>
            </w:r>
          </w:p>
        </w:tc>
        <w:tc>
          <w:tcPr>
            <w:tcW w:w="773" w:type="dxa"/>
            <w:noWrap w:val="0"/>
            <w:vAlign w:val="center"/>
          </w:tcPr>
          <w:p w14:paraId="36E1577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58C53CA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31D3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720" w:type="dxa"/>
            <w:noWrap w:val="0"/>
            <w:vAlign w:val="center"/>
          </w:tcPr>
          <w:p w14:paraId="486F92A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25</w:t>
            </w:r>
          </w:p>
        </w:tc>
        <w:tc>
          <w:tcPr>
            <w:tcW w:w="884" w:type="dxa"/>
            <w:noWrap w:val="0"/>
            <w:vAlign w:val="center"/>
          </w:tcPr>
          <w:p w14:paraId="04A0D4A7">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自动染色机</w:t>
            </w:r>
          </w:p>
        </w:tc>
        <w:tc>
          <w:tcPr>
            <w:tcW w:w="6428" w:type="dxa"/>
            <w:noWrap w:val="0"/>
            <w:vAlign w:val="center"/>
          </w:tcPr>
          <w:p w14:paraId="5CD1151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全自动染色机</w:t>
            </w:r>
          </w:p>
          <w:p w14:paraId="345510A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1、站点数量：总站点数≥28个，包含5个水洗站点、1个烤箱、4个加载/卸载站点（任意设定）、18个试剂缸</w:t>
            </w:r>
            <w:r>
              <w:rPr>
                <w:rFonts w:hint="eastAsia" w:ascii="宋体" w:hAnsi="宋体" w:eastAsia="宋体" w:cs="Times New Roman"/>
                <w:bCs/>
                <w:color w:val="auto"/>
                <w:spacing w:val="-2"/>
                <w:sz w:val="21"/>
                <w:szCs w:val="21"/>
                <w:highlight w:val="none"/>
                <w:lang w:eastAsia="zh-CN"/>
              </w:rPr>
              <w:t>。</w:t>
            </w:r>
          </w:p>
          <w:p w14:paraId="19DD638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rPr>
              <w:t>、≥4个加温试剂缸</w:t>
            </w:r>
            <w:r>
              <w:rPr>
                <w:rFonts w:hint="eastAsia" w:ascii="宋体" w:hAnsi="宋体" w:eastAsia="宋体" w:cs="Times New Roman"/>
                <w:bCs/>
                <w:color w:val="auto"/>
                <w:spacing w:val="-2"/>
                <w:sz w:val="21"/>
                <w:szCs w:val="21"/>
                <w:highlight w:val="none"/>
                <w:lang w:eastAsia="zh-CN"/>
              </w:rPr>
              <w:t>。</w:t>
            </w:r>
          </w:p>
          <w:p w14:paraId="0B05BE6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、XYZ三轴机械手组合运动，多线程任务调度程序</w:t>
            </w:r>
            <w:r>
              <w:rPr>
                <w:rFonts w:hint="eastAsia" w:ascii="宋体" w:hAnsi="宋体" w:eastAsia="宋体" w:cs="Times New Roman"/>
                <w:bCs/>
                <w:color w:val="auto"/>
                <w:spacing w:val="-2"/>
                <w:sz w:val="21"/>
                <w:szCs w:val="21"/>
                <w:highlight w:val="none"/>
                <w:lang w:eastAsia="zh-CN"/>
              </w:rPr>
              <w:t>。</w:t>
            </w:r>
          </w:p>
          <w:p w14:paraId="1808072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rPr>
              <w:t>、≥8寸彩色触摸屏</w:t>
            </w:r>
            <w:r>
              <w:rPr>
                <w:rFonts w:hint="eastAsia" w:ascii="宋体" w:hAnsi="宋体" w:eastAsia="宋体" w:cs="Times New Roman"/>
                <w:bCs/>
                <w:color w:val="auto"/>
                <w:spacing w:val="-2"/>
                <w:sz w:val="21"/>
                <w:szCs w:val="21"/>
                <w:highlight w:val="none"/>
                <w:lang w:eastAsia="zh-CN"/>
              </w:rPr>
              <w:t>。</w:t>
            </w:r>
          </w:p>
          <w:p w14:paraId="4F1DA73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、染色程序可编程并存储：≥</w:t>
            </w:r>
            <w:r>
              <w:rPr>
                <w:rFonts w:hint="eastAsia" w:ascii="宋体" w:hAnsi="宋体" w:eastAsia="宋体" w:cs="Times New Roman"/>
                <w:bCs/>
                <w:color w:val="auto"/>
                <w:spacing w:val="-2"/>
                <w:sz w:val="21"/>
                <w:szCs w:val="21"/>
                <w:highlight w:val="none"/>
                <w:lang w:eastAsia="zh-CN"/>
              </w:rPr>
              <w:t>200</w:t>
            </w:r>
            <w:r>
              <w:rPr>
                <w:rFonts w:hint="eastAsia" w:ascii="宋体" w:hAnsi="宋体" w:eastAsia="宋体" w:cs="Times New Roman"/>
                <w:bCs/>
                <w:color w:val="auto"/>
                <w:spacing w:val="-2"/>
                <w:sz w:val="21"/>
                <w:szCs w:val="21"/>
                <w:highlight w:val="none"/>
              </w:rPr>
              <w:t>个，每个程序可设置≥50个步骤，每个步骤可设置时间为：1s～59min59s；；</w:t>
            </w:r>
          </w:p>
          <w:p w14:paraId="766F037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可同时运行</w:t>
            </w:r>
            <w:r>
              <w:rPr>
                <w:rFonts w:hint="eastAsia" w:ascii="宋体" w:hAnsi="宋体" w:eastAsia="宋体" w:cs="Times New Roman"/>
                <w:bCs/>
                <w:color w:val="auto"/>
                <w:spacing w:val="-2"/>
                <w:sz w:val="21"/>
                <w:szCs w:val="21"/>
                <w:highlight w:val="none"/>
                <w:lang w:eastAsia="zh-CN"/>
              </w:rPr>
              <w:t>12</w:t>
            </w:r>
            <w:r>
              <w:rPr>
                <w:rFonts w:hint="eastAsia" w:ascii="宋体" w:hAnsi="宋体" w:eastAsia="宋体" w:cs="Times New Roman"/>
                <w:bCs/>
                <w:color w:val="auto"/>
                <w:spacing w:val="-2"/>
                <w:sz w:val="21"/>
                <w:szCs w:val="21"/>
                <w:highlight w:val="none"/>
              </w:rPr>
              <w:t>个染色程序，可进行常规HE染色、快速冰冻HE染色及细胞学染色。</w:t>
            </w:r>
          </w:p>
          <w:p w14:paraId="61283CA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主界面可设置</w:t>
            </w:r>
            <w:r>
              <w:rPr>
                <w:rFonts w:hint="eastAsia" w:ascii="宋体" w:hAnsi="宋体" w:eastAsia="宋体" w:cs="Times New Roman"/>
                <w:bCs/>
                <w:color w:val="auto"/>
                <w:spacing w:val="-2"/>
                <w:sz w:val="21"/>
                <w:szCs w:val="21"/>
                <w:highlight w:val="none"/>
              </w:rPr>
              <w:t>≥4个快捷程序</w:t>
            </w:r>
            <w:r>
              <w:rPr>
                <w:rFonts w:hint="eastAsia" w:ascii="宋体" w:hAnsi="宋体" w:eastAsia="宋体" w:cs="Times New Roman"/>
                <w:bCs/>
                <w:color w:val="auto"/>
                <w:spacing w:val="-2"/>
                <w:sz w:val="21"/>
                <w:szCs w:val="21"/>
                <w:highlight w:val="none"/>
                <w:lang w:eastAsia="zh-CN"/>
              </w:rPr>
              <w:t>。</w:t>
            </w:r>
          </w:p>
          <w:p w14:paraId="7FF4581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8</w:t>
            </w:r>
            <w:r>
              <w:rPr>
                <w:rFonts w:hint="eastAsia" w:ascii="宋体" w:hAnsi="宋体" w:eastAsia="宋体" w:cs="Times New Roman"/>
                <w:bCs/>
                <w:color w:val="auto"/>
                <w:spacing w:val="-2"/>
                <w:sz w:val="21"/>
                <w:szCs w:val="21"/>
                <w:highlight w:val="none"/>
              </w:rPr>
              <w:t>、具有断电记忆功能，来</w:t>
            </w:r>
            <w:r>
              <w:rPr>
                <w:rFonts w:hint="eastAsia" w:ascii="宋体" w:hAnsi="宋体" w:eastAsia="宋体" w:cs="Times New Roman"/>
                <w:bCs/>
                <w:color w:val="auto"/>
                <w:spacing w:val="-2"/>
                <w:sz w:val="21"/>
                <w:szCs w:val="21"/>
                <w:highlight w:val="none"/>
                <w:lang w:eastAsia="zh-CN"/>
              </w:rPr>
              <w:t>电</w:t>
            </w:r>
            <w:r>
              <w:rPr>
                <w:rFonts w:hint="eastAsia" w:ascii="宋体" w:hAnsi="宋体" w:eastAsia="宋体" w:cs="Times New Roman"/>
                <w:bCs/>
                <w:color w:val="auto"/>
                <w:spacing w:val="-2"/>
                <w:sz w:val="21"/>
                <w:szCs w:val="21"/>
                <w:highlight w:val="none"/>
              </w:rPr>
              <w:t>后提醒用户选择继续染色或者重新染色</w:t>
            </w:r>
            <w:r>
              <w:rPr>
                <w:rFonts w:hint="eastAsia" w:ascii="宋体" w:hAnsi="宋体" w:eastAsia="宋体" w:cs="Times New Roman"/>
                <w:bCs/>
                <w:color w:val="auto"/>
                <w:spacing w:val="-2"/>
                <w:sz w:val="21"/>
                <w:szCs w:val="21"/>
                <w:highlight w:val="none"/>
                <w:lang w:eastAsia="zh-CN"/>
              </w:rPr>
              <w:t>。</w:t>
            </w:r>
          </w:p>
          <w:p w14:paraId="72A30FB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9</w:t>
            </w:r>
            <w:r>
              <w:rPr>
                <w:rFonts w:hint="eastAsia" w:ascii="宋体" w:hAnsi="宋体" w:eastAsia="宋体" w:cs="Times New Roman"/>
                <w:bCs/>
                <w:color w:val="auto"/>
                <w:spacing w:val="-2"/>
                <w:sz w:val="21"/>
                <w:szCs w:val="21"/>
                <w:highlight w:val="none"/>
              </w:rPr>
              <w:t>、根据水压可调节水流量。</w:t>
            </w:r>
          </w:p>
          <w:p w14:paraId="07610E4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10</w:t>
            </w:r>
            <w:r>
              <w:rPr>
                <w:rFonts w:hint="eastAsia" w:ascii="宋体" w:hAnsi="宋体" w:eastAsia="宋体" w:cs="Times New Roman"/>
                <w:bCs/>
                <w:color w:val="auto"/>
                <w:spacing w:val="-2"/>
                <w:sz w:val="21"/>
                <w:szCs w:val="21"/>
                <w:highlight w:val="none"/>
              </w:rPr>
              <w:t>、程序智能控制供水或断水。</w:t>
            </w:r>
          </w:p>
          <w:p w14:paraId="7F06DD9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设备运行过程中可随时“暂停”或“启动”正在运行的程序。</w:t>
            </w:r>
          </w:p>
          <w:p w14:paraId="2AFD7DB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根据试剂使用时间、染色片数智能调整染色时间。</w:t>
            </w:r>
          </w:p>
          <w:p w14:paraId="746BA66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、可以完成1s分化操作。</w:t>
            </w:r>
          </w:p>
          <w:p w14:paraId="7CD42BA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设备运行中可随时撤销正在运行的染色程序，也可根据需要将已撤销的程序恢复运行，恢复后的程序将从撤销前的状态继续运行。</w:t>
            </w:r>
          </w:p>
          <w:p w14:paraId="031739A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染色时间自动调节功能。</w:t>
            </w:r>
          </w:p>
          <w:p w14:paraId="3B3A390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可视的平面结构，方便观察各缸位的液面高度；内置LED灯照明，方便观察染色过程。</w:t>
            </w:r>
          </w:p>
          <w:p w14:paraId="37A4A53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7</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外罩异常打开报警，机械手停止运行。</w:t>
            </w:r>
          </w:p>
          <w:p w14:paraId="6C2FC89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8</w:t>
            </w:r>
            <w:r>
              <w:rPr>
                <w:rFonts w:hint="eastAsia" w:ascii="宋体" w:hAnsi="宋体" w:eastAsia="宋体" w:cs="Times New Roman"/>
                <w:bCs/>
                <w:color w:val="auto"/>
                <w:spacing w:val="-2"/>
                <w:sz w:val="21"/>
                <w:szCs w:val="21"/>
                <w:highlight w:val="none"/>
              </w:rPr>
              <w:t>、内嵌空气净化功能</w:t>
            </w:r>
            <w:r>
              <w:rPr>
                <w:rFonts w:hint="eastAsia" w:ascii="宋体" w:hAnsi="宋体" w:eastAsia="宋体" w:cs="Times New Roman"/>
                <w:bCs/>
                <w:color w:val="auto"/>
                <w:spacing w:val="-2"/>
                <w:sz w:val="21"/>
                <w:szCs w:val="21"/>
                <w:highlight w:val="none"/>
                <w:lang w:eastAsia="zh-CN"/>
              </w:rPr>
              <w:t>。</w:t>
            </w:r>
          </w:p>
          <w:p w14:paraId="20C6F55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19、</w:t>
            </w:r>
            <w:r>
              <w:rPr>
                <w:rFonts w:hint="eastAsia" w:ascii="宋体" w:hAnsi="宋体" w:eastAsia="宋体" w:cs="Times New Roman"/>
                <w:bCs/>
                <w:color w:val="auto"/>
                <w:spacing w:val="-2"/>
                <w:sz w:val="21"/>
                <w:szCs w:val="21"/>
                <w:highlight w:val="none"/>
              </w:rPr>
              <w:t>具备试剂</w:t>
            </w:r>
            <w:r>
              <w:rPr>
                <w:rFonts w:hint="eastAsia" w:ascii="宋体" w:hAnsi="宋体" w:eastAsia="宋体" w:cs="Times New Roman"/>
                <w:bCs/>
                <w:color w:val="auto"/>
                <w:spacing w:val="-2"/>
                <w:sz w:val="21"/>
                <w:szCs w:val="21"/>
                <w:highlight w:val="none"/>
                <w:lang w:eastAsia="zh-CN"/>
              </w:rPr>
              <w:t>更换管理系统。</w:t>
            </w:r>
          </w:p>
          <w:p w14:paraId="473BA68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20</w:t>
            </w:r>
            <w:r>
              <w:rPr>
                <w:rFonts w:hint="eastAsia" w:ascii="宋体" w:hAnsi="宋体" w:eastAsia="宋体" w:cs="Times New Roman"/>
                <w:bCs/>
                <w:color w:val="auto"/>
                <w:spacing w:val="-2"/>
                <w:sz w:val="21"/>
                <w:szCs w:val="21"/>
                <w:highlight w:val="none"/>
              </w:rPr>
              <w:t>、玻片架容量≥30片。</w:t>
            </w:r>
          </w:p>
          <w:p w14:paraId="09947C4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21</w:t>
            </w:r>
            <w:r>
              <w:rPr>
                <w:rFonts w:hint="eastAsia" w:ascii="宋体" w:hAnsi="宋体" w:eastAsia="宋体" w:cs="Times New Roman"/>
                <w:bCs/>
                <w:color w:val="auto"/>
                <w:spacing w:val="-2"/>
                <w:sz w:val="21"/>
                <w:szCs w:val="21"/>
                <w:highlight w:val="none"/>
              </w:rPr>
              <w:t>、试剂容器容量：450±50ml。</w:t>
            </w:r>
          </w:p>
        </w:tc>
        <w:tc>
          <w:tcPr>
            <w:tcW w:w="773" w:type="dxa"/>
            <w:noWrap w:val="0"/>
            <w:vAlign w:val="center"/>
          </w:tcPr>
          <w:p w14:paraId="381D3EB2">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59E73875">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52A5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117F60B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26</w:t>
            </w:r>
          </w:p>
        </w:tc>
        <w:tc>
          <w:tcPr>
            <w:tcW w:w="884" w:type="dxa"/>
            <w:noWrap w:val="0"/>
            <w:vAlign w:val="center"/>
          </w:tcPr>
          <w:p w14:paraId="2F03ECCE">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包埋机</w:t>
            </w:r>
          </w:p>
        </w:tc>
        <w:tc>
          <w:tcPr>
            <w:tcW w:w="6428" w:type="dxa"/>
            <w:noWrap w:val="0"/>
            <w:vAlign w:val="center"/>
          </w:tcPr>
          <w:p w14:paraId="54CDCF0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包埋机参数</w:t>
            </w:r>
          </w:p>
          <w:p w14:paraId="73512A2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液晶显示中文菜单</w:t>
            </w:r>
            <w:r>
              <w:rPr>
                <w:rFonts w:hint="eastAsia" w:ascii="宋体" w:hAnsi="宋体" w:eastAsia="宋体" w:cs="Times New Roman"/>
                <w:bCs/>
                <w:color w:val="auto"/>
                <w:spacing w:val="-2"/>
                <w:sz w:val="21"/>
                <w:szCs w:val="21"/>
                <w:highlight w:val="none"/>
                <w:lang w:eastAsia="zh-CN"/>
              </w:rPr>
              <w:t>。</w:t>
            </w:r>
          </w:p>
          <w:p w14:paraId="7A8C8A3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rPr>
              <w:t>设左右两个保温缸，工作台残蜡自动回收，工作台、镊子座、工作温度可分别设置，同时显示</w:t>
            </w:r>
          </w:p>
          <w:p w14:paraId="6F266E2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3.分体式独立冷台，</w:t>
            </w:r>
            <w:r>
              <w:rPr>
                <w:rFonts w:hint="eastAsia" w:ascii="宋体" w:hAnsi="宋体" w:eastAsia="宋体" w:cs="Times New Roman"/>
                <w:bCs/>
                <w:color w:val="auto"/>
                <w:spacing w:val="-2"/>
                <w:sz w:val="21"/>
                <w:szCs w:val="21"/>
                <w:highlight w:val="none"/>
              </w:rPr>
              <w:t>采用分体结构可左右互换方便不同姿式工作</w:t>
            </w:r>
          </w:p>
          <w:p w14:paraId="0D5017F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rPr>
              <w:t>流蜡嘴配有无影照明灯</w:t>
            </w:r>
            <w:r>
              <w:rPr>
                <w:rFonts w:hint="eastAsia" w:ascii="宋体" w:hAnsi="宋体" w:eastAsia="宋体" w:cs="Times New Roman"/>
                <w:bCs/>
                <w:color w:val="auto"/>
                <w:spacing w:val="-2"/>
                <w:sz w:val="21"/>
                <w:szCs w:val="21"/>
                <w:highlight w:val="none"/>
                <w:lang w:eastAsia="zh-CN"/>
              </w:rPr>
              <w:t>。</w:t>
            </w:r>
          </w:p>
          <w:p w14:paraId="0A23580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手动和脚动两种包埋方式操作，符合人体工程学。自动开关机，可在24小时内任意设置或31天内任意设置温度达到预置温度时流蜡阀门才可以工作</w:t>
            </w:r>
          </w:p>
          <w:p w14:paraId="3457608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6.石蜡缸、工作台、蜡嘴，保温盒，包埋镊加热块5处独立控温，可任意设置温度由</w:t>
            </w:r>
            <w:r>
              <w:rPr>
                <w:rFonts w:hint="eastAsia" w:ascii="宋体" w:hAnsi="宋体" w:eastAsia="宋体" w:cs="Times New Roman"/>
                <w:bCs/>
                <w:color w:val="auto"/>
                <w:spacing w:val="-2"/>
                <w:sz w:val="21"/>
                <w:szCs w:val="21"/>
                <w:highlight w:val="none"/>
              </w:rPr>
              <w:t>0～</w:t>
            </w:r>
            <w:r>
              <w:rPr>
                <w:rFonts w:hint="eastAsia" w:ascii="宋体" w:hAnsi="宋体" w:eastAsia="宋体" w:cs="Times New Roman"/>
                <w:bCs/>
                <w:color w:val="auto"/>
                <w:spacing w:val="-2"/>
                <w:sz w:val="21"/>
                <w:szCs w:val="21"/>
                <w:highlight w:val="none"/>
                <w:lang w:eastAsia="zh-CN"/>
              </w:rPr>
              <w:t>99℃以1℃递增</w:t>
            </w:r>
          </w:p>
          <w:p w14:paraId="41B87A0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可调节石蜡流速及石蜡开关控制</w:t>
            </w:r>
          </w:p>
          <w:p w14:paraId="2465CD9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7.所有加热系统采用双重过热保护装置，避免温度失控产生干烧，有效避免石蜡在高温情况下燃烧发火灾危险</w:t>
            </w:r>
            <w:r>
              <w:rPr>
                <w:rFonts w:hint="eastAsia" w:ascii="宋体" w:hAnsi="宋体" w:eastAsia="宋体" w:cs="Times New Roman"/>
                <w:bCs/>
                <w:color w:val="auto"/>
                <w:spacing w:val="-2"/>
                <w:sz w:val="21"/>
                <w:szCs w:val="21"/>
                <w:highlight w:val="none"/>
              </w:rPr>
              <w:t>主蜡缸室容量达到</w:t>
            </w: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0</w:t>
            </w:r>
            <w:r>
              <w:rPr>
                <w:rFonts w:hint="eastAsia" w:ascii="宋体" w:hAnsi="宋体" w:eastAsia="宋体" w:cs="Times New Roman"/>
                <w:bCs/>
                <w:color w:val="auto"/>
                <w:spacing w:val="-2"/>
                <w:sz w:val="21"/>
                <w:szCs w:val="21"/>
                <w:highlight w:val="none"/>
              </w:rPr>
              <w:t>L；镊子台全程加温，残蜡自动回收利用</w:t>
            </w:r>
            <w:r>
              <w:rPr>
                <w:rFonts w:hint="eastAsia" w:ascii="宋体" w:hAnsi="宋体" w:eastAsia="宋体" w:cs="Times New Roman"/>
                <w:bCs/>
                <w:color w:val="auto"/>
                <w:spacing w:val="-2"/>
                <w:sz w:val="21"/>
                <w:szCs w:val="21"/>
                <w:highlight w:val="none"/>
                <w:lang w:eastAsia="zh-CN"/>
              </w:rPr>
              <w:t>，中英文互换，可增加放大镜。</w:t>
            </w:r>
          </w:p>
          <w:p w14:paraId="5D12E9F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8.</w:t>
            </w:r>
            <w:r>
              <w:rPr>
                <w:rFonts w:hint="eastAsia" w:ascii="宋体" w:hAnsi="宋体" w:eastAsia="宋体" w:cs="Times New Roman"/>
                <w:bCs/>
                <w:color w:val="auto"/>
                <w:spacing w:val="-2"/>
                <w:sz w:val="21"/>
                <w:szCs w:val="21"/>
                <w:highlight w:val="none"/>
              </w:rPr>
              <w:t>熔蜡温度设置：0～99℃任意设置</w:t>
            </w:r>
          </w:p>
          <w:p w14:paraId="218CAA6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9.</w:t>
            </w:r>
            <w:r>
              <w:rPr>
                <w:rFonts w:hint="eastAsia" w:ascii="宋体" w:hAnsi="宋体" w:eastAsia="宋体" w:cs="Times New Roman"/>
                <w:bCs/>
                <w:color w:val="auto"/>
                <w:spacing w:val="-2"/>
                <w:sz w:val="21"/>
                <w:szCs w:val="21"/>
                <w:highlight w:val="none"/>
              </w:rPr>
              <w:t>咀温设置：0～99℃任意设置</w:t>
            </w:r>
          </w:p>
          <w:p w14:paraId="331E2B1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10.</w:t>
            </w:r>
            <w:r>
              <w:rPr>
                <w:rFonts w:hint="eastAsia" w:ascii="宋体" w:hAnsi="宋体" w:eastAsia="宋体" w:cs="Times New Roman"/>
                <w:bCs/>
                <w:color w:val="auto"/>
                <w:spacing w:val="-2"/>
                <w:sz w:val="21"/>
                <w:szCs w:val="21"/>
                <w:highlight w:val="none"/>
              </w:rPr>
              <w:t>保温锅温度：0～99℃任意设置</w:t>
            </w:r>
          </w:p>
          <w:p w14:paraId="77B4D0B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11.</w:t>
            </w:r>
            <w:r>
              <w:rPr>
                <w:rFonts w:hint="eastAsia" w:ascii="宋体" w:hAnsi="宋体" w:eastAsia="宋体" w:cs="Times New Roman"/>
                <w:bCs/>
                <w:color w:val="auto"/>
                <w:spacing w:val="-2"/>
                <w:sz w:val="21"/>
                <w:szCs w:val="21"/>
                <w:highlight w:val="none"/>
              </w:rPr>
              <w:t>工作台温度0～99℃任意设置</w:t>
            </w:r>
          </w:p>
          <w:p w14:paraId="34F423C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12.</w:t>
            </w:r>
            <w:r>
              <w:rPr>
                <w:rFonts w:hint="eastAsia" w:ascii="宋体" w:hAnsi="宋体" w:eastAsia="宋体" w:cs="Times New Roman"/>
                <w:bCs/>
                <w:color w:val="auto"/>
                <w:spacing w:val="-2"/>
                <w:sz w:val="21"/>
                <w:szCs w:val="21"/>
                <w:highlight w:val="none"/>
              </w:rPr>
              <w:t>工作方式：手动、脚动</w:t>
            </w:r>
          </w:p>
          <w:p w14:paraId="3B9BAB4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13.</w:t>
            </w:r>
            <w:r>
              <w:rPr>
                <w:rFonts w:hint="eastAsia" w:ascii="宋体" w:hAnsi="宋体" w:eastAsia="宋体" w:cs="Times New Roman"/>
                <w:bCs/>
                <w:color w:val="auto"/>
                <w:spacing w:val="-2"/>
                <w:sz w:val="21"/>
                <w:szCs w:val="21"/>
                <w:highlight w:val="none"/>
              </w:rPr>
              <w:t>冷冻台面≥350mm*400mm</w:t>
            </w:r>
          </w:p>
          <w:p w14:paraId="6704E3F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14.</w:t>
            </w:r>
            <w:r>
              <w:rPr>
                <w:rFonts w:hint="eastAsia" w:ascii="宋体" w:hAnsi="宋体" w:eastAsia="宋体" w:cs="Times New Roman"/>
                <w:bCs/>
                <w:color w:val="auto"/>
                <w:spacing w:val="-2"/>
                <w:sz w:val="21"/>
                <w:szCs w:val="21"/>
                <w:highlight w:val="none"/>
              </w:rPr>
              <w:t>冷冻温度：0℃～-3</w:t>
            </w: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w:t>
            </w:r>
          </w:p>
        </w:tc>
        <w:tc>
          <w:tcPr>
            <w:tcW w:w="773" w:type="dxa"/>
            <w:noWrap w:val="0"/>
            <w:vAlign w:val="center"/>
          </w:tcPr>
          <w:p w14:paraId="338B63CD">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7738C0A6">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3AB0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20" w:type="dxa"/>
            <w:noWrap w:val="0"/>
            <w:vAlign w:val="center"/>
          </w:tcPr>
          <w:p w14:paraId="73929B5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27</w:t>
            </w:r>
          </w:p>
        </w:tc>
        <w:tc>
          <w:tcPr>
            <w:tcW w:w="884" w:type="dxa"/>
            <w:noWrap w:val="0"/>
            <w:vAlign w:val="center"/>
          </w:tcPr>
          <w:p w14:paraId="4CF2F89E">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切片机</w:t>
            </w:r>
          </w:p>
        </w:tc>
        <w:tc>
          <w:tcPr>
            <w:tcW w:w="6428" w:type="dxa"/>
            <w:noWrap w:val="0"/>
            <w:vAlign w:val="center"/>
          </w:tcPr>
          <w:p w14:paraId="20A62B6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半自动</w:t>
            </w:r>
            <w:r>
              <w:rPr>
                <w:rFonts w:hint="eastAsia" w:ascii="宋体" w:hAnsi="宋体" w:eastAsia="宋体" w:cs="Times New Roman"/>
                <w:bCs/>
                <w:color w:val="auto"/>
                <w:spacing w:val="-2"/>
                <w:sz w:val="21"/>
                <w:szCs w:val="21"/>
                <w:highlight w:val="none"/>
                <w:lang w:eastAsia="zh-Hans"/>
              </w:rPr>
              <w:t>轮转式</w:t>
            </w:r>
            <w:r>
              <w:rPr>
                <w:rFonts w:hint="eastAsia" w:ascii="宋体" w:hAnsi="宋体" w:eastAsia="宋体" w:cs="Times New Roman"/>
                <w:bCs/>
                <w:color w:val="auto"/>
                <w:spacing w:val="-2"/>
                <w:sz w:val="21"/>
                <w:szCs w:val="21"/>
                <w:highlight w:val="none"/>
                <w:lang w:eastAsia="zh-CN"/>
              </w:rPr>
              <w:t>切片机性能参数：</w:t>
            </w:r>
          </w:p>
          <w:p w14:paraId="32860F9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切片方式：半自动轮转，半电动轮转式切片机，带低维护无后冲精确切片进样系统，带步进电机。主机带有独立控制面板、带开关选择的可编程回缩功能、符合人机工程学位置的独特侧向粗修轮(用户可选择转动方向)，无样品定位或其他附件，230 V AC，50Hz。</w:t>
            </w:r>
          </w:p>
          <w:p w14:paraId="0553173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2、切片厚度：0.50-100μm 设置值：</w:t>
            </w:r>
          </w:p>
          <w:p w14:paraId="6653E90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2.1、0.5–5.0µm，0.5µm 增幅</w:t>
            </w:r>
          </w:p>
          <w:p w14:paraId="7438997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2.2、5.0–20.0µm，1.0µm 增幅</w:t>
            </w:r>
          </w:p>
          <w:p w14:paraId="2EBDB38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2.3、20.0–60.0µm，5.0µm 增幅</w:t>
            </w:r>
          </w:p>
          <w:p w14:paraId="650F8C4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2.4、60.0–100.0µm，10.0µm 增幅</w:t>
            </w:r>
          </w:p>
          <w:p w14:paraId="524B986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3、修块厚度：1-600µm。可独立地选择和设置修片和切片厚度设置。</w:t>
            </w:r>
          </w:p>
          <w:p w14:paraId="0D25E6A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设置值：</w:t>
            </w:r>
          </w:p>
          <w:p w14:paraId="3D71045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3.1、1.0–10.0µm，1.0µm 增幅</w:t>
            </w:r>
          </w:p>
          <w:p w14:paraId="6FA94A7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3.2、10.0 –20.0µm，2.0µm 增幅</w:t>
            </w:r>
          </w:p>
          <w:p w14:paraId="4F905CD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3.3、20.0–50.0µm，5.0µm 增幅</w:t>
            </w:r>
          </w:p>
          <w:p w14:paraId="6D67AC0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3.4、50.0–100.0µm，10.0µm 增幅</w:t>
            </w:r>
          </w:p>
          <w:p w14:paraId="56EAEBC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3.5、100.0–600.0µm，50.0µm 增幅</w:t>
            </w:r>
          </w:p>
          <w:p w14:paraId="4D56F28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4、水平进样、垂直冲程机构以交叉滚轮轴承为基础。水平进样幅度：≥24mm±1mm。</w:t>
            </w:r>
          </w:p>
          <w:p w14:paraId="6B9313D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5、手动切片模式中的静音样品回缩：5-100μm，可关闭。</w:t>
            </w:r>
          </w:p>
          <w:p w14:paraId="7205908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6、 垂直样品行程：≥70mm±1mm。无回缩时的最大切片高度 无样品定位时为60mm；有回缩时的最大切片高度≥55mm。</w:t>
            </w:r>
          </w:p>
          <w:p w14:paraId="46CF5BB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7、电动粗进速度：</w:t>
            </w:r>
          </w:p>
          <w:p w14:paraId="2AFAB13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7.1、慢速前进、后退按钮≥300µm/s</w:t>
            </w:r>
          </w:p>
          <w:p w14:paraId="59E707C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7.2、快速前进≥800µm/s</w:t>
            </w:r>
          </w:p>
          <w:p w14:paraId="1E3C74B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7.3、快速后退(快速一键回退)≥1800µm/s</w:t>
            </w:r>
          </w:p>
          <w:p w14:paraId="145ABE4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8、转动顺滑的手轮有两种手动切片模式：半刀模式和全手轮旋转的传统手动切片模式。</w:t>
            </w:r>
          </w:p>
          <w:p w14:paraId="2368F76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9、手轮为弹簧原理平衡系统，手轮平滑。用户可调的独特力平衡系统，带有弹簧力补偿。</w:t>
            </w:r>
          </w:p>
          <w:p w14:paraId="301B140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9.1、可根据样品/样品夹重量灵活地调整弹簧力；</w:t>
            </w:r>
          </w:p>
          <w:p w14:paraId="07062B0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9.2、轮中无需放置配重块。</w:t>
            </w:r>
          </w:p>
          <w:p w14:paraId="6741B55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10、二合一刀架可以同时适用于宽刀片和窄刀片。二合一刀架：侧向移动功能 左右移动距离≥3 个位置；刀架底座移动距离：前后移动距离：±24mm。</w:t>
            </w:r>
          </w:p>
          <w:p w14:paraId="596E722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11、大型标准夹的最大样品块尺寸(HxWxD)：≥55x50x30mm； 超大型包埋盒夹的最大样品块尺寸(HxWxD)：≥68x48x15mm。</w:t>
            </w:r>
          </w:p>
          <w:p w14:paraId="6951D1A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12、独立控制面板，图形化按钮设计有效控制所有重要操作。所有重要控件均位于一个可调倾斜度的用户友好型独立控制面板上，可实现人机工学操作。</w:t>
            </w:r>
          </w:p>
          <w:p w14:paraId="291E489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13、小手轮，用户可自定义顺时针及逆时针转动方向。控制面板上的独特半刀模式功能，用于快速修片。手轮可前后短距离调整，无需禁用回缩。每次旋转变动都会被电子设备检测到，并自动将其转换成样品的前进或回缩移动，无需影响切片的色带。</w:t>
            </w:r>
          </w:p>
          <w:p w14:paraId="37E8A62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14、带 0 位的样本定位系统，可 X/Y 轴调节，8 度水平定位样本。</w:t>
            </w:r>
          </w:p>
          <w:p w14:paraId="0AAD202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15、废屑槽可拆卸，具有抗静电功能和磁力吸附功能，方便清洁废屑。</w:t>
            </w:r>
          </w:p>
          <w:p w14:paraId="0927043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16、具备储物盘功能，方便放置常用工具；顶部表面区域大，可放置需要平整表面的样品。可拆卸式顶部储物盘可存放切片工具，防止物品掉落。</w:t>
            </w:r>
          </w:p>
          <w:p w14:paraId="7E0BAEE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17、刀架带有护手，确保操作者安全。</w:t>
            </w:r>
          </w:p>
          <w:p w14:paraId="06E443C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18、具备刀架三点锁定及侧向移动功能，可充分利用刀片全长。</w:t>
            </w:r>
          </w:p>
          <w:p w14:paraId="4753030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19、手轮有≥2 个独立的安全锁定系统。</w:t>
            </w:r>
          </w:p>
          <w:p w14:paraId="55F65CA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20、快速转换样本夹，可单手操作样品更换。</w:t>
            </w:r>
          </w:p>
          <w:p w14:paraId="620E7EB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20.1、通过使用用户可编程的记忆位置；</w:t>
            </w:r>
          </w:p>
          <w:p w14:paraId="479B14A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20.2、样本头从前向后快速一键回退功能在 11-15 秒内完成。</w:t>
            </w:r>
          </w:p>
          <w:p w14:paraId="5EA5E23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21、粗修时具备快速回缩和位置记忆功能，快速修片。</w:t>
            </w:r>
          </w:p>
          <w:p w14:paraId="494D292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22、带有开启/关闭功能的可编程样品回缩系统。</w:t>
            </w:r>
          </w:p>
          <w:p w14:paraId="2F1DFDD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23、两种小手轮运行模式：步进和连续。样本头的电动水平移动可通过两种方式进行：</w:t>
            </w:r>
          </w:p>
          <w:p w14:paraId="2A9FE3A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23.1、使用控制面板上的粗进按钮，每个方向可以两种速度在连续或步进模式下进样；</w:t>
            </w:r>
          </w:p>
          <w:p w14:paraId="078043D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23.2、粗修轮的位置符合人机工程学原理，用户通过粗修进给方向更改选择喜欢的转动方向。</w:t>
            </w:r>
          </w:p>
          <w:p w14:paraId="22C232F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24、可归零的切片以及厚度计数功能。</w:t>
            </w:r>
          </w:p>
          <w:p w14:paraId="3910ABF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25、视觉/声音信号显示剩余进样和前、后行程限制。仪器正面指</w:t>
            </w:r>
          </w:p>
          <w:p w14:paraId="6F60FC0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示重要的操作信息：修片或切片厚度；样品回缩(回缩)；手轮/样本头锁定功能(锁定)；带复位功能的切片计数和切片总厚度。</w:t>
            </w:r>
          </w:p>
        </w:tc>
        <w:tc>
          <w:tcPr>
            <w:tcW w:w="773" w:type="dxa"/>
            <w:noWrap w:val="0"/>
            <w:vAlign w:val="center"/>
          </w:tcPr>
          <w:p w14:paraId="6EC381D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BD4831D">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607C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720" w:type="dxa"/>
            <w:noWrap w:val="0"/>
            <w:vAlign w:val="center"/>
          </w:tcPr>
          <w:p w14:paraId="6A47373E">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28</w:t>
            </w:r>
          </w:p>
        </w:tc>
        <w:tc>
          <w:tcPr>
            <w:tcW w:w="884" w:type="dxa"/>
            <w:noWrap w:val="0"/>
            <w:vAlign w:val="center"/>
          </w:tcPr>
          <w:p w14:paraId="24BE0F9B">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二氧化碳激光治疗机</w:t>
            </w:r>
          </w:p>
        </w:tc>
        <w:tc>
          <w:tcPr>
            <w:tcW w:w="6428" w:type="dxa"/>
            <w:noWrap w:val="0"/>
            <w:vAlign w:val="center"/>
          </w:tcPr>
          <w:p w14:paraId="2C1A71E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适用范围：</w:t>
            </w:r>
          </w:p>
          <w:p w14:paraId="0E5BE5E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用于对人体组织的汽化、碳化、凝固和照射。</w:t>
            </w:r>
          </w:p>
          <w:p w14:paraId="1AFF568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连续脉冲和超脉冲用于疣的治疗；点阵模式用于脸面部瘢痕的治疗。</w:t>
            </w:r>
          </w:p>
          <w:p w14:paraId="36A2D4C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1、激光波长：10.6μm±0.1μm；</w:t>
            </w:r>
          </w:p>
          <w:p w14:paraId="21C76B4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2、终端输出激光功率：连续</w:t>
            </w:r>
            <w:r>
              <w:rPr>
                <w:rFonts w:hint="eastAsia" w:ascii="宋体" w:hAnsi="宋体" w:eastAsia="宋体" w:cs="Times New Roman"/>
                <w:bCs/>
                <w:color w:val="auto"/>
                <w:spacing w:val="-2"/>
                <w:sz w:val="21"/>
                <w:szCs w:val="21"/>
                <w:highlight w:val="none"/>
                <w:lang w:eastAsia="zh-CN"/>
              </w:rPr>
              <w:t>模式</w:t>
            </w:r>
            <w:r>
              <w:rPr>
                <w:rFonts w:hint="eastAsia" w:ascii="宋体" w:hAnsi="宋体" w:eastAsia="宋体" w:cs="Times New Roman"/>
                <w:bCs/>
                <w:color w:val="auto"/>
                <w:spacing w:val="-2"/>
                <w:sz w:val="21"/>
                <w:szCs w:val="21"/>
                <w:highlight w:val="none"/>
              </w:rPr>
              <w:t>、脉冲</w:t>
            </w:r>
            <w:r>
              <w:rPr>
                <w:rFonts w:hint="eastAsia" w:ascii="宋体" w:hAnsi="宋体" w:eastAsia="宋体" w:cs="Times New Roman"/>
                <w:bCs/>
                <w:color w:val="auto"/>
                <w:spacing w:val="-2"/>
                <w:sz w:val="21"/>
                <w:szCs w:val="21"/>
                <w:highlight w:val="none"/>
                <w:lang w:eastAsia="zh-CN"/>
              </w:rPr>
              <w:t>模式</w:t>
            </w:r>
            <w:r>
              <w:rPr>
                <w:rFonts w:hint="eastAsia" w:ascii="宋体" w:hAnsi="宋体" w:eastAsia="宋体" w:cs="Times New Roman"/>
                <w:bCs/>
                <w:color w:val="auto"/>
                <w:spacing w:val="-2"/>
                <w:sz w:val="21"/>
                <w:szCs w:val="21"/>
                <w:highlight w:val="none"/>
              </w:rPr>
              <w:t>、点阵</w:t>
            </w:r>
            <w:r>
              <w:rPr>
                <w:rFonts w:hint="eastAsia" w:ascii="宋体" w:hAnsi="宋体" w:eastAsia="宋体" w:cs="Times New Roman"/>
                <w:bCs/>
                <w:color w:val="auto"/>
                <w:spacing w:val="-2"/>
                <w:sz w:val="21"/>
                <w:szCs w:val="21"/>
                <w:highlight w:val="none"/>
                <w:lang w:eastAsia="zh-CN"/>
              </w:rPr>
              <w:t>模式等模式</w:t>
            </w:r>
            <w:r>
              <w:rPr>
                <w:rFonts w:hint="eastAsia" w:ascii="宋体" w:hAnsi="宋体" w:eastAsia="宋体" w:cs="Times New Roman"/>
                <w:bCs/>
                <w:color w:val="auto"/>
                <w:spacing w:val="-2"/>
                <w:sz w:val="21"/>
                <w:szCs w:val="21"/>
                <w:highlight w:val="none"/>
              </w:rPr>
              <w:t>均为1-25W可调，1W步进，允差±20%；</w:t>
            </w:r>
          </w:p>
          <w:p w14:paraId="273D297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3、点阵输出时单个</w:t>
            </w:r>
            <w:r>
              <w:rPr>
                <w:rFonts w:hint="eastAsia" w:ascii="宋体" w:hAnsi="宋体" w:eastAsia="宋体" w:cs="Times New Roman"/>
                <w:bCs/>
                <w:color w:val="auto"/>
                <w:spacing w:val="-2"/>
                <w:sz w:val="21"/>
                <w:szCs w:val="21"/>
                <w:highlight w:val="none"/>
                <w:lang w:eastAsia="zh-CN"/>
              </w:rPr>
              <w:t>最大</w:t>
            </w:r>
            <w:r>
              <w:rPr>
                <w:rFonts w:hint="eastAsia" w:ascii="宋体" w:hAnsi="宋体" w:eastAsia="宋体" w:cs="Times New Roman"/>
                <w:bCs/>
                <w:color w:val="auto"/>
                <w:spacing w:val="-2"/>
                <w:sz w:val="21"/>
                <w:szCs w:val="21"/>
                <w:highlight w:val="none"/>
              </w:rPr>
              <w:t>点能量</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250mJ±20%；</w:t>
            </w:r>
          </w:p>
          <w:p w14:paraId="4E51380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4、脉冲持续时间（脉宽）：点阵模式：0.</w:t>
            </w: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ms-10ms,每0.1ms步进，允差±20%；</w:t>
            </w:r>
          </w:p>
          <w:p w14:paraId="03E12C9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脉冲模式：10ms-100ms,每0.1ms步进，允差±20%；</w:t>
            </w:r>
          </w:p>
          <w:p w14:paraId="3B1CB91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5、脉冲模式下的间隔时间：3倍于脉冲持续时间（脉宽）；</w:t>
            </w:r>
          </w:p>
          <w:p w14:paraId="2E81F3A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6、脉冲模式下光斑直径：0.1mm，允差±20%；</w:t>
            </w:r>
          </w:p>
          <w:p w14:paraId="11FE85E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7、点阵模式下光斑直径：0.1mm，允差±20%；</w:t>
            </w:r>
          </w:p>
          <w:p w14:paraId="1D7F14D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8、激光终端输出发散角：5mrad，允差±20%；</w:t>
            </w:r>
          </w:p>
          <w:p w14:paraId="50EC65F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9、激光模式： 基横模；</w:t>
            </w:r>
          </w:p>
          <w:p w14:paraId="3208B5C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10、手具焦距： F=50mm ，另可选加配F=100mm；</w:t>
            </w:r>
          </w:p>
          <w:p w14:paraId="6F9B917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11、扫描范围：0.1mm×0.1mm至20mm×20mm可调，每0.1mm步进，允差±20%；</w:t>
            </w:r>
          </w:p>
          <w:p w14:paraId="1D9D711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12、</w:t>
            </w:r>
            <w:r>
              <w:rPr>
                <w:rFonts w:hint="eastAsia" w:ascii="宋体" w:hAnsi="宋体" w:eastAsia="宋体" w:cs="Times New Roman"/>
                <w:bCs/>
                <w:color w:val="auto"/>
                <w:spacing w:val="-2"/>
                <w:sz w:val="21"/>
                <w:szCs w:val="21"/>
                <w:highlight w:val="none"/>
              </w:rPr>
              <w:t>扫描密度</w:t>
            </w:r>
            <w:r>
              <w:rPr>
                <w:rFonts w:hint="eastAsia" w:ascii="宋体" w:hAnsi="宋体" w:eastAsia="宋体" w:cs="Times New Roman"/>
                <w:bCs/>
                <w:color w:val="auto"/>
                <w:spacing w:val="-2"/>
                <w:sz w:val="21"/>
                <w:szCs w:val="21"/>
                <w:highlight w:val="none"/>
                <w:lang w:eastAsia="zh-CN"/>
              </w:rPr>
              <w:t>：0.2-2.6mm</w:t>
            </w:r>
          </w:p>
          <w:p w14:paraId="699B226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、扫描图形：矩形、三角形、圆形、多边形等多种图形可选择；</w:t>
            </w:r>
          </w:p>
          <w:p w14:paraId="57B8D4C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14</w:t>
            </w:r>
            <w:r>
              <w:rPr>
                <w:rFonts w:hint="eastAsia" w:ascii="宋体" w:hAnsi="宋体" w:eastAsia="宋体" w:cs="Times New Roman"/>
                <w:bCs/>
                <w:color w:val="auto"/>
                <w:spacing w:val="-2"/>
                <w:sz w:val="21"/>
                <w:szCs w:val="21"/>
                <w:highlight w:val="none"/>
              </w:rPr>
              <w:t>、扫描模式：乱序，中分，顺序等多种模式；</w:t>
            </w:r>
          </w:p>
          <w:p w14:paraId="5F2038D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、扫描次数：1-20次；</w:t>
            </w:r>
          </w:p>
          <w:p w14:paraId="609E2AE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、终端输出激光功率不稳定度St：≤±3%；</w:t>
            </w:r>
          </w:p>
          <w:p w14:paraId="2957FA2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7</w:t>
            </w:r>
            <w:r>
              <w:rPr>
                <w:rFonts w:hint="eastAsia" w:ascii="宋体" w:hAnsi="宋体" w:eastAsia="宋体" w:cs="Times New Roman"/>
                <w:bCs/>
                <w:color w:val="auto"/>
                <w:spacing w:val="-2"/>
                <w:sz w:val="21"/>
                <w:szCs w:val="21"/>
                <w:highlight w:val="none"/>
              </w:rPr>
              <w:t>、激光终端输出功率/能量复现性Rp：≤±2%；</w:t>
            </w:r>
          </w:p>
          <w:p w14:paraId="144F1E2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8</w:t>
            </w:r>
            <w:r>
              <w:rPr>
                <w:rFonts w:hint="eastAsia" w:ascii="宋体" w:hAnsi="宋体" w:eastAsia="宋体" w:cs="Times New Roman"/>
                <w:bCs/>
                <w:color w:val="auto"/>
                <w:spacing w:val="-2"/>
                <w:sz w:val="21"/>
                <w:szCs w:val="21"/>
                <w:highlight w:val="none"/>
              </w:rPr>
              <w:t>、瞄准光波长及光源类型：650nm±5nm，可见激光，外置无极调控系统，功率≤3mW；</w:t>
            </w:r>
          </w:p>
          <w:p w14:paraId="22E58AA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w:t>
            </w: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、输出控制：脚踏开关；</w:t>
            </w:r>
          </w:p>
          <w:p w14:paraId="29B2B29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w:t>
            </w: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rPr>
              <w:t>、导光系统：7关节扭簧导光臂</w:t>
            </w:r>
          </w:p>
          <w:p w14:paraId="7890060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w:t>
            </w: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、冷却方式：内置封闭</w:t>
            </w:r>
            <w:r>
              <w:rPr>
                <w:rFonts w:hint="eastAsia" w:ascii="宋体" w:hAnsi="宋体" w:eastAsia="宋体" w:cs="Times New Roman"/>
                <w:bCs/>
                <w:color w:val="auto"/>
                <w:spacing w:val="-2"/>
                <w:sz w:val="21"/>
                <w:szCs w:val="21"/>
                <w:highlight w:val="none"/>
                <w:lang w:eastAsia="zh-CN"/>
              </w:rPr>
              <w:t>水</w:t>
            </w:r>
            <w:r>
              <w:rPr>
                <w:rFonts w:hint="eastAsia" w:ascii="宋体" w:hAnsi="宋体" w:eastAsia="宋体" w:cs="Times New Roman"/>
                <w:bCs/>
                <w:color w:val="auto"/>
                <w:spacing w:val="-2"/>
                <w:sz w:val="21"/>
                <w:szCs w:val="21"/>
                <w:highlight w:val="none"/>
              </w:rPr>
              <w:t>冷循环系统加智能</w:t>
            </w:r>
            <w:r>
              <w:rPr>
                <w:rFonts w:hint="eastAsia" w:ascii="宋体" w:hAnsi="宋体" w:eastAsia="宋体" w:cs="Times New Roman"/>
                <w:bCs/>
                <w:color w:val="auto"/>
                <w:spacing w:val="-2"/>
                <w:sz w:val="21"/>
                <w:szCs w:val="21"/>
                <w:highlight w:val="none"/>
                <w:lang w:eastAsia="zh-CN"/>
              </w:rPr>
              <w:t>外</w:t>
            </w:r>
            <w:r>
              <w:rPr>
                <w:rFonts w:hint="eastAsia" w:ascii="宋体" w:hAnsi="宋体" w:eastAsia="宋体" w:cs="Times New Roman"/>
                <w:bCs/>
                <w:color w:val="auto"/>
                <w:spacing w:val="-2"/>
                <w:sz w:val="21"/>
                <w:szCs w:val="21"/>
                <w:highlight w:val="none"/>
              </w:rPr>
              <w:t>风冷循环系统；</w:t>
            </w:r>
          </w:p>
          <w:p w14:paraId="1DE0E3D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w:t>
            </w: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rPr>
              <w:t>、排烟系统：内置吹烟方式；且手具具有吹烟系统；</w:t>
            </w:r>
          </w:p>
          <w:p w14:paraId="0E68762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w:t>
            </w:r>
            <w:r>
              <w:rPr>
                <w:rFonts w:hint="eastAsia" w:ascii="宋体" w:hAnsi="宋体" w:eastAsia="宋体" w:cs="Times New Roman"/>
                <w:bCs/>
                <w:color w:val="auto"/>
                <w:spacing w:val="-2"/>
                <w:sz w:val="21"/>
                <w:szCs w:val="21"/>
                <w:highlight w:val="none"/>
                <w:lang w:eastAsia="zh-CN"/>
              </w:rPr>
              <w:t>5</w:t>
            </w:r>
            <w:r>
              <w:rPr>
                <w:rFonts w:hint="eastAsia" w:ascii="宋体" w:hAnsi="宋体" w:eastAsia="宋体" w:cs="Times New Roman"/>
                <w:bCs/>
                <w:color w:val="auto"/>
                <w:spacing w:val="-2"/>
                <w:sz w:val="21"/>
                <w:szCs w:val="21"/>
                <w:highlight w:val="none"/>
              </w:rPr>
              <w:t>.操作系统及特有功能：≥8寸彩色液晶屏触摸界面，设备自带</w:t>
            </w:r>
            <w:r>
              <w:rPr>
                <w:rFonts w:hint="eastAsia" w:ascii="宋体" w:hAnsi="宋体" w:eastAsia="宋体" w:cs="Times New Roman"/>
                <w:bCs/>
                <w:color w:val="auto"/>
                <w:spacing w:val="-2"/>
                <w:sz w:val="21"/>
                <w:szCs w:val="21"/>
                <w:highlight w:val="none"/>
                <w:lang w:eastAsia="zh-CN"/>
              </w:rPr>
              <w:t>开机自检、</w:t>
            </w:r>
            <w:r>
              <w:rPr>
                <w:rFonts w:hint="eastAsia" w:ascii="宋体" w:hAnsi="宋体" w:eastAsia="宋体" w:cs="Times New Roman"/>
                <w:bCs/>
                <w:color w:val="auto"/>
                <w:spacing w:val="-2"/>
                <w:sz w:val="21"/>
                <w:szCs w:val="21"/>
                <w:highlight w:val="none"/>
              </w:rPr>
              <w:t>激光发射、准备、</w:t>
            </w:r>
            <w:r>
              <w:rPr>
                <w:rFonts w:hint="eastAsia" w:ascii="宋体" w:hAnsi="宋体" w:eastAsia="宋体" w:cs="Times New Roman"/>
                <w:bCs/>
                <w:color w:val="auto"/>
                <w:spacing w:val="-2"/>
                <w:sz w:val="21"/>
                <w:szCs w:val="21"/>
                <w:highlight w:val="none"/>
                <w:lang w:eastAsia="zh-CN"/>
              </w:rPr>
              <w:t>智能图形扫描调整功能、</w:t>
            </w:r>
            <w:r>
              <w:rPr>
                <w:rFonts w:hint="eastAsia" w:ascii="宋体" w:hAnsi="宋体" w:eastAsia="宋体" w:cs="Times New Roman"/>
                <w:bCs/>
                <w:color w:val="auto"/>
                <w:spacing w:val="-2"/>
                <w:sz w:val="21"/>
                <w:szCs w:val="21"/>
                <w:highlight w:val="none"/>
              </w:rPr>
              <w:t>电源安全提示灯</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参数修正</w:t>
            </w:r>
            <w:r>
              <w:rPr>
                <w:rFonts w:hint="eastAsia" w:ascii="宋体" w:hAnsi="宋体" w:eastAsia="宋体" w:cs="Times New Roman"/>
                <w:bCs/>
                <w:color w:val="auto"/>
                <w:spacing w:val="-2"/>
                <w:sz w:val="21"/>
                <w:szCs w:val="21"/>
                <w:highlight w:val="none"/>
                <w:lang w:eastAsia="zh-CN"/>
              </w:rPr>
              <w:t>功能、</w:t>
            </w:r>
            <w:r>
              <w:rPr>
                <w:rFonts w:hint="eastAsia" w:ascii="宋体" w:hAnsi="宋体" w:eastAsia="宋体" w:cs="Times New Roman"/>
                <w:bCs/>
                <w:color w:val="auto"/>
                <w:spacing w:val="-2"/>
                <w:sz w:val="21"/>
                <w:szCs w:val="21"/>
                <w:highlight w:val="none"/>
              </w:rPr>
              <w:t>故障报警</w:t>
            </w:r>
            <w:r>
              <w:rPr>
                <w:rFonts w:hint="eastAsia" w:ascii="宋体" w:hAnsi="宋体" w:eastAsia="宋体" w:cs="Times New Roman"/>
                <w:bCs/>
                <w:color w:val="auto"/>
                <w:spacing w:val="-2"/>
                <w:sz w:val="21"/>
                <w:szCs w:val="21"/>
                <w:highlight w:val="none"/>
                <w:lang w:eastAsia="zh-CN"/>
              </w:rPr>
              <w:t>显示、</w:t>
            </w:r>
            <w:r>
              <w:rPr>
                <w:rFonts w:hint="eastAsia" w:ascii="宋体" w:hAnsi="宋体" w:eastAsia="宋体" w:cs="Times New Roman"/>
                <w:bCs/>
                <w:color w:val="auto"/>
                <w:spacing w:val="-2"/>
                <w:sz w:val="21"/>
                <w:szCs w:val="21"/>
                <w:highlight w:val="none"/>
              </w:rPr>
              <w:t>5大治疗模块</w:t>
            </w:r>
            <w:r>
              <w:rPr>
                <w:rFonts w:hint="eastAsia" w:ascii="宋体" w:hAnsi="宋体" w:eastAsia="宋体" w:cs="Times New Roman"/>
                <w:bCs/>
                <w:color w:val="auto"/>
                <w:spacing w:val="-2"/>
                <w:sz w:val="21"/>
                <w:szCs w:val="21"/>
                <w:highlight w:val="none"/>
                <w:lang w:eastAsia="zh-CN"/>
              </w:rPr>
              <w:t>功能可选、</w:t>
            </w:r>
            <w:r>
              <w:rPr>
                <w:rFonts w:hint="eastAsia" w:ascii="宋体" w:hAnsi="宋体" w:eastAsia="宋体" w:cs="Times New Roman"/>
                <w:bCs/>
                <w:color w:val="auto"/>
                <w:spacing w:val="-2"/>
                <w:sz w:val="21"/>
                <w:szCs w:val="21"/>
                <w:highlight w:val="none"/>
              </w:rPr>
              <w:t>自动数据存储等功能。</w:t>
            </w:r>
          </w:p>
        </w:tc>
        <w:tc>
          <w:tcPr>
            <w:tcW w:w="773" w:type="dxa"/>
            <w:noWrap w:val="0"/>
            <w:vAlign w:val="center"/>
          </w:tcPr>
          <w:p w14:paraId="74263FE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6FC8ED6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6CF4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74FECBE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29</w:t>
            </w:r>
          </w:p>
        </w:tc>
        <w:tc>
          <w:tcPr>
            <w:tcW w:w="884" w:type="dxa"/>
            <w:noWrap w:val="0"/>
            <w:vAlign w:val="center"/>
          </w:tcPr>
          <w:p w14:paraId="3EECAF19">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氧气袋</w:t>
            </w:r>
          </w:p>
        </w:tc>
        <w:tc>
          <w:tcPr>
            <w:tcW w:w="6428" w:type="dxa"/>
            <w:noWrap w:val="0"/>
            <w:vAlign w:val="center"/>
          </w:tcPr>
          <w:p w14:paraId="56E7393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规格 60L</w:t>
            </w:r>
          </w:p>
          <w:p w14:paraId="2EE7FD5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材质：乳胶</w:t>
            </w:r>
          </w:p>
        </w:tc>
        <w:tc>
          <w:tcPr>
            <w:tcW w:w="773" w:type="dxa"/>
            <w:noWrap w:val="0"/>
            <w:vAlign w:val="center"/>
          </w:tcPr>
          <w:p w14:paraId="28C8FAB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10</w:t>
            </w:r>
          </w:p>
        </w:tc>
        <w:tc>
          <w:tcPr>
            <w:tcW w:w="952" w:type="dxa"/>
            <w:noWrap w:val="0"/>
            <w:vAlign w:val="center"/>
          </w:tcPr>
          <w:p w14:paraId="751665D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2EC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20" w:type="dxa"/>
            <w:noWrap w:val="0"/>
            <w:vAlign w:val="center"/>
          </w:tcPr>
          <w:p w14:paraId="7778F96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30</w:t>
            </w:r>
          </w:p>
        </w:tc>
        <w:tc>
          <w:tcPr>
            <w:tcW w:w="884" w:type="dxa"/>
            <w:noWrap w:val="0"/>
            <w:vAlign w:val="center"/>
          </w:tcPr>
          <w:p w14:paraId="7230AE6B">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胃镜室胃肠镜工作站</w:t>
            </w:r>
          </w:p>
        </w:tc>
        <w:tc>
          <w:tcPr>
            <w:tcW w:w="6428" w:type="dxa"/>
            <w:noWrap w:val="0"/>
            <w:vAlign w:val="center"/>
          </w:tcPr>
          <w:p w14:paraId="4817CF0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高清内窥镜工作站技术参数</w:t>
            </w:r>
          </w:p>
          <w:p w14:paraId="74F4E3B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一、软件功能</w:t>
            </w:r>
          </w:p>
          <w:p w14:paraId="5D1BD5D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支持与DVI、HD</w:t>
            </w:r>
            <w:r>
              <w:rPr>
                <w:rFonts w:hint="eastAsia" w:ascii="宋体" w:hAnsi="宋体" w:eastAsia="宋体" w:cs="Times New Roman"/>
                <w:bCs/>
                <w:color w:val="auto"/>
                <w:spacing w:val="-2"/>
                <w:sz w:val="21"/>
                <w:szCs w:val="21"/>
                <w:highlight w:val="none"/>
                <w:lang w:eastAsia="zh-CN"/>
              </w:rPr>
              <w:t>MI、</w:t>
            </w:r>
            <w:r>
              <w:rPr>
                <w:rFonts w:hint="eastAsia" w:ascii="宋体" w:hAnsi="宋体" w:eastAsia="宋体" w:cs="Times New Roman"/>
                <w:bCs/>
                <w:color w:val="auto"/>
                <w:spacing w:val="-2"/>
                <w:sz w:val="21"/>
                <w:szCs w:val="21"/>
                <w:highlight w:val="none"/>
              </w:rPr>
              <w:t>SDI</w:t>
            </w:r>
            <w:r>
              <w:rPr>
                <w:rFonts w:hint="eastAsia" w:ascii="宋体" w:hAnsi="宋体" w:eastAsia="宋体" w:cs="Times New Roman"/>
                <w:bCs/>
                <w:color w:val="auto"/>
                <w:spacing w:val="-2"/>
                <w:sz w:val="21"/>
                <w:szCs w:val="21"/>
                <w:highlight w:val="none"/>
                <w:lang w:eastAsia="zh-CN"/>
              </w:rPr>
              <w:t>、DP</w:t>
            </w:r>
            <w:r>
              <w:rPr>
                <w:rFonts w:hint="eastAsia" w:ascii="宋体" w:hAnsi="宋体" w:eastAsia="宋体" w:cs="Times New Roman"/>
                <w:bCs/>
                <w:color w:val="auto"/>
                <w:spacing w:val="-2"/>
                <w:sz w:val="21"/>
                <w:szCs w:val="21"/>
                <w:highlight w:val="none"/>
              </w:rPr>
              <w:t>等接口的高清内窥镜设备连接。</w:t>
            </w:r>
          </w:p>
          <w:p w14:paraId="2A54997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采集卡自带加密芯片</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采集卡上自带脚踏开关采集功能，</w:t>
            </w:r>
          </w:p>
          <w:p w14:paraId="226C82A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rPr>
              <w:t>图像指定区域采集,回放时二次采集</w:t>
            </w: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已录制高清视频回放时的静态图像二次采集。</w:t>
            </w:r>
          </w:p>
          <w:p w14:paraId="3E1CA94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5.具备</w:t>
            </w:r>
            <w:r>
              <w:rPr>
                <w:rFonts w:hint="eastAsia" w:ascii="宋体" w:hAnsi="宋体" w:eastAsia="宋体" w:cs="Times New Roman"/>
                <w:bCs/>
                <w:color w:val="auto"/>
                <w:spacing w:val="-2"/>
                <w:sz w:val="21"/>
                <w:szCs w:val="21"/>
                <w:highlight w:val="none"/>
              </w:rPr>
              <w:t>所有高清格式的采集与显示，如1080i、1080p等。</w:t>
            </w:r>
          </w:p>
          <w:p w14:paraId="5B4E0E2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6.</w:t>
            </w:r>
            <w:r>
              <w:rPr>
                <w:rFonts w:hint="eastAsia" w:ascii="宋体" w:hAnsi="宋体" w:eastAsia="宋体" w:cs="Times New Roman"/>
                <w:bCs/>
                <w:color w:val="auto"/>
                <w:spacing w:val="-2"/>
                <w:sz w:val="21"/>
                <w:szCs w:val="21"/>
                <w:highlight w:val="none"/>
              </w:rPr>
              <w:t>鼠标、键盘、脚踏、采集器等多种采集方式，即采即存防丢失</w:t>
            </w:r>
            <w:r>
              <w:rPr>
                <w:rFonts w:hint="eastAsia" w:ascii="宋体" w:hAnsi="宋体" w:eastAsia="宋体" w:cs="Times New Roman"/>
                <w:bCs/>
                <w:color w:val="auto"/>
                <w:spacing w:val="-2"/>
                <w:sz w:val="21"/>
                <w:szCs w:val="21"/>
                <w:highlight w:val="none"/>
                <w:lang w:eastAsia="zh-CN"/>
              </w:rPr>
              <w:t>。</w:t>
            </w:r>
          </w:p>
          <w:p w14:paraId="0846299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7.具备</w:t>
            </w:r>
            <w:r>
              <w:rPr>
                <w:rFonts w:hint="eastAsia" w:ascii="宋体" w:hAnsi="宋体" w:eastAsia="宋体" w:cs="Times New Roman"/>
                <w:bCs/>
                <w:color w:val="auto"/>
                <w:spacing w:val="-2"/>
                <w:sz w:val="21"/>
                <w:szCs w:val="21"/>
                <w:highlight w:val="none"/>
              </w:rPr>
              <w:t>静态图像和动态影像采集时的声音提醒。</w:t>
            </w:r>
          </w:p>
          <w:p w14:paraId="2C3CF12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8.</w:t>
            </w:r>
            <w:r>
              <w:rPr>
                <w:rFonts w:hint="eastAsia" w:ascii="宋体" w:hAnsi="宋体" w:eastAsia="宋体" w:cs="Times New Roman"/>
                <w:bCs/>
                <w:color w:val="auto"/>
                <w:spacing w:val="-2"/>
                <w:sz w:val="21"/>
                <w:szCs w:val="21"/>
                <w:highlight w:val="none"/>
              </w:rPr>
              <w:t>无限采集图像,即采即存模式，看到图像之前即已完成存盘操作，</w:t>
            </w:r>
            <w:r>
              <w:rPr>
                <w:rFonts w:hint="eastAsia" w:ascii="宋体" w:hAnsi="宋体" w:eastAsia="宋体" w:cs="Times New Roman"/>
                <w:bCs/>
                <w:color w:val="auto"/>
                <w:spacing w:val="-2"/>
                <w:sz w:val="21"/>
                <w:szCs w:val="21"/>
                <w:highlight w:val="none"/>
                <w:lang w:eastAsia="zh-CN"/>
              </w:rPr>
              <w:t>9.</w:t>
            </w:r>
            <w:r>
              <w:rPr>
                <w:rFonts w:hint="eastAsia" w:ascii="宋体" w:hAnsi="宋体" w:eastAsia="宋体" w:cs="Times New Roman"/>
                <w:bCs/>
                <w:color w:val="auto"/>
                <w:spacing w:val="-2"/>
                <w:sz w:val="21"/>
                <w:szCs w:val="21"/>
                <w:highlight w:val="none"/>
              </w:rPr>
              <w:t>具有已采集图像的快速放大功能，图像裁剪，标注等，支持静态图像和动态影像的导出功能。</w:t>
            </w:r>
          </w:p>
          <w:p w14:paraId="7750845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10.</w:t>
            </w:r>
            <w:r>
              <w:rPr>
                <w:rFonts w:hint="eastAsia" w:ascii="宋体" w:hAnsi="宋体" w:eastAsia="宋体" w:cs="Times New Roman"/>
                <w:bCs/>
                <w:color w:val="auto"/>
                <w:spacing w:val="-2"/>
                <w:sz w:val="21"/>
                <w:szCs w:val="21"/>
                <w:highlight w:val="none"/>
              </w:rPr>
              <w:t>单界面操作：采用单界面操作，采集图像、书写报告和病案管理均在同一界面下操作，采集图像的同时不影响其它操作。</w:t>
            </w:r>
          </w:p>
          <w:p w14:paraId="407081D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11.</w:t>
            </w:r>
            <w:r>
              <w:rPr>
                <w:rFonts w:hint="eastAsia" w:ascii="宋体" w:hAnsi="宋体" w:eastAsia="宋体" w:cs="Times New Roman"/>
                <w:bCs/>
                <w:color w:val="auto"/>
                <w:spacing w:val="-2"/>
                <w:sz w:val="21"/>
                <w:szCs w:val="21"/>
                <w:highlight w:val="none"/>
              </w:rPr>
              <w:t>用户分角色管理：根据不同角色管理用户权限，不同角色具有不同授权，用户分属不同角色。</w:t>
            </w:r>
          </w:p>
          <w:p w14:paraId="6D40969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12.</w:t>
            </w:r>
            <w:r>
              <w:rPr>
                <w:rFonts w:hint="eastAsia" w:ascii="宋体" w:hAnsi="宋体" w:eastAsia="宋体" w:cs="Times New Roman"/>
                <w:bCs/>
                <w:color w:val="auto"/>
                <w:spacing w:val="-2"/>
                <w:sz w:val="21"/>
                <w:szCs w:val="21"/>
                <w:highlight w:val="none"/>
              </w:rPr>
              <w:t>多病人操作：提供病人列表，可以随意切换病人，切换病人时自动保存诊断资料。打印完毕的报告可以设置为自动关闭。</w:t>
            </w:r>
          </w:p>
          <w:p w14:paraId="61C4788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13.</w:t>
            </w:r>
            <w:r>
              <w:rPr>
                <w:rFonts w:hint="eastAsia" w:ascii="宋体" w:hAnsi="宋体" w:eastAsia="宋体" w:cs="Times New Roman"/>
                <w:bCs/>
                <w:color w:val="auto"/>
                <w:spacing w:val="-2"/>
                <w:sz w:val="21"/>
                <w:szCs w:val="21"/>
                <w:highlight w:val="none"/>
              </w:rPr>
              <w:t>多幅图像采集：一人次检查可以无限幅采集图像。采集的图像采用即采即存模式，看到图像之前即已完成存盘操作，避免因意外造成图像的丢失。</w:t>
            </w:r>
          </w:p>
          <w:p w14:paraId="43C5F9B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14.</w:t>
            </w:r>
            <w:r>
              <w:rPr>
                <w:rFonts w:hint="eastAsia" w:ascii="宋体" w:hAnsi="宋体" w:eastAsia="宋体" w:cs="Times New Roman"/>
                <w:bCs/>
                <w:color w:val="auto"/>
                <w:spacing w:val="-2"/>
                <w:sz w:val="21"/>
                <w:szCs w:val="21"/>
                <w:highlight w:val="none"/>
              </w:rPr>
              <w:t>具有已采集图像的快速放大功能，静态图像后处理功能：图像裁剪，标注等，</w:t>
            </w: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静态图像和动态影像的导出功能。</w:t>
            </w:r>
          </w:p>
          <w:p w14:paraId="1BF7F54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15.</w:t>
            </w:r>
            <w:r>
              <w:rPr>
                <w:rFonts w:hint="eastAsia" w:ascii="宋体" w:hAnsi="宋体" w:eastAsia="宋体" w:cs="Times New Roman"/>
                <w:bCs/>
                <w:color w:val="auto"/>
                <w:spacing w:val="-2"/>
                <w:sz w:val="21"/>
                <w:szCs w:val="21"/>
                <w:highlight w:val="none"/>
              </w:rPr>
              <w:t>全屏视频采集：右击鼠标即可全屏显示视频图像。</w:t>
            </w:r>
          </w:p>
          <w:p w14:paraId="4A5DCF6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16.</w:t>
            </w:r>
            <w:r>
              <w:rPr>
                <w:rFonts w:hint="eastAsia" w:ascii="宋体" w:hAnsi="宋体" w:eastAsia="宋体" w:cs="Times New Roman"/>
                <w:bCs/>
                <w:color w:val="auto"/>
                <w:spacing w:val="-2"/>
                <w:sz w:val="21"/>
                <w:szCs w:val="21"/>
                <w:highlight w:val="none"/>
              </w:rPr>
              <w:t>病人资料管理：具有快速查询和完整统计两种查询、统计方式；具有多种条件自由组合的查询统计功能，支持模糊查询；</w:t>
            </w:r>
          </w:p>
          <w:p w14:paraId="64F0ADB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17.</w:t>
            </w:r>
            <w:r>
              <w:rPr>
                <w:rFonts w:hint="eastAsia" w:ascii="宋体" w:hAnsi="宋体" w:eastAsia="宋体" w:cs="Times New Roman"/>
                <w:bCs/>
                <w:color w:val="auto"/>
                <w:spacing w:val="-2"/>
                <w:sz w:val="21"/>
                <w:szCs w:val="21"/>
                <w:highlight w:val="none"/>
              </w:rPr>
              <w:t>具有资料的光盘刻录备份功能，支持多种类型光盘。</w:t>
            </w:r>
          </w:p>
          <w:p w14:paraId="5A6383B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18.</w:t>
            </w:r>
            <w:r>
              <w:rPr>
                <w:rFonts w:hint="eastAsia" w:ascii="宋体" w:hAnsi="宋体" w:eastAsia="宋体" w:cs="Times New Roman"/>
                <w:bCs/>
                <w:color w:val="auto"/>
                <w:spacing w:val="-2"/>
                <w:sz w:val="21"/>
                <w:szCs w:val="21"/>
                <w:highlight w:val="none"/>
              </w:rPr>
              <w:t>不限段和自选压缩编码录像采集：不限段数录像，可以根据需要自选录像压缩编码，适应不同视频处理需求。采集的录像采用即采即存模式，看到录像文件产生的同时即已完成存盘操作，避免因意外造成录像的丢失。录制范围可自行裁剪区域。</w:t>
            </w:r>
          </w:p>
          <w:p w14:paraId="37C9714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19.</w:t>
            </w:r>
            <w:r>
              <w:rPr>
                <w:rFonts w:hint="eastAsia" w:ascii="宋体" w:hAnsi="宋体" w:eastAsia="宋体" w:cs="Times New Roman"/>
                <w:bCs/>
                <w:color w:val="auto"/>
                <w:spacing w:val="-2"/>
                <w:sz w:val="21"/>
                <w:szCs w:val="21"/>
                <w:highlight w:val="none"/>
              </w:rPr>
              <w:t>多种格式的图像和报告单导出：提供多种格式的图像导出和完整的诊断报告导出，如JPG、BMP、XPS等等。</w:t>
            </w:r>
          </w:p>
          <w:p w14:paraId="0A38045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20.</w:t>
            </w:r>
            <w:r>
              <w:rPr>
                <w:rFonts w:hint="eastAsia" w:ascii="宋体" w:hAnsi="宋体" w:eastAsia="宋体" w:cs="Times New Roman"/>
                <w:bCs/>
                <w:color w:val="auto"/>
                <w:spacing w:val="-2"/>
                <w:sz w:val="21"/>
                <w:szCs w:val="21"/>
                <w:highlight w:val="none"/>
              </w:rPr>
              <w:t>模板智能识别：根据检查类型、操作医生等自动匹配模板，提供词条模板和大模板。</w:t>
            </w:r>
          </w:p>
          <w:p w14:paraId="6B238D4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21.</w:t>
            </w:r>
            <w:r>
              <w:rPr>
                <w:rFonts w:hint="eastAsia" w:ascii="宋体" w:hAnsi="宋体" w:eastAsia="宋体" w:cs="Times New Roman"/>
                <w:bCs/>
                <w:color w:val="auto"/>
                <w:spacing w:val="-2"/>
                <w:sz w:val="21"/>
                <w:szCs w:val="21"/>
                <w:highlight w:val="none"/>
              </w:rPr>
              <w:t>既往报告：检查患者时可以同时浏览该患者的既往报告，包括图像和诊断结果。</w:t>
            </w:r>
          </w:p>
          <w:p w14:paraId="3D6600D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22.</w:t>
            </w:r>
            <w:r>
              <w:rPr>
                <w:rFonts w:hint="eastAsia" w:ascii="宋体" w:hAnsi="宋体" w:eastAsia="宋体" w:cs="Times New Roman"/>
                <w:bCs/>
                <w:color w:val="auto"/>
                <w:spacing w:val="-2"/>
                <w:sz w:val="21"/>
                <w:szCs w:val="21"/>
                <w:highlight w:val="none"/>
              </w:rPr>
              <w:t>多病人多报告对比：可以查询一定条件的检查记录，浏览图像和诊断结果，与当前患者进行对比。</w:t>
            </w:r>
          </w:p>
          <w:p w14:paraId="4D08B0C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23.</w:t>
            </w:r>
            <w:r>
              <w:rPr>
                <w:rFonts w:hint="eastAsia" w:ascii="宋体" w:hAnsi="宋体" w:eastAsia="宋体" w:cs="Times New Roman"/>
                <w:bCs/>
                <w:color w:val="auto"/>
                <w:spacing w:val="-2"/>
                <w:sz w:val="21"/>
                <w:szCs w:val="21"/>
                <w:highlight w:val="none"/>
              </w:rPr>
              <w:t>自定义诊断报告：根据用户要求进行诊断报告模式设计，满足用户的个性化要求。支持报告单的所见即所得模式。</w:t>
            </w:r>
          </w:p>
          <w:p w14:paraId="085E0D4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24.</w:t>
            </w:r>
            <w:r>
              <w:rPr>
                <w:rFonts w:hint="eastAsia" w:ascii="宋体" w:hAnsi="宋体" w:eastAsia="宋体" w:cs="Times New Roman"/>
                <w:bCs/>
                <w:color w:val="auto"/>
                <w:spacing w:val="-2"/>
                <w:sz w:val="21"/>
                <w:szCs w:val="21"/>
                <w:highlight w:val="none"/>
              </w:rPr>
              <w:t>工作列表、快速登记、病案管理和既往报告等表格可以自定义显示或隐藏，并可自定义表格宽度、位置及任意列排序等</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具有程序界面布局自定义功能。</w:t>
            </w:r>
          </w:p>
          <w:p w14:paraId="3F42B4E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25.</w:t>
            </w:r>
            <w:r>
              <w:rPr>
                <w:rFonts w:hint="eastAsia" w:ascii="宋体" w:hAnsi="宋体" w:eastAsia="宋体" w:cs="Times New Roman"/>
                <w:bCs/>
                <w:color w:val="auto"/>
                <w:spacing w:val="-2"/>
                <w:sz w:val="21"/>
                <w:szCs w:val="21"/>
                <w:highlight w:val="none"/>
              </w:rPr>
              <w:t>具有检查中病人资料的断电保护功能。</w:t>
            </w:r>
          </w:p>
          <w:p w14:paraId="34BD317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26.</w:t>
            </w:r>
            <w:r>
              <w:rPr>
                <w:rFonts w:hint="eastAsia" w:ascii="宋体" w:hAnsi="宋体" w:eastAsia="宋体" w:cs="Times New Roman"/>
                <w:bCs/>
                <w:color w:val="auto"/>
                <w:spacing w:val="-2"/>
                <w:sz w:val="21"/>
                <w:szCs w:val="21"/>
                <w:highlight w:val="none"/>
              </w:rPr>
              <w:t>提供整个系统的自动和手动修复功能。</w:t>
            </w:r>
          </w:p>
          <w:p w14:paraId="5F93B4B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p>
          <w:p w14:paraId="6BABD5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二、配置单：</w:t>
            </w:r>
          </w:p>
          <w:p w14:paraId="550AF42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1.品牌商用机</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lang w:val="en-US" w:eastAsia="zh-CN"/>
              </w:rPr>
              <w:t>按用户需求配置</w:t>
            </w:r>
            <w:r>
              <w:rPr>
                <w:rFonts w:hint="eastAsia" w:ascii="宋体" w:hAnsi="宋体" w:eastAsia="宋体" w:cs="Times New Roman"/>
                <w:bCs/>
                <w:color w:val="auto"/>
                <w:spacing w:val="-2"/>
                <w:sz w:val="21"/>
                <w:szCs w:val="21"/>
                <w:highlight w:val="none"/>
                <w:lang w:eastAsia="zh-CN"/>
              </w:rPr>
              <w:t>）</w:t>
            </w:r>
          </w:p>
          <w:p w14:paraId="4117EBF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≥22</w:t>
            </w:r>
            <w:r>
              <w:rPr>
                <w:rFonts w:hint="eastAsia" w:ascii="宋体" w:hAnsi="宋体" w:eastAsia="宋体" w:cs="Times New Roman"/>
                <w:bCs/>
                <w:color w:val="auto"/>
                <w:spacing w:val="-2"/>
                <w:sz w:val="21"/>
                <w:szCs w:val="21"/>
                <w:highlight w:val="none"/>
              </w:rPr>
              <w:t>吋液晶显示器</w:t>
            </w:r>
          </w:p>
          <w:p w14:paraId="072E678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I3 四核 CPU</w:t>
            </w:r>
          </w:p>
          <w:p w14:paraId="18EF7F5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8G内存</w:t>
            </w:r>
          </w:p>
          <w:p w14:paraId="27DCD26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1T硬盘</w:t>
            </w:r>
          </w:p>
          <w:p w14:paraId="35B3221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2.高保真采集脚踏开关</w:t>
            </w:r>
          </w:p>
          <w:p w14:paraId="349F925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3.专业高清信号视频采集卡</w:t>
            </w:r>
          </w:p>
          <w:p w14:paraId="5C4211A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4.专用高清接口视频线</w:t>
            </w:r>
          </w:p>
          <w:p w14:paraId="5D21374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5.彩色</w:t>
            </w:r>
            <w:r>
              <w:rPr>
                <w:rFonts w:hint="eastAsia" w:ascii="宋体" w:hAnsi="宋体" w:eastAsia="宋体" w:cs="Times New Roman"/>
                <w:bCs/>
                <w:color w:val="auto"/>
                <w:spacing w:val="-2"/>
                <w:sz w:val="21"/>
                <w:szCs w:val="21"/>
                <w:highlight w:val="none"/>
                <w:lang w:eastAsia="zh-CN"/>
              </w:rPr>
              <w:t>喷墨</w:t>
            </w:r>
            <w:r>
              <w:rPr>
                <w:rFonts w:hint="eastAsia" w:ascii="宋体" w:hAnsi="宋体" w:eastAsia="宋体" w:cs="Times New Roman"/>
                <w:bCs/>
                <w:color w:val="auto"/>
                <w:spacing w:val="-2"/>
                <w:sz w:val="21"/>
                <w:szCs w:val="21"/>
                <w:highlight w:val="none"/>
              </w:rPr>
              <w:t>打印机</w:t>
            </w:r>
          </w:p>
          <w:p w14:paraId="734494A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6.内窥镜工作站系统软件（出厂时预安装）</w:t>
            </w:r>
          </w:p>
        </w:tc>
        <w:tc>
          <w:tcPr>
            <w:tcW w:w="773" w:type="dxa"/>
            <w:noWrap w:val="0"/>
            <w:vAlign w:val="center"/>
          </w:tcPr>
          <w:p w14:paraId="56BD0A2E">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2F7566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套</w:t>
            </w:r>
          </w:p>
        </w:tc>
      </w:tr>
      <w:tr w14:paraId="335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720" w:type="dxa"/>
            <w:noWrap w:val="0"/>
            <w:vAlign w:val="center"/>
          </w:tcPr>
          <w:p w14:paraId="01453FB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31</w:t>
            </w:r>
          </w:p>
        </w:tc>
        <w:tc>
          <w:tcPr>
            <w:tcW w:w="884" w:type="dxa"/>
            <w:noWrap w:val="0"/>
            <w:vAlign w:val="center"/>
          </w:tcPr>
          <w:p w14:paraId="2E0C5806">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负压系统</w:t>
            </w:r>
          </w:p>
        </w:tc>
        <w:tc>
          <w:tcPr>
            <w:tcW w:w="6428" w:type="dxa"/>
            <w:noWrap w:val="0"/>
            <w:vAlign w:val="center"/>
          </w:tcPr>
          <w:p w14:paraId="3AA5844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医用吸引系统主站技术参数</w:t>
            </w:r>
          </w:p>
          <w:p w14:paraId="7FE7824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一、油式旋片真空泵 2台</w:t>
            </w:r>
          </w:p>
          <w:p w14:paraId="151557A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400 hpa点的气量时，抽气量不小于该泵最大气量的90%；</w:t>
            </w:r>
          </w:p>
          <w:p w14:paraId="01D9330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rPr>
              <w:t>承轴：承轴的工作温度应不高于环境温度35°C，并且最高温度不高于75°C。；</w:t>
            </w:r>
          </w:p>
          <w:p w14:paraId="4A24A25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3、真空泵机组为功率≥7.5KW油式旋片真空泵，油式旋片真空泵为冷风式，</w:t>
            </w:r>
          </w:p>
          <w:p w14:paraId="3E9EB18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二、真空罐 1个</w:t>
            </w:r>
          </w:p>
          <w:p w14:paraId="5A7C7C2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规格：≥2</w:t>
            </w:r>
            <w:r>
              <w:rPr>
                <w:rFonts w:hint="eastAsia" w:ascii="宋体" w:hAnsi="宋体" w:eastAsia="宋体" w:cs="Times New Roman"/>
                <w:bCs/>
                <w:color w:val="auto"/>
                <w:spacing w:val="-2"/>
                <w:sz w:val="21"/>
                <w:szCs w:val="21"/>
                <w:highlight w:val="none"/>
                <w:lang w:val="en-US" w:eastAsia="zh-CN"/>
              </w:rPr>
              <w:t>m³</w:t>
            </w:r>
            <w:r>
              <w:rPr>
                <w:rFonts w:hint="eastAsia" w:ascii="宋体" w:hAnsi="宋体" w:eastAsia="宋体" w:cs="Times New Roman"/>
                <w:bCs/>
                <w:color w:val="auto"/>
                <w:spacing w:val="-2"/>
                <w:sz w:val="21"/>
                <w:szCs w:val="21"/>
                <w:highlight w:val="none"/>
                <w:lang w:eastAsia="zh-CN"/>
              </w:rPr>
              <w:t>。</w:t>
            </w:r>
          </w:p>
          <w:p w14:paraId="040D3EA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材质：碳钢。</w:t>
            </w:r>
          </w:p>
          <w:p w14:paraId="45FAE84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板材厚度：≥8mm。</w:t>
            </w:r>
          </w:p>
          <w:p w14:paraId="484C012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进、排气口口径：DN50，PN10。</w:t>
            </w:r>
          </w:p>
          <w:p w14:paraId="6FBDF1A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三、控制电箱 1个</w:t>
            </w:r>
          </w:p>
          <w:p w14:paraId="7FF6CF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壁挂式。控制2台≥7.5kW油式旋片真空泵</w:t>
            </w:r>
          </w:p>
          <w:p w14:paraId="66DCE3C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含手动、自动功能。</w:t>
            </w:r>
          </w:p>
          <w:p w14:paraId="3B33065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手动功能：任意启动1台真空泵，一直运行，相关阀门对应控制。</w:t>
            </w:r>
          </w:p>
          <w:p w14:paraId="452D0C9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自动功能：</w:t>
            </w:r>
          </w:p>
          <w:p w14:paraId="6E75135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真空泵组分为2组，≥7.5kW油式旋片真空泵1台为A组；1台为B组。</w:t>
            </w:r>
          </w:p>
          <w:p w14:paraId="4DA3281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启动自动模式后，A组启动，到达高停压力值后，A组停机；低于低起压力值后，B组启动，到达高停压力值后，B组停机。A、B两组真空泵循环交替使用。</w:t>
            </w:r>
          </w:p>
          <w:p w14:paraId="60B6FC1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主要电器元件：PLC；触摸控制屏；模拟量信号输入板；压力传感器。</w:t>
            </w:r>
          </w:p>
          <w:p w14:paraId="1A427A2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当其中一组真空泵组故障时，自动切换到另一组真空泵组运行，并声光蜂鸣报警。</w:t>
            </w:r>
          </w:p>
        </w:tc>
        <w:tc>
          <w:tcPr>
            <w:tcW w:w="773" w:type="dxa"/>
            <w:noWrap w:val="0"/>
            <w:vAlign w:val="center"/>
          </w:tcPr>
          <w:p w14:paraId="242EADEE">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5767485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套</w:t>
            </w:r>
          </w:p>
        </w:tc>
      </w:tr>
      <w:tr w14:paraId="3E2F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20" w:type="dxa"/>
            <w:noWrap w:val="0"/>
            <w:vAlign w:val="center"/>
          </w:tcPr>
          <w:p w14:paraId="37540D5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32</w:t>
            </w:r>
          </w:p>
        </w:tc>
        <w:tc>
          <w:tcPr>
            <w:tcW w:w="884" w:type="dxa"/>
            <w:noWrap w:val="0"/>
            <w:vAlign w:val="center"/>
          </w:tcPr>
          <w:p w14:paraId="47A3660B">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全自动血液体液细胞分析仪</w:t>
            </w:r>
          </w:p>
        </w:tc>
        <w:tc>
          <w:tcPr>
            <w:tcW w:w="6428" w:type="dxa"/>
            <w:noWrap w:val="0"/>
            <w:vAlign w:val="center"/>
          </w:tcPr>
          <w:p w14:paraId="77D4432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全自动血液体液细胞分析仪参数</w:t>
            </w:r>
          </w:p>
          <w:p w14:paraId="7CD962D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1.检测方法及原理：血液分析采用半导体激光法、荧光染色法和流式细胞技术原理，CRP检测采用胶乳增强免疫散射比浊法。</w:t>
            </w:r>
          </w:p>
          <w:p w14:paraId="17EB9D1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2.报告参数：血液分析报告参数≥32个，三维散点图≥3个；体液分析报告参数≥5个；CRP报告参数≥2个。</w:t>
            </w:r>
          </w:p>
          <w:p w14:paraId="79BDDA7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3.单机检测速度：CBC＋DIFF＋NRBC ≥108个样本/小时； CBC＋DIFF＋NRBC＋CRP≥89样本/小时。</w:t>
            </w:r>
          </w:p>
          <w:p w14:paraId="2D37433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4.进样方式及用血量：静脉血和末梢全血均可自动批量进样或手动进样；末梢全血检测CD+CRP用血量≤35μl，预稀释模式CD+CRP用血量≤20μl。</w:t>
            </w:r>
          </w:p>
          <w:p w14:paraId="4F7B175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5.末梢血自动批量检测模式支持以下功能：自动扫码进样、异常标本自动回退复检；自动混匀功能可适配主流末梢血采血管。</w:t>
            </w:r>
          </w:p>
          <w:p w14:paraId="47E44F9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6.末梢血预稀释模式也能进行</w:t>
            </w:r>
            <w:r>
              <w:rPr>
                <w:rFonts w:hint="eastAsia" w:ascii="宋体" w:hAnsi="宋体" w:eastAsia="宋体" w:cs="Times New Roman"/>
                <w:bCs/>
                <w:color w:val="auto"/>
                <w:spacing w:val="-2"/>
                <w:sz w:val="21"/>
                <w:szCs w:val="21"/>
                <w:highlight w:val="none"/>
                <w:lang w:eastAsia="zh-CN"/>
              </w:rPr>
              <w:t>血</w:t>
            </w:r>
            <w:r>
              <w:rPr>
                <w:rFonts w:hint="eastAsia" w:ascii="宋体" w:hAnsi="宋体" w:eastAsia="宋体" w:cs="Times New Roman"/>
                <w:bCs/>
                <w:color w:val="auto"/>
                <w:spacing w:val="-2"/>
                <w:sz w:val="21"/>
                <w:szCs w:val="21"/>
                <w:highlight w:val="none"/>
              </w:rPr>
              <w:t>细胞五分类、有核红细胞、CRP检测，有急诊插入功能。</w:t>
            </w:r>
          </w:p>
          <w:p w14:paraId="21AD87B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7.具有全自动体液（含胸水、腹水、脑脊液和浆膜液等体液）细胞计数和对体液中的白细胞进行分类的功能；具有通过高荧光体液细胞参数对肿瘤细胞进行提示功能。</w:t>
            </w:r>
          </w:p>
          <w:p w14:paraId="676C1C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8.使用荧光染料和半导体激光检测WBC五分类，并具有有核红细胞检测功能，能自动进行对白细胞计数的校正。</w:t>
            </w:r>
          </w:p>
          <w:p w14:paraId="0BE65F5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9.血小板检测采用鞘流阻抗法和荧光染色法两种方法，并可转换。</w:t>
            </w:r>
          </w:p>
          <w:p w14:paraId="7932FB3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10.具有低值血小板检测功能，如遇血小板低值时可通过增加计数颗粒数量来保证血小板检测精度。</w:t>
            </w:r>
          </w:p>
          <w:p w14:paraId="21F7DE0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11.标配自动进样器，自动进样器内轨标配回退功能，并可同时选配开放进样或封闭进样装置。</w:t>
            </w:r>
          </w:p>
          <w:p w14:paraId="37AD0A8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12.具有对EDTA依赖性血小板聚集标本的“自解聚”功能，如遇血小板聚集时可自动加测光学血小板，光学血小板对聚集血小板的解聚率≥80%（提供数据证明材料）。</w:t>
            </w:r>
          </w:p>
          <w:p w14:paraId="27302AE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13.具有低值白细胞检测功能，如遇白细胞低值时自动增加计数颗粒数量来保证检测结果的准确性，无需二次折返检测。</w:t>
            </w:r>
          </w:p>
          <w:p w14:paraId="0D3F9BF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14.血液分析仪主机自带≥10寸大屏幕彩色液晶触摸屏，中文操作系统、中文报告，用户可自定义报告格式；</w:t>
            </w:r>
          </w:p>
          <w:p w14:paraId="7A55D21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15.血液分析线性范围（静脉血）：白细胞：（0-500） 109/L，红细胞：（0-8.6） 1012/L，血小板：（0-5000） 109/L，血红蛋白：（0-260）g/L。</w:t>
            </w:r>
          </w:p>
          <w:p w14:paraId="2DD9334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16.全血CRP检测时可校正红细胞、白细胞、血小板体积的干扰（提供证明文件）</w:t>
            </w:r>
          </w:p>
          <w:p w14:paraId="5F469CE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17.样本存储：存储</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 20 万份样本的全部信息；</w:t>
            </w:r>
          </w:p>
          <w:p w14:paraId="0DF13CD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18.仪器能与医院的 HIS、LIS 数据管理系统实现双向无缝连接；</w:t>
            </w:r>
          </w:p>
          <w:p w14:paraId="68AABE2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19.质控体系完善，具有 L-J、X-Bar、X-BarM 等多种质控功能；</w:t>
            </w:r>
          </w:p>
          <w:p w14:paraId="7E9B0A3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20.提供</w:t>
            </w:r>
            <w:r>
              <w:rPr>
                <w:rFonts w:hint="eastAsia" w:ascii="宋体" w:hAnsi="宋体" w:eastAsia="宋体" w:cs="Times New Roman"/>
                <w:bCs/>
                <w:color w:val="auto"/>
                <w:spacing w:val="-2"/>
                <w:sz w:val="21"/>
                <w:szCs w:val="21"/>
                <w:highlight w:val="none"/>
                <w:lang w:val="en-US" w:eastAsia="zh-CN"/>
              </w:rPr>
              <w:t>与仪器配套的</w:t>
            </w:r>
            <w:r>
              <w:rPr>
                <w:rFonts w:hint="eastAsia" w:ascii="宋体" w:hAnsi="宋体" w:eastAsia="宋体" w:cs="Times New Roman"/>
                <w:bCs/>
                <w:color w:val="auto"/>
                <w:spacing w:val="-2"/>
                <w:sz w:val="21"/>
                <w:szCs w:val="21"/>
                <w:highlight w:val="none"/>
              </w:rPr>
              <w:t>质控品和校准品</w:t>
            </w:r>
            <w:r>
              <w:rPr>
                <w:rFonts w:hint="eastAsia" w:ascii="宋体" w:hAnsi="宋体" w:eastAsia="宋体" w:cs="Times New Roman"/>
                <w:bCs/>
                <w:color w:val="auto"/>
                <w:spacing w:val="-2"/>
                <w:sz w:val="21"/>
                <w:szCs w:val="21"/>
                <w:highlight w:val="none"/>
                <w:lang w:eastAsia="zh-CN"/>
              </w:rPr>
              <w:t>。</w:t>
            </w:r>
          </w:p>
          <w:p w14:paraId="534EC80A">
            <w:pPr>
              <w:keepNext w:val="0"/>
              <w:keepLines w:val="0"/>
              <w:pageBreakBefore w:val="0"/>
              <w:numPr>
                <w:ilvl w:val="0"/>
                <w:numId w:val="12"/>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根据镜检规则的设定自动完成复检功能，避免人为误差带来的干扰因素，</w:t>
            </w:r>
          </w:p>
          <w:p w14:paraId="6C143FD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22.具备CRP检测功能：</w:t>
            </w:r>
            <w:r>
              <w:rPr>
                <w:rFonts w:hint="eastAsia" w:ascii="宋体" w:hAnsi="宋体" w:eastAsia="宋体" w:cs="Times New Roman"/>
                <w:bCs/>
                <w:color w:val="auto"/>
                <w:spacing w:val="-2"/>
                <w:sz w:val="21"/>
                <w:szCs w:val="21"/>
                <w:highlight w:val="none"/>
                <w:lang w:eastAsia="zh-CN"/>
              </w:rPr>
              <w:t>22.1</w:t>
            </w:r>
            <w:r>
              <w:rPr>
                <w:rFonts w:hint="eastAsia" w:ascii="宋体" w:hAnsi="宋体" w:eastAsia="宋体" w:cs="Times New Roman"/>
                <w:bCs/>
                <w:color w:val="auto"/>
                <w:spacing w:val="-2"/>
                <w:sz w:val="21"/>
                <w:szCs w:val="21"/>
                <w:highlight w:val="none"/>
              </w:rPr>
              <w:t>、检测原理:免疫散射比浊法。</w:t>
            </w:r>
            <w:r>
              <w:rPr>
                <w:rFonts w:hint="eastAsia" w:ascii="宋体" w:hAnsi="宋体" w:eastAsia="宋体" w:cs="Times New Roman"/>
                <w:bCs/>
                <w:color w:val="auto"/>
                <w:spacing w:val="-2"/>
                <w:sz w:val="21"/>
                <w:szCs w:val="21"/>
                <w:highlight w:val="none"/>
                <w:lang w:eastAsia="zh-CN"/>
              </w:rPr>
              <w:t>22.2</w:t>
            </w:r>
            <w:r>
              <w:rPr>
                <w:rFonts w:hint="eastAsia" w:ascii="宋体" w:hAnsi="宋体" w:eastAsia="宋体" w:cs="Times New Roman"/>
                <w:bCs/>
                <w:color w:val="auto"/>
                <w:spacing w:val="-2"/>
                <w:sz w:val="21"/>
                <w:szCs w:val="21"/>
                <w:highlight w:val="none"/>
              </w:rPr>
              <w:t>、线性范围:下限≤0.5 mg/L，上限≥420.0mg/L。</w:t>
            </w:r>
            <w:r>
              <w:rPr>
                <w:rFonts w:hint="eastAsia" w:ascii="宋体" w:hAnsi="宋体" w:eastAsia="宋体" w:cs="Times New Roman"/>
                <w:bCs/>
                <w:color w:val="auto"/>
                <w:spacing w:val="-2"/>
                <w:sz w:val="21"/>
                <w:szCs w:val="21"/>
                <w:highlight w:val="none"/>
                <w:lang w:eastAsia="zh-CN"/>
              </w:rPr>
              <w:t>22.3</w:t>
            </w:r>
            <w:r>
              <w:rPr>
                <w:rFonts w:hint="eastAsia" w:ascii="宋体" w:hAnsi="宋体" w:eastAsia="宋体" w:cs="Times New Roman"/>
                <w:bCs/>
                <w:color w:val="auto"/>
                <w:spacing w:val="-2"/>
                <w:sz w:val="21"/>
                <w:szCs w:val="21"/>
                <w:highlight w:val="none"/>
              </w:rPr>
              <w:t>、支持全血、血清、血浆等样本类型。</w:t>
            </w:r>
            <w:r>
              <w:rPr>
                <w:rFonts w:hint="eastAsia" w:ascii="宋体" w:hAnsi="宋体" w:eastAsia="宋体" w:cs="Times New Roman"/>
                <w:bCs/>
                <w:color w:val="auto"/>
                <w:spacing w:val="-2"/>
                <w:sz w:val="21"/>
                <w:szCs w:val="21"/>
                <w:highlight w:val="none"/>
                <w:lang w:eastAsia="zh-CN"/>
              </w:rPr>
              <w:t>22.4</w:t>
            </w:r>
            <w:r>
              <w:rPr>
                <w:rFonts w:hint="eastAsia" w:ascii="宋体" w:hAnsi="宋体" w:eastAsia="宋体" w:cs="Times New Roman"/>
                <w:bCs/>
                <w:color w:val="auto"/>
                <w:spacing w:val="-2"/>
                <w:sz w:val="21"/>
                <w:szCs w:val="21"/>
                <w:highlight w:val="none"/>
              </w:rPr>
              <w:t>、检测速度：≥100T/H。</w:t>
            </w:r>
            <w:r>
              <w:rPr>
                <w:rFonts w:hint="eastAsia" w:ascii="宋体" w:hAnsi="宋体" w:eastAsia="宋体" w:cs="Times New Roman"/>
                <w:bCs/>
                <w:color w:val="auto"/>
                <w:spacing w:val="-2"/>
                <w:sz w:val="21"/>
                <w:szCs w:val="21"/>
                <w:highlight w:val="none"/>
                <w:lang w:eastAsia="zh-CN"/>
              </w:rPr>
              <w:t>22.5</w:t>
            </w:r>
            <w:r>
              <w:rPr>
                <w:rFonts w:hint="eastAsia" w:ascii="宋体" w:hAnsi="宋体" w:eastAsia="宋体" w:cs="Times New Roman"/>
                <w:bCs/>
                <w:color w:val="auto"/>
                <w:spacing w:val="-2"/>
                <w:sz w:val="21"/>
                <w:szCs w:val="21"/>
                <w:highlight w:val="none"/>
              </w:rPr>
              <w:t>、最小用血量≤28μL。</w:t>
            </w:r>
            <w:r>
              <w:rPr>
                <w:rFonts w:hint="eastAsia" w:ascii="宋体" w:hAnsi="宋体" w:eastAsia="宋体" w:cs="Times New Roman"/>
                <w:bCs/>
                <w:color w:val="auto"/>
                <w:spacing w:val="-2"/>
                <w:sz w:val="21"/>
                <w:szCs w:val="21"/>
                <w:highlight w:val="none"/>
                <w:lang w:eastAsia="zh-CN"/>
              </w:rPr>
              <w:t>22.6</w:t>
            </w:r>
            <w:r>
              <w:rPr>
                <w:rFonts w:hint="eastAsia" w:ascii="宋体" w:hAnsi="宋体" w:eastAsia="宋体" w:cs="Times New Roman"/>
                <w:bCs/>
                <w:color w:val="auto"/>
                <w:spacing w:val="-2"/>
                <w:sz w:val="21"/>
                <w:szCs w:val="21"/>
                <w:highlight w:val="none"/>
              </w:rPr>
              <w:t>、全血模式支持 HCT 校准，确保全血与血清结果一致。</w:t>
            </w:r>
          </w:p>
        </w:tc>
        <w:tc>
          <w:tcPr>
            <w:tcW w:w="773" w:type="dxa"/>
            <w:noWrap w:val="0"/>
            <w:vAlign w:val="center"/>
          </w:tcPr>
          <w:p w14:paraId="50ABCCA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386FE5B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7CE2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720" w:type="dxa"/>
            <w:noWrap w:val="0"/>
            <w:vAlign w:val="center"/>
          </w:tcPr>
          <w:p w14:paraId="3E73F54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33</w:t>
            </w:r>
          </w:p>
        </w:tc>
        <w:tc>
          <w:tcPr>
            <w:tcW w:w="884" w:type="dxa"/>
            <w:noWrap w:val="0"/>
            <w:vAlign w:val="center"/>
          </w:tcPr>
          <w:p w14:paraId="7972532F">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全自动生化分析仪</w:t>
            </w:r>
          </w:p>
        </w:tc>
        <w:tc>
          <w:tcPr>
            <w:tcW w:w="6428" w:type="dxa"/>
            <w:noWrap w:val="0"/>
            <w:vAlign w:val="center"/>
          </w:tcPr>
          <w:p w14:paraId="113D246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1、检测速度：生化比色分析恒速</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800 </w:t>
            </w:r>
            <w:r>
              <w:rPr>
                <w:rFonts w:hint="eastAsia" w:ascii="宋体" w:hAnsi="宋体" w:eastAsia="宋体" w:cs="Times New Roman"/>
                <w:bCs/>
                <w:color w:val="auto"/>
                <w:spacing w:val="-2"/>
                <w:sz w:val="21"/>
                <w:szCs w:val="21"/>
                <w:highlight w:val="none"/>
                <w:lang w:eastAsia="zh-CN"/>
              </w:rPr>
              <w:t>T</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H</w:t>
            </w:r>
          </w:p>
          <w:p w14:paraId="0757B1B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2、分析方法：具有终点法、动力学法、固定时间法；</w:t>
            </w:r>
          </w:p>
          <w:p w14:paraId="6C568C9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3、同时在线分析项目：≥165个</w:t>
            </w:r>
          </w:p>
          <w:p w14:paraId="631F373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4、加样针：具有自动液面检测、随量跟踪、立体防撞等功能</w:t>
            </w:r>
          </w:p>
          <w:p w14:paraId="1DA6D19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5、进样方式： 圆盘式进样，具有独立的样本盘。</w:t>
            </w:r>
          </w:p>
          <w:p w14:paraId="7F62937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6、最小试剂量：10ul，0.5ul步进</w:t>
            </w:r>
          </w:p>
          <w:p w14:paraId="77CB610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7、最小样本量：≤1.5uL，0.1ul步进。</w:t>
            </w:r>
          </w:p>
          <w:p w14:paraId="283EF46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8. 试剂位: ≥180个， 具备 24 小时 2-8℃冷藏功能，</w:t>
            </w:r>
          </w:p>
          <w:p w14:paraId="2A12C41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9、样本位：≥179个，不算扩展。</w:t>
            </w:r>
          </w:p>
          <w:p w14:paraId="63D2D05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10、最小反应体积：≤80uL</w:t>
            </w:r>
          </w:p>
          <w:p w14:paraId="54196BB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11、反应杯位：≥160个 ，塑料反应杯。</w:t>
            </w:r>
          </w:p>
          <w:p w14:paraId="00F3221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12、温控系统：非水浴恒温，免维护，免保养，控制温度在 37℃±0.1℃ 。</w:t>
            </w:r>
          </w:p>
          <w:p w14:paraId="26A40A2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13、反应杯清洗：比色杯八阶温水自动清洗.</w:t>
            </w:r>
          </w:p>
          <w:p w14:paraId="28F13AC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14、光学系统：光栅后分光，波长范围：340-850nm任选，≥14个波长。</w:t>
            </w:r>
          </w:p>
          <w:p w14:paraId="488335E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15、吸光度线性范围: 0-3.5Abs；</w:t>
            </w:r>
          </w:p>
          <w:p w14:paraId="4AF295B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16、杂散光：吸光度不小于 2.3</w:t>
            </w:r>
          </w:p>
          <w:p w14:paraId="1166B6F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17、样本针携带污染率：≤0.05%</w:t>
            </w:r>
          </w:p>
          <w:p w14:paraId="147F814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18、条码功能：具有试剂条码扫描功能，具有酶线性拓展功能</w:t>
            </w:r>
          </w:p>
          <w:p w14:paraId="49E9A4A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19、运行中装载试剂：仪器测试进行中支持试剂在线更换，节省操作时间。</w:t>
            </w:r>
          </w:p>
          <w:p w14:paraId="1645C86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20、系统配套性要求：具有原厂配套试剂、校准品和质控品；试剂配套项目≥55项，校准品≥32项,并提供项目注册证明。</w:t>
            </w:r>
          </w:p>
          <w:p w14:paraId="38959FF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21、拥有全血糖化功能。</w:t>
            </w:r>
          </w:p>
        </w:tc>
        <w:tc>
          <w:tcPr>
            <w:tcW w:w="773" w:type="dxa"/>
            <w:noWrap w:val="0"/>
            <w:vAlign w:val="center"/>
          </w:tcPr>
          <w:p w14:paraId="491198C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0BB865B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39E9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0" w:type="dxa"/>
            <w:noWrap w:val="0"/>
            <w:vAlign w:val="center"/>
          </w:tcPr>
          <w:p w14:paraId="00F884D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34</w:t>
            </w:r>
          </w:p>
        </w:tc>
        <w:tc>
          <w:tcPr>
            <w:tcW w:w="884" w:type="dxa"/>
            <w:noWrap w:val="0"/>
            <w:vAlign w:val="center"/>
          </w:tcPr>
          <w:p w14:paraId="3D9FBF02">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黄疸测试仪</w:t>
            </w:r>
          </w:p>
        </w:tc>
        <w:tc>
          <w:tcPr>
            <w:tcW w:w="6428" w:type="dxa"/>
            <w:noWrap w:val="0"/>
            <w:vAlign w:val="center"/>
          </w:tcPr>
          <w:p w14:paraId="544518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液晶显示屏带背光</w:t>
            </w:r>
          </w:p>
          <w:p w14:paraId="271BAEB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2、自动计算1-5次平均值，测量值和平均值同时显示；</w:t>
            </w:r>
          </w:p>
          <w:p w14:paraId="0C3C796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3、可删除粗大误差数据；</w:t>
            </w:r>
          </w:p>
          <w:p w14:paraId="2C1D0E6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4、3位数字显示，直接读取测试结果；</w:t>
            </w:r>
          </w:p>
          <w:p w14:paraId="0D0428A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5、两种单位显示mg/dl、</w:t>
            </w:r>
            <w:r>
              <w:rPr>
                <w:rFonts w:hint="eastAsia" w:ascii="宋体" w:hAnsi="宋体" w:eastAsia="宋体" w:cs="Times New Roman"/>
                <w:bCs/>
                <w:color w:val="auto"/>
                <w:spacing w:val="-2"/>
                <w:sz w:val="21"/>
                <w:szCs w:val="21"/>
                <w:highlight w:val="none"/>
                <w:lang w:val="el-GR"/>
              </w:rPr>
              <w:t>μ</w:t>
            </w:r>
            <w:r>
              <w:rPr>
                <w:rFonts w:hint="eastAsia" w:ascii="宋体" w:hAnsi="宋体" w:eastAsia="宋体" w:cs="Times New Roman"/>
                <w:bCs/>
                <w:color w:val="auto"/>
                <w:spacing w:val="-2"/>
                <w:sz w:val="21"/>
                <w:szCs w:val="21"/>
                <w:highlight w:val="none"/>
              </w:rPr>
              <w:t>mol/l；</w:t>
            </w:r>
          </w:p>
          <w:p w14:paraId="4BFEA06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6、电池采用</w:t>
            </w:r>
            <w:r>
              <w:rPr>
                <w:rFonts w:hint="eastAsia" w:ascii="宋体" w:hAnsi="宋体" w:eastAsia="宋体" w:cs="Times New Roman"/>
                <w:bCs/>
                <w:color w:val="auto"/>
                <w:spacing w:val="-2"/>
                <w:sz w:val="21"/>
                <w:szCs w:val="21"/>
                <w:highlight w:val="none"/>
                <w:lang w:val="en-US" w:eastAsia="zh-CN"/>
              </w:rPr>
              <w:t>充电</w:t>
            </w:r>
            <w:r>
              <w:rPr>
                <w:rFonts w:hint="eastAsia" w:ascii="宋体" w:hAnsi="宋体" w:eastAsia="宋体" w:cs="Times New Roman"/>
                <w:bCs/>
                <w:color w:val="auto"/>
                <w:spacing w:val="-2"/>
                <w:sz w:val="21"/>
                <w:szCs w:val="21"/>
                <w:highlight w:val="none"/>
              </w:rPr>
              <w:t>电池，每充足一次电能检测</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800次</w:t>
            </w:r>
          </w:p>
          <w:p w14:paraId="1F19CC4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7、</w:t>
            </w:r>
            <w:r>
              <w:rPr>
                <w:rFonts w:hint="eastAsia" w:ascii="宋体" w:hAnsi="宋体" w:eastAsia="宋体" w:cs="Times New Roman"/>
                <w:bCs/>
                <w:color w:val="auto"/>
                <w:spacing w:val="-2"/>
                <w:sz w:val="21"/>
                <w:szCs w:val="21"/>
                <w:highlight w:val="none"/>
                <w:lang w:val="en-US" w:eastAsia="zh-CN"/>
              </w:rPr>
              <w:t>具备</w:t>
            </w:r>
            <w:r>
              <w:rPr>
                <w:rFonts w:hint="eastAsia" w:ascii="宋体" w:hAnsi="宋体" w:eastAsia="宋体" w:cs="Times New Roman"/>
                <w:bCs/>
                <w:color w:val="auto"/>
                <w:spacing w:val="-2"/>
                <w:sz w:val="21"/>
                <w:szCs w:val="21"/>
                <w:highlight w:val="none"/>
              </w:rPr>
              <w:t>自动关机</w:t>
            </w:r>
            <w:r>
              <w:rPr>
                <w:rFonts w:hint="eastAsia" w:ascii="宋体" w:hAnsi="宋体" w:eastAsia="宋体" w:cs="Times New Roman"/>
                <w:bCs/>
                <w:color w:val="auto"/>
                <w:spacing w:val="-2"/>
                <w:sz w:val="21"/>
                <w:szCs w:val="21"/>
                <w:highlight w:val="none"/>
                <w:lang w:val="en-US" w:eastAsia="zh-CN"/>
              </w:rPr>
              <w:t>功能</w:t>
            </w:r>
            <w:r>
              <w:rPr>
                <w:rFonts w:hint="eastAsia" w:ascii="宋体" w:hAnsi="宋体" w:eastAsia="宋体" w:cs="Times New Roman"/>
                <w:bCs/>
                <w:color w:val="auto"/>
                <w:spacing w:val="-2"/>
                <w:sz w:val="21"/>
                <w:szCs w:val="21"/>
                <w:highlight w:val="none"/>
              </w:rPr>
              <w:t>。</w:t>
            </w:r>
          </w:p>
          <w:p w14:paraId="1FDCA06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 xml:space="preserve">8. </w:t>
            </w:r>
            <w:r>
              <w:rPr>
                <w:rFonts w:hint="eastAsia" w:ascii="宋体" w:hAnsi="宋体" w:eastAsia="宋体" w:cs="Times New Roman"/>
                <w:bCs/>
                <w:color w:val="auto"/>
                <w:spacing w:val="-2"/>
                <w:sz w:val="21"/>
                <w:szCs w:val="21"/>
                <w:highlight w:val="none"/>
              </w:rPr>
              <w:t>检测方式</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光反射式，蓝色光波(450nm)、绿色光波(550nm)比较</w:t>
            </w:r>
          </w:p>
          <w:p w14:paraId="691B1B3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9</w:t>
            </w:r>
            <w:r>
              <w:rPr>
                <w:rFonts w:hint="eastAsia" w:ascii="宋体" w:hAnsi="宋体" w:eastAsia="宋体" w:cs="Times New Roman"/>
                <w:bCs/>
                <w:color w:val="auto"/>
                <w:spacing w:val="-2"/>
                <w:sz w:val="21"/>
                <w:szCs w:val="21"/>
                <w:highlight w:val="none"/>
                <w:lang w:eastAsia="zh-CN"/>
              </w:rPr>
              <w:t xml:space="preserve">. </w:t>
            </w:r>
            <w:r>
              <w:rPr>
                <w:rFonts w:hint="eastAsia" w:ascii="宋体" w:hAnsi="宋体" w:eastAsia="宋体" w:cs="Times New Roman"/>
                <w:bCs/>
                <w:color w:val="auto"/>
                <w:spacing w:val="-2"/>
                <w:sz w:val="21"/>
                <w:szCs w:val="21"/>
                <w:highlight w:val="none"/>
              </w:rPr>
              <w:t>示值误差</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00～15±1mg/dL、16～25±1.5mg/dL</w:t>
            </w:r>
          </w:p>
          <w:p w14:paraId="605A63C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lang w:eastAsia="zh-CN"/>
              </w:rPr>
              <w:t xml:space="preserve">. </w:t>
            </w:r>
            <w:r>
              <w:rPr>
                <w:rFonts w:hint="eastAsia" w:ascii="宋体" w:hAnsi="宋体" w:eastAsia="宋体" w:cs="Times New Roman"/>
                <w:bCs/>
                <w:color w:val="auto"/>
                <w:spacing w:val="-2"/>
                <w:sz w:val="21"/>
                <w:szCs w:val="21"/>
                <w:highlight w:val="none"/>
              </w:rPr>
              <w:t>精密度</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RSD＜2%</w:t>
            </w:r>
          </w:p>
          <w:p w14:paraId="2483140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cs="Times New Roman"/>
                <w:bCs/>
                <w:color w:val="auto"/>
                <w:spacing w:val="-2"/>
                <w:sz w:val="21"/>
                <w:szCs w:val="21"/>
                <w:highlight w:val="none"/>
                <w:lang w:val="en-US" w:eastAsia="zh-CN"/>
              </w:rPr>
              <w:t>1</w:t>
            </w:r>
            <w:r>
              <w:rPr>
                <w:rFonts w:hint="eastAsia" w:ascii="宋体" w:hAnsi="宋体" w:eastAsia="宋体" w:cs="Times New Roman"/>
                <w:bCs/>
                <w:color w:val="auto"/>
                <w:spacing w:val="-2"/>
                <w:sz w:val="21"/>
                <w:szCs w:val="21"/>
                <w:highlight w:val="none"/>
                <w:lang w:eastAsia="zh-CN"/>
              </w:rPr>
              <w:t xml:space="preserve">. </w:t>
            </w:r>
            <w:r>
              <w:rPr>
                <w:rFonts w:hint="eastAsia" w:ascii="宋体" w:hAnsi="宋体" w:eastAsia="宋体" w:cs="Times New Roman"/>
                <w:bCs/>
                <w:color w:val="auto"/>
                <w:spacing w:val="-2"/>
                <w:sz w:val="21"/>
                <w:szCs w:val="21"/>
                <w:highlight w:val="none"/>
              </w:rPr>
              <w:t>光源</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氙闪光灯</w:t>
            </w:r>
          </w:p>
          <w:p w14:paraId="2634BE9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 xml:space="preserve">12. </w:t>
            </w:r>
            <w:r>
              <w:rPr>
                <w:rFonts w:hint="eastAsia" w:ascii="宋体" w:hAnsi="宋体" w:eastAsia="宋体" w:cs="Times New Roman"/>
                <w:bCs/>
                <w:color w:val="auto"/>
                <w:spacing w:val="-2"/>
                <w:sz w:val="21"/>
                <w:szCs w:val="21"/>
                <w:highlight w:val="none"/>
              </w:rPr>
              <w:t>校验盘</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对白色屏显示00.0mg/dl或00.1mg/dl，对黄色屏显示20.0±0.5mg/dl</w:t>
            </w:r>
          </w:p>
        </w:tc>
        <w:tc>
          <w:tcPr>
            <w:tcW w:w="773" w:type="dxa"/>
            <w:noWrap w:val="0"/>
            <w:vAlign w:val="center"/>
          </w:tcPr>
          <w:p w14:paraId="14DCE89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4EFCD4D6">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3D50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78609215">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35</w:t>
            </w:r>
          </w:p>
        </w:tc>
        <w:tc>
          <w:tcPr>
            <w:tcW w:w="884" w:type="dxa"/>
            <w:noWrap w:val="0"/>
            <w:vAlign w:val="center"/>
          </w:tcPr>
          <w:p w14:paraId="02DEB16D">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血糖仪</w:t>
            </w:r>
          </w:p>
        </w:tc>
        <w:tc>
          <w:tcPr>
            <w:tcW w:w="6428" w:type="dxa"/>
            <w:noWrap w:val="0"/>
            <w:vAlign w:val="center"/>
          </w:tcPr>
          <w:p w14:paraId="170F2EB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符合国家标准GB/T19634-2021 测试范围0.6-33.3mmol/ 记忆组数：≥500组</w:t>
            </w:r>
          </w:p>
        </w:tc>
        <w:tc>
          <w:tcPr>
            <w:tcW w:w="773" w:type="dxa"/>
            <w:noWrap w:val="0"/>
            <w:vAlign w:val="center"/>
          </w:tcPr>
          <w:p w14:paraId="588348E2">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p>
        </w:tc>
        <w:tc>
          <w:tcPr>
            <w:tcW w:w="952" w:type="dxa"/>
            <w:noWrap w:val="0"/>
            <w:vAlign w:val="center"/>
          </w:tcPr>
          <w:p w14:paraId="7189E3E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17BA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6E3065F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36</w:t>
            </w:r>
          </w:p>
        </w:tc>
        <w:tc>
          <w:tcPr>
            <w:tcW w:w="884" w:type="dxa"/>
            <w:noWrap w:val="0"/>
            <w:vAlign w:val="center"/>
          </w:tcPr>
          <w:p w14:paraId="4E9862D7">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产后访视包</w:t>
            </w:r>
          </w:p>
        </w:tc>
        <w:tc>
          <w:tcPr>
            <w:tcW w:w="6428" w:type="dxa"/>
            <w:noWrap w:val="0"/>
            <w:vAlign w:val="center"/>
          </w:tcPr>
          <w:p w14:paraId="21F8C42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eastAsia="zh-CN"/>
              </w:rPr>
              <w:t>规格（</w:t>
            </w:r>
            <w:r>
              <w:rPr>
                <w:rFonts w:hint="eastAsia" w:ascii="宋体" w:hAnsi="宋体" w:eastAsia="宋体" w:cs="Times New Roman"/>
                <w:bCs/>
                <w:color w:val="auto"/>
                <w:spacing w:val="-2"/>
                <w:sz w:val="21"/>
                <w:szCs w:val="21"/>
                <w:highlight w:val="none"/>
                <w:lang w:val="en-US" w:eastAsia="zh-CN"/>
              </w:rPr>
              <w:t>±3cm</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lang w:val="en-US" w:eastAsia="zh-CN"/>
              </w:rPr>
              <w:t>0</w:t>
            </w: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lang w:eastAsia="zh-CN"/>
              </w:rPr>
              <w:t xml:space="preserve">*10cm </w:t>
            </w:r>
          </w:p>
          <w:p w14:paraId="081F352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材质：600D尼龙</w:t>
            </w:r>
          </w:p>
          <w:p w14:paraId="6E74031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要求配置</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血压计   听诊器    婴儿秤（电子） 体温计   软皮尺   记录本  酒精棉片   笔试手电    纱布片  垫巾</w:t>
            </w:r>
          </w:p>
        </w:tc>
        <w:tc>
          <w:tcPr>
            <w:tcW w:w="773" w:type="dxa"/>
            <w:noWrap w:val="0"/>
            <w:vAlign w:val="center"/>
          </w:tcPr>
          <w:p w14:paraId="56970076">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p>
        </w:tc>
        <w:tc>
          <w:tcPr>
            <w:tcW w:w="952" w:type="dxa"/>
            <w:noWrap w:val="0"/>
            <w:vAlign w:val="center"/>
          </w:tcPr>
          <w:p w14:paraId="55E4ACE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个</w:t>
            </w:r>
          </w:p>
        </w:tc>
      </w:tr>
      <w:tr w14:paraId="74A2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20" w:type="dxa"/>
            <w:noWrap w:val="0"/>
            <w:vAlign w:val="center"/>
          </w:tcPr>
          <w:p w14:paraId="4FD82D8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37</w:t>
            </w:r>
          </w:p>
        </w:tc>
        <w:tc>
          <w:tcPr>
            <w:tcW w:w="884" w:type="dxa"/>
            <w:noWrap w:val="0"/>
            <w:vAlign w:val="center"/>
          </w:tcPr>
          <w:p w14:paraId="555301BD">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B超打印机</w:t>
            </w:r>
          </w:p>
        </w:tc>
        <w:tc>
          <w:tcPr>
            <w:tcW w:w="6428" w:type="dxa"/>
            <w:noWrap w:val="0"/>
            <w:vAlign w:val="center"/>
          </w:tcPr>
          <w:p w14:paraId="6D44207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墨盒数量：4色墨水 </w:t>
            </w:r>
          </w:p>
          <w:p w14:paraId="5534988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打印技术：微压电喷墨技术 </w:t>
            </w:r>
          </w:p>
          <w:p w14:paraId="54E1921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分辨率：5760*1440dpi </w:t>
            </w:r>
          </w:p>
          <w:p w14:paraId="1CDFAE0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打印速度：首页打印时间/单面/约13秒 </w:t>
            </w:r>
          </w:p>
          <w:p w14:paraId="1661715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最大打印尺寸：A4  </w:t>
            </w:r>
          </w:p>
          <w:p w14:paraId="078093B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送片方式：滚轴式 </w:t>
            </w:r>
          </w:p>
          <w:p w14:paraId="7BCEED5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胶片输入：自动进纸/可放置约50张 </w:t>
            </w:r>
          </w:p>
          <w:p w14:paraId="34B25D6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网络功能：不支持网络 </w:t>
            </w:r>
          </w:p>
          <w:p w14:paraId="74C2D3B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接口类型：高速USB </w:t>
            </w:r>
          </w:p>
          <w:p w14:paraId="3469C6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系统平台”Windows XP/XPWindows 7/8/8.1/10Professional x6 </w:t>
            </w:r>
          </w:p>
          <w:p w14:paraId="5008B77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图像控制：根据链接电脑传输图像自动完成图像处理 </w:t>
            </w:r>
          </w:p>
          <w:p w14:paraId="1456282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控制面板：按键操作，指示灯显示警报故障和状态  </w:t>
            </w:r>
          </w:p>
          <w:p w14:paraId="25E32C9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机身底座：固定</w:t>
            </w:r>
          </w:p>
        </w:tc>
        <w:tc>
          <w:tcPr>
            <w:tcW w:w="773" w:type="dxa"/>
            <w:noWrap w:val="0"/>
            <w:vAlign w:val="center"/>
          </w:tcPr>
          <w:p w14:paraId="7BC36AB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4C6013AD">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5292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720" w:type="dxa"/>
            <w:noWrap w:val="0"/>
            <w:vAlign w:val="center"/>
          </w:tcPr>
          <w:p w14:paraId="47A8BD0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38</w:t>
            </w:r>
          </w:p>
        </w:tc>
        <w:tc>
          <w:tcPr>
            <w:tcW w:w="884" w:type="dxa"/>
            <w:noWrap w:val="0"/>
            <w:vAlign w:val="center"/>
          </w:tcPr>
          <w:p w14:paraId="49BCCE4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高压锅</w:t>
            </w:r>
          </w:p>
        </w:tc>
        <w:tc>
          <w:tcPr>
            <w:tcW w:w="6428" w:type="dxa"/>
            <w:noWrap w:val="0"/>
            <w:vAlign w:val="center"/>
          </w:tcPr>
          <w:p w14:paraId="5751893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不锈钢手提式蒸汽消毒器</w:t>
            </w:r>
          </w:p>
          <w:p w14:paraId="02462D2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适用于对医疗器械、敷料、玻璃器皿、溶液、培养基等进行消毒灭菌。</w:t>
            </w:r>
          </w:p>
          <w:p w14:paraId="50160DB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主要技术参数</w:t>
            </w:r>
          </w:p>
          <w:p w14:paraId="2C6A117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1、容积：</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18 L  (φ280×260 mm)</w:t>
            </w:r>
          </w:p>
          <w:p w14:paraId="1B997BD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2、额定工作压力：0.14-0.16 MPa</w:t>
            </w:r>
          </w:p>
          <w:p w14:paraId="4C50790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p>
          <w:p w14:paraId="48CF7FB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要求</w:t>
            </w:r>
          </w:p>
          <w:p w14:paraId="418D301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l 设有安全阀、放汽阀、压力表，当压力蒸汽超过0.165Mpa时安全阀会自动释放过高压力蒸汽至达到可靠的安全性，在压力表表面刻度上设有兆帕和温度读数，便于阅读不同的数据。</w:t>
            </w:r>
          </w:p>
          <w:p w14:paraId="4B7ECA7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r>
              <w:rPr>
                <w:rFonts w:hint="eastAsia" w:ascii="宋体" w:hAnsi="宋体" w:eastAsia="宋体" w:cs="Times New Roman"/>
                <w:bCs/>
                <w:color w:val="auto"/>
                <w:spacing w:val="-2"/>
                <w:sz w:val="21"/>
                <w:szCs w:val="21"/>
                <w:highlight w:val="none"/>
              </w:rPr>
              <w:t>加热采用浸入式不锈钢电热管，具有断水过热保护功能。</w:t>
            </w:r>
          </w:p>
          <w:p w14:paraId="3A68DEB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3</w:t>
            </w:r>
            <w:r>
              <w:rPr>
                <w:rFonts w:hint="eastAsia" w:ascii="宋体" w:hAnsi="宋体" w:eastAsia="宋体" w:cs="Times New Roman"/>
                <w:bCs/>
                <w:color w:val="auto"/>
                <w:spacing w:val="-2"/>
                <w:sz w:val="21"/>
                <w:szCs w:val="21"/>
                <w:highlight w:val="none"/>
              </w:rPr>
              <w:t xml:space="preserve"> 灭菌器全部由不锈钢材料制成</w:t>
            </w:r>
            <w:r>
              <w:rPr>
                <w:rFonts w:hint="eastAsia" w:ascii="宋体" w:hAnsi="宋体" w:eastAsia="宋体" w:cs="Times New Roman"/>
                <w:bCs/>
                <w:color w:val="auto"/>
                <w:spacing w:val="-2"/>
                <w:sz w:val="21"/>
                <w:szCs w:val="21"/>
                <w:highlight w:val="none"/>
                <w:lang w:eastAsia="zh-CN"/>
              </w:rPr>
              <w:t>。</w:t>
            </w:r>
          </w:p>
        </w:tc>
        <w:tc>
          <w:tcPr>
            <w:tcW w:w="773" w:type="dxa"/>
            <w:noWrap w:val="0"/>
            <w:vAlign w:val="center"/>
          </w:tcPr>
          <w:p w14:paraId="1301C09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744B647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15BE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trPr>
        <w:tc>
          <w:tcPr>
            <w:tcW w:w="720" w:type="dxa"/>
            <w:noWrap w:val="0"/>
            <w:vAlign w:val="center"/>
          </w:tcPr>
          <w:p w14:paraId="523D848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39</w:t>
            </w:r>
          </w:p>
        </w:tc>
        <w:tc>
          <w:tcPr>
            <w:tcW w:w="884" w:type="dxa"/>
            <w:noWrap w:val="0"/>
            <w:vAlign w:val="center"/>
          </w:tcPr>
          <w:p w14:paraId="546BA1FC">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1-6岁儿童体重称</w:t>
            </w:r>
          </w:p>
        </w:tc>
        <w:tc>
          <w:tcPr>
            <w:tcW w:w="6428" w:type="dxa"/>
            <w:noWrap w:val="0"/>
            <w:vAlign w:val="center"/>
          </w:tcPr>
          <w:p w14:paraId="2EC3CB09">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超声波体检/测量仪技术参数</w:t>
            </w:r>
          </w:p>
          <w:p w14:paraId="0099C258">
            <w:pPr>
              <w:keepNext w:val="0"/>
              <w:keepLines w:val="0"/>
              <w:pageBreakBefore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eastAsia="宋体" w:cs="Times New Roman"/>
                <w:bCs/>
                <w:color w:val="auto"/>
                <w:spacing w:val="-2"/>
                <w:sz w:val="21"/>
                <w:szCs w:val="21"/>
                <w:highlight w:val="none"/>
              </w:rPr>
              <w:t>可自动、测量身高、体重、BMI值。</w:t>
            </w:r>
          </w:p>
          <w:p w14:paraId="0EC75388">
            <w:pPr>
              <w:keepNext w:val="0"/>
              <w:keepLines w:val="0"/>
              <w:pageBreakBefore w:val="0"/>
              <w:numPr>
                <w:ilvl w:val="0"/>
                <w:numId w:val="13"/>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测量进程同步语音引导，检测结果即时播报。</w:t>
            </w:r>
          </w:p>
          <w:p w14:paraId="6077DAFC">
            <w:pPr>
              <w:keepNext w:val="0"/>
              <w:keepLines w:val="0"/>
              <w:pageBreakBefore w:val="0"/>
              <w:numPr>
                <w:ilvl w:val="0"/>
                <w:numId w:val="13"/>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高清液晶显示屏</w:t>
            </w:r>
            <w:r>
              <w:rPr>
                <w:rFonts w:hint="eastAsia" w:ascii="宋体" w:hAnsi="宋体" w:eastAsia="宋体" w:cs="Times New Roman"/>
                <w:bCs/>
                <w:color w:val="auto"/>
                <w:spacing w:val="-2"/>
                <w:sz w:val="21"/>
                <w:szCs w:val="21"/>
                <w:highlight w:val="none"/>
                <w:lang w:eastAsia="zh-CN"/>
              </w:rPr>
              <w:t>。</w:t>
            </w:r>
          </w:p>
          <w:p w14:paraId="04C6F6F6">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4、具有</w:t>
            </w:r>
            <w:r>
              <w:rPr>
                <w:rFonts w:hint="eastAsia" w:ascii="宋体" w:hAnsi="宋体" w:eastAsia="宋体" w:cs="Times New Roman"/>
                <w:bCs/>
                <w:color w:val="auto"/>
                <w:spacing w:val="-2"/>
                <w:sz w:val="21"/>
                <w:szCs w:val="21"/>
                <w:highlight w:val="none"/>
              </w:rPr>
              <w:t>蓝牙、血压、遥控、扫描仪等功能。铝合金机身、轻量化底盘、防滑ABS踏板</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可折叠、带滚轮功能，</w:t>
            </w:r>
          </w:p>
          <w:p w14:paraId="05C9F19E">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五、技术参数</w:t>
            </w:r>
          </w:p>
          <w:p w14:paraId="6C7BAB02">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体 重 测量范围 1-300kg</w:t>
            </w:r>
          </w:p>
          <w:p w14:paraId="2B380186">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 分度值 0.1kg</w:t>
            </w:r>
          </w:p>
          <w:p w14:paraId="743FB8C8">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 误差范围 + 0.1</w:t>
            </w:r>
            <w:r>
              <w:rPr>
                <w:rFonts w:hint="eastAsia" w:ascii="宋体" w:hAnsi="宋体" w:eastAsia="宋体" w:cs="Times New Roman"/>
                <w:bCs/>
                <w:color w:val="auto"/>
                <w:spacing w:val="-2"/>
                <w:sz w:val="21"/>
                <w:szCs w:val="21"/>
                <w:highlight w:val="none"/>
                <w:lang w:eastAsia="zh-CN"/>
              </w:rPr>
              <w:t>kg</w:t>
            </w:r>
          </w:p>
          <w:p w14:paraId="3AC04520">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 测量系统 电阻应变式</w:t>
            </w:r>
          </w:p>
          <w:p w14:paraId="4079CF78">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身 高 测量范围 60-200cm</w:t>
            </w:r>
          </w:p>
          <w:p w14:paraId="5E22F3AA">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 分度值 0.1cm</w:t>
            </w:r>
          </w:p>
          <w:p w14:paraId="0D975984">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 误差范围 + 0.5</w:t>
            </w:r>
            <w:r>
              <w:rPr>
                <w:rFonts w:hint="eastAsia" w:ascii="宋体" w:hAnsi="宋体" w:eastAsia="宋体" w:cs="Times New Roman"/>
                <w:bCs/>
                <w:color w:val="auto"/>
                <w:spacing w:val="-2"/>
                <w:sz w:val="21"/>
                <w:szCs w:val="21"/>
                <w:highlight w:val="none"/>
                <w:lang w:eastAsia="zh-CN"/>
              </w:rPr>
              <w:t>cm</w:t>
            </w:r>
          </w:p>
          <w:p w14:paraId="472730C3">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 测量系统 超声波非触碰式测量</w:t>
            </w:r>
          </w:p>
          <w:p w14:paraId="6D30BD2E">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身体质量指数（BMI） 自动智能计算：体重（KG）/身高（m）^2</w:t>
            </w:r>
          </w:p>
          <w:p w14:paraId="67BB498E">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体 型   偏瘦  正常  偏胖  </w:t>
            </w:r>
          </w:p>
          <w:p w14:paraId="163FD7D9">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数据输出接口</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RS232串口</w:t>
            </w:r>
          </w:p>
        </w:tc>
        <w:tc>
          <w:tcPr>
            <w:tcW w:w="773" w:type="dxa"/>
            <w:noWrap w:val="0"/>
            <w:vAlign w:val="center"/>
          </w:tcPr>
          <w:p w14:paraId="11AAD47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2E02B712">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6B36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720" w:type="dxa"/>
            <w:noWrap w:val="0"/>
            <w:vAlign w:val="center"/>
          </w:tcPr>
          <w:p w14:paraId="68562C6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40</w:t>
            </w:r>
          </w:p>
        </w:tc>
        <w:tc>
          <w:tcPr>
            <w:tcW w:w="884" w:type="dxa"/>
            <w:noWrap w:val="0"/>
            <w:vAlign w:val="center"/>
          </w:tcPr>
          <w:p w14:paraId="7923C37B">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体重秤</w:t>
            </w:r>
          </w:p>
        </w:tc>
        <w:tc>
          <w:tcPr>
            <w:tcW w:w="6428" w:type="dxa"/>
            <w:noWrap w:val="0"/>
            <w:vAlign w:val="center"/>
          </w:tcPr>
          <w:p w14:paraId="1003EE6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体重秤参数：</w:t>
            </w:r>
          </w:p>
          <w:p w14:paraId="21E6D14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1、重量计量：最大称量</w:t>
            </w:r>
            <w:r>
              <w:rPr>
                <w:rFonts w:hint="eastAsia" w:ascii="宋体" w:hAnsi="宋体" w:eastAsia="宋体" w:cs="Times New Roman"/>
                <w:bCs/>
                <w:color w:val="auto"/>
                <w:spacing w:val="-2"/>
                <w:sz w:val="21"/>
                <w:szCs w:val="21"/>
                <w:highlight w:val="none"/>
                <w:lang w:val="en-US" w:eastAsia="zh-CN"/>
              </w:rPr>
              <w:t>≥200</w:t>
            </w:r>
            <w:r>
              <w:rPr>
                <w:rFonts w:hint="eastAsia" w:ascii="宋体" w:hAnsi="宋体" w:eastAsia="宋体" w:cs="Times New Roman"/>
                <w:bCs/>
                <w:color w:val="auto"/>
                <w:spacing w:val="-2"/>
                <w:sz w:val="21"/>
                <w:szCs w:val="21"/>
                <w:highlight w:val="none"/>
              </w:rPr>
              <w:t xml:space="preserve">kg         </w:t>
            </w:r>
          </w:p>
          <w:p w14:paraId="366CEEB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2、称重最小分度值0.5kg</w:t>
            </w:r>
          </w:p>
          <w:p w14:paraId="60C9587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3、长度计量：量度范围70-190cm           </w:t>
            </w:r>
          </w:p>
          <w:p w14:paraId="5D6035C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4、身高最小分度值0.5cm  </w:t>
            </w:r>
          </w:p>
        </w:tc>
        <w:tc>
          <w:tcPr>
            <w:tcW w:w="773" w:type="dxa"/>
            <w:noWrap w:val="0"/>
            <w:vAlign w:val="center"/>
          </w:tcPr>
          <w:p w14:paraId="5B2D196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5F36073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4C76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20" w:type="dxa"/>
            <w:noWrap w:val="0"/>
            <w:vAlign w:val="center"/>
          </w:tcPr>
          <w:p w14:paraId="52F37EC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41</w:t>
            </w:r>
          </w:p>
        </w:tc>
        <w:tc>
          <w:tcPr>
            <w:tcW w:w="884" w:type="dxa"/>
            <w:noWrap w:val="0"/>
            <w:vAlign w:val="center"/>
          </w:tcPr>
          <w:p w14:paraId="293B324C">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血压计</w:t>
            </w:r>
          </w:p>
        </w:tc>
        <w:tc>
          <w:tcPr>
            <w:tcW w:w="6428" w:type="dxa"/>
            <w:noWrap w:val="0"/>
            <w:vAlign w:val="center"/>
          </w:tcPr>
          <w:p w14:paraId="56B0CAF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显示方式 LCD数字显示</w:t>
            </w:r>
          </w:p>
          <w:p w14:paraId="477A25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测量方法：示波测试法</w:t>
            </w:r>
          </w:p>
          <w:p w14:paraId="323857A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压力测试：范围 (0~300)mmHg/(0.0~40.0)kPa</w:t>
            </w:r>
          </w:p>
          <w:p w14:paraId="066EB82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精度 ±3mmHg(±0.4kPa)</w:t>
            </w:r>
          </w:p>
          <w:p w14:paraId="4036A2A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脉率测试：范围 (40~200)次/分钟 精度 读数的±5%</w:t>
            </w:r>
          </w:p>
          <w:p w14:paraId="4576C20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按运行模式分类：连续运行</w:t>
            </w:r>
          </w:p>
          <w:p w14:paraId="3FC6308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按防电击类型分类：II类设备 内部电源供电设备</w:t>
            </w:r>
          </w:p>
          <w:p w14:paraId="35F5377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按防电击的程度分类：BF型应用部分</w:t>
            </w:r>
          </w:p>
          <w:p w14:paraId="230503D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压力传感器：半导体式压力传感器</w:t>
            </w:r>
          </w:p>
          <w:p w14:paraId="4802EC5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加压方式 ： 压力泵自动加压</w:t>
            </w:r>
          </w:p>
          <w:p w14:paraId="611AEC5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排气方式：自动快速排气</w:t>
            </w:r>
          </w:p>
        </w:tc>
        <w:tc>
          <w:tcPr>
            <w:tcW w:w="773" w:type="dxa"/>
            <w:noWrap w:val="0"/>
            <w:vAlign w:val="center"/>
          </w:tcPr>
          <w:p w14:paraId="773ACA0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p>
        </w:tc>
        <w:tc>
          <w:tcPr>
            <w:tcW w:w="952" w:type="dxa"/>
            <w:noWrap w:val="0"/>
            <w:vAlign w:val="center"/>
          </w:tcPr>
          <w:p w14:paraId="60117FF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73E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3F1BAD05">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42</w:t>
            </w:r>
          </w:p>
        </w:tc>
        <w:tc>
          <w:tcPr>
            <w:tcW w:w="884" w:type="dxa"/>
            <w:noWrap w:val="0"/>
            <w:vAlign w:val="center"/>
          </w:tcPr>
          <w:p w14:paraId="73065425">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DR阅片机</w:t>
            </w:r>
          </w:p>
        </w:tc>
        <w:tc>
          <w:tcPr>
            <w:tcW w:w="6428" w:type="dxa"/>
            <w:noWrap w:val="0"/>
            <w:vAlign w:val="center"/>
          </w:tcPr>
          <w:p w14:paraId="3A5608B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形状：长方形 </w:t>
            </w:r>
          </w:p>
          <w:p w14:paraId="0834DF5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光源类型：LED </w:t>
            </w:r>
          </w:p>
          <w:p w14:paraId="5498639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工艺：铝合金 自感自应 </w:t>
            </w:r>
          </w:p>
          <w:p w14:paraId="74DBD2F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使用期限</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10年</w:t>
            </w:r>
          </w:p>
        </w:tc>
        <w:tc>
          <w:tcPr>
            <w:tcW w:w="773" w:type="dxa"/>
            <w:noWrap w:val="0"/>
            <w:vAlign w:val="center"/>
          </w:tcPr>
          <w:p w14:paraId="0D53682E">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3C46EC4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5C45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5460DBD3">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43</w:t>
            </w:r>
          </w:p>
        </w:tc>
        <w:tc>
          <w:tcPr>
            <w:tcW w:w="884" w:type="dxa"/>
            <w:noWrap w:val="0"/>
            <w:vAlign w:val="center"/>
          </w:tcPr>
          <w:p w14:paraId="29443082">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中频治疗仪</w:t>
            </w:r>
          </w:p>
        </w:tc>
        <w:tc>
          <w:tcPr>
            <w:tcW w:w="6428" w:type="dxa"/>
            <w:noWrap w:val="0"/>
            <w:vAlign w:val="center"/>
          </w:tcPr>
          <w:p w14:paraId="720B6FA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工作频率：100</w:t>
            </w:r>
            <w:r>
              <w:rPr>
                <w:rFonts w:hint="eastAsia" w:ascii="宋体" w:hAnsi="宋体" w:eastAsia="宋体" w:cs="Times New Roman"/>
                <w:bCs/>
                <w:color w:val="auto"/>
                <w:spacing w:val="-2"/>
                <w:sz w:val="21"/>
                <w:szCs w:val="21"/>
                <w:highlight w:val="none"/>
                <w:lang w:val="en-US" w:eastAsia="zh-CN"/>
              </w:rPr>
              <w:t>0</w:t>
            </w:r>
            <w:r>
              <w:rPr>
                <w:rFonts w:hint="eastAsia" w:ascii="宋体" w:hAnsi="宋体" w:eastAsia="宋体" w:cs="Times New Roman"/>
                <w:bCs/>
                <w:color w:val="auto"/>
                <w:spacing w:val="-2"/>
                <w:sz w:val="21"/>
                <w:szCs w:val="21"/>
                <w:highlight w:val="none"/>
                <w:lang w:eastAsia="zh-CN"/>
              </w:rPr>
              <w:t xml:space="preserve">-100000HZ </w:t>
            </w:r>
          </w:p>
          <w:p w14:paraId="7890319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脉冲频率：1KHZ±10% </w:t>
            </w:r>
          </w:p>
          <w:p w14:paraId="2838B64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脉冲宽：480us</w:t>
            </w:r>
          </w:p>
          <w:p w14:paraId="2874E8F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供电方式：充电式 </w:t>
            </w:r>
          </w:p>
          <w:p w14:paraId="6E4B436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输出接口：双输出双人使用 </w:t>
            </w:r>
          </w:p>
          <w:p w14:paraId="005F74A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作用效果：适用于颈椎病。</w:t>
            </w:r>
          </w:p>
          <w:p w14:paraId="73614EE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肩周炎 肌肉劳损 腰间盘突出 25种模式/50档力度</w:t>
            </w:r>
          </w:p>
        </w:tc>
        <w:tc>
          <w:tcPr>
            <w:tcW w:w="773" w:type="dxa"/>
            <w:noWrap w:val="0"/>
            <w:vAlign w:val="center"/>
          </w:tcPr>
          <w:p w14:paraId="2AD33E2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p>
        </w:tc>
        <w:tc>
          <w:tcPr>
            <w:tcW w:w="952" w:type="dxa"/>
            <w:noWrap w:val="0"/>
            <w:vAlign w:val="center"/>
          </w:tcPr>
          <w:p w14:paraId="553A721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7949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20" w:type="dxa"/>
            <w:noWrap w:val="0"/>
            <w:vAlign w:val="center"/>
          </w:tcPr>
          <w:p w14:paraId="7D6E624F">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44</w:t>
            </w:r>
          </w:p>
        </w:tc>
        <w:tc>
          <w:tcPr>
            <w:tcW w:w="884" w:type="dxa"/>
            <w:noWrap w:val="0"/>
            <w:vAlign w:val="center"/>
          </w:tcPr>
          <w:p w14:paraId="70693E59">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肺功能检测仪</w:t>
            </w:r>
          </w:p>
        </w:tc>
        <w:tc>
          <w:tcPr>
            <w:tcW w:w="6428" w:type="dxa"/>
            <w:noWrap w:val="0"/>
            <w:vAlign w:val="center"/>
          </w:tcPr>
          <w:p w14:paraId="7EF3062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肺功能检测仪技术参数</w:t>
            </w:r>
          </w:p>
          <w:p w14:paraId="3BF8501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1、性能参数：</w:t>
            </w:r>
          </w:p>
          <w:p w14:paraId="0ED76E4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容量：(0～10)L,误差±3%或者±0.05L，取其大者。</w:t>
            </w:r>
          </w:p>
          <w:p w14:paraId="7AEAFBF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流量：(0～14)L/s,误差±5%或者±0.17L/s，取其大者。</w:t>
            </w:r>
          </w:p>
          <w:p w14:paraId="5F37AE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2、打印机：行式热敏打印机</w:t>
            </w:r>
          </w:p>
          <w:p w14:paraId="718C56E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打印纸：普通热敏纸，纸宽80mm外径30mm</w:t>
            </w:r>
          </w:p>
          <w:p w14:paraId="4317CDF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打印速度：50mm/s</w:t>
            </w:r>
          </w:p>
          <w:p w14:paraId="00A0A97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 ≥8英寸触摸显示屏</w:t>
            </w:r>
          </w:p>
          <w:p w14:paraId="1F47BA7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分辨率：≥1024*768</w:t>
            </w:r>
          </w:p>
          <w:p w14:paraId="0AC90AC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颜色深度：65K色</w:t>
            </w:r>
          </w:p>
          <w:p w14:paraId="27A50CA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触屏：电容屏</w:t>
            </w:r>
          </w:p>
          <w:p w14:paraId="7F4A0AA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lang w:eastAsia="zh-CN"/>
              </w:rPr>
              <w:t>、 常规及舒张测试项目：</w:t>
            </w:r>
          </w:p>
          <w:p w14:paraId="780F80A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lang w:eastAsia="zh-CN"/>
              </w:rPr>
              <w:t>.1 肺活量. 曲线 VC；</w:t>
            </w:r>
          </w:p>
          <w:p w14:paraId="7B44594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VC、VCPR、VC%、IRV、ERV、VT、IC</w:t>
            </w:r>
          </w:p>
          <w:p w14:paraId="74B5FD2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lang w:eastAsia="zh-CN"/>
              </w:rPr>
              <w:t>.2 每分钟静息通气量. 曲线 MV</w:t>
            </w:r>
          </w:p>
          <w:p w14:paraId="7097408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MV、BR、VR、VT、RR</w:t>
            </w:r>
          </w:p>
          <w:p w14:paraId="187E817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lang w:eastAsia="zh-CN"/>
              </w:rPr>
              <w:t>.3 每分钟最大通气量. 曲线MVV</w:t>
            </w:r>
          </w:p>
          <w:p w14:paraId="1024940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MVV、MVVPR、MVV%、BSA、MVV/BSA、VT、RR</w:t>
            </w:r>
          </w:p>
          <w:p w14:paraId="03F836F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lang w:eastAsia="zh-CN"/>
              </w:rPr>
              <w:t>.4用力肺活量. 曲线FVC</w:t>
            </w:r>
          </w:p>
          <w:p w14:paraId="5E1DC95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FVC、FEV1、FEV2、FEV3、FEV1%、FEV2%、FEV3%、MMEF、FEV50、FEV75</w:t>
            </w:r>
          </w:p>
          <w:p w14:paraId="2429A40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lang w:eastAsia="zh-CN"/>
              </w:rPr>
              <w:t>.5 流速容量. 曲线 F-V</w:t>
            </w:r>
          </w:p>
          <w:p w14:paraId="09B544D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PEFR、FEF75、FEF50、FEF25、FEF10、FEF50/25、PEFR/H、FEF75/H、FEF50/H、FEF25/H、MVV</w:t>
            </w:r>
          </w:p>
          <w:p w14:paraId="7D90DB0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rPr>
              <w:t>、便携式设计：仪器自带热敏打印机，充电电池，方便外出携带使用</w:t>
            </w:r>
          </w:p>
          <w:p w14:paraId="0B7D354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rPr>
              <w:t>、使用一次性过滤器及咬口避免交叉感染。</w:t>
            </w:r>
          </w:p>
          <w:p w14:paraId="44E40FF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7</w:t>
            </w:r>
            <w:r>
              <w:rPr>
                <w:rFonts w:hint="eastAsia" w:ascii="宋体" w:hAnsi="宋体" w:eastAsia="宋体" w:cs="Times New Roman"/>
                <w:bCs/>
                <w:color w:val="auto"/>
                <w:spacing w:val="-2"/>
                <w:sz w:val="21"/>
                <w:szCs w:val="21"/>
                <w:highlight w:val="none"/>
              </w:rPr>
              <w:t>、测试模式：VC、MVV、MV、FVC</w:t>
            </w:r>
          </w:p>
          <w:p w14:paraId="2CEF700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rPr>
              <w:t>、本检测仪器可以保存</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1000条体检测试历史记录</w:t>
            </w:r>
          </w:p>
          <w:p w14:paraId="45540C4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9</w:t>
            </w:r>
            <w:r>
              <w:rPr>
                <w:rFonts w:hint="eastAsia" w:ascii="宋体" w:hAnsi="宋体" w:eastAsia="宋体" w:cs="Times New Roman"/>
                <w:bCs/>
                <w:color w:val="auto"/>
                <w:spacing w:val="-2"/>
                <w:sz w:val="21"/>
                <w:szCs w:val="21"/>
                <w:highlight w:val="none"/>
              </w:rPr>
              <w:t>、气流阻力：测量范围内的气流阻力</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0.35kPa/（L/s）</w:t>
            </w:r>
          </w:p>
          <w:p w14:paraId="0991F83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lang w:val="en-US" w:eastAsia="zh-CN"/>
              </w:rPr>
              <w:t>、标配软件</w:t>
            </w:r>
            <w:r>
              <w:rPr>
                <w:rFonts w:hint="eastAsia" w:ascii="宋体" w:hAnsi="宋体" w:eastAsia="宋体" w:cs="Times New Roman"/>
                <w:bCs/>
                <w:color w:val="auto"/>
                <w:spacing w:val="-2"/>
                <w:sz w:val="21"/>
                <w:szCs w:val="21"/>
                <w:highlight w:val="none"/>
              </w:rPr>
              <w:t>可连接PC端操作， 打印A4病例报告</w:t>
            </w:r>
          </w:p>
          <w:p w14:paraId="09492B5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1</w:t>
            </w:r>
            <w:r>
              <w:rPr>
                <w:rFonts w:hint="eastAsia" w:ascii="宋体" w:hAnsi="宋体" w:cs="Times New Roman"/>
                <w:bCs/>
                <w:color w:val="auto"/>
                <w:spacing w:val="-2"/>
                <w:sz w:val="21"/>
                <w:szCs w:val="21"/>
                <w:highlight w:val="none"/>
                <w:lang w:val="en-US" w:eastAsia="zh-CN"/>
              </w:rPr>
              <w:t>1</w:t>
            </w:r>
            <w:r>
              <w:rPr>
                <w:rFonts w:hint="eastAsia" w:ascii="宋体" w:hAnsi="宋体" w:eastAsia="宋体" w:cs="Times New Roman"/>
                <w:bCs/>
                <w:color w:val="auto"/>
                <w:spacing w:val="-2"/>
                <w:sz w:val="21"/>
                <w:szCs w:val="21"/>
                <w:highlight w:val="none"/>
              </w:rPr>
              <w:t>、可连接医院HIS系统</w:t>
            </w:r>
          </w:p>
        </w:tc>
        <w:tc>
          <w:tcPr>
            <w:tcW w:w="773" w:type="dxa"/>
            <w:noWrap w:val="0"/>
            <w:vAlign w:val="center"/>
          </w:tcPr>
          <w:p w14:paraId="495C783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2FDCFEC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6049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58901FA2">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45</w:t>
            </w:r>
          </w:p>
        </w:tc>
        <w:tc>
          <w:tcPr>
            <w:tcW w:w="884" w:type="dxa"/>
            <w:noWrap w:val="0"/>
            <w:vAlign w:val="center"/>
          </w:tcPr>
          <w:p w14:paraId="1D0B9928">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牙椅</w:t>
            </w:r>
          </w:p>
        </w:tc>
        <w:tc>
          <w:tcPr>
            <w:tcW w:w="6428" w:type="dxa"/>
            <w:noWrap w:val="0"/>
            <w:vAlign w:val="center"/>
          </w:tcPr>
          <w:p w14:paraId="7D74D5C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折叠牙椅 </w:t>
            </w:r>
          </w:p>
          <w:p w14:paraId="00DF86F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rPr>
            </w:pPr>
            <w:r>
              <w:rPr>
                <w:rFonts w:hint="eastAsia" w:ascii="宋体" w:hAnsi="宋体" w:eastAsia="宋体" w:cs="Times New Roman"/>
                <w:bCs/>
                <w:color w:val="auto"/>
                <w:spacing w:val="-2"/>
                <w:sz w:val="21"/>
                <w:szCs w:val="21"/>
                <w:highlight w:val="none"/>
                <w:lang w:eastAsia="zh-CN"/>
              </w:rPr>
              <w:t>牙椅</w:t>
            </w:r>
            <w:r>
              <w:rPr>
                <w:rFonts w:hint="eastAsia" w:ascii="宋体" w:hAnsi="宋体" w:eastAsia="宋体" w:cs="Times New Roman"/>
                <w:bCs/>
                <w:color w:val="auto"/>
                <w:spacing w:val="-2"/>
                <w:sz w:val="21"/>
                <w:szCs w:val="21"/>
                <w:highlight w:val="none"/>
                <w:lang w:val="en-US" w:eastAsia="zh-CN"/>
              </w:rPr>
              <w:t>含</w:t>
            </w:r>
            <w:r>
              <w:rPr>
                <w:rFonts w:hint="eastAsia" w:ascii="宋体" w:hAnsi="宋体" w:eastAsia="宋体" w:cs="Times New Roman"/>
                <w:bCs/>
                <w:color w:val="auto"/>
                <w:spacing w:val="-2"/>
                <w:sz w:val="21"/>
                <w:szCs w:val="21"/>
                <w:highlight w:val="none"/>
                <w:lang w:eastAsia="zh-CN"/>
              </w:rPr>
              <w:t>托盘 痰盂 涡轮机</w:t>
            </w:r>
            <w:r>
              <w:rPr>
                <w:rFonts w:hint="eastAsia" w:ascii="宋体" w:hAnsi="宋体" w:eastAsia="宋体" w:cs="Times New Roman"/>
                <w:bCs/>
                <w:color w:val="auto"/>
                <w:spacing w:val="-2"/>
                <w:sz w:val="21"/>
                <w:szCs w:val="21"/>
                <w:highlight w:val="none"/>
                <w:lang w:val="en-US" w:eastAsia="zh-CN"/>
              </w:rPr>
              <w:t>等</w:t>
            </w:r>
          </w:p>
        </w:tc>
        <w:tc>
          <w:tcPr>
            <w:tcW w:w="773" w:type="dxa"/>
            <w:noWrap w:val="0"/>
            <w:vAlign w:val="center"/>
          </w:tcPr>
          <w:p w14:paraId="34AC740D">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30F99AA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套</w:t>
            </w:r>
          </w:p>
        </w:tc>
      </w:tr>
      <w:tr w14:paraId="40C0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36B7048B">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46</w:t>
            </w:r>
          </w:p>
        </w:tc>
        <w:tc>
          <w:tcPr>
            <w:tcW w:w="884" w:type="dxa"/>
            <w:noWrap w:val="0"/>
            <w:vAlign w:val="center"/>
          </w:tcPr>
          <w:p w14:paraId="7BAB261D">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煎药机（中医）</w:t>
            </w:r>
          </w:p>
        </w:tc>
        <w:tc>
          <w:tcPr>
            <w:tcW w:w="6428" w:type="dxa"/>
            <w:noWrap w:val="0"/>
            <w:vAlign w:val="center"/>
          </w:tcPr>
          <w:p w14:paraId="39BDA42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容量：20升 </w:t>
            </w:r>
          </w:p>
          <w:p w14:paraId="26525FB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材质：不锈钢 </w:t>
            </w:r>
          </w:p>
          <w:p w14:paraId="1AA2728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功率：1.8kw </w:t>
            </w:r>
          </w:p>
          <w:p w14:paraId="3AA462E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电压:AV220V </w:t>
            </w:r>
          </w:p>
          <w:p w14:paraId="2A44CD6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数码操控 常压煎煮功能 文武火可自动切换 具有预约功能</w:t>
            </w:r>
          </w:p>
        </w:tc>
        <w:tc>
          <w:tcPr>
            <w:tcW w:w="773" w:type="dxa"/>
            <w:noWrap w:val="0"/>
            <w:vAlign w:val="center"/>
          </w:tcPr>
          <w:p w14:paraId="108E61B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4A2489E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65B7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264D96C2">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47</w:t>
            </w:r>
          </w:p>
        </w:tc>
        <w:tc>
          <w:tcPr>
            <w:tcW w:w="884" w:type="dxa"/>
            <w:noWrap w:val="0"/>
            <w:vAlign w:val="center"/>
          </w:tcPr>
          <w:p w14:paraId="69F0B027">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粉碎机（中医）</w:t>
            </w:r>
          </w:p>
        </w:tc>
        <w:tc>
          <w:tcPr>
            <w:tcW w:w="6428" w:type="dxa"/>
            <w:noWrap w:val="0"/>
            <w:vAlign w:val="center"/>
          </w:tcPr>
          <w:p w14:paraId="1EB7402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2000g中药粉碎机</w:t>
            </w:r>
          </w:p>
          <w:p w14:paraId="661365D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电压：220V </w:t>
            </w:r>
          </w:p>
          <w:p w14:paraId="6358615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额定功率：550W </w:t>
            </w:r>
          </w:p>
          <w:p w14:paraId="305525D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负载功率：3000W </w:t>
            </w:r>
          </w:p>
          <w:p w14:paraId="5EC5654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电机转速：30000转/分 </w:t>
            </w:r>
          </w:p>
          <w:p w14:paraId="21F3498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粉碎细度：30-300目 </w:t>
            </w:r>
          </w:p>
          <w:p w14:paraId="02B27EF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工作时间：0-5分钟 </w:t>
            </w:r>
          </w:p>
          <w:p w14:paraId="52CDF33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间隔时间 5-10分钟 </w:t>
            </w:r>
          </w:p>
          <w:p w14:paraId="3D25C8F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粉仓材质：304不锈钢</w:t>
            </w:r>
          </w:p>
        </w:tc>
        <w:tc>
          <w:tcPr>
            <w:tcW w:w="773" w:type="dxa"/>
            <w:noWrap w:val="0"/>
            <w:vAlign w:val="center"/>
          </w:tcPr>
          <w:p w14:paraId="5A0556C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26E7FFF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5F9F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29A4BA1A">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48</w:t>
            </w:r>
          </w:p>
        </w:tc>
        <w:tc>
          <w:tcPr>
            <w:tcW w:w="884" w:type="dxa"/>
            <w:noWrap w:val="0"/>
            <w:vAlign w:val="center"/>
          </w:tcPr>
          <w:p w14:paraId="05F00E83">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电磁波治疗器</w:t>
            </w:r>
          </w:p>
        </w:tc>
        <w:tc>
          <w:tcPr>
            <w:tcW w:w="6428" w:type="dxa"/>
            <w:noWrap w:val="0"/>
            <w:vAlign w:val="center"/>
          </w:tcPr>
          <w:p w14:paraId="595C9C5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辐射板寿命：</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1000小时 </w:t>
            </w:r>
          </w:p>
          <w:p w14:paraId="7EF7531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发热盘寿命：</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2000小时 </w:t>
            </w:r>
          </w:p>
          <w:p w14:paraId="3A2FCAB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波普范围：2UM-25UM </w:t>
            </w:r>
          </w:p>
          <w:p w14:paraId="66D116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工作电压”220V 50Hz </w:t>
            </w:r>
          </w:p>
          <w:p w14:paraId="1B14F15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立式</w:t>
            </w:r>
          </w:p>
        </w:tc>
        <w:tc>
          <w:tcPr>
            <w:tcW w:w="773" w:type="dxa"/>
            <w:noWrap w:val="0"/>
            <w:vAlign w:val="center"/>
          </w:tcPr>
          <w:p w14:paraId="7EDC7EE2">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w:t>
            </w:r>
          </w:p>
        </w:tc>
        <w:tc>
          <w:tcPr>
            <w:tcW w:w="952" w:type="dxa"/>
            <w:noWrap w:val="0"/>
            <w:vAlign w:val="center"/>
          </w:tcPr>
          <w:p w14:paraId="5B81356D">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6B1C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0EFDA1CE">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49</w:t>
            </w:r>
          </w:p>
        </w:tc>
        <w:tc>
          <w:tcPr>
            <w:tcW w:w="884" w:type="dxa"/>
            <w:noWrap w:val="0"/>
            <w:vAlign w:val="center"/>
          </w:tcPr>
          <w:p w14:paraId="1B679264">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雾化机</w:t>
            </w:r>
          </w:p>
        </w:tc>
        <w:tc>
          <w:tcPr>
            <w:tcW w:w="6428" w:type="dxa"/>
            <w:noWrap w:val="0"/>
            <w:vAlign w:val="center"/>
          </w:tcPr>
          <w:p w14:paraId="5713FCF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平均雾化量≥0.2ml/min </w:t>
            </w:r>
          </w:p>
          <w:p w14:paraId="2A1679A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气体流量≥</w:t>
            </w:r>
            <w:r>
              <w:rPr>
                <w:rFonts w:hint="eastAsia" w:ascii="宋体" w:hAnsi="宋体" w:eastAsia="宋体" w:cs="Times New Roman"/>
                <w:bCs/>
                <w:color w:val="auto"/>
                <w:spacing w:val="-2"/>
                <w:sz w:val="21"/>
                <w:szCs w:val="21"/>
                <w:highlight w:val="none"/>
              </w:rPr>
              <w:t xml:space="preserve">6L/min </w:t>
            </w:r>
          </w:p>
          <w:p w14:paraId="0EA7F4F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产品尺寸≤</w:t>
            </w:r>
            <w:r>
              <w:rPr>
                <w:rFonts w:hint="eastAsia" w:ascii="宋体" w:hAnsi="宋体" w:eastAsia="宋体" w:cs="Times New Roman"/>
                <w:bCs/>
                <w:color w:val="auto"/>
                <w:spacing w:val="-2"/>
                <w:sz w:val="21"/>
                <w:szCs w:val="21"/>
                <w:highlight w:val="none"/>
                <w:lang w:val="en-US" w:eastAsia="zh-CN"/>
              </w:rPr>
              <w:t>30</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lang w:val="en-US" w:eastAsia="zh-CN"/>
              </w:rPr>
              <w:t>15</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lang w:val="en-US" w:eastAsia="zh-CN"/>
              </w:rPr>
              <w:t>20</w:t>
            </w:r>
            <w:r>
              <w:rPr>
                <w:rFonts w:hint="eastAsia" w:ascii="宋体" w:hAnsi="宋体" w:eastAsia="宋体" w:cs="Times New Roman"/>
                <w:bCs/>
                <w:color w:val="auto"/>
                <w:spacing w:val="-2"/>
                <w:sz w:val="21"/>
                <w:szCs w:val="21"/>
                <w:highlight w:val="none"/>
                <w:lang w:eastAsia="zh-CN"/>
              </w:rPr>
              <w:t>CM（</w:t>
            </w:r>
            <w:r>
              <w:rPr>
                <w:rFonts w:hint="eastAsia" w:ascii="宋体" w:hAnsi="宋体" w:eastAsia="宋体" w:cs="Times New Roman"/>
                <w:bCs/>
                <w:color w:val="auto"/>
                <w:spacing w:val="-2"/>
                <w:sz w:val="21"/>
                <w:szCs w:val="21"/>
                <w:highlight w:val="none"/>
                <w:lang w:val="en-US" w:eastAsia="zh-CN"/>
              </w:rPr>
              <w:t>±2cm</w:t>
            </w:r>
            <w:r>
              <w:rPr>
                <w:rFonts w:hint="eastAsia" w:ascii="宋体" w:hAnsi="宋体" w:eastAsia="宋体" w:cs="Times New Roman"/>
                <w:bCs/>
                <w:color w:val="auto"/>
                <w:spacing w:val="-2"/>
                <w:sz w:val="21"/>
                <w:szCs w:val="21"/>
                <w:highlight w:val="none"/>
                <w:lang w:eastAsia="zh-CN"/>
              </w:rPr>
              <w:t xml:space="preserve">） </w:t>
            </w:r>
          </w:p>
          <w:p w14:paraId="5C7C9D7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药液残留</w:t>
            </w:r>
            <w:r>
              <w:rPr>
                <w:rFonts w:hint="eastAsia" w:ascii="宋体" w:hAnsi="宋体" w:eastAsia="宋体" w:cs="Times New Roman"/>
                <w:bCs/>
                <w:color w:val="auto"/>
                <w:spacing w:val="-2"/>
                <w:sz w:val="21"/>
                <w:szCs w:val="21"/>
                <w:highlight w:val="none"/>
              </w:rPr>
              <w:t>≤0.7ml</w:t>
            </w:r>
          </w:p>
        </w:tc>
        <w:tc>
          <w:tcPr>
            <w:tcW w:w="773" w:type="dxa"/>
            <w:noWrap w:val="0"/>
            <w:vAlign w:val="center"/>
          </w:tcPr>
          <w:p w14:paraId="712893E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068D656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160D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20" w:type="dxa"/>
            <w:noWrap w:val="0"/>
            <w:vAlign w:val="center"/>
          </w:tcPr>
          <w:p w14:paraId="2FEDFDC1">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50</w:t>
            </w:r>
          </w:p>
        </w:tc>
        <w:tc>
          <w:tcPr>
            <w:tcW w:w="884" w:type="dxa"/>
            <w:noWrap w:val="0"/>
            <w:vAlign w:val="center"/>
          </w:tcPr>
          <w:p w14:paraId="5802B096">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除颤仪</w:t>
            </w:r>
          </w:p>
        </w:tc>
        <w:tc>
          <w:tcPr>
            <w:tcW w:w="6428" w:type="dxa"/>
            <w:noWrap w:val="0"/>
            <w:vAlign w:val="center"/>
          </w:tcPr>
          <w:p w14:paraId="699B9B9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除颤监护仪技术参数</w:t>
            </w:r>
          </w:p>
          <w:p w14:paraId="7F5C14C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1.重量：≤</w:t>
            </w:r>
            <w:r>
              <w:rPr>
                <w:rFonts w:hint="eastAsia" w:ascii="宋体" w:hAnsi="宋体" w:eastAsia="宋体" w:cs="Times New Roman"/>
                <w:bCs/>
                <w:color w:val="auto"/>
                <w:spacing w:val="-2"/>
                <w:sz w:val="21"/>
                <w:szCs w:val="21"/>
                <w:highlight w:val="none"/>
                <w:lang w:eastAsia="zh-CN"/>
              </w:rPr>
              <w:t>4.</w:t>
            </w:r>
            <w:r>
              <w:rPr>
                <w:rFonts w:hint="eastAsia" w:ascii="宋体" w:hAnsi="宋体" w:eastAsia="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rPr>
              <w:t>kg（标配，含电池）。</w:t>
            </w:r>
          </w:p>
          <w:p w14:paraId="30E1EE7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2.彩色电容触摸屏≥8英寸, 分辨率1024×768像素，可显示≥5通道监护参数波形，支持手势操作、自动亮度调节。</w:t>
            </w:r>
          </w:p>
          <w:p w14:paraId="09C8398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3.提供图形化故障排除指引。</w:t>
            </w:r>
          </w:p>
          <w:p w14:paraId="4135938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4.中文操作界面。</w:t>
            </w:r>
          </w:p>
          <w:p w14:paraId="73ED8A8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5.屏幕显示心电波形扫描时间≥36s。</w:t>
            </w:r>
          </w:p>
          <w:p w14:paraId="433664A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6.具备手动除颤、心电监护、呼吸监护、自动体外除颤（AED）功能，AED功能适用于</w:t>
            </w:r>
            <w:r>
              <w:rPr>
                <w:rFonts w:hint="eastAsia" w:ascii="宋体" w:hAnsi="宋体" w:eastAsia="宋体" w:cs="Times New Roman"/>
                <w:bCs/>
                <w:color w:val="auto"/>
                <w:spacing w:val="-2"/>
                <w:sz w:val="21"/>
                <w:szCs w:val="21"/>
                <w:highlight w:val="none"/>
                <w:lang w:val="en-US" w:eastAsia="zh-CN"/>
              </w:rPr>
              <w:t>成人及小儿</w:t>
            </w:r>
            <w:r>
              <w:rPr>
                <w:rFonts w:hint="eastAsia" w:ascii="宋体" w:hAnsi="宋体" w:eastAsia="宋体" w:cs="Times New Roman"/>
                <w:bCs/>
                <w:color w:val="auto"/>
                <w:spacing w:val="-2"/>
                <w:sz w:val="21"/>
                <w:szCs w:val="21"/>
                <w:highlight w:val="none"/>
              </w:rPr>
              <w:t>。</w:t>
            </w:r>
          </w:p>
          <w:p w14:paraId="5A2E0E9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7.除颤采用双相波技术，具备自动阻抗补偿功能。</w:t>
            </w:r>
          </w:p>
          <w:p w14:paraId="1CA5D37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8.手动除颤分为同步和非同步两种方式，能量</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rPr>
              <w:t>20档以上，可通过体外电极板进行能量选择，最大能量360J。</w:t>
            </w:r>
          </w:p>
          <w:p w14:paraId="5559F3F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9.可配置体内除颤手柄，体内手动除颤能力选择：1/2/3/4/5/6/7/8/9/10/15/20/25/30/50 J。</w:t>
            </w:r>
          </w:p>
          <w:p w14:paraId="6049EE8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10.体外除颤电极板同时支持成人和小儿，一体化设计，支持快速切换。</w:t>
            </w:r>
          </w:p>
          <w:p w14:paraId="1907E5B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11.电极板支持能量选择，充电和放电三步操作，满足单人除颤操作。</w:t>
            </w:r>
          </w:p>
          <w:p w14:paraId="4477B44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12.AED除颤功能提供中文语音和中文提醒功能，对于抢救过程支持自动录音功能，记录时长≥8小时。</w:t>
            </w:r>
          </w:p>
          <w:p w14:paraId="650B97A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13.开机到可正常使用时间≤2s。</w:t>
            </w:r>
          </w:p>
          <w:p w14:paraId="427607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14.除颤充电迅速，充电至200J≤4s。</w:t>
            </w:r>
          </w:p>
          <w:p w14:paraId="4AE6E05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15.除颤后心电基线恢复时间≤2.5s。</w:t>
            </w:r>
          </w:p>
          <w:p w14:paraId="6FA9D86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16.从开始AED分析到放电准备就绪≤10s。</w:t>
            </w:r>
          </w:p>
          <w:p w14:paraId="26F69C7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17.支持病人接触状态和阻抗值实时显示。</w:t>
            </w:r>
          </w:p>
          <w:p w14:paraId="1DB8BBA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18.支持智能分析功能，手动除颤模式下可提供自动节律分析和操作指引。</w:t>
            </w:r>
          </w:p>
          <w:p w14:paraId="095A684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19.</w:t>
            </w:r>
            <w:r>
              <w:rPr>
                <w:rFonts w:hint="eastAsia" w:ascii="宋体" w:hAnsi="宋体" w:eastAsia="宋体" w:cs="Times New Roman"/>
                <w:bCs/>
                <w:color w:val="auto"/>
                <w:spacing w:val="-2"/>
                <w:sz w:val="21"/>
                <w:szCs w:val="21"/>
                <w:highlight w:val="none"/>
                <w:lang w:eastAsia="zh-CN"/>
              </w:rPr>
              <w:t>可选</w:t>
            </w:r>
            <w:r>
              <w:rPr>
                <w:rFonts w:hint="eastAsia" w:ascii="宋体" w:hAnsi="宋体" w:eastAsia="宋体" w:cs="Times New Roman"/>
                <w:bCs/>
                <w:color w:val="auto"/>
                <w:spacing w:val="-2"/>
                <w:sz w:val="21"/>
                <w:szCs w:val="21"/>
                <w:highlight w:val="none"/>
              </w:rPr>
              <w:t>配体外起搏功能，起搏分为固定和按需两种模式。具备降速起搏功能。</w:t>
            </w:r>
          </w:p>
          <w:p w14:paraId="0EF3C6A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20.配CPR辅助功能，CPR传感器设计符合2020 AHA指南，提供即时的按压反馈，设备界面提供按压深度、频率实时参数显示。</w:t>
            </w:r>
          </w:p>
          <w:p w14:paraId="28AD106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21.配基于脉搏氧波形分析的心肺复苏质量指数，实现无创、实时评估人工心肺复苏质量。</w:t>
            </w:r>
          </w:p>
          <w:p w14:paraId="00AC6C5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22.提供CPR按压干扰滤过功能，通过除颤电极片或CPR传感器自动检测按压干扰并实时滤波，减少按压中断。</w:t>
            </w:r>
          </w:p>
          <w:p w14:paraId="3E16161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23.抢救结束后自动生成抢救报告，并可通过网络将除颤和按压数据自动上传至急救数据分析系统；急救数据分析系统提供抢救数据复盘、分析工具。</w:t>
            </w:r>
          </w:p>
          <w:p w14:paraId="35B0223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24.</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培训模式，包含CPR操作培训、抢救操作培训；可提供培训考核系统，</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多台设备同时接入进行在线培训、考核。</w:t>
            </w:r>
          </w:p>
          <w:p w14:paraId="70D7714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25.心电波形速度</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50 mm/s、25 mm/s、12.5 mm/s、6.25 mm/s。阻抗呼吸和呼吸末二氧化碳波形速度支持25 mm/s、12.5 mm/s、6.25 mm/s。血氧饱和度波形速度</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25 mm/s、12.5 mm/s。</w:t>
            </w:r>
          </w:p>
          <w:p w14:paraId="53ACC77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26.通过心电电极片可监测的心律失常分析种类≥27种。</w:t>
            </w:r>
          </w:p>
          <w:p w14:paraId="7D3E166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27.</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ST/QT实时分析。</w:t>
            </w:r>
          </w:p>
          <w:p w14:paraId="4558125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28.阻抗呼吸率范围：0-200rpm。</w:t>
            </w:r>
          </w:p>
          <w:p w14:paraId="1AD0806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29.可选配监护功能：血氧饱和度、无创血压、呼吸末二氧化碳。</w:t>
            </w:r>
          </w:p>
          <w:p w14:paraId="3F9EF41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30.提供的监护参数适用于成人，小儿和新生儿，并通过国家三类注册、。</w:t>
            </w:r>
          </w:p>
          <w:p w14:paraId="6F61289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31.脉率范围：20-300bpm。</w:t>
            </w:r>
          </w:p>
          <w:p w14:paraId="7CBDA4B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32.无创血压收缩压测量范围：25-290mmHg（成人）、25-240mmHg（小儿）、25-140mmHg（新生儿），舒张压测量范围：10-250mmHg（成人）、10-200mmHg（小儿），10-115mmHg（新生儿）。</w:t>
            </w:r>
          </w:p>
          <w:p w14:paraId="5026B84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33.可根据病人类型自动切换除颤默认能量、CPR提示和参数报警限。</w:t>
            </w:r>
          </w:p>
          <w:p w14:paraId="7F964DA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34.</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连接中央站，与科室床旁监护仪共用监护网络。</w:t>
            </w:r>
          </w:p>
          <w:p w14:paraId="5940CBC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35.</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通过中央站远程修改病人信息和系统时间同步。</w:t>
            </w:r>
          </w:p>
          <w:p w14:paraId="4784550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36.</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提供IHE HL7协议，满足院前院内急救系统的联网通信。</w:t>
            </w:r>
          </w:p>
          <w:p w14:paraId="1AB49DA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37.标配1块外置锂电池，支持200J除颤≥300次。</w:t>
            </w:r>
          </w:p>
          <w:p w14:paraId="28CD9B0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38.具备生理报警和技术报警功能，通过声音、文字和灯光3种方式进行报警。</w:t>
            </w:r>
          </w:p>
          <w:p w14:paraId="7BAAA97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39.配置50mm记录纸记录仪，可同时打印不少于3通道波形；自动打印除颤记录，单次波形记录时间最大不小于30s；</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连续波形记录。</w:t>
            </w:r>
          </w:p>
          <w:p w14:paraId="5926C10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40.可存储120小时连续ECG波形，数据可导出至电脑查看。</w:t>
            </w:r>
          </w:p>
          <w:p w14:paraId="41E1F82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41.关机状态下设备支持每天定时自动运行自检（含监护模块和治疗模块），</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定期自动大能量自检（最大放电能量）。</w:t>
            </w:r>
          </w:p>
          <w:p w14:paraId="392B808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42.</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设备状态指示灯用户检测。</w:t>
            </w:r>
          </w:p>
          <w:p w14:paraId="1C5E8AE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43.设备自检后支持对于自检报告进行自动打印或按需打印。</w:t>
            </w:r>
          </w:p>
          <w:p w14:paraId="3038AE7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44.</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自检放电能量精度显示和打印。</w:t>
            </w:r>
          </w:p>
          <w:p w14:paraId="669B1DD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45.自检报告可自动发送至中央站，</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除颤设备状态集中查看。</w:t>
            </w:r>
          </w:p>
          <w:p w14:paraId="4E4F006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46.防尘防水级别IP55。</w:t>
            </w:r>
          </w:p>
          <w:p w14:paraId="57A872F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47.具备抗跌落性能，满足救护车标准EN1789 中6.3.4.3 </w:t>
            </w:r>
          </w:p>
        </w:tc>
        <w:tc>
          <w:tcPr>
            <w:tcW w:w="773" w:type="dxa"/>
            <w:noWrap w:val="0"/>
            <w:vAlign w:val="center"/>
          </w:tcPr>
          <w:p w14:paraId="0773BE5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0CE4062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1EBD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2180C276">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51</w:t>
            </w:r>
          </w:p>
        </w:tc>
        <w:tc>
          <w:tcPr>
            <w:tcW w:w="884" w:type="dxa"/>
            <w:noWrap w:val="0"/>
            <w:vAlign w:val="center"/>
          </w:tcPr>
          <w:p w14:paraId="4C954D79">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心电监护仪</w:t>
            </w:r>
          </w:p>
        </w:tc>
        <w:tc>
          <w:tcPr>
            <w:tcW w:w="6428" w:type="dxa"/>
            <w:noWrap w:val="0"/>
            <w:vAlign w:val="center"/>
          </w:tcPr>
          <w:p w14:paraId="162EAB5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病人监护仪招标参数</w:t>
            </w:r>
          </w:p>
          <w:p w14:paraId="2A38BCA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整机要求：</w:t>
            </w:r>
          </w:p>
          <w:p w14:paraId="3D40ADE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1.便携一体式监护仪</w:t>
            </w:r>
          </w:p>
          <w:p w14:paraId="2CFA80E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2.≥12英寸彩色液晶触摸屏，分辨率≥1280*800，≥10通道波形显示</w:t>
            </w:r>
          </w:p>
          <w:p w14:paraId="6890BA5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3.屏幕标配电容屏非电阻屏</w:t>
            </w:r>
          </w:p>
          <w:p w14:paraId="5BBE45F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4.配锂电池</w:t>
            </w:r>
            <w:r>
              <w:rPr>
                <w:rFonts w:hint="eastAsia" w:ascii="宋体" w:hAnsi="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工作时间≥9小时。</w:t>
            </w:r>
          </w:p>
          <w:p w14:paraId="01D085A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5.安全规格：ECG, TEMP, SpO2 , NIBP监测参数抗电击程度为防除颤CF型。</w:t>
            </w:r>
          </w:p>
          <w:p w14:paraId="45503D8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6.监护仪设计使用年限≥10年。</w:t>
            </w:r>
          </w:p>
          <w:p w14:paraId="3BA8ED7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7.主机防水等级≥IPX1，支持0.75米抗跌落。</w:t>
            </w:r>
          </w:p>
          <w:p w14:paraId="476709A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8.消毒剂≥7种。</w:t>
            </w:r>
          </w:p>
          <w:p w14:paraId="5B650AF4">
            <w:pPr>
              <w:pStyle w:val="2"/>
              <w:rPr>
                <w:rFonts w:hint="eastAsia"/>
                <w:lang w:eastAsia="zh-CN"/>
              </w:rPr>
            </w:pPr>
          </w:p>
          <w:p w14:paraId="3CC890A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监测参数：</w:t>
            </w:r>
          </w:p>
          <w:p w14:paraId="63750E1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1</w:t>
            </w:r>
            <w:r>
              <w:rPr>
                <w:rFonts w:hint="eastAsia" w:ascii="宋体" w:hAnsi="宋体" w:eastAsia="宋体" w:cs="Times New Roman"/>
                <w:bCs/>
                <w:color w:val="auto"/>
                <w:spacing w:val="-2"/>
                <w:sz w:val="21"/>
                <w:szCs w:val="21"/>
                <w:highlight w:val="none"/>
              </w:rPr>
              <w:t>.标准配置可监测心电，呼吸，无创血压，血氧饱和度，脉搏和体温，适用于成人、小儿和新生儿。</w:t>
            </w:r>
          </w:p>
          <w:p w14:paraId="3F55DE3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2</w:t>
            </w:r>
            <w:r>
              <w:rPr>
                <w:rFonts w:hint="eastAsia" w:ascii="宋体" w:hAnsi="宋体" w:eastAsia="宋体" w:cs="Times New Roman"/>
                <w:bCs/>
                <w:color w:val="auto"/>
                <w:spacing w:val="-2"/>
                <w:sz w:val="21"/>
                <w:szCs w:val="21"/>
                <w:highlight w:val="none"/>
              </w:rPr>
              <w:t>.具备智能导联脱落监测功能，个别导联脱落的情况下仍能保持监护。</w:t>
            </w:r>
          </w:p>
          <w:p w14:paraId="410B653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3.提供QRS阈值调节功能，为避免R波幅度较低时误报停搏报警，以及某些高T波和高P被误识别为QRS波群。</w:t>
            </w:r>
          </w:p>
          <w:p w14:paraId="45EFC6D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4.心率监测范围：成人10～300bpm，小儿/新生儿：10～350bpm15.</w:t>
            </w:r>
            <w:r>
              <w:rPr>
                <w:rFonts w:hint="eastAsia" w:ascii="宋体" w:hAnsi="宋体" w:eastAsia="宋体" w:cs="Times New Roman"/>
                <w:bCs/>
                <w:color w:val="auto"/>
                <w:spacing w:val="-2"/>
                <w:sz w:val="21"/>
                <w:szCs w:val="21"/>
                <w:highlight w:val="none"/>
                <w:lang w:eastAsia="zh-CN"/>
              </w:rPr>
              <w:t>可</w:t>
            </w:r>
            <w:r>
              <w:rPr>
                <w:rFonts w:hint="eastAsia" w:ascii="宋体" w:hAnsi="宋体" w:eastAsia="宋体" w:cs="Times New Roman"/>
                <w:bCs/>
                <w:color w:val="auto"/>
                <w:spacing w:val="-2"/>
                <w:sz w:val="21"/>
                <w:szCs w:val="21"/>
                <w:highlight w:val="none"/>
              </w:rPr>
              <w:t>提供过去24小时心电概览报告查看与打印，包括心率统计结果，起搏统计结果，心律失常统计结果，ST统计和QT/QTc统计结果。</w:t>
            </w:r>
          </w:p>
          <w:p w14:paraId="703EB54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rPr>
              <w:t>.提供SpO2和PR的实时监测，适用于成人，小儿</w:t>
            </w:r>
            <w:r>
              <w:rPr>
                <w:rFonts w:hint="eastAsia" w:ascii="宋体" w:hAnsi="宋体" w:eastAsia="宋体" w:cs="Times New Roman"/>
                <w:bCs/>
                <w:strike w:val="0"/>
                <w:color w:val="auto"/>
                <w:spacing w:val="-2"/>
                <w:sz w:val="21"/>
                <w:szCs w:val="21"/>
                <w:highlight w:val="none"/>
              </w:rPr>
              <w:t>和新生儿</w:t>
            </w:r>
            <w:r>
              <w:rPr>
                <w:rFonts w:hint="eastAsia" w:ascii="宋体" w:hAnsi="宋体" w:eastAsia="宋体" w:cs="Times New Roman"/>
                <w:bCs/>
                <w:color w:val="auto"/>
                <w:spacing w:val="-2"/>
                <w:sz w:val="21"/>
                <w:szCs w:val="21"/>
                <w:highlight w:val="none"/>
              </w:rPr>
              <w:t>。来自SpO2的PR测量范围：20-300。</w:t>
            </w:r>
          </w:p>
          <w:p w14:paraId="02A4DC7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rPr>
              <w:t>.提供手动，自动，连续、序列和整点5种测量模式。</w:t>
            </w:r>
          </w:p>
          <w:p w14:paraId="69C224E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7</w:t>
            </w:r>
            <w:r>
              <w:rPr>
                <w:rFonts w:hint="eastAsia" w:ascii="宋体" w:hAnsi="宋体" w:eastAsia="宋体" w:cs="Times New Roman"/>
                <w:bCs/>
                <w:color w:val="auto"/>
                <w:spacing w:val="-2"/>
                <w:sz w:val="21"/>
                <w:szCs w:val="21"/>
                <w:highlight w:val="none"/>
              </w:rPr>
              <w:t>.配置无创血压测量，适用于成人，小儿。无创血压成人测量范围：</w:t>
            </w:r>
            <w:r>
              <w:rPr>
                <w:rFonts w:hint="eastAsia" w:ascii="宋体" w:hAnsi="宋体" w:eastAsia="宋体" w:cs="Times New Roman"/>
                <w:bCs/>
                <w:color w:val="auto"/>
                <w:spacing w:val="-2"/>
                <w:sz w:val="21"/>
                <w:szCs w:val="21"/>
                <w:highlight w:val="none"/>
                <w:lang w:val="en-US" w:eastAsia="zh-CN"/>
              </w:rPr>
              <w:t>30</w:t>
            </w:r>
            <w:r>
              <w:rPr>
                <w:rFonts w:hint="eastAsia" w:ascii="宋体" w:hAnsi="宋体" w:eastAsia="宋体" w:cs="Times New Roman"/>
                <w:bCs/>
                <w:color w:val="auto"/>
                <w:spacing w:val="-2"/>
                <w:sz w:val="21"/>
                <w:szCs w:val="21"/>
                <w:highlight w:val="none"/>
              </w:rPr>
              <w:t>~2</w:t>
            </w:r>
            <w:r>
              <w:rPr>
                <w:rFonts w:hint="eastAsia" w:ascii="宋体" w:hAnsi="宋体" w:eastAsia="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rPr>
              <w:t>0mmH。</w:t>
            </w:r>
          </w:p>
          <w:p w14:paraId="186B617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rPr>
              <w:t>.提供动态血压分析界面，包括平均血压、白天平均血压、夜间平均血压、最高血压、最低血压和正常血压比例等过去24小时患者血压变化和分布情况。</w:t>
            </w:r>
          </w:p>
          <w:p w14:paraId="1EED12E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9</w:t>
            </w:r>
            <w:r>
              <w:rPr>
                <w:rFonts w:hint="eastAsia" w:ascii="宋体" w:hAnsi="宋体" w:eastAsia="宋体" w:cs="Times New Roman"/>
                <w:bCs/>
                <w:color w:val="auto"/>
                <w:spacing w:val="-2"/>
                <w:sz w:val="21"/>
                <w:szCs w:val="21"/>
                <w:highlight w:val="none"/>
              </w:rPr>
              <w:t>.提供呼吸测量，适用于成人、小儿和新生儿。呼吸测量范围：1-200 rpm。</w:t>
            </w:r>
          </w:p>
          <w:p w14:paraId="40D21A1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系统功能：</w:t>
            </w:r>
          </w:p>
          <w:p w14:paraId="77F1614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1</w:t>
            </w:r>
            <w:r>
              <w:rPr>
                <w:rFonts w:hint="eastAsia" w:ascii="宋体" w:hAnsi="宋体" w:eastAsia="宋体" w:cs="Times New Roman"/>
                <w:bCs/>
                <w:color w:val="auto"/>
                <w:spacing w:val="-2"/>
                <w:sz w:val="21"/>
                <w:szCs w:val="21"/>
                <w:highlight w:val="none"/>
              </w:rPr>
              <w:t>.具有声光报警，参数报警级别可调。</w:t>
            </w:r>
          </w:p>
          <w:p w14:paraId="7D23C5A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2</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动画与图文</w:t>
            </w:r>
            <w:r>
              <w:rPr>
                <w:rFonts w:hint="eastAsia" w:ascii="宋体" w:hAnsi="宋体" w:eastAsia="宋体" w:cs="Times New Roman"/>
                <w:bCs/>
                <w:color w:val="auto"/>
                <w:spacing w:val="-2"/>
                <w:sz w:val="21"/>
                <w:szCs w:val="21"/>
                <w:highlight w:val="none"/>
                <w:lang w:val="en-US" w:eastAsia="zh-CN"/>
              </w:rPr>
              <w:t>结合的</w:t>
            </w:r>
            <w:r>
              <w:rPr>
                <w:rFonts w:hint="eastAsia" w:ascii="宋体" w:hAnsi="宋体" w:eastAsia="宋体" w:cs="Times New Roman"/>
                <w:bCs/>
                <w:color w:val="auto"/>
                <w:spacing w:val="-2"/>
                <w:sz w:val="21"/>
                <w:szCs w:val="21"/>
                <w:highlight w:val="none"/>
              </w:rPr>
              <w:t>自主培训功能。</w:t>
            </w:r>
          </w:p>
          <w:p w14:paraId="030FEF0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3</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所有监测参数报警限一键自动设置功能。</w:t>
            </w:r>
          </w:p>
          <w:p w14:paraId="00C214D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4</w:t>
            </w:r>
            <w:r>
              <w:rPr>
                <w:rFonts w:hint="eastAsia" w:ascii="宋体" w:hAnsi="宋体" w:eastAsia="宋体" w:cs="Times New Roman"/>
                <w:bCs/>
                <w:color w:val="auto"/>
                <w:spacing w:val="-2"/>
                <w:sz w:val="21"/>
                <w:szCs w:val="21"/>
                <w:highlight w:val="none"/>
              </w:rPr>
              <w:t>.具有图形化技术报警指示功能</w:t>
            </w:r>
          </w:p>
          <w:p w14:paraId="453860E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5</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USB外部存储</w:t>
            </w:r>
            <w:r>
              <w:rPr>
                <w:rFonts w:hint="eastAsia" w:ascii="宋体" w:hAnsi="宋体" w:eastAsia="宋体" w:cs="Times New Roman"/>
                <w:bCs/>
                <w:color w:val="auto"/>
                <w:spacing w:val="-2"/>
                <w:sz w:val="21"/>
                <w:szCs w:val="21"/>
                <w:highlight w:val="none"/>
                <w:lang w:eastAsia="zh-CN"/>
              </w:rPr>
              <w:t>功能</w:t>
            </w:r>
            <w:r>
              <w:rPr>
                <w:rFonts w:hint="eastAsia" w:ascii="宋体" w:hAnsi="宋体" w:eastAsia="宋体" w:cs="Times New Roman"/>
                <w:bCs/>
                <w:color w:val="auto"/>
                <w:spacing w:val="-2"/>
                <w:sz w:val="21"/>
                <w:szCs w:val="21"/>
                <w:highlight w:val="none"/>
              </w:rPr>
              <w:t>，支持≥2400小时趋势数据的存储与回顾功能，支持≥5000组无创血压测量记录，≥120小时全息波形的存储与回顾功能</w:t>
            </w:r>
          </w:p>
          <w:p w14:paraId="7E98AA1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rPr>
              <w:t>.具备监护模式、待机模式，演示模式和夜间模式,可选隐私模式。</w:t>
            </w:r>
          </w:p>
          <w:p w14:paraId="74436A6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7</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格拉斯哥昏迷评分（GCS）功能</w:t>
            </w:r>
          </w:p>
          <w:p w14:paraId="7DA514E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rPr>
              <w:t>.动态趋势界面可支持统计1-24小时心律失常报警、参数超限报警信息，并对超限报警区间的波形进行高亮显示。</w:t>
            </w:r>
          </w:p>
          <w:p w14:paraId="17899AC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9</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带ABD事件的呼吸氧合界面。</w:t>
            </w:r>
          </w:p>
          <w:p w14:paraId="379A5BE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RJ45接口进行有线网络通信，和除颤监护仪一起联网通信到中心监护系统。</w:t>
            </w:r>
          </w:p>
          <w:p w14:paraId="54224BC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11</w:t>
            </w:r>
            <w:r>
              <w:rPr>
                <w:rFonts w:hint="eastAsia" w:ascii="宋体" w:hAnsi="宋体" w:eastAsia="宋体" w:cs="Times New Roman"/>
                <w:bCs/>
                <w:color w:val="auto"/>
                <w:spacing w:val="-2"/>
                <w:sz w:val="21"/>
                <w:szCs w:val="21"/>
                <w:highlight w:val="none"/>
              </w:rPr>
              <w:t>.</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监护仪的系统日志向U盘设备的导出功能，日志包括：系统状态、异常和技术报警等，</w:t>
            </w:r>
          </w:p>
          <w:p w14:paraId="067C1BB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cs="Times New Roman"/>
                <w:bCs/>
                <w:color w:val="auto"/>
                <w:spacing w:val="-2"/>
                <w:sz w:val="21"/>
                <w:szCs w:val="21"/>
                <w:highlight w:val="none"/>
                <w:lang w:val="en-US" w:eastAsia="zh-CN"/>
              </w:rPr>
              <w:t>12</w:t>
            </w:r>
            <w:r>
              <w:rPr>
                <w:rFonts w:hint="eastAsia" w:ascii="宋体" w:hAnsi="宋体" w:eastAsia="宋体" w:cs="Times New Roman"/>
                <w:bCs/>
                <w:color w:val="auto"/>
                <w:spacing w:val="-2"/>
                <w:sz w:val="21"/>
                <w:szCs w:val="21"/>
                <w:highlight w:val="none"/>
              </w:rPr>
              <w:t>.主机集成附件收纳箱，支持将心电、血氧和无创血压等导联线附件进行收纳放置。</w:t>
            </w:r>
          </w:p>
        </w:tc>
        <w:tc>
          <w:tcPr>
            <w:tcW w:w="773" w:type="dxa"/>
            <w:noWrap w:val="0"/>
            <w:vAlign w:val="center"/>
          </w:tcPr>
          <w:p w14:paraId="2347F41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F822572">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5FC6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20" w:type="dxa"/>
            <w:noWrap w:val="0"/>
            <w:vAlign w:val="center"/>
          </w:tcPr>
          <w:p w14:paraId="34A50F49">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52</w:t>
            </w:r>
          </w:p>
        </w:tc>
        <w:tc>
          <w:tcPr>
            <w:tcW w:w="884" w:type="dxa"/>
            <w:noWrap w:val="0"/>
            <w:vAlign w:val="center"/>
          </w:tcPr>
          <w:p w14:paraId="6A0AD4B4">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排痰机</w:t>
            </w:r>
          </w:p>
        </w:tc>
        <w:tc>
          <w:tcPr>
            <w:tcW w:w="6428" w:type="dxa"/>
            <w:noWrap w:val="0"/>
            <w:vAlign w:val="center"/>
          </w:tcPr>
          <w:p w14:paraId="603BF3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设备用途：</w:t>
            </w:r>
            <w:r>
              <w:rPr>
                <w:rFonts w:hint="eastAsia" w:ascii="宋体" w:hAnsi="宋体"/>
                <w:color w:val="auto"/>
                <w:szCs w:val="21"/>
                <w:highlight w:val="none"/>
              </w:rPr>
              <w:t>协助术后或体弱患者增强排除呼吸系统痰液等分泌物</w:t>
            </w:r>
          </w:p>
          <w:p w14:paraId="4E6BBC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rPr>
              <w:t>2.结构形式：</w:t>
            </w:r>
            <w:r>
              <w:rPr>
                <w:rFonts w:hint="eastAsia" w:ascii="宋体" w:hAnsi="宋体"/>
                <w:color w:val="auto"/>
                <w:szCs w:val="21"/>
                <w:highlight w:val="none"/>
              </w:rPr>
              <w:t>双路成人儿童落地推车式</w:t>
            </w:r>
          </w:p>
          <w:p w14:paraId="33BFCE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3.</w:t>
            </w:r>
            <w:r>
              <w:rPr>
                <w:rFonts w:hint="eastAsia" w:ascii="宋体" w:hAnsi="宋体"/>
                <w:color w:val="auto"/>
                <w:szCs w:val="21"/>
                <w:highlight w:val="none"/>
              </w:rPr>
              <w:t>外形采用ABS工程塑料机箱，采用一次出模成型。</w:t>
            </w:r>
          </w:p>
          <w:p w14:paraId="1490F7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显示方式:</w:t>
            </w:r>
            <w:r>
              <w:rPr>
                <w:rFonts w:hint="eastAsia" w:ascii="宋体" w:hAnsi="宋体"/>
                <w:color w:val="auto"/>
                <w:szCs w:val="21"/>
                <w:highlight w:val="none"/>
              </w:rPr>
              <w:t>全电脑控制液晶显示，中文菜单操作。</w:t>
            </w:r>
          </w:p>
          <w:p w14:paraId="769932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5</w:t>
            </w:r>
            <w:r>
              <w:rPr>
                <w:rFonts w:hint="eastAsia" w:ascii="宋体" w:hAnsi="宋体"/>
                <w:b/>
                <w:bCs/>
                <w:color w:val="auto"/>
                <w:szCs w:val="21"/>
                <w:highlight w:val="none"/>
              </w:rPr>
              <w:t>.操作方式</w:t>
            </w:r>
            <w:r>
              <w:rPr>
                <w:rFonts w:hint="eastAsia" w:ascii="宋体" w:hAnsi="宋体"/>
                <w:b/>
                <w:bCs/>
                <w:color w:val="auto"/>
                <w:szCs w:val="21"/>
                <w:highlight w:val="none"/>
                <w:lang w:val="en-US" w:eastAsia="zh-CN"/>
              </w:rPr>
              <w:t>:</w:t>
            </w:r>
            <w:r>
              <w:rPr>
                <w:rFonts w:hint="eastAsia" w:ascii="宋体" w:hAnsi="宋体"/>
                <w:color w:val="auto"/>
                <w:szCs w:val="21"/>
                <w:highlight w:val="none"/>
              </w:rPr>
              <w:t>采用一键飞梭的旋钮操作方式。</w:t>
            </w:r>
          </w:p>
          <w:p w14:paraId="30D791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6.操作模式：</w:t>
            </w:r>
            <w:r>
              <w:rPr>
                <w:rFonts w:hint="eastAsia" w:ascii="宋体" w:hAnsi="宋体"/>
                <w:color w:val="auto"/>
                <w:szCs w:val="21"/>
                <w:highlight w:val="none"/>
              </w:rPr>
              <w:t>分为手动操作模式和自动操作模式。手动模式可根据患者需求设定治疗功率。</w:t>
            </w:r>
          </w:p>
          <w:p w14:paraId="1983A5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olor w:val="auto"/>
                <w:szCs w:val="21"/>
                <w:highlight w:val="none"/>
                <w:lang w:eastAsia="zh-CN"/>
              </w:rPr>
            </w:pPr>
            <w:r>
              <w:rPr>
                <w:rFonts w:hint="eastAsia" w:ascii="宋体" w:hAnsi="宋体"/>
                <w:b/>
                <w:bCs/>
                <w:color w:val="auto"/>
                <w:szCs w:val="21"/>
                <w:highlight w:val="none"/>
                <w:lang w:val="en-US" w:eastAsia="zh-CN"/>
              </w:rPr>
              <w:t>7.</w:t>
            </w:r>
            <w:r>
              <w:rPr>
                <w:rFonts w:hint="eastAsia" w:ascii="宋体" w:hAnsi="宋体"/>
                <w:b/>
                <w:bCs/>
                <w:color w:val="auto"/>
                <w:szCs w:val="21"/>
                <w:highlight w:val="none"/>
              </w:rPr>
              <w:t>四种自动程序模式</w:t>
            </w:r>
            <w:r>
              <w:rPr>
                <w:rFonts w:hint="eastAsia" w:ascii="宋体" w:hAnsi="宋体"/>
                <w:b/>
                <w:bCs/>
                <w:color w:val="auto"/>
                <w:szCs w:val="21"/>
                <w:highlight w:val="none"/>
                <w:lang w:eastAsia="zh-CN"/>
              </w:rPr>
              <w:t>：</w:t>
            </w:r>
            <w:r>
              <w:rPr>
                <w:rFonts w:hint="eastAsia" w:ascii="宋体" w:hAnsi="宋体"/>
                <w:color w:val="auto"/>
                <w:szCs w:val="21"/>
                <w:highlight w:val="none"/>
              </w:rPr>
              <w:t>轻柔、标准、加强、超强模式。自动程序模式直接由电脑自动控制</w:t>
            </w:r>
            <w:r>
              <w:rPr>
                <w:rFonts w:hint="eastAsia" w:ascii="宋体" w:hAnsi="宋体"/>
                <w:color w:val="auto"/>
                <w:szCs w:val="21"/>
                <w:highlight w:val="none"/>
                <w:lang w:eastAsia="zh-CN"/>
              </w:rPr>
              <w:t>。</w:t>
            </w:r>
          </w:p>
          <w:p w14:paraId="477810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8.</w:t>
            </w:r>
            <w:r>
              <w:rPr>
                <w:rFonts w:hint="eastAsia" w:ascii="宋体" w:hAnsi="宋体"/>
                <w:color w:val="auto"/>
                <w:szCs w:val="21"/>
                <w:highlight w:val="none"/>
              </w:rPr>
              <w:t>震动幅度</w:t>
            </w:r>
            <w:r>
              <w:rPr>
                <w:rFonts w:hint="eastAsia" w:ascii="宋体" w:hAnsi="宋体"/>
                <w:color w:val="auto"/>
                <w:szCs w:val="21"/>
                <w:highlight w:val="none"/>
                <w:lang w:val="en-US" w:eastAsia="zh-CN"/>
              </w:rPr>
              <w:t>≥</w:t>
            </w:r>
            <w:r>
              <w:rPr>
                <w:rFonts w:hint="eastAsia" w:ascii="宋体" w:hAnsi="宋体"/>
                <w:color w:val="auto"/>
                <w:szCs w:val="21"/>
                <w:highlight w:val="none"/>
              </w:rPr>
              <w:t>7mm。</w:t>
            </w:r>
          </w:p>
          <w:p w14:paraId="2D3F73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9.</w:t>
            </w:r>
            <w:r>
              <w:rPr>
                <w:rFonts w:hint="eastAsia" w:ascii="宋体" w:hAnsi="宋体"/>
                <w:b/>
                <w:bCs/>
                <w:color w:val="auto"/>
                <w:szCs w:val="21"/>
                <w:highlight w:val="none"/>
              </w:rPr>
              <w:t>动力头外径尺寸：</w:t>
            </w:r>
            <w:r>
              <w:rPr>
                <w:rFonts w:hint="eastAsia" w:ascii="宋体" w:hAnsi="宋体"/>
                <w:color w:val="auto"/>
                <w:szCs w:val="21"/>
                <w:highlight w:val="none"/>
              </w:rPr>
              <w:t>成人型传动动力头直径90mm±2mm</w:t>
            </w:r>
            <w:r>
              <w:rPr>
                <w:rFonts w:hint="eastAsia" w:ascii="宋体" w:hAnsi="宋体"/>
                <w:color w:val="auto"/>
                <w:szCs w:val="21"/>
                <w:highlight w:val="none"/>
                <w:lang w:eastAsia="zh-CN"/>
              </w:rPr>
              <w:t>；</w:t>
            </w:r>
            <w:r>
              <w:rPr>
                <w:rFonts w:hint="eastAsia" w:ascii="宋体" w:hAnsi="宋体"/>
                <w:color w:val="auto"/>
                <w:szCs w:val="21"/>
                <w:highlight w:val="none"/>
              </w:rPr>
              <w:t>儿童型传动动力头直径47mm±2mm</w:t>
            </w:r>
          </w:p>
          <w:p w14:paraId="3315DD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lang w:eastAsia="zh-CN"/>
              </w:rPr>
            </w:pPr>
            <w:r>
              <w:rPr>
                <w:rFonts w:hint="eastAsia" w:ascii="宋体" w:hAnsi="宋体"/>
                <w:b/>
                <w:bCs/>
                <w:color w:val="auto"/>
                <w:szCs w:val="21"/>
                <w:highlight w:val="none"/>
                <w:lang w:val="en-US" w:eastAsia="zh-CN"/>
              </w:rPr>
              <w:t>10.</w:t>
            </w:r>
            <w:r>
              <w:rPr>
                <w:rFonts w:hint="eastAsia" w:ascii="宋体" w:hAnsi="宋体"/>
                <w:color w:val="auto"/>
                <w:szCs w:val="21"/>
                <w:highlight w:val="none"/>
              </w:rPr>
              <w:t>操作过程中手柄可以360度自由转动</w:t>
            </w:r>
            <w:r>
              <w:rPr>
                <w:rFonts w:hint="eastAsia" w:ascii="宋体" w:hAnsi="宋体"/>
                <w:color w:val="auto"/>
                <w:szCs w:val="21"/>
                <w:highlight w:val="none"/>
                <w:lang w:eastAsia="zh-CN"/>
              </w:rPr>
              <w:t>。</w:t>
            </w:r>
          </w:p>
          <w:p w14:paraId="70769E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11.</w:t>
            </w:r>
            <w:r>
              <w:rPr>
                <w:rFonts w:hint="eastAsia" w:ascii="宋体" w:hAnsi="宋体"/>
                <w:color w:val="auto"/>
                <w:szCs w:val="21"/>
                <w:highlight w:val="none"/>
              </w:rPr>
              <w:t>治疗软轴可以自由插拔。</w:t>
            </w:r>
          </w:p>
          <w:p w14:paraId="5FE283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12.</w:t>
            </w:r>
            <w:r>
              <w:rPr>
                <w:rFonts w:hint="eastAsia" w:ascii="宋体" w:hAnsi="宋体"/>
                <w:color w:val="auto"/>
                <w:szCs w:val="21"/>
                <w:highlight w:val="none"/>
              </w:rPr>
              <w:t>传动软轴长度</w:t>
            </w:r>
            <w:r>
              <w:rPr>
                <w:rFonts w:hint="eastAsia" w:ascii="宋体" w:hAnsi="宋体"/>
                <w:color w:val="auto"/>
                <w:szCs w:val="21"/>
                <w:highlight w:val="none"/>
                <w:lang w:eastAsia="zh-CN"/>
              </w:rPr>
              <w:t>：≥</w:t>
            </w:r>
            <w:r>
              <w:rPr>
                <w:rFonts w:hint="eastAsia" w:ascii="宋体" w:hAnsi="宋体"/>
                <w:color w:val="auto"/>
                <w:szCs w:val="21"/>
                <w:highlight w:val="none"/>
              </w:rPr>
              <w:t>1.8m</w:t>
            </w:r>
          </w:p>
          <w:p w14:paraId="0F01E8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13</w:t>
            </w:r>
            <w:r>
              <w:rPr>
                <w:rFonts w:hint="eastAsia" w:ascii="宋体" w:hAnsi="宋体"/>
                <w:b/>
                <w:bCs/>
                <w:color w:val="auto"/>
                <w:szCs w:val="21"/>
                <w:highlight w:val="none"/>
              </w:rPr>
              <w:t>.电机</w:t>
            </w:r>
            <w:r>
              <w:rPr>
                <w:rFonts w:hint="eastAsia" w:ascii="宋体" w:hAnsi="宋体"/>
                <w:b/>
                <w:bCs/>
                <w:color w:val="auto"/>
                <w:szCs w:val="21"/>
                <w:highlight w:val="none"/>
                <w:lang w:eastAsia="zh-CN"/>
              </w:rPr>
              <w:t>：</w:t>
            </w:r>
            <w:r>
              <w:rPr>
                <w:rFonts w:hint="eastAsia" w:ascii="宋体" w:hAnsi="宋体"/>
                <w:color w:val="auto"/>
                <w:szCs w:val="21"/>
                <w:highlight w:val="none"/>
              </w:rPr>
              <w:t>稀土永磁低压直流电机，治疗过程中动力无衰减、无卡滞。</w:t>
            </w:r>
          </w:p>
          <w:p w14:paraId="40FDC8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15</w:t>
            </w:r>
            <w:r>
              <w:rPr>
                <w:rFonts w:hint="eastAsia" w:ascii="宋体" w:hAnsi="宋体"/>
                <w:b/>
                <w:bCs/>
                <w:color w:val="auto"/>
                <w:szCs w:val="21"/>
                <w:highlight w:val="none"/>
              </w:rPr>
              <w:t>.输入输出功率</w:t>
            </w:r>
            <w:r>
              <w:rPr>
                <w:rFonts w:hint="eastAsia" w:ascii="宋体" w:hAnsi="宋体"/>
                <w:b/>
                <w:bCs/>
                <w:color w:val="auto"/>
                <w:szCs w:val="21"/>
                <w:highlight w:val="none"/>
                <w:lang w:eastAsia="zh-CN"/>
              </w:rPr>
              <w:t>：</w:t>
            </w:r>
            <w:r>
              <w:rPr>
                <w:rFonts w:hint="eastAsia" w:ascii="宋体" w:hAnsi="宋体"/>
                <w:color w:val="auto"/>
                <w:szCs w:val="21"/>
                <w:highlight w:val="none"/>
              </w:rPr>
              <w:t>采用伺服电路设计，无功率衰减。</w:t>
            </w:r>
          </w:p>
          <w:p w14:paraId="681FF99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16.</w:t>
            </w:r>
            <w:r>
              <w:rPr>
                <w:rFonts w:hint="eastAsia" w:ascii="宋体" w:hAnsi="宋体"/>
                <w:color w:val="auto"/>
                <w:szCs w:val="21"/>
                <w:highlight w:val="none"/>
              </w:rPr>
              <w:t>每路输出可配置5个治疗头。</w:t>
            </w:r>
          </w:p>
          <w:p w14:paraId="7F48BA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b/>
                <w:bCs/>
                <w:color w:val="auto"/>
                <w:szCs w:val="21"/>
                <w:highlight w:val="none"/>
              </w:rPr>
            </w:pPr>
            <w:r>
              <w:rPr>
                <w:rFonts w:hint="eastAsia" w:ascii="宋体" w:hAnsi="宋体"/>
                <w:b/>
                <w:bCs/>
                <w:color w:val="auto"/>
                <w:szCs w:val="21"/>
                <w:highlight w:val="none"/>
              </w:rPr>
              <w:t>成人治疗头5个</w:t>
            </w:r>
          </w:p>
          <w:p w14:paraId="5CA4E9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长方形海绵头1个：长240mm±5mm，宽70mm±5mm；特定型，肋部、肩部等治疗或护理</w:t>
            </w:r>
          </w:p>
          <w:p w14:paraId="61EED1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圆形平面橡胶头1个：直径130mm±5mm；增强型，治疗用</w:t>
            </w:r>
          </w:p>
          <w:p w14:paraId="182A54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圆形海绵头1个：直径90mm±5mm；标准型，治疗或护理用</w:t>
            </w:r>
          </w:p>
          <w:p w14:paraId="19A340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圆形海绵头1个：直径78mm±5mm；柔和型，护理或儿童专用</w:t>
            </w:r>
          </w:p>
          <w:p w14:paraId="347809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圆形海绵头1个：直径68mm±5mm；柔和型，儿童专用</w:t>
            </w:r>
          </w:p>
          <w:p w14:paraId="72A5E5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b/>
                <w:bCs/>
                <w:color w:val="auto"/>
                <w:szCs w:val="21"/>
                <w:highlight w:val="none"/>
              </w:rPr>
            </w:pPr>
            <w:r>
              <w:rPr>
                <w:rFonts w:hint="eastAsia" w:ascii="宋体" w:hAnsi="宋体"/>
                <w:b/>
                <w:bCs/>
                <w:color w:val="auto"/>
                <w:szCs w:val="21"/>
                <w:highlight w:val="none"/>
              </w:rPr>
              <w:t>儿童治疗头5个</w:t>
            </w:r>
          </w:p>
          <w:p w14:paraId="3C4347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圆形海绵头1个：直径78mm±5mm；标准型，护理或儿童专用</w:t>
            </w:r>
          </w:p>
          <w:p w14:paraId="0D732A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圆形海绵头1个：直径68mm±5mm；柔和型，儿童专用</w:t>
            </w:r>
          </w:p>
          <w:p w14:paraId="5EB6D2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圆形海绵头1个：直径58mm±5mm；柔和型，婴幼儿专用</w:t>
            </w:r>
          </w:p>
          <w:p w14:paraId="7025E2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圆形海绵头1个：直径40mm±5mm；柔和型，新生儿专用</w:t>
            </w:r>
          </w:p>
          <w:p w14:paraId="3C2069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圆形橡胶头1个：直径30mm±5mm；适用于婴幼儿与新生儿</w:t>
            </w:r>
          </w:p>
          <w:p w14:paraId="6EC661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rPr>
            </w:pPr>
            <w:r>
              <w:rPr>
                <w:rFonts w:hint="eastAsia" w:ascii="宋体" w:hAnsi="宋体"/>
                <w:b/>
                <w:bCs/>
                <w:color w:val="auto"/>
                <w:szCs w:val="21"/>
                <w:highlight w:val="none"/>
                <w:lang w:val="en-US" w:eastAsia="zh-CN"/>
              </w:rPr>
              <w:t>17</w:t>
            </w:r>
            <w:r>
              <w:rPr>
                <w:rFonts w:hint="eastAsia" w:ascii="宋体" w:hAnsi="宋体"/>
                <w:b/>
                <w:bCs/>
                <w:color w:val="auto"/>
                <w:szCs w:val="21"/>
                <w:highlight w:val="none"/>
              </w:rPr>
              <w:t>.频率范围</w:t>
            </w:r>
            <w:r>
              <w:rPr>
                <w:rFonts w:hint="eastAsia" w:ascii="宋体" w:hAnsi="宋体"/>
                <w:b/>
                <w:bCs/>
                <w:color w:val="auto"/>
                <w:szCs w:val="21"/>
                <w:highlight w:val="none"/>
                <w:lang w:eastAsia="zh-CN"/>
              </w:rPr>
              <w:t>：</w:t>
            </w:r>
            <w:r>
              <w:rPr>
                <w:rFonts w:hint="eastAsia" w:ascii="宋体" w:hAnsi="宋体"/>
                <w:color w:val="auto"/>
                <w:szCs w:val="21"/>
                <w:highlight w:val="none"/>
              </w:rPr>
              <w:t>成人10Hz-60Hz，儿童10Hz-30Hz，频率可调，步距1Hz，误差为±20%。</w:t>
            </w:r>
          </w:p>
          <w:p w14:paraId="354A34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color w:val="auto"/>
                <w:szCs w:val="21"/>
                <w:highlight w:val="none"/>
                <w:lang w:eastAsia="zh-CN"/>
              </w:rPr>
            </w:pPr>
            <w:r>
              <w:rPr>
                <w:rFonts w:hint="eastAsia" w:ascii="宋体" w:hAnsi="宋体"/>
                <w:b/>
                <w:bCs/>
                <w:color w:val="auto"/>
                <w:szCs w:val="21"/>
                <w:highlight w:val="none"/>
              </w:rPr>
              <w:t>1</w:t>
            </w:r>
            <w:r>
              <w:rPr>
                <w:rFonts w:hint="eastAsia" w:ascii="宋体" w:hAnsi="宋体"/>
                <w:b/>
                <w:bCs/>
                <w:color w:val="auto"/>
                <w:szCs w:val="21"/>
                <w:highlight w:val="none"/>
                <w:lang w:val="en-US" w:eastAsia="zh-CN"/>
              </w:rPr>
              <w:t>8</w:t>
            </w:r>
            <w:r>
              <w:rPr>
                <w:rFonts w:hint="eastAsia" w:ascii="宋体" w:hAnsi="宋体"/>
                <w:b/>
                <w:bCs/>
                <w:color w:val="auto"/>
                <w:szCs w:val="21"/>
                <w:highlight w:val="none"/>
              </w:rPr>
              <w:t>.定时时间</w:t>
            </w:r>
            <w:r>
              <w:rPr>
                <w:rFonts w:hint="eastAsia" w:ascii="宋体" w:hAnsi="宋体"/>
                <w:b/>
                <w:bCs/>
                <w:color w:val="auto"/>
                <w:szCs w:val="21"/>
                <w:highlight w:val="none"/>
                <w:lang w:eastAsia="zh-CN"/>
              </w:rPr>
              <w:t>：</w:t>
            </w:r>
            <w:r>
              <w:rPr>
                <w:rFonts w:hint="eastAsia" w:ascii="宋体" w:hAnsi="宋体"/>
                <w:color w:val="auto"/>
                <w:szCs w:val="21"/>
                <w:highlight w:val="none"/>
              </w:rPr>
              <w:t>手动模式定时时间:1min-60min，步距为1min，误差为±1%</w:t>
            </w:r>
            <w:r>
              <w:rPr>
                <w:rFonts w:hint="eastAsia" w:ascii="宋体" w:hAnsi="宋体"/>
                <w:color w:val="auto"/>
                <w:szCs w:val="21"/>
                <w:highlight w:val="none"/>
                <w:lang w:eastAsia="zh-CN"/>
              </w:rPr>
              <w:t>；</w:t>
            </w:r>
          </w:p>
          <w:p w14:paraId="7A55F82E">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Times New Roman"/>
                <w:bCs/>
                <w:color w:val="auto"/>
                <w:spacing w:val="-2"/>
                <w:sz w:val="21"/>
                <w:szCs w:val="21"/>
                <w:highlight w:val="none"/>
                <w:lang w:eastAsia="zh-CN"/>
              </w:rPr>
            </w:pPr>
            <w:r>
              <w:rPr>
                <w:rFonts w:hint="eastAsia" w:ascii="宋体" w:hAnsi="宋体"/>
                <w:color w:val="auto"/>
                <w:szCs w:val="21"/>
                <w:highlight w:val="none"/>
              </w:rPr>
              <w:t>自动模式定时时间分四档:5min、10min、15min、20min，误差为±1%</w:t>
            </w:r>
            <w:r>
              <w:rPr>
                <w:rFonts w:hint="eastAsia" w:ascii="宋体" w:hAnsi="宋体"/>
                <w:color w:val="auto"/>
                <w:szCs w:val="21"/>
                <w:highlight w:val="none"/>
                <w:lang w:eastAsia="zh-CN"/>
              </w:rPr>
              <w:t>。</w:t>
            </w:r>
          </w:p>
        </w:tc>
        <w:tc>
          <w:tcPr>
            <w:tcW w:w="773" w:type="dxa"/>
            <w:noWrap w:val="0"/>
            <w:vAlign w:val="center"/>
          </w:tcPr>
          <w:p w14:paraId="4B12A61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09283DB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57FE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720" w:type="dxa"/>
            <w:noWrap w:val="0"/>
            <w:vAlign w:val="center"/>
          </w:tcPr>
          <w:p w14:paraId="049F54FE">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53</w:t>
            </w:r>
          </w:p>
        </w:tc>
        <w:tc>
          <w:tcPr>
            <w:tcW w:w="884" w:type="dxa"/>
            <w:noWrap w:val="0"/>
            <w:vAlign w:val="center"/>
          </w:tcPr>
          <w:p w14:paraId="242E9405">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冷藏柜</w:t>
            </w:r>
          </w:p>
        </w:tc>
        <w:tc>
          <w:tcPr>
            <w:tcW w:w="6428" w:type="dxa"/>
            <w:noWrap w:val="0"/>
            <w:vAlign w:val="center"/>
          </w:tcPr>
          <w:p w14:paraId="43D083B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医用冷藏箱主要技术参数</w:t>
            </w:r>
          </w:p>
          <w:p w14:paraId="7D3126B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一、技术性能参数</w:t>
            </w:r>
          </w:p>
          <w:p w14:paraId="6B7BA36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1、样式：立式、单门，可调节浸塑搁架设计，</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四个</w:t>
            </w:r>
          </w:p>
          <w:p w14:paraId="3EB511C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2、容积：≥23</w:t>
            </w:r>
            <w:r>
              <w:rPr>
                <w:rFonts w:hint="eastAsia" w:ascii="宋体" w:hAnsi="宋体" w:eastAsia="宋体" w:cs="Times New Roman"/>
                <w:bCs/>
                <w:color w:val="auto"/>
                <w:spacing w:val="-2"/>
                <w:sz w:val="21"/>
                <w:szCs w:val="21"/>
                <w:highlight w:val="none"/>
                <w:lang w:eastAsia="zh-CN"/>
              </w:rPr>
              <w:t>0</w:t>
            </w:r>
            <w:r>
              <w:rPr>
                <w:rFonts w:hint="eastAsia" w:ascii="宋体" w:hAnsi="宋体" w:eastAsia="宋体" w:cs="Times New Roman"/>
                <w:bCs/>
                <w:color w:val="auto"/>
                <w:spacing w:val="-2"/>
                <w:sz w:val="21"/>
                <w:szCs w:val="21"/>
                <w:highlight w:val="none"/>
              </w:rPr>
              <w:t>L</w:t>
            </w:r>
          </w:p>
          <w:p w14:paraId="004A286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3、温度控制：2～8℃，温度均匀性±2℃，显示精度0.1℃</w:t>
            </w:r>
          </w:p>
          <w:p w14:paraId="366E126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4、制冷方式：风冷</w:t>
            </w:r>
          </w:p>
          <w:p w14:paraId="1B5BA6D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5、 外部尺寸（宽×深×高）：≥580mm×575mm×1810mm</w:t>
            </w:r>
          </w:p>
          <w:p w14:paraId="1DFB789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内部尺寸（宽×深×高）：≥495mm×410mm×1200mm</w:t>
            </w:r>
          </w:p>
          <w:p w14:paraId="207C361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rPr>
              <w:t>、噪音等级：</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55dB</w:t>
            </w:r>
          </w:p>
          <w:p w14:paraId="455AE4A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二、结构功能特点</w:t>
            </w:r>
          </w:p>
          <w:p w14:paraId="2D839BF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1、外部材料：喷涂钢板 内部材料：压花铝板</w:t>
            </w:r>
          </w:p>
          <w:p w14:paraId="092ECFC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2、隔热层：聚氨酯环戊烷发泡</w:t>
            </w:r>
          </w:p>
          <w:p w14:paraId="4B621BB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3、外门：1扇；双层中空电加热钢化玻璃门。</w:t>
            </w:r>
          </w:p>
          <w:p w14:paraId="0F30B3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4、脚轮：底部前后4个脚轮，独立调平地脚，方便用户移动设备。</w:t>
            </w:r>
          </w:p>
          <w:p w14:paraId="4750630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5、国际知名品牌压缩机，无氟环保高效制冷剂；翅片蒸发器。</w:t>
            </w:r>
          </w:p>
          <w:p w14:paraId="1F69CCB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6、显示精度：数码管显示，微电脑控制，控温精度≤0.1℃。</w:t>
            </w:r>
          </w:p>
          <w:p w14:paraId="02FA59D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7、具备箱内高低温报警、传感器故障报警、断电报警（支持≥8小时）、开关门异常报警功能；具备声音蜂鸣和灯光闪烁双重报警方式。</w:t>
            </w:r>
          </w:p>
          <w:p w14:paraId="2167653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8、数据存储与导出：标配USB存储模块，每月可存</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8000条，超限后数据滚动覆盖，最多可保存10年（120个月）数据；</w:t>
            </w:r>
          </w:p>
          <w:p w14:paraId="07CEB8C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9、多重保护功能：传感器故障安全运行模式（显示传感器和控制传感器互为备份）；密码保护功能，防止随意调整运行参数；延时启动功能。</w:t>
            </w:r>
          </w:p>
          <w:p w14:paraId="114CFBA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10、（1）安全门锁；</w:t>
            </w:r>
          </w:p>
          <w:p w14:paraId="0198209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（2）内置LED节能照明灯，开关门自动点亮或熄灭，</w:t>
            </w:r>
          </w:p>
          <w:p w14:paraId="519825D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四、</w:t>
            </w:r>
            <w:r>
              <w:rPr>
                <w:rFonts w:hint="eastAsia" w:ascii="宋体" w:hAnsi="宋体" w:eastAsia="宋体" w:cs="Times New Roman"/>
                <w:bCs/>
                <w:color w:val="auto"/>
                <w:spacing w:val="-2"/>
                <w:sz w:val="21"/>
                <w:szCs w:val="21"/>
                <w:highlight w:val="none"/>
                <w:lang w:eastAsia="zh-CN"/>
              </w:rPr>
              <w:t>配置</w:t>
            </w:r>
          </w:p>
          <w:p w14:paraId="5E9B553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1、智能温湿度记录仪</w:t>
            </w:r>
          </w:p>
          <w:p w14:paraId="5656644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2、热敏打印机</w:t>
            </w:r>
          </w:p>
          <w:p w14:paraId="65BA171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3、485远程接口</w:t>
            </w:r>
          </w:p>
          <w:p w14:paraId="2C91BE4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4、测试孔</w:t>
            </w:r>
          </w:p>
        </w:tc>
        <w:tc>
          <w:tcPr>
            <w:tcW w:w="773" w:type="dxa"/>
            <w:noWrap w:val="0"/>
            <w:vAlign w:val="center"/>
          </w:tcPr>
          <w:p w14:paraId="4EFEB31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605EF0FE">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2413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720" w:type="dxa"/>
            <w:noWrap w:val="0"/>
            <w:vAlign w:val="center"/>
          </w:tcPr>
          <w:p w14:paraId="36B27C7C">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54</w:t>
            </w:r>
          </w:p>
        </w:tc>
        <w:tc>
          <w:tcPr>
            <w:tcW w:w="884" w:type="dxa"/>
            <w:noWrap w:val="0"/>
            <w:vAlign w:val="center"/>
          </w:tcPr>
          <w:p w14:paraId="4E97211D">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全自动高压锅</w:t>
            </w:r>
          </w:p>
        </w:tc>
        <w:tc>
          <w:tcPr>
            <w:tcW w:w="6428" w:type="dxa"/>
            <w:noWrap w:val="0"/>
            <w:vAlign w:val="center"/>
          </w:tcPr>
          <w:p w14:paraId="569D2F7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一、技术参数.</w:t>
            </w:r>
          </w:p>
          <w:p w14:paraId="1B741B6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容积 </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50L </w:t>
            </w:r>
          </w:p>
          <w:p w14:paraId="6E93737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功率 </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4KW </w:t>
            </w:r>
          </w:p>
          <w:p w14:paraId="435B82D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内腔尺寸 </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386x515mm </w:t>
            </w:r>
          </w:p>
          <w:p w14:paraId="0C9D164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 xml:space="preserve">外形尺寸 </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 xml:space="preserve">610x645x810mm </w:t>
            </w:r>
          </w:p>
          <w:p w14:paraId="797F2F0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1.额定工作压力0.23Mpa，</w:t>
            </w:r>
          </w:p>
          <w:p w14:paraId="31DED2E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2.额定工作温度134℃</w:t>
            </w:r>
          </w:p>
          <w:p w14:paraId="5AE8493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3.使用温度105～136℃</w:t>
            </w:r>
          </w:p>
          <w:p w14:paraId="44AB296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4.灭菌腔体、灭菌提篮均为不锈钢SUS304材质制成，内部抛光处理。</w:t>
            </w:r>
          </w:p>
          <w:p w14:paraId="41F5BBC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5.翻盖快开门结构，并具有门安全联锁装置及门检测装置。</w:t>
            </w:r>
          </w:p>
          <w:p w14:paraId="0E8A641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6.具有防干烧报警、超压自泄、超温保护、电力安全保护，所有报警具有声光警示。</w:t>
            </w:r>
          </w:p>
          <w:p w14:paraId="6B8990B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7.LED数字显示灭菌腔内温度、时间和故障报警代码。</w:t>
            </w:r>
          </w:p>
          <w:p w14:paraId="450F7F6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8.自胀式硅橡胶密封圈。</w:t>
            </w:r>
          </w:p>
          <w:p w14:paraId="0C83533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9.电磁阀，压力表、安全阀均按照国家标准提供编号、铭牌、合格证等强制性资料。</w:t>
            </w:r>
          </w:p>
          <w:p w14:paraId="77A89CA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10.微电脑控制，具有器械、敷料、液体等五项固定程序，两项自定义程序。</w:t>
            </w:r>
          </w:p>
          <w:p w14:paraId="599DCBE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11.设备升温、灭菌、排气整个流程全自动运行，灭菌完成后声光提醒。</w:t>
            </w:r>
          </w:p>
          <w:p w14:paraId="4BE7A0B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12.具有快速维修窗口，电气部分维护无需拆解外罩。</w:t>
            </w:r>
          </w:p>
        </w:tc>
        <w:tc>
          <w:tcPr>
            <w:tcW w:w="773" w:type="dxa"/>
            <w:noWrap w:val="0"/>
            <w:vAlign w:val="center"/>
          </w:tcPr>
          <w:p w14:paraId="3F1A4B91">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359397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台</w:t>
            </w:r>
          </w:p>
        </w:tc>
      </w:tr>
      <w:tr w14:paraId="43A5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20F0FDBA">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55</w:t>
            </w:r>
          </w:p>
        </w:tc>
        <w:tc>
          <w:tcPr>
            <w:tcW w:w="884" w:type="dxa"/>
            <w:noWrap w:val="0"/>
            <w:vAlign w:val="center"/>
          </w:tcPr>
          <w:p w14:paraId="0CA91627">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儿科监护仪</w:t>
            </w:r>
          </w:p>
        </w:tc>
        <w:tc>
          <w:tcPr>
            <w:tcW w:w="6428" w:type="dxa"/>
            <w:noWrap w:val="0"/>
            <w:vAlign w:val="center"/>
          </w:tcPr>
          <w:p w14:paraId="44093B6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病人监护仪参数要求</w:t>
            </w:r>
          </w:p>
          <w:p w14:paraId="3389BD5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整机要求：</w:t>
            </w:r>
          </w:p>
          <w:p w14:paraId="259996F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一体化便携监护仪，整机无风扇，配置提手,。</w:t>
            </w:r>
          </w:p>
          <w:p w14:paraId="20B0AEC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≥12.1英寸彩色液晶触摸屏，分辨率≥1280*800，≥10通道波形显示。</w:t>
            </w:r>
          </w:p>
          <w:p w14:paraId="099BA73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屏幕标配最新电容屏非电阻屏。</w:t>
            </w:r>
          </w:p>
          <w:p w14:paraId="6B98B0D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显示屏</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170度可视范围。</w:t>
            </w:r>
          </w:p>
          <w:p w14:paraId="5946045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锂电池，插槽式设计，</w:t>
            </w:r>
          </w:p>
          <w:p w14:paraId="37EDC23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锂电池工作时间≥6小时。</w:t>
            </w:r>
          </w:p>
          <w:p w14:paraId="53AAEEA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ECG, TEMP, SpO2 , NIBP监测参数抗电击程度为防除颤CF型。</w:t>
            </w:r>
          </w:p>
          <w:p w14:paraId="429E5C3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设计使用年限≥10年。</w:t>
            </w:r>
          </w:p>
          <w:p w14:paraId="486F8D8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主机防水等级≥IPX1，整机抗跌落设计通过0.75米6面跌落测试。</w:t>
            </w:r>
          </w:p>
          <w:p w14:paraId="52B6047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USB接口支持连接鼠标、键盘、条码扫描枪和遥控器等设备，</w:t>
            </w:r>
          </w:p>
          <w:p w14:paraId="1886302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消毒剂≥</w:t>
            </w:r>
            <w:r>
              <w:rPr>
                <w:rFonts w:hint="eastAsia" w:ascii="宋体" w:hAnsi="宋体" w:eastAsia="宋体" w:cs="Times New Roman"/>
                <w:bCs/>
                <w:color w:val="auto"/>
                <w:spacing w:val="-2"/>
                <w:sz w:val="21"/>
                <w:szCs w:val="21"/>
                <w:highlight w:val="none"/>
                <w:lang w:eastAsia="zh-CN"/>
              </w:rPr>
              <w:t>7</w:t>
            </w:r>
            <w:r>
              <w:rPr>
                <w:rFonts w:hint="eastAsia" w:ascii="宋体" w:hAnsi="宋体" w:eastAsia="宋体" w:cs="Times New Roman"/>
                <w:bCs/>
                <w:color w:val="auto"/>
                <w:spacing w:val="-2"/>
                <w:sz w:val="21"/>
                <w:szCs w:val="21"/>
                <w:highlight w:val="none"/>
              </w:rPr>
              <w:t>种，</w:t>
            </w:r>
          </w:p>
          <w:p w14:paraId="1FA50BF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p>
          <w:p w14:paraId="56C6115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监测参数</w:t>
            </w:r>
          </w:p>
          <w:p w14:paraId="5590255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配置3/5导心电，呼吸，无创血压，血氧饱和度，脉搏和双通道体温参数监测，适用于成人、小儿、新生儿患者。</w:t>
            </w:r>
          </w:p>
          <w:p w14:paraId="0DCC0E4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心电监护支持心率，ST段测量，心律失常分析，QT/QTc连续实时测量和对应报警功能，</w:t>
            </w:r>
            <w:r>
              <w:rPr>
                <w:rFonts w:hint="eastAsia" w:ascii="宋体" w:hAnsi="宋体" w:eastAsia="宋体" w:cs="Times New Roman"/>
                <w:bCs/>
                <w:color w:val="auto"/>
                <w:spacing w:val="-2"/>
                <w:sz w:val="21"/>
                <w:szCs w:val="21"/>
                <w:highlight w:val="none"/>
                <w:lang w:eastAsia="zh-CN"/>
              </w:rPr>
              <w:t>适用</w:t>
            </w:r>
            <w:r>
              <w:rPr>
                <w:rFonts w:hint="eastAsia" w:ascii="宋体" w:hAnsi="宋体" w:eastAsia="宋体" w:cs="Times New Roman"/>
                <w:bCs/>
                <w:color w:val="auto"/>
                <w:spacing w:val="-2"/>
                <w:sz w:val="21"/>
                <w:szCs w:val="21"/>
                <w:highlight w:val="none"/>
              </w:rPr>
              <w:t>成人、小儿、新生儿患者。</w:t>
            </w:r>
          </w:p>
          <w:p w14:paraId="378249D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心电波形扫描速度支持6.25mm/s、12.5 mm/s、25 mm/s和50 mm/s</w:t>
            </w:r>
          </w:p>
          <w:p w14:paraId="15EB7C6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窗口支持心脏下壁，侧壁和前壁对应多个ST片段的同屏实时显示</w:t>
            </w:r>
            <w:r>
              <w:rPr>
                <w:rFonts w:hint="eastAsia" w:ascii="宋体" w:hAnsi="宋体" w:eastAsia="宋体" w:cs="Times New Roman"/>
                <w:bCs/>
                <w:color w:val="auto"/>
                <w:spacing w:val="-2"/>
                <w:sz w:val="21"/>
                <w:szCs w:val="21"/>
                <w:highlight w:val="none"/>
                <w:lang w:eastAsia="zh-CN"/>
              </w:rPr>
              <w:t>功能</w:t>
            </w:r>
            <w:r>
              <w:rPr>
                <w:rFonts w:hint="eastAsia" w:ascii="宋体" w:hAnsi="宋体" w:eastAsia="宋体" w:cs="Times New Roman"/>
                <w:bCs/>
                <w:color w:val="auto"/>
                <w:spacing w:val="-2"/>
                <w:sz w:val="21"/>
                <w:szCs w:val="21"/>
                <w:highlight w:val="none"/>
              </w:rPr>
              <w:t>，提供参考片段和实时片段的对比查看。</w:t>
            </w:r>
          </w:p>
          <w:p w14:paraId="74C398E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室上性心动过速和SVCs/min等室上性心律失常分析</w:t>
            </w:r>
            <w:r>
              <w:rPr>
                <w:rFonts w:hint="eastAsia" w:ascii="宋体" w:hAnsi="宋体" w:eastAsia="宋体" w:cs="Times New Roman"/>
                <w:bCs/>
                <w:color w:val="auto"/>
                <w:spacing w:val="-2"/>
                <w:sz w:val="21"/>
                <w:szCs w:val="21"/>
                <w:highlight w:val="none"/>
                <w:lang w:eastAsia="zh-CN"/>
              </w:rPr>
              <w:t>功能</w:t>
            </w:r>
            <w:r>
              <w:rPr>
                <w:rFonts w:hint="eastAsia" w:ascii="宋体" w:hAnsi="宋体" w:eastAsia="宋体" w:cs="Times New Roman"/>
                <w:bCs/>
                <w:color w:val="auto"/>
                <w:spacing w:val="-2"/>
                <w:sz w:val="21"/>
                <w:szCs w:val="21"/>
                <w:highlight w:val="none"/>
              </w:rPr>
              <w:t>，QT和QTc实时监测参数测量范围：200～800 ms。</w:t>
            </w:r>
          </w:p>
          <w:p w14:paraId="52AA65C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心电支持≥4个分析导联实时动态同步分析，</w:t>
            </w:r>
            <w:r>
              <w:rPr>
                <w:rFonts w:hint="eastAsia" w:ascii="宋体" w:hAnsi="宋体" w:eastAsia="宋体" w:cs="Times New Roman"/>
                <w:bCs/>
                <w:color w:val="auto"/>
                <w:spacing w:val="-2"/>
                <w:sz w:val="21"/>
                <w:szCs w:val="21"/>
                <w:highlight w:val="none"/>
                <w:lang w:eastAsia="zh-CN"/>
              </w:rPr>
              <w:t>可</w:t>
            </w:r>
            <w:r>
              <w:rPr>
                <w:rFonts w:hint="eastAsia" w:ascii="宋体" w:hAnsi="宋体" w:eastAsia="宋体" w:cs="Times New Roman"/>
                <w:bCs/>
                <w:color w:val="auto"/>
                <w:spacing w:val="-2"/>
                <w:sz w:val="21"/>
                <w:szCs w:val="21"/>
                <w:highlight w:val="none"/>
              </w:rPr>
              <w:t>提供过去24小时心电概览报告查看与打印，包括心率统计结果，心律失常统计结果，ST统计和QT/QTc统计结果。</w:t>
            </w:r>
          </w:p>
          <w:p w14:paraId="1247F54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strike/>
                <w:color w:val="auto"/>
                <w:spacing w:val="-2"/>
                <w:sz w:val="21"/>
                <w:szCs w:val="21"/>
                <w:highlight w:val="none"/>
              </w:rPr>
            </w:pPr>
            <w:r>
              <w:rPr>
                <w:rFonts w:hint="eastAsia" w:ascii="宋体" w:hAnsi="宋体" w:eastAsia="宋体" w:cs="Times New Roman"/>
                <w:bCs/>
                <w:color w:val="auto"/>
                <w:spacing w:val="-2"/>
                <w:sz w:val="21"/>
                <w:szCs w:val="21"/>
                <w:highlight w:val="none"/>
              </w:rPr>
              <w:t>提供SpO2,PR和PI参数的实时监测，适用于成人，小儿和新生儿。</w:t>
            </w:r>
            <w:r>
              <w:rPr>
                <w:rFonts w:hint="eastAsia" w:ascii="宋体" w:hAnsi="宋体" w:eastAsia="宋体" w:cs="Times New Roman"/>
                <w:bCs/>
                <w:strike w:val="0"/>
                <w:color w:val="auto"/>
                <w:spacing w:val="-2"/>
                <w:sz w:val="21"/>
                <w:szCs w:val="21"/>
                <w:highlight w:val="none"/>
              </w:rPr>
              <w:t>来自SpO2的PR测量范围：20-300</w:t>
            </w:r>
          </w:p>
          <w:p w14:paraId="06A9B4E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手动，自动，连续、序列和整点5种测量模式，提供24小时血压统计结果。</w:t>
            </w:r>
          </w:p>
          <w:p w14:paraId="7683AB0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呼吸测量，适用于成人、小儿和新生儿。呼吸测量范围：1-200 rpm。</w:t>
            </w:r>
          </w:p>
          <w:p w14:paraId="62ECC2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配置无创血压测量，适用于成人，小儿和新生儿。无创血压成人测量范围：</w:t>
            </w:r>
            <w:r>
              <w:rPr>
                <w:rFonts w:hint="eastAsia" w:ascii="宋体" w:hAnsi="宋体" w:eastAsia="宋体" w:cs="Times New Roman"/>
                <w:bCs/>
                <w:color w:val="auto"/>
                <w:spacing w:val="-2"/>
                <w:sz w:val="21"/>
                <w:szCs w:val="21"/>
                <w:highlight w:val="none"/>
                <w:lang w:val="en-US" w:eastAsia="zh-CN"/>
              </w:rPr>
              <w:t>30</w:t>
            </w:r>
            <w:r>
              <w:rPr>
                <w:rFonts w:hint="eastAsia" w:ascii="宋体" w:hAnsi="宋体" w:eastAsia="宋体" w:cs="Times New Roman"/>
                <w:bCs/>
                <w:color w:val="auto"/>
                <w:spacing w:val="-2"/>
                <w:sz w:val="21"/>
                <w:szCs w:val="21"/>
                <w:highlight w:val="none"/>
              </w:rPr>
              <w:t>~2</w:t>
            </w:r>
            <w:r>
              <w:rPr>
                <w:rFonts w:hint="eastAsia" w:ascii="宋体" w:hAnsi="宋体" w:eastAsia="宋体" w:cs="Times New Roman"/>
                <w:bCs/>
                <w:color w:val="auto"/>
                <w:spacing w:val="-2"/>
                <w:sz w:val="21"/>
                <w:szCs w:val="21"/>
                <w:highlight w:val="none"/>
                <w:lang w:val="en-US" w:eastAsia="zh-CN"/>
              </w:rPr>
              <w:t>8</w:t>
            </w:r>
            <w:r>
              <w:rPr>
                <w:rFonts w:hint="eastAsia" w:ascii="宋体" w:hAnsi="宋体" w:eastAsia="宋体" w:cs="Times New Roman"/>
                <w:bCs/>
                <w:color w:val="auto"/>
                <w:spacing w:val="-2"/>
                <w:sz w:val="21"/>
                <w:szCs w:val="21"/>
                <w:highlight w:val="none"/>
              </w:rPr>
              <w:t>0mmH</w:t>
            </w:r>
            <w:r>
              <w:rPr>
                <w:rFonts w:hint="eastAsia" w:ascii="宋体" w:hAnsi="宋体" w:eastAsia="宋体" w:cs="Times New Roman"/>
                <w:bCs/>
                <w:color w:val="auto"/>
                <w:spacing w:val="-2"/>
                <w:sz w:val="21"/>
                <w:szCs w:val="21"/>
                <w:highlight w:val="none"/>
                <w:lang w:eastAsia="zh-CN"/>
              </w:rPr>
              <w:t>g</w:t>
            </w:r>
          </w:p>
          <w:p w14:paraId="0EF077C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双通道体温和温差参数的监测</w:t>
            </w:r>
          </w:p>
          <w:p w14:paraId="6CCAF23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p>
          <w:p w14:paraId="2EAA405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系统功能：</w:t>
            </w:r>
          </w:p>
          <w:p w14:paraId="3D3CF5D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所有监测参数报警限一键自动设置功能，</w:t>
            </w:r>
          </w:p>
          <w:p w14:paraId="64BA720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w:t>
            </w:r>
            <w:r>
              <w:rPr>
                <w:rFonts w:hint="eastAsia" w:ascii="宋体" w:hAnsi="宋体" w:eastAsia="宋体" w:cs="Times New Roman"/>
                <w:bCs/>
                <w:color w:val="auto"/>
                <w:spacing w:val="-2"/>
                <w:sz w:val="21"/>
                <w:szCs w:val="21"/>
                <w:highlight w:val="none"/>
                <w:lang w:eastAsia="zh-CN"/>
              </w:rPr>
              <w:t>备</w:t>
            </w:r>
            <w:r>
              <w:rPr>
                <w:rFonts w:hint="eastAsia" w:ascii="宋体" w:hAnsi="宋体" w:eastAsia="宋体" w:cs="Times New Roman"/>
                <w:bCs/>
                <w:color w:val="auto"/>
                <w:spacing w:val="-2"/>
                <w:sz w:val="21"/>
                <w:szCs w:val="21"/>
                <w:highlight w:val="none"/>
              </w:rPr>
              <w:t>图形化技术报警指示功能。</w:t>
            </w:r>
          </w:p>
          <w:p w14:paraId="70E6408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具有报警升级功能，当参数报警经过一定的时间未被处理或伴发了其他报警，就会升级到更高一个级别。</w:t>
            </w:r>
          </w:p>
          <w:p w14:paraId="0E26B37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具有特殊报警音，当监护仪在病人发生致命性参数报警时，发出特殊的报警音进行提示病人处于危急状态。</w:t>
            </w:r>
          </w:p>
          <w:p w14:paraId="2900550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根据病人的参数趋势变化，可自动推送HR/PR、 SpO2、 RR 等参数的报警限建议。</w:t>
            </w:r>
          </w:p>
          <w:p w14:paraId="7EBEEE6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具备参数组合报警功能（并非早期预警评分EWS），可对患者同时多个参数变化给出统一报警提示。</w:t>
            </w:r>
          </w:p>
          <w:p w14:paraId="032B8FB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支持RJ45接口进行有线网络通信，和除颤监护仪一起联网通信到中心监护系统。</w:t>
            </w:r>
          </w:p>
          <w:p w14:paraId="6B3679B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监护仪进入夜间模式，演示模式</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待机模式</w:t>
            </w:r>
            <w:r>
              <w:rPr>
                <w:rFonts w:hint="eastAsia" w:ascii="宋体" w:hAnsi="宋体" w:eastAsia="宋体" w:cs="Times New Roman"/>
                <w:bCs/>
                <w:color w:val="auto"/>
                <w:spacing w:val="-2"/>
                <w:sz w:val="21"/>
                <w:szCs w:val="21"/>
                <w:highlight w:val="none"/>
                <w:lang w:val="en-US" w:eastAsia="zh-CN"/>
              </w:rPr>
              <w:t>和</w:t>
            </w:r>
            <w:r>
              <w:rPr>
                <w:rFonts w:hint="eastAsia" w:ascii="宋体" w:hAnsi="宋体" w:eastAsia="宋体" w:cs="Times New Roman"/>
                <w:bCs/>
                <w:color w:val="auto"/>
                <w:spacing w:val="-2"/>
                <w:sz w:val="21"/>
                <w:szCs w:val="21"/>
                <w:highlight w:val="none"/>
              </w:rPr>
              <w:t>隐私模式。</w:t>
            </w:r>
          </w:p>
          <w:p w14:paraId="0470CC6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计时器功能，界面区提供设置≥4个计时器，每个计时器支持独立设置和计时功能，计时方向包括正计时和倒计时两种选择，提供使用说明书截图等证明材料。</w:t>
            </w:r>
          </w:p>
          <w:p w14:paraId="1B06DBE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可升级临床评分系统，包括MEWS（改良早期预警评分）、NEWS（英国早期预警评分系统）、NEWS2（英国早期预警评分系统2），可支持定时自动EWS评分功能，支持动态刷新EWS和EWS报警。</w:t>
            </w:r>
          </w:p>
          <w:p w14:paraId="64E2A62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格拉斯哥昏迷评分（GCS）功能</w:t>
            </w:r>
          </w:p>
          <w:p w14:paraId="5C61C40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动态趋势界面可支持统计1-24小时心律失常报警、参数超限报警信息，并对超限报警区间的波形进行高亮显示。</w:t>
            </w:r>
          </w:p>
          <w:p w14:paraId="787834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提供目标监测界面，能够显示ECG,SpO2,IBP,CO2等多种参数测量值和波形；目标监测界面至少包括目标参数区、参数列表区、目标参数统计区、目标参数趋势区等，目标参数统计区与目标参数趋势区相互联动</w:t>
            </w:r>
          </w:p>
          <w:p w14:paraId="1E8ECA3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具备</w:t>
            </w:r>
            <w:r>
              <w:rPr>
                <w:rFonts w:hint="eastAsia" w:ascii="宋体" w:hAnsi="宋体" w:eastAsia="宋体" w:cs="Times New Roman"/>
                <w:bCs/>
                <w:color w:val="auto"/>
                <w:spacing w:val="-2"/>
                <w:sz w:val="21"/>
                <w:szCs w:val="21"/>
                <w:highlight w:val="none"/>
              </w:rPr>
              <w:t>带ABD事件的呼吸氧合界面。</w:t>
            </w:r>
          </w:p>
          <w:p w14:paraId="341E3D3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配房颤概览功能，可显示当前病人持续 </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30 秒以上的房颤事件的统计信息和生命体征参数趋势。</w:t>
            </w:r>
          </w:p>
          <w:p w14:paraId="29BC9DD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提供屏幕截图功能，将屏幕截图通过USB接口导出到U盘。</w:t>
            </w:r>
          </w:p>
          <w:p w14:paraId="6A69305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标配2.4G/5G无线WiFi，方便无线联网。</w:t>
            </w:r>
          </w:p>
          <w:p w14:paraId="480E0C5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配置儿童附件一套</w:t>
            </w:r>
            <w:r>
              <w:rPr>
                <w:rFonts w:hint="eastAsia" w:ascii="宋体" w:hAnsi="宋体" w:eastAsia="宋体" w:cs="Times New Roman"/>
                <w:bCs/>
                <w:color w:val="auto"/>
                <w:spacing w:val="-2"/>
                <w:sz w:val="21"/>
                <w:szCs w:val="21"/>
                <w:highlight w:val="none"/>
                <w:lang w:eastAsia="zh-CN"/>
              </w:rPr>
              <w:t>（三导联的心电导联线，儿童的袖套，儿童的指脉氧夹）</w:t>
            </w:r>
          </w:p>
        </w:tc>
        <w:tc>
          <w:tcPr>
            <w:tcW w:w="773" w:type="dxa"/>
            <w:noWrap w:val="0"/>
            <w:vAlign w:val="center"/>
          </w:tcPr>
          <w:p w14:paraId="336AD7B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1D26EADC">
            <w:pPr>
              <w:spacing w:line="440" w:lineRule="exact"/>
              <w:jc w:val="center"/>
              <w:rPr>
                <w:rFonts w:hint="eastAsia" w:ascii="宋体" w:hAnsi="宋体" w:eastAsia="宋体" w:cs="Times New Roman"/>
                <w:bCs/>
                <w:color w:val="auto"/>
                <w:spacing w:val="-2"/>
                <w:sz w:val="21"/>
                <w:szCs w:val="21"/>
                <w:highlight w:val="none"/>
                <w:lang w:eastAsia="zh-CN"/>
              </w:rPr>
            </w:pPr>
          </w:p>
        </w:tc>
      </w:tr>
      <w:tr w14:paraId="75F2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720" w:type="dxa"/>
            <w:noWrap w:val="0"/>
            <w:vAlign w:val="center"/>
          </w:tcPr>
          <w:p w14:paraId="0BBDD984">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56</w:t>
            </w:r>
          </w:p>
        </w:tc>
        <w:tc>
          <w:tcPr>
            <w:tcW w:w="884" w:type="dxa"/>
            <w:noWrap w:val="0"/>
            <w:vAlign w:val="center"/>
          </w:tcPr>
          <w:p w14:paraId="5DFB08F9">
            <w:pPr>
              <w:spacing w:line="440" w:lineRule="exact"/>
              <w:jc w:val="center"/>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胎儿母亲监护仪</w:t>
            </w:r>
          </w:p>
          <w:p w14:paraId="34E0C983">
            <w:pPr>
              <w:spacing w:line="440" w:lineRule="exact"/>
              <w:jc w:val="center"/>
              <w:rPr>
                <w:rFonts w:hint="eastAsia" w:ascii="宋体" w:hAnsi="宋体" w:eastAsia="宋体" w:cs="Times New Roman"/>
                <w:bCs/>
                <w:color w:val="auto"/>
                <w:spacing w:val="-2"/>
                <w:sz w:val="21"/>
                <w:szCs w:val="21"/>
                <w:highlight w:val="none"/>
              </w:rPr>
            </w:pPr>
          </w:p>
        </w:tc>
        <w:tc>
          <w:tcPr>
            <w:tcW w:w="6428" w:type="dxa"/>
            <w:noWrap w:val="0"/>
            <w:vAlign w:val="center"/>
          </w:tcPr>
          <w:p w14:paraId="270A654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 整机：</w:t>
            </w:r>
          </w:p>
          <w:p w14:paraId="2E439F7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监护参数：胎心率（FHR），宫缩压力（TOCO），胎动（FM），母亲参数（血压、血氧、脉搏、心电、呼吸、体温）；</w:t>
            </w:r>
          </w:p>
          <w:p w14:paraId="363A9E4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10英寸高清晰TFT屏，多角度翻转；</w:t>
            </w:r>
          </w:p>
          <w:p w14:paraId="01AF0BA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监护曲线显示支持30 ~ 240（美标）和50 ~ 210（国际）两种标准；</w:t>
            </w:r>
          </w:p>
          <w:p w14:paraId="6808C97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三种专业监护界面：胎儿监护曲线及数字显示界面、母亲胎儿监护曲线及数字显示界面、母亲监护曲线及数字显示界面；</w:t>
            </w:r>
          </w:p>
          <w:p w14:paraId="3D9EFF3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内置式152mm（或150mm）宽行打印，符合国际标准，连续准确记录胎心率、宫缩压曲线及胎儿活动曲线；</w:t>
            </w:r>
          </w:p>
          <w:p w14:paraId="3BC6B4E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每十分钟自动打印时间、日期、母亲（心率、血压、血氧、呼吸、体温等参数数值）；</w:t>
            </w:r>
          </w:p>
          <w:p w14:paraId="56355D9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具有超声传感器信号质量指示功能，在宫缩数值大于50单位的情况下，在界面上弹出禁止测量血压的提示信息；</w:t>
            </w:r>
          </w:p>
          <w:p w14:paraId="5681999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双胎心率重合报警(SOV)功能，母胎心率信号重合验证；</w:t>
            </w:r>
          </w:p>
          <w:p w14:paraId="5C7A4AA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内置专家评分系统，提供KREBS、Fischer、改良Fischer和NST四种评分方式；</w:t>
            </w:r>
          </w:p>
          <w:p w14:paraId="16EA310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无线胎心探头：</w:t>
            </w:r>
          </w:p>
          <w:p w14:paraId="6CED379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2.1  胎心：多晶片1MHz宽波束脉冲多普勒防水探头，自适应追踪，胎心信号扑捉稳定，超声工作频率：1MHz，超声波束声强：Iob&lt;3mW/cm2，胎心率范围：30~240bpm，分辨率：1bpm</w:t>
            </w:r>
          </w:p>
          <w:p w14:paraId="4519BF3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2.2  宫缩压力：无凸点探头设计， 0-100相对单位，分辨率：1%</w:t>
            </w:r>
          </w:p>
          <w:p w14:paraId="13F9E3F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2.3  胎动：手动/自动胎动检测，显示并打印胎儿活动图；AFM 范围： 0% ~100 %</w:t>
            </w:r>
          </w:p>
          <w:p w14:paraId="30A1B2B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 xml:space="preserve">2.4  </w:t>
            </w:r>
            <w:r>
              <w:rPr>
                <w:rFonts w:hint="eastAsia" w:ascii="宋体" w:hAnsi="宋体" w:eastAsia="宋体" w:cs="Times New Roman"/>
                <w:bCs/>
                <w:color w:val="auto"/>
                <w:spacing w:val="-2"/>
                <w:sz w:val="21"/>
                <w:szCs w:val="21"/>
                <w:highlight w:val="none"/>
                <w:lang w:eastAsia="zh-CN"/>
              </w:rPr>
              <w:t>具有</w:t>
            </w:r>
            <w:r>
              <w:rPr>
                <w:rFonts w:hint="eastAsia" w:ascii="宋体" w:hAnsi="宋体" w:eastAsia="宋体" w:cs="Times New Roman"/>
                <w:bCs/>
                <w:color w:val="auto"/>
                <w:spacing w:val="-2"/>
                <w:sz w:val="21"/>
                <w:szCs w:val="21"/>
                <w:highlight w:val="none"/>
              </w:rPr>
              <w:t>无线双胎心监护，双胎自动分配；</w:t>
            </w:r>
          </w:p>
          <w:p w14:paraId="16079EE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2.5 配无线TOCO探头外接心电导联线测量母亲心率</w:t>
            </w:r>
          </w:p>
          <w:p w14:paraId="1313F16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2.6  无线探头工作距离≥100m；</w:t>
            </w:r>
          </w:p>
          <w:p w14:paraId="144B238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2.7  无线探头内置锂电池：≥15小时的超强续航能力；</w:t>
            </w:r>
          </w:p>
          <w:p w14:paraId="1974DD1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2.8  无线探头采用自识别探头基座设计；</w:t>
            </w:r>
          </w:p>
          <w:p w14:paraId="24F5261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2.9  无线探头彩屏显示，可显示探头类型、信号质量和信道号；</w:t>
            </w:r>
          </w:p>
          <w:p w14:paraId="14F57F7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3.0  基站支持电池供电，可实现不间断监护。</w:t>
            </w:r>
          </w:p>
        </w:tc>
        <w:tc>
          <w:tcPr>
            <w:tcW w:w="773" w:type="dxa"/>
            <w:noWrap w:val="0"/>
            <w:vAlign w:val="center"/>
          </w:tcPr>
          <w:p w14:paraId="56B6EE0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6DABA0A2">
            <w:pPr>
              <w:spacing w:line="440" w:lineRule="exact"/>
              <w:jc w:val="center"/>
              <w:rPr>
                <w:rFonts w:hint="eastAsia" w:ascii="宋体" w:hAnsi="宋体" w:eastAsia="宋体" w:cs="Times New Roman"/>
                <w:bCs/>
                <w:color w:val="auto"/>
                <w:spacing w:val="-2"/>
                <w:sz w:val="21"/>
                <w:szCs w:val="21"/>
                <w:highlight w:val="none"/>
                <w:lang w:eastAsia="zh-CN"/>
              </w:rPr>
            </w:pPr>
          </w:p>
        </w:tc>
      </w:tr>
      <w:tr w14:paraId="65CE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41CA240D">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57</w:t>
            </w:r>
          </w:p>
        </w:tc>
        <w:tc>
          <w:tcPr>
            <w:tcW w:w="884" w:type="dxa"/>
            <w:noWrap w:val="0"/>
            <w:vAlign w:val="center"/>
          </w:tcPr>
          <w:p w14:paraId="06AF051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五方通话盒</w:t>
            </w:r>
          </w:p>
        </w:tc>
        <w:tc>
          <w:tcPr>
            <w:tcW w:w="6428" w:type="dxa"/>
            <w:noWrap w:val="0"/>
            <w:vAlign w:val="center"/>
          </w:tcPr>
          <w:p w14:paraId="5B5ED24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设备名称：五方通话盒 电梯4G流量IP主机 电梯4G流量一局分机 数字专用电源2.6AH 工业级4G天 轿厢通话器 三芯控制线</w:t>
            </w:r>
          </w:p>
        </w:tc>
        <w:tc>
          <w:tcPr>
            <w:tcW w:w="773" w:type="dxa"/>
            <w:noWrap w:val="0"/>
            <w:vAlign w:val="center"/>
          </w:tcPr>
          <w:p w14:paraId="0CB8D58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8套</w:t>
            </w:r>
          </w:p>
        </w:tc>
        <w:tc>
          <w:tcPr>
            <w:tcW w:w="952" w:type="dxa"/>
            <w:noWrap w:val="0"/>
            <w:vAlign w:val="center"/>
          </w:tcPr>
          <w:p w14:paraId="4B9398AC">
            <w:pPr>
              <w:spacing w:line="440" w:lineRule="exact"/>
              <w:jc w:val="center"/>
              <w:rPr>
                <w:rFonts w:hint="eastAsia" w:ascii="宋体" w:hAnsi="宋体" w:eastAsia="宋体" w:cs="Times New Roman"/>
                <w:bCs/>
                <w:color w:val="auto"/>
                <w:spacing w:val="-2"/>
                <w:sz w:val="21"/>
                <w:szCs w:val="21"/>
                <w:highlight w:val="none"/>
                <w:lang w:eastAsia="zh-CN"/>
              </w:rPr>
            </w:pPr>
          </w:p>
        </w:tc>
      </w:tr>
      <w:tr w14:paraId="2D7B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6FA45C70">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58</w:t>
            </w:r>
          </w:p>
        </w:tc>
        <w:tc>
          <w:tcPr>
            <w:tcW w:w="884" w:type="dxa"/>
            <w:noWrap w:val="0"/>
            <w:vAlign w:val="center"/>
          </w:tcPr>
          <w:p w14:paraId="1F3363F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TDP</w:t>
            </w:r>
          </w:p>
        </w:tc>
        <w:tc>
          <w:tcPr>
            <w:tcW w:w="6428" w:type="dxa"/>
            <w:noWrap w:val="0"/>
            <w:vAlign w:val="center"/>
          </w:tcPr>
          <w:p w14:paraId="31BEB2B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立式</w:t>
            </w:r>
          </w:p>
          <w:p w14:paraId="509B2CF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材质：金属 电源方式：交流电</w:t>
            </w:r>
          </w:p>
          <w:p w14:paraId="5C48765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规格：</w:t>
            </w:r>
            <w:r>
              <w:rPr>
                <w:rFonts w:hint="eastAsia" w:ascii="宋体" w:hAnsi="宋体" w:eastAsia="宋体" w:cs="Times New Roman"/>
                <w:bCs/>
                <w:color w:val="auto"/>
                <w:spacing w:val="-2"/>
                <w:sz w:val="21"/>
                <w:szCs w:val="21"/>
                <w:highlight w:val="none"/>
                <w:lang w:val="en-US" w:eastAsia="zh-CN"/>
              </w:rPr>
              <w:t>约</w:t>
            </w:r>
            <w:r>
              <w:rPr>
                <w:rFonts w:hint="eastAsia" w:ascii="宋体" w:hAnsi="宋体" w:eastAsia="宋体" w:cs="Times New Roman"/>
                <w:bCs/>
                <w:color w:val="auto"/>
                <w:spacing w:val="-2"/>
                <w:sz w:val="21"/>
                <w:szCs w:val="21"/>
                <w:highlight w:val="none"/>
                <w:lang w:eastAsia="zh-CN"/>
              </w:rPr>
              <w:t xml:space="preserve">560mm*180mm </w:t>
            </w:r>
          </w:p>
        </w:tc>
        <w:tc>
          <w:tcPr>
            <w:tcW w:w="773" w:type="dxa"/>
            <w:noWrap w:val="0"/>
            <w:vAlign w:val="center"/>
          </w:tcPr>
          <w:p w14:paraId="4EDB142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32个</w:t>
            </w:r>
          </w:p>
        </w:tc>
        <w:tc>
          <w:tcPr>
            <w:tcW w:w="952" w:type="dxa"/>
            <w:noWrap w:val="0"/>
            <w:vAlign w:val="center"/>
          </w:tcPr>
          <w:p w14:paraId="0C0F512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需包含5个双头</w:t>
            </w:r>
          </w:p>
        </w:tc>
      </w:tr>
      <w:tr w14:paraId="58A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5B880660">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59</w:t>
            </w:r>
          </w:p>
        </w:tc>
        <w:tc>
          <w:tcPr>
            <w:tcW w:w="884" w:type="dxa"/>
            <w:noWrap w:val="0"/>
            <w:vAlign w:val="center"/>
          </w:tcPr>
          <w:p w14:paraId="0AAE9A0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扶阳1罐</w:t>
            </w:r>
          </w:p>
        </w:tc>
        <w:tc>
          <w:tcPr>
            <w:tcW w:w="6428" w:type="dxa"/>
            <w:noWrap w:val="0"/>
            <w:vAlign w:val="center"/>
          </w:tcPr>
          <w:p w14:paraId="59CE422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莲花罐一套（大 中 小）</w:t>
            </w:r>
          </w:p>
        </w:tc>
        <w:tc>
          <w:tcPr>
            <w:tcW w:w="773" w:type="dxa"/>
            <w:noWrap w:val="0"/>
            <w:vAlign w:val="center"/>
          </w:tcPr>
          <w:p w14:paraId="140A461C">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1套</w:t>
            </w:r>
          </w:p>
        </w:tc>
        <w:tc>
          <w:tcPr>
            <w:tcW w:w="952" w:type="dxa"/>
            <w:noWrap w:val="0"/>
            <w:vAlign w:val="center"/>
          </w:tcPr>
          <w:p w14:paraId="4922A669">
            <w:pPr>
              <w:spacing w:line="440" w:lineRule="exact"/>
              <w:jc w:val="center"/>
              <w:rPr>
                <w:rFonts w:hint="eastAsia" w:ascii="宋体" w:hAnsi="宋体" w:eastAsia="宋体" w:cs="Times New Roman"/>
                <w:bCs/>
                <w:color w:val="auto"/>
                <w:spacing w:val="-2"/>
                <w:sz w:val="21"/>
                <w:szCs w:val="21"/>
                <w:highlight w:val="none"/>
                <w:lang w:eastAsia="zh-CN"/>
              </w:rPr>
            </w:pPr>
          </w:p>
        </w:tc>
      </w:tr>
      <w:tr w14:paraId="0C39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279B551F">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60</w:t>
            </w:r>
          </w:p>
        </w:tc>
        <w:tc>
          <w:tcPr>
            <w:tcW w:w="884" w:type="dxa"/>
            <w:noWrap w:val="0"/>
            <w:vAlign w:val="center"/>
          </w:tcPr>
          <w:p w14:paraId="11F7B6F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药罐（竹罐））</w:t>
            </w:r>
          </w:p>
        </w:tc>
        <w:tc>
          <w:tcPr>
            <w:tcW w:w="6428" w:type="dxa"/>
            <w:noWrap w:val="0"/>
            <w:vAlign w:val="center"/>
          </w:tcPr>
          <w:p w14:paraId="6BF9A00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外径：6-7CM 高度：</w:t>
            </w:r>
            <w:r>
              <w:rPr>
                <w:rFonts w:hint="eastAsia" w:ascii="宋体" w:hAnsi="宋体" w:eastAsia="宋体" w:cs="Times New Roman"/>
                <w:bCs/>
                <w:color w:val="auto"/>
                <w:spacing w:val="-2"/>
                <w:sz w:val="21"/>
                <w:szCs w:val="21"/>
                <w:highlight w:val="none"/>
                <w:lang w:val="en-US" w:eastAsia="zh-CN"/>
              </w:rPr>
              <w:t>10-</w:t>
            </w:r>
            <w:r>
              <w:rPr>
                <w:rFonts w:hint="eastAsia" w:ascii="宋体" w:hAnsi="宋体" w:eastAsia="宋体" w:cs="Times New Roman"/>
                <w:bCs/>
                <w:color w:val="auto"/>
                <w:spacing w:val="-2"/>
                <w:sz w:val="21"/>
                <w:szCs w:val="21"/>
                <w:highlight w:val="none"/>
                <w:lang w:eastAsia="zh-CN"/>
              </w:rPr>
              <w:t>12cm 适合部位：背部 腹部  肩部</w:t>
            </w:r>
          </w:p>
        </w:tc>
        <w:tc>
          <w:tcPr>
            <w:tcW w:w="773" w:type="dxa"/>
            <w:noWrap w:val="0"/>
            <w:vAlign w:val="center"/>
          </w:tcPr>
          <w:p w14:paraId="6C6D1456">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40个</w:t>
            </w:r>
          </w:p>
        </w:tc>
        <w:tc>
          <w:tcPr>
            <w:tcW w:w="952" w:type="dxa"/>
            <w:noWrap w:val="0"/>
            <w:vAlign w:val="center"/>
          </w:tcPr>
          <w:p w14:paraId="44AF564B">
            <w:pPr>
              <w:spacing w:line="440" w:lineRule="exact"/>
              <w:jc w:val="center"/>
              <w:rPr>
                <w:rFonts w:hint="eastAsia" w:ascii="宋体" w:hAnsi="宋体" w:eastAsia="宋体" w:cs="Times New Roman"/>
                <w:bCs/>
                <w:color w:val="auto"/>
                <w:spacing w:val="-2"/>
                <w:sz w:val="21"/>
                <w:szCs w:val="21"/>
                <w:highlight w:val="none"/>
                <w:lang w:eastAsia="zh-CN"/>
              </w:rPr>
            </w:pPr>
          </w:p>
        </w:tc>
      </w:tr>
      <w:tr w14:paraId="74C4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1A002151">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61</w:t>
            </w:r>
          </w:p>
        </w:tc>
        <w:tc>
          <w:tcPr>
            <w:tcW w:w="884" w:type="dxa"/>
            <w:noWrap w:val="0"/>
            <w:vAlign w:val="center"/>
          </w:tcPr>
          <w:p w14:paraId="0FE993C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保温桶</w:t>
            </w:r>
          </w:p>
        </w:tc>
        <w:tc>
          <w:tcPr>
            <w:tcW w:w="6428" w:type="dxa"/>
            <w:noWrap w:val="0"/>
            <w:vAlign w:val="center"/>
          </w:tcPr>
          <w:p w14:paraId="0E09F67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三层保温桶  </w:t>
            </w:r>
          </w:p>
          <w:p w14:paraId="7C5B2F9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尺寸（±2cm）：</w:t>
            </w:r>
            <w:r>
              <w:rPr>
                <w:rFonts w:hint="eastAsia" w:ascii="宋体" w:hAnsi="宋体" w:eastAsia="宋体" w:cs="Times New Roman"/>
                <w:bCs/>
                <w:color w:val="auto"/>
                <w:spacing w:val="-2"/>
                <w:sz w:val="21"/>
                <w:szCs w:val="21"/>
                <w:highlight w:val="none"/>
                <w:lang w:eastAsia="zh-CN"/>
              </w:rPr>
              <w:t>外径</w:t>
            </w:r>
            <w:r>
              <w:rPr>
                <w:rFonts w:hint="eastAsia" w:ascii="宋体" w:hAnsi="宋体" w:eastAsia="宋体" w:cs="Times New Roman"/>
                <w:bCs/>
                <w:color w:val="auto"/>
                <w:spacing w:val="-2"/>
                <w:sz w:val="21"/>
                <w:szCs w:val="21"/>
                <w:highlight w:val="none"/>
                <w:lang w:val="en-US" w:eastAsia="zh-CN"/>
              </w:rPr>
              <w:t>30</w:t>
            </w:r>
            <w:r>
              <w:rPr>
                <w:rFonts w:hint="eastAsia" w:ascii="宋体" w:hAnsi="宋体" w:eastAsia="宋体" w:cs="Times New Roman"/>
                <w:bCs/>
                <w:color w:val="auto"/>
                <w:spacing w:val="-2"/>
                <w:sz w:val="21"/>
                <w:szCs w:val="21"/>
                <w:highlight w:val="none"/>
                <w:lang w:eastAsia="zh-CN"/>
              </w:rPr>
              <w:t>cm 内径25cm 外高30cm 内高：25cm</w:t>
            </w:r>
          </w:p>
        </w:tc>
        <w:tc>
          <w:tcPr>
            <w:tcW w:w="773" w:type="dxa"/>
            <w:noWrap w:val="0"/>
            <w:vAlign w:val="center"/>
          </w:tcPr>
          <w:p w14:paraId="65851D1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1个</w:t>
            </w:r>
          </w:p>
        </w:tc>
        <w:tc>
          <w:tcPr>
            <w:tcW w:w="952" w:type="dxa"/>
            <w:noWrap w:val="0"/>
            <w:vAlign w:val="center"/>
          </w:tcPr>
          <w:p w14:paraId="49B112E5">
            <w:pPr>
              <w:spacing w:line="440" w:lineRule="exact"/>
              <w:jc w:val="center"/>
              <w:rPr>
                <w:rFonts w:hint="eastAsia" w:ascii="宋体" w:hAnsi="宋体" w:eastAsia="宋体" w:cs="Times New Roman"/>
                <w:bCs/>
                <w:color w:val="auto"/>
                <w:spacing w:val="-2"/>
                <w:sz w:val="21"/>
                <w:szCs w:val="21"/>
                <w:highlight w:val="none"/>
                <w:lang w:eastAsia="zh-CN"/>
              </w:rPr>
            </w:pPr>
          </w:p>
        </w:tc>
      </w:tr>
      <w:tr w14:paraId="21D7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0B51AACD">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62</w:t>
            </w:r>
          </w:p>
        </w:tc>
        <w:tc>
          <w:tcPr>
            <w:tcW w:w="884" w:type="dxa"/>
            <w:noWrap w:val="0"/>
            <w:vAlign w:val="center"/>
          </w:tcPr>
          <w:p w14:paraId="1CC83A4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玻璃火罐</w:t>
            </w:r>
          </w:p>
        </w:tc>
        <w:tc>
          <w:tcPr>
            <w:tcW w:w="6428" w:type="dxa"/>
            <w:noWrap w:val="0"/>
            <w:vAlign w:val="center"/>
          </w:tcPr>
          <w:p w14:paraId="1B9530A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bookmarkStart w:id="20" w:name="OLE_LINK1"/>
            <w:r>
              <w:rPr>
                <w:rFonts w:hint="eastAsia" w:ascii="宋体" w:hAnsi="宋体" w:eastAsia="宋体" w:cs="Times New Roman"/>
                <w:bCs/>
                <w:color w:val="auto"/>
                <w:spacing w:val="-2"/>
                <w:sz w:val="21"/>
                <w:szCs w:val="21"/>
                <w:highlight w:val="none"/>
                <w:lang w:val="en-US" w:eastAsia="zh-CN"/>
              </w:rPr>
              <w:t>尺寸（±0.2cm）：</w:t>
            </w:r>
            <w:r>
              <w:rPr>
                <w:rFonts w:hint="eastAsia" w:ascii="宋体" w:hAnsi="宋体" w:eastAsia="宋体" w:cs="Times New Roman"/>
                <w:bCs/>
                <w:color w:val="auto"/>
                <w:spacing w:val="-2"/>
                <w:sz w:val="21"/>
                <w:szCs w:val="21"/>
                <w:highlight w:val="none"/>
                <w:lang w:eastAsia="zh-CN"/>
              </w:rPr>
              <w:t>内径：</w:t>
            </w:r>
            <w:r>
              <w:rPr>
                <w:rFonts w:hint="eastAsia" w:ascii="宋体" w:hAnsi="宋体" w:eastAsia="宋体" w:cs="Times New Roman"/>
                <w:bCs/>
                <w:color w:val="auto"/>
                <w:spacing w:val="-2"/>
                <w:sz w:val="21"/>
                <w:szCs w:val="21"/>
                <w:highlight w:val="none"/>
                <w:lang w:val="en-US" w:eastAsia="zh-CN"/>
              </w:rPr>
              <w:t>6</w:t>
            </w:r>
            <w:r>
              <w:rPr>
                <w:rFonts w:hint="eastAsia" w:ascii="宋体" w:hAnsi="宋体" w:eastAsia="宋体" w:cs="Times New Roman"/>
                <w:bCs/>
                <w:color w:val="auto"/>
                <w:spacing w:val="-2"/>
                <w:sz w:val="21"/>
                <w:szCs w:val="21"/>
                <w:highlight w:val="none"/>
                <w:lang w:eastAsia="zh-CN"/>
              </w:rPr>
              <w:t>cm 外径：7cm 适合后背</w:t>
            </w:r>
            <w:bookmarkEnd w:id="20"/>
            <w:r>
              <w:rPr>
                <w:rFonts w:hint="eastAsia" w:ascii="宋体" w:hAnsi="宋体" w:eastAsia="宋体" w:cs="Times New Roman"/>
                <w:bCs/>
                <w:color w:val="auto"/>
                <w:spacing w:val="-2"/>
                <w:sz w:val="21"/>
                <w:szCs w:val="21"/>
                <w:highlight w:val="none"/>
                <w:lang w:eastAsia="zh-CN"/>
              </w:rPr>
              <w:t>走罐</w:t>
            </w:r>
          </w:p>
        </w:tc>
        <w:tc>
          <w:tcPr>
            <w:tcW w:w="773" w:type="dxa"/>
            <w:noWrap w:val="0"/>
            <w:vAlign w:val="center"/>
          </w:tcPr>
          <w:p w14:paraId="064000F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大20个</w:t>
            </w:r>
          </w:p>
        </w:tc>
        <w:tc>
          <w:tcPr>
            <w:tcW w:w="952" w:type="dxa"/>
            <w:noWrap w:val="0"/>
            <w:vAlign w:val="center"/>
          </w:tcPr>
          <w:p w14:paraId="7AC948F0">
            <w:pPr>
              <w:spacing w:line="440" w:lineRule="exact"/>
              <w:jc w:val="center"/>
              <w:rPr>
                <w:rFonts w:hint="eastAsia" w:ascii="宋体" w:hAnsi="宋体" w:eastAsia="宋体" w:cs="Times New Roman"/>
                <w:bCs/>
                <w:color w:val="auto"/>
                <w:spacing w:val="-2"/>
                <w:sz w:val="21"/>
                <w:szCs w:val="21"/>
                <w:highlight w:val="none"/>
                <w:lang w:eastAsia="zh-CN"/>
              </w:rPr>
            </w:pPr>
          </w:p>
        </w:tc>
      </w:tr>
      <w:tr w14:paraId="423F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20" w:type="dxa"/>
            <w:noWrap w:val="0"/>
            <w:vAlign w:val="center"/>
          </w:tcPr>
          <w:p w14:paraId="3CAD6516">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63</w:t>
            </w:r>
          </w:p>
        </w:tc>
        <w:tc>
          <w:tcPr>
            <w:tcW w:w="884" w:type="dxa"/>
            <w:noWrap w:val="0"/>
            <w:vAlign w:val="center"/>
          </w:tcPr>
          <w:p w14:paraId="513F2D8F">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玻璃火罐</w:t>
            </w:r>
          </w:p>
        </w:tc>
        <w:tc>
          <w:tcPr>
            <w:tcW w:w="6428" w:type="dxa"/>
            <w:noWrap w:val="0"/>
            <w:vAlign w:val="center"/>
          </w:tcPr>
          <w:p w14:paraId="4AEA8D2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val="en-US" w:eastAsia="zh-CN"/>
              </w:rPr>
              <w:t>尺寸（±0.2cm）：</w:t>
            </w:r>
            <w:r>
              <w:rPr>
                <w:rFonts w:hint="eastAsia" w:ascii="宋体" w:hAnsi="宋体" w:eastAsia="宋体" w:cs="Times New Roman"/>
                <w:bCs/>
                <w:color w:val="auto"/>
                <w:spacing w:val="-2"/>
                <w:sz w:val="21"/>
                <w:szCs w:val="21"/>
                <w:highlight w:val="none"/>
                <w:lang w:eastAsia="zh-CN"/>
              </w:rPr>
              <w:t>内径：5cm 外径：6.5cm 适合肩部，腰部 腹部 大腿 小腿 后背</w:t>
            </w:r>
          </w:p>
        </w:tc>
        <w:tc>
          <w:tcPr>
            <w:tcW w:w="773" w:type="dxa"/>
            <w:noWrap w:val="0"/>
            <w:vAlign w:val="center"/>
          </w:tcPr>
          <w:p w14:paraId="750B62A8">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中20个</w:t>
            </w:r>
          </w:p>
        </w:tc>
        <w:tc>
          <w:tcPr>
            <w:tcW w:w="952" w:type="dxa"/>
            <w:noWrap w:val="0"/>
            <w:vAlign w:val="center"/>
          </w:tcPr>
          <w:p w14:paraId="7D498334">
            <w:pPr>
              <w:spacing w:line="440" w:lineRule="exact"/>
              <w:jc w:val="center"/>
              <w:rPr>
                <w:rFonts w:hint="eastAsia" w:ascii="宋体" w:hAnsi="宋体" w:eastAsia="宋体" w:cs="Times New Roman"/>
                <w:bCs/>
                <w:color w:val="auto"/>
                <w:spacing w:val="-2"/>
                <w:sz w:val="21"/>
                <w:szCs w:val="21"/>
                <w:highlight w:val="none"/>
                <w:lang w:eastAsia="zh-CN"/>
              </w:rPr>
            </w:pPr>
          </w:p>
        </w:tc>
      </w:tr>
      <w:tr w14:paraId="4BE2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20" w:type="dxa"/>
            <w:noWrap w:val="0"/>
            <w:vAlign w:val="center"/>
          </w:tcPr>
          <w:p w14:paraId="1082C2C8">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64</w:t>
            </w:r>
          </w:p>
        </w:tc>
        <w:tc>
          <w:tcPr>
            <w:tcW w:w="884" w:type="dxa"/>
            <w:noWrap w:val="0"/>
            <w:vAlign w:val="center"/>
          </w:tcPr>
          <w:p w14:paraId="55F99079">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2.5米标准数视力灯箱</w:t>
            </w:r>
          </w:p>
        </w:tc>
        <w:tc>
          <w:tcPr>
            <w:tcW w:w="6428" w:type="dxa"/>
            <w:noWrap w:val="0"/>
            <w:vAlign w:val="center"/>
          </w:tcPr>
          <w:p w14:paraId="591F08E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形状：长方体 </w:t>
            </w:r>
          </w:p>
          <w:p w14:paraId="51E05C3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 xml:space="preserve">光源：LED </w:t>
            </w:r>
          </w:p>
          <w:p w14:paraId="738D201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工艺：铝合金</w:t>
            </w:r>
          </w:p>
        </w:tc>
        <w:tc>
          <w:tcPr>
            <w:tcW w:w="773" w:type="dxa"/>
            <w:noWrap w:val="0"/>
            <w:vAlign w:val="center"/>
          </w:tcPr>
          <w:p w14:paraId="5F8A109B">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1个</w:t>
            </w:r>
          </w:p>
        </w:tc>
        <w:tc>
          <w:tcPr>
            <w:tcW w:w="952" w:type="dxa"/>
            <w:noWrap w:val="0"/>
            <w:vAlign w:val="center"/>
          </w:tcPr>
          <w:p w14:paraId="76DA95D7">
            <w:pPr>
              <w:spacing w:line="440" w:lineRule="exact"/>
              <w:jc w:val="center"/>
              <w:rPr>
                <w:rFonts w:hint="eastAsia" w:ascii="宋体" w:hAnsi="宋体" w:eastAsia="宋体" w:cs="Times New Roman"/>
                <w:bCs/>
                <w:color w:val="auto"/>
                <w:spacing w:val="-2"/>
                <w:sz w:val="21"/>
                <w:szCs w:val="21"/>
                <w:highlight w:val="none"/>
                <w:lang w:eastAsia="zh-CN"/>
              </w:rPr>
            </w:pPr>
          </w:p>
        </w:tc>
      </w:tr>
      <w:tr w14:paraId="4D3B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720" w:type="dxa"/>
            <w:noWrap w:val="0"/>
            <w:vAlign w:val="center"/>
          </w:tcPr>
          <w:p w14:paraId="465CEDFF">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65</w:t>
            </w:r>
          </w:p>
        </w:tc>
        <w:tc>
          <w:tcPr>
            <w:tcW w:w="884" w:type="dxa"/>
            <w:noWrap w:val="0"/>
            <w:vAlign w:val="center"/>
          </w:tcPr>
          <w:p w14:paraId="06A86ED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B超探头</w:t>
            </w:r>
          </w:p>
        </w:tc>
        <w:tc>
          <w:tcPr>
            <w:tcW w:w="6428" w:type="dxa"/>
            <w:noWrap w:val="0"/>
            <w:vAlign w:val="center"/>
          </w:tcPr>
          <w:p w14:paraId="3640D8B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w:t>
            </w:r>
            <w:r>
              <w:rPr>
                <w:rFonts w:hint="eastAsia" w:ascii="宋体" w:hAnsi="宋体" w:eastAsia="宋体" w:cs="Times New Roman"/>
                <w:bCs/>
                <w:color w:val="auto"/>
                <w:spacing w:val="-2"/>
                <w:sz w:val="21"/>
                <w:szCs w:val="21"/>
                <w:highlight w:val="none"/>
                <w:lang w:eastAsia="zh-CN"/>
              </w:rPr>
              <w:t>、</w:t>
            </w:r>
            <w:r>
              <w:rPr>
                <w:rFonts w:hint="eastAsia" w:ascii="宋体" w:hAnsi="宋体" w:eastAsia="宋体" w:cs="Times New Roman"/>
                <w:bCs/>
                <w:color w:val="auto"/>
                <w:spacing w:val="-2"/>
                <w:sz w:val="21"/>
                <w:szCs w:val="21"/>
                <w:highlight w:val="none"/>
              </w:rPr>
              <w:t>工作频率范围1 MHz 。</w:t>
            </w:r>
          </w:p>
          <w:p w14:paraId="2F48BF5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2、曲面阵列，160 的元素。</w:t>
            </w:r>
          </w:p>
          <w:p w14:paraId="0AB2AB2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3、可控脉冲，高 PRF 和彩色多普勒和彩色电源。</w:t>
            </w:r>
          </w:p>
          <w:p w14:paraId="77F4A2C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4、血管，SONOCT，先进的 XRES，谐波成像。</w:t>
            </w:r>
          </w:p>
          <w:p w14:paraId="0BF19DC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5、胎儿回声，血管和肾下腹应用。</w:t>
            </w:r>
          </w:p>
          <w:p w14:paraId="696C35B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6、TSI 腹部深层渗透。</w:t>
            </w:r>
          </w:p>
          <w:p w14:paraId="16025F2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7、组织的像差校证（速度声音校正）在 2D 和1 MHz 的工作频率范围。</w:t>
            </w:r>
          </w:p>
        </w:tc>
        <w:tc>
          <w:tcPr>
            <w:tcW w:w="773" w:type="dxa"/>
            <w:noWrap w:val="0"/>
            <w:vAlign w:val="center"/>
          </w:tcPr>
          <w:p w14:paraId="4C9CB3FA">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val="en-US" w:eastAsia="zh-CN"/>
              </w:rPr>
              <w:t>1</w:t>
            </w:r>
          </w:p>
        </w:tc>
        <w:tc>
          <w:tcPr>
            <w:tcW w:w="952" w:type="dxa"/>
            <w:noWrap w:val="0"/>
            <w:vAlign w:val="center"/>
          </w:tcPr>
          <w:p w14:paraId="218EC7BE">
            <w:pPr>
              <w:spacing w:line="440" w:lineRule="exact"/>
              <w:jc w:val="center"/>
              <w:rPr>
                <w:rFonts w:hint="eastAsia" w:ascii="宋体" w:hAnsi="宋体" w:eastAsia="宋体" w:cs="Times New Roman"/>
                <w:bCs/>
                <w:color w:val="auto"/>
                <w:spacing w:val="-2"/>
                <w:sz w:val="21"/>
                <w:szCs w:val="21"/>
                <w:highlight w:val="none"/>
                <w:lang w:eastAsia="zh-CN"/>
              </w:rPr>
            </w:pPr>
          </w:p>
        </w:tc>
      </w:tr>
      <w:tr w14:paraId="55D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720" w:type="dxa"/>
            <w:noWrap w:val="0"/>
            <w:vAlign w:val="center"/>
          </w:tcPr>
          <w:p w14:paraId="15EA8947">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66</w:t>
            </w:r>
          </w:p>
        </w:tc>
        <w:tc>
          <w:tcPr>
            <w:tcW w:w="884" w:type="dxa"/>
            <w:noWrap w:val="0"/>
            <w:vAlign w:val="center"/>
          </w:tcPr>
          <w:p w14:paraId="61CC540D">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B超探头</w:t>
            </w:r>
          </w:p>
        </w:tc>
        <w:tc>
          <w:tcPr>
            <w:tcW w:w="6428" w:type="dxa"/>
            <w:noWrap w:val="0"/>
            <w:vAlign w:val="center"/>
          </w:tcPr>
          <w:p w14:paraId="4A4FC71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1、超宽频带全频探头</w:t>
            </w:r>
          </w:p>
          <w:p w14:paraId="06B66A0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2、ZG 的融合影像成像技术</w:t>
            </w:r>
          </w:p>
          <w:p w14:paraId="2B96C78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3、ZG 的微细灰阶技术等四项 ZG 技术 1,024</w:t>
            </w:r>
          </w:p>
          <w:p w14:paraId="7A6E4A1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4、通道超宽频带数字声束</w:t>
            </w:r>
          </w:p>
          <w:p w14:paraId="0C09C91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5、形成器,精确捕获处理显示组织信息（1-15MHz)</w:t>
            </w:r>
          </w:p>
        </w:tc>
        <w:tc>
          <w:tcPr>
            <w:tcW w:w="773" w:type="dxa"/>
            <w:noWrap w:val="0"/>
            <w:vAlign w:val="center"/>
          </w:tcPr>
          <w:p w14:paraId="0643C63C">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1</w:t>
            </w:r>
          </w:p>
        </w:tc>
        <w:tc>
          <w:tcPr>
            <w:tcW w:w="952" w:type="dxa"/>
            <w:noWrap w:val="0"/>
            <w:vAlign w:val="center"/>
          </w:tcPr>
          <w:p w14:paraId="195829C4">
            <w:pPr>
              <w:spacing w:line="440" w:lineRule="exact"/>
              <w:jc w:val="center"/>
              <w:rPr>
                <w:rFonts w:hint="eastAsia" w:ascii="宋体" w:hAnsi="宋体" w:eastAsia="宋体" w:cs="Times New Roman"/>
                <w:bCs/>
                <w:color w:val="auto"/>
                <w:spacing w:val="-2"/>
                <w:sz w:val="21"/>
                <w:szCs w:val="21"/>
                <w:highlight w:val="none"/>
                <w:lang w:eastAsia="zh-CN"/>
              </w:rPr>
            </w:pPr>
          </w:p>
        </w:tc>
      </w:tr>
      <w:tr w14:paraId="3A68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4" w:hRule="atLeast"/>
        </w:trPr>
        <w:tc>
          <w:tcPr>
            <w:tcW w:w="720" w:type="dxa"/>
            <w:noWrap w:val="0"/>
            <w:vAlign w:val="center"/>
          </w:tcPr>
          <w:p w14:paraId="498E5EA8">
            <w:pPr>
              <w:spacing w:line="440" w:lineRule="exact"/>
              <w:jc w:val="center"/>
              <w:rPr>
                <w:rFonts w:hint="default" w:ascii="宋体" w:hAnsi="宋体" w:eastAsia="宋体" w:cs="Times New Roman"/>
                <w:bCs/>
                <w:color w:val="auto"/>
                <w:spacing w:val="-2"/>
                <w:kern w:val="2"/>
                <w:sz w:val="21"/>
                <w:szCs w:val="21"/>
                <w:highlight w:val="none"/>
                <w:lang w:val="en-US" w:eastAsia="zh-CN" w:bidi="ar-SA"/>
              </w:rPr>
            </w:pPr>
            <w:r>
              <w:rPr>
                <w:rFonts w:hint="eastAsia" w:ascii="宋体" w:hAnsi="宋体" w:eastAsia="宋体" w:cs="Times New Roman"/>
                <w:bCs/>
                <w:color w:val="auto"/>
                <w:spacing w:val="-2"/>
                <w:sz w:val="21"/>
                <w:szCs w:val="21"/>
                <w:highlight w:val="none"/>
                <w:lang w:val="en-US" w:eastAsia="zh-CN"/>
              </w:rPr>
              <w:t>67</w:t>
            </w:r>
          </w:p>
        </w:tc>
        <w:tc>
          <w:tcPr>
            <w:tcW w:w="884" w:type="dxa"/>
            <w:noWrap w:val="0"/>
            <w:vAlign w:val="center"/>
          </w:tcPr>
          <w:p w14:paraId="32ED9397">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高压煎药机</w:t>
            </w:r>
          </w:p>
        </w:tc>
        <w:tc>
          <w:tcPr>
            <w:tcW w:w="6428" w:type="dxa"/>
            <w:noWrap w:val="0"/>
            <w:vAlign w:val="center"/>
          </w:tcPr>
          <w:p w14:paraId="1C3357A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密闭二连体煎药机</w:t>
            </w:r>
          </w:p>
          <w:p w14:paraId="135D8C9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容量：20000ML×2</w:t>
            </w:r>
          </w:p>
          <w:p w14:paraId="2AEF391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功率：3600W</w:t>
            </w:r>
          </w:p>
          <w:p w14:paraId="57DC622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采用一键式滑盖锁紧技术。</w:t>
            </w:r>
          </w:p>
          <w:p w14:paraId="6894B65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锅体为不锈钢材质，每锅煎3-15付药。</w:t>
            </w:r>
          </w:p>
          <w:p w14:paraId="3349EDC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密闭煎煮。</w:t>
            </w:r>
          </w:p>
          <w:p w14:paraId="55F94FC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机械挤压装置。</w:t>
            </w:r>
          </w:p>
          <w:p w14:paraId="4EFCB67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武火、文火自动转换。</w:t>
            </w:r>
          </w:p>
          <w:p w14:paraId="1BF586A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可设定高温时间，高温时间1-255分任意设定，可采用倒计时自动显示。</w:t>
            </w:r>
          </w:p>
          <w:p w14:paraId="0E08656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可设置煎药时间或煎药完毕自动提示。</w:t>
            </w:r>
          </w:p>
          <w:p w14:paraId="4B3440A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具有安全卸压阀，双安全阀超压报警，自动卸压自动闭合。</w:t>
            </w:r>
          </w:p>
          <w:p w14:paraId="01E337D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数字显示温度。</w:t>
            </w:r>
          </w:p>
          <w:p w14:paraId="23A97BD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rPr>
            </w:pPr>
            <w:r>
              <w:rPr>
                <w:rFonts w:hint="eastAsia" w:ascii="宋体" w:hAnsi="宋体" w:eastAsia="宋体" w:cs="Times New Roman"/>
                <w:bCs/>
                <w:color w:val="auto"/>
                <w:spacing w:val="-2"/>
                <w:sz w:val="21"/>
                <w:szCs w:val="21"/>
                <w:highlight w:val="none"/>
              </w:rPr>
              <w:t>单体煎药机，可与包装机组合。</w:t>
            </w:r>
          </w:p>
          <w:p w14:paraId="06EE2F7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rPr>
              <w:t>采用数控技术，操作简洁。</w:t>
            </w:r>
          </w:p>
        </w:tc>
        <w:tc>
          <w:tcPr>
            <w:tcW w:w="773" w:type="dxa"/>
            <w:noWrap w:val="0"/>
            <w:vAlign w:val="center"/>
          </w:tcPr>
          <w:p w14:paraId="265D82A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w:t>
            </w:r>
          </w:p>
        </w:tc>
        <w:tc>
          <w:tcPr>
            <w:tcW w:w="952" w:type="dxa"/>
            <w:noWrap w:val="0"/>
            <w:vAlign w:val="center"/>
          </w:tcPr>
          <w:p w14:paraId="5AA561D7">
            <w:pPr>
              <w:spacing w:line="440" w:lineRule="exact"/>
              <w:jc w:val="center"/>
              <w:rPr>
                <w:rFonts w:hint="eastAsia" w:ascii="宋体" w:hAnsi="宋体" w:eastAsia="宋体" w:cs="Times New Roman"/>
                <w:bCs/>
                <w:color w:val="auto"/>
                <w:spacing w:val="-2"/>
                <w:sz w:val="21"/>
                <w:szCs w:val="21"/>
                <w:highlight w:val="none"/>
                <w:lang w:eastAsia="zh-CN"/>
              </w:rPr>
            </w:pPr>
          </w:p>
        </w:tc>
      </w:tr>
      <w:tr w14:paraId="2784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20" w:type="dxa"/>
            <w:noWrap w:val="0"/>
            <w:vAlign w:val="center"/>
          </w:tcPr>
          <w:p w14:paraId="1EEAF66E">
            <w:pPr>
              <w:spacing w:line="440" w:lineRule="exact"/>
              <w:jc w:val="center"/>
              <w:rPr>
                <w:rFonts w:hint="default" w:ascii="宋体" w:hAnsi="宋体" w:eastAsia="宋体" w:cs="Times New Roman"/>
                <w:bCs/>
                <w:color w:val="auto"/>
                <w:spacing w:val="-2"/>
                <w:kern w:val="2"/>
                <w:sz w:val="21"/>
                <w:szCs w:val="21"/>
                <w:highlight w:val="none"/>
                <w:lang w:val="en-US" w:eastAsia="zh-CN" w:bidi="ar-SA"/>
              </w:rPr>
            </w:pPr>
            <w:r>
              <w:rPr>
                <w:rFonts w:hint="eastAsia" w:ascii="宋体" w:hAnsi="宋体" w:eastAsia="宋体" w:cs="Times New Roman"/>
                <w:bCs/>
                <w:color w:val="auto"/>
                <w:spacing w:val="-2"/>
                <w:sz w:val="21"/>
                <w:szCs w:val="21"/>
                <w:highlight w:val="none"/>
                <w:lang w:val="en-US" w:eastAsia="zh-CN"/>
              </w:rPr>
              <w:t>68</w:t>
            </w:r>
          </w:p>
        </w:tc>
        <w:tc>
          <w:tcPr>
            <w:tcW w:w="884" w:type="dxa"/>
            <w:noWrap w:val="0"/>
            <w:vAlign w:val="center"/>
          </w:tcPr>
          <w:p w14:paraId="6E413E52">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微创拔牙铤</w:t>
            </w:r>
          </w:p>
        </w:tc>
        <w:tc>
          <w:tcPr>
            <w:tcW w:w="6428" w:type="dxa"/>
            <w:noWrap w:val="0"/>
            <w:vAlign w:val="center"/>
          </w:tcPr>
          <w:p w14:paraId="68C785E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拔牙或拔牙根时使用的起子。可重复使用，</w:t>
            </w:r>
          </w:p>
        </w:tc>
        <w:tc>
          <w:tcPr>
            <w:tcW w:w="773" w:type="dxa"/>
            <w:noWrap w:val="0"/>
            <w:vAlign w:val="center"/>
          </w:tcPr>
          <w:p w14:paraId="681172EE">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w:t>
            </w:r>
          </w:p>
        </w:tc>
        <w:tc>
          <w:tcPr>
            <w:tcW w:w="952" w:type="dxa"/>
            <w:noWrap w:val="0"/>
            <w:vAlign w:val="center"/>
          </w:tcPr>
          <w:p w14:paraId="135C1471">
            <w:pPr>
              <w:spacing w:line="440" w:lineRule="exact"/>
              <w:jc w:val="center"/>
              <w:rPr>
                <w:rFonts w:hint="eastAsia" w:ascii="宋体" w:hAnsi="宋体" w:eastAsia="宋体" w:cs="Times New Roman"/>
                <w:bCs/>
                <w:color w:val="auto"/>
                <w:spacing w:val="-2"/>
                <w:sz w:val="21"/>
                <w:szCs w:val="21"/>
                <w:highlight w:val="none"/>
                <w:lang w:eastAsia="zh-CN"/>
              </w:rPr>
            </w:pPr>
          </w:p>
        </w:tc>
      </w:tr>
      <w:tr w14:paraId="658B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3" w:hRule="atLeast"/>
        </w:trPr>
        <w:tc>
          <w:tcPr>
            <w:tcW w:w="720" w:type="dxa"/>
            <w:noWrap w:val="0"/>
            <w:vAlign w:val="center"/>
          </w:tcPr>
          <w:p w14:paraId="2D2D4E8D">
            <w:pPr>
              <w:spacing w:line="440" w:lineRule="exact"/>
              <w:jc w:val="center"/>
              <w:rPr>
                <w:rFonts w:hint="default" w:ascii="宋体" w:hAnsi="宋体" w:eastAsia="宋体" w:cs="Times New Roman"/>
                <w:bCs/>
                <w:color w:val="auto"/>
                <w:spacing w:val="-2"/>
                <w:kern w:val="2"/>
                <w:sz w:val="21"/>
                <w:szCs w:val="21"/>
                <w:highlight w:val="none"/>
                <w:lang w:val="en-US" w:eastAsia="zh-CN" w:bidi="ar-SA"/>
              </w:rPr>
            </w:pPr>
            <w:r>
              <w:rPr>
                <w:rFonts w:hint="eastAsia" w:ascii="宋体" w:hAnsi="宋体" w:eastAsia="宋体" w:cs="Times New Roman"/>
                <w:bCs/>
                <w:color w:val="auto"/>
                <w:spacing w:val="-2"/>
                <w:sz w:val="21"/>
                <w:szCs w:val="21"/>
                <w:highlight w:val="none"/>
                <w:lang w:val="en-US" w:eastAsia="zh-CN"/>
              </w:rPr>
              <w:t>69</w:t>
            </w:r>
          </w:p>
        </w:tc>
        <w:tc>
          <w:tcPr>
            <w:tcW w:w="884" w:type="dxa"/>
            <w:noWrap w:val="0"/>
            <w:vAlign w:val="center"/>
          </w:tcPr>
          <w:p w14:paraId="1EB54633">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全自动血培养仪</w:t>
            </w:r>
          </w:p>
        </w:tc>
        <w:tc>
          <w:tcPr>
            <w:tcW w:w="6428" w:type="dxa"/>
            <w:noWrap w:val="0"/>
            <w:vAlign w:val="center"/>
          </w:tcPr>
          <w:p w14:paraId="441F21C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1.检测原理：利用传感器检测技术，对培养瓶进行连续、非侵入式检测；</w:t>
            </w:r>
          </w:p>
          <w:p w14:paraId="6624A7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2.检测孔位：每个孔均有独立光学检测器，24小时不间断监测，检测周期≤10分钟；</w:t>
            </w:r>
          </w:p>
          <w:p w14:paraId="231D4DE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3.检测容量： ≥60瓶位，通过扩展单元可扩展至240瓶位；</w:t>
            </w:r>
          </w:p>
          <w:p w14:paraId="46E5C13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4.培养方式：每个单元可自由设置摇匀或静止；</w:t>
            </w:r>
          </w:p>
          <w:p w14:paraId="3DAD8B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5.孵育温度：单元分区恒温孵育，每个单元可设温度范围25℃-45℃，可以独立支持细菌、真菌孵育温度；</w:t>
            </w:r>
          </w:p>
          <w:p w14:paraId="7EFF57A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6.孵育温度准确度±0.5℃；</w:t>
            </w:r>
          </w:p>
          <w:p w14:paraId="6E79123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7.检测菌种：可检测细菌（含苛氧菌如流感嗜血杆菌、肺炎链球菌、化脓性链球菌等；厌氧菌如脆弱拟杆菌、产气荚膜梭菌等）、真菌（含白色假丝酵母菌等）；</w:t>
            </w:r>
          </w:p>
          <w:p w14:paraId="7846D88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8.检测方法：每种瓶有早期判断算法、速率法、加速法、慢生长算法，四种瓶类型≥10种算法；</w:t>
            </w:r>
          </w:p>
          <w:p w14:paraId="43F68F8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9.最短报阳时间＜2小时；</w:t>
            </w:r>
          </w:p>
          <w:p w14:paraId="6589DB20">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10.培养周期：可设置默认培养周期，同时支持单个培养瓶设置培养周期，最长可设42天；</w:t>
            </w:r>
          </w:p>
          <w:p w14:paraId="658E7E2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11.状态显示：软件界面、孵育箱门/面板、瓶位指示灯等实时显示样本及孔位状态，；</w:t>
            </w:r>
          </w:p>
          <w:p w14:paraId="63B1F8F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12.结果提示：对阴、阳性结果自动检测和提示；能提供远距离可视化以及声音、图形等相关报警信号提示；具备手工输入结果；支持远程结果提示；</w:t>
            </w:r>
          </w:p>
          <w:p w14:paraId="206F331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13.结果显示：图形化，可通过USB导出细菌生长曲线；</w:t>
            </w:r>
          </w:p>
          <w:p w14:paraId="0EBBA3A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14.初步阴性提示功能：支持阶段性的阴性结果预报；可自由设置阶段报告时间；</w:t>
            </w:r>
          </w:p>
          <w:p w14:paraId="0B2D54B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15.报警功能：提供温度失控、系统故障等报警；具有声光报警功能；</w:t>
            </w:r>
          </w:p>
          <w:p w14:paraId="66C805E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16.放瓶方式：直接扫码一步上样，可随意放瓶；支持批量装载培养瓶、卸载培养瓶；</w:t>
            </w:r>
          </w:p>
          <w:p w14:paraId="3C5B514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17.培养瓶种类：配套培养瓶包括需氧瓶、儿童瓶和厌氧瓶；</w:t>
            </w:r>
          </w:p>
          <w:p w14:paraId="79FE74E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18.培养瓶材质：采用塑料瓶，有效防止摔碎造成的生物危害；</w:t>
            </w:r>
          </w:p>
          <w:p w14:paraId="07BA959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19.添加多种树脂颗粒进行抗生素吸附；</w:t>
            </w:r>
          </w:p>
          <w:p w14:paraId="5549E162">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20.覆盖17大类临床常见药物如：酶抑制剂类（头孢哌酮-舒巴坦、哌拉西林-他唑巴坦），氨基糖苷类（庆大霉素、阿米卡星），糖肽类（万古霉素、替考拉宁），喹诺酮类（左氧氟沙星），大环内酯类（阿奇霉素），青霉素类（青霉素G），脂肽类（达托霉素），噁唑烷酮类（利奈唑胺），甘氨酰环素类（替加环素），粘菌素类（多粘菌素），一代头孢类（头孢唑啉），二代头孢类（头孢呋辛），头霉素类（头孢西丁），碳青霉烯类（亚胺培南），三唑类（氟康唑），棘白素类（卡泊芬净），多烯类（两性霉素B）等，（以试剂说明书为准）；</w:t>
            </w:r>
          </w:p>
          <w:p w14:paraId="39F4BA9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21.生长因子：培养瓶中含有V因子和X因子等苛养因子，可以促进苛氧菌如流感嗜血杆菌等生长；</w:t>
            </w:r>
          </w:p>
          <w:p w14:paraId="223EC2ED">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22.重新装载：支持培养瓶的重新装载；</w:t>
            </w:r>
          </w:p>
          <w:p w14:paraId="5A84FAA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23.孔位校准：支持人工校准和自动质控；</w:t>
            </w:r>
          </w:p>
          <w:p w14:paraId="01355C2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24.数据录入及管理：支持条码扫描、手工输入或信息系统数据导入；内置数据管理系统；支持对数据进行存储、备份、查询、导出和统计分析；支持自定义组合查询方式：可通过培养瓶信息、样本信息、病人信息进行查询；</w:t>
            </w:r>
          </w:p>
          <w:p w14:paraId="055BF8E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25.卫星血培养：支持连接信息管理系统，并进行卫星血培养；</w:t>
            </w:r>
          </w:p>
          <w:p w14:paraId="12BEEC1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26.通信：支持网口、USB接口；支持通过HL7协议联网管理系统，如LIS、HIS系统；以及微生物信息管理系统</w:t>
            </w:r>
          </w:p>
          <w:p w14:paraId="4DDE8E8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27.操作系统：≥10英寸彩色液晶触摸屏，支持外置键盘和鼠标。</w:t>
            </w:r>
          </w:p>
        </w:tc>
        <w:tc>
          <w:tcPr>
            <w:tcW w:w="773" w:type="dxa"/>
            <w:noWrap w:val="0"/>
            <w:vAlign w:val="center"/>
          </w:tcPr>
          <w:p w14:paraId="2C83A22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1台</w:t>
            </w:r>
          </w:p>
        </w:tc>
        <w:tc>
          <w:tcPr>
            <w:tcW w:w="952" w:type="dxa"/>
            <w:noWrap w:val="0"/>
            <w:vAlign w:val="center"/>
          </w:tcPr>
          <w:p w14:paraId="33A9F182">
            <w:pPr>
              <w:spacing w:line="440" w:lineRule="exact"/>
              <w:jc w:val="center"/>
              <w:rPr>
                <w:rFonts w:hint="eastAsia" w:ascii="宋体" w:hAnsi="宋体" w:eastAsia="宋体" w:cs="Times New Roman"/>
                <w:bCs/>
                <w:color w:val="auto"/>
                <w:spacing w:val="-2"/>
                <w:sz w:val="21"/>
                <w:szCs w:val="21"/>
                <w:highlight w:val="none"/>
                <w:lang w:eastAsia="zh-CN"/>
              </w:rPr>
            </w:pPr>
          </w:p>
        </w:tc>
      </w:tr>
      <w:tr w14:paraId="68D1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720" w:type="dxa"/>
            <w:noWrap w:val="0"/>
            <w:vAlign w:val="center"/>
          </w:tcPr>
          <w:p w14:paraId="17A61B5A">
            <w:pPr>
              <w:spacing w:line="440" w:lineRule="exact"/>
              <w:jc w:val="center"/>
              <w:rPr>
                <w:rFonts w:hint="default" w:ascii="宋体" w:hAnsi="宋体" w:eastAsia="宋体" w:cs="Times New Roman"/>
                <w:bCs/>
                <w:color w:val="auto"/>
                <w:spacing w:val="-2"/>
                <w:sz w:val="21"/>
                <w:szCs w:val="21"/>
                <w:highlight w:val="none"/>
                <w:lang w:val="en-US" w:eastAsia="zh-CN"/>
              </w:rPr>
            </w:pPr>
            <w:r>
              <w:rPr>
                <w:rFonts w:hint="eastAsia" w:ascii="宋体" w:hAnsi="宋体" w:eastAsia="宋体" w:cs="Times New Roman"/>
                <w:bCs/>
                <w:color w:val="auto"/>
                <w:spacing w:val="-2"/>
                <w:sz w:val="21"/>
                <w:szCs w:val="21"/>
                <w:highlight w:val="none"/>
                <w:lang w:val="en-US" w:eastAsia="zh-CN"/>
              </w:rPr>
              <w:t>70</w:t>
            </w:r>
          </w:p>
        </w:tc>
        <w:tc>
          <w:tcPr>
            <w:tcW w:w="884" w:type="dxa"/>
            <w:noWrap w:val="0"/>
            <w:vAlign w:val="center"/>
          </w:tcPr>
          <w:p w14:paraId="11DFC374">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婴儿排痰器</w:t>
            </w:r>
          </w:p>
        </w:tc>
        <w:tc>
          <w:tcPr>
            <w:tcW w:w="6428" w:type="dxa"/>
            <w:noWrap w:val="0"/>
            <w:vAlign w:val="center"/>
          </w:tcPr>
          <w:p w14:paraId="7C822699">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1.设备用途：协助成人、儿童术后或体弱患者增强排除呼吸系统痰液等分泌物的能力工作原理机械震动排查</w:t>
            </w:r>
          </w:p>
          <w:p w14:paraId="2A9B2097">
            <w:pPr>
              <w:keepNext w:val="0"/>
              <w:keepLines w:val="0"/>
              <w:pageBreakBefore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2.结构形式：双路落地推车式</w:t>
            </w:r>
          </w:p>
          <w:p w14:paraId="2152DC2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4.显示方式:全电脑控制液晶显示，中文菜单操作。</w:t>
            </w:r>
          </w:p>
          <w:p w14:paraId="4DFBAC0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5.操作方式:采用一键飞梭的旋钮操作方式。</w:t>
            </w:r>
          </w:p>
          <w:p w14:paraId="70DD8E1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6.操作模式：分为手动操作模式和自动操作模式。手动模式可根据患者需求设定治疗功率。</w:t>
            </w:r>
          </w:p>
          <w:p w14:paraId="4980D9D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7.≥四种自动程序模式： 分别为轻柔、标准、加强、超强等模式。自动程序模式直接由电脑自动控制。</w:t>
            </w:r>
          </w:p>
          <w:p w14:paraId="49435BF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8.震动幅度</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lang w:eastAsia="zh-CN"/>
              </w:rPr>
              <w:t>7mm。</w:t>
            </w:r>
          </w:p>
          <w:p w14:paraId="34BFC3AB">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9.动力头外径尺寸：成人型传动动力头直径90mm±2mm；儿童型传动动力头直径47mm±2mm</w:t>
            </w:r>
          </w:p>
          <w:p w14:paraId="63648981">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10.操作过程中手柄可以360度自由转动。</w:t>
            </w:r>
          </w:p>
          <w:p w14:paraId="453DF75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11.治疗软轴可以自由插拔。</w:t>
            </w:r>
          </w:p>
          <w:p w14:paraId="6A93D954">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12.传动软轴长度：≥1.8m</w:t>
            </w:r>
          </w:p>
          <w:p w14:paraId="571D091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13.电机：稀土永磁低压直流电机，治疗过程中动力无衰减、无卡滞。</w:t>
            </w:r>
          </w:p>
          <w:p w14:paraId="0D6BA3B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16.每路输出配置</w:t>
            </w:r>
            <w:r>
              <w:rPr>
                <w:rFonts w:hint="eastAsia" w:ascii="宋体" w:hAnsi="宋体" w:eastAsia="宋体" w:cs="Times New Roman"/>
                <w:bCs/>
                <w:color w:val="auto"/>
                <w:spacing w:val="-2"/>
                <w:sz w:val="21"/>
                <w:szCs w:val="21"/>
                <w:highlight w:val="none"/>
                <w:lang w:val="en-US" w:eastAsia="zh-CN"/>
              </w:rPr>
              <w:t>≥</w:t>
            </w:r>
            <w:r>
              <w:rPr>
                <w:rFonts w:hint="eastAsia" w:ascii="宋体" w:hAnsi="宋体" w:eastAsia="宋体" w:cs="Times New Roman"/>
                <w:bCs/>
                <w:color w:val="auto"/>
                <w:spacing w:val="-2"/>
                <w:sz w:val="21"/>
                <w:szCs w:val="21"/>
                <w:highlight w:val="none"/>
                <w:lang w:eastAsia="zh-CN"/>
              </w:rPr>
              <w:t>5个治疗头。</w:t>
            </w:r>
          </w:p>
          <w:p w14:paraId="386755A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成人治疗头5个</w:t>
            </w:r>
          </w:p>
          <w:p w14:paraId="605F5F98">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长方形海绵头1个：长240mm±5mm，宽70mm±5mm；特定型，肋部、肩部等治疗或护理</w:t>
            </w:r>
          </w:p>
          <w:p w14:paraId="08B20D8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圆形平面橡胶头1个：直径130mm±5mm；增强型，治疗用</w:t>
            </w:r>
          </w:p>
          <w:p w14:paraId="1B7F2055">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圆形海绵头1个：直径90mm±5mm；标准型，治疗或护理用</w:t>
            </w:r>
          </w:p>
          <w:p w14:paraId="04490607">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圆形海绵头1个：直径78mm±5mm；柔和型，护理或儿童专用</w:t>
            </w:r>
          </w:p>
          <w:p w14:paraId="0BFE535C">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圆形海绵头1个：直径68mm±5mm；柔和型，儿童专用</w:t>
            </w:r>
          </w:p>
          <w:p w14:paraId="4FF33EE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儿童治疗头5个</w:t>
            </w:r>
          </w:p>
          <w:p w14:paraId="0B2F69D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圆形海绵头1个：直径78mm±5mm；标准型，护理或儿童专用</w:t>
            </w:r>
          </w:p>
          <w:p w14:paraId="2E3BA776">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圆形海绵头1个：直径68mm±5mm；柔和型，儿童专用</w:t>
            </w:r>
          </w:p>
          <w:p w14:paraId="24F5969F">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圆形海绵头1个：直径58mm±5mm；柔和型，婴幼儿专用</w:t>
            </w:r>
            <w:r>
              <w:rPr>
                <w:rFonts w:hint="eastAsia" w:ascii="宋体" w:hAnsi="宋体" w:eastAsia="宋体" w:cs="Times New Roman"/>
                <w:bCs/>
                <w:color w:val="auto"/>
                <w:spacing w:val="-2"/>
                <w:sz w:val="21"/>
                <w:szCs w:val="21"/>
                <w:highlight w:val="none"/>
                <w:lang w:eastAsia="zh-CN"/>
              </w:rPr>
              <w:tab/>
            </w:r>
          </w:p>
          <w:p w14:paraId="6604613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圆形海绵头1个：直径40mm±5mm；柔和型，新生儿专用</w:t>
            </w:r>
          </w:p>
          <w:p w14:paraId="4C3248EA">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圆形橡胶头1个：直径30mm±5mm；适用于婴幼儿与新生儿</w:t>
            </w:r>
          </w:p>
          <w:p w14:paraId="3EFB6B69">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17.频率范围：成人10Hz-60Hz，儿童10Hz-30Hz，频率可调，步距1Hz，误差为±20%。</w:t>
            </w:r>
          </w:p>
          <w:p w14:paraId="527EEB43">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18.定时时间：手动模式定时时间:1min-60min，步距为1min，误差为±1%；</w:t>
            </w:r>
          </w:p>
          <w:p w14:paraId="28DB7C9E">
            <w:pPr>
              <w:keepNext w:val="0"/>
              <w:keepLines w:val="0"/>
              <w:pageBreakBefore w:val="0"/>
              <w:kinsoku/>
              <w:wordWrap/>
              <w:overflowPunct/>
              <w:topLinePunct w:val="0"/>
              <w:autoSpaceDE/>
              <w:autoSpaceDN/>
              <w:bidi w:val="0"/>
              <w:adjustRightInd/>
              <w:snapToGrid/>
              <w:spacing w:line="440" w:lineRule="exact"/>
              <w:ind w:firstLine="412" w:firstLineChars="200"/>
              <w:jc w:val="left"/>
              <w:textAlignment w:val="auto"/>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自动模式定时时间分四档:5min、10min、15min、20min，误差为±1%。</w:t>
            </w:r>
          </w:p>
        </w:tc>
        <w:tc>
          <w:tcPr>
            <w:tcW w:w="773" w:type="dxa"/>
            <w:noWrap w:val="0"/>
            <w:vAlign w:val="center"/>
          </w:tcPr>
          <w:p w14:paraId="2655B9B0">
            <w:pPr>
              <w:spacing w:line="440" w:lineRule="exact"/>
              <w:jc w:val="center"/>
              <w:rPr>
                <w:rFonts w:hint="eastAsia" w:ascii="宋体" w:hAnsi="宋体" w:eastAsia="宋体" w:cs="Times New Roman"/>
                <w:bCs/>
                <w:color w:val="auto"/>
                <w:spacing w:val="-2"/>
                <w:sz w:val="21"/>
                <w:szCs w:val="21"/>
                <w:highlight w:val="none"/>
                <w:lang w:eastAsia="zh-CN"/>
              </w:rPr>
            </w:pPr>
            <w:r>
              <w:rPr>
                <w:rFonts w:hint="eastAsia" w:ascii="宋体" w:hAnsi="宋体" w:eastAsia="宋体" w:cs="Times New Roman"/>
                <w:bCs/>
                <w:color w:val="auto"/>
                <w:spacing w:val="-2"/>
                <w:sz w:val="21"/>
                <w:szCs w:val="21"/>
                <w:highlight w:val="none"/>
                <w:lang w:eastAsia="zh-CN"/>
              </w:rPr>
              <w:t>1台</w:t>
            </w:r>
          </w:p>
        </w:tc>
        <w:tc>
          <w:tcPr>
            <w:tcW w:w="952" w:type="dxa"/>
            <w:noWrap w:val="0"/>
            <w:vAlign w:val="center"/>
          </w:tcPr>
          <w:p w14:paraId="26BCBB2E">
            <w:pPr>
              <w:spacing w:line="440" w:lineRule="exact"/>
              <w:jc w:val="center"/>
              <w:rPr>
                <w:rFonts w:hint="eastAsia" w:ascii="宋体" w:hAnsi="宋体" w:eastAsia="宋体" w:cs="Times New Roman"/>
                <w:bCs/>
                <w:color w:val="auto"/>
                <w:spacing w:val="-2"/>
                <w:sz w:val="21"/>
                <w:szCs w:val="21"/>
                <w:highlight w:val="none"/>
                <w:lang w:eastAsia="zh-CN"/>
              </w:rPr>
            </w:pPr>
          </w:p>
        </w:tc>
      </w:tr>
    </w:tbl>
    <w:p w14:paraId="4A2137E7">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p w14:paraId="3F5B421D">
      <w:pPr>
        <w:pStyle w:val="35"/>
        <w:jc w:val="center"/>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16"/>
    </w:p>
    <w:p w14:paraId="2377305E">
      <w:pPr>
        <w:pStyle w:val="35"/>
        <w:jc w:val="left"/>
        <w:rPr>
          <w:rFonts w:hint="eastAsia" w:asciiTheme="minorEastAsia" w:hAnsiTheme="minorEastAsia" w:eastAsiaTheme="minorEastAsia" w:cstheme="minorEastAsia"/>
          <w:b/>
          <w:bCs/>
          <w:color w:val="auto"/>
          <w:sz w:val="24"/>
          <w:szCs w:val="24"/>
          <w:highlight w:val="none"/>
          <w:lang w:val="en-US" w:eastAsia="zh-CN"/>
        </w:rPr>
      </w:pPr>
    </w:p>
    <w:p w14:paraId="62E3C8B2">
      <w:pPr>
        <w:pStyle w:val="35"/>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1、资格审查</w:t>
      </w:r>
    </w:p>
    <w:tbl>
      <w:tblPr>
        <w:tblStyle w:val="28"/>
        <w:tblW w:w="9912" w:type="dxa"/>
        <w:jc w:val="center"/>
        <w:tblLayout w:type="fixed"/>
        <w:tblCellMar>
          <w:top w:w="0" w:type="dxa"/>
          <w:left w:w="0" w:type="dxa"/>
          <w:bottom w:w="0" w:type="dxa"/>
          <w:right w:w="0" w:type="dxa"/>
        </w:tblCellMar>
      </w:tblPr>
      <w:tblGrid>
        <w:gridCol w:w="750"/>
        <w:gridCol w:w="1950"/>
        <w:gridCol w:w="7212"/>
      </w:tblGrid>
      <w:tr w14:paraId="51A2E0E9">
        <w:tblPrEx>
          <w:tblCellMar>
            <w:top w:w="0" w:type="dxa"/>
            <w:left w:w="0" w:type="dxa"/>
            <w:bottom w:w="0" w:type="dxa"/>
            <w:right w:w="0" w:type="dxa"/>
          </w:tblCellMar>
        </w:tblPrEx>
        <w:trPr>
          <w:trHeight w:val="77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4C08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1713C">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F03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444DB4DA">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8B6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2EFB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70AEE">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18DD3D84">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401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356CED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92DE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E1A28D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CF50828">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7A7A4D00">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5CF4EF10">
        <w:tblPrEx>
          <w:tblCellMar>
            <w:top w:w="0" w:type="dxa"/>
            <w:left w:w="0" w:type="dxa"/>
            <w:bottom w:w="0" w:type="dxa"/>
            <w:right w:w="0" w:type="dxa"/>
          </w:tblCellMar>
        </w:tblPrEx>
        <w:trPr>
          <w:trHeight w:val="794" w:hRule="atLeast"/>
          <w:jc w:val="center"/>
        </w:trPr>
        <w:tc>
          <w:tcPr>
            <w:tcW w:w="75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CD9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63DC15C">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04FA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7058EE61">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40E1BAB6">
        <w:tblPrEx>
          <w:tblCellMar>
            <w:top w:w="0" w:type="dxa"/>
            <w:left w:w="0" w:type="dxa"/>
            <w:bottom w:w="0" w:type="dxa"/>
            <w:right w:w="0" w:type="dxa"/>
          </w:tblCellMar>
        </w:tblPrEx>
        <w:trPr>
          <w:trHeight w:val="794" w:hRule="atLeast"/>
          <w:jc w:val="center"/>
        </w:trPr>
        <w:tc>
          <w:tcPr>
            <w:tcW w:w="75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358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2C8101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D2F5D">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62115E55">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7823E0C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63EF03AA">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48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BBA5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3AEDB">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4ACAE104">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CC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48F3C">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926DA">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655A1CDB">
        <w:tblPrEx>
          <w:tblCellMar>
            <w:top w:w="0" w:type="dxa"/>
            <w:left w:w="0" w:type="dxa"/>
            <w:bottom w:w="0" w:type="dxa"/>
            <w:right w:w="0" w:type="dxa"/>
          </w:tblCellMar>
        </w:tblPrEx>
        <w:trPr>
          <w:trHeight w:val="418"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F6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EB00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6709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173A916">
        <w:tblPrEx>
          <w:tblCellMar>
            <w:top w:w="0" w:type="dxa"/>
            <w:left w:w="0" w:type="dxa"/>
            <w:bottom w:w="0" w:type="dxa"/>
            <w:right w:w="0" w:type="dxa"/>
          </w:tblCellMar>
        </w:tblPrEx>
        <w:trPr>
          <w:trHeight w:val="1017"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D80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E5EF1">
            <w:pPr>
              <w:adjustRightInd w:val="0"/>
              <w:snapToGrid w:val="0"/>
              <w:spacing w:line="360" w:lineRule="auto"/>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政府采购政策支持</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F0631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供应商应为中小企业或 供应商以合同分包形式参与采购活动，获得采购合同的供应商将采购合同中的30%分包给一家或多家中小企业。</w:t>
            </w:r>
          </w:p>
          <w:p w14:paraId="0D4896D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请根据要求单独上传《中小企业声明函》。格式以采购文件要求为准。</w:t>
            </w:r>
          </w:p>
          <w:p w14:paraId="15BC97A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请根据要求单独上传《分包意向协议》，并在分包意向协议中进行相关比例说明。格式以采购文件要求为准</w:t>
            </w:r>
          </w:p>
        </w:tc>
      </w:tr>
      <w:tr w14:paraId="1EC8111D">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52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0A53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8AC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4D5705E3">
      <w:pPr>
        <w:pStyle w:val="35"/>
        <w:jc w:val="left"/>
        <w:rPr>
          <w:rFonts w:hint="eastAsia"/>
          <w:color w:val="auto"/>
          <w:highlight w:val="none"/>
          <w:lang w:val="en-US" w:eastAsia="zh-CN"/>
        </w:rPr>
      </w:pPr>
    </w:p>
    <w:p w14:paraId="26A8C28C">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5FC98E31">
      <w:pPr>
        <w:pStyle w:val="35"/>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2、符合性审查</w:t>
      </w:r>
    </w:p>
    <w:tbl>
      <w:tblPr>
        <w:tblStyle w:val="2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05"/>
        <w:gridCol w:w="2104"/>
        <w:gridCol w:w="6214"/>
      </w:tblGrid>
      <w:tr w14:paraId="591C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 w:type="dxa"/>
            <w:vMerge w:val="restart"/>
            <w:noWrap w:val="0"/>
            <w:vAlign w:val="center"/>
          </w:tcPr>
          <w:p w14:paraId="38538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505" w:type="dxa"/>
            <w:noWrap w:val="0"/>
            <w:vAlign w:val="center"/>
          </w:tcPr>
          <w:p w14:paraId="2F123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104" w:type="dxa"/>
            <w:noWrap w:val="0"/>
            <w:vAlign w:val="center"/>
          </w:tcPr>
          <w:p w14:paraId="4274B9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214" w:type="dxa"/>
            <w:noWrap w:val="0"/>
            <w:vAlign w:val="center"/>
          </w:tcPr>
          <w:p w14:paraId="77595A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名称是否与营业执照一致</w:t>
            </w:r>
          </w:p>
        </w:tc>
      </w:tr>
      <w:tr w14:paraId="5A26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75" w:type="dxa"/>
            <w:vMerge w:val="continue"/>
            <w:noWrap w:val="0"/>
            <w:vAlign w:val="center"/>
          </w:tcPr>
          <w:p w14:paraId="16A2A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C78F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104" w:type="dxa"/>
            <w:noWrap w:val="0"/>
            <w:vAlign w:val="center"/>
          </w:tcPr>
          <w:p w14:paraId="3A9CB7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w:t>
            </w:r>
            <w:r>
              <w:rPr>
                <w:rFonts w:hint="eastAsia" w:ascii="宋体" w:hAnsi="宋体" w:cs="宋体"/>
                <w:b w:val="0"/>
                <w:bCs w:val="0"/>
                <w:color w:val="auto"/>
                <w:sz w:val="24"/>
                <w:szCs w:val="24"/>
                <w:highlight w:val="none"/>
                <w:vertAlign w:val="baseline"/>
                <w:lang w:val="en-US" w:eastAsia="zh-CN"/>
              </w:rPr>
              <w:t>标</w:t>
            </w:r>
            <w:r>
              <w:rPr>
                <w:rFonts w:hint="eastAsia" w:ascii="宋体" w:hAnsi="宋体" w:eastAsia="宋体" w:cs="宋体"/>
                <w:b w:val="0"/>
                <w:bCs w:val="0"/>
                <w:color w:val="auto"/>
                <w:sz w:val="24"/>
                <w:szCs w:val="24"/>
                <w:highlight w:val="none"/>
                <w:vertAlign w:val="baseline"/>
                <w:lang w:val="en-US" w:eastAsia="zh-CN"/>
              </w:rPr>
              <w:t>文件签署、盖章</w:t>
            </w:r>
          </w:p>
        </w:tc>
        <w:tc>
          <w:tcPr>
            <w:tcW w:w="6214" w:type="dxa"/>
            <w:noWrap w:val="0"/>
            <w:vAlign w:val="center"/>
          </w:tcPr>
          <w:p w14:paraId="23269A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5CD4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75" w:type="dxa"/>
            <w:vMerge w:val="continue"/>
            <w:noWrap w:val="0"/>
            <w:vAlign w:val="center"/>
          </w:tcPr>
          <w:p w14:paraId="063A9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7148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104" w:type="dxa"/>
            <w:noWrap w:val="0"/>
            <w:vAlign w:val="center"/>
          </w:tcPr>
          <w:p w14:paraId="692448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6214" w:type="dxa"/>
            <w:noWrap w:val="0"/>
            <w:vAlign w:val="center"/>
          </w:tcPr>
          <w:p w14:paraId="7AF1DC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投标有效期等是否满足</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要求</w:t>
            </w:r>
          </w:p>
        </w:tc>
      </w:tr>
      <w:tr w14:paraId="3275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5" w:type="dxa"/>
            <w:vMerge w:val="continue"/>
            <w:noWrap w:val="0"/>
            <w:vAlign w:val="center"/>
          </w:tcPr>
          <w:p w14:paraId="12217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4D362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2104" w:type="dxa"/>
            <w:noWrap w:val="0"/>
            <w:vAlign w:val="center"/>
          </w:tcPr>
          <w:p w14:paraId="3C5907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投标报价</w:t>
            </w:r>
          </w:p>
        </w:tc>
        <w:tc>
          <w:tcPr>
            <w:tcW w:w="6214" w:type="dxa"/>
            <w:noWrap w:val="0"/>
            <w:vAlign w:val="center"/>
          </w:tcPr>
          <w:p w14:paraId="30F887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的投标报价未超出本项目的最高限价且报价唯一</w:t>
            </w:r>
          </w:p>
        </w:tc>
      </w:tr>
      <w:tr w14:paraId="78B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75" w:type="dxa"/>
            <w:vMerge w:val="continue"/>
            <w:noWrap w:val="0"/>
            <w:vAlign w:val="center"/>
          </w:tcPr>
          <w:p w14:paraId="56AB5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12903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2104" w:type="dxa"/>
            <w:noWrap w:val="0"/>
            <w:vAlign w:val="center"/>
          </w:tcPr>
          <w:p w14:paraId="0ECBEE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投标报价合理性审查</w:t>
            </w:r>
          </w:p>
        </w:tc>
        <w:tc>
          <w:tcPr>
            <w:tcW w:w="6214" w:type="dxa"/>
            <w:noWrap w:val="0"/>
            <w:vAlign w:val="center"/>
          </w:tcPr>
          <w:p w14:paraId="3D71C4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w:t>
            </w:r>
          </w:p>
        </w:tc>
      </w:tr>
      <w:tr w14:paraId="1929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75" w:type="dxa"/>
            <w:vMerge w:val="continue"/>
            <w:noWrap w:val="0"/>
            <w:vAlign w:val="center"/>
          </w:tcPr>
          <w:p w14:paraId="1AE92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72FE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2104" w:type="dxa"/>
            <w:shd w:val="clear" w:color="auto" w:fill="auto"/>
            <w:noWrap w:val="0"/>
            <w:vAlign w:val="center"/>
          </w:tcPr>
          <w:p w14:paraId="0D5474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none"/>
                <w:lang w:val="en-US" w:eastAsia="zh-CN"/>
              </w:rPr>
              <w:t>对采购文件其他实质性条款满足情况</w:t>
            </w:r>
          </w:p>
        </w:tc>
        <w:tc>
          <w:tcPr>
            <w:tcW w:w="6214" w:type="dxa"/>
            <w:shd w:val="clear" w:color="auto" w:fill="auto"/>
            <w:noWrap w:val="0"/>
            <w:vAlign w:val="center"/>
          </w:tcPr>
          <w:p w14:paraId="6F4355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中已明确的其他实质性条款。</w:t>
            </w:r>
          </w:p>
        </w:tc>
      </w:tr>
      <w:tr w14:paraId="2232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98" w:type="dxa"/>
            <w:gridSpan w:val="4"/>
            <w:noWrap w:val="0"/>
            <w:vAlign w:val="center"/>
          </w:tcPr>
          <w:p w14:paraId="31EB34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符合性检查不通过者，作无效标处理，不得进入下一环节评审。</w:t>
            </w:r>
          </w:p>
        </w:tc>
      </w:tr>
    </w:tbl>
    <w:p w14:paraId="27796D52">
      <w:pPr>
        <w:rPr>
          <w:rFonts w:hint="eastAsia" w:asciiTheme="minorEastAsia" w:hAnsiTheme="minorEastAsia" w:eastAsiaTheme="minorEastAsia" w:cstheme="minorEastAsia"/>
          <w:b/>
          <w:bCs/>
          <w:color w:val="auto"/>
          <w:sz w:val="24"/>
          <w:szCs w:val="24"/>
          <w:highlight w:val="none"/>
          <w:lang w:val="en-US" w:eastAsia="zh-CN"/>
        </w:rPr>
      </w:pPr>
    </w:p>
    <w:p w14:paraId="1A23E8F2">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37E83E2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详细评审</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标项一</w:t>
      </w:r>
      <w:r>
        <w:rPr>
          <w:rFonts w:hint="eastAsia" w:asciiTheme="minorEastAsia" w:hAnsiTheme="minorEastAsia" w:eastAsiaTheme="minorEastAsia" w:cstheme="minorEastAsia"/>
          <w:b/>
          <w:bCs w:val="0"/>
          <w:color w:val="auto"/>
          <w:sz w:val="24"/>
          <w:szCs w:val="24"/>
          <w:highlight w:val="none"/>
          <w:lang w:eastAsia="zh-CN"/>
        </w:rPr>
        <w:t>）：</w:t>
      </w:r>
    </w:p>
    <w:p w14:paraId="5ED6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lang w:eastAsia="zh-CN"/>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70</w:t>
      </w:r>
      <w:r>
        <w:rPr>
          <w:rFonts w:hint="eastAsia" w:asciiTheme="minorEastAsia" w:hAnsiTheme="minorEastAsia" w:eastAsiaTheme="minorEastAsia" w:cstheme="minorEastAsia"/>
          <w:bCs/>
          <w:color w:val="auto"/>
          <w:sz w:val="24"/>
          <w:szCs w:val="24"/>
          <w:highlight w:val="none"/>
        </w:rPr>
        <w:t>,最终得分=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tbl>
      <w:tblPr>
        <w:tblStyle w:val="28"/>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2"/>
        <w:gridCol w:w="1425"/>
        <w:gridCol w:w="1517"/>
        <w:gridCol w:w="6410"/>
      </w:tblGrid>
      <w:tr w14:paraId="78BF121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noWrap w:val="0"/>
            <w:vAlign w:val="center"/>
          </w:tcPr>
          <w:p w14:paraId="0BC9AB25">
            <w:pPr>
              <w:pStyle w:val="87"/>
              <w:spacing w:before="0" w:after="0" w:line="240" w:lineRule="auto"/>
              <w:ind w:firstLine="0"/>
              <w:rPr>
                <w:rFonts w:ascii="宋体" w:hAnsi="宋体"/>
                <w:color w:val="auto"/>
                <w:sz w:val="24"/>
                <w:szCs w:val="24"/>
                <w:highlight w:val="none"/>
              </w:rPr>
            </w:pPr>
            <w:r>
              <w:rPr>
                <w:rFonts w:hint="eastAsia" w:ascii="宋体" w:hAnsi="宋体"/>
                <w:color w:val="auto"/>
                <w:sz w:val="24"/>
                <w:szCs w:val="24"/>
                <w:highlight w:val="none"/>
              </w:rPr>
              <w:t>序号</w:t>
            </w:r>
          </w:p>
        </w:tc>
        <w:tc>
          <w:tcPr>
            <w:tcW w:w="1425" w:type="dxa"/>
            <w:noWrap w:val="0"/>
            <w:vAlign w:val="center"/>
          </w:tcPr>
          <w:p w14:paraId="38FC4AF5">
            <w:pPr>
              <w:pStyle w:val="87"/>
              <w:spacing w:before="0" w:after="0" w:line="240" w:lineRule="auto"/>
              <w:ind w:firstLine="0"/>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1517" w:type="dxa"/>
            <w:noWrap w:val="0"/>
            <w:vAlign w:val="center"/>
          </w:tcPr>
          <w:p w14:paraId="1275391D">
            <w:pPr>
              <w:pStyle w:val="87"/>
              <w:spacing w:before="0" w:after="0" w:line="240" w:lineRule="auto"/>
              <w:ind w:firstLine="0"/>
              <w:jc w:val="center"/>
              <w:rPr>
                <w:rFonts w:ascii="宋体" w:hAnsi="宋体"/>
                <w:color w:val="auto"/>
                <w:sz w:val="24"/>
                <w:szCs w:val="24"/>
                <w:highlight w:val="none"/>
              </w:rPr>
            </w:pPr>
            <w:r>
              <w:rPr>
                <w:rFonts w:hint="eastAsia" w:ascii="宋体" w:hAnsi="宋体"/>
                <w:color w:val="auto"/>
                <w:sz w:val="24"/>
                <w:szCs w:val="24"/>
                <w:highlight w:val="none"/>
              </w:rPr>
              <w:t>评分标准</w:t>
            </w:r>
          </w:p>
        </w:tc>
        <w:tc>
          <w:tcPr>
            <w:tcW w:w="6410" w:type="dxa"/>
            <w:noWrap w:val="0"/>
            <w:vAlign w:val="center"/>
          </w:tcPr>
          <w:p w14:paraId="1D998458">
            <w:pPr>
              <w:pStyle w:val="87"/>
              <w:spacing w:before="0" w:after="0" w:line="240" w:lineRule="auto"/>
              <w:ind w:firstLine="0"/>
              <w:jc w:val="center"/>
              <w:rPr>
                <w:rFonts w:ascii="宋体" w:hAnsi="宋体"/>
                <w:color w:val="auto"/>
                <w:sz w:val="24"/>
                <w:szCs w:val="24"/>
                <w:highlight w:val="none"/>
              </w:rPr>
            </w:pPr>
            <w:r>
              <w:rPr>
                <w:rFonts w:hint="eastAsia" w:ascii="宋体" w:hAnsi="宋体"/>
                <w:color w:val="auto"/>
                <w:sz w:val="24"/>
                <w:szCs w:val="24"/>
                <w:highlight w:val="none"/>
              </w:rPr>
              <w:t>分值</w:t>
            </w:r>
          </w:p>
        </w:tc>
      </w:tr>
      <w:tr w14:paraId="6FB8B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82" w:type="dxa"/>
            <w:tcBorders>
              <w:top w:val="single" w:color="auto" w:sz="4" w:space="0"/>
              <w:bottom w:val="single" w:color="auto" w:sz="4" w:space="0"/>
              <w:right w:val="single" w:color="auto" w:sz="4" w:space="0"/>
            </w:tcBorders>
            <w:noWrap w:val="0"/>
            <w:vAlign w:val="center"/>
          </w:tcPr>
          <w:p w14:paraId="3D102FBC">
            <w:pPr>
              <w:jc w:val="center"/>
              <w:rPr>
                <w:color w:val="auto"/>
                <w:sz w:val="24"/>
                <w:szCs w:val="22"/>
                <w:highlight w:val="none"/>
              </w:rPr>
            </w:pPr>
            <w:r>
              <w:rPr>
                <w:color w:val="auto"/>
                <w:sz w:val="24"/>
                <w:szCs w:val="22"/>
                <w:highlight w:val="none"/>
              </w:rPr>
              <w:t>1</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B66023E">
            <w:pPr>
              <w:spacing w:line="360" w:lineRule="auto"/>
              <w:jc w:val="center"/>
              <w:rPr>
                <w:color w:val="auto"/>
                <w:sz w:val="24"/>
                <w:szCs w:val="22"/>
                <w:highlight w:val="none"/>
              </w:rPr>
            </w:pPr>
            <w:r>
              <w:rPr>
                <w:rFonts w:hint="eastAsia"/>
                <w:color w:val="auto"/>
                <w:sz w:val="24"/>
                <w:szCs w:val="22"/>
                <w:highlight w:val="none"/>
              </w:rPr>
              <w:t>投标人报价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9ED2469">
            <w:pPr>
              <w:spacing w:line="360" w:lineRule="auto"/>
              <w:jc w:val="center"/>
              <w:rPr>
                <w:color w:val="auto"/>
                <w:sz w:val="24"/>
                <w:szCs w:val="22"/>
                <w:highlight w:val="none"/>
              </w:rPr>
            </w:pPr>
            <w:r>
              <w:rPr>
                <w:color w:val="auto"/>
                <w:sz w:val="24"/>
                <w:szCs w:val="22"/>
                <w:highlight w:val="none"/>
              </w:rPr>
              <w:t>30</w:t>
            </w:r>
            <w:r>
              <w:rPr>
                <w:rFonts w:hint="eastAsia"/>
                <w:color w:val="auto"/>
                <w:sz w:val="24"/>
                <w:szCs w:val="22"/>
                <w:highlight w:val="none"/>
              </w:rPr>
              <w:t>分</w:t>
            </w:r>
          </w:p>
        </w:tc>
        <w:tc>
          <w:tcPr>
            <w:tcW w:w="6410" w:type="dxa"/>
            <w:tcBorders>
              <w:top w:val="single" w:color="auto" w:sz="4" w:space="0"/>
              <w:left w:val="single" w:color="auto" w:sz="4" w:space="0"/>
              <w:bottom w:val="single" w:color="auto" w:sz="4" w:space="0"/>
            </w:tcBorders>
            <w:noWrap w:val="0"/>
            <w:vAlign w:val="center"/>
          </w:tcPr>
          <w:p w14:paraId="6F4B758F">
            <w:pPr>
              <w:spacing w:line="360" w:lineRule="auto"/>
              <w:rPr>
                <w:color w:val="auto"/>
                <w:sz w:val="24"/>
                <w:szCs w:val="22"/>
                <w:highlight w:val="none"/>
              </w:rPr>
            </w:pPr>
            <w:r>
              <w:rPr>
                <w:rFonts w:hint="eastAsia"/>
                <w:color w:val="auto"/>
                <w:sz w:val="24"/>
                <w:szCs w:val="22"/>
                <w:highlight w:val="none"/>
              </w:rPr>
              <w:t>在满足招标文件要求的前提下，取各投标人有效报价的最低价作为评标基准价</w:t>
            </w:r>
            <w:r>
              <w:rPr>
                <w:color w:val="auto"/>
                <w:sz w:val="24"/>
                <w:szCs w:val="22"/>
                <w:highlight w:val="none"/>
              </w:rPr>
              <w:t>,</w:t>
            </w:r>
            <w:r>
              <w:rPr>
                <w:rFonts w:hint="eastAsia"/>
                <w:color w:val="auto"/>
                <w:sz w:val="24"/>
                <w:szCs w:val="22"/>
                <w:highlight w:val="none"/>
              </w:rPr>
              <w:t>满分为</w:t>
            </w:r>
            <w:r>
              <w:rPr>
                <w:color w:val="auto"/>
                <w:sz w:val="24"/>
                <w:szCs w:val="22"/>
                <w:highlight w:val="none"/>
              </w:rPr>
              <w:t>30</w:t>
            </w:r>
            <w:r>
              <w:rPr>
                <w:rFonts w:hint="eastAsia"/>
                <w:color w:val="auto"/>
                <w:sz w:val="24"/>
                <w:szCs w:val="22"/>
                <w:highlight w:val="none"/>
              </w:rPr>
              <w:t>分；价格分的计算投标报价得分</w:t>
            </w:r>
            <w:r>
              <w:rPr>
                <w:color w:val="auto"/>
                <w:sz w:val="24"/>
                <w:szCs w:val="22"/>
                <w:highlight w:val="none"/>
              </w:rPr>
              <w:t>=(</w:t>
            </w:r>
            <w:r>
              <w:rPr>
                <w:rFonts w:hint="eastAsia"/>
                <w:color w:val="auto"/>
                <w:sz w:val="24"/>
                <w:szCs w:val="22"/>
                <w:highlight w:val="none"/>
              </w:rPr>
              <w:t>评标基准价／投标报价</w:t>
            </w:r>
            <w:r>
              <w:rPr>
                <w:color w:val="auto"/>
                <w:sz w:val="24"/>
                <w:szCs w:val="22"/>
                <w:highlight w:val="none"/>
              </w:rPr>
              <w:t>)</w:t>
            </w:r>
            <w:r>
              <w:rPr>
                <w:rFonts w:hint="eastAsia"/>
                <w:color w:val="auto"/>
                <w:sz w:val="24"/>
                <w:szCs w:val="22"/>
                <w:highlight w:val="none"/>
              </w:rPr>
              <w:t>×</w:t>
            </w:r>
            <w:r>
              <w:rPr>
                <w:color w:val="auto"/>
                <w:sz w:val="24"/>
                <w:szCs w:val="22"/>
                <w:highlight w:val="none"/>
              </w:rPr>
              <w:t>0.30</w:t>
            </w:r>
            <w:r>
              <w:rPr>
                <w:rFonts w:hint="eastAsia"/>
                <w:color w:val="auto"/>
                <w:sz w:val="24"/>
                <w:szCs w:val="22"/>
                <w:highlight w:val="none"/>
              </w:rPr>
              <w:t>×</w:t>
            </w:r>
            <w:r>
              <w:rPr>
                <w:color w:val="auto"/>
                <w:sz w:val="24"/>
                <w:szCs w:val="22"/>
                <w:highlight w:val="none"/>
              </w:rPr>
              <w:t>100</w:t>
            </w:r>
            <w:r>
              <w:rPr>
                <w:rFonts w:hint="eastAsia"/>
                <w:color w:val="auto"/>
                <w:sz w:val="24"/>
                <w:szCs w:val="22"/>
                <w:highlight w:val="none"/>
              </w:rPr>
              <w:t>。（计算分值时，百分比按四舍五入原则，保留小数点后二位数）</w:t>
            </w:r>
          </w:p>
        </w:tc>
      </w:tr>
      <w:tr w14:paraId="72A3A17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Merge w:val="restart"/>
            <w:noWrap w:val="0"/>
            <w:vAlign w:val="center"/>
          </w:tcPr>
          <w:p w14:paraId="6F3AEBCD">
            <w:pPr>
              <w:pStyle w:val="88"/>
              <w:jc w:val="center"/>
              <w:rPr>
                <w:rFonts w:hint="eastAsia" w:eastAsia="宋体"/>
                <w:color w:val="auto"/>
                <w:sz w:val="24"/>
                <w:szCs w:val="24"/>
                <w:highlight w:val="none"/>
                <w:lang w:eastAsia="zh-CN"/>
              </w:rPr>
            </w:pPr>
            <w:r>
              <w:rPr>
                <w:rFonts w:hint="eastAsia"/>
                <w:color w:val="auto"/>
                <w:sz w:val="24"/>
                <w:szCs w:val="24"/>
                <w:highlight w:val="none"/>
                <w:lang w:val="en-US" w:eastAsia="zh-CN"/>
              </w:rPr>
              <w:t>2</w:t>
            </w:r>
          </w:p>
        </w:tc>
        <w:tc>
          <w:tcPr>
            <w:tcW w:w="1425" w:type="dxa"/>
            <w:vMerge w:val="restart"/>
            <w:noWrap w:val="0"/>
            <w:vAlign w:val="center"/>
          </w:tcPr>
          <w:p w14:paraId="6A1914E7">
            <w:pPr>
              <w:pStyle w:val="87"/>
              <w:spacing w:before="0"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配套产品配置及性能指标</w:t>
            </w:r>
          </w:p>
        </w:tc>
        <w:tc>
          <w:tcPr>
            <w:tcW w:w="1517" w:type="dxa"/>
            <w:noWrap w:val="0"/>
            <w:vAlign w:val="center"/>
          </w:tcPr>
          <w:p w14:paraId="263D4FF0">
            <w:pPr>
              <w:pStyle w:val="87"/>
              <w:spacing w:before="0" w:after="0" w:line="360" w:lineRule="auto"/>
              <w:ind w:firstLine="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配置及性能指标</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c>
          <w:tcPr>
            <w:tcW w:w="6410" w:type="dxa"/>
            <w:noWrap w:val="0"/>
            <w:vAlign w:val="center"/>
          </w:tcPr>
          <w:p w14:paraId="745A57B4">
            <w:pPr>
              <w:pStyle w:val="87"/>
              <w:spacing w:before="0"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响应文件对采购文件要求的“采购需求与技术参数”要求完全响应无偏离的得 </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 分。</w:t>
            </w:r>
            <w:r>
              <w:rPr>
                <w:rFonts w:hint="eastAsia" w:ascii="宋体" w:hAnsi="宋体"/>
                <w:color w:val="auto"/>
                <w:sz w:val="24"/>
                <w:szCs w:val="24"/>
                <w:highlight w:val="none"/>
                <w:lang w:val="en-US" w:eastAsia="zh-CN"/>
              </w:rPr>
              <w:t>核心产品每</w:t>
            </w:r>
            <w:r>
              <w:rPr>
                <w:rFonts w:hint="eastAsia" w:ascii="宋体" w:hAnsi="宋体"/>
                <w:color w:val="auto"/>
                <w:sz w:val="24"/>
                <w:szCs w:val="24"/>
                <w:highlight w:val="none"/>
              </w:rPr>
              <w:t>出现一条负偏离,扣</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非核心产品</w:t>
            </w:r>
            <w:r>
              <w:rPr>
                <w:rFonts w:hint="eastAsia" w:ascii="宋体" w:hAnsi="宋体"/>
                <w:color w:val="auto"/>
                <w:sz w:val="24"/>
                <w:szCs w:val="24"/>
                <w:highlight w:val="none"/>
              </w:rPr>
              <w:t>每出现一条负偏离扣1分，超过</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(含)条，本项不得分。</w:t>
            </w:r>
          </w:p>
          <w:p w14:paraId="65DB2147">
            <w:pPr>
              <w:pStyle w:val="87"/>
              <w:spacing w:before="0" w:after="0"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注1</w:t>
            </w:r>
            <w:r>
              <w:rPr>
                <w:rFonts w:hint="eastAsia" w:ascii="宋体" w:hAnsi="宋体"/>
                <w:color w:val="auto"/>
                <w:sz w:val="24"/>
                <w:szCs w:val="24"/>
                <w:highlight w:val="none"/>
              </w:rPr>
              <w:t>：供应商须对照“采购需求与技术参数”中的条款逐条在《技术条款偏离表》中列明响应内容及是否偏离等情况，根据要求提供相关证明资料，须在“备注”栏说明证明资料在《响应文件》的具体位置或页码。</w:t>
            </w:r>
          </w:p>
          <w:p w14:paraId="40EA236E">
            <w:pPr>
              <w:pStyle w:val="87"/>
              <w:spacing w:before="0" w:after="0" w:line="36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注2：供应商须对本采购文件“采购需求与技术参数”中“★”项及“(非“★”项)”的条款进行点对点应答，技术参数中要求提供相关证明材料，包括但不限于厂家公开发布的产品彩页或产品说明书或检测报告等未提供或不符合要求的，视为负偏离。如提供虚假证明文件，按政府采购相关法律、法规处理。</w:t>
            </w:r>
          </w:p>
        </w:tc>
      </w:tr>
      <w:tr w14:paraId="264B40D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Merge w:val="continue"/>
            <w:noWrap w:val="0"/>
            <w:vAlign w:val="center"/>
          </w:tcPr>
          <w:p w14:paraId="4B8D1F22">
            <w:pPr>
              <w:pStyle w:val="88"/>
              <w:jc w:val="center"/>
              <w:rPr>
                <w:color w:val="auto"/>
                <w:sz w:val="24"/>
                <w:szCs w:val="24"/>
                <w:highlight w:val="none"/>
              </w:rPr>
            </w:pPr>
          </w:p>
        </w:tc>
        <w:tc>
          <w:tcPr>
            <w:tcW w:w="1425" w:type="dxa"/>
            <w:vMerge w:val="continue"/>
            <w:noWrap w:val="0"/>
            <w:vAlign w:val="center"/>
          </w:tcPr>
          <w:p w14:paraId="15E8B807">
            <w:pPr>
              <w:pStyle w:val="87"/>
              <w:spacing w:before="0" w:after="0" w:line="360" w:lineRule="auto"/>
              <w:ind w:firstLine="0"/>
              <w:rPr>
                <w:rFonts w:hint="eastAsia" w:ascii="宋体" w:hAnsi="宋体"/>
                <w:color w:val="auto"/>
                <w:sz w:val="24"/>
                <w:szCs w:val="24"/>
                <w:highlight w:val="none"/>
              </w:rPr>
            </w:pPr>
          </w:p>
        </w:tc>
        <w:tc>
          <w:tcPr>
            <w:tcW w:w="1517" w:type="dxa"/>
            <w:noWrap w:val="0"/>
            <w:vAlign w:val="center"/>
          </w:tcPr>
          <w:p w14:paraId="62D40463">
            <w:pPr>
              <w:pStyle w:val="87"/>
              <w:spacing w:before="0"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产品实用性及功能性（5分）</w:t>
            </w:r>
          </w:p>
        </w:tc>
        <w:tc>
          <w:tcPr>
            <w:tcW w:w="6410" w:type="dxa"/>
            <w:noWrap w:val="0"/>
            <w:vAlign w:val="center"/>
          </w:tcPr>
          <w:p w14:paraId="080FF582">
            <w:pPr>
              <w:pStyle w:val="87"/>
              <w:spacing w:before="0" w:after="0" w:line="360" w:lineRule="auto"/>
              <w:ind w:firstLine="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便于临床工作需要为前提，根据设备配置符合程度综合评判：所投产品</w:t>
            </w:r>
            <w:r>
              <w:rPr>
                <w:rFonts w:hint="eastAsia" w:ascii="宋体" w:hAnsi="宋体" w:eastAsia="宋体" w:cs="Times New Roman"/>
                <w:color w:val="auto"/>
                <w:sz w:val="24"/>
                <w:szCs w:val="24"/>
                <w:highlight w:val="none"/>
              </w:rPr>
              <w:fldChar w:fldCharType="begin"/>
            </w:r>
            <w:r>
              <w:rPr>
                <w:rFonts w:hint="eastAsia" w:ascii="宋体" w:hAnsi="宋体" w:eastAsia="宋体" w:cs="Times New Roman"/>
                <w:color w:val="auto"/>
                <w:sz w:val="24"/>
                <w:szCs w:val="24"/>
                <w:highlight w:val="none"/>
              </w:rPr>
              <w:instrText xml:space="preserve"> = 1 \* GB3 \* MERGEFORMAT </w:instrText>
            </w:r>
            <w:r>
              <w:rPr>
                <w:rFonts w:hint="eastAsia" w:ascii="宋体" w:hAnsi="宋体" w:eastAsia="宋体" w:cs="Times New Roman"/>
                <w:color w:val="auto"/>
                <w:sz w:val="24"/>
                <w:szCs w:val="24"/>
                <w:highlight w:val="none"/>
              </w:rPr>
              <w:fldChar w:fldCharType="separate"/>
            </w:r>
            <w:r>
              <w:rPr>
                <w:rFonts w:hint="eastAsia" w:ascii="宋体" w:hAnsi="宋体" w:eastAsia="宋体" w:cs="Times New Roman"/>
                <w:color w:val="auto"/>
                <w:sz w:val="24"/>
                <w:szCs w:val="24"/>
                <w:highlight w:val="none"/>
              </w:rPr>
              <w:t>①</w:t>
            </w:r>
            <w:r>
              <w:rPr>
                <w:rFonts w:hint="eastAsia" w:ascii="宋体" w:hAnsi="宋体" w:eastAsia="宋体" w:cs="Times New Roman"/>
                <w:color w:val="auto"/>
                <w:sz w:val="24"/>
                <w:szCs w:val="24"/>
                <w:highlight w:val="none"/>
              </w:rPr>
              <w:fldChar w:fldCharType="end"/>
            </w:r>
            <w:r>
              <w:rPr>
                <w:rFonts w:hint="eastAsia" w:ascii="宋体" w:hAnsi="宋体" w:eastAsia="宋体" w:cs="Times New Roman"/>
                <w:color w:val="auto"/>
                <w:sz w:val="24"/>
                <w:szCs w:val="24"/>
                <w:highlight w:val="none"/>
              </w:rPr>
              <w:t>功能配置齐全，</w:t>
            </w:r>
            <w:r>
              <w:rPr>
                <w:rFonts w:hint="eastAsia" w:ascii="宋体" w:hAnsi="宋体" w:eastAsia="宋体" w:cs="Times New Roman"/>
                <w:color w:val="auto"/>
                <w:sz w:val="24"/>
                <w:szCs w:val="24"/>
                <w:highlight w:val="none"/>
              </w:rPr>
              <w:fldChar w:fldCharType="begin"/>
            </w:r>
            <w:r>
              <w:rPr>
                <w:rFonts w:hint="eastAsia" w:ascii="宋体" w:hAnsi="宋体" w:eastAsia="宋体" w:cs="Times New Roman"/>
                <w:color w:val="auto"/>
                <w:sz w:val="24"/>
                <w:szCs w:val="24"/>
                <w:highlight w:val="none"/>
              </w:rPr>
              <w:instrText xml:space="preserve"> = 2 \* GB3 \* MERGEFORMAT </w:instrText>
            </w:r>
            <w:r>
              <w:rPr>
                <w:rFonts w:hint="eastAsia" w:ascii="宋体" w:hAnsi="宋体" w:eastAsia="宋体" w:cs="Times New Roman"/>
                <w:color w:val="auto"/>
                <w:sz w:val="24"/>
                <w:szCs w:val="24"/>
                <w:highlight w:val="none"/>
              </w:rPr>
              <w:fldChar w:fldCharType="separate"/>
            </w:r>
            <w:r>
              <w:rPr>
                <w:rFonts w:hint="eastAsia" w:ascii="宋体" w:hAnsi="宋体" w:eastAsia="宋体" w:cs="Times New Roman"/>
                <w:color w:val="auto"/>
                <w:sz w:val="24"/>
                <w:szCs w:val="24"/>
                <w:highlight w:val="none"/>
              </w:rPr>
              <w:t>②</w:t>
            </w:r>
            <w:r>
              <w:rPr>
                <w:rFonts w:hint="eastAsia" w:ascii="宋体" w:hAnsi="宋体" w:eastAsia="宋体" w:cs="Times New Roman"/>
                <w:color w:val="auto"/>
                <w:sz w:val="24"/>
                <w:szCs w:val="24"/>
                <w:highlight w:val="none"/>
              </w:rPr>
              <w:fldChar w:fldCharType="end"/>
            </w:r>
            <w:r>
              <w:rPr>
                <w:rFonts w:hint="eastAsia" w:ascii="宋体" w:hAnsi="宋体" w:eastAsia="宋体" w:cs="Times New Roman"/>
                <w:color w:val="auto"/>
                <w:sz w:val="24"/>
                <w:szCs w:val="24"/>
                <w:highlight w:val="none"/>
              </w:rPr>
              <w:t>满足临床使用要求，</w:t>
            </w:r>
            <w:r>
              <w:rPr>
                <w:rFonts w:hint="eastAsia" w:ascii="宋体" w:hAnsi="宋体" w:eastAsia="宋体" w:cs="Times New Roman"/>
                <w:color w:val="auto"/>
                <w:sz w:val="24"/>
                <w:szCs w:val="24"/>
                <w:highlight w:val="none"/>
              </w:rPr>
              <w:fldChar w:fldCharType="begin"/>
            </w:r>
            <w:r>
              <w:rPr>
                <w:rFonts w:hint="eastAsia" w:ascii="宋体" w:hAnsi="宋体" w:eastAsia="宋体" w:cs="Times New Roman"/>
                <w:color w:val="auto"/>
                <w:sz w:val="24"/>
                <w:szCs w:val="24"/>
                <w:highlight w:val="none"/>
              </w:rPr>
              <w:instrText xml:space="preserve"> = 3 \* GB3 \* MERGEFORMAT </w:instrText>
            </w:r>
            <w:r>
              <w:rPr>
                <w:rFonts w:hint="eastAsia" w:ascii="宋体" w:hAnsi="宋体" w:eastAsia="宋体" w:cs="Times New Roman"/>
                <w:color w:val="auto"/>
                <w:sz w:val="24"/>
                <w:szCs w:val="24"/>
                <w:highlight w:val="none"/>
              </w:rPr>
              <w:fldChar w:fldCharType="separate"/>
            </w:r>
            <w:r>
              <w:rPr>
                <w:rFonts w:hint="eastAsia" w:ascii="宋体" w:hAnsi="宋体" w:eastAsia="宋体" w:cs="Times New Roman"/>
                <w:color w:val="auto"/>
                <w:sz w:val="24"/>
                <w:szCs w:val="24"/>
                <w:highlight w:val="none"/>
              </w:rPr>
              <w:t>③</w:t>
            </w:r>
            <w:r>
              <w:rPr>
                <w:rFonts w:hint="eastAsia" w:ascii="宋体" w:hAnsi="宋体" w:eastAsia="宋体" w:cs="Times New Roman"/>
                <w:color w:val="auto"/>
                <w:sz w:val="24"/>
                <w:szCs w:val="24"/>
                <w:highlight w:val="none"/>
              </w:rPr>
              <w:fldChar w:fldCharType="end"/>
            </w:r>
            <w:r>
              <w:rPr>
                <w:rFonts w:hint="eastAsia" w:ascii="宋体" w:hAnsi="宋体" w:eastAsia="宋体" w:cs="Times New Roman"/>
                <w:color w:val="auto"/>
                <w:sz w:val="24"/>
                <w:szCs w:val="24"/>
                <w:highlight w:val="none"/>
              </w:rPr>
              <w:t>操作简便，</w:t>
            </w:r>
            <w:r>
              <w:rPr>
                <w:rFonts w:hint="eastAsia" w:ascii="宋体" w:hAnsi="宋体" w:eastAsia="宋体" w:cs="Times New Roman"/>
                <w:color w:val="auto"/>
                <w:sz w:val="24"/>
                <w:szCs w:val="24"/>
                <w:highlight w:val="none"/>
              </w:rPr>
              <w:fldChar w:fldCharType="begin"/>
            </w:r>
            <w:r>
              <w:rPr>
                <w:rFonts w:hint="eastAsia" w:ascii="宋体" w:hAnsi="宋体" w:eastAsia="宋体" w:cs="Times New Roman"/>
                <w:color w:val="auto"/>
                <w:sz w:val="24"/>
                <w:szCs w:val="24"/>
                <w:highlight w:val="none"/>
              </w:rPr>
              <w:instrText xml:space="preserve"> = 4 \* GB3 \* MERGEFORMAT </w:instrText>
            </w:r>
            <w:r>
              <w:rPr>
                <w:rFonts w:hint="eastAsia" w:ascii="宋体" w:hAnsi="宋体" w:eastAsia="宋体" w:cs="Times New Roman"/>
                <w:color w:val="auto"/>
                <w:sz w:val="24"/>
                <w:szCs w:val="24"/>
                <w:highlight w:val="none"/>
              </w:rPr>
              <w:fldChar w:fldCharType="separate"/>
            </w:r>
            <w:r>
              <w:rPr>
                <w:rFonts w:hint="eastAsia" w:ascii="宋体" w:hAnsi="宋体" w:eastAsia="宋体" w:cs="Times New Roman"/>
                <w:color w:val="auto"/>
                <w:sz w:val="24"/>
                <w:szCs w:val="24"/>
                <w:highlight w:val="none"/>
              </w:rPr>
              <w:t>④</w:t>
            </w:r>
            <w:r>
              <w:rPr>
                <w:rFonts w:hint="eastAsia" w:ascii="宋体" w:hAnsi="宋体" w:eastAsia="宋体" w:cs="Times New Roman"/>
                <w:color w:val="auto"/>
                <w:sz w:val="24"/>
                <w:szCs w:val="24"/>
                <w:highlight w:val="none"/>
              </w:rPr>
              <w:fldChar w:fldCharType="end"/>
            </w:r>
            <w:r>
              <w:rPr>
                <w:rFonts w:hint="eastAsia" w:ascii="宋体" w:hAnsi="宋体" w:eastAsia="宋体" w:cs="Times New Roman"/>
                <w:color w:val="auto"/>
                <w:sz w:val="24"/>
                <w:szCs w:val="24"/>
                <w:highlight w:val="none"/>
              </w:rPr>
              <w:t>产品质量合格，</w:t>
            </w:r>
            <w:r>
              <w:rPr>
                <w:rFonts w:hint="eastAsia" w:ascii="宋体" w:hAnsi="宋体" w:eastAsia="宋体" w:cs="Times New Roman"/>
                <w:color w:val="auto"/>
                <w:sz w:val="24"/>
                <w:szCs w:val="24"/>
                <w:highlight w:val="none"/>
              </w:rPr>
              <w:fldChar w:fldCharType="begin"/>
            </w:r>
            <w:r>
              <w:rPr>
                <w:rFonts w:hint="eastAsia" w:ascii="宋体" w:hAnsi="宋体" w:eastAsia="宋体" w:cs="Times New Roman"/>
                <w:color w:val="auto"/>
                <w:sz w:val="24"/>
                <w:szCs w:val="24"/>
                <w:highlight w:val="none"/>
              </w:rPr>
              <w:instrText xml:space="preserve"> = 5 \* GB3 \* MERGEFORMAT </w:instrText>
            </w:r>
            <w:r>
              <w:rPr>
                <w:rFonts w:hint="eastAsia" w:ascii="宋体" w:hAnsi="宋体" w:eastAsia="宋体" w:cs="Times New Roman"/>
                <w:color w:val="auto"/>
                <w:sz w:val="24"/>
                <w:szCs w:val="24"/>
                <w:highlight w:val="none"/>
              </w:rPr>
              <w:fldChar w:fldCharType="separate"/>
            </w:r>
            <w:r>
              <w:rPr>
                <w:rFonts w:hint="eastAsia" w:ascii="宋体" w:hAnsi="宋体" w:eastAsia="宋体" w:cs="Times New Roman"/>
                <w:color w:val="auto"/>
                <w:sz w:val="24"/>
                <w:szCs w:val="24"/>
                <w:highlight w:val="none"/>
              </w:rPr>
              <w:t>⑤</w:t>
            </w:r>
            <w:r>
              <w:rPr>
                <w:rFonts w:hint="eastAsia" w:ascii="宋体" w:hAnsi="宋体" w:eastAsia="宋体" w:cs="Times New Roman"/>
                <w:color w:val="auto"/>
                <w:sz w:val="24"/>
                <w:szCs w:val="24"/>
                <w:highlight w:val="none"/>
              </w:rPr>
              <w:fldChar w:fldCharType="end"/>
            </w:r>
            <w:r>
              <w:rPr>
                <w:rFonts w:hint="eastAsia" w:ascii="宋体" w:hAnsi="宋体" w:eastAsia="宋体" w:cs="Times New Roman"/>
                <w:color w:val="auto"/>
                <w:sz w:val="24"/>
                <w:szCs w:val="24"/>
                <w:highlight w:val="none"/>
              </w:rPr>
              <w:t>后期维护成本低且简单。</w:t>
            </w:r>
          </w:p>
          <w:p w14:paraId="24855693">
            <w:pPr>
              <w:pStyle w:val="87"/>
              <w:spacing w:before="0" w:after="0" w:line="360" w:lineRule="auto"/>
              <w:ind w:firstLine="0"/>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提供以上内容得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分，每有一项缺项或漏项扣1分，每有一处缺陷扣0.5分，扣完为止。(缺陷是指:前后内容不一致、存在凭空编造、前后逻辑错误、涉及的规范及标准错误、项目名称或实施地点区域错误、内容简略或与本项目无关等任意一种情形等)。</w:t>
            </w:r>
          </w:p>
        </w:tc>
      </w:tr>
      <w:tr w14:paraId="5FA655C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Merge w:val="restart"/>
            <w:noWrap w:val="0"/>
            <w:vAlign w:val="center"/>
          </w:tcPr>
          <w:p w14:paraId="664383C3">
            <w:pPr>
              <w:pStyle w:val="87"/>
              <w:spacing w:line="240" w:lineRule="auto"/>
              <w:ind w:firstLine="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425" w:type="dxa"/>
            <w:vMerge w:val="restart"/>
            <w:noWrap w:val="0"/>
            <w:vAlign w:val="center"/>
          </w:tcPr>
          <w:p w14:paraId="0B41320D">
            <w:pPr>
              <w:spacing w:line="360" w:lineRule="auto"/>
              <w:rPr>
                <w:rFonts w:ascii="宋体" w:hAnsi="宋体"/>
                <w:color w:val="auto"/>
                <w:sz w:val="24"/>
                <w:szCs w:val="24"/>
                <w:highlight w:val="none"/>
              </w:rPr>
            </w:pPr>
            <w:r>
              <w:rPr>
                <w:rFonts w:hint="eastAsia" w:ascii="宋体" w:hAnsi="宋体"/>
                <w:color w:val="auto"/>
                <w:sz w:val="24"/>
                <w:szCs w:val="24"/>
                <w:highlight w:val="none"/>
              </w:rPr>
              <w:t>质保承诺、售后服务体系及服务情况</w:t>
            </w:r>
          </w:p>
        </w:tc>
        <w:tc>
          <w:tcPr>
            <w:tcW w:w="1517" w:type="dxa"/>
            <w:tcBorders>
              <w:top w:val="single" w:color="auto" w:sz="4" w:space="0"/>
              <w:bottom w:val="single" w:color="auto" w:sz="4" w:space="0"/>
            </w:tcBorders>
            <w:noWrap w:val="0"/>
            <w:vAlign w:val="center"/>
          </w:tcPr>
          <w:p w14:paraId="741B6C2B">
            <w:pPr>
              <w:spacing w:line="360" w:lineRule="auto"/>
              <w:rPr>
                <w:rFonts w:ascii="宋体" w:hAnsi="宋体"/>
                <w:color w:val="auto"/>
                <w:sz w:val="24"/>
                <w:szCs w:val="24"/>
                <w:highlight w:val="none"/>
              </w:rPr>
            </w:pPr>
            <w:r>
              <w:rPr>
                <w:rFonts w:hint="eastAsia" w:ascii="宋体" w:hAnsi="宋体"/>
                <w:color w:val="auto"/>
                <w:sz w:val="24"/>
                <w:szCs w:val="24"/>
                <w:highlight w:val="none"/>
              </w:rPr>
              <w:t>售后服务人员（</w:t>
            </w:r>
            <w:r>
              <w:rPr>
                <w:rFonts w:ascii="宋体" w:hAnsi="宋体"/>
                <w:color w:val="auto"/>
                <w:sz w:val="24"/>
                <w:szCs w:val="24"/>
                <w:highlight w:val="none"/>
              </w:rPr>
              <w:t>6</w:t>
            </w:r>
            <w:r>
              <w:rPr>
                <w:rFonts w:hint="eastAsia" w:ascii="宋体" w:hAnsi="宋体"/>
                <w:color w:val="auto"/>
                <w:sz w:val="24"/>
                <w:szCs w:val="24"/>
                <w:highlight w:val="none"/>
              </w:rPr>
              <w:t>分）</w:t>
            </w:r>
          </w:p>
        </w:tc>
        <w:tc>
          <w:tcPr>
            <w:tcW w:w="6410" w:type="dxa"/>
            <w:tcBorders>
              <w:top w:val="single" w:color="auto" w:sz="4" w:space="0"/>
              <w:bottom w:val="single" w:color="auto" w:sz="4" w:space="0"/>
            </w:tcBorders>
            <w:noWrap w:val="0"/>
            <w:vAlign w:val="center"/>
          </w:tcPr>
          <w:p w14:paraId="3C8174D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制造商（至少包括核心产品）具备稳定的专业维护工程师，并具备</w:t>
            </w:r>
            <w:r>
              <w:rPr>
                <w:rFonts w:ascii="宋体" w:hAnsi="宋体"/>
                <w:color w:val="auto"/>
                <w:sz w:val="24"/>
                <w:szCs w:val="24"/>
                <w:highlight w:val="none"/>
              </w:rPr>
              <w:t>相应的</w:t>
            </w:r>
            <w:r>
              <w:rPr>
                <w:rFonts w:hint="eastAsia" w:ascii="宋体" w:hAnsi="宋体"/>
                <w:color w:val="auto"/>
                <w:sz w:val="24"/>
                <w:szCs w:val="24"/>
                <w:highlight w:val="none"/>
              </w:rPr>
              <w:t>专业维护资格，得</w:t>
            </w:r>
            <w:r>
              <w:rPr>
                <w:rFonts w:ascii="宋体" w:hAnsi="宋体"/>
                <w:color w:val="auto"/>
                <w:sz w:val="24"/>
                <w:szCs w:val="24"/>
                <w:highlight w:val="none"/>
              </w:rPr>
              <w:t>3</w:t>
            </w:r>
            <w:r>
              <w:rPr>
                <w:rFonts w:hint="eastAsia" w:ascii="宋体" w:hAnsi="宋体"/>
                <w:color w:val="auto"/>
                <w:sz w:val="24"/>
                <w:szCs w:val="24"/>
                <w:highlight w:val="none"/>
              </w:rPr>
              <w:t>分（资格证明材料可以是职称证书、制造商声明或内部培训合格证书等）。</w:t>
            </w:r>
          </w:p>
          <w:p w14:paraId="6F3F5C58">
            <w:pPr>
              <w:spacing w:line="360" w:lineRule="auto"/>
              <w:rPr>
                <w:rFonts w:ascii="宋体" w:hAnsi="宋体"/>
                <w:color w:val="auto"/>
                <w:sz w:val="24"/>
                <w:szCs w:val="24"/>
                <w:highlight w:val="none"/>
              </w:rPr>
            </w:pPr>
            <w:r>
              <w:rPr>
                <w:rFonts w:hint="eastAsia" w:ascii="宋体" w:hAnsi="宋体"/>
                <w:color w:val="auto"/>
                <w:sz w:val="24"/>
                <w:szCs w:val="24"/>
                <w:highlight w:val="none"/>
              </w:rPr>
              <w:t>产品制造商（至少包括核心产品）具备稳定的技术支持，并具备</w:t>
            </w:r>
            <w:r>
              <w:rPr>
                <w:rFonts w:ascii="宋体" w:hAnsi="宋体"/>
                <w:color w:val="auto"/>
                <w:sz w:val="24"/>
                <w:szCs w:val="24"/>
                <w:highlight w:val="none"/>
              </w:rPr>
              <w:t>相应的</w:t>
            </w:r>
            <w:r>
              <w:rPr>
                <w:rFonts w:hint="eastAsia" w:ascii="宋体" w:hAnsi="宋体"/>
                <w:color w:val="auto"/>
                <w:sz w:val="24"/>
                <w:szCs w:val="24"/>
                <w:highlight w:val="none"/>
              </w:rPr>
              <w:t>技术支持</w:t>
            </w:r>
            <w:r>
              <w:rPr>
                <w:rFonts w:ascii="宋体" w:hAnsi="宋体"/>
                <w:color w:val="auto"/>
                <w:sz w:val="24"/>
                <w:szCs w:val="24"/>
                <w:highlight w:val="none"/>
              </w:rPr>
              <w:t>资格</w:t>
            </w:r>
            <w:r>
              <w:rPr>
                <w:rFonts w:hint="eastAsia" w:ascii="宋体" w:hAnsi="宋体"/>
                <w:color w:val="auto"/>
                <w:sz w:val="24"/>
                <w:szCs w:val="24"/>
                <w:highlight w:val="none"/>
              </w:rPr>
              <w:t>，得</w:t>
            </w:r>
            <w:r>
              <w:rPr>
                <w:rFonts w:ascii="宋体" w:hAnsi="宋体"/>
                <w:color w:val="auto"/>
                <w:sz w:val="24"/>
                <w:szCs w:val="24"/>
                <w:highlight w:val="none"/>
              </w:rPr>
              <w:t>3</w:t>
            </w:r>
            <w:r>
              <w:rPr>
                <w:rFonts w:hint="eastAsia" w:ascii="宋体" w:hAnsi="宋体"/>
                <w:color w:val="auto"/>
                <w:sz w:val="24"/>
                <w:szCs w:val="24"/>
                <w:highlight w:val="none"/>
              </w:rPr>
              <w:t>分（资格证明材料可以是职称证书、制造商声明或内部培训合格证书等）。</w:t>
            </w:r>
          </w:p>
        </w:tc>
      </w:tr>
      <w:tr w14:paraId="2108687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Merge w:val="continue"/>
            <w:noWrap w:val="0"/>
            <w:vAlign w:val="center"/>
          </w:tcPr>
          <w:p w14:paraId="40906E21">
            <w:pPr>
              <w:pStyle w:val="87"/>
              <w:spacing w:line="240" w:lineRule="auto"/>
              <w:rPr>
                <w:rFonts w:hint="eastAsia" w:ascii="宋体" w:hAnsi="宋体"/>
                <w:color w:val="auto"/>
                <w:sz w:val="24"/>
                <w:szCs w:val="24"/>
                <w:highlight w:val="none"/>
              </w:rPr>
            </w:pPr>
          </w:p>
        </w:tc>
        <w:tc>
          <w:tcPr>
            <w:tcW w:w="1425" w:type="dxa"/>
            <w:vMerge w:val="continue"/>
            <w:noWrap w:val="0"/>
            <w:vAlign w:val="center"/>
          </w:tcPr>
          <w:p w14:paraId="692B333A">
            <w:pPr>
              <w:spacing w:line="360" w:lineRule="auto"/>
              <w:rPr>
                <w:rFonts w:hint="eastAsia" w:ascii="宋体" w:hAnsi="宋体"/>
                <w:color w:val="auto"/>
                <w:sz w:val="24"/>
                <w:szCs w:val="24"/>
                <w:highlight w:val="none"/>
              </w:rPr>
            </w:pPr>
          </w:p>
        </w:tc>
        <w:tc>
          <w:tcPr>
            <w:tcW w:w="1517" w:type="dxa"/>
            <w:tcBorders>
              <w:top w:val="single" w:color="auto" w:sz="4" w:space="0"/>
              <w:bottom w:val="single" w:color="auto" w:sz="4" w:space="0"/>
            </w:tcBorders>
            <w:noWrap w:val="0"/>
            <w:vAlign w:val="center"/>
          </w:tcPr>
          <w:p w14:paraId="1D1C7E84">
            <w:pPr>
              <w:spacing w:line="360" w:lineRule="auto"/>
              <w:rPr>
                <w:rFonts w:ascii="宋体" w:hAnsi="宋体"/>
                <w:color w:val="auto"/>
                <w:sz w:val="24"/>
                <w:szCs w:val="24"/>
                <w:highlight w:val="none"/>
              </w:rPr>
            </w:pPr>
            <w:r>
              <w:rPr>
                <w:rFonts w:hint="eastAsia" w:ascii="宋体" w:hAnsi="宋体"/>
                <w:color w:val="auto"/>
                <w:sz w:val="24"/>
                <w:szCs w:val="24"/>
                <w:highlight w:val="none"/>
              </w:rPr>
              <w:t>售后服务响应时间（</w:t>
            </w:r>
            <w:r>
              <w:rPr>
                <w:rFonts w:ascii="宋体" w:hAnsi="宋体"/>
                <w:color w:val="auto"/>
                <w:sz w:val="24"/>
                <w:szCs w:val="24"/>
                <w:highlight w:val="none"/>
              </w:rPr>
              <w:t>2</w:t>
            </w:r>
            <w:r>
              <w:rPr>
                <w:rFonts w:hint="eastAsia" w:ascii="宋体" w:hAnsi="宋体"/>
                <w:color w:val="auto"/>
                <w:sz w:val="24"/>
                <w:szCs w:val="24"/>
                <w:highlight w:val="none"/>
              </w:rPr>
              <w:t>分）</w:t>
            </w:r>
          </w:p>
        </w:tc>
        <w:tc>
          <w:tcPr>
            <w:tcW w:w="6410" w:type="dxa"/>
            <w:tcBorders>
              <w:top w:val="single" w:color="auto" w:sz="4" w:space="0"/>
              <w:bottom w:val="single" w:color="auto" w:sz="4" w:space="0"/>
            </w:tcBorders>
            <w:noWrap w:val="0"/>
            <w:vAlign w:val="center"/>
          </w:tcPr>
          <w:p w14:paraId="106BF346">
            <w:pPr>
              <w:spacing w:line="360" w:lineRule="auto"/>
              <w:rPr>
                <w:rFonts w:ascii="宋体" w:hAnsi="宋体"/>
                <w:color w:val="auto"/>
                <w:sz w:val="24"/>
                <w:szCs w:val="24"/>
                <w:highlight w:val="none"/>
              </w:rPr>
            </w:pPr>
            <w:r>
              <w:rPr>
                <w:rFonts w:hint="eastAsia" w:ascii="宋体" w:hAnsi="宋体"/>
                <w:color w:val="auto"/>
                <w:sz w:val="24"/>
                <w:szCs w:val="24"/>
                <w:highlight w:val="none"/>
              </w:rPr>
              <w:t>拥有完善的售后服务保障体系，可保证2小时内应急响应（2分）；附承诺书及相应证明材料，若提供承诺书但存在逻辑有误、与事实不符、无法满足等情形，则不得分。</w:t>
            </w:r>
          </w:p>
        </w:tc>
      </w:tr>
      <w:tr w14:paraId="0CD52BE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Merge w:val="continue"/>
            <w:noWrap w:val="0"/>
            <w:vAlign w:val="center"/>
          </w:tcPr>
          <w:p w14:paraId="0DF229EC">
            <w:pPr>
              <w:pStyle w:val="87"/>
              <w:spacing w:line="240" w:lineRule="auto"/>
              <w:rPr>
                <w:rFonts w:hint="eastAsia" w:ascii="宋体" w:hAnsi="宋体"/>
                <w:color w:val="auto"/>
                <w:sz w:val="24"/>
                <w:szCs w:val="24"/>
                <w:highlight w:val="none"/>
              </w:rPr>
            </w:pPr>
          </w:p>
        </w:tc>
        <w:tc>
          <w:tcPr>
            <w:tcW w:w="1425" w:type="dxa"/>
            <w:vMerge w:val="continue"/>
            <w:noWrap w:val="0"/>
            <w:vAlign w:val="center"/>
          </w:tcPr>
          <w:p w14:paraId="24881F5B">
            <w:pPr>
              <w:spacing w:line="360" w:lineRule="auto"/>
              <w:rPr>
                <w:rFonts w:hint="eastAsia" w:ascii="宋体" w:hAnsi="宋体"/>
                <w:color w:val="auto"/>
                <w:sz w:val="24"/>
                <w:szCs w:val="24"/>
                <w:highlight w:val="none"/>
              </w:rPr>
            </w:pPr>
          </w:p>
        </w:tc>
        <w:tc>
          <w:tcPr>
            <w:tcW w:w="1517" w:type="dxa"/>
            <w:tcBorders>
              <w:top w:val="single" w:color="auto" w:sz="4" w:space="0"/>
              <w:bottom w:val="single" w:color="auto" w:sz="4" w:space="0"/>
            </w:tcBorders>
            <w:noWrap w:val="0"/>
            <w:vAlign w:val="center"/>
          </w:tcPr>
          <w:p w14:paraId="60F5A78A">
            <w:pPr>
              <w:spacing w:line="360" w:lineRule="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实施方案（9分）</w:t>
            </w:r>
          </w:p>
        </w:tc>
        <w:tc>
          <w:tcPr>
            <w:tcW w:w="6410" w:type="dxa"/>
            <w:tcBorders>
              <w:top w:val="single" w:color="auto" w:sz="4" w:space="0"/>
              <w:bottom w:val="single" w:color="auto" w:sz="4" w:space="0"/>
            </w:tcBorders>
            <w:noWrap w:val="0"/>
            <w:vAlign w:val="center"/>
          </w:tcPr>
          <w:p w14:paraId="43ECC1C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结合本项目基本情况，充分为采购人及用户考虑，包含但不限于实施进度、供货方案、质量保证、应急处置、售后及培训等。</w:t>
            </w:r>
          </w:p>
          <w:p w14:paraId="0188867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实施方案叙述详尽、安排合理、可行性高、针对性强，得 </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 xml:space="preserve"> 分，一般得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分：仅有实施方案，但叙述不完善，涉及内容少、可行性低、针对性弱，得 1 分，未提供不得分。</w:t>
            </w:r>
          </w:p>
        </w:tc>
      </w:tr>
      <w:tr w14:paraId="74DDA40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Merge w:val="continue"/>
            <w:noWrap w:val="0"/>
            <w:vAlign w:val="center"/>
          </w:tcPr>
          <w:p w14:paraId="601F12F8">
            <w:pPr>
              <w:pStyle w:val="89"/>
              <w:ind w:firstLine="72"/>
              <w:rPr>
                <w:rFonts w:ascii="宋体" w:hAnsi="宋体"/>
                <w:color w:val="auto"/>
                <w:sz w:val="24"/>
                <w:szCs w:val="24"/>
                <w:highlight w:val="none"/>
              </w:rPr>
            </w:pPr>
          </w:p>
        </w:tc>
        <w:tc>
          <w:tcPr>
            <w:tcW w:w="1425" w:type="dxa"/>
            <w:vMerge w:val="continue"/>
            <w:noWrap w:val="0"/>
            <w:vAlign w:val="center"/>
          </w:tcPr>
          <w:p w14:paraId="3B6DEBB2">
            <w:pPr>
              <w:spacing w:line="360" w:lineRule="auto"/>
              <w:rPr>
                <w:rFonts w:ascii="宋体" w:hAnsi="宋体"/>
                <w:color w:val="auto"/>
                <w:sz w:val="24"/>
                <w:szCs w:val="24"/>
                <w:highlight w:val="none"/>
              </w:rPr>
            </w:pPr>
          </w:p>
        </w:tc>
        <w:tc>
          <w:tcPr>
            <w:tcW w:w="1517" w:type="dxa"/>
            <w:tcBorders>
              <w:top w:val="single" w:color="auto" w:sz="4" w:space="0"/>
              <w:bottom w:val="single" w:color="auto" w:sz="4" w:space="0"/>
            </w:tcBorders>
            <w:noWrap w:val="0"/>
            <w:vAlign w:val="center"/>
          </w:tcPr>
          <w:p w14:paraId="17B8C536">
            <w:pPr>
              <w:spacing w:line="360" w:lineRule="auto"/>
              <w:rPr>
                <w:rFonts w:ascii="宋体" w:hAnsi="宋体"/>
                <w:color w:val="auto"/>
                <w:sz w:val="24"/>
                <w:szCs w:val="24"/>
                <w:highlight w:val="none"/>
              </w:rPr>
            </w:pPr>
            <w:r>
              <w:rPr>
                <w:rFonts w:hint="eastAsia" w:ascii="宋体" w:hAnsi="宋体"/>
                <w:color w:val="auto"/>
                <w:sz w:val="24"/>
                <w:szCs w:val="24"/>
                <w:highlight w:val="none"/>
              </w:rPr>
              <w:t>配送及安装实施方案（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c>
          <w:tcPr>
            <w:tcW w:w="6410" w:type="dxa"/>
            <w:tcBorders>
              <w:top w:val="single" w:color="auto" w:sz="4" w:space="0"/>
              <w:bottom w:val="single" w:color="auto" w:sz="4" w:space="0"/>
            </w:tcBorders>
            <w:noWrap w:val="0"/>
            <w:vAlign w:val="center"/>
          </w:tcPr>
          <w:p w14:paraId="6A59D2F7">
            <w:pPr>
              <w:spacing w:line="360" w:lineRule="auto"/>
              <w:rPr>
                <w:rFonts w:ascii="宋体" w:hAnsi="宋体"/>
                <w:color w:val="auto"/>
                <w:sz w:val="24"/>
                <w:szCs w:val="24"/>
                <w:highlight w:val="none"/>
              </w:rPr>
            </w:pPr>
            <w:r>
              <w:rPr>
                <w:rFonts w:hint="eastAsia" w:ascii="宋体" w:hAnsi="宋体"/>
                <w:color w:val="auto"/>
                <w:sz w:val="24"/>
                <w:szCs w:val="24"/>
                <w:highlight w:val="none"/>
              </w:rPr>
              <w:t>从①配送计划、②安装调试方案、③测试与试运行等方面对投标人提供的配送及安装实施</w:t>
            </w:r>
            <w:r>
              <w:rPr>
                <w:rFonts w:hint="eastAsia" w:ascii="宋体" w:hAnsi="宋体"/>
                <w:color w:val="auto"/>
                <w:sz w:val="24"/>
                <w:szCs w:val="24"/>
                <w:highlight w:val="none"/>
                <w:lang w:eastAsia="zh-CN"/>
              </w:rPr>
              <w:t>方案</w:t>
            </w:r>
            <w:r>
              <w:rPr>
                <w:rFonts w:hint="eastAsia" w:ascii="宋体" w:hAnsi="宋体"/>
                <w:color w:val="auto"/>
                <w:sz w:val="24"/>
                <w:szCs w:val="24"/>
                <w:highlight w:val="none"/>
              </w:rPr>
              <w:t>进行评价，满足需求、完整合理、针对性强的得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分，不够完善的得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分，极不完善的得1分，未提供的不得分</w:t>
            </w:r>
          </w:p>
        </w:tc>
      </w:tr>
      <w:tr w14:paraId="3539E54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vMerge w:val="continue"/>
            <w:noWrap w:val="0"/>
            <w:vAlign w:val="center"/>
          </w:tcPr>
          <w:p w14:paraId="3A21B92E">
            <w:pPr>
              <w:pStyle w:val="89"/>
              <w:ind w:firstLine="72"/>
              <w:rPr>
                <w:rFonts w:ascii="宋体" w:hAnsi="宋体"/>
                <w:color w:val="auto"/>
                <w:sz w:val="24"/>
                <w:szCs w:val="24"/>
                <w:highlight w:val="none"/>
              </w:rPr>
            </w:pPr>
          </w:p>
        </w:tc>
        <w:tc>
          <w:tcPr>
            <w:tcW w:w="1425" w:type="dxa"/>
            <w:vMerge w:val="continue"/>
            <w:noWrap w:val="0"/>
            <w:vAlign w:val="center"/>
          </w:tcPr>
          <w:p w14:paraId="3348038B">
            <w:pPr>
              <w:spacing w:line="360" w:lineRule="auto"/>
              <w:rPr>
                <w:rFonts w:ascii="宋体" w:hAnsi="宋体"/>
                <w:color w:val="auto"/>
                <w:sz w:val="24"/>
                <w:szCs w:val="24"/>
                <w:highlight w:val="none"/>
              </w:rPr>
            </w:pPr>
          </w:p>
        </w:tc>
        <w:tc>
          <w:tcPr>
            <w:tcW w:w="1517" w:type="dxa"/>
            <w:tcBorders>
              <w:top w:val="single" w:color="auto" w:sz="4" w:space="0"/>
              <w:bottom w:val="single" w:color="auto" w:sz="4" w:space="0"/>
            </w:tcBorders>
            <w:noWrap w:val="0"/>
            <w:vAlign w:val="center"/>
          </w:tcPr>
          <w:p w14:paraId="367FBCF2">
            <w:pPr>
              <w:spacing w:line="360" w:lineRule="auto"/>
              <w:rPr>
                <w:rFonts w:ascii="宋体" w:hAnsi="宋体"/>
                <w:color w:val="auto"/>
                <w:sz w:val="24"/>
                <w:szCs w:val="24"/>
                <w:highlight w:val="none"/>
              </w:rPr>
            </w:pPr>
            <w:r>
              <w:rPr>
                <w:rFonts w:hint="eastAsia" w:ascii="宋体" w:hAnsi="宋体"/>
                <w:color w:val="auto"/>
                <w:sz w:val="24"/>
                <w:szCs w:val="24"/>
                <w:highlight w:val="none"/>
              </w:rPr>
              <w:t>培训方案</w:t>
            </w:r>
          </w:p>
          <w:p w14:paraId="0BC83BD0">
            <w:pPr>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p>
        </w:tc>
        <w:tc>
          <w:tcPr>
            <w:tcW w:w="6410" w:type="dxa"/>
            <w:tcBorders>
              <w:top w:val="single" w:color="auto" w:sz="4" w:space="0"/>
              <w:bottom w:val="single" w:color="auto" w:sz="4" w:space="0"/>
            </w:tcBorders>
            <w:noWrap w:val="0"/>
            <w:vAlign w:val="center"/>
          </w:tcPr>
          <w:p w14:paraId="38015664">
            <w:pPr>
              <w:spacing w:line="360" w:lineRule="auto"/>
              <w:rPr>
                <w:rFonts w:ascii="宋体" w:hAnsi="宋体"/>
                <w:color w:val="auto"/>
                <w:sz w:val="24"/>
                <w:szCs w:val="24"/>
                <w:highlight w:val="none"/>
              </w:rPr>
            </w:pPr>
            <w:r>
              <w:rPr>
                <w:rFonts w:hint="eastAsia" w:ascii="宋体" w:hAnsi="宋体"/>
                <w:color w:val="auto"/>
                <w:sz w:val="24"/>
                <w:szCs w:val="24"/>
                <w:highlight w:val="none"/>
              </w:rPr>
              <w:t>从①培训内容、②培训方式、③培训覆盖面、④预期培训效果等方面对投标人提供的培训方案进行评价，完整合理、针对性强的得5分，不够完善的3分，极不完善的得1分，未提供的不得分。</w:t>
            </w:r>
          </w:p>
        </w:tc>
      </w:tr>
      <w:tr w14:paraId="1540923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noWrap w:val="0"/>
            <w:vAlign w:val="center"/>
          </w:tcPr>
          <w:p w14:paraId="2F280688">
            <w:pPr>
              <w:pStyle w:val="89"/>
              <w:ind w:firstLine="72"/>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425" w:type="dxa"/>
            <w:noWrap w:val="0"/>
            <w:vAlign w:val="center"/>
          </w:tcPr>
          <w:p w14:paraId="484F15A2">
            <w:pPr>
              <w:spacing w:line="360" w:lineRule="auto"/>
              <w:rPr>
                <w:rFonts w:ascii="宋体" w:hAnsi="宋体"/>
                <w:color w:val="auto"/>
                <w:sz w:val="24"/>
                <w:szCs w:val="24"/>
                <w:highlight w:val="none"/>
              </w:rPr>
            </w:pPr>
            <w:r>
              <w:rPr>
                <w:rFonts w:hint="eastAsia" w:ascii="宋体" w:hAnsi="宋体"/>
                <w:color w:val="auto"/>
                <w:sz w:val="24"/>
                <w:szCs w:val="24"/>
                <w:highlight w:val="none"/>
              </w:rPr>
              <w:t>相关项目业绩</w:t>
            </w:r>
          </w:p>
        </w:tc>
        <w:tc>
          <w:tcPr>
            <w:tcW w:w="1517" w:type="dxa"/>
            <w:tcBorders>
              <w:top w:val="single" w:color="auto" w:sz="4" w:space="0"/>
              <w:bottom w:val="single" w:color="auto" w:sz="4" w:space="0"/>
            </w:tcBorders>
            <w:noWrap w:val="0"/>
            <w:vAlign w:val="center"/>
          </w:tcPr>
          <w:p w14:paraId="01FE08F0">
            <w:pPr>
              <w:spacing w:line="360" w:lineRule="auto"/>
              <w:rPr>
                <w:rFonts w:ascii="宋体" w:hAnsi="宋体"/>
                <w:color w:val="auto"/>
                <w:sz w:val="24"/>
                <w:szCs w:val="24"/>
                <w:highlight w:val="none"/>
              </w:rPr>
            </w:pPr>
            <w:r>
              <w:rPr>
                <w:rFonts w:hint="eastAsia" w:ascii="宋体" w:hAnsi="宋体"/>
                <w:color w:val="auto"/>
                <w:sz w:val="24"/>
                <w:szCs w:val="24"/>
                <w:highlight w:val="none"/>
              </w:rPr>
              <w:t>相关项目业绩（5分）</w:t>
            </w:r>
          </w:p>
        </w:tc>
        <w:tc>
          <w:tcPr>
            <w:tcW w:w="6410" w:type="dxa"/>
            <w:tcBorders>
              <w:top w:val="single" w:color="auto" w:sz="4" w:space="0"/>
              <w:bottom w:val="single" w:color="auto" w:sz="4" w:space="0"/>
            </w:tcBorders>
            <w:noWrap w:val="0"/>
            <w:vAlign w:val="center"/>
          </w:tcPr>
          <w:p w14:paraId="1D3914F8">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根据投标文件所提供投标截止日前三年内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以供货合同签订时间为准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所投产品的同类项目经营业绩进行比较：（附合同或中标通知书复印件，每一份合同或中标通知书加1分，直至满5分。</w:t>
            </w:r>
          </w:p>
        </w:tc>
      </w:tr>
    </w:tbl>
    <w:p w14:paraId="3DB670C8">
      <w:pPr>
        <w:spacing w:line="240" w:lineRule="auto"/>
        <w:jc w:val="left"/>
        <w:outlineLvl w:val="9"/>
        <w:rPr>
          <w:rFonts w:hint="eastAsia" w:ascii="宋体" w:eastAsia="宋体"/>
          <w:color w:val="auto"/>
          <w:highlight w:val="none"/>
          <w:lang w:eastAsia="zh-CN"/>
        </w:rPr>
        <w:sectPr>
          <w:footerReference r:id="rId10" w:type="default"/>
          <w:pgSz w:w="11906" w:h="16838"/>
          <w:pgMar w:top="1531" w:right="1474" w:bottom="1417" w:left="1701" w:header="851" w:footer="794" w:gutter="0"/>
          <w:pgNumType w:fmt="decimal"/>
          <w:cols w:space="720" w:num="1"/>
          <w:docGrid w:linePitch="312" w:charSpace="0"/>
        </w:sectPr>
      </w:pPr>
      <w:r>
        <w:rPr>
          <w:rFonts w:hint="eastAsia" w:asciiTheme="minorEastAsia" w:hAnsiTheme="minorEastAsia" w:eastAsiaTheme="minorEastAsia" w:cstheme="minorEastAsia"/>
          <w:b/>
          <w:bCs/>
          <w:color w:val="auto"/>
          <w:sz w:val="28"/>
          <w:szCs w:val="28"/>
          <w:highlight w:val="none"/>
          <w:lang w:eastAsia="zh-CN"/>
        </w:rPr>
        <w:br w:type="page"/>
      </w:r>
    </w:p>
    <w:bookmarkEnd w:id="15"/>
    <w:p w14:paraId="0AF48317">
      <w:pPr>
        <w:pStyle w:val="14"/>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21" w:name="_Toc4584"/>
      <w:bookmarkStart w:id="22" w:name="_Toc30396"/>
      <w:bookmarkStart w:id="23" w:name="_Toc14690"/>
      <w:r>
        <w:rPr>
          <w:rFonts w:hint="eastAsia" w:ascii="宋体" w:hAnsi="宋体" w:cs="宋体"/>
          <w:b/>
          <w:bCs/>
          <w:color w:val="auto"/>
          <w:sz w:val="32"/>
          <w:szCs w:val="32"/>
          <w:highlight w:val="none"/>
          <w:lang w:val="en-US" w:eastAsia="zh-CN"/>
        </w:rPr>
        <w:t>第</w:t>
      </w:r>
      <w:bookmarkEnd w:id="21"/>
      <w:bookmarkEnd w:id="22"/>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23"/>
    </w:p>
    <w:p w14:paraId="4C5BB779">
      <w:pPr>
        <w:rPr>
          <w:rFonts w:hint="eastAsia" w:ascii="宋体" w:hAnsi="宋体" w:eastAsia="宋体" w:cs="宋体"/>
          <w:color w:val="auto"/>
          <w:highlight w:val="none"/>
        </w:rPr>
      </w:pPr>
    </w:p>
    <w:p w14:paraId="5CD82BE4">
      <w:pPr>
        <w:pStyle w:val="66"/>
        <w:outlineLvl w:val="2"/>
        <w:rPr>
          <w:rFonts w:hint="eastAsia" w:ascii="宋体" w:hAnsi="宋体" w:eastAsia="宋体" w:cs="宋体"/>
          <w:color w:val="auto"/>
          <w:highlight w:val="none"/>
        </w:rPr>
      </w:pPr>
      <w:bookmarkStart w:id="24" w:name="_Toc31154_WPSOffice_Level1"/>
      <w:bookmarkStart w:id="25" w:name="_Toc23885"/>
      <w:bookmarkStart w:id="26" w:name="_Toc11511_WPSOffice_Level1"/>
      <w:bookmarkStart w:id="27" w:name="_Toc13681_WPSOffice_Level1"/>
      <w:bookmarkStart w:id="28" w:name="_Toc10113_WPSOffice_Level1"/>
      <w:bookmarkStart w:id="29" w:name="_Toc19258"/>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24"/>
      <w:bookmarkEnd w:id="25"/>
      <w:bookmarkEnd w:id="26"/>
      <w:bookmarkEnd w:id="27"/>
      <w:bookmarkEnd w:id="28"/>
      <w:bookmarkEnd w:id="29"/>
    </w:p>
    <w:p w14:paraId="00FFC5B7">
      <w:pPr>
        <w:pStyle w:val="67"/>
        <w:spacing w:line="360" w:lineRule="auto"/>
        <w:rPr>
          <w:rFonts w:hint="eastAsia" w:ascii="宋体" w:hAnsi="宋体" w:eastAsia="宋体" w:cs="宋体"/>
          <w:b/>
          <w:color w:val="auto"/>
          <w:sz w:val="24"/>
          <w:highlight w:val="none"/>
        </w:rPr>
      </w:pPr>
    </w:p>
    <w:p w14:paraId="063C0748">
      <w:pPr>
        <w:pStyle w:val="67"/>
        <w:spacing w:line="360" w:lineRule="auto"/>
        <w:jc w:val="center"/>
        <w:rPr>
          <w:rFonts w:hint="eastAsia" w:ascii="宋体" w:hAnsi="宋体" w:eastAsia="宋体" w:cs="宋体"/>
          <w:color w:val="auto"/>
          <w:sz w:val="24"/>
          <w:highlight w:val="none"/>
        </w:rPr>
      </w:pPr>
    </w:p>
    <w:p w14:paraId="67017D4C">
      <w:pPr>
        <w:pStyle w:val="67"/>
        <w:spacing w:line="360" w:lineRule="auto"/>
        <w:rPr>
          <w:rFonts w:hint="eastAsia" w:ascii="宋体" w:hAnsi="宋体" w:eastAsia="宋体" w:cs="宋体"/>
          <w:color w:val="auto"/>
          <w:sz w:val="28"/>
          <w:szCs w:val="28"/>
          <w:highlight w:val="none"/>
        </w:rPr>
      </w:pPr>
      <w:bookmarkStart w:id="30" w:name="_Toc32516_WPSOffice_Level1"/>
      <w:bookmarkStart w:id="31" w:name="_Toc19200_WPSOffice_Level1"/>
      <w:bookmarkStart w:id="32" w:name="_Toc572_WPSOffice_Level1"/>
      <w:bookmarkStart w:id="33" w:name="_Toc31697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30"/>
      <w:bookmarkEnd w:id="31"/>
      <w:bookmarkEnd w:id="32"/>
      <w:bookmarkEnd w:id="33"/>
    </w:p>
    <w:p w14:paraId="505A6731">
      <w:pPr>
        <w:pStyle w:val="67"/>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67CA25FA">
      <w:pPr>
        <w:pStyle w:val="67"/>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1A72BAC4">
      <w:pPr>
        <w:pStyle w:val="67"/>
        <w:spacing w:line="360" w:lineRule="auto"/>
        <w:jc w:val="center"/>
        <w:rPr>
          <w:rFonts w:hint="eastAsia" w:ascii="宋体" w:hAnsi="宋体" w:eastAsia="宋体" w:cs="宋体"/>
          <w:color w:val="auto"/>
          <w:sz w:val="24"/>
          <w:highlight w:val="none"/>
        </w:rPr>
      </w:pPr>
    </w:p>
    <w:p w14:paraId="00DB88C7">
      <w:pPr>
        <w:pStyle w:val="67"/>
        <w:spacing w:line="360" w:lineRule="auto"/>
        <w:jc w:val="center"/>
        <w:rPr>
          <w:rFonts w:hint="eastAsia" w:ascii="宋体" w:hAnsi="宋体" w:eastAsia="宋体" w:cs="宋体"/>
          <w:color w:val="auto"/>
          <w:sz w:val="24"/>
          <w:highlight w:val="none"/>
        </w:rPr>
      </w:pPr>
    </w:p>
    <w:p w14:paraId="3E3B7D91">
      <w:pPr>
        <w:pStyle w:val="67"/>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7A89C521">
      <w:pPr>
        <w:pStyle w:val="67"/>
        <w:spacing w:line="360" w:lineRule="auto"/>
        <w:jc w:val="center"/>
        <w:rPr>
          <w:rFonts w:hint="eastAsia" w:ascii="宋体" w:hAnsi="宋体" w:eastAsia="宋体" w:cs="宋体"/>
          <w:color w:val="auto"/>
          <w:sz w:val="24"/>
          <w:highlight w:val="none"/>
        </w:rPr>
      </w:pPr>
    </w:p>
    <w:p w14:paraId="5560EA14">
      <w:pPr>
        <w:pStyle w:val="67"/>
        <w:spacing w:line="360" w:lineRule="auto"/>
        <w:jc w:val="center"/>
        <w:rPr>
          <w:rFonts w:hint="eastAsia" w:ascii="宋体" w:hAnsi="宋体" w:eastAsia="宋体" w:cs="宋体"/>
          <w:color w:val="auto"/>
          <w:sz w:val="24"/>
          <w:highlight w:val="none"/>
        </w:rPr>
      </w:pPr>
    </w:p>
    <w:p w14:paraId="579546BB">
      <w:pPr>
        <w:pStyle w:val="67"/>
        <w:spacing w:line="360" w:lineRule="auto"/>
        <w:jc w:val="center"/>
        <w:rPr>
          <w:rFonts w:hint="eastAsia" w:ascii="宋体" w:hAnsi="宋体" w:eastAsia="宋体" w:cs="宋体"/>
          <w:b/>
          <w:color w:val="auto"/>
          <w:sz w:val="24"/>
          <w:highlight w:val="none"/>
        </w:rPr>
      </w:pPr>
    </w:p>
    <w:p w14:paraId="5B9CAC64">
      <w:pPr>
        <w:pStyle w:val="67"/>
        <w:spacing w:line="360" w:lineRule="auto"/>
        <w:jc w:val="center"/>
        <w:rPr>
          <w:rFonts w:hint="eastAsia" w:ascii="宋体" w:hAnsi="宋体" w:eastAsia="宋体" w:cs="宋体"/>
          <w:b/>
          <w:color w:val="auto"/>
          <w:sz w:val="24"/>
          <w:highlight w:val="none"/>
        </w:rPr>
      </w:pPr>
    </w:p>
    <w:p w14:paraId="595BD091">
      <w:pPr>
        <w:pStyle w:val="67"/>
        <w:spacing w:line="360" w:lineRule="auto"/>
        <w:jc w:val="center"/>
        <w:rPr>
          <w:rFonts w:hint="eastAsia" w:ascii="宋体" w:hAnsi="宋体" w:eastAsia="宋体" w:cs="宋体"/>
          <w:b/>
          <w:color w:val="auto"/>
          <w:sz w:val="24"/>
          <w:highlight w:val="none"/>
        </w:rPr>
      </w:pPr>
    </w:p>
    <w:p w14:paraId="2AD6A18F">
      <w:pPr>
        <w:pStyle w:val="67"/>
        <w:spacing w:line="360" w:lineRule="auto"/>
        <w:jc w:val="center"/>
        <w:rPr>
          <w:rFonts w:hint="eastAsia" w:ascii="宋体" w:hAnsi="宋体" w:eastAsia="宋体" w:cs="宋体"/>
          <w:b/>
          <w:color w:val="auto"/>
          <w:sz w:val="24"/>
          <w:highlight w:val="none"/>
        </w:rPr>
      </w:pPr>
    </w:p>
    <w:p w14:paraId="72C00A60">
      <w:pPr>
        <w:pStyle w:val="67"/>
        <w:spacing w:line="360" w:lineRule="auto"/>
        <w:jc w:val="center"/>
        <w:rPr>
          <w:rFonts w:hint="eastAsia" w:ascii="宋体" w:hAnsi="宋体" w:eastAsia="宋体" w:cs="宋体"/>
          <w:b/>
          <w:color w:val="auto"/>
          <w:sz w:val="24"/>
          <w:highlight w:val="none"/>
        </w:rPr>
      </w:pPr>
    </w:p>
    <w:p w14:paraId="379FAE61">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34" w:name="_Toc2050_WPSOffice_Level1"/>
      <w:bookmarkStart w:id="35" w:name="_Toc27864_WPSOffice_Level1"/>
      <w:bookmarkStart w:id="36" w:name="_Toc16691_WPSOffice_Level1"/>
      <w:bookmarkStart w:id="37" w:name="_Toc23058_WPSOffice_Level1"/>
      <w:r>
        <w:rPr>
          <w:rFonts w:hint="eastAsia" w:ascii="宋体" w:hAnsi="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34"/>
      <w:bookmarkEnd w:id="35"/>
      <w:bookmarkEnd w:id="36"/>
      <w:bookmarkEnd w:id="37"/>
    </w:p>
    <w:p w14:paraId="2782D8D6">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38" w:name="_Toc7928_WPSOffice_Level1"/>
      <w:bookmarkStart w:id="39" w:name="_Toc14359_WPSOffice_Level1"/>
      <w:bookmarkStart w:id="40" w:name="_Toc30300_WPSOffice_Level1"/>
      <w:bookmarkStart w:id="41" w:name="_Toc30454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38"/>
      <w:bookmarkEnd w:id="39"/>
      <w:bookmarkEnd w:id="40"/>
      <w:bookmarkEnd w:id="41"/>
    </w:p>
    <w:p w14:paraId="7B7A197B">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77B4F76C">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32AF8F97">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75780C4B">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42" w:name="_Toc28413_WPSOffice_Level1"/>
      <w:bookmarkStart w:id="43" w:name="_Toc16657_WPSOffice_Level1"/>
      <w:bookmarkStart w:id="44" w:name="_Toc18141_WPSOffice_Level1"/>
      <w:bookmarkStart w:id="45" w:name="_Toc23950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42"/>
      <w:bookmarkEnd w:id="43"/>
      <w:bookmarkEnd w:id="44"/>
      <w:bookmarkEnd w:id="45"/>
    </w:p>
    <w:p w14:paraId="35C46CC7">
      <w:pPr>
        <w:spacing w:line="360" w:lineRule="auto"/>
        <w:ind w:firstLine="5355" w:firstLineChars="2550"/>
        <w:outlineLvl w:val="9"/>
        <w:rPr>
          <w:rFonts w:hint="eastAsia" w:ascii="宋体" w:eastAsia="宋体"/>
          <w:b w:val="0"/>
          <w:bCs w:val="0"/>
          <w:color w:val="auto"/>
          <w:highlight w:val="none"/>
          <w:lang w:eastAsia="zh-CN"/>
        </w:rPr>
        <w:sectPr>
          <w:headerReference r:id="rId11" w:type="default"/>
          <w:pgSz w:w="11906" w:h="16838"/>
          <w:pgMar w:top="1531" w:right="1474" w:bottom="1417" w:left="1701" w:header="851" w:footer="794" w:gutter="0"/>
          <w:pgNumType w:fmt="decimal"/>
          <w:cols w:space="720" w:num="1"/>
          <w:docGrid w:linePitch="312" w:charSpace="0"/>
        </w:sectPr>
      </w:pPr>
    </w:p>
    <w:p w14:paraId="7DEA81FE">
      <w:pPr>
        <w:jc w:val="center"/>
        <w:outlineLvl w:val="9"/>
        <w:rPr>
          <w:rFonts w:hint="eastAsia" w:ascii="宋体" w:hAnsi="宋体" w:cs="宋体"/>
          <w:color w:val="auto"/>
          <w:sz w:val="28"/>
          <w:szCs w:val="28"/>
          <w:highlight w:val="none"/>
        </w:rPr>
      </w:pPr>
      <w:bookmarkStart w:id="46" w:name="_Toc30579_WPSOffice_Level1"/>
      <w:bookmarkStart w:id="47" w:name="_Toc18910"/>
      <w:bookmarkStart w:id="48" w:name="_Toc14367_WPSOffice_Level1"/>
      <w:bookmarkStart w:id="49" w:name="_Toc6879_WPSOffice_Level1"/>
      <w:bookmarkStart w:id="50" w:name="_Toc27886_WPSOffice_Level1"/>
      <w:r>
        <w:rPr>
          <w:rFonts w:hint="eastAsia" w:ascii="宋体" w:hAnsi="宋体" w:cs="宋体"/>
          <w:b/>
          <w:bCs/>
          <w:color w:val="auto"/>
          <w:sz w:val="28"/>
          <w:szCs w:val="28"/>
          <w:highlight w:val="none"/>
        </w:rPr>
        <w:t>目录</w:t>
      </w:r>
      <w:bookmarkEnd w:id="46"/>
      <w:bookmarkEnd w:id="47"/>
      <w:bookmarkEnd w:id="48"/>
      <w:bookmarkEnd w:id="49"/>
      <w:bookmarkEnd w:id="50"/>
    </w:p>
    <w:p w14:paraId="49F10E0E">
      <w:pPr>
        <w:spacing w:line="460" w:lineRule="exact"/>
        <w:rPr>
          <w:rFonts w:hint="eastAsia" w:ascii="宋体" w:hAnsi="宋体" w:eastAsia="宋体" w:cs="宋体"/>
          <w:b/>
          <w:bCs/>
          <w:color w:val="auto"/>
          <w:sz w:val="24"/>
          <w:szCs w:val="24"/>
          <w:highlight w:val="none"/>
          <w:shd w:val="clear" w:color="auto" w:fill="auto"/>
          <w:lang w:val="en-US" w:eastAsia="zh-CN"/>
        </w:rPr>
      </w:pPr>
      <w:bookmarkStart w:id="51" w:name="_Toc23787_WPSOffice_Level1"/>
      <w:bookmarkStart w:id="52" w:name="_Toc17234_WPSOffice_Level1"/>
      <w:r>
        <w:rPr>
          <w:rFonts w:hint="eastAsia" w:ascii="宋体" w:hAnsi="宋体" w:eastAsia="宋体" w:cs="宋体"/>
          <w:b/>
          <w:bCs/>
          <w:color w:val="auto"/>
          <w:sz w:val="24"/>
          <w:szCs w:val="24"/>
          <w:highlight w:val="none"/>
          <w:shd w:val="clear" w:color="auto" w:fill="auto"/>
          <w:lang w:val="en-US" w:eastAsia="zh-CN"/>
        </w:rPr>
        <w:t>一、</w:t>
      </w:r>
      <w:bookmarkEnd w:id="51"/>
      <w:bookmarkEnd w:id="52"/>
      <w:r>
        <w:rPr>
          <w:rFonts w:hint="eastAsia" w:ascii="宋体" w:hAnsi="宋体" w:cs="宋体"/>
          <w:b/>
          <w:bCs/>
          <w:color w:val="auto"/>
          <w:sz w:val="24"/>
          <w:szCs w:val="24"/>
          <w:highlight w:val="none"/>
          <w:shd w:val="clear" w:color="auto" w:fill="auto"/>
          <w:lang w:val="en-US" w:eastAsia="zh-CN"/>
        </w:rPr>
        <w:t>资格（审查）证明文件</w:t>
      </w:r>
    </w:p>
    <w:p w14:paraId="77B14B48">
      <w:pPr>
        <w:spacing w:line="460" w:lineRule="exact"/>
        <w:ind w:firstLine="480" w:firstLineChars="200"/>
        <w:rPr>
          <w:rFonts w:hint="eastAsia" w:ascii="宋体" w:hAnsi="宋体" w:cs="宋体"/>
          <w:color w:val="auto"/>
          <w:sz w:val="24"/>
          <w:szCs w:val="24"/>
          <w:highlight w:val="none"/>
          <w:shd w:val="clear" w:color="auto" w:fill="auto"/>
        </w:rPr>
      </w:pPr>
      <w:bookmarkStart w:id="53" w:name="_Toc27664_WPSOffice_Level1"/>
      <w:bookmarkStart w:id="54" w:name="_Toc31640_WPSOffice_Level1"/>
      <w:r>
        <w:rPr>
          <w:rFonts w:hint="eastAsia" w:ascii="宋体" w:hAnsi="宋体" w:cs="宋体"/>
          <w:color w:val="auto"/>
          <w:sz w:val="24"/>
          <w:szCs w:val="24"/>
          <w:highlight w:val="none"/>
          <w:shd w:val="clear" w:color="auto" w:fill="auto"/>
        </w:rPr>
        <w:t>1、具有独立承担民事责任的能力</w:t>
      </w:r>
      <w:bookmarkEnd w:id="53"/>
      <w:bookmarkEnd w:id="54"/>
    </w:p>
    <w:p w14:paraId="3F99EC75">
      <w:pPr>
        <w:spacing w:line="460" w:lineRule="exact"/>
        <w:ind w:firstLine="480" w:firstLineChars="200"/>
        <w:rPr>
          <w:rFonts w:hint="eastAsia" w:ascii="宋体" w:hAnsi="宋体" w:cs="宋体"/>
          <w:color w:val="auto"/>
          <w:sz w:val="24"/>
          <w:szCs w:val="24"/>
          <w:highlight w:val="none"/>
          <w:shd w:val="clear" w:color="auto" w:fill="auto"/>
        </w:rPr>
      </w:pPr>
      <w:bookmarkStart w:id="55" w:name="_Toc25568_WPSOffice_Level1"/>
      <w:bookmarkStart w:id="56" w:name="_Toc17343_WPSOffice_Level1"/>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bookmarkEnd w:id="55"/>
      <w:bookmarkEnd w:id="56"/>
    </w:p>
    <w:p w14:paraId="7D8B4B8B">
      <w:pPr>
        <w:spacing w:line="460" w:lineRule="exact"/>
        <w:ind w:firstLine="480" w:firstLineChars="200"/>
        <w:rPr>
          <w:rFonts w:hint="eastAsia" w:ascii="宋体" w:hAnsi="宋体" w:cs="宋体"/>
          <w:color w:val="auto"/>
          <w:sz w:val="24"/>
          <w:szCs w:val="24"/>
          <w:highlight w:val="none"/>
          <w:shd w:val="clear" w:color="auto" w:fill="auto"/>
        </w:rPr>
      </w:pPr>
      <w:bookmarkStart w:id="57" w:name="_Toc9730_WPSOffice_Level1"/>
      <w:bookmarkStart w:id="58" w:name="_Toc25765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bookmarkEnd w:id="57"/>
      <w:bookmarkEnd w:id="58"/>
    </w:p>
    <w:p w14:paraId="54E2AFDD">
      <w:pPr>
        <w:spacing w:line="460" w:lineRule="exact"/>
        <w:ind w:firstLine="480" w:firstLineChars="200"/>
        <w:rPr>
          <w:rFonts w:hint="eastAsia" w:ascii="宋体" w:hAnsi="宋体" w:cs="宋体"/>
          <w:color w:val="auto"/>
          <w:sz w:val="24"/>
          <w:szCs w:val="24"/>
          <w:highlight w:val="none"/>
          <w:shd w:val="clear" w:color="auto" w:fill="auto"/>
        </w:rPr>
      </w:pPr>
      <w:bookmarkStart w:id="59" w:name="_Toc8705_WPSOffice_Level1"/>
      <w:bookmarkStart w:id="60" w:name="_Toc1181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bookmarkEnd w:id="59"/>
      <w:bookmarkEnd w:id="60"/>
    </w:p>
    <w:p w14:paraId="4F29FFC1">
      <w:pPr>
        <w:spacing w:line="460" w:lineRule="exact"/>
        <w:ind w:firstLine="480" w:firstLineChars="200"/>
        <w:rPr>
          <w:rFonts w:hint="eastAsia" w:ascii="宋体" w:hAnsi="宋体" w:eastAsia="宋体" w:cs="宋体"/>
          <w:color w:val="auto"/>
          <w:sz w:val="24"/>
          <w:szCs w:val="24"/>
          <w:highlight w:val="none"/>
          <w:shd w:val="clear" w:color="auto" w:fill="auto"/>
        </w:rPr>
      </w:pPr>
      <w:bookmarkStart w:id="61" w:name="_Toc8434_WPSOffice_Level1"/>
      <w:bookmarkStart w:id="62" w:name="_Toc3293_WPSOffice_Level1"/>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bookmarkEnd w:id="61"/>
      <w:bookmarkEnd w:id="62"/>
    </w:p>
    <w:p w14:paraId="2218EB8E">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bookmarkStart w:id="63" w:name="_Toc2344_WPSOffice_Level1"/>
      <w:bookmarkStart w:id="64" w:name="_Toc30608_WPSOffice_Level1"/>
      <w:r>
        <w:rPr>
          <w:rFonts w:hint="eastAsia" w:ascii="宋体" w:hAnsi="宋体" w:eastAsia="宋体" w:cs="宋体"/>
          <w:color w:val="auto"/>
          <w:sz w:val="24"/>
          <w:szCs w:val="24"/>
          <w:highlight w:val="none"/>
          <w:shd w:val="clear" w:color="auto" w:fill="auto"/>
          <w:lang w:val="en-US" w:eastAsia="zh-CN"/>
        </w:rPr>
        <w:t>6、</w:t>
      </w:r>
      <w:bookmarkEnd w:id="63"/>
      <w:bookmarkEnd w:id="64"/>
      <w:r>
        <w:rPr>
          <w:rFonts w:hint="eastAsia" w:ascii="宋体" w:hAnsi="宋体" w:cs="宋体"/>
          <w:color w:val="auto"/>
          <w:sz w:val="24"/>
          <w:szCs w:val="24"/>
          <w:highlight w:val="none"/>
          <w:shd w:val="clear" w:color="auto" w:fill="auto"/>
          <w:lang w:val="en-US" w:eastAsia="zh-CN"/>
        </w:rPr>
        <w:t>限制行为承诺书</w:t>
      </w:r>
    </w:p>
    <w:p w14:paraId="459BFA7D">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r>
        <w:rPr>
          <w:rFonts w:hint="eastAsia" w:ascii="宋体" w:hAnsi="宋体" w:cs="宋体"/>
          <w:color w:val="auto"/>
          <w:sz w:val="24"/>
          <w:szCs w:val="24"/>
          <w:highlight w:val="none"/>
          <w:shd w:val="clear" w:color="auto" w:fill="auto"/>
          <w:lang w:val="en-US" w:eastAsia="zh-CN"/>
        </w:rPr>
        <w:t>及分包意向协议书</w:t>
      </w:r>
    </w:p>
    <w:p w14:paraId="0ECD42FB">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8、投标保证金</w:t>
      </w:r>
    </w:p>
    <w:p w14:paraId="0B3B5F33">
      <w:pPr>
        <w:spacing w:line="460" w:lineRule="exact"/>
        <w:rPr>
          <w:rFonts w:hint="eastAsia" w:ascii="宋体" w:hAnsi="宋体" w:cs="宋体"/>
          <w:b/>
          <w:bCs/>
          <w:color w:val="auto"/>
          <w:sz w:val="24"/>
          <w:szCs w:val="24"/>
          <w:highlight w:val="none"/>
          <w:shd w:val="clear" w:color="auto" w:fill="auto"/>
          <w:lang w:val="en-US" w:eastAsia="zh-CN"/>
        </w:rPr>
      </w:pPr>
      <w:bookmarkStart w:id="65" w:name="_Toc16184_WPSOffice_Level1"/>
      <w:bookmarkStart w:id="66" w:name="_Toc11157_WPSOffice_Level1"/>
      <w:r>
        <w:rPr>
          <w:rFonts w:hint="eastAsia" w:ascii="宋体" w:hAnsi="宋体" w:cs="宋体"/>
          <w:b/>
          <w:bCs/>
          <w:color w:val="auto"/>
          <w:sz w:val="24"/>
          <w:szCs w:val="24"/>
          <w:highlight w:val="none"/>
          <w:shd w:val="clear" w:color="auto" w:fill="auto"/>
          <w:lang w:val="en-US" w:eastAsia="zh-CN"/>
        </w:rPr>
        <w:t>二、报价文件</w:t>
      </w:r>
      <w:bookmarkEnd w:id="65"/>
      <w:bookmarkEnd w:id="66"/>
    </w:p>
    <w:p w14:paraId="3B9ECD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7CC0AC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报价明细表</w:t>
      </w:r>
    </w:p>
    <w:p w14:paraId="75B2AF97">
      <w:pPr>
        <w:spacing w:line="460" w:lineRule="exact"/>
        <w:rPr>
          <w:rFonts w:hint="eastAsia" w:ascii="宋体" w:hAnsi="宋体" w:cs="宋体"/>
          <w:b/>
          <w:bCs/>
          <w:color w:val="auto"/>
          <w:sz w:val="24"/>
          <w:szCs w:val="24"/>
          <w:highlight w:val="none"/>
          <w:shd w:val="clear" w:color="auto" w:fill="auto"/>
          <w:lang w:val="en-US" w:eastAsia="zh-CN"/>
        </w:rPr>
      </w:pPr>
      <w:bookmarkStart w:id="67" w:name="_Toc26745_WPSOffice_Level1"/>
      <w:bookmarkStart w:id="68" w:name="_Toc21539_WPSOffice_Level1"/>
      <w:r>
        <w:rPr>
          <w:rFonts w:hint="eastAsia" w:ascii="宋体" w:hAnsi="宋体" w:cs="宋体"/>
          <w:b/>
          <w:bCs/>
          <w:color w:val="auto"/>
          <w:sz w:val="24"/>
          <w:szCs w:val="24"/>
          <w:highlight w:val="none"/>
          <w:shd w:val="clear" w:color="auto" w:fill="auto"/>
          <w:lang w:val="en-US" w:eastAsia="zh-CN"/>
        </w:rPr>
        <w:t>三、商务、技术文件</w:t>
      </w:r>
      <w:bookmarkEnd w:id="67"/>
      <w:bookmarkEnd w:id="68"/>
    </w:p>
    <w:p w14:paraId="628F36FA">
      <w:pPr>
        <w:spacing w:line="460" w:lineRule="exact"/>
        <w:ind w:firstLine="480" w:firstLineChars="200"/>
        <w:rPr>
          <w:rFonts w:hint="eastAsia" w:ascii="宋体" w:hAnsi="宋体" w:cs="宋体"/>
          <w:color w:val="auto"/>
          <w:sz w:val="24"/>
          <w:szCs w:val="24"/>
          <w:highlight w:val="none"/>
          <w:shd w:val="clear" w:color="auto" w:fill="auto"/>
        </w:rPr>
      </w:pPr>
      <w:bookmarkStart w:id="69" w:name="_Toc13649_WPSOffice_Level1"/>
      <w:bookmarkStart w:id="70" w:name="_Toc12874_WPSOffice_Level1"/>
      <w:r>
        <w:rPr>
          <w:rFonts w:hint="eastAsia" w:ascii="宋体" w:hAnsi="宋体" w:cs="宋体"/>
          <w:color w:val="auto"/>
          <w:sz w:val="24"/>
          <w:szCs w:val="24"/>
          <w:highlight w:val="none"/>
          <w:shd w:val="clear" w:color="auto" w:fill="auto"/>
        </w:rPr>
        <w:t>1、投标函</w:t>
      </w:r>
      <w:bookmarkEnd w:id="69"/>
      <w:bookmarkEnd w:id="70"/>
    </w:p>
    <w:p w14:paraId="777DD094">
      <w:pPr>
        <w:spacing w:line="460" w:lineRule="exact"/>
        <w:ind w:firstLine="480" w:firstLineChars="200"/>
        <w:rPr>
          <w:rFonts w:hint="eastAsia" w:ascii="宋体" w:hAnsi="宋体" w:cs="宋体"/>
          <w:color w:val="auto"/>
          <w:sz w:val="24"/>
          <w:szCs w:val="24"/>
          <w:highlight w:val="none"/>
          <w:shd w:val="clear" w:color="auto" w:fill="auto"/>
        </w:rPr>
      </w:pPr>
      <w:bookmarkStart w:id="71" w:name="_Toc19428_WPSOffice_Level1"/>
      <w:bookmarkStart w:id="72" w:name="_Toc16136_WPSOffice_Level1"/>
      <w:r>
        <w:rPr>
          <w:rFonts w:hint="eastAsia" w:ascii="宋体" w:hAnsi="宋体" w:cs="宋体"/>
          <w:color w:val="auto"/>
          <w:sz w:val="24"/>
          <w:szCs w:val="24"/>
          <w:highlight w:val="none"/>
          <w:shd w:val="clear" w:color="auto" w:fill="auto"/>
        </w:rPr>
        <w:t>2、</w:t>
      </w:r>
      <w:bookmarkEnd w:id="71"/>
      <w:bookmarkEnd w:id="72"/>
      <w:bookmarkStart w:id="73" w:name="_Toc25719_WPSOffice_Level1"/>
      <w:bookmarkStart w:id="74" w:name="_Toc1274_WPSOffice_Level1"/>
      <w:r>
        <w:rPr>
          <w:rFonts w:hint="eastAsia" w:ascii="宋体" w:hAnsi="宋体" w:cs="宋体"/>
          <w:color w:val="auto"/>
          <w:sz w:val="24"/>
          <w:szCs w:val="24"/>
          <w:highlight w:val="none"/>
          <w:shd w:val="clear" w:color="auto" w:fill="auto"/>
        </w:rPr>
        <w:t>法定代表人（或非法人组织负责人）身份证明书</w:t>
      </w:r>
      <w:bookmarkEnd w:id="73"/>
      <w:bookmarkEnd w:id="74"/>
    </w:p>
    <w:p w14:paraId="7405CADC">
      <w:pPr>
        <w:spacing w:line="460" w:lineRule="exact"/>
        <w:ind w:firstLine="480" w:firstLineChars="200"/>
        <w:rPr>
          <w:rFonts w:hint="eastAsia" w:ascii="宋体" w:hAnsi="宋体" w:cs="宋体"/>
          <w:color w:val="auto"/>
          <w:sz w:val="24"/>
          <w:szCs w:val="24"/>
          <w:highlight w:val="none"/>
          <w:shd w:val="clear" w:color="auto" w:fill="auto"/>
        </w:rPr>
      </w:pPr>
      <w:bookmarkStart w:id="75" w:name="_Toc17873_WPSOffice_Level1"/>
      <w:bookmarkStart w:id="76" w:name="_Toc15759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bookmarkEnd w:id="75"/>
      <w:bookmarkEnd w:id="76"/>
    </w:p>
    <w:p w14:paraId="0F1B5EF0">
      <w:pPr>
        <w:spacing w:line="460" w:lineRule="exact"/>
        <w:ind w:firstLine="480" w:firstLineChars="200"/>
        <w:rPr>
          <w:rFonts w:hint="eastAsia" w:ascii="宋体" w:hAnsi="宋体" w:cs="宋体"/>
          <w:color w:val="auto"/>
          <w:sz w:val="24"/>
          <w:szCs w:val="24"/>
          <w:highlight w:val="none"/>
          <w:shd w:val="clear" w:color="auto" w:fill="auto"/>
        </w:rPr>
      </w:pPr>
      <w:bookmarkStart w:id="77" w:name="_Toc1464_WPSOffice_Level1"/>
      <w:bookmarkStart w:id="78" w:name="_Toc2528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bookmarkEnd w:id="77"/>
      <w:bookmarkEnd w:id="78"/>
    </w:p>
    <w:p w14:paraId="4ABE849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bookmarkStart w:id="79" w:name="_Toc20333_WPSOffice_Level1"/>
      <w:bookmarkStart w:id="80" w:name="_Toc22245_WPSOffice_Level1"/>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6CD7EE7F">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6、保密承诺书</w:t>
      </w:r>
    </w:p>
    <w:p w14:paraId="2CC05AD6">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cs="宋体"/>
          <w:color w:val="auto"/>
          <w:sz w:val="24"/>
          <w:szCs w:val="24"/>
          <w:highlight w:val="none"/>
          <w:shd w:val="clear" w:color="auto" w:fill="auto"/>
        </w:rPr>
        <w:t>商务条款偏离表</w:t>
      </w:r>
    </w:p>
    <w:p w14:paraId="26419D70">
      <w:pPr>
        <w:numPr>
          <w:ilvl w:val="0"/>
          <w:numId w:val="0"/>
        </w:num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8、技术条款偏离表</w:t>
      </w:r>
    </w:p>
    <w:p w14:paraId="49B050CE">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9、供应商近三年（投标截止日前三年内）业绩案例一览表</w:t>
      </w:r>
    </w:p>
    <w:bookmarkEnd w:id="79"/>
    <w:bookmarkEnd w:id="80"/>
    <w:p w14:paraId="010A73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bookmarkStart w:id="81" w:name="_Toc30090_WPSOffice_Level1"/>
      <w:bookmarkStart w:id="82" w:name="_Toc2949_WPSOffice_Level1"/>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cs="宋体"/>
          <w:b w:val="0"/>
          <w:bCs w:val="0"/>
          <w:color w:val="auto"/>
          <w:sz w:val="24"/>
          <w:szCs w:val="24"/>
          <w:highlight w:val="none"/>
          <w:shd w:val="clear" w:color="auto" w:fill="auto"/>
          <w:lang w:val="en-US" w:eastAsia="zh-CN"/>
        </w:rPr>
        <w:t>0</w:t>
      </w:r>
      <w:r>
        <w:rPr>
          <w:rFonts w:hint="eastAsia" w:ascii="宋体" w:hAnsi="宋体" w:eastAsia="宋体" w:cs="宋体"/>
          <w:b w:val="0"/>
          <w:bCs w:val="0"/>
          <w:color w:val="auto"/>
          <w:sz w:val="24"/>
          <w:szCs w:val="24"/>
          <w:highlight w:val="none"/>
          <w:shd w:val="clear" w:color="auto" w:fill="auto"/>
          <w:lang w:val="en-US" w:eastAsia="zh-CN"/>
        </w:rPr>
        <w:t>、拟派项目团队人员</w:t>
      </w:r>
    </w:p>
    <w:p w14:paraId="5302EA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11、产品注册证或备案证明（需在有效期内）</w:t>
      </w:r>
    </w:p>
    <w:p w14:paraId="5C14EA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12、产品技术支持文件（包含但不限于产品检测报告、产品彩页或技术白皮书等）</w:t>
      </w:r>
    </w:p>
    <w:p w14:paraId="323B7B9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13、售后服务承诺书</w:t>
      </w:r>
    </w:p>
    <w:p w14:paraId="7E0426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14、服务方案（服务承诺详述、维修、培训以及服务联系人、联系方式等详述）</w:t>
      </w:r>
    </w:p>
    <w:p w14:paraId="25CD3C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15、投标人根据采购文件要求提供的其他材料</w:t>
      </w:r>
    </w:p>
    <w:p w14:paraId="7DB82CF0">
      <w:pPr>
        <w:spacing w:line="4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bookmarkEnd w:id="81"/>
      <w:bookmarkEnd w:id="82"/>
    </w:p>
    <w:p w14:paraId="4FDDB1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注：1.投标文件的内容包括但不仅限于上述内容，如有不足请自行补充。</w:t>
      </w:r>
    </w:p>
    <w:p w14:paraId="6A843625">
      <w:pPr>
        <w:spacing w:line="460" w:lineRule="exact"/>
        <w:ind w:firstLine="480" w:firstLineChars="200"/>
        <w:rPr>
          <w:rFonts w:hint="eastAsia" w:ascii="宋体" w:hAnsi="宋体" w:eastAsia="宋体" w:cs="宋体"/>
          <w:b/>
          <w:bCs/>
          <w:color w:val="auto"/>
          <w:sz w:val="28"/>
          <w:szCs w:val="24"/>
          <w:highlight w:val="none"/>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采购文件</w:t>
      </w:r>
      <w:r>
        <w:rPr>
          <w:rFonts w:hint="eastAsia" w:ascii="宋体" w:hAnsi="宋体" w:eastAsia="宋体" w:cs="宋体"/>
          <w:color w:val="auto"/>
          <w:sz w:val="24"/>
          <w:szCs w:val="24"/>
          <w:highlight w:val="none"/>
          <w:shd w:val="clear" w:color="auto" w:fill="auto"/>
          <w:lang w:val="en-US" w:eastAsia="zh-CN"/>
        </w:rPr>
        <w:t>为提供格式的，请投标人自拟</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br w:type="page"/>
      </w:r>
      <w:bookmarkStart w:id="83" w:name="_Toc3145_WPSOffice_Level1"/>
      <w:r>
        <w:rPr>
          <w:rFonts w:hint="eastAsia" w:ascii="宋体" w:hAnsi="宋体" w:cs="宋体"/>
          <w:b/>
          <w:bCs/>
          <w:color w:val="auto"/>
          <w:sz w:val="28"/>
          <w:szCs w:val="24"/>
          <w:highlight w:val="none"/>
          <w:lang w:eastAsia="zh-CN"/>
        </w:rPr>
        <w:t>资格（审查）证明文件</w:t>
      </w:r>
    </w:p>
    <w:p w14:paraId="39F86479">
      <w:pPr>
        <w:jc w:val="center"/>
        <w:rPr>
          <w:rFonts w:hint="eastAsia" w:ascii="宋体" w:hAnsi="宋体" w:cs="宋体"/>
          <w:b/>
          <w:bCs/>
          <w:color w:val="auto"/>
          <w:sz w:val="30"/>
          <w:szCs w:val="30"/>
          <w:highlight w:val="none"/>
          <w:lang w:val="en-US" w:eastAsia="zh-CN"/>
        </w:rPr>
      </w:pPr>
      <w:bookmarkStart w:id="84" w:name="_Toc22539_WPSOffice_Level1"/>
      <w:bookmarkStart w:id="85" w:name="_Toc213_WPSOffice_Level1"/>
      <w:r>
        <w:rPr>
          <w:rFonts w:hint="eastAsia" w:ascii="宋体" w:hAnsi="宋体" w:cs="宋体"/>
          <w:b/>
          <w:bCs/>
          <w:color w:val="auto"/>
          <w:kern w:val="2"/>
          <w:sz w:val="30"/>
          <w:szCs w:val="30"/>
          <w:highlight w:val="none"/>
          <w:lang w:val="en-US" w:eastAsia="zh-CN" w:bidi="ar-SA"/>
        </w:rPr>
        <w:t>1、</w:t>
      </w:r>
      <w:bookmarkEnd w:id="84"/>
      <w:bookmarkEnd w:id="85"/>
      <w:r>
        <w:rPr>
          <w:rFonts w:hint="eastAsia" w:ascii="宋体" w:hAnsi="宋体" w:cs="宋体"/>
          <w:b/>
          <w:bCs/>
          <w:color w:val="auto"/>
          <w:kern w:val="2"/>
          <w:sz w:val="30"/>
          <w:szCs w:val="30"/>
          <w:highlight w:val="none"/>
          <w:lang w:val="en-US" w:eastAsia="zh-CN" w:bidi="ar-SA"/>
        </w:rPr>
        <w:t>具有独立承担民事责任的能力</w:t>
      </w:r>
    </w:p>
    <w:p w14:paraId="6F158BC6">
      <w:pPr>
        <w:pStyle w:val="5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是企业（包括合伙企业），应提供在工商部门注册的有效“企业法人营业执照”或“营业执照”（三证或五证合一）；如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是事业单位，应提供有效的“事业单位法人证书”；</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是个体工商户，应提供有效的“个体工商户营业执照”；如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是自然人，应提供有效的自然人身份证明。</w:t>
      </w:r>
    </w:p>
    <w:tbl>
      <w:tblPr>
        <w:tblStyle w:val="28"/>
        <w:tblW w:w="9059" w:type="dxa"/>
        <w:jc w:val="center"/>
        <w:tblLayout w:type="fixed"/>
        <w:tblCellMar>
          <w:top w:w="0" w:type="dxa"/>
          <w:left w:w="0" w:type="dxa"/>
          <w:bottom w:w="0" w:type="dxa"/>
          <w:right w:w="0" w:type="dxa"/>
        </w:tblCellMar>
      </w:tblPr>
      <w:tblGrid>
        <w:gridCol w:w="2333"/>
        <w:gridCol w:w="3191"/>
        <w:gridCol w:w="3535"/>
      </w:tblGrid>
      <w:tr w14:paraId="2B53DF4D">
        <w:tblPrEx>
          <w:tblCellMar>
            <w:top w:w="0" w:type="dxa"/>
            <w:left w:w="0" w:type="dxa"/>
            <w:bottom w:w="0" w:type="dxa"/>
            <w:right w:w="0" w:type="dxa"/>
          </w:tblCellMar>
        </w:tblPrEx>
        <w:trPr>
          <w:trHeight w:val="512"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0A61B1D6">
            <w:pPr>
              <w:pStyle w:val="51"/>
              <w:spacing w:before="84"/>
              <w:ind w:left="587"/>
              <w:jc w:val="both"/>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3A554BF4">
            <w:pPr>
              <w:pStyle w:val="52"/>
              <w:rPr>
                <w:rFonts w:hint="eastAsia" w:ascii="宋体" w:hAnsi="宋体" w:eastAsia="宋体" w:cs="宋体"/>
                <w:color w:val="auto"/>
                <w:sz w:val="24"/>
                <w:szCs w:val="24"/>
                <w:highlight w:val="none"/>
              </w:rPr>
            </w:pPr>
          </w:p>
        </w:tc>
      </w:tr>
      <w:tr w14:paraId="76F5A8C2">
        <w:tblPrEx>
          <w:tblCellMar>
            <w:top w:w="0" w:type="dxa"/>
            <w:left w:w="0" w:type="dxa"/>
            <w:bottom w:w="0" w:type="dxa"/>
            <w:right w:w="0" w:type="dxa"/>
          </w:tblCellMar>
        </w:tblPrEx>
        <w:trPr>
          <w:trHeight w:val="513"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65EC1605">
            <w:pPr>
              <w:pStyle w:val="51"/>
              <w:spacing w:before="86"/>
              <w:ind w:left="6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3B4613B0">
            <w:pPr>
              <w:pStyle w:val="52"/>
              <w:rPr>
                <w:rFonts w:hint="eastAsia" w:ascii="宋体" w:hAnsi="宋体" w:eastAsia="宋体" w:cs="宋体"/>
                <w:color w:val="auto"/>
                <w:sz w:val="24"/>
                <w:szCs w:val="24"/>
                <w:highlight w:val="none"/>
              </w:rPr>
            </w:pPr>
          </w:p>
        </w:tc>
      </w:tr>
      <w:tr w14:paraId="3C39654B">
        <w:tblPrEx>
          <w:tblCellMar>
            <w:top w:w="0" w:type="dxa"/>
            <w:left w:w="0" w:type="dxa"/>
            <w:bottom w:w="0" w:type="dxa"/>
            <w:right w:w="0" w:type="dxa"/>
          </w:tblCellMar>
        </w:tblPrEx>
        <w:trPr>
          <w:trHeight w:val="702"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67C37238">
            <w:pPr>
              <w:pStyle w:val="51"/>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从业人员数量</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003A077B">
            <w:pPr>
              <w:pStyle w:val="52"/>
              <w:rPr>
                <w:rFonts w:hint="eastAsia" w:ascii="宋体" w:hAnsi="宋体" w:eastAsia="宋体" w:cs="宋体"/>
                <w:color w:val="auto"/>
                <w:sz w:val="24"/>
                <w:szCs w:val="24"/>
                <w:highlight w:val="none"/>
              </w:rPr>
            </w:pPr>
          </w:p>
        </w:tc>
      </w:tr>
      <w:tr w14:paraId="5B5E126C">
        <w:tblPrEx>
          <w:tblCellMar>
            <w:top w:w="0" w:type="dxa"/>
            <w:left w:w="0" w:type="dxa"/>
            <w:bottom w:w="0" w:type="dxa"/>
            <w:right w:w="0" w:type="dxa"/>
          </w:tblCellMar>
        </w:tblPrEx>
        <w:trPr>
          <w:trHeight w:val="512"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425320C3">
            <w:pPr>
              <w:pStyle w:val="51"/>
              <w:spacing w:before="84"/>
              <w:ind w:left="587"/>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3191" w:type="dxa"/>
            <w:tcBorders>
              <w:top w:val="single" w:color="000000" w:sz="4" w:space="0"/>
              <w:left w:val="single" w:color="000000" w:sz="4" w:space="0"/>
              <w:bottom w:val="single" w:color="000000" w:sz="4" w:space="0"/>
              <w:right w:val="nil"/>
            </w:tcBorders>
            <w:noWrap w:val="0"/>
            <w:vAlign w:val="top"/>
          </w:tcPr>
          <w:p w14:paraId="7B52AB11">
            <w:pPr>
              <w:pStyle w:val="51"/>
              <w:spacing w:before="84"/>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535" w:type="dxa"/>
            <w:tcBorders>
              <w:top w:val="single" w:color="000000" w:sz="4" w:space="0"/>
              <w:left w:val="nil"/>
              <w:bottom w:val="single" w:color="000000" w:sz="4" w:space="0"/>
              <w:right w:val="single" w:color="000000" w:sz="4" w:space="0"/>
            </w:tcBorders>
            <w:noWrap w:val="0"/>
            <w:vAlign w:val="top"/>
          </w:tcPr>
          <w:p w14:paraId="54BAD4C6">
            <w:pPr>
              <w:pStyle w:val="51"/>
              <w:spacing w:before="84"/>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5169A23E">
        <w:tblPrEx>
          <w:tblCellMar>
            <w:top w:w="0" w:type="dxa"/>
            <w:left w:w="0" w:type="dxa"/>
            <w:bottom w:w="0" w:type="dxa"/>
            <w:right w:w="0" w:type="dxa"/>
          </w:tblCellMar>
        </w:tblPrEx>
        <w:trPr>
          <w:trHeight w:val="513"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6DA26191">
            <w:pPr>
              <w:pStyle w:val="51"/>
              <w:spacing w:before="86"/>
              <w:ind w:left="587"/>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负责人</w:t>
            </w:r>
          </w:p>
        </w:tc>
        <w:tc>
          <w:tcPr>
            <w:tcW w:w="3191" w:type="dxa"/>
            <w:tcBorders>
              <w:top w:val="single" w:color="000000" w:sz="4" w:space="0"/>
              <w:left w:val="single" w:color="000000" w:sz="4" w:space="0"/>
              <w:bottom w:val="single" w:color="000000" w:sz="4" w:space="0"/>
              <w:right w:val="nil"/>
            </w:tcBorders>
            <w:noWrap w:val="0"/>
            <w:vAlign w:val="top"/>
          </w:tcPr>
          <w:p w14:paraId="63A49A98">
            <w:pPr>
              <w:pStyle w:val="51"/>
              <w:spacing w:before="86"/>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535" w:type="dxa"/>
            <w:tcBorders>
              <w:top w:val="single" w:color="000000" w:sz="4" w:space="0"/>
              <w:left w:val="nil"/>
              <w:bottom w:val="single" w:color="000000" w:sz="4" w:space="0"/>
              <w:right w:val="single" w:color="000000" w:sz="4" w:space="0"/>
            </w:tcBorders>
            <w:noWrap w:val="0"/>
            <w:vAlign w:val="top"/>
          </w:tcPr>
          <w:p w14:paraId="6F41F14B">
            <w:pPr>
              <w:pStyle w:val="51"/>
              <w:spacing w:before="86"/>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68DF2798">
        <w:tblPrEx>
          <w:tblCellMar>
            <w:top w:w="0" w:type="dxa"/>
            <w:left w:w="0" w:type="dxa"/>
            <w:bottom w:w="0" w:type="dxa"/>
            <w:right w:w="0" w:type="dxa"/>
          </w:tblCellMar>
        </w:tblPrEx>
        <w:trPr>
          <w:trHeight w:val="877"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1B61004B">
            <w:pPr>
              <w:pStyle w:val="51"/>
              <w:spacing w:before="5"/>
              <w:jc w:val="center"/>
              <w:rPr>
                <w:rFonts w:hint="eastAsia" w:ascii="宋体" w:hAnsi="宋体" w:eastAsia="宋体" w:cs="宋体"/>
                <w:color w:val="auto"/>
                <w:kern w:val="2"/>
                <w:sz w:val="24"/>
                <w:szCs w:val="24"/>
                <w:highlight w:val="none"/>
              </w:rPr>
            </w:pPr>
          </w:p>
          <w:p w14:paraId="017A1E6D">
            <w:pPr>
              <w:pStyle w:val="51"/>
              <w:ind w:left="6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6726" w:type="dxa"/>
            <w:gridSpan w:val="2"/>
            <w:tcBorders>
              <w:top w:val="single" w:color="000000" w:sz="4" w:space="0"/>
              <w:left w:val="single" w:color="000000" w:sz="4" w:space="0"/>
              <w:bottom w:val="single" w:color="000000" w:sz="4" w:space="0"/>
              <w:right w:val="single" w:color="000000" w:sz="4" w:space="0"/>
            </w:tcBorders>
            <w:noWrap w:val="0"/>
            <w:vAlign w:val="top"/>
          </w:tcPr>
          <w:p w14:paraId="6F238B56">
            <w:pPr>
              <w:pStyle w:val="51"/>
              <w:tabs>
                <w:tab w:val="left" w:pos="3735"/>
              </w:tabs>
              <w:spacing w:before="9"/>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eastAsia="zh-CN"/>
              </w:rPr>
              <w:tab/>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电话：</w:t>
            </w:r>
          </w:p>
          <w:p w14:paraId="5A81B440">
            <w:pPr>
              <w:pStyle w:val="51"/>
              <w:tabs>
                <w:tab w:val="left" w:pos="3673"/>
              </w:tabs>
              <w:spacing w:before="84"/>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传真：</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邮箱：</w:t>
            </w:r>
          </w:p>
        </w:tc>
      </w:tr>
      <w:tr w14:paraId="3D21E329">
        <w:tblPrEx>
          <w:tblCellMar>
            <w:top w:w="0" w:type="dxa"/>
            <w:left w:w="0" w:type="dxa"/>
            <w:bottom w:w="0" w:type="dxa"/>
            <w:right w:w="0" w:type="dxa"/>
          </w:tblCellMar>
        </w:tblPrEx>
        <w:trPr>
          <w:trHeight w:val="435" w:hRule="exact"/>
          <w:jc w:val="center"/>
        </w:trPr>
        <w:tc>
          <w:tcPr>
            <w:tcW w:w="2333" w:type="dxa"/>
            <w:tcBorders>
              <w:top w:val="single" w:color="000000" w:sz="4" w:space="0"/>
              <w:left w:val="single" w:color="000000" w:sz="4" w:space="0"/>
              <w:bottom w:val="single" w:color="000000" w:sz="4" w:space="0"/>
              <w:right w:val="single" w:color="000000" w:sz="4" w:space="0"/>
            </w:tcBorders>
            <w:noWrap w:val="0"/>
            <w:vAlign w:val="center"/>
          </w:tcPr>
          <w:p w14:paraId="0124158A">
            <w:pPr>
              <w:pStyle w:val="51"/>
              <w:spacing w:before="84"/>
              <w:ind w:left="6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3191" w:type="dxa"/>
            <w:tcBorders>
              <w:top w:val="single" w:color="000000" w:sz="4" w:space="0"/>
              <w:left w:val="single" w:color="000000" w:sz="4" w:space="0"/>
              <w:bottom w:val="single" w:color="000000" w:sz="4" w:space="0"/>
              <w:right w:val="nil"/>
            </w:tcBorders>
            <w:noWrap w:val="0"/>
            <w:vAlign w:val="top"/>
          </w:tcPr>
          <w:p w14:paraId="5F7CB771">
            <w:pPr>
              <w:pStyle w:val="51"/>
              <w:spacing w:before="84"/>
              <w:ind w:left="3461" w:leftChars="48" w:hanging="3360" w:hangingChars="14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p>
        </w:tc>
        <w:tc>
          <w:tcPr>
            <w:tcW w:w="3535" w:type="dxa"/>
            <w:tcBorders>
              <w:top w:val="single" w:color="000000" w:sz="4" w:space="0"/>
              <w:left w:val="nil"/>
              <w:bottom w:val="single" w:color="000000" w:sz="4" w:space="0"/>
              <w:right w:val="single" w:color="000000" w:sz="4" w:space="0"/>
            </w:tcBorders>
            <w:noWrap w:val="0"/>
            <w:vAlign w:val="top"/>
          </w:tcPr>
          <w:p w14:paraId="023F37BE">
            <w:pPr>
              <w:pStyle w:val="51"/>
              <w:spacing w:before="84"/>
              <w:ind w:left="105"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E7B428D">
        <w:tblPrEx>
          <w:tblCellMar>
            <w:top w:w="0" w:type="dxa"/>
            <w:left w:w="0" w:type="dxa"/>
            <w:bottom w:w="0" w:type="dxa"/>
            <w:right w:w="0" w:type="dxa"/>
          </w:tblCellMar>
        </w:tblPrEx>
        <w:trPr>
          <w:trHeight w:val="294" w:hRule="exact"/>
          <w:jc w:val="center"/>
        </w:trPr>
        <w:tc>
          <w:tcPr>
            <w:tcW w:w="23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FF768">
            <w:pPr>
              <w:pStyle w:val="51"/>
              <w:jc w:val="center"/>
              <w:rPr>
                <w:rFonts w:hint="eastAsia" w:ascii="宋体" w:hAnsi="宋体" w:eastAsia="宋体" w:cs="宋体"/>
                <w:color w:val="auto"/>
                <w:kern w:val="2"/>
                <w:sz w:val="24"/>
                <w:szCs w:val="24"/>
                <w:highlight w:val="none"/>
              </w:rPr>
            </w:pPr>
          </w:p>
          <w:p w14:paraId="2C4510A5">
            <w:pPr>
              <w:pStyle w:val="51"/>
              <w:jc w:val="center"/>
              <w:rPr>
                <w:rFonts w:hint="eastAsia" w:ascii="宋体" w:hAnsi="宋体" w:eastAsia="宋体" w:cs="宋体"/>
                <w:color w:val="auto"/>
                <w:kern w:val="2"/>
                <w:sz w:val="24"/>
                <w:szCs w:val="24"/>
                <w:highlight w:val="none"/>
              </w:rPr>
            </w:pPr>
          </w:p>
          <w:p w14:paraId="60A5AD0A">
            <w:pPr>
              <w:pStyle w:val="51"/>
              <w:jc w:val="center"/>
              <w:rPr>
                <w:rFonts w:hint="eastAsia" w:ascii="宋体" w:hAnsi="宋体" w:eastAsia="宋体" w:cs="宋体"/>
                <w:color w:val="auto"/>
                <w:kern w:val="2"/>
                <w:sz w:val="24"/>
                <w:szCs w:val="24"/>
                <w:highlight w:val="none"/>
              </w:rPr>
            </w:pPr>
          </w:p>
          <w:p w14:paraId="2ACB0535">
            <w:pPr>
              <w:pStyle w:val="51"/>
              <w:jc w:val="center"/>
              <w:rPr>
                <w:rFonts w:hint="eastAsia" w:ascii="宋体" w:hAnsi="宋体" w:eastAsia="宋体" w:cs="宋体"/>
                <w:color w:val="auto"/>
                <w:kern w:val="2"/>
                <w:sz w:val="24"/>
                <w:szCs w:val="24"/>
                <w:highlight w:val="none"/>
              </w:rPr>
            </w:pPr>
          </w:p>
          <w:p w14:paraId="0763B011">
            <w:pPr>
              <w:pStyle w:val="51"/>
              <w:jc w:val="center"/>
              <w:rPr>
                <w:rFonts w:hint="eastAsia" w:ascii="宋体" w:hAnsi="宋体" w:eastAsia="宋体" w:cs="宋体"/>
                <w:color w:val="auto"/>
                <w:kern w:val="2"/>
                <w:sz w:val="24"/>
                <w:szCs w:val="24"/>
                <w:highlight w:val="none"/>
              </w:rPr>
            </w:pPr>
          </w:p>
          <w:p w14:paraId="34CEF24C">
            <w:pPr>
              <w:pStyle w:val="51"/>
              <w:spacing w:before="6"/>
              <w:jc w:val="center"/>
              <w:rPr>
                <w:rFonts w:hint="eastAsia" w:ascii="宋体" w:hAnsi="宋体" w:eastAsia="宋体" w:cs="宋体"/>
                <w:color w:val="auto"/>
                <w:kern w:val="2"/>
                <w:sz w:val="24"/>
                <w:szCs w:val="24"/>
                <w:highlight w:val="none"/>
              </w:rPr>
            </w:pPr>
          </w:p>
          <w:p w14:paraId="3C61A6C6">
            <w:pPr>
              <w:pStyle w:val="51"/>
              <w:ind w:left="108"/>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关联情况</w:t>
            </w:r>
          </w:p>
        </w:tc>
        <w:tc>
          <w:tcPr>
            <w:tcW w:w="6726" w:type="dxa"/>
            <w:gridSpan w:val="2"/>
            <w:tcBorders>
              <w:top w:val="single" w:color="000000" w:sz="4" w:space="0"/>
              <w:left w:val="single" w:color="000000" w:sz="4" w:space="0"/>
              <w:bottom w:val="nil"/>
              <w:right w:val="single" w:color="000000" w:sz="4" w:space="0"/>
            </w:tcBorders>
            <w:noWrap w:val="0"/>
            <w:vAlign w:val="top"/>
          </w:tcPr>
          <w:p w14:paraId="642B7A7A">
            <w:pPr>
              <w:pStyle w:val="51"/>
              <w:spacing w:line="24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1：与我公司单位负责人为同一人的其他单位名称：</w:t>
            </w:r>
          </w:p>
        </w:tc>
      </w:tr>
      <w:tr w14:paraId="68AADA6C">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B3AAA">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5F254E97">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1C030113">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1DDA">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3B8B6828">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6AE13EB2">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6A566">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2AFEF08D">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2、与我公司存在控股、管理关系的其他单位的名称：</w:t>
            </w:r>
          </w:p>
        </w:tc>
      </w:tr>
      <w:tr w14:paraId="081B050F">
        <w:tblPrEx>
          <w:tblCellMar>
            <w:top w:w="0" w:type="dxa"/>
            <w:left w:w="0" w:type="dxa"/>
            <w:bottom w:w="0" w:type="dxa"/>
            <w:right w:w="0" w:type="dxa"/>
          </w:tblCellMar>
        </w:tblPrEx>
        <w:trPr>
          <w:trHeight w:val="351"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84899">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03ED2358">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62DC48DA">
        <w:tblPrEx>
          <w:tblCellMar>
            <w:top w:w="0" w:type="dxa"/>
            <w:left w:w="0" w:type="dxa"/>
            <w:bottom w:w="0" w:type="dxa"/>
            <w:right w:w="0" w:type="dxa"/>
          </w:tblCellMar>
        </w:tblPrEx>
        <w:trPr>
          <w:trHeight w:val="373"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0448">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10F32875">
            <w:pPr>
              <w:pStyle w:val="51"/>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773607FB">
        <w:tblPrEx>
          <w:tblCellMar>
            <w:top w:w="0" w:type="dxa"/>
            <w:left w:w="0" w:type="dxa"/>
            <w:bottom w:w="0" w:type="dxa"/>
            <w:right w:w="0" w:type="dxa"/>
          </w:tblCellMar>
        </w:tblPrEx>
        <w:trPr>
          <w:trHeight w:val="420"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B41C">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3A8153A4">
            <w:pPr>
              <w:pStyle w:val="51"/>
              <w:spacing w:before="8"/>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FE9AF8A">
        <w:tblPrEx>
          <w:tblCellMar>
            <w:top w:w="0" w:type="dxa"/>
            <w:left w:w="0" w:type="dxa"/>
            <w:bottom w:w="0" w:type="dxa"/>
            <w:right w:w="0" w:type="dxa"/>
          </w:tblCellMar>
        </w:tblPrEx>
        <w:trPr>
          <w:trHeight w:val="683"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6D94B">
            <w:pPr>
              <w:widowControl/>
              <w:jc w:val="left"/>
              <w:rPr>
                <w:rFonts w:hint="eastAsia" w:ascii="宋体" w:hAnsi="宋体" w:eastAsia="宋体" w:cs="宋体"/>
                <w:color w:val="auto"/>
                <w:sz w:val="24"/>
                <w:szCs w:val="24"/>
                <w:highlight w:val="none"/>
                <w:lang w:eastAsia="en-US"/>
              </w:rPr>
            </w:pPr>
          </w:p>
        </w:tc>
        <w:tc>
          <w:tcPr>
            <w:tcW w:w="6726" w:type="dxa"/>
            <w:gridSpan w:val="2"/>
            <w:tcBorders>
              <w:top w:val="nil"/>
              <w:left w:val="single" w:color="000000" w:sz="4" w:space="0"/>
              <w:bottom w:val="nil"/>
              <w:right w:val="single" w:color="000000" w:sz="4" w:space="0"/>
            </w:tcBorders>
            <w:noWrap w:val="0"/>
            <w:vAlign w:val="top"/>
          </w:tcPr>
          <w:p w14:paraId="3F43DF97">
            <w:pPr>
              <w:pStyle w:val="51"/>
              <w:spacing w:before="9"/>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w:t>
            </w:r>
          </w:p>
        </w:tc>
      </w:tr>
      <w:tr w14:paraId="76BE0276">
        <w:tblPrEx>
          <w:tblCellMar>
            <w:top w:w="0" w:type="dxa"/>
            <w:left w:w="0" w:type="dxa"/>
            <w:bottom w:w="0" w:type="dxa"/>
            <w:right w:w="0" w:type="dxa"/>
          </w:tblCellMar>
        </w:tblPrEx>
        <w:trPr>
          <w:trHeight w:val="415"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34526">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372762B6">
            <w:pPr>
              <w:pStyle w:val="51"/>
              <w:spacing w:before="4"/>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单位行使职权的主要负责人。</w:t>
            </w:r>
          </w:p>
        </w:tc>
      </w:tr>
      <w:tr w14:paraId="56FC2FBF">
        <w:tblPrEx>
          <w:tblCellMar>
            <w:top w:w="0" w:type="dxa"/>
            <w:left w:w="0" w:type="dxa"/>
            <w:bottom w:w="0" w:type="dxa"/>
            <w:right w:w="0" w:type="dxa"/>
          </w:tblCellMar>
        </w:tblPrEx>
        <w:trPr>
          <w:trHeight w:val="683"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798EA">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nil"/>
              <w:right w:val="single" w:color="000000" w:sz="4" w:space="0"/>
            </w:tcBorders>
            <w:noWrap w:val="0"/>
            <w:vAlign w:val="top"/>
          </w:tcPr>
          <w:p w14:paraId="173D6865">
            <w:pPr>
              <w:pStyle w:val="51"/>
              <w:spacing w:before="9"/>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w:t>
            </w:r>
          </w:p>
        </w:tc>
      </w:tr>
      <w:tr w14:paraId="26D1E29A">
        <w:tblPrEx>
          <w:tblCellMar>
            <w:top w:w="0" w:type="dxa"/>
            <w:left w:w="0" w:type="dxa"/>
            <w:bottom w:w="0" w:type="dxa"/>
            <w:right w:w="0" w:type="dxa"/>
          </w:tblCellMar>
        </w:tblPrEx>
        <w:trPr>
          <w:trHeight w:val="226" w:hRule="atLeast"/>
          <w:jc w:val="center"/>
        </w:trPr>
        <w:tc>
          <w:tcPr>
            <w:tcW w:w="23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D2777">
            <w:pPr>
              <w:widowControl/>
              <w:jc w:val="left"/>
              <w:rPr>
                <w:rFonts w:hint="eastAsia" w:ascii="宋体" w:hAnsi="宋体" w:eastAsia="宋体" w:cs="宋体"/>
                <w:color w:val="auto"/>
                <w:sz w:val="24"/>
                <w:szCs w:val="24"/>
                <w:highlight w:val="none"/>
              </w:rPr>
            </w:pPr>
          </w:p>
        </w:tc>
        <w:tc>
          <w:tcPr>
            <w:tcW w:w="6726" w:type="dxa"/>
            <w:gridSpan w:val="2"/>
            <w:tcBorders>
              <w:top w:val="nil"/>
              <w:left w:val="single" w:color="000000" w:sz="4" w:space="0"/>
              <w:bottom w:val="single" w:color="000000" w:sz="4" w:space="0"/>
              <w:right w:val="single" w:color="000000" w:sz="4" w:space="0"/>
            </w:tcBorders>
            <w:noWrap w:val="0"/>
            <w:vAlign w:val="top"/>
          </w:tcPr>
          <w:p w14:paraId="684273A7">
            <w:pPr>
              <w:pStyle w:val="51"/>
              <w:spacing w:before="4"/>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包括间接的控股或管理关系。</w:t>
            </w:r>
          </w:p>
        </w:tc>
      </w:tr>
    </w:tbl>
    <w:p w14:paraId="3EEB46AF">
      <w:pPr>
        <w:snapToGrid w:val="0"/>
        <w:spacing w:line="480" w:lineRule="auto"/>
        <w:rPr>
          <w:rFonts w:hint="eastAsia" w:ascii="宋体" w:hAnsi="宋体" w:cs="宋体"/>
          <w:color w:val="auto"/>
          <w:sz w:val="24"/>
          <w:highlight w:val="none"/>
          <w:shd w:val="clear" w:color="auto" w:fill="auto"/>
          <w:lang w:eastAsia="zh-CN"/>
        </w:rPr>
      </w:pPr>
      <w:bookmarkStart w:id="86" w:name="_Toc10140_WPSOffice_Level1"/>
      <w:bookmarkStart w:id="87" w:name="_Toc24768_WPSOffice_Level1"/>
    </w:p>
    <w:p w14:paraId="0471AEB9">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6385047">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0C1DD6C3">
      <w:pPr>
        <w:snapToGrid w:val="0"/>
        <w:spacing w:line="480" w:lineRule="auto"/>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D678DF4">
      <w:pPr>
        <w:numPr>
          <w:ilvl w:val="0"/>
          <w:numId w:val="0"/>
        </w:numPr>
        <w:spacing w:before="120" w:line="360" w:lineRule="auto"/>
        <w:ind w:leftChars="200"/>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2、</w:t>
      </w:r>
      <w:bookmarkEnd w:id="86"/>
      <w:bookmarkEnd w:id="87"/>
      <w:r>
        <w:rPr>
          <w:rFonts w:hint="eastAsia" w:ascii="宋体" w:hAnsi="宋体" w:cs="宋体"/>
          <w:b/>
          <w:bCs/>
          <w:color w:val="auto"/>
          <w:sz w:val="30"/>
          <w:szCs w:val="30"/>
          <w:highlight w:val="none"/>
          <w:lang w:val="en-US" w:eastAsia="zh-CN"/>
        </w:rPr>
        <w:t>具有良好的商业信誉和健全的财务会计制度</w:t>
      </w:r>
    </w:p>
    <w:p w14:paraId="48ECFB9F">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供应商是法人的，法人单位成立一年以上的须提供投标截止日前上一年度（2024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A4A2311">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54E3B5D6">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3.法人单位成立三个月以内的须提供基本开户银行开具的资信证明（银行存款证明无效）并附基本户开户许可证（或基本账户存款信息），或自行编写具有良好的商业信誉和健全的财务会计制度的承诺书；</w:t>
      </w:r>
    </w:p>
    <w:p w14:paraId="6487F5BD">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4.供应商是其他组织或自然人的，须提供银行出具的资信证明复印件或自行编写具有良好的商业信誉和健全的财务会计制度的承诺书。</w:t>
      </w:r>
    </w:p>
    <w:p w14:paraId="3AFE7E8D">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6F0E3D12">
      <w:pPr>
        <w:numPr>
          <w:ilvl w:val="0"/>
          <w:numId w:val="0"/>
        </w:numPr>
        <w:spacing w:before="120" w:line="360" w:lineRule="auto"/>
        <w:ind w:leftChars="200"/>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3、有依法缴纳税收和社会保障资金的良好记录</w:t>
      </w:r>
    </w:p>
    <w:p w14:paraId="49B0F33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06221B5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1、供应商依法缴纳税收的证明材料：本项目投标截止时间前6个月内（至少提供连续3个月）缴纳税收的凭据（完税证明、缴款书、印花税票、银行代扣（代缴）转账凭证均可）；</w:t>
      </w:r>
    </w:p>
    <w:p w14:paraId="60FEF41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Theme="minorEastAsia" w:hAnsiTheme="minorEastAsia" w:eastAsiaTheme="minorEastAsia" w:cstheme="minorEastAsia"/>
          <w:color w:val="auto"/>
          <w:sz w:val="24"/>
          <w:szCs w:val="24"/>
          <w:highlight w:val="none"/>
          <w:lang w:val="en-US" w:eastAsia="zh-CN"/>
        </w:rPr>
        <w:t>2、依法免税的供应商，须提供相应文件证明其依法免税。</w:t>
      </w:r>
    </w:p>
    <w:p w14:paraId="53E54322">
      <w:pPr>
        <w:snapToGrid w:val="0"/>
        <w:spacing w:line="480" w:lineRule="auto"/>
        <w:rPr>
          <w:rFonts w:hint="eastAsia" w:ascii="仿宋_GB2312" w:hAnsi="仿宋_GB2312" w:eastAsia="仿宋_GB2312" w:cs="仿宋_GB2312"/>
          <w:color w:val="auto"/>
          <w:highlight w:val="none"/>
        </w:rPr>
      </w:pPr>
    </w:p>
    <w:p w14:paraId="16FD7EC3">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F78F2A4">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1C255B6">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943B6F7">
      <w:pPr>
        <w:snapToGrid w:val="0"/>
        <w:spacing w:line="480" w:lineRule="auto"/>
        <w:rPr>
          <w:rFonts w:hint="eastAsia" w:ascii="仿宋_GB2312" w:hAnsi="仿宋_GB2312" w:eastAsia="仿宋_GB2312" w:cs="仿宋_GB2312"/>
          <w:color w:val="auto"/>
          <w:highlight w:val="none"/>
        </w:rPr>
      </w:pPr>
    </w:p>
    <w:p w14:paraId="79C458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4BD2A1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336A29EF">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p w14:paraId="2B486911">
      <w:pPr>
        <w:snapToGrid w:val="0"/>
        <w:spacing w:line="480" w:lineRule="auto"/>
        <w:rPr>
          <w:rFonts w:hint="eastAsia" w:ascii="仿宋_GB2312" w:hAnsi="仿宋_GB2312" w:eastAsia="仿宋_GB2312" w:cs="仿宋_GB2312"/>
          <w:color w:val="auto"/>
          <w:highlight w:val="none"/>
        </w:rPr>
      </w:pPr>
    </w:p>
    <w:p w14:paraId="7DDF0121">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D0B87D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154FB67">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E91396A">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sectPr>
          <w:footerReference r:id="rId12" w:type="default"/>
          <w:pgSz w:w="11906" w:h="16838"/>
          <w:pgMar w:top="1440" w:right="1800" w:bottom="1440" w:left="1800" w:header="851" w:footer="992" w:gutter="0"/>
          <w:pgNumType w:fmt="decimal"/>
          <w:cols w:space="425" w:num="1"/>
          <w:docGrid w:type="lines" w:linePitch="312" w:charSpace="0"/>
        </w:sectPr>
      </w:pPr>
    </w:p>
    <w:p w14:paraId="3BD9EF8D">
      <w:pPr>
        <w:numPr>
          <w:ilvl w:val="0"/>
          <w:numId w:val="0"/>
        </w:numPr>
        <w:spacing w:before="120" w:line="360" w:lineRule="auto"/>
        <w:ind w:leftChars="200"/>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4、具有履行合同所必需的设备和专业技术能力</w:t>
      </w:r>
    </w:p>
    <w:p w14:paraId="51F5C9F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4D595366">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center"/>
        <w:textAlignment w:val="auto"/>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承诺函</w:t>
      </w:r>
    </w:p>
    <w:p w14:paraId="05821881">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3A1515B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（项目名称、</w:t>
      </w:r>
      <w:r>
        <w:rPr>
          <w:rFonts w:hint="eastAsia" w:ascii="宋体" w:hAnsi="宋体" w:eastAsia="宋体" w:cs="宋体"/>
          <w:color w:val="auto"/>
          <w:sz w:val="24"/>
          <w:highlight w:val="none"/>
          <w:u w:val="single"/>
          <w:shd w:val="clear" w:color="auto" w:fill="auto"/>
          <w:lang w:val="en-US" w:eastAsia="zh-CN"/>
        </w:rPr>
        <w:t>项目</w:t>
      </w:r>
      <w:r>
        <w:rPr>
          <w:rFonts w:hint="eastAsia" w:ascii="宋体" w:hAnsi="宋体" w:eastAsia="宋体" w:cs="宋体"/>
          <w:color w:val="auto"/>
          <w:sz w:val="24"/>
          <w:highlight w:val="none"/>
          <w:u w:val="single"/>
          <w:shd w:val="clear" w:color="auto" w:fill="auto"/>
          <w:lang w:eastAsia="zh-CN"/>
        </w:rPr>
        <w:t>编号）</w:t>
      </w:r>
      <w:r>
        <w:rPr>
          <w:rFonts w:hint="eastAsia" w:ascii="宋体" w:hAnsi="宋体" w:eastAsia="宋体" w:cs="宋体"/>
          <w:color w:val="auto"/>
          <w:sz w:val="24"/>
          <w:highlight w:val="none"/>
          <w:shd w:val="clear" w:color="auto" w:fill="auto"/>
          <w:lang w:eastAsia="zh-CN"/>
        </w:rPr>
        <w:t>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791C6BFF">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p>
    <w:p w14:paraId="4A9499EB">
      <w:pPr>
        <w:snapToGrid w:val="0"/>
        <w:spacing w:line="480" w:lineRule="auto"/>
        <w:rPr>
          <w:rFonts w:hint="eastAsia" w:ascii="仿宋_GB2312" w:hAnsi="仿宋_GB2312" w:eastAsia="仿宋_GB2312" w:cs="仿宋_GB2312"/>
          <w:color w:val="auto"/>
          <w:highlight w:val="none"/>
        </w:rPr>
      </w:pPr>
    </w:p>
    <w:p w14:paraId="118F63A0">
      <w:pPr>
        <w:snapToGrid w:val="0"/>
        <w:spacing w:line="480" w:lineRule="auto"/>
        <w:rPr>
          <w:rFonts w:hint="eastAsia" w:ascii="仿宋_GB2312" w:hAnsi="仿宋_GB2312" w:eastAsia="仿宋_GB2312" w:cs="仿宋_GB2312"/>
          <w:color w:val="auto"/>
          <w:highlight w:val="none"/>
        </w:rPr>
      </w:pPr>
    </w:p>
    <w:p w14:paraId="256AF996">
      <w:pPr>
        <w:snapToGrid w:val="0"/>
        <w:spacing w:line="480" w:lineRule="auto"/>
        <w:rPr>
          <w:rFonts w:hint="eastAsia" w:ascii="仿宋_GB2312" w:hAnsi="仿宋_GB2312" w:eastAsia="仿宋_GB2312" w:cs="仿宋_GB2312"/>
          <w:color w:val="auto"/>
          <w:highlight w:val="none"/>
        </w:rPr>
      </w:pPr>
    </w:p>
    <w:p w14:paraId="33406AE2">
      <w:pPr>
        <w:snapToGrid w:val="0"/>
        <w:spacing w:line="480" w:lineRule="auto"/>
        <w:rPr>
          <w:rFonts w:hint="eastAsia" w:ascii="仿宋_GB2312" w:hAnsi="仿宋_GB2312" w:eastAsia="仿宋_GB2312" w:cs="仿宋_GB2312"/>
          <w:color w:val="auto"/>
          <w:highlight w:val="none"/>
        </w:rPr>
      </w:pPr>
    </w:p>
    <w:p w14:paraId="4CC111D8">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8103AF9">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4F9F16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E066152">
      <w:pPr>
        <w:numPr>
          <w:ilvl w:val="0"/>
          <w:numId w:val="0"/>
        </w:numPr>
        <w:spacing w:before="12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0"/>
          <w:szCs w:val="30"/>
          <w:highlight w:val="none"/>
          <w:lang w:val="en-US" w:eastAsia="zh-CN"/>
        </w:rPr>
        <w:t>5、参加政府采购活动前三年内，在经营活动中没有重大违法记录的书面声明函</w:t>
      </w:r>
    </w:p>
    <w:p w14:paraId="699F5A50">
      <w:pPr>
        <w:spacing w:line="520" w:lineRule="exact"/>
        <w:rPr>
          <w:rFonts w:hint="eastAsia" w:ascii="宋体" w:hAnsi="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38D92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rPr>
        <w:t>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5CEE3E4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w:t>
      </w:r>
      <w:r>
        <w:rPr>
          <w:rFonts w:hint="eastAsia" w:ascii="宋体" w:hAnsi="宋体" w:cs="宋体"/>
          <w:color w:val="auto"/>
          <w:sz w:val="24"/>
          <w:szCs w:val="24"/>
          <w:highlight w:val="none"/>
          <w:shd w:val="clear" w:color="auto" w:fill="auto"/>
          <w:lang w:eastAsia="zh-CN"/>
        </w:rPr>
        <w:t>供应商</w:t>
      </w:r>
      <w:r>
        <w:rPr>
          <w:rFonts w:hint="eastAsia" w:ascii="宋体" w:hAnsi="宋体" w:cs="宋体"/>
          <w:color w:val="auto"/>
          <w:sz w:val="24"/>
          <w:szCs w:val="24"/>
          <w:highlight w:val="none"/>
          <w:shd w:val="clear" w:color="auto" w:fill="auto"/>
        </w:rPr>
        <w:t>条件。若贵方在本项目采购过程中发现我方政府采购活动前三年内有重大违法记录，我公司将无条件退出本项目的投标，并承担因此引起的一切后果。我方对此声明负全部法律责任。特此声明！</w:t>
      </w:r>
    </w:p>
    <w:p w14:paraId="50940BA0">
      <w:pPr>
        <w:snapToGrid w:val="0"/>
        <w:spacing w:line="480" w:lineRule="auto"/>
        <w:rPr>
          <w:rFonts w:hint="eastAsia" w:ascii="宋体" w:hAnsi="宋体" w:eastAsia="宋体" w:cs="宋体"/>
          <w:color w:val="auto"/>
          <w:sz w:val="24"/>
          <w:highlight w:val="none"/>
          <w:shd w:val="clear" w:color="auto" w:fill="auto"/>
          <w:lang w:eastAsia="zh-CN"/>
        </w:rPr>
      </w:pPr>
    </w:p>
    <w:p w14:paraId="474A1A09">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294DB23F">
      <w:pPr>
        <w:snapToGrid w:val="0"/>
        <w:spacing w:line="480" w:lineRule="auto"/>
        <w:rPr>
          <w:rFonts w:hint="eastAsia" w:ascii="仿宋_GB2312" w:hAnsi="仿宋_GB2312" w:eastAsia="仿宋_GB2312" w:cs="仿宋_GB2312"/>
          <w:color w:val="auto"/>
          <w:highlight w:val="none"/>
        </w:rPr>
      </w:pPr>
    </w:p>
    <w:p w14:paraId="0627B3EE">
      <w:pPr>
        <w:snapToGrid w:val="0"/>
        <w:spacing w:line="480" w:lineRule="auto"/>
        <w:rPr>
          <w:rFonts w:hint="eastAsia" w:ascii="仿宋_GB2312" w:hAnsi="仿宋_GB2312" w:eastAsia="仿宋_GB2312" w:cs="仿宋_GB2312"/>
          <w:color w:val="auto"/>
          <w:highlight w:val="none"/>
        </w:rPr>
      </w:pPr>
    </w:p>
    <w:p w14:paraId="59A43004">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A1F1B15">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7D4F54E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5FD2B55D">
      <w:pPr>
        <w:pStyle w:val="59"/>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0"/>
          <w:szCs w:val="30"/>
          <w:highlight w:val="none"/>
          <w:lang w:val="en-US" w:eastAsia="zh-CN"/>
        </w:rPr>
        <w:t>6、</w:t>
      </w:r>
      <w:r>
        <w:rPr>
          <w:rFonts w:hint="eastAsia" w:ascii="宋体" w:hAnsi="宋体" w:eastAsia="宋体" w:cs="宋体"/>
          <w:b/>
          <w:color w:val="auto"/>
          <w:sz w:val="30"/>
          <w:szCs w:val="30"/>
          <w:highlight w:val="none"/>
          <w:lang w:val="en-US" w:eastAsia="zh-CN"/>
        </w:rPr>
        <w:t>限制行为</w:t>
      </w:r>
    </w:p>
    <w:p w14:paraId="2716807B">
      <w:pPr>
        <w:pStyle w:val="59"/>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88" w:name="_Toc30256_WPSOffice_Level1"/>
      <w:bookmarkStart w:id="89" w:name="_Toc5107_WPSOffice_Level1"/>
      <w:bookmarkStart w:id="90" w:name="_Toc6244_WPSOffice_Level1"/>
      <w:bookmarkStart w:id="91" w:name="_Toc4715_WPSOffice_Level1"/>
      <w:r>
        <w:rPr>
          <w:rFonts w:hint="eastAsia" w:ascii="宋体" w:hAnsi="宋体" w:eastAsia="宋体" w:cs="宋体"/>
          <w:b/>
          <w:bCs/>
          <w:color w:val="auto"/>
          <w:sz w:val="24"/>
          <w:szCs w:val="24"/>
          <w:highlight w:val="none"/>
          <w:lang w:val="en-US" w:eastAsia="zh-CN"/>
        </w:rPr>
        <w:t>承诺书</w:t>
      </w:r>
      <w:bookmarkEnd w:id="88"/>
      <w:bookmarkEnd w:id="89"/>
      <w:bookmarkEnd w:id="90"/>
      <w:bookmarkEnd w:id="91"/>
    </w:p>
    <w:p w14:paraId="45ADB65E">
      <w:pPr>
        <w:pStyle w:val="59"/>
        <w:numPr>
          <w:ilvl w:val="0"/>
          <w:numId w:val="0"/>
        </w:numPr>
        <w:spacing w:line="640" w:lineRule="exact"/>
        <w:jc w:val="center"/>
        <w:rPr>
          <w:rFonts w:hint="eastAsia" w:ascii="宋体" w:hAnsi="宋体" w:eastAsia="宋体" w:cs="宋体"/>
          <w:b/>
          <w:bCs/>
          <w:color w:val="auto"/>
          <w:sz w:val="24"/>
          <w:szCs w:val="24"/>
          <w:highlight w:val="none"/>
          <w:lang w:val="en-US" w:eastAsia="zh-CN"/>
        </w:rPr>
      </w:pPr>
    </w:p>
    <w:p w14:paraId="0A1ACCD5">
      <w:pPr>
        <w:pStyle w:val="59"/>
        <w:spacing w:line="64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的法人，清楚知晓我公司本项目投标活动，对以下事项作出承诺：</w:t>
      </w:r>
    </w:p>
    <w:p w14:paraId="15E3777F">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0B9000F8">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6C64956A">
      <w:pPr>
        <w:pStyle w:val="59"/>
        <w:spacing w:line="64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w:t>
      </w:r>
      <w:r>
        <w:rPr>
          <w:rFonts w:hint="eastAsia" w:ascii="宋体" w:hAnsi="宋体" w:eastAsia="宋体" w:cs="宋体"/>
          <w:b w:val="0"/>
          <w:bCs/>
          <w:color w:val="auto"/>
          <w:sz w:val="24"/>
          <w:highlight w:val="none"/>
          <w:lang w:eastAsia="zh-CN"/>
        </w:rPr>
        <w:t>我单位未</w:t>
      </w:r>
      <w:r>
        <w:rPr>
          <w:rFonts w:hint="eastAsia" w:ascii="宋体" w:hAnsi="宋体" w:eastAsia="宋体" w:cs="宋体"/>
          <w:b w:val="0"/>
          <w:bCs/>
          <w:color w:val="auto"/>
          <w:sz w:val="24"/>
          <w:highlight w:val="none"/>
        </w:rPr>
        <w:t>为采购项目提供整体设计、规范编制或者项目管理、监理、检测等服务</w:t>
      </w:r>
      <w:r>
        <w:rPr>
          <w:rFonts w:hint="eastAsia" w:ascii="宋体" w:hAnsi="宋体" w:eastAsia="宋体" w:cs="宋体"/>
          <w:b w:val="0"/>
          <w:bCs/>
          <w:color w:val="auto"/>
          <w:sz w:val="24"/>
          <w:highlight w:val="none"/>
          <w:lang w:eastAsia="zh-CN"/>
        </w:rPr>
        <w:t>。</w:t>
      </w:r>
    </w:p>
    <w:p w14:paraId="76EF5525">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我单位如被查实在本项目招标投标活动中存在围标串标的，递交</w:t>
      </w:r>
      <w:r>
        <w:rPr>
          <w:rFonts w:hint="eastAsia" w:ascii="宋体" w:hAnsi="宋体" w:eastAsia="宋体" w:cs="宋体"/>
          <w:b w:val="0"/>
          <w:bCs/>
          <w:color w:val="auto"/>
          <w:sz w:val="24"/>
          <w:highlight w:val="none"/>
          <w:lang w:eastAsia="zh-CN"/>
        </w:rPr>
        <w:t>投标文件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4B0BD2A9">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11273BB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6DFD542D">
      <w:pPr>
        <w:snapToGrid w:val="0"/>
        <w:spacing w:line="480" w:lineRule="auto"/>
        <w:rPr>
          <w:rFonts w:hint="eastAsia" w:ascii="仿宋_GB2312" w:hAnsi="仿宋_GB2312" w:eastAsia="仿宋_GB2312" w:cs="仿宋_GB2312"/>
          <w:color w:val="auto"/>
          <w:highlight w:val="none"/>
        </w:rPr>
      </w:pPr>
    </w:p>
    <w:p w14:paraId="5D96CAB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BACAF0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83AD18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AC32D77">
      <w:pPr>
        <w:numPr>
          <w:ilvl w:val="0"/>
          <w:numId w:val="0"/>
        </w:numPr>
        <w:spacing w:before="120" w:line="360" w:lineRule="auto"/>
        <w:ind w:leftChars="0"/>
        <w:jc w:val="both"/>
        <w:rPr>
          <w:rFonts w:hint="eastAsia" w:ascii="宋体" w:hAnsi="宋体" w:eastAsia="宋体" w:cs="宋体"/>
          <w:b/>
          <w:bCs/>
          <w:color w:val="auto"/>
          <w:sz w:val="32"/>
          <w:szCs w:val="32"/>
          <w:highlight w:val="none"/>
          <w:lang w:val="en-US" w:eastAsia="zh-CN"/>
        </w:rPr>
      </w:pPr>
    </w:p>
    <w:p w14:paraId="2B364184">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103D8DBF">
      <w:pPr>
        <w:pStyle w:val="6"/>
        <w:numPr>
          <w:ilvl w:val="0"/>
          <w:numId w:val="0"/>
        </w:numPr>
        <w:spacing w:before="0" w:after="0" w:line="360" w:lineRule="auto"/>
        <w:ind w:leftChars="200"/>
        <w:rPr>
          <w:rFonts w:hint="eastAsia" w:ascii="宋体" w:hAnsi="宋体" w:cs="宋体"/>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92" w:name="_Toc25525_WPSOffice_Level1"/>
      <w:bookmarkStart w:id="93" w:name="_Toc3991_WPSOffice_Level1"/>
      <w:bookmarkStart w:id="94" w:name="_Toc27018_WPSOffice_Level1"/>
      <w:bookmarkStart w:id="95" w:name="_Toc17028_WPSOffice_Level1"/>
    </w:p>
    <w:p w14:paraId="08F22D28">
      <w:pPr>
        <w:numPr>
          <w:ilvl w:val="0"/>
          <w:numId w:val="0"/>
        </w:numPr>
        <w:spacing w:line="460" w:lineRule="exact"/>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7、中小企业声明函</w:t>
      </w:r>
    </w:p>
    <w:p w14:paraId="5BEF2DAB">
      <w:pPr>
        <w:numPr>
          <w:ilvl w:val="0"/>
          <w:numId w:val="0"/>
        </w:numPr>
        <w:spacing w:line="460" w:lineRule="exact"/>
        <w:jc w:val="center"/>
        <w:rPr>
          <w:rFonts w:hint="eastAsia" w:ascii="宋体" w:hAnsi="宋体" w:eastAsia="宋体" w:cs="宋体"/>
          <w:b/>
          <w:bCs/>
          <w:color w:val="auto"/>
          <w:kern w:val="2"/>
          <w:sz w:val="28"/>
          <w:szCs w:val="28"/>
          <w:highlight w:val="none"/>
          <w:lang w:val="en-US" w:eastAsia="zh-CN" w:bidi="ar-SA"/>
        </w:rPr>
      </w:pPr>
    </w:p>
    <w:p w14:paraId="14F1C0C5">
      <w:pPr>
        <w:numPr>
          <w:ilvl w:val="0"/>
          <w:numId w:val="0"/>
        </w:numPr>
        <w:spacing w:line="460" w:lineRule="exac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中小企业声明函</w:t>
      </w:r>
    </w:p>
    <w:p w14:paraId="59EE4900">
      <w:pPr>
        <w:spacing w:line="271" w:lineRule="auto"/>
        <w:rPr>
          <w:rFonts w:ascii="Arial"/>
          <w:color w:val="auto"/>
          <w:sz w:val="21"/>
          <w:highlight w:val="none"/>
        </w:rPr>
      </w:pPr>
    </w:p>
    <w:p w14:paraId="2F017361">
      <w:pPr>
        <w:pStyle w:val="43"/>
        <w:tabs>
          <w:tab w:val="left" w:pos="1183"/>
          <w:tab w:val="left" w:pos="1484"/>
          <w:tab w:val="left" w:pos="4662"/>
          <w:tab w:val="left" w:pos="6903"/>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8FBA457">
      <w:pPr>
        <w:pStyle w:val="43"/>
        <w:tabs>
          <w:tab w:val="left" w:pos="1165"/>
          <w:tab w:val="left" w:pos="1183"/>
          <w:tab w:val="left" w:pos="4362"/>
          <w:tab w:val="left" w:pos="6577"/>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5DD6323">
      <w:pPr>
        <w:pStyle w:val="43"/>
        <w:tabs>
          <w:tab w:val="left" w:pos="1165"/>
          <w:tab w:val="left" w:pos="1183"/>
          <w:tab w:val="left" w:pos="4362"/>
          <w:tab w:val="left" w:pos="6577"/>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1DF931">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4350DA1">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A223A4F">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BDD2739">
      <w:pPr>
        <w:pStyle w:val="13"/>
        <w:spacing w:after="0" w:line="360" w:lineRule="auto"/>
        <w:ind w:firstLine="5280" w:firstLineChars="2200"/>
        <w:rPr>
          <w:rFonts w:hint="eastAsia" w:ascii="宋体" w:hAnsi="宋体" w:eastAsia="宋体" w:cs="宋体"/>
          <w:color w:val="auto"/>
          <w:sz w:val="24"/>
          <w:highlight w:val="none"/>
        </w:rPr>
      </w:pPr>
    </w:p>
    <w:p w14:paraId="1E6E1C27">
      <w:pPr>
        <w:pStyle w:val="13"/>
        <w:spacing w:after="0" w:line="360" w:lineRule="auto"/>
        <w:ind w:firstLine="5280" w:firstLineChars="2200"/>
        <w:rPr>
          <w:rFonts w:hint="eastAsia" w:ascii="宋体" w:hAnsi="宋体" w:eastAsia="宋体" w:cs="宋体"/>
          <w:color w:val="auto"/>
          <w:sz w:val="24"/>
          <w:highlight w:val="none"/>
        </w:rPr>
      </w:pPr>
    </w:p>
    <w:p w14:paraId="11B23BE9">
      <w:pPr>
        <w:pStyle w:val="13"/>
        <w:spacing w:after="0" w:line="360" w:lineRule="auto"/>
        <w:ind w:firstLine="5280" w:firstLineChars="2200"/>
        <w:rPr>
          <w:rFonts w:hint="eastAsia" w:ascii="宋体" w:hAnsi="宋体" w:eastAsia="宋体" w:cs="宋体"/>
          <w:color w:val="auto"/>
          <w:sz w:val="24"/>
          <w:highlight w:val="none"/>
        </w:rPr>
      </w:pPr>
    </w:p>
    <w:p w14:paraId="5DE8A4D8">
      <w:pPr>
        <w:pStyle w:val="13"/>
        <w:spacing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企业名称（盖章）</w:t>
      </w:r>
      <w:r>
        <w:rPr>
          <w:rFonts w:hint="eastAsia" w:ascii="宋体" w:hAnsi="宋体" w:cs="宋体"/>
          <w:color w:val="auto"/>
          <w:sz w:val="24"/>
          <w:highlight w:val="none"/>
          <w:lang w:eastAsia="zh-CN"/>
        </w:rPr>
        <w:t>：</w:t>
      </w:r>
    </w:p>
    <w:p w14:paraId="78B94752">
      <w:pPr>
        <w:pStyle w:val="74"/>
        <w:spacing w:line="360" w:lineRule="auto"/>
        <w:rPr>
          <w:rFonts w:hint="eastAsia" w:ascii="宋体" w:hAnsi="宋体" w:eastAsia="宋体" w:cs="宋体"/>
          <w:color w:val="auto"/>
          <w:spacing w:val="24"/>
          <w:sz w:val="24"/>
          <w:highlight w:val="none"/>
        </w:rPr>
      </w:pPr>
      <w:r>
        <w:rPr>
          <w:rFonts w:hint="eastAsia" w:ascii="宋体" w:hAnsi="宋体" w:eastAsia="宋体" w:cs="宋体"/>
          <w:color w:val="auto"/>
          <w:spacing w:val="24"/>
          <w:sz w:val="24"/>
          <w:highlight w:val="none"/>
        </w:rPr>
        <w:t>日期：</w:t>
      </w:r>
    </w:p>
    <w:p w14:paraId="2A0C42B9">
      <w:pPr>
        <w:widowControl/>
        <w:rPr>
          <w:rFonts w:hint="eastAsia" w:ascii="宋体" w:hAnsi="宋体" w:eastAsia="宋体" w:cs="宋体"/>
          <w:color w:val="auto"/>
          <w:sz w:val="24"/>
          <w:highlight w:val="none"/>
        </w:rPr>
      </w:pPr>
    </w:p>
    <w:p w14:paraId="195F6021">
      <w:pPr>
        <w:widowControl/>
        <w:rPr>
          <w:rFonts w:hint="eastAsia" w:ascii="宋体" w:hAnsi="宋体" w:eastAsia="宋体" w:cs="宋体"/>
          <w:color w:val="auto"/>
          <w:sz w:val="24"/>
          <w:highlight w:val="none"/>
        </w:rPr>
      </w:pPr>
    </w:p>
    <w:p w14:paraId="7A37C3C3">
      <w:pPr>
        <w:widowControl/>
        <w:rPr>
          <w:rFonts w:hint="eastAsia" w:ascii="宋体" w:hAnsi="宋体" w:eastAsia="宋体" w:cs="宋体"/>
          <w:color w:val="auto"/>
          <w:sz w:val="24"/>
          <w:highlight w:val="none"/>
        </w:rPr>
      </w:pPr>
    </w:p>
    <w:p w14:paraId="4119B2CD">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w:t>
      </w:r>
      <w:bookmarkStart w:id="96" w:name="_Toc1088"/>
      <w:bookmarkStart w:id="97" w:name="_Toc12566"/>
      <w:bookmarkStart w:id="98" w:name="_Toc31268"/>
      <w:bookmarkStart w:id="99" w:name="_Toc5249"/>
      <w:bookmarkStart w:id="100" w:name="_Toc8531"/>
      <w:bookmarkStart w:id="101" w:name="_Toc17009"/>
      <w:bookmarkStart w:id="102" w:name="_Toc6760"/>
      <w:bookmarkStart w:id="103" w:name="_Toc32110"/>
      <w:r>
        <w:rPr>
          <w:rFonts w:hint="eastAsia" w:ascii="宋体" w:hAnsi="宋体" w:eastAsia="宋体" w:cs="宋体"/>
          <w:color w:val="auto"/>
          <w:sz w:val="24"/>
          <w:highlight w:val="none"/>
        </w:rPr>
        <w:t>企业可不填报。</w:t>
      </w:r>
      <w:bookmarkEnd w:id="96"/>
      <w:bookmarkEnd w:id="97"/>
      <w:bookmarkEnd w:id="98"/>
      <w:bookmarkEnd w:id="99"/>
      <w:bookmarkEnd w:id="100"/>
      <w:bookmarkEnd w:id="101"/>
      <w:bookmarkEnd w:id="102"/>
      <w:bookmarkEnd w:id="103"/>
    </w:p>
    <w:p w14:paraId="0F6C079D">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项目所属行业：</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工业</w:t>
      </w:r>
      <w:r>
        <w:rPr>
          <w:rFonts w:hint="eastAsia" w:ascii="宋体" w:hAnsi="宋体" w:eastAsia="宋体" w:cs="宋体"/>
          <w:color w:val="auto"/>
          <w:sz w:val="24"/>
          <w:highlight w:val="none"/>
        </w:rPr>
        <w:t>（附件1中小企业划型标准规定）</w:t>
      </w:r>
    </w:p>
    <w:p w14:paraId="756521EF">
      <w:pPr>
        <w:pStyle w:val="13"/>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15384A05">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04" w:name="_Toc28783_WPSOffice_Level1"/>
      <w:bookmarkStart w:id="105" w:name="_Toc18364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04"/>
      <w:bookmarkEnd w:id="105"/>
    </w:p>
    <w:p w14:paraId="73B5BDCF">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（监狱企业适用）</w:t>
      </w:r>
    </w:p>
    <w:p w14:paraId="11409266">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本公司郑重声明，根据《关于政府采购支持监狱企业发展有关问题的通知》（财库[2014]68号）的规定，本公司为监狱企业。</w:t>
      </w:r>
    </w:p>
    <w:p w14:paraId="5FEADBC6">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本公司参加______单位的______项目竞标活动，竞标活动提供本企业（填写制造的货物，由本企业承担工程、提供服务）。</w:t>
      </w:r>
    </w:p>
    <w:p w14:paraId="17FD1E45">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本条所称货物不包括使用大型企业注册商标的货物和服务。</w:t>
      </w:r>
    </w:p>
    <w:p w14:paraId="585C2B31">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本公司对上述声明的真实性负责。如有虚假，将依法承担相应责任。</w:t>
      </w:r>
    </w:p>
    <w:p w14:paraId="676F7977">
      <w:pPr>
        <w:pStyle w:val="75"/>
        <w:spacing w:line="480" w:lineRule="auto"/>
        <w:jc w:val="both"/>
        <w:outlineLvl w:val="9"/>
        <w:rPr>
          <w:rFonts w:hint="eastAsia" w:ascii="宋体" w:hAnsi="宋体" w:eastAsia="宋体" w:cs="宋体"/>
          <w:b w:val="0"/>
          <w:color w:val="auto"/>
          <w:kern w:val="2"/>
          <w:sz w:val="24"/>
          <w:szCs w:val="22"/>
          <w:highlight w:val="none"/>
        </w:rPr>
      </w:pPr>
    </w:p>
    <w:p w14:paraId="3604933F">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企业名称（盖公章）：</w:t>
      </w:r>
    </w:p>
    <w:p w14:paraId="46BC39F2">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法定代表人或其授权代表(签字或盖章)：____________</w:t>
      </w:r>
    </w:p>
    <w:p w14:paraId="25501CA6">
      <w:pPr>
        <w:pStyle w:val="75"/>
        <w:spacing w:line="480" w:lineRule="auto"/>
        <w:jc w:val="both"/>
        <w:outlineLvl w:val="9"/>
        <w:rPr>
          <w:rFonts w:hint="eastAsia" w:ascii="宋体" w:hAnsi="宋体" w:eastAsia="宋体" w:cs="宋体"/>
          <w:b w:val="0"/>
          <w:color w:val="auto"/>
          <w:kern w:val="2"/>
          <w:sz w:val="24"/>
          <w:szCs w:val="22"/>
          <w:highlight w:val="none"/>
        </w:rPr>
      </w:pPr>
    </w:p>
    <w:p w14:paraId="79B3F155">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77D68BAF">
      <w:pPr>
        <w:pStyle w:val="75"/>
        <w:jc w:val="both"/>
        <w:outlineLvl w:val="9"/>
        <w:rPr>
          <w:rFonts w:hint="eastAsia" w:ascii="宋体" w:hAnsi="宋体" w:eastAsia="宋体" w:cs="宋体"/>
          <w:b w:val="0"/>
          <w:color w:val="auto"/>
          <w:kern w:val="2"/>
          <w:sz w:val="24"/>
          <w:szCs w:val="22"/>
          <w:highlight w:val="none"/>
        </w:rPr>
      </w:pPr>
    </w:p>
    <w:p w14:paraId="66E28468">
      <w:pPr>
        <w:spacing w:line="600" w:lineRule="auto"/>
        <w:ind w:firstLine="435"/>
        <w:rPr>
          <w:color w:val="auto"/>
          <w:sz w:val="24"/>
          <w:szCs w:val="20"/>
          <w:highlight w:val="none"/>
        </w:rPr>
      </w:pPr>
      <w:r>
        <w:rPr>
          <w:rFonts w:hint="eastAsia"/>
          <w:color w:val="auto"/>
          <w:sz w:val="24"/>
          <w:szCs w:val="20"/>
          <w:highlight w:val="none"/>
        </w:rPr>
        <w:t>说明：</w:t>
      </w:r>
    </w:p>
    <w:p w14:paraId="1702C75D">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1.监狱企业参加政府采购活动时，应当提供由省级以上监狱管理局、戒毒管理局（含新疆生产建设兵团）出具的属于监狱企业的证明文件；</w:t>
      </w:r>
    </w:p>
    <w:p w14:paraId="21A8472E">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2.如</w:t>
      </w: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不属于监狱企业，则无须提供。</w:t>
      </w:r>
    </w:p>
    <w:p w14:paraId="5B19BF39">
      <w:pPr>
        <w:pStyle w:val="6"/>
        <w:spacing w:before="0" w:after="0" w:line="360" w:lineRule="auto"/>
        <w:outlineLvl w:val="9"/>
        <w:rPr>
          <w:rFonts w:hint="eastAsia"/>
          <w:color w:val="auto"/>
          <w:spacing w:val="4"/>
          <w:highlight w:val="none"/>
        </w:rPr>
      </w:pPr>
      <w:r>
        <w:rPr>
          <w:rFonts w:hint="eastAsia"/>
          <w:color w:val="auto"/>
          <w:spacing w:val="4"/>
          <w:highlight w:val="none"/>
        </w:rPr>
        <w:br w:type="page"/>
      </w:r>
      <w:bookmarkStart w:id="106" w:name="_Toc67046901"/>
    </w:p>
    <w:p w14:paraId="03A222D2">
      <w:pPr>
        <w:pStyle w:val="6"/>
        <w:spacing w:before="0" w:after="0" w:line="360" w:lineRule="auto"/>
        <w:jc w:val="center"/>
        <w:rPr>
          <w:color w:val="auto"/>
          <w:sz w:val="24"/>
          <w:szCs w:val="24"/>
          <w:highlight w:val="none"/>
        </w:rPr>
      </w:pPr>
      <w:bookmarkStart w:id="107" w:name="_Toc22706_WPSOffice_Level1"/>
      <w:bookmarkStart w:id="108" w:name="_Toc17121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06"/>
      <w:bookmarkEnd w:id="107"/>
      <w:bookmarkEnd w:id="108"/>
    </w:p>
    <w:p w14:paraId="5B6C97D3">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color w:val="auto"/>
          <w:kern w:val="2"/>
          <w:sz w:val="24"/>
          <w:szCs w:val="22"/>
          <w:highlight w:val="none"/>
        </w:rPr>
      </w:pPr>
    </w:p>
    <w:p w14:paraId="14662B29">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1370B82C">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本单位对上述声明的真实性负责。如有虚假，将依法承担相应责任。</w:t>
      </w:r>
    </w:p>
    <w:p w14:paraId="228F8AED">
      <w:pPr>
        <w:spacing w:line="360" w:lineRule="auto"/>
        <w:ind w:firstLine="435"/>
        <w:rPr>
          <w:color w:val="auto"/>
          <w:szCs w:val="16"/>
          <w:highlight w:val="none"/>
        </w:rPr>
      </w:pPr>
    </w:p>
    <w:p w14:paraId="5F5E3415">
      <w:pPr>
        <w:spacing w:line="720" w:lineRule="auto"/>
        <w:ind w:firstLine="435"/>
        <w:rPr>
          <w:rFonts w:hint="eastAsia" w:eastAsia="宋体"/>
          <w:color w:val="auto"/>
          <w:szCs w:val="16"/>
          <w:highlight w:val="none"/>
          <w:lang w:eastAsia="zh-CN"/>
        </w:rPr>
      </w:pPr>
      <w:r>
        <w:rPr>
          <w:rFonts w:hint="eastAsia"/>
          <w:color w:val="auto"/>
          <w:szCs w:val="16"/>
          <w:highlight w:val="none"/>
          <w:lang w:eastAsia="zh-CN"/>
        </w:rPr>
        <w:t>供应商</w:t>
      </w:r>
      <w:r>
        <w:rPr>
          <w:rFonts w:hint="eastAsia"/>
          <w:color w:val="auto"/>
          <w:szCs w:val="16"/>
          <w:highlight w:val="none"/>
        </w:rPr>
        <w:t>法定代表人/授权代表（签字或盖私章）：</w:t>
      </w:r>
    </w:p>
    <w:p w14:paraId="1649415C">
      <w:pPr>
        <w:spacing w:line="720" w:lineRule="auto"/>
        <w:ind w:firstLine="435"/>
        <w:rPr>
          <w:rFonts w:hint="eastAsia" w:eastAsia="宋体"/>
          <w:color w:val="auto"/>
          <w:szCs w:val="16"/>
          <w:highlight w:val="none"/>
          <w:lang w:eastAsia="zh-CN"/>
        </w:rPr>
      </w:pPr>
      <w:r>
        <w:rPr>
          <w:rFonts w:hint="eastAsia"/>
          <w:color w:val="auto"/>
          <w:szCs w:val="16"/>
          <w:highlight w:val="none"/>
          <w:lang w:eastAsia="zh-CN"/>
        </w:rPr>
        <w:t>供应商</w:t>
      </w:r>
      <w:r>
        <w:rPr>
          <w:rFonts w:hint="eastAsia"/>
          <w:color w:val="auto"/>
          <w:szCs w:val="16"/>
          <w:highlight w:val="none"/>
        </w:rPr>
        <w:t>名称（加盖公章）：</w:t>
      </w:r>
    </w:p>
    <w:p w14:paraId="608C1B76">
      <w:pPr>
        <w:spacing w:line="720" w:lineRule="auto"/>
        <w:ind w:firstLine="435"/>
        <w:rPr>
          <w:color w:val="auto"/>
          <w:szCs w:val="16"/>
          <w:highlight w:val="none"/>
        </w:rPr>
      </w:pPr>
      <w:r>
        <w:rPr>
          <w:rFonts w:hint="eastAsia"/>
          <w:color w:val="auto"/>
          <w:szCs w:val="16"/>
          <w:highlight w:val="none"/>
        </w:rPr>
        <w:t>日期：</w:t>
      </w:r>
    </w:p>
    <w:p w14:paraId="6F078217">
      <w:pPr>
        <w:spacing w:line="360" w:lineRule="auto"/>
        <w:ind w:firstLine="435"/>
        <w:rPr>
          <w:color w:val="auto"/>
          <w:szCs w:val="16"/>
          <w:highlight w:val="none"/>
        </w:rPr>
      </w:pPr>
    </w:p>
    <w:p w14:paraId="10250A4A">
      <w:pPr>
        <w:spacing w:line="360" w:lineRule="auto"/>
        <w:ind w:firstLine="435"/>
        <w:rPr>
          <w:rFonts w:hint="eastAsia"/>
          <w:color w:val="auto"/>
          <w:szCs w:val="16"/>
          <w:highlight w:val="none"/>
        </w:rPr>
      </w:pPr>
      <w:r>
        <w:rPr>
          <w:rFonts w:hint="eastAsia"/>
          <w:color w:val="auto"/>
          <w:szCs w:val="16"/>
          <w:highlight w:val="none"/>
        </w:rPr>
        <w:t>注：如</w:t>
      </w:r>
      <w:r>
        <w:rPr>
          <w:rFonts w:hint="eastAsia"/>
          <w:color w:val="auto"/>
          <w:szCs w:val="16"/>
          <w:highlight w:val="none"/>
          <w:lang w:eastAsia="zh-CN"/>
        </w:rPr>
        <w:t>供应商</w:t>
      </w:r>
      <w:r>
        <w:rPr>
          <w:rFonts w:hint="eastAsia"/>
          <w:color w:val="auto"/>
          <w:szCs w:val="16"/>
          <w:highlight w:val="none"/>
        </w:rPr>
        <w:t>不属于残疾人福利单位，则无须提供。</w:t>
      </w:r>
    </w:p>
    <w:p w14:paraId="57402B1E">
      <w:pPr>
        <w:rPr>
          <w:rFonts w:hint="eastAsia"/>
          <w:color w:val="auto"/>
          <w:szCs w:val="16"/>
          <w:highlight w:val="none"/>
        </w:rPr>
      </w:pPr>
      <w:r>
        <w:rPr>
          <w:rFonts w:hint="eastAsia"/>
          <w:color w:val="auto"/>
          <w:szCs w:val="16"/>
          <w:highlight w:val="none"/>
        </w:rPr>
        <w:br w:type="page"/>
      </w:r>
    </w:p>
    <w:p w14:paraId="7F266FDA">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kern w:val="2"/>
          <w:sz w:val="24"/>
          <w:szCs w:val="24"/>
        </w:rPr>
      </w:pP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b/>
          <w:bCs/>
          <w:kern w:val="2"/>
          <w:sz w:val="24"/>
          <w:szCs w:val="24"/>
          <w:lang w:val="en-US" w:eastAsia="zh-CN" w:bidi="ar"/>
        </w:rPr>
        <w:t>分包意向协议</w:t>
      </w:r>
    </w:p>
    <w:p w14:paraId="17C4806A">
      <w:pPr>
        <w:pStyle w:val="90"/>
        <w:widowControl/>
        <w:spacing w:before="0" w:beforeAutospacing="1" w:after="0" w:afterAutospacing="0" w:line="480" w:lineRule="auto"/>
        <w:ind w:left="0" w:right="0" w:firstLine="600"/>
        <w:rPr>
          <w:rFonts w:hint="eastAsia" w:ascii="宋体" w:hAnsi="宋体" w:eastAsia="宋体" w:cs="宋体"/>
          <w:kern w:val="2"/>
          <w:sz w:val="24"/>
          <w:szCs w:val="24"/>
        </w:rPr>
      </w:pPr>
      <w:r>
        <w:rPr>
          <w:rFonts w:hint="eastAsia" w:ascii="宋体" w:hAnsi="宋体" w:eastAsia="宋体" w:cs="宋体"/>
          <w:color w:val="000000"/>
          <w:kern w:val="2"/>
          <w:sz w:val="24"/>
          <w:szCs w:val="24"/>
          <w:u w:val="single"/>
        </w:rPr>
        <w:t>（投标人名称）</w:t>
      </w:r>
      <w:r>
        <w:rPr>
          <w:rFonts w:hint="eastAsia" w:ascii="宋体" w:hAnsi="宋体" w:eastAsia="宋体" w:cs="宋体"/>
          <w:color w:val="000000"/>
          <w:kern w:val="2"/>
          <w:sz w:val="24"/>
          <w:szCs w:val="24"/>
        </w:rPr>
        <w:t>若成为</w:t>
      </w:r>
      <w:r>
        <w:rPr>
          <w:rFonts w:hint="eastAsia" w:ascii="宋体" w:hAnsi="宋体" w:eastAsia="宋体" w:cs="宋体"/>
          <w:color w:val="000000"/>
          <w:kern w:val="2"/>
          <w:sz w:val="24"/>
          <w:szCs w:val="24"/>
          <w:u w:val="single"/>
        </w:rPr>
        <w:t xml:space="preserve">       （项目名称）</w:t>
      </w:r>
      <w:r>
        <w:rPr>
          <w:rFonts w:hint="eastAsia" w:ascii="宋体" w:hAnsi="宋体" w:eastAsia="宋体" w:cs="宋体"/>
          <w:color w:val="000000"/>
          <w:kern w:val="2"/>
          <w:sz w:val="24"/>
          <w:szCs w:val="24"/>
        </w:rPr>
        <w:t>的中标单位，将依法采取分包方式履行合同。</w:t>
      </w:r>
      <w:r>
        <w:rPr>
          <w:rFonts w:hint="eastAsia" w:ascii="宋体" w:hAnsi="宋体" w:eastAsia="宋体" w:cs="宋体"/>
          <w:color w:val="000000"/>
          <w:kern w:val="2"/>
          <w:sz w:val="24"/>
          <w:szCs w:val="24"/>
          <w:u w:val="single"/>
        </w:rPr>
        <w:t>（投标人名称）</w:t>
      </w:r>
      <w:r>
        <w:rPr>
          <w:rFonts w:hint="eastAsia" w:ascii="宋体" w:hAnsi="宋体" w:eastAsia="宋体" w:cs="宋体"/>
          <w:color w:val="000000"/>
          <w:kern w:val="2"/>
          <w:sz w:val="24"/>
          <w:szCs w:val="24"/>
        </w:rPr>
        <w:t>与</w:t>
      </w:r>
      <w:r>
        <w:rPr>
          <w:rFonts w:hint="eastAsia" w:ascii="宋体" w:hAnsi="宋体" w:eastAsia="宋体" w:cs="宋体"/>
          <w:color w:val="000000"/>
          <w:kern w:val="2"/>
          <w:sz w:val="24"/>
          <w:szCs w:val="24"/>
          <w:u w:val="single"/>
        </w:rPr>
        <w:t>（所有分包供应商名称）</w:t>
      </w:r>
      <w:r>
        <w:rPr>
          <w:rFonts w:hint="eastAsia" w:ascii="宋体" w:hAnsi="宋体" w:eastAsia="宋体" w:cs="宋体"/>
          <w:color w:val="000000"/>
          <w:kern w:val="2"/>
          <w:sz w:val="24"/>
          <w:szCs w:val="24"/>
        </w:rPr>
        <w:t>达成分包意向协议。</w:t>
      </w:r>
    </w:p>
    <w:p w14:paraId="38ACE14B">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一、分包意向各方关系</w:t>
      </w:r>
    </w:p>
    <w:p w14:paraId="60371AF7">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0"/>
          <w:sz w:val="24"/>
          <w:szCs w:val="24"/>
          <w:u w:val="single"/>
          <w:lang w:val="en-US" w:eastAsia="zh-CN" w:bidi="ar"/>
        </w:rPr>
        <w:t>（甲公司全称）</w:t>
      </w:r>
      <w:r>
        <w:rPr>
          <w:rFonts w:hint="eastAsia" w:ascii="宋体" w:hAnsi="宋体" w:eastAsia="宋体" w:cs="宋体"/>
          <w:kern w:val="0"/>
          <w:sz w:val="24"/>
          <w:szCs w:val="24"/>
          <w:lang w:val="en-US" w:eastAsia="zh-CN" w:bidi="ar"/>
        </w:rPr>
        <w:t>为</w:t>
      </w:r>
      <w:r>
        <w:rPr>
          <w:rFonts w:hint="eastAsia" w:ascii="宋体" w:hAnsi="宋体" w:eastAsia="宋体" w:cs="宋体"/>
          <w:kern w:val="2"/>
          <w:sz w:val="24"/>
          <w:szCs w:val="24"/>
          <w:lang w:val="en-US" w:eastAsia="zh-CN" w:bidi="ar"/>
        </w:rPr>
        <w:t>投标供应商</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u w:val="single"/>
          <w:lang w:val="en-US" w:eastAsia="zh-CN" w:bidi="ar"/>
        </w:rPr>
        <w:t>（乙公司全称）</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u w:val="single"/>
          <w:lang w:val="en-US" w:eastAsia="zh-CN" w:bidi="ar"/>
        </w:rPr>
        <w:t>（……公司全称）</w:t>
      </w:r>
      <w:r>
        <w:rPr>
          <w:rFonts w:hint="eastAsia" w:ascii="宋体" w:hAnsi="宋体" w:eastAsia="宋体" w:cs="宋体"/>
          <w:kern w:val="2"/>
          <w:sz w:val="24"/>
          <w:szCs w:val="24"/>
          <w:lang w:val="en-US" w:eastAsia="zh-CN" w:bidi="ar"/>
        </w:rPr>
        <w:t>为分包意向供应商，</w:t>
      </w:r>
      <w:r>
        <w:rPr>
          <w:rFonts w:hint="eastAsia" w:ascii="宋体" w:hAnsi="宋体" w:eastAsia="宋体" w:cs="宋体"/>
          <w:kern w:val="0"/>
          <w:sz w:val="24"/>
          <w:szCs w:val="24"/>
          <w:u w:val="single"/>
          <w:lang w:val="en-US" w:eastAsia="zh-CN" w:bidi="ar"/>
        </w:rPr>
        <w:t>（甲公司全称）</w:t>
      </w:r>
      <w:r>
        <w:rPr>
          <w:rFonts w:hint="eastAsia" w:ascii="宋体" w:hAnsi="宋体" w:eastAsia="宋体" w:cs="宋体"/>
          <w:kern w:val="2"/>
          <w:sz w:val="24"/>
          <w:szCs w:val="24"/>
          <w:lang w:val="en-US" w:eastAsia="zh-CN" w:bidi="ar"/>
        </w:rPr>
        <w:t>以投标供应商的身份参加本项目的</w:t>
      </w:r>
      <w:r>
        <w:rPr>
          <w:rFonts w:hint="eastAsia" w:ascii="宋体" w:hAnsi="宋体" w:eastAsia="宋体" w:cs="宋体"/>
          <w:kern w:val="0"/>
          <w:sz w:val="24"/>
          <w:szCs w:val="24"/>
          <w:lang w:val="en-US" w:eastAsia="zh-CN" w:bidi="ar"/>
        </w:rPr>
        <w:t>投标</w:t>
      </w:r>
      <w:r>
        <w:rPr>
          <w:rFonts w:hint="eastAsia" w:ascii="宋体" w:hAnsi="宋体" w:eastAsia="宋体" w:cs="宋体"/>
          <w:kern w:val="2"/>
          <w:sz w:val="24"/>
          <w:szCs w:val="24"/>
          <w:lang w:val="en-US" w:eastAsia="zh-CN" w:bidi="ar"/>
        </w:rPr>
        <w:t>。若中标，</w:t>
      </w:r>
      <w:r>
        <w:rPr>
          <w:rFonts w:hint="eastAsia" w:ascii="宋体" w:hAnsi="宋体" w:eastAsia="宋体" w:cs="宋体"/>
          <w:kern w:val="0"/>
          <w:sz w:val="24"/>
          <w:szCs w:val="24"/>
          <w:u w:val="single"/>
          <w:lang w:val="en-US" w:eastAsia="zh-CN" w:bidi="ar"/>
        </w:rPr>
        <w:t>（甲公司全称）</w:t>
      </w:r>
      <w:r>
        <w:rPr>
          <w:rFonts w:hint="eastAsia" w:ascii="宋体" w:hAnsi="宋体" w:eastAsia="宋体" w:cs="宋体"/>
          <w:kern w:val="0"/>
          <w:sz w:val="24"/>
          <w:szCs w:val="24"/>
          <w:lang w:val="en-US" w:eastAsia="zh-CN" w:bidi="ar"/>
        </w:rPr>
        <w:t>与</w:t>
      </w:r>
      <w:r>
        <w:rPr>
          <w:rFonts w:hint="eastAsia" w:ascii="宋体" w:hAnsi="宋体" w:eastAsia="宋体" w:cs="宋体"/>
          <w:kern w:val="2"/>
          <w:sz w:val="24"/>
          <w:szCs w:val="24"/>
          <w:lang w:val="en-US" w:eastAsia="zh-CN" w:bidi="ar"/>
        </w:rPr>
        <w:t>采购人签订政府采购合同。承接分包意向的各供应商与</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0"/>
          <w:sz w:val="24"/>
          <w:szCs w:val="24"/>
          <w:u w:val="single"/>
          <w:lang w:val="en-US" w:eastAsia="zh-CN" w:bidi="ar"/>
        </w:rPr>
        <w:t>甲公司全称</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2"/>
          <w:sz w:val="24"/>
          <w:szCs w:val="24"/>
          <w:lang w:val="en-US" w:eastAsia="zh-CN" w:bidi="ar"/>
        </w:rPr>
        <w:t>签订分包合同。</w:t>
      </w:r>
      <w:r>
        <w:rPr>
          <w:rFonts w:hint="eastAsia" w:ascii="宋体" w:hAnsi="宋体" w:eastAsia="宋体" w:cs="宋体"/>
          <w:kern w:val="0"/>
          <w:sz w:val="24"/>
          <w:szCs w:val="24"/>
          <w:u w:val="single"/>
          <w:lang w:val="en-US" w:eastAsia="zh-CN" w:bidi="ar"/>
        </w:rPr>
        <w:t>（甲公司全称）</w:t>
      </w:r>
      <w:r>
        <w:rPr>
          <w:rFonts w:hint="eastAsia" w:ascii="宋体" w:hAnsi="宋体" w:eastAsia="宋体" w:cs="宋体"/>
          <w:kern w:val="2"/>
          <w:sz w:val="24"/>
          <w:szCs w:val="24"/>
          <w:lang w:val="en-US" w:eastAsia="zh-CN" w:bidi="ar"/>
        </w:rPr>
        <w:t>就采购项目和分包项目向采购人负责，分包供应商就分包项目承担责任。</w:t>
      </w:r>
    </w:p>
    <w:p w14:paraId="1CF3B39F">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二、有关事项约定如下：</w:t>
      </w:r>
    </w:p>
    <w:p w14:paraId="61217FAF">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1.如中标，分包供应商分别与</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0"/>
          <w:sz w:val="24"/>
          <w:szCs w:val="24"/>
          <w:u w:val="single"/>
          <w:lang w:val="en-US" w:eastAsia="zh-CN" w:bidi="ar"/>
        </w:rPr>
        <w:t>甲公司全称</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2"/>
          <w:sz w:val="24"/>
          <w:szCs w:val="24"/>
          <w:lang w:val="en-US" w:eastAsia="zh-CN" w:bidi="ar"/>
        </w:rPr>
        <w:t>签订合同书，并就中标项目分包部分向采购人负责有连带的和各自的法律责任；</w:t>
      </w:r>
    </w:p>
    <w:p w14:paraId="68640D7B">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2.分包意向供应商1</w:t>
      </w:r>
      <w:r>
        <w:rPr>
          <w:rFonts w:hint="eastAsia" w:ascii="宋体" w:hAnsi="宋体" w:eastAsia="宋体" w:cs="宋体"/>
          <w:kern w:val="2"/>
          <w:sz w:val="24"/>
          <w:szCs w:val="24"/>
          <w:u w:val="single"/>
          <w:lang w:val="en-US" w:eastAsia="zh-CN" w:bidi="ar"/>
        </w:rPr>
        <w:t xml:space="preserve"> （公司全称） </w:t>
      </w:r>
      <w:r>
        <w:rPr>
          <w:rFonts w:hint="eastAsia" w:ascii="宋体" w:hAnsi="宋体" w:eastAsia="宋体" w:cs="宋体"/>
          <w:kern w:val="2"/>
          <w:sz w:val="24"/>
          <w:szCs w:val="24"/>
          <w:lang w:val="en-US" w:eastAsia="zh-CN" w:bidi="ar"/>
        </w:rPr>
        <w:t>为</w:t>
      </w:r>
      <w:r>
        <w:rPr>
          <w:rFonts w:hint="eastAsia" w:ascii="宋体" w:hAnsi="宋体" w:eastAsia="宋体" w:cs="宋体"/>
          <w:kern w:val="2"/>
          <w:sz w:val="24"/>
          <w:szCs w:val="24"/>
          <w:u w:val="single"/>
          <w:lang w:val="en-US" w:eastAsia="zh-CN" w:bidi="ar"/>
        </w:rPr>
        <w:t>（请填写：大型、中型、小型、微型）</w:t>
      </w:r>
      <w:r>
        <w:rPr>
          <w:rFonts w:hint="eastAsia" w:ascii="宋体" w:hAnsi="宋体" w:eastAsia="宋体" w:cs="宋体"/>
          <w:kern w:val="2"/>
          <w:sz w:val="24"/>
          <w:szCs w:val="24"/>
          <w:lang w:val="en-US" w:eastAsia="zh-CN" w:bidi="ar"/>
        </w:rPr>
        <w:t>企业，将承担适宜分包部分</w:t>
      </w:r>
      <w:r>
        <w:rPr>
          <w:rFonts w:hint="eastAsia" w:ascii="宋体" w:hAnsi="宋体" w:eastAsia="宋体" w:cs="宋体"/>
          <w:kern w:val="2"/>
          <w:sz w:val="24"/>
          <w:szCs w:val="24"/>
          <w:u w:val="single"/>
          <w:lang w:val="en-US" w:eastAsia="zh-CN" w:bidi="ar"/>
        </w:rPr>
        <w:t xml:space="preserve"> （具体分包内容），</w:t>
      </w:r>
      <w:r>
        <w:rPr>
          <w:rFonts w:hint="eastAsia" w:ascii="宋体" w:hAnsi="宋体" w:eastAsia="宋体" w:cs="宋体"/>
          <w:kern w:val="2"/>
          <w:sz w:val="24"/>
          <w:szCs w:val="24"/>
          <w:lang w:val="en-US" w:eastAsia="zh-CN" w:bidi="ar"/>
        </w:rPr>
        <w:t>合同总金额</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的工作内容。</w:t>
      </w:r>
    </w:p>
    <w:p w14:paraId="54F179DD">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3.分包意向供应商2</w:t>
      </w:r>
      <w:r>
        <w:rPr>
          <w:rFonts w:hint="eastAsia" w:ascii="宋体" w:hAnsi="宋体" w:eastAsia="宋体" w:cs="宋体"/>
          <w:kern w:val="2"/>
          <w:sz w:val="24"/>
          <w:szCs w:val="24"/>
          <w:u w:val="single"/>
          <w:lang w:val="en-US" w:eastAsia="zh-CN" w:bidi="ar"/>
        </w:rPr>
        <w:t xml:space="preserve"> （公司全称） </w:t>
      </w:r>
      <w:r>
        <w:rPr>
          <w:rFonts w:hint="eastAsia" w:ascii="宋体" w:hAnsi="宋体" w:eastAsia="宋体" w:cs="宋体"/>
          <w:kern w:val="2"/>
          <w:sz w:val="24"/>
          <w:szCs w:val="24"/>
          <w:lang w:val="en-US" w:eastAsia="zh-CN" w:bidi="ar"/>
        </w:rPr>
        <w:t>为</w:t>
      </w:r>
      <w:r>
        <w:rPr>
          <w:rFonts w:hint="eastAsia" w:ascii="宋体" w:hAnsi="宋体" w:eastAsia="宋体" w:cs="宋体"/>
          <w:kern w:val="2"/>
          <w:sz w:val="24"/>
          <w:szCs w:val="24"/>
          <w:u w:val="single"/>
          <w:lang w:val="en-US" w:eastAsia="zh-CN" w:bidi="ar"/>
        </w:rPr>
        <w:t>（请填写：大型、中型、小型、微型）</w:t>
      </w:r>
      <w:r>
        <w:rPr>
          <w:rFonts w:hint="eastAsia" w:ascii="宋体" w:hAnsi="宋体" w:eastAsia="宋体" w:cs="宋体"/>
          <w:kern w:val="2"/>
          <w:sz w:val="24"/>
          <w:szCs w:val="24"/>
          <w:lang w:val="en-US" w:eastAsia="zh-CN" w:bidi="ar"/>
        </w:rPr>
        <w:t>企业，将承担适宜分包部分</w:t>
      </w:r>
      <w:r>
        <w:rPr>
          <w:rFonts w:hint="eastAsia" w:ascii="宋体" w:hAnsi="宋体" w:eastAsia="宋体" w:cs="宋体"/>
          <w:kern w:val="2"/>
          <w:sz w:val="24"/>
          <w:szCs w:val="24"/>
          <w:u w:val="single"/>
          <w:lang w:val="en-US" w:eastAsia="zh-CN" w:bidi="ar"/>
        </w:rPr>
        <w:t>（具体分包内容），</w:t>
      </w:r>
      <w:r>
        <w:rPr>
          <w:rFonts w:hint="eastAsia" w:ascii="宋体" w:hAnsi="宋体" w:eastAsia="宋体" w:cs="宋体"/>
          <w:kern w:val="2"/>
          <w:sz w:val="24"/>
          <w:szCs w:val="24"/>
          <w:lang w:val="en-US" w:eastAsia="zh-CN" w:bidi="ar"/>
        </w:rPr>
        <w:t>合同总金额</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的工作内容。</w:t>
      </w:r>
    </w:p>
    <w:p w14:paraId="285638A6">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4.分包意向供应商3</w:t>
      </w:r>
      <w:r>
        <w:rPr>
          <w:rFonts w:hint="eastAsia" w:ascii="宋体" w:hAnsi="宋体" w:eastAsia="宋体" w:cs="宋体"/>
          <w:kern w:val="2"/>
          <w:sz w:val="24"/>
          <w:szCs w:val="24"/>
          <w:u w:val="single"/>
          <w:lang w:val="en-US" w:eastAsia="zh-CN" w:bidi="ar"/>
        </w:rPr>
        <w:t xml:space="preserve"> （公司全称） </w:t>
      </w:r>
      <w:r>
        <w:rPr>
          <w:rFonts w:hint="eastAsia" w:ascii="宋体" w:hAnsi="宋体" w:eastAsia="宋体" w:cs="宋体"/>
          <w:kern w:val="2"/>
          <w:sz w:val="24"/>
          <w:szCs w:val="24"/>
          <w:lang w:val="en-US" w:eastAsia="zh-CN" w:bidi="ar"/>
        </w:rPr>
        <w:t>为</w:t>
      </w:r>
      <w:r>
        <w:rPr>
          <w:rFonts w:hint="eastAsia" w:ascii="宋体" w:hAnsi="宋体" w:eastAsia="宋体" w:cs="宋体"/>
          <w:kern w:val="2"/>
          <w:sz w:val="24"/>
          <w:szCs w:val="24"/>
          <w:u w:val="single"/>
          <w:lang w:val="en-US" w:eastAsia="zh-CN" w:bidi="ar"/>
        </w:rPr>
        <w:t>（请填写：大型、中型、小型、微型）</w:t>
      </w:r>
      <w:r>
        <w:rPr>
          <w:rFonts w:hint="eastAsia" w:ascii="宋体" w:hAnsi="宋体" w:eastAsia="宋体" w:cs="宋体"/>
          <w:kern w:val="2"/>
          <w:sz w:val="24"/>
          <w:szCs w:val="24"/>
          <w:lang w:val="en-US" w:eastAsia="zh-CN" w:bidi="ar"/>
        </w:rPr>
        <w:t>企业，将承担适宜分包部分</w:t>
      </w:r>
      <w:r>
        <w:rPr>
          <w:rFonts w:hint="eastAsia" w:ascii="宋体" w:hAnsi="宋体" w:eastAsia="宋体" w:cs="宋体"/>
          <w:kern w:val="2"/>
          <w:sz w:val="24"/>
          <w:szCs w:val="24"/>
          <w:u w:val="single"/>
          <w:lang w:val="en-US" w:eastAsia="zh-CN" w:bidi="ar"/>
        </w:rPr>
        <w:t>（具体分包内容），</w:t>
      </w:r>
      <w:r>
        <w:rPr>
          <w:rFonts w:hint="eastAsia" w:ascii="宋体" w:hAnsi="宋体" w:eastAsia="宋体" w:cs="宋体"/>
          <w:kern w:val="2"/>
          <w:sz w:val="24"/>
          <w:szCs w:val="24"/>
          <w:lang w:val="en-US" w:eastAsia="zh-CN" w:bidi="ar"/>
        </w:rPr>
        <w:t>合同总金额</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的工作内容。</w:t>
      </w:r>
    </w:p>
    <w:p w14:paraId="5595776A">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p w14:paraId="09426A39">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三、接受分包合同的中小企业与分包企业之间</w:t>
      </w:r>
      <w:r>
        <w:rPr>
          <w:rFonts w:hint="eastAsia" w:ascii="宋体" w:hAnsi="宋体" w:eastAsia="宋体" w:cs="宋体"/>
          <w:kern w:val="2"/>
          <w:sz w:val="24"/>
          <w:szCs w:val="24"/>
          <w:u w:val="single"/>
          <w:lang w:val="en-US" w:eastAsia="zh-CN" w:bidi="ar"/>
        </w:rPr>
        <w:t>（请填写：是否存在）</w:t>
      </w:r>
      <w:r>
        <w:rPr>
          <w:rFonts w:hint="eastAsia" w:ascii="宋体" w:hAnsi="宋体" w:eastAsia="宋体" w:cs="宋体"/>
          <w:kern w:val="2"/>
          <w:sz w:val="24"/>
          <w:szCs w:val="24"/>
          <w:lang w:val="en-US" w:eastAsia="zh-CN" w:bidi="ar"/>
        </w:rPr>
        <w:t>直接控股、管理关系的情形。</w:t>
      </w:r>
    </w:p>
    <w:p w14:paraId="090F47D8">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四、如因违约过失责任而导致采购人经济损失或被索赔时，</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0"/>
          <w:sz w:val="24"/>
          <w:szCs w:val="24"/>
          <w:u w:val="single"/>
          <w:lang w:val="en-US" w:eastAsia="zh-CN" w:bidi="ar"/>
        </w:rPr>
        <w:t>甲公司全称</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0"/>
          <w:sz w:val="24"/>
          <w:szCs w:val="24"/>
          <w:lang w:val="en-US" w:eastAsia="zh-CN" w:bidi="ar"/>
        </w:rPr>
        <w:t>同意无条件优先清偿采购人的一切债务和经济赔偿。</w:t>
      </w:r>
    </w:p>
    <w:p w14:paraId="4D726262">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五、中小企业合同金额为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，占</w:t>
      </w:r>
      <w:r>
        <w:rPr>
          <w:rFonts w:hint="eastAsia" w:ascii="宋体" w:hAnsi="宋体" w:eastAsia="宋体" w:cs="宋体"/>
          <w:kern w:val="2"/>
          <w:sz w:val="24"/>
          <w:szCs w:val="24"/>
          <w:lang w:val="en-US" w:eastAsia="zh-CN" w:bidi="ar"/>
        </w:rPr>
        <w:t>合同总金额</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0"/>
          <w:sz w:val="24"/>
          <w:szCs w:val="24"/>
          <w:lang w:val="en-US" w:eastAsia="zh-CN" w:bidi="ar"/>
        </w:rPr>
        <w:t>，其中小微企业合同金额为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，占</w:t>
      </w:r>
      <w:r>
        <w:rPr>
          <w:rFonts w:hint="eastAsia" w:ascii="宋体" w:hAnsi="宋体" w:eastAsia="宋体" w:cs="宋体"/>
          <w:kern w:val="2"/>
          <w:sz w:val="24"/>
          <w:szCs w:val="24"/>
          <w:lang w:val="en-US" w:eastAsia="zh-CN" w:bidi="ar"/>
        </w:rPr>
        <w:t>合同总金额</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0"/>
          <w:sz w:val="24"/>
          <w:szCs w:val="24"/>
          <w:lang w:val="en-US" w:eastAsia="zh-CN" w:bidi="ar"/>
        </w:rPr>
        <w:t>。</w:t>
      </w:r>
    </w:p>
    <w:p w14:paraId="3E3850A1">
      <w:pPr>
        <w:keepNext w:val="0"/>
        <w:keepLines w:val="0"/>
        <w:widowControl/>
        <w:suppressLineNumbers w:val="0"/>
        <w:tabs>
          <w:tab w:val="left" w:pos="2977"/>
          <w:tab w:val="left" w:pos="5954"/>
        </w:tabs>
        <w:spacing w:before="0" w:beforeAutospacing="0" w:after="0" w:afterAutospacing="0" w:line="480" w:lineRule="auto"/>
        <w:ind w:left="0" w:right="0" w:firstLine="4560" w:firstLineChars="19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14:paraId="0E8A5196">
      <w:pPr>
        <w:keepNext w:val="0"/>
        <w:keepLines w:val="0"/>
        <w:widowControl/>
        <w:suppressLineNumbers w:val="0"/>
        <w:tabs>
          <w:tab w:val="left" w:pos="2977"/>
          <w:tab w:val="left" w:pos="5954"/>
        </w:tabs>
        <w:spacing w:before="0" w:beforeAutospacing="0" w:after="0" w:afterAutospacing="0" w:line="480" w:lineRule="auto"/>
        <w:ind w:left="0" w:right="0" w:firstLine="4560" w:firstLineChars="19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投标人：（盖章） </w:t>
      </w:r>
      <w:r>
        <w:rPr>
          <w:rFonts w:hint="eastAsia" w:ascii="宋体" w:hAnsi="宋体" w:eastAsia="宋体" w:cs="宋体"/>
          <w:kern w:val="0"/>
          <w:sz w:val="24"/>
          <w:szCs w:val="24"/>
          <w:lang w:val="en-US" w:eastAsia="zh-CN" w:bidi="ar"/>
        </w:rPr>
        <w:tab/>
      </w:r>
    </w:p>
    <w:p w14:paraId="709C2D1D">
      <w:pPr>
        <w:keepNext w:val="0"/>
        <w:keepLines w:val="0"/>
        <w:widowControl/>
        <w:suppressLineNumbers w:val="0"/>
        <w:tabs>
          <w:tab w:val="left" w:pos="2977"/>
          <w:tab w:val="left" w:pos="5954"/>
        </w:tabs>
        <w:spacing w:before="0" w:beforeAutospacing="0" w:after="0" w:afterAutospacing="0" w:line="480" w:lineRule="auto"/>
        <w:ind w:left="0" w:right="0" w:firstLine="4320" w:firstLineChars="18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法定代表人（签字或</w:t>
      </w:r>
      <w:r>
        <w:rPr>
          <w:rFonts w:hint="eastAsia" w:ascii="宋体" w:hAnsi="宋体" w:eastAsia="宋体" w:cs="宋体"/>
          <w:kern w:val="2"/>
          <w:sz w:val="24"/>
          <w:szCs w:val="24"/>
          <w:lang w:val="en-US" w:eastAsia="zh-CN" w:bidi="ar"/>
        </w:rPr>
        <w:t>盖章</w:t>
      </w:r>
      <w:r>
        <w:rPr>
          <w:rFonts w:hint="eastAsia" w:ascii="宋体" w:hAnsi="宋体" w:eastAsia="宋体" w:cs="宋体"/>
          <w:kern w:val="0"/>
          <w:sz w:val="24"/>
          <w:szCs w:val="24"/>
          <w:lang w:val="en-US" w:eastAsia="zh-CN" w:bidi="ar"/>
        </w:rPr>
        <w:t>）</w:t>
      </w:r>
    </w:p>
    <w:p w14:paraId="67A09066">
      <w:pPr>
        <w:keepNext w:val="0"/>
        <w:keepLines w:val="0"/>
        <w:widowControl/>
        <w:suppressLineNumbers w:val="0"/>
        <w:tabs>
          <w:tab w:val="left" w:pos="2977"/>
          <w:tab w:val="left" w:pos="5954"/>
        </w:tabs>
        <w:spacing w:before="0" w:beforeAutospacing="0" w:after="0" w:afterAutospacing="0" w:line="48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年  月  日</w:t>
      </w:r>
      <w:r>
        <w:rPr>
          <w:rFonts w:hint="eastAsia" w:ascii="宋体" w:hAnsi="宋体" w:eastAsia="宋体" w:cs="宋体"/>
          <w:kern w:val="0"/>
          <w:sz w:val="24"/>
          <w:szCs w:val="24"/>
          <w:lang w:val="en-US" w:eastAsia="zh-CN" w:bidi="ar"/>
        </w:rPr>
        <w:tab/>
      </w:r>
    </w:p>
    <w:p w14:paraId="463CC208">
      <w:pPr>
        <w:keepNext w:val="0"/>
        <w:keepLines w:val="0"/>
        <w:widowControl w:val="0"/>
        <w:suppressLineNumbers w:val="0"/>
        <w:spacing w:before="0" w:beforeAutospacing="0" w:after="0" w:afterAutospacing="0" w:line="480" w:lineRule="auto"/>
        <w:ind w:left="708" w:right="0" w:hanging="708" w:hangingChars="294"/>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 </w:t>
      </w:r>
    </w:p>
    <w:p w14:paraId="6DA43D1D">
      <w:pPr>
        <w:keepNext w:val="0"/>
        <w:keepLines w:val="0"/>
        <w:widowControl w:val="0"/>
        <w:suppressLineNumbers w:val="0"/>
        <w:spacing w:before="0" w:beforeAutospacing="0" w:after="0" w:afterAutospacing="0" w:line="480" w:lineRule="auto"/>
        <w:ind w:left="708" w:right="0" w:hanging="708" w:hangingChars="294"/>
        <w:jc w:val="both"/>
        <w:rPr>
          <w:rFonts w:hint="eastAsia" w:ascii="宋体" w:hAnsi="宋体" w:eastAsia="宋体" w:cs="宋体"/>
          <w:b/>
          <w:bCs/>
          <w:kern w:val="2"/>
          <w:sz w:val="24"/>
          <w:szCs w:val="24"/>
        </w:rPr>
      </w:pPr>
      <w:r>
        <w:rPr>
          <w:rFonts w:hint="eastAsia" w:ascii="宋体" w:hAnsi="宋体" w:eastAsia="宋体" w:cs="宋体"/>
          <w:b/>
          <w:bCs w:val="0"/>
          <w:kern w:val="2"/>
          <w:sz w:val="24"/>
          <w:szCs w:val="24"/>
          <w:lang w:val="en-US" w:eastAsia="zh-CN" w:bidi="ar"/>
        </w:rPr>
        <w:t>注：</w:t>
      </w:r>
      <w:r>
        <w:rPr>
          <w:rFonts w:hint="eastAsia" w:ascii="宋体" w:hAnsi="宋体" w:eastAsia="宋体" w:cs="宋体"/>
          <w:b/>
          <w:bCs/>
          <w:kern w:val="2"/>
          <w:sz w:val="24"/>
          <w:szCs w:val="24"/>
          <w:lang w:val="en-US" w:eastAsia="zh-CN" w:bidi="ar"/>
        </w:rPr>
        <w:t>本分包意向协议内容将作为签订合同的附件之一。</w:t>
      </w:r>
    </w:p>
    <w:p w14:paraId="7797C00F">
      <w:pPr>
        <w:pStyle w:val="2"/>
      </w:pPr>
    </w:p>
    <w:p w14:paraId="0A543F67">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56C9DDE0">
      <w:pPr>
        <w:pStyle w:val="24"/>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2"/>
          <w:szCs w:val="32"/>
          <w:highlight w:val="none"/>
        </w:rPr>
      </w:pPr>
      <w:r>
        <w:rPr>
          <w:rStyle w:val="31"/>
          <w:rFonts w:hint="eastAsia" w:ascii="宋体" w:hAnsi="宋体" w:cs="宋体"/>
          <w:color w:val="auto"/>
          <w:sz w:val="32"/>
          <w:szCs w:val="32"/>
          <w:highlight w:val="none"/>
          <w:lang w:val="en-US" w:eastAsia="zh-CN"/>
        </w:rPr>
        <w:t>附件1</w:t>
      </w:r>
      <w:r>
        <w:rPr>
          <w:rStyle w:val="31"/>
          <w:rFonts w:hint="eastAsia" w:ascii="宋体" w:hAnsi="宋体" w:eastAsia="宋体" w:cs="宋体"/>
          <w:color w:val="auto"/>
          <w:sz w:val="32"/>
          <w:szCs w:val="32"/>
          <w:highlight w:val="none"/>
        </w:rPr>
        <w:t>中小企业划型标准规定</w:t>
      </w:r>
    </w:p>
    <w:p w14:paraId="5016C0F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5B9040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7CA01E8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84E5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487C9CD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1FABA52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2" w:firstLineChars="200"/>
        <w:textAlignment w:val="auto"/>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C70BB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9CF5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8C957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669B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09800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254D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63FAF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F68EB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4D71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8CBE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D2F32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41533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C8D54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171E2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1F88FC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421237F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4204EF3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7EFFB4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436835A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4F26AA0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09" w:name="1120129-1185072-3"/>
      <w:bookmarkEnd w:id="109"/>
    </w:p>
    <w:p w14:paraId="6567A51A">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6B5E45F7">
      <w:pPr>
        <w:numPr>
          <w:ilvl w:val="0"/>
          <w:numId w:val="0"/>
        </w:numPr>
        <w:spacing w:line="460" w:lineRule="exact"/>
        <w:jc w:val="center"/>
        <w:rPr>
          <w:rFonts w:hint="eastAsia" w:ascii="宋体" w:hAnsi="宋体" w:cs="宋体"/>
          <w:b/>
          <w:bCs/>
          <w:color w:val="auto"/>
          <w:sz w:val="32"/>
          <w:szCs w:val="32"/>
          <w:highlight w:val="none"/>
          <w:lang w:val="en-US" w:eastAsia="zh-CN"/>
        </w:rPr>
      </w:pPr>
      <w:r>
        <w:rPr>
          <w:rFonts w:hint="eastAsia" w:ascii="宋体" w:hAnsi="宋体" w:eastAsia="宋体" w:cs="宋体"/>
          <w:b/>
          <w:bCs/>
          <w:color w:val="auto"/>
          <w:kern w:val="2"/>
          <w:sz w:val="32"/>
          <w:szCs w:val="32"/>
          <w:lang w:val="en-US" w:eastAsia="zh-CN" w:bidi="ar-SA"/>
        </w:rPr>
        <w:t>8、</w:t>
      </w:r>
      <w:r>
        <w:rPr>
          <w:rFonts w:hint="eastAsia" w:ascii="宋体" w:hAnsi="宋体" w:cs="宋体"/>
          <w:b/>
          <w:bCs/>
          <w:color w:val="auto"/>
          <w:sz w:val="32"/>
          <w:szCs w:val="32"/>
          <w:highlight w:val="none"/>
          <w:lang w:val="en-US" w:eastAsia="zh-CN"/>
        </w:rPr>
        <w:t>投标保证金</w:t>
      </w:r>
    </w:p>
    <w:p w14:paraId="585DC49F">
      <w:pPr>
        <w:pStyle w:val="5"/>
        <w:numPr>
          <w:ilvl w:val="0"/>
          <w:numId w:val="0"/>
        </w:numPr>
        <w:rPr>
          <w:rFonts w:hint="eastAsia"/>
          <w:lang w:val="en-US" w:eastAsia="zh-CN"/>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p w14:paraId="6659E0EA">
      <w:pPr>
        <w:rPr>
          <w:rFonts w:hint="eastAsia" w:ascii="宋体" w:hAnsi="宋体" w:cs="宋体"/>
          <w:b/>
          <w:bCs/>
          <w:color w:val="auto"/>
          <w:sz w:val="32"/>
          <w:szCs w:val="32"/>
          <w:highlight w:val="none"/>
          <w:lang w:val="en-US" w:eastAsia="zh-CN"/>
        </w:rPr>
      </w:pPr>
    </w:p>
    <w:p w14:paraId="54DDFBB4">
      <w:pPr>
        <w:pStyle w:val="6"/>
        <w:numPr>
          <w:ilvl w:val="0"/>
          <w:numId w:val="0"/>
        </w:numPr>
        <w:spacing w:before="0" w:after="0" w:line="360" w:lineRule="auto"/>
        <w:ind w:leftChars="2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column"/>
      </w:r>
      <w:r>
        <w:rPr>
          <w:rFonts w:hint="eastAsia" w:ascii="宋体" w:hAnsi="宋体" w:cs="宋体"/>
          <w:b/>
          <w:bCs/>
          <w:color w:val="auto"/>
          <w:sz w:val="32"/>
          <w:szCs w:val="32"/>
          <w:highlight w:val="none"/>
          <w:lang w:val="en-US" w:eastAsia="zh-CN"/>
        </w:rPr>
        <w:t>二、报价文件</w:t>
      </w:r>
      <w:bookmarkEnd w:id="92"/>
      <w:bookmarkEnd w:id="93"/>
    </w:p>
    <w:p w14:paraId="746469F6">
      <w:pPr>
        <w:adjustRightInd w:val="0"/>
        <w:snapToGrid w:val="0"/>
        <w:spacing w:line="360" w:lineRule="auto"/>
        <w:ind w:right="105" w:rightChars="50"/>
        <w:jc w:val="center"/>
        <w:rPr>
          <w:rFonts w:hint="default" w:ascii="宋体" w:hAnsi="宋体" w:eastAsia="宋体" w:cs="宋体"/>
          <w:b/>
          <w:bCs/>
          <w:color w:val="auto"/>
          <w:sz w:val="30"/>
          <w:szCs w:val="30"/>
          <w:highlight w:val="none"/>
          <w:lang w:val="en-US" w:eastAsia="zh-CN"/>
        </w:rPr>
      </w:pPr>
      <w:r>
        <w:rPr>
          <w:rFonts w:hint="eastAsia" w:ascii="宋体" w:hAnsi="宋体" w:cs="宋体"/>
          <w:b/>
          <w:color w:val="auto"/>
          <w:kern w:val="0"/>
          <w:sz w:val="30"/>
          <w:szCs w:val="30"/>
          <w:highlight w:val="none"/>
          <w:lang w:val="en-US" w:eastAsia="zh-CN" w:bidi="ar-SA"/>
        </w:rPr>
        <w:t>1</w:t>
      </w:r>
      <w:r>
        <w:rPr>
          <w:rFonts w:hint="eastAsia" w:ascii="宋体" w:hAnsi="宋体" w:eastAsia="宋体" w:cs="宋体"/>
          <w:b/>
          <w:color w:val="auto"/>
          <w:kern w:val="0"/>
          <w:sz w:val="30"/>
          <w:szCs w:val="30"/>
          <w:highlight w:val="none"/>
          <w:lang w:val="en-US" w:eastAsia="zh-CN" w:bidi="ar-SA"/>
        </w:rPr>
        <w:t>.1报价一览表</w:t>
      </w:r>
    </w:p>
    <w:p w14:paraId="48BDC702">
      <w:pPr>
        <w:adjustRightInd w:val="0"/>
        <w:snapToGrid w:val="0"/>
        <w:spacing w:line="360" w:lineRule="auto"/>
        <w:ind w:right="105" w:rightChars="50"/>
        <w:jc w:val="left"/>
        <w:rPr>
          <w:rFonts w:hint="eastAsia" w:ascii="宋体" w:hAnsi="宋体" w:cs="宋体"/>
          <w:b/>
          <w:bCs/>
          <w:color w:val="auto"/>
          <w:sz w:val="24"/>
          <w:szCs w:val="24"/>
          <w:highlight w:val="none"/>
        </w:rPr>
      </w:pPr>
    </w:p>
    <w:p w14:paraId="41F6C6D1">
      <w:pPr>
        <w:adjustRightInd w:val="0"/>
        <w:snapToGrid w:val="0"/>
        <w:spacing w:line="360" w:lineRule="auto"/>
        <w:ind w:right="105" w:rightChars="5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                  项目编号：        报价单位：人民币元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5700"/>
      </w:tblGrid>
      <w:tr w14:paraId="015C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699" w:type="dxa"/>
            <w:vMerge w:val="restart"/>
            <w:noWrap w:val="0"/>
            <w:vAlign w:val="center"/>
          </w:tcPr>
          <w:p w14:paraId="33E1542E">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总</w:t>
            </w:r>
            <w:r>
              <w:rPr>
                <w:rFonts w:hint="eastAsia" w:ascii="宋体" w:hAnsi="宋体" w:cs="宋体"/>
                <w:color w:val="auto"/>
                <w:kern w:val="0"/>
                <w:sz w:val="24"/>
                <w:szCs w:val="24"/>
                <w:highlight w:val="none"/>
              </w:rPr>
              <w:t>报价</w:t>
            </w:r>
          </w:p>
        </w:tc>
        <w:tc>
          <w:tcPr>
            <w:tcW w:w="5700" w:type="dxa"/>
            <w:noWrap w:val="0"/>
            <w:vAlign w:val="center"/>
          </w:tcPr>
          <w:p w14:paraId="68BDA48B">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14:paraId="32C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99" w:type="dxa"/>
            <w:vMerge w:val="continue"/>
            <w:noWrap w:val="0"/>
            <w:vAlign w:val="center"/>
          </w:tcPr>
          <w:p w14:paraId="0D6A5254">
            <w:pPr>
              <w:rPr>
                <w:rFonts w:hint="eastAsia" w:ascii="宋体" w:hAnsi="宋体" w:cs="宋体"/>
                <w:color w:val="auto"/>
                <w:sz w:val="24"/>
                <w:szCs w:val="24"/>
                <w:highlight w:val="none"/>
              </w:rPr>
            </w:pPr>
          </w:p>
        </w:tc>
        <w:tc>
          <w:tcPr>
            <w:tcW w:w="5700" w:type="dxa"/>
            <w:noWrap w:val="0"/>
            <w:vAlign w:val="center"/>
          </w:tcPr>
          <w:p w14:paraId="35720A24">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14:paraId="097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699" w:type="dxa"/>
            <w:noWrap w:val="0"/>
            <w:vAlign w:val="center"/>
          </w:tcPr>
          <w:p w14:paraId="60D3A163">
            <w:pPr>
              <w:widowControl/>
              <w:spacing w:line="440" w:lineRule="exact"/>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合同履约期限（交货安装期）</w:t>
            </w:r>
          </w:p>
        </w:tc>
        <w:tc>
          <w:tcPr>
            <w:tcW w:w="5700" w:type="dxa"/>
            <w:noWrap w:val="0"/>
            <w:vAlign w:val="center"/>
          </w:tcPr>
          <w:p w14:paraId="5CB2EEA2">
            <w:pPr>
              <w:spacing w:line="440" w:lineRule="exact"/>
              <w:jc w:val="left"/>
              <w:rPr>
                <w:rFonts w:hint="eastAsia" w:ascii="宋体" w:hAnsi="宋体" w:cs="宋体"/>
                <w:color w:val="auto"/>
                <w:kern w:val="0"/>
                <w:sz w:val="24"/>
                <w:szCs w:val="24"/>
                <w:highlight w:val="none"/>
              </w:rPr>
            </w:pPr>
          </w:p>
        </w:tc>
      </w:tr>
      <w:tr w14:paraId="4060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699" w:type="dxa"/>
            <w:noWrap w:val="0"/>
            <w:vAlign w:val="center"/>
          </w:tcPr>
          <w:p w14:paraId="0AB6F44D">
            <w:pPr>
              <w:widowControl/>
              <w:spacing w:line="4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质保期</w:t>
            </w:r>
          </w:p>
        </w:tc>
        <w:tc>
          <w:tcPr>
            <w:tcW w:w="5700" w:type="dxa"/>
            <w:noWrap w:val="0"/>
            <w:vAlign w:val="center"/>
          </w:tcPr>
          <w:p w14:paraId="1671E671">
            <w:pPr>
              <w:spacing w:line="440" w:lineRule="exact"/>
              <w:jc w:val="left"/>
              <w:rPr>
                <w:rFonts w:hint="eastAsia" w:ascii="宋体" w:hAnsi="宋体" w:cs="宋体"/>
                <w:color w:val="auto"/>
                <w:kern w:val="0"/>
                <w:sz w:val="24"/>
                <w:szCs w:val="24"/>
                <w:highlight w:val="none"/>
              </w:rPr>
            </w:pPr>
          </w:p>
        </w:tc>
      </w:tr>
      <w:tr w14:paraId="49F0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699" w:type="dxa"/>
            <w:noWrap w:val="0"/>
            <w:vAlign w:val="center"/>
          </w:tcPr>
          <w:p w14:paraId="616BD788">
            <w:pPr>
              <w:widowControl/>
              <w:spacing w:line="4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交货地点</w:t>
            </w:r>
          </w:p>
        </w:tc>
        <w:tc>
          <w:tcPr>
            <w:tcW w:w="5700" w:type="dxa"/>
            <w:noWrap w:val="0"/>
            <w:vAlign w:val="center"/>
          </w:tcPr>
          <w:p w14:paraId="1D86701D">
            <w:pPr>
              <w:spacing w:line="440" w:lineRule="exact"/>
              <w:jc w:val="left"/>
              <w:rPr>
                <w:rFonts w:hint="eastAsia" w:ascii="宋体" w:hAnsi="宋体" w:cs="宋体"/>
                <w:color w:val="auto"/>
                <w:kern w:val="0"/>
                <w:sz w:val="24"/>
                <w:szCs w:val="24"/>
                <w:highlight w:val="none"/>
              </w:rPr>
            </w:pPr>
          </w:p>
        </w:tc>
      </w:tr>
      <w:tr w14:paraId="775F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699" w:type="dxa"/>
            <w:noWrap w:val="0"/>
            <w:vAlign w:val="center"/>
          </w:tcPr>
          <w:p w14:paraId="65D17FAB">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5700" w:type="dxa"/>
            <w:noWrap w:val="0"/>
            <w:vAlign w:val="center"/>
          </w:tcPr>
          <w:p w14:paraId="728E03C7">
            <w:pPr>
              <w:spacing w:line="440" w:lineRule="exact"/>
              <w:jc w:val="left"/>
              <w:rPr>
                <w:rFonts w:hint="eastAsia" w:ascii="宋体" w:hAnsi="宋体" w:cs="宋体"/>
                <w:color w:val="auto"/>
                <w:kern w:val="0"/>
                <w:sz w:val="24"/>
                <w:szCs w:val="24"/>
                <w:highlight w:val="none"/>
              </w:rPr>
            </w:pPr>
          </w:p>
        </w:tc>
      </w:tr>
    </w:tbl>
    <w:p w14:paraId="6B4C498D">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4"/>
          <w:highlight w:val="none"/>
        </w:rPr>
        <w:t xml:space="preserve">注：1.表中大小写不一致时，以大写为准。   </w:t>
      </w:r>
    </w:p>
    <w:p w14:paraId="4001C2B1">
      <w:pPr>
        <w:snapToGrid w:val="0"/>
        <w:spacing w:line="480" w:lineRule="auto"/>
        <w:rPr>
          <w:rFonts w:hint="eastAsia" w:ascii="宋体" w:hAnsi="宋体" w:eastAsia="宋体" w:cs="宋体"/>
          <w:color w:val="auto"/>
          <w:sz w:val="24"/>
          <w:highlight w:val="none"/>
          <w:shd w:val="clear" w:color="auto" w:fill="auto"/>
          <w:lang w:eastAsia="zh-CN"/>
        </w:rPr>
      </w:pPr>
    </w:p>
    <w:p w14:paraId="01C452E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F958D1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C28A5A9">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C99239A">
      <w:pPr>
        <w:rPr>
          <w:rFonts w:hint="eastAsia"/>
          <w:b w:val="0"/>
          <w:bCs w:val="0"/>
          <w:color w:val="auto"/>
          <w:szCs w:val="16"/>
          <w:highlight w:val="none"/>
          <w:u w:val="single"/>
          <w:lang w:val="en-US" w:eastAsia="zh-CN"/>
        </w:rPr>
        <w:sectPr>
          <w:pgSz w:w="11906" w:h="16838"/>
          <w:pgMar w:top="1440" w:right="1800" w:bottom="1440" w:left="1800" w:header="851" w:footer="992" w:gutter="0"/>
          <w:pgNumType w:fmt="decimal"/>
          <w:cols w:space="425" w:num="1"/>
          <w:docGrid w:type="lines" w:linePitch="312" w:charSpace="0"/>
        </w:sectPr>
      </w:pPr>
    </w:p>
    <w:p w14:paraId="088A3A5C">
      <w:pPr>
        <w:adjustRightInd w:val="0"/>
        <w:snapToGrid w:val="0"/>
        <w:spacing w:line="360" w:lineRule="auto"/>
        <w:ind w:right="105" w:rightChars="50"/>
        <w:jc w:val="center"/>
        <w:rPr>
          <w:rFonts w:hint="eastAsia" w:ascii="宋体" w:hAnsi="宋体" w:cs="宋体"/>
          <w:b/>
          <w:color w:val="auto"/>
          <w:kern w:val="0"/>
          <w:sz w:val="30"/>
          <w:szCs w:val="30"/>
          <w:highlight w:val="none"/>
          <w:lang w:val="en-US" w:eastAsia="zh-CN" w:bidi="ar-SA"/>
        </w:rPr>
      </w:pPr>
      <w:r>
        <w:rPr>
          <w:rFonts w:hint="eastAsia" w:ascii="宋体" w:hAnsi="宋体" w:cs="宋体"/>
          <w:b/>
          <w:color w:val="auto"/>
          <w:kern w:val="0"/>
          <w:sz w:val="30"/>
          <w:szCs w:val="30"/>
          <w:highlight w:val="none"/>
          <w:lang w:val="en-US" w:eastAsia="zh-CN" w:bidi="ar-SA"/>
        </w:rPr>
        <w:t>1.2报价明细表（标项一）</w:t>
      </w:r>
    </w:p>
    <w:p w14:paraId="515F1DFF">
      <w:pPr>
        <w:jc w:val="center"/>
        <w:rPr>
          <w:rFonts w:hint="eastAsia" w:ascii="宋体" w:hAnsi="宋体" w:cs="宋体"/>
          <w:b/>
          <w:bCs/>
          <w:color w:val="auto"/>
          <w:sz w:val="24"/>
          <w:szCs w:val="24"/>
          <w:highlight w:val="none"/>
        </w:rPr>
      </w:pPr>
    </w:p>
    <w:p w14:paraId="24B36889">
      <w:pPr>
        <w:tabs>
          <w:tab w:val="left" w:pos="5100"/>
        </w:tabs>
        <w:spacing w:line="440" w:lineRule="exact"/>
        <w:ind w:firstLine="352" w:firstLineChars="147"/>
        <w:rPr>
          <w:rFonts w:ascii="宋体" w:hAnsi="宋体"/>
          <w:bCs/>
          <w:color w:val="auto"/>
          <w:sz w:val="24"/>
          <w:szCs w:val="24"/>
          <w:highlight w:val="none"/>
        </w:rPr>
      </w:pPr>
      <w:bookmarkStart w:id="110" w:name="_Toc17410_WPSOffice_Level1"/>
      <w:bookmarkStart w:id="111" w:name="_Toc2413_WPSOffice_Level1"/>
      <w:r>
        <w:rPr>
          <w:rFonts w:hint="eastAsia" w:ascii="宋体" w:hAnsi="宋体"/>
          <w:bCs/>
          <w:color w:val="auto"/>
          <w:sz w:val="24"/>
          <w:szCs w:val="24"/>
          <w:highlight w:val="none"/>
        </w:rPr>
        <w:t>项目名称：</w:t>
      </w:r>
      <w:r>
        <w:rPr>
          <w:rFonts w:ascii="宋体" w:hAnsi="宋体"/>
          <w:bCs/>
          <w:color w:val="auto"/>
          <w:sz w:val="24"/>
          <w:szCs w:val="24"/>
          <w:highlight w:val="none"/>
        </w:rPr>
        <w:t xml:space="preserve">                              </w:t>
      </w:r>
      <w:r>
        <w:rPr>
          <w:rFonts w:hint="eastAsia" w:ascii="宋体" w:hAnsi="宋体"/>
          <w:color w:val="auto"/>
          <w:sz w:val="24"/>
          <w:szCs w:val="24"/>
          <w:highlight w:val="none"/>
        </w:rPr>
        <w:t>投标单位名称：</w:t>
      </w:r>
      <w:r>
        <w:rPr>
          <w:rFonts w:ascii="宋体" w:hAnsi="宋体"/>
          <w:color w:val="auto"/>
          <w:sz w:val="24"/>
          <w:szCs w:val="24"/>
          <w:highlight w:val="none"/>
        </w:rPr>
        <w:t xml:space="preserve">  </w:t>
      </w:r>
    </w:p>
    <w:p w14:paraId="2DF43B2B">
      <w:pPr>
        <w:pStyle w:val="56"/>
        <w:spacing w:line="440" w:lineRule="exact"/>
        <w:ind w:left="208" w:leftChars="99" w:firstLine="105" w:firstLineChars="50"/>
        <w:jc w:val="both"/>
        <w:rPr>
          <w:rFonts w:ascii="宋体" w:hAnsi="宋体"/>
          <w:bCs/>
          <w:color w:val="auto"/>
          <w:kern w:val="2"/>
          <w:highlight w:val="none"/>
        </w:rPr>
      </w:pPr>
      <w:r>
        <w:rPr>
          <w:rFonts w:hint="eastAsia" w:ascii="宋体" w:hAnsi="宋体"/>
          <w:bCs/>
          <w:color w:val="auto"/>
          <w:kern w:val="2"/>
          <w:highlight w:val="none"/>
        </w:rPr>
        <w:t>招标编号：</w:t>
      </w:r>
      <w:r>
        <w:rPr>
          <w:rFonts w:ascii="宋体" w:hAnsi="宋体"/>
          <w:bCs/>
          <w:color w:val="auto"/>
          <w:kern w:val="2"/>
          <w:highlight w:val="none"/>
        </w:rPr>
        <w:t xml:space="preserve">                            </w:t>
      </w:r>
      <w:r>
        <w:rPr>
          <w:rFonts w:hint="eastAsia" w:ascii="宋体" w:hAnsi="宋体"/>
          <w:bCs/>
          <w:color w:val="auto"/>
          <w:kern w:val="2"/>
          <w:highlight w:val="none"/>
        </w:rPr>
        <w:t xml:space="preserve">  </w:t>
      </w:r>
      <w:r>
        <w:rPr>
          <w:rFonts w:hint="eastAsia" w:ascii="宋体" w:hAnsi="宋体"/>
          <w:color w:val="auto"/>
          <w:highlight w:val="none"/>
        </w:rPr>
        <w:t>分包序号、名称：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650"/>
        <w:gridCol w:w="960"/>
        <w:gridCol w:w="1129"/>
        <w:gridCol w:w="1265"/>
        <w:gridCol w:w="991"/>
        <w:gridCol w:w="1127"/>
      </w:tblGrid>
      <w:tr w14:paraId="0826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553C4208">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864" w:type="dxa"/>
            <w:noWrap w:val="0"/>
            <w:vAlign w:val="center"/>
          </w:tcPr>
          <w:p w14:paraId="7C329463">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设备名称</w:t>
            </w:r>
          </w:p>
        </w:tc>
        <w:tc>
          <w:tcPr>
            <w:tcW w:w="1650" w:type="dxa"/>
            <w:noWrap w:val="0"/>
            <w:vAlign w:val="center"/>
          </w:tcPr>
          <w:p w14:paraId="304EF4C5">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规格及型号</w:t>
            </w:r>
          </w:p>
        </w:tc>
        <w:tc>
          <w:tcPr>
            <w:tcW w:w="960" w:type="dxa"/>
            <w:noWrap w:val="0"/>
            <w:vAlign w:val="center"/>
          </w:tcPr>
          <w:p w14:paraId="3EDA88F8">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129" w:type="dxa"/>
            <w:noWrap w:val="0"/>
            <w:vAlign w:val="center"/>
          </w:tcPr>
          <w:p w14:paraId="21D7E7A6">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1265" w:type="dxa"/>
            <w:noWrap w:val="0"/>
            <w:vAlign w:val="center"/>
          </w:tcPr>
          <w:p w14:paraId="070786E8">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综合单价（元）</w:t>
            </w:r>
          </w:p>
        </w:tc>
        <w:tc>
          <w:tcPr>
            <w:tcW w:w="991" w:type="dxa"/>
            <w:noWrap w:val="0"/>
            <w:vAlign w:val="center"/>
          </w:tcPr>
          <w:p w14:paraId="2702D9E9">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总价（元）</w:t>
            </w:r>
          </w:p>
        </w:tc>
        <w:tc>
          <w:tcPr>
            <w:tcW w:w="1127" w:type="dxa"/>
            <w:noWrap w:val="0"/>
            <w:vAlign w:val="center"/>
          </w:tcPr>
          <w:p w14:paraId="14607F0F">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品牌及</w:t>
            </w:r>
          </w:p>
          <w:p w14:paraId="1B127B7C">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产地</w:t>
            </w:r>
          </w:p>
        </w:tc>
      </w:tr>
      <w:tr w14:paraId="44BA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37EA6488">
            <w:pPr>
              <w:spacing w:line="440" w:lineRule="exact"/>
              <w:rPr>
                <w:rFonts w:ascii="宋体" w:hAnsi="宋体"/>
                <w:color w:val="auto"/>
                <w:sz w:val="24"/>
                <w:szCs w:val="24"/>
                <w:highlight w:val="none"/>
              </w:rPr>
            </w:pPr>
          </w:p>
        </w:tc>
        <w:tc>
          <w:tcPr>
            <w:tcW w:w="1864" w:type="dxa"/>
            <w:noWrap w:val="0"/>
            <w:vAlign w:val="center"/>
          </w:tcPr>
          <w:p w14:paraId="67E24269">
            <w:pPr>
              <w:spacing w:line="440" w:lineRule="exact"/>
              <w:rPr>
                <w:rFonts w:ascii="宋体" w:hAnsi="宋体"/>
                <w:color w:val="auto"/>
                <w:sz w:val="24"/>
                <w:szCs w:val="24"/>
                <w:highlight w:val="none"/>
              </w:rPr>
            </w:pPr>
          </w:p>
        </w:tc>
        <w:tc>
          <w:tcPr>
            <w:tcW w:w="1650" w:type="dxa"/>
            <w:noWrap w:val="0"/>
            <w:vAlign w:val="center"/>
          </w:tcPr>
          <w:p w14:paraId="07D37D17">
            <w:pPr>
              <w:spacing w:line="440" w:lineRule="exact"/>
              <w:rPr>
                <w:rFonts w:ascii="宋体" w:hAnsi="宋体"/>
                <w:color w:val="auto"/>
                <w:sz w:val="24"/>
                <w:szCs w:val="24"/>
                <w:highlight w:val="none"/>
              </w:rPr>
            </w:pPr>
          </w:p>
        </w:tc>
        <w:tc>
          <w:tcPr>
            <w:tcW w:w="960" w:type="dxa"/>
            <w:noWrap w:val="0"/>
            <w:vAlign w:val="center"/>
          </w:tcPr>
          <w:p w14:paraId="7D875B80">
            <w:pPr>
              <w:spacing w:line="440" w:lineRule="exact"/>
              <w:rPr>
                <w:rFonts w:ascii="宋体" w:hAnsi="宋体"/>
                <w:color w:val="auto"/>
                <w:sz w:val="24"/>
                <w:szCs w:val="24"/>
                <w:highlight w:val="none"/>
              </w:rPr>
            </w:pPr>
          </w:p>
        </w:tc>
        <w:tc>
          <w:tcPr>
            <w:tcW w:w="1129" w:type="dxa"/>
            <w:noWrap w:val="0"/>
            <w:vAlign w:val="center"/>
          </w:tcPr>
          <w:p w14:paraId="2639C850">
            <w:pPr>
              <w:spacing w:line="440" w:lineRule="exact"/>
              <w:rPr>
                <w:rFonts w:ascii="宋体" w:hAnsi="宋体"/>
                <w:color w:val="auto"/>
                <w:sz w:val="24"/>
                <w:szCs w:val="24"/>
                <w:highlight w:val="none"/>
              </w:rPr>
            </w:pPr>
          </w:p>
        </w:tc>
        <w:tc>
          <w:tcPr>
            <w:tcW w:w="1265" w:type="dxa"/>
            <w:noWrap w:val="0"/>
            <w:vAlign w:val="center"/>
          </w:tcPr>
          <w:p w14:paraId="493B49DD">
            <w:pPr>
              <w:spacing w:line="440" w:lineRule="exact"/>
              <w:rPr>
                <w:rFonts w:ascii="宋体" w:hAnsi="宋体"/>
                <w:color w:val="auto"/>
                <w:sz w:val="24"/>
                <w:szCs w:val="24"/>
                <w:highlight w:val="none"/>
              </w:rPr>
            </w:pPr>
          </w:p>
        </w:tc>
        <w:tc>
          <w:tcPr>
            <w:tcW w:w="991" w:type="dxa"/>
            <w:noWrap w:val="0"/>
            <w:vAlign w:val="center"/>
          </w:tcPr>
          <w:p w14:paraId="138E3FBF">
            <w:pPr>
              <w:spacing w:line="440" w:lineRule="exact"/>
              <w:rPr>
                <w:rFonts w:ascii="宋体" w:hAnsi="宋体"/>
                <w:color w:val="auto"/>
                <w:sz w:val="24"/>
                <w:szCs w:val="24"/>
                <w:highlight w:val="none"/>
              </w:rPr>
            </w:pPr>
          </w:p>
        </w:tc>
        <w:tc>
          <w:tcPr>
            <w:tcW w:w="1127" w:type="dxa"/>
            <w:noWrap w:val="0"/>
            <w:vAlign w:val="center"/>
          </w:tcPr>
          <w:p w14:paraId="16105000">
            <w:pPr>
              <w:spacing w:line="440" w:lineRule="exact"/>
              <w:rPr>
                <w:rFonts w:ascii="宋体" w:hAnsi="宋体"/>
                <w:color w:val="auto"/>
                <w:sz w:val="24"/>
                <w:szCs w:val="24"/>
                <w:highlight w:val="none"/>
              </w:rPr>
            </w:pPr>
          </w:p>
        </w:tc>
      </w:tr>
      <w:tr w14:paraId="5106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3B14BF7A">
            <w:pPr>
              <w:spacing w:line="440" w:lineRule="exact"/>
              <w:rPr>
                <w:rFonts w:ascii="宋体" w:hAnsi="宋体"/>
                <w:color w:val="auto"/>
                <w:sz w:val="24"/>
                <w:szCs w:val="24"/>
                <w:highlight w:val="none"/>
              </w:rPr>
            </w:pPr>
          </w:p>
        </w:tc>
        <w:tc>
          <w:tcPr>
            <w:tcW w:w="1864" w:type="dxa"/>
            <w:noWrap w:val="0"/>
            <w:vAlign w:val="center"/>
          </w:tcPr>
          <w:p w14:paraId="5F51E4E0">
            <w:pPr>
              <w:spacing w:line="440" w:lineRule="exact"/>
              <w:rPr>
                <w:rFonts w:ascii="宋体" w:hAnsi="宋体"/>
                <w:color w:val="auto"/>
                <w:sz w:val="24"/>
                <w:szCs w:val="24"/>
                <w:highlight w:val="none"/>
              </w:rPr>
            </w:pPr>
          </w:p>
        </w:tc>
        <w:tc>
          <w:tcPr>
            <w:tcW w:w="1650" w:type="dxa"/>
            <w:noWrap w:val="0"/>
            <w:vAlign w:val="center"/>
          </w:tcPr>
          <w:p w14:paraId="05D01439">
            <w:pPr>
              <w:spacing w:line="440" w:lineRule="exact"/>
              <w:rPr>
                <w:rFonts w:ascii="宋体" w:hAnsi="宋体"/>
                <w:color w:val="auto"/>
                <w:sz w:val="24"/>
                <w:szCs w:val="24"/>
                <w:highlight w:val="none"/>
              </w:rPr>
            </w:pPr>
          </w:p>
        </w:tc>
        <w:tc>
          <w:tcPr>
            <w:tcW w:w="960" w:type="dxa"/>
            <w:noWrap w:val="0"/>
            <w:vAlign w:val="center"/>
          </w:tcPr>
          <w:p w14:paraId="5F9B02C6">
            <w:pPr>
              <w:spacing w:line="440" w:lineRule="exact"/>
              <w:rPr>
                <w:rFonts w:ascii="宋体" w:hAnsi="宋体"/>
                <w:color w:val="auto"/>
                <w:sz w:val="24"/>
                <w:szCs w:val="24"/>
                <w:highlight w:val="none"/>
              </w:rPr>
            </w:pPr>
          </w:p>
        </w:tc>
        <w:tc>
          <w:tcPr>
            <w:tcW w:w="1129" w:type="dxa"/>
            <w:noWrap w:val="0"/>
            <w:vAlign w:val="center"/>
          </w:tcPr>
          <w:p w14:paraId="2477E120">
            <w:pPr>
              <w:spacing w:line="440" w:lineRule="exact"/>
              <w:rPr>
                <w:rFonts w:ascii="宋体" w:hAnsi="宋体"/>
                <w:color w:val="auto"/>
                <w:sz w:val="24"/>
                <w:szCs w:val="24"/>
                <w:highlight w:val="none"/>
              </w:rPr>
            </w:pPr>
          </w:p>
        </w:tc>
        <w:tc>
          <w:tcPr>
            <w:tcW w:w="1265" w:type="dxa"/>
            <w:noWrap w:val="0"/>
            <w:vAlign w:val="center"/>
          </w:tcPr>
          <w:p w14:paraId="2701DC14">
            <w:pPr>
              <w:spacing w:line="440" w:lineRule="exact"/>
              <w:rPr>
                <w:rFonts w:ascii="宋体" w:hAnsi="宋体"/>
                <w:color w:val="auto"/>
                <w:sz w:val="24"/>
                <w:szCs w:val="24"/>
                <w:highlight w:val="none"/>
              </w:rPr>
            </w:pPr>
          </w:p>
        </w:tc>
        <w:tc>
          <w:tcPr>
            <w:tcW w:w="991" w:type="dxa"/>
            <w:noWrap w:val="0"/>
            <w:vAlign w:val="center"/>
          </w:tcPr>
          <w:p w14:paraId="3DB1F995">
            <w:pPr>
              <w:spacing w:line="440" w:lineRule="exact"/>
              <w:rPr>
                <w:rFonts w:ascii="宋体" w:hAnsi="宋体"/>
                <w:color w:val="auto"/>
                <w:sz w:val="24"/>
                <w:szCs w:val="24"/>
                <w:highlight w:val="none"/>
              </w:rPr>
            </w:pPr>
          </w:p>
        </w:tc>
        <w:tc>
          <w:tcPr>
            <w:tcW w:w="1127" w:type="dxa"/>
            <w:noWrap w:val="0"/>
            <w:vAlign w:val="center"/>
          </w:tcPr>
          <w:p w14:paraId="69B303BB">
            <w:pPr>
              <w:spacing w:line="440" w:lineRule="exact"/>
              <w:rPr>
                <w:rFonts w:ascii="宋体" w:hAnsi="宋体"/>
                <w:color w:val="auto"/>
                <w:sz w:val="24"/>
                <w:szCs w:val="24"/>
                <w:highlight w:val="none"/>
              </w:rPr>
            </w:pPr>
          </w:p>
        </w:tc>
      </w:tr>
      <w:tr w14:paraId="5D50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17A03BE8">
            <w:pPr>
              <w:spacing w:line="440" w:lineRule="exact"/>
              <w:rPr>
                <w:rFonts w:ascii="宋体" w:hAnsi="宋体"/>
                <w:color w:val="auto"/>
                <w:sz w:val="24"/>
                <w:szCs w:val="24"/>
                <w:highlight w:val="none"/>
              </w:rPr>
            </w:pPr>
          </w:p>
        </w:tc>
        <w:tc>
          <w:tcPr>
            <w:tcW w:w="1864" w:type="dxa"/>
            <w:noWrap w:val="0"/>
            <w:vAlign w:val="center"/>
          </w:tcPr>
          <w:p w14:paraId="1B743626">
            <w:pPr>
              <w:spacing w:line="440" w:lineRule="exact"/>
              <w:rPr>
                <w:rFonts w:ascii="宋体" w:hAnsi="宋体"/>
                <w:color w:val="auto"/>
                <w:sz w:val="24"/>
                <w:szCs w:val="24"/>
                <w:highlight w:val="none"/>
              </w:rPr>
            </w:pPr>
          </w:p>
        </w:tc>
        <w:tc>
          <w:tcPr>
            <w:tcW w:w="1650" w:type="dxa"/>
            <w:noWrap w:val="0"/>
            <w:vAlign w:val="center"/>
          </w:tcPr>
          <w:p w14:paraId="50115F9D">
            <w:pPr>
              <w:spacing w:line="440" w:lineRule="exact"/>
              <w:rPr>
                <w:rFonts w:ascii="宋体" w:hAnsi="宋体"/>
                <w:color w:val="auto"/>
                <w:sz w:val="24"/>
                <w:szCs w:val="24"/>
                <w:highlight w:val="none"/>
              </w:rPr>
            </w:pPr>
          </w:p>
        </w:tc>
        <w:tc>
          <w:tcPr>
            <w:tcW w:w="960" w:type="dxa"/>
            <w:noWrap w:val="0"/>
            <w:vAlign w:val="center"/>
          </w:tcPr>
          <w:p w14:paraId="4B0CB347">
            <w:pPr>
              <w:spacing w:line="440" w:lineRule="exact"/>
              <w:rPr>
                <w:rFonts w:ascii="宋体" w:hAnsi="宋体"/>
                <w:color w:val="auto"/>
                <w:sz w:val="24"/>
                <w:szCs w:val="24"/>
                <w:highlight w:val="none"/>
              </w:rPr>
            </w:pPr>
          </w:p>
        </w:tc>
        <w:tc>
          <w:tcPr>
            <w:tcW w:w="1129" w:type="dxa"/>
            <w:noWrap w:val="0"/>
            <w:vAlign w:val="center"/>
          </w:tcPr>
          <w:p w14:paraId="7EF0A361">
            <w:pPr>
              <w:spacing w:line="440" w:lineRule="exact"/>
              <w:rPr>
                <w:rFonts w:ascii="宋体" w:hAnsi="宋体"/>
                <w:color w:val="auto"/>
                <w:sz w:val="24"/>
                <w:szCs w:val="24"/>
                <w:highlight w:val="none"/>
              </w:rPr>
            </w:pPr>
          </w:p>
        </w:tc>
        <w:tc>
          <w:tcPr>
            <w:tcW w:w="1265" w:type="dxa"/>
            <w:noWrap w:val="0"/>
            <w:vAlign w:val="center"/>
          </w:tcPr>
          <w:p w14:paraId="4FD8E36F">
            <w:pPr>
              <w:spacing w:line="440" w:lineRule="exact"/>
              <w:rPr>
                <w:rFonts w:ascii="宋体" w:hAnsi="宋体"/>
                <w:color w:val="auto"/>
                <w:sz w:val="24"/>
                <w:szCs w:val="24"/>
                <w:highlight w:val="none"/>
              </w:rPr>
            </w:pPr>
          </w:p>
        </w:tc>
        <w:tc>
          <w:tcPr>
            <w:tcW w:w="991" w:type="dxa"/>
            <w:noWrap w:val="0"/>
            <w:vAlign w:val="center"/>
          </w:tcPr>
          <w:p w14:paraId="676CCE8C">
            <w:pPr>
              <w:spacing w:line="440" w:lineRule="exact"/>
              <w:rPr>
                <w:rFonts w:ascii="宋体" w:hAnsi="宋体"/>
                <w:color w:val="auto"/>
                <w:sz w:val="24"/>
                <w:szCs w:val="24"/>
                <w:highlight w:val="none"/>
              </w:rPr>
            </w:pPr>
          </w:p>
        </w:tc>
        <w:tc>
          <w:tcPr>
            <w:tcW w:w="1127" w:type="dxa"/>
            <w:noWrap w:val="0"/>
            <w:vAlign w:val="center"/>
          </w:tcPr>
          <w:p w14:paraId="0FF4143F">
            <w:pPr>
              <w:spacing w:line="440" w:lineRule="exact"/>
              <w:rPr>
                <w:rFonts w:ascii="宋体" w:hAnsi="宋体"/>
                <w:color w:val="auto"/>
                <w:sz w:val="24"/>
                <w:szCs w:val="24"/>
                <w:highlight w:val="none"/>
              </w:rPr>
            </w:pPr>
          </w:p>
        </w:tc>
      </w:tr>
      <w:tr w14:paraId="67DD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72981D58">
            <w:pPr>
              <w:spacing w:line="440" w:lineRule="exact"/>
              <w:rPr>
                <w:rFonts w:ascii="宋体" w:hAnsi="宋体"/>
                <w:color w:val="auto"/>
                <w:sz w:val="24"/>
                <w:szCs w:val="24"/>
                <w:highlight w:val="none"/>
              </w:rPr>
            </w:pPr>
          </w:p>
        </w:tc>
        <w:tc>
          <w:tcPr>
            <w:tcW w:w="1864" w:type="dxa"/>
            <w:noWrap w:val="0"/>
            <w:vAlign w:val="center"/>
          </w:tcPr>
          <w:p w14:paraId="0A068529">
            <w:pPr>
              <w:spacing w:line="440" w:lineRule="exact"/>
              <w:rPr>
                <w:rFonts w:ascii="宋体" w:hAnsi="宋体"/>
                <w:color w:val="auto"/>
                <w:sz w:val="24"/>
                <w:szCs w:val="24"/>
                <w:highlight w:val="none"/>
              </w:rPr>
            </w:pPr>
          </w:p>
        </w:tc>
        <w:tc>
          <w:tcPr>
            <w:tcW w:w="1650" w:type="dxa"/>
            <w:noWrap w:val="0"/>
            <w:vAlign w:val="center"/>
          </w:tcPr>
          <w:p w14:paraId="7DB53F9B">
            <w:pPr>
              <w:spacing w:line="440" w:lineRule="exact"/>
              <w:rPr>
                <w:rFonts w:ascii="宋体" w:hAnsi="宋体"/>
                <w:color w:val="auto"/>
                <w:sz w:val="24"/>
                <w:szCs w:val="24"/>
                <w:highlight w:val="none"/>
              </w:rPr>
            </w:pPr>
          </w:p>
        </w:tc>
        <w:tc>
          <w:tcPr>
            <w:tcW w:w="960" w:type="dxa"/>
            <w:noWrap w:val="0"/>
            <w:vAlign w:val="center"/>
          </w:tcPr>
          <w:p w14:paraId="74255FA1">
            <w:pPr>
              <w:spacing w:line="440" w:lineRule="exact"/>
              <w:rPr>
                <w:rFonts w:ascii="宋体" w:hAnsi="宋体"/>
                <w:color w:val="auto"/>
                <w:sz w:val="24"/>
                <w:szCs w:val="24"/>
                <w:highlight w:val="none"/>
              </w:rPr>
            </w:pPr>
          </w:p>
        </w:tc>
        <w:tc>
          <w:tcPr>
            <w:tcW w:w="1129" w:type="dxa"/>
            <w:noWrap w:val="0"/>
            <w:vAlign w:val="center"/>
          </w:tcPr>
          <w:p w14:paraId="0C7B3120">
            <w:pPr>
              <w:spacing w:line="440" w:lineRule="exact"/>
              <w:rPr>
                <w:rFonts w:ascii="宋体" w:hAnsi="宋体"/>
                <w:color w:val="auto"/>
                <w:sz w:val="24"/>
                <w:szCs w:val="24"/>
                <w:highlight w:val="none"/>
              </w:rPr>
            </w:pPr>
          </w:p>
        </w:tc>
        <w:tc>
          <w:tcPr>
            <w:tcW w:w="1265" w:type="dxa"/>
            <w:noWrap w:val="0"/>
            <w:vAlign w:val="center"/>
          </w:tcPr>
          <w:p w14:paraId="02BC8BBD">
            <w:pPr>
              <w:spacing w:line="440" w:lineRule="exact"/>
              <w:rPr>
                <w:rFonts w:ascii="宋体" w:hAnsi="宋体"/>
                <w:color w:val="auto"/>
                <w:sz w:val="24"/>
                <w:szCs w:val="24"/>
                <w:highlight w:val="none"/>
              </w:rPr>
            </w:pPr>
          </w:p>
        </w:tc>
        <w:tc>
          <w:tcPr>
            <w:tcW w:w="991" w:type="dxa"/>
            <w:noWrap w:val="0"/>
            <w:vAlign w:val="center"/>
          </w:tcPr>
          <w:p w14:paraId="4C95BDD9">
            <w:pPr>
              <w:spacing w:line="440" w:lineRule="exact"/>
              <w:rPr>
                <w:rFonts w:ascii="宋体" w:hAnsi="宋体"/>
                <w:color w:val="auto"/>
                <w:sz w:val="24"/>
                <w:szCs w:val="24"/>
                <w:highlight w:val="none"/>
              </w:rPr>
            </w:pPr>
          </w:p>
        </w:tc>
        <w:tc>
          <w:tcPr>
            <w:tcW w:w="1127" w:type="dxa"/>
            <w:noWrap w:val="0"/>
            <w:vAlign w:val="center"/>
          </w:tcPr>
          <w:p w14:paraId="1E2BAF51">
            <w:pPr>
              <w:spacing w:line="440" w:lineRule="exact"/>
              <w:rPr>
                <w:rFonts w:ascii="宋体" w:hAnsi="宋体"/>
                <w:color w:val="auto"/>
                <w:sz w:val="24"/>
                <w:szCs w:val="24"/>
                <w:highlight w:val="none"/>
              </w:rPr>
            </w:pPr>
          </w:p>
        </w:tc>
      </w:tr>
      <w:tr w14:paraId="602B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6355E181">
            <w:pPr>
              <w:spacing w:line="440" w:lineRule="exact"/>
              <w:rPr>
                <w:rFonts w:ascii="宋体" w:hAnsi="宋体"/>
                <w:color w:val="auto"/>
                <w:sz w:val="24"/>
                <w:szCs w:val="24"/>
                <w:highlight w:val="none"/>
              </w:rPr>
            </w:pPr>
          </w:p>
        </w:tc>
        <w:tc>
          <w:tcPr>
            <w:tcW w:w="1864" w:type="dxa"/>
            <w:noWrap w:val="0"/>
            <w:vAlign w:val="center"/>
          </w:tcPr>
          <w:p w14:paraId="07207CC5">
            <w:pPr>
              <w:spacing w:line="440" w:lineRule="exact"/>
              <w:rPr>
                <w:rFonts w:ascii="宋体" w:hAnsi="宋体"/>
                <w:color w:val="auto"/>
                <w:sz w:val="24"/>
                <w:szCs w:val="24"/>
                <w:highlight w:val="none"/>
              </w:rPr>
            </w:pPr>
          </w:p>
        </w:tc>
        <w:tc>
          <w:tcPr>
            <w:tcW w:w="1650" w:type="dxa"/>
            <w:noWrap w:val="0"/>
            <w:vAlign w:val="center"/>
          </w:tcPr>
          <w:p w14:paraId="2E9D496E">
            <w:pPr>
              <w:spacing w:line="440" w:lineRule="exact"/>
              <w:rPr>
                <w:rFonts w:ascii="宋体" w:hAnsi="宋体"/>
                <w:color w:val="auto"/>
                <w:sz w:val="24"/>
                <w:szCs w:val="24"/>
                <w:highlight w:val="none"/>
              </w:rPr>
            </w:pPr>
          </w:p>
        </w:tc>
        <w:tc>
          <w:tcPr>
            <w:tcW w:w="960" w:type="dxa"/>
            <w:noWrap w:val="0"/>
            <w:vAlign w:val="center"/>
          </w:tcPr>
          <w:p w14:paraId="11EED641">
            <w:pPr>
              <w:spacing w:line="440" w:lineRule="exact"/>
              <w:rPr>
                <w:rFonts w:ascii="宋体" w:hAnsi="宋体"/>
                <w:color w:val="auto"/>
                <w:sz w:val="24"/>
                <w:szCs w:val="24"/>
                <w:highlight w:val="none"/>
              </w:rPr>
            </w:pPr>
          </w:p>
        </w:tc>
        <w:tc>
          <w:tcPr>
            <w:tcW w:w="1129" w:type="dxa"/>
            <w:noWrap w:val="0"/>
            <w:vAlign w:val="center"/>
          </w:tcPr>
          <w:p w14:paraId="144821EB">
            <w:pPr>
              <w:spacing w:line="440" w:lineRule="exact"/>
              <w:rPr>
                <w:rFonts w:ascii="宋体" w:hAnsi="宋体"/>
                <w:color w:val="auto"/>
                <w:sz w:val="24"/>
                <w:szCs w:val="24"/>
                <w:highlight w:val="none"/>
              </w:rPr>
            </w:pPr>
          </w:p>
        </w:tc>
        <w:tc>
          <w:tcPr>
            <w:tcW w:w="1265" w:type="dxa"/>
            <w:noWrap w:val="0"/>
            <w:vAlign w:val="center"/>
          </w:tcPr>
          <w:p w14:paraId="5B74B31A">
            <w:pPr>
              <w:spacing w:line="440" w:lineRule="exact"/>
              <w:rPr>
                <w:rFonts w:ascii="宋体" w:hAnsi="宋体"/>
                <w:color w:val="auto"/>
                <w:sz w:val="24"/>
                <w:szCs w:val="24"/>
                <w:highlight w:val="none"/>
              </w:rPr>
            </w:pPr>
          </w:p>
        </w:tc>
        <w:tc>
          <w:tcPr>
            <w:tcW w:w="991" w:type="dxa"/>
            <w:noWrap w:val="0"/>
            <w:vAlign w:val="center"/>
          </w:tcPr>
          <w:p w14:paraId="353343C3">
            <w:pPr>
              <w:spacing w:line="440" w:lineRule="exact"/>
              <w:rPr>
                <w:rFonts w:ascii="宋体" w:hAnsi="宋体"/>
                <w:color w:val="auto"/>
                <w:sz w:val="24"/>
                <w:szCs w:val="24"/>
                <w:highlight w:val="none"/>
              </w:rPr>
            </w:pPr>
          </w:p>
        </w:tc>
        <w:tc>
          <w:tcPr>
            <w:tcW w:w="1127" w:type="dxa"/>
            <w:noWrap w:val="0"/>
            <w:vAlign w:val="center"/>
          </w:tcPr>
          <w:p w14:paraId="2317B645">
            <w:pPr>
              <w:spacing w:line="440" w:lineRule="exact"/>
              <w:rPr>
                <w:rFonts w:ascii="宋体" w:hAnsi="宋体"/>
                <w:color w:val="auto"/>
                <w:sz w:val="24"/>
                <w:szCs w:val="24"/>
                <w:highlight w:val="none"/>
              </w:rPr>
            </w:pPr>
          </w:p>
        </w:tc>
      </w:tr>
      <w:tr w14:paraId="678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noWrap w:val="0"/>
            <w:vAlign w:val="center"/>
          </w:tcPr>
          <w:p w14:paraId="48106BA2">
            <w:pPr>
              <w:spacing w:line="440" w:lineRule="exact"/>
              <w:rPr>
                <w:rFonts w:ascii="宋体" w:hAnsi="宋体"/>
                <w:color w:val="auto"/>
                <w:sz w:val="24"/>
                <w:szCs w:val="24"/>
                <w:highlight w:val="none"/>
              </w:rPr>
            </w:pPr>
          </w:p>
        </w:tc>
        <w:tc>
          <w:tcPr>
            <w:tcW w:w="1864" w:type="dxa"/>
            <w:noWrap w:val="0"/>
            <w:vAlign w:val="center"/>
          </w:tcPr>
          <w:p w14:paraId="298C8F0E">
            <w:pPr>
              <w:spacing w:line="440" w:lineRule="exact"/>
              <w:rPr>
                <w:rFonts w:ascii="宋体" w:hAnsi="宋体"/>
                <w:color w:val="auto"/>
                <w:sz w:val="24"/>
                <w:szCs w:val="24"/>
                <w:highlight w:val="none"/>
              </w:rPr>
            </w:pPr>
          </w:p>
        </w:tc>
        <w:tc>
          <w:tcPr>
            <w:tcW w:w="1650" w:type="dxa"/>
            <w:noWrap w:val="0"/>
            <w:vAlign w:val="center"/>
          </w:tcPr>
          <w:p w14:paraId="420F29A0">
            <w:pPr>
              <w:spacing w:line="440" w:lineRule="exact"/>
              <w:rPr>
                <w:rFonts w:ascii="宋体" w:hAnsi="宋体"/>
                <w:color w:val="auto"/>
                <w:sz w:val="24"/>
                <w:szCs w:val="24"/>
                <w:highlight w:val="none"/>
              </w:rPr>
            </w:pPr>
          </w:p>
        </w:tc>
        <w:tc>
          <w:tcPr>
            <w:tcW w:w="960" w:type="dxa"/>
            <w:noWrap w:val="0"/>
            <w:vAlign w:val="center"/>
          </w:tcPr>
          <w:p w14:paraId="60CC0B8D">
            <w:pPr>
              <w:spacing w:line="440" w:lineRule="exact"/>
              <w:rPr>
                <w:rFonts w:ascii="宋体" w:hAnsi="宋体"/>
                <w:color w:val="auto"/>
                <w:sz w:val="24"/>
                <w:szCs w:val="24"/>
                <w:highlight w:val="none"/>
              </w:rPr>
            </w:pPr>
          </w:p>
        </w:tc>
        <w:tc>
          <w:tcPr>
            <w:tcW w:w="1129" w:type="dxa"/>
            <w:noWrap w:val="0"/>
            <w:vAlign w:val="center"/>
          </w:tcPr>
          <w:p w14:paraId="3EE842DB">
            <w:pPr>
              <w:spacing w:line="440" w:lineRule="exact"/>
              <w:rPr>
                <w:rFonts w:ascii="宋体" w:hAnsi="宋体"/>
                <w:color w:val="auto"/>
                <w:sz w:val="24"/>
                <w:szCs w:val="24"/>
                <w:highlight w:val="none"/>
              </w:rPr>
            </w:pPr>
          </w:p>
        </w:tc>
        <w:tc>
          <w:tcPr>
            <w:tcW w:w="1265" w:type="dxa"/>
            <w:noWrap w:val="0"/>
            <w:vAlign w:val="center"/>
          </w:tcPr>
          <w:p w14:paraId="0D0D4DA9">
            <w:pPr>
              <w:spacing w:line="440" w:lineRule="exact"/>
              <w:rPr>
                <w:rFonts w:ascii="宋体" w:hAnsi="宋体"/>
                <w:color w:val="auto"/>
                <w:sz w:val="24"/>
                <w:szCs w:val="24"/>
                <w:highlight w:val="none"/>
              </w:rPr>
            </w:pPr>
          </w:p>
        </w:tc>
        <w:tc>
          <w:tcPr>
            <w:tcW w:w="991" w:type="dxa"/>
            <w:noWrap w:val="0"/>
            <w:vAlign w:val="center"/>
          </w:tcPr>
          <w:p w14:paraId="74B6D6BD">
            <w:pPr>
              <w:spacing w:line="440" w:lineRule="exact"/>
              <w:rPr>
                <w:rFonts w:ascii="宋体" w:hAnsi="宋体"/>
                <w:color w:val="auto"/>
                <w:sz w:val="24"/>
                <w:szCs w:val="24"/>
                <w:highlight w:val="none"/>
              </w:rPr>
            </w:pPr>
          </w:p>
        </w:tc>
        <w:tc>
          <w:tcPr>
            <w:tcW w:w="1127" w:type="dxa"/>
            <w:noWrap w:val="0"/>
            <w:vAlign w:val="center"/>
          </w:tcPr>
          <w:p w14:paraId="034ABA4E">
            <w:pPr>
              <w:spacing w:line="440" w:lineRule="exact"/>
              <w:rPr>
                <w:rFonts w:ascii="宋体" w:hAnsi="宋体"/>
                <w:color w:val="auto"/>
                <w:sz w:val="24"/>
                <w:szCs w:val="24"/>
                <w:highlight w:val="none"/>
              </w:rPr>
            </w:pPr>
          </w:p>
        </w:tc>
      </w:tr>
      <w:tr w14:paraId="189B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noWrap w:val="0"/>
            <w:vAlign w:val="center"/>
          </w:tcPr>
          <w:p w14:paraId="3BB77D16">
            <w:pPr>
              <w:spacing w:line="440" w:lineRule="exact"/>
              <w:rPr>
                <w:rFonts w:ascii="宋体" w:hAnsi="宋体"/>
                <w:color w:val="auto"/>
                <w:sz w:val="24"/>
                <w:szCs w:val="24"/>
                <w:highlight w:val="none"/>
              </w:rPr>
            </w:pPr>
          </w:p>
        </w:tc>
        <w:tc>
          <w:tcPr>
            <w:tcW w:w="1864" w:type="dxa"/>
            <w:noWrap w:val="0"/>
            <w:vAlign w:val="center"/>
          </w:tcPr>
          <w:p w14:paraId="2D4CCC03">
            <w:pPr>
              <w:spacing w:line="440" w:lineRule="exact"/>
              <w:rPr>
                <w:rFonts w:ascii="宋体" w:hAnsi="宋体"/>
                <w:color w:val="auto"/>
                <w:sz w:val="24"/>
                <w:szCs w:val="24"/>
                <w:highlight w:val="none"/>
              </w:rPr>
            </w:pPr>
          </w:p>
        </w:tc>
        <w:tc>
          <w:tcPr>
            <w:tcW w:w="1650" w:type="dxa"/>
            <w:noWrap w:val="0"/>
            <w:vAlign w:val="center"/>
          </w:tcPr>
          <w:p w14:paraId="2EF16133">
            <w:pPr>
              <w:spacing w:line="440" w:lineRule="exact"/>
              <w:rPr>
                <w:rFonts w:ascii="宋体" w:hAnsi="宋体"/>
                <w:color w:val="auto"/>
                <w:sz w:val="24"/>
                <w:szCs w:val="24"/>
                <w:highlight w:val="none"/>
              </w:rPr>
            </w:pPr>
          </w:p>
        </w:tc>
        <w:tc>
          <w:tcPr>
            <w:tcW w:w="960" w:type="dxa"/>
            <w:noWrap w:val="0"/>
            <w:vAlign w:val="center"/>
          </w:tcPr>
          <w:p w14:paraId="26BC9F51">
            <w:pPr>
              <w:spacing w:line="440" w:lineRule="exact"/>
              <w:rPr>
                <w:rFonts w:ascii="宋体" w:hAnsi="宋体"/>
                <w:color w:val="auto"/>
                <w:sz w:val="24"/>
                <w:szCs w:val="24"/>
                <w:highlight w:val="none"/>
              </w:rPr>
            </w:pPr>
          </w:p>
        </w:tc>
        <w:tc>
          <w:tcPr>
            <w:tcW w:w="1129" w:type="dxa"/>
            <w:noWrap w:val="0"/>
            <w:vAlign w:val="center"/>
          </w:tcPr>
          <w:p w14:paraId="372C3143">
            <w:pPr>
              <w:spacing w:line="440" w:lineRule="exact"/>
              <w:rPr>
                <w:rFonts w:ascii="宋体" w:hAnsi="宋体"/>
                <w:color w:val="auto"/>
                <w:sz w:val="24"/>
                <w:szCs w:val="24"/>
                <w:highlight w:val="none"/>
              </w:rPr>
            </w:pPr>
          </w:p>
        </w:tc>
        <w:tc>
          <w:tcPr>
            <w:tcW w:w="1265" w:type="dxa"/>
            <w:noWrap w:val="0"/>
            <w:vAlign w:val="center"/>
          </w:tcPr>
          <w:p w14:paraId="3FF2B505">
            <w:pPr>
              <w:spacing w:line="440" w:lineRule="exact"/>
              <w:rPr>
                <w:rFonts w:ascii="宋体" w:hAnsi="宋体"/>
                <w:color w:val="auto"/>
                <w:sz w:val="24"/>
                <w:szCs w:val="24"/>
                <w:highlight w:val="none"/>
              </w:rPr>
            </w:pPr>
          </w:p>
        </w:tc>
        <w:tc>
          <w:tcPr>
            <w:tcW w:w="991" w:type="dxa"/>
            <w:noWrap w:val="0"/>
            <w:vAlign w:val="center"/>
          </w:tcPr>
          <w:p w14:paraId="71FA0537">
            <w:pPr>
              <w:spacing w:line="440" w:lineRule="exact"/>
              <w:rPr>
                <w:rFonts w:ascii="宋体" w:hAnsi="宋体"/>
                <w:color w:val="auto"/>
                <w:sz w:val="24"/>
                <w:szCs w:val="24"/>
                <w:highlight w:val="none"/>
              </w:rPr>
            </w:pPr>
          </w:p>
        </w:tc>
        <w:tc>
          <w:tcPr>
            <w:tcW w:w="1127" w:type="dxa"/>
            <w:noWrap w:val="0"/>
            <w:vAlign w:val="center"/>
          </w:tcPr>
          <w:p w14:paraId="3F96DFBA">
            <w:pPr>
              <w:spacing w:line="440" w:lineRule="exact"/>
              <w:rPr>
                <w:rFonts w:ascii="宋体" w:hAnsi="宋体"/>
                <w:color w:val="auto"/>
                <w:sz w:val="24"/>
                <w:szCs w:val="24"/>
                <w:highlight w:val="none"/>
              </w:rPr>
            </w:pPr>
          </w:p>
        </w:tc>
      </w:tr>
      <w:tr w14:paraId="68B3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noWrap w:val="0"/>
            <w:vAlign w:val="center"/>
          </w:tcPr>
          <w:p w14:paraId="333FFD98">
            <w:pPr>
              <w:spacing w:line="440" w:lineRule="exact"/>
              <w:rPr>
                <w:rFonts w:ascii="宋体" w:hAnsi="宋体"/>
                <w:color w:val="auto"/>
                <w:sz w:val="24"/>
                <w:szCs w:val="24"/>
                <w:highlight w:val="none"/>
              </w:rPr>
            </w:pPr>
          </w:p>
        </w:tc>
        <w:tc>
          <w:tcPr>
            <w:tcW w:w="1864" w:type="dxa"/>
            <w:noWrap w:val="0"/>
            <w:vAlign w:val="center"/>
          </w:tcPr>
          <w:p w14:paraId="5D993E59">
            <w:pPr>
              <w:spacing w:line="440" w:lineRule="exact"/>
              <w:rPr>
                <w:rFonts w:ascii="宋体" w:hAnsi="宋体"/>
                <w:color w:val="auto"/>
                <w:sz w:val="24"/>
                <w:szCs w:val="24"/>
                <w:highlight w:val="none"/>
              </w:rPr>
            </w:pPr>
          </w:p>
        </w:tc>
        <w:tc>
          <w:tcPr>
            <w:tcW w:w="1650" w:type="dxa"/>
            <w:noWrap w:val="0"/>
            <w:vAlign w:val="center"/>
          </w:tcPr>
          <w:p w14:paraId="63F93162">
            <w:pPr>
              <w:spacing w:line="440" w:lineRule="exact"/>
              <w:rPr>
                <w:rFonts w:ascii="宋体" w:hAnsi="宋体"/>
                <w:color w:val="auto"/>
                <w:sz w:val="24"/>
                <w:szCs w:val="24"/>
                <w:highlight w:val="none"/>
              </w:rPr>
            </w:pPr>
          </w:p>
        </w:tc>
        <w:tc>
          <w:tcPr>
            <w:tcW w:w="960" w:type="dxa"/>
            <w:noWrap w:val="0"/>
            <w:vAlign w:val="center"/>
          </w:tcPr>
          <w:p w14:paraId="324D862A">
            <w:pPr>
              <w:spacing w:line="440" w:lineRule="exact"/>
              <w:rPr>
                <w:rFonts w:ascii="宋体" w:hAnsi="宋体"/>
                <w:color w:val="auto"/>
                <w:sz w:val="24"/>
                <w:szCs w:val="24"/>
                <w:highlight w:val="none"/>
              </w:rPr>
            </w:pPr>
          </w:p>
        </w:tc>
        <w:tc>
          <w:tcPr>
            <w:tcW w:w="1129" w:type="dxa"/>
            <w:noWrap w:val="0"/>
            <w:vAlign w:val="center"/>
          </w:tcPr>
          <w:p w14:paraId="0D9CCAAC">
            <w:pPr>
              <w:spacing w:line="440" w:lineRule="exact"/>
              <w:rPr>
                <w:rFonts w:ascii="宋体" w:hAnsi="宋体"/>
                <w:color w:val="auto"/>
                <w:sz w:val="24"/>
                <w:szCs w:val="24"/>
                <w:highlight w:val="none"/>
              </w:rPr>
            </w:pPr>
          </w:p>
        </w:tc>
        <w:tc>
          <w:tcPr>
            <w:tcW w:w="1265" w:type="dxa"/>
            <w:noWrap w:val="0"/>
            <w:vAlign w:val="center"/>
          </w:tcPr>
          <w:p w14:paraId="2E17ADCA">
            <w:pPr>
              <w:spacing w:line="440" w:lineRule="exact"/>
              <w:rPr>
                <w:rFonts w:ascii="宋体" w:hAnsi="宋体"/>
                <w:color w:val="auto"/>
                <w:sz w:val="24"/>
                <w:szCs w:val="24"/>
                <w:highlight w:val="none"/>
              </w:rPr>
            </w:pPr>
          </w:p>
        </w:tc>
        <w:tc>
          <w:tcPr>
            <w:tcW w:w="991" w:type="dxa"/>
            <w:noWrap w:val="0"/>
            <w:vAlign w:val="center"/>
          </w:tcPr>
          <w:p w14:paraId="04F5DC2D">
            <w:pPr>
              <w:spacing w:line="440" w:lineRule="exact"/>
              <w:rPr>
                <w:rFonts w:ascii="宋体" w:hAnsi="宋体"/>
                <w:color w:val="auto"/>
                <w:sz w:val="24"/>
                <w:szCs w:val="24"/>
                <w:highlight w:val="none"/>
              </w:rPr>
            </w:pPr>
          </w:p>
        </w:tc>
        <w:tc>
          <w:tcPr>
            <w:tcW w:w="1127" w:type="dxa"/>
            <w:noWrap w:val="0"/>
            <w:vAlign w:val="center"/>
          </w:tcPr>
          <w:p w14:paraId="17483586">
            <w:pPr>
              <w:spacing w:line="440" w:lineRule="exact"/>
              <w:rPr>
                <w:rFonts w:ascii="宋体" w:hAnsi="宋体"/>
                <w:color w:val="auto"/>
                <w:sz w:val="24"/>
                <w:szCs w:val="24"/>
                <w:highlight w:val="none"/>
              </w:rPr>
            </w:pPr>
          </w:p>
        </w:tc>
      </w:tr>
      <w:tr w14:paraId="56D9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noWrap w:val="0"/>
            <w:vAlign w:val="center"/>
          </w:tcPr>
          <w:p w14:paraId="7BCD86D4">
            <w:pPr>
              <w:spacing w:line="440" w:lineRule="exact"/>
              <w:rPr>
                <w:rFonts w:ascii="宋体" w:hAnsi="宋体"/>
                <w:color w:val="auto"/>
                <w:sz w:val="24"/>
                <w:szCs w:val="24"/>
                <w:highlight w:val="none"/>
              </w:rPr>
            </w:pPr>
          </w:p>
        </w:tc>
        <w:tc>
          <w:tcPr>
            <w:tcW w:w="1864" w:type="dxa"/>
            <w:noWrap w:val="0"/>
            <w:vAlign w:val="center"/>
          </w:tcPr>
          <w:p w14:paraId="24001FE3">
            <w:pPr>
              <w:spacing w:line="440" w:lineRule="exact"/>
              <w:rPr>
                <w:rFonts w:ascii="宋体" w:hAnsi="宋体"/>
                <w:color w:val="auto"/>
                <w:sz w:val="24"/>
                <w:szCs w:val="24"/>
                <w:highlight w:val="none"/>
              </w:rPr>
            </w:pPr>
          </w:p>
        </w:tc>
        <w:tc>
          <w:tcPr>
            <w:tcW w:w="1650" w:type="dxa"/>
            <w:noWrap w:val="0"/>
            <w:vAlign w:val="center"/>
          </w:tcPr>
          <w:p w14:paraId="0AF6FE36">
            <w:pPr>
              <w:spacing w:line="440" w:lineRule="exact"/>
              <w:rPr>
                <w:rFonts w:ascii="宋体" w:hAnsi="宋体"/>
                <w:color w:val="auto"/>
                <w:sz w:val="24"/>
                <w:szCs w:val="24"/>
                <w:highlight w:val="none"/>
              </w:rPr>
            </w:pPr>
          </w:p>
        </w:tc>
        <w:tc>
          <w:tcPr>
            <w:tcW w:w="960" w:type="dxa"/>
            <w:noWrap w:val="0"/>
            <w:vAlign w:val="center"/>
          </w:tcPr>
          <w:p w14:paraId="0C72455B">
            <w:pPr>
              <w:spacing w:line="440" w:lineRule="exact"/>
              <w:rPr>
                <w:rFonts w:ascii="宋体" w:hAnsi="宋体"/>
                <w:color w:val="auto"/>
                <w:sz w:val="24"/>
                <w:szCs w:val="24"/>
                <w:highlight w:val="none"/>
              </w:rPr>
            </w:pPr>
          </w:p>
        </w:tc>
        <w:tc>
          <w:tcPr>
            <w:tcW w:w="1129" w:type="dxa"/>
            <w:noWrap w:val="0"/>
            <w:vAlign w:val="center"/>
          </w:tcPr>
          <w:p w14:paraId="20827D9C">
            <w:pPr>
              <w:spacing w:line="440" w:lineRule="exact"/>
              <w:rPr>
                <w:rFonts w:ascii="宋体" w:hAnsi="宋体"/>
                <w:color w:val="auto"/>
                <w:sz w:val="24"/>
                <w:szCs w:val="24"/>
                <w:highlight w:val="none"/>
              </w:rPr>
            </w:pPr>
          </w:p>
        </w:tc>
        <w:tc>
          <w:tcPr>
            <w:tcW w:w="1265" w:type="dxa"/>
            <w:noWrap w:val="0"/>
            <w:vAlign w:val="center"/>
          </w:tcPr>
          <w:p w14:paraId="3E1EC881">
            <w:pPr>
              <w:spacing w:line="440" w:lineRule="exact"/>
              <w:rPr>
                <w:rFonts w:ascii="宋体" w:hAnsi="宋体"/>
                <w:color w:val="auto"/>
                <w:sz w:val="24"/>
                <w:szCs w:val="24"/>
                <w:highlight w:val="none"/>
              </w:rPr>
            </w:pPr>
          </w:p>
        </w:tc>
        <w:tc>
          <w:tcPr>
            <w:tcW w:w="991" w:type="dxa"/>
            <w:noWrap w:val="0"/>
            <w:vAlign w:val="center"/>
          </w:tcPr>
          <w:p w14:paraId="5D7D6F1B">
            <w:pPr>
              <w:spacing w:line="440" w:lineRule="exact"/>
              <w:rPr>
                <w:rFonts w:ascii="宋体" w:hAnsi="宋体"/>
                <w:color w:val="auto"/>
                <w:sz w:val="24"/>
                <w:szCs w:val="24"/>
                <w:highlight w:val="none"/>
              </w:rPr>
            </w:pPr>
          </w:p>
        </w:tc>
        <w:tc>
          <w:tcPr>
            <w:tcW w:w="1127" w:type="dxa"/>
            <w:noWrap w:val="0"/>
            <w:vAlign w:val="center"/>
          </w:tcPr>
          <w:p w14:paraId="2E5CD1E2">
            <w:pPr>
              <w:spacing w:line="440" w:lineRule="exact"/>
              <w:rPr>
                <w:rFonts w:ascii="宋体" w:hAnsi="宋体"/>
                <w:color w:val="auto"/>
                <w:sz w:val="24"/>
                <w:szCs w:val="24"/>
                <w:highlight w:val="none"/>
              </w:rPr>
            </w:pPr>
          </w:p>
        </w:tc>
      </w:tr>
      <w:tr w14:paraId="6520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noWrap w:val="0"/>
            <w:vAlign w:val="center"/>
          </w:tcPr>
          <w:p w14:paraId="53FE292E">
            <w:pPr>
              <w:spacing w:line="440" w:lineRule="exact"/>
              <w:rPr>
                <w:rFonts w:ascii="宋体" w:hAnsi="宋体"/>
                <w:color w:val="auto"/>
                <w:sz w:val="24"/>
                <w:szCs w:val="24"/>
                <w:highlight w:val="none"/>
              </w:rPr>
            </w:pPr>
            <w:r>
              <w:rPr>
                <w:rFonts w:hint="eastAsia" w:ascii="宋体" w:hAnsi="宋体"/>
                <w:color w:val="auto"/>
                <w:sz w:val="24"/>
                <w:szCs w:val="24"/>
                <w:highlight w:val="none"/>
              </w:rPr>
              <w:t>合计金额（小写）</w:t>
            </w:r>
          </w:p>
        </w:tc>
        <w:tc>
          <w:tcPr>
            <w:tcW w:w="7122" w:type="dxa"/>
            <w:gridSpan w:val="6"/>
            <w:noWrap w:val="0"/>
            <w:vAlign w:val="center"/>
          </w:tcPr>
          <w:p w14:paraId="58582C29">
            <w:pPr>
              <w:spacing w:line="440" w:lineRule="exact"/>
              <w:rPr>
                <w:rFonts w:ascii="宋体" w:hAnsi="宋体"/>
                <w:color w:val="auto"/>
                <w:sz w:val="24"/>
                <w:szCs w:val="24"/>
                <w:highlight w:val="none"/>
              </w:rPr>
            </w:pPr>
          </w:p>
        </w:tc>
      </w:tr>
      <w:tr w14:paraId="0A13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noWrap w:val="0"/>
            <w:vAlign w:val="center"/>
          </w:tcPr>
          <w:p w14:paraId="6885792D">
            <w:pPr>
              <w:spacing w:line="440" w:lineRule="exact"/>
              <w:rPr>
                <w:rFonts w:ascii="宋体" w:hAnsi="宋体"/>
                <w:color w:val="auto"/>
                <w:sz w:val="24"/>
                <w:szCs w:val="24"/>
                <w:highlight w:val="none"/>
              </w:rPr>
            </w:pPr>
            <w:r>
              <w:rPr>
                <w:rFonts w:hint="eastAsia" w:ascii="宋体" w:hAnsi="宋体"/>
                <w:color w:val="auto"/>
                <w:sz w:val="24"/>
                <w:szCs w:val="24"/>
                <w:highlight w:val="none"/>
              </w:rPr>
              <w:t>合计金额（大写）：</w:t>
            </w:r>
          </w:p>
        </w:tc>
        <w:tc>
          <w:tcPr>
            <w:tcW w:w="7122" w:type="dxa"/>
            <w:gridSpan w:val="6"/>
            <w:noWrap w:val="0"/>
            <w:vAlign w:val="center"/>
          </w:tcPr>
          <w:p w14:paraId="45C53C0E">
            <w:pPr>
              <w:spacing w:line="440" w:lineRule="exact"/>
              <w:rPr>
                <w:rFonts w:ascii="宋体" w:hAnsi="宋体"/>
                <w:color w:val="auto"/>
                <w:sz w:val="24"/>
                <w:szCs w:val="24"/>
                <w:highlight w:val="none"/>
              </w:rPr>
            </w:pPr>
          </w:p>
        </w:tc>
      </w:tr>
      <w:tr w14:paraId="531D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noWrap w:val="0"/>
            <w:vAlign w:val="center"/>
          </w:tcPr>
          <w:p w14:paraId="03DDC9B4">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质保年限</w:t>
            </w:r>
          </w:p>
        </w:tc>
        <w:tc>
          <w:tcPr>
            <w:tcW w:w="7122" w:type="dxa"/>
            <w:gridSpan w:val="6"/>
            <w:noWrap w:val="0"/>
            <w:vAlign w:val="center"/>
          </w:tcPr>
          <w:p w14:paraId="187803EA">
            <w:pPr>
              <w:spacing w:line="440" w:lineRule="exact"/>
              <w:rPr>
                <w:rFonts w:ascii="宋体" w:hAnsi="宋体"/>
                <w:color w:val="auto"/>
                <w:sz w:val="24"/>
                <w:szCs w:val="24"/>
                <w:highlight w:val="none"/>
              </w:rPr>
            </w:pPr>
          </w:p>
        </w:tc>
      </w:tr>
    </w:tbl>
    <w:p w14:paraId="1F5A2A5B">
      <w:pPr>
        <w:spacing w:line="460" w:lineRule="atLeast"/>
        <w:rPr>
          <w:rFonts w:hint="eastAsia" w:ascii="宋体" w:hAnsi="宋体"/>
          <w:color w:val="auto"/>
          <w:sz w:val="24"/>
          <w:szCs w:val="24"/>
          <w:highlight w:val="none"/>
        </w:rPr>
      </w:pPr>
      <w:r>
        <w:rPr>
          <w:rFonts w:hint="eastAsia"/>
          <w:color w:val="auto"/>
          <w:sz w:val="24"/>
          <w:szCs w:val="24"/>
          <w:highlight w:val="none"/>
        </w:rPr>
        <w:t>投标人代表（</w:t>
      </w:r>
      <w:r>
        <w:rPr>
          <w:rFonts w:hint="eastAsia" w:ascii="宋体" w:hAnsi="宋体"/>
          <w:color w:val="auto"/>
          <w:sz w:val="24"/>
          <w:szCs w:val="24"/>
          <w:highlight w:val="none"/>
        </w:rPr>
        <w:t>电子签名）：</w:t>
      </w:r>
    </w:p>
    <w:p w14:paraId="4EB61274">
      <w:pPr>
        <w:spacing w:line="460" w:lineRule="atLeast"/>
        <w:rPr>
          <w:rFonts w:ascii="宋体" w:hAnsi="宋体"/>
          <w:color w:val="auto"/>
          <w:sz w:val="24"/>
          <w:szCs w:val="24"/>
          <w:highlight w:val="none"/>
        </w:rPr>
      </w:pPr>
      <w:r>
        <w:rPr>
          <w:rFonts w:hint="eastAsia" w:ascii="宋体" w:hAnsi="宋体"/>
          <w:color w:val="auto"/>
          <w:sz w:val="24"/>
          <w:szCs w:val="24"/>
          <w:highlight w:val="none"/>
        </w:rPr>
        <w:t>日期：</w:t>
      </w:r>
    </w:p>
    <w:p w14:paraId="7F41B453">
      <w:pPr>
        <w:pStyle w:val="91"/>
        <w:keepNext w:val="0"/>
        <w:keepLines w:val="0"/>
        <w:adjustRightInd/>
        <w:spacing w:before="0" w:line="440" w:lineRule="exact"/>
        <w:textAlignment w:val="auto"/>
        <w:outlineLvl w:val="9"/>
        <w:rPr>
          <w:rFonts w:hint="eastAsia"/>
          <w:color w:val="auto"/>
          <w:sz w:val="24"/>
          <w:szCs w:val="24"/>
          <w:highlight w:val="none"/>
        </w:rPr>
      </w:pPr>
    </w:p>
    <w:p w14:paraId="45F3020D">
      <w:pPr>
        <w:spacing w:line="440" w:lineRule="exact"/>
        <w:rPr>
          <w:rFonts w:ascii="宋体" w:hAns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1</w:t>
      </w:r>
      <w:r>
        <w:rPr>
          <w:rFonts w:hint="eastAsia" w:ascii="宋体" w:hAnsi="宋体"/>
          <w:color w:val="auto"/>
          <w:sz w:val="24"/>
          <w:szCs w:val="24"/>
          <w:highlight w:val="none"/>
        </w:rPr>
        <w:t>、合计金额应为各分项价格之和。</w:t>
      </w:r>
    </w:p>
    <w:p w14:paraId="52E67D19">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、上述报价包含一切由供方承担的费用</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应为人民币完税价</w:t>
      </w:r>
      <w:r>
        <w:rPr>
          <w:rFonts w:hint="eastAsia" w:ascii="宋体" w:hAnsi="宋体"/>
          <w:color w:val="auto"/>
          <w:sz w:val="24"/>
          <w:szCs w:val="24"/>
          <w:highlight w:val="none"/>
        </w:rPr>
        <w:t>。</w:t>
      </w:r>
    </w:p>
    <w:p w14:paraId="41771AD1">
      <w:pPr>
        <w:spacing w:line="440" w:lineRule="exact"/>
        <w:ind w:firstLine="470" w:firstLineChars="196"/>
        <w:rPr>
          <w:rFonts w:ascii="宋体" w:hAnsi="宋体"/>
          <w:color w:val="auto"/>
          <w:sz w:val="24"/>
          <w:szCs w:val="24"/>
          <w:highlight w:val="none"/>
        </w:rPr>
      </w:pPr>
      <w:r>
        <w:rPr>
          <w:rFonts w:hint="eastAsia" w:ascii="宋体" w:hAnsi="宋体"/>
          <w:color w:val="auto"/>
          <w:sz w:val="24"/>
          <w:szCs w:val="24"/>
          <w:highlight w:val="none"/>
        </w:rPr>
        <w:t>3、请各投标人根据投标方案，在本表中详细写明所有产品型号规格、数量、综合单价、总价及品牌和产地。</w:t>
      </w:r>
    </w:p>
    <w:p w14:paraId="14F6819E">
      <w:pPr>
        <w:spacing w:line="360" w:lineRule="auto"/>
        <w:ind w:firstLine="470" w:firstLineChars="196"/>
        <w:rPr>
          <w:rFonts w:hint="eastAsia" w:ascii="宋体" w:hAnsi="宋体"/>
          <w:color w:val="auto"/>
          <w:sz w:val="24"/>
          <w:szCs w:val="24"/>
          <w:highlight w:val="none"/>
          <w:lang w:val="en-US" w:eastAsia="zh-CN"/>
        </w:rPr>
      </w:pPr>
      <w:r>
        <w:rPr>
          <w:rFonts w:hint="eastAsia" w:ascii="宋体" w:hAnsi="宋体"/>
          <w:color w:val="auto"/>
          <w:sz w:val="24"/>
          <w:szCs w:val="24"/>
          <w:highlight w:val="none"/>
        </w:rPr>
        <w:t>4、综合单价必须包括</w:t>
      </w:r>
      <w:r>
        <w:rPr>
          <w:rFonts w:hint="eastAsia" w:ascii="宋体" w:hAnsi="宋体"/>
          <w:color w:val="auto"/>
          <w:sz w:val="24"/>
          <w:szCs w:val="24"/>
          <w:highlight w:val="none"/>
          <w:lang w:val="en-US" w:eastAsia="zh-CN"/>
        </w:rPr>
        <w:t>但不限于</w:t>
      </w:r>
    </w:p>
    <w:p w14:paraId="1CEA054A">
      <w:pPr>
        <w:spacing w:line="360" w:lineRule="auto"/>
        <w:ind w:left="420" w:leftChars="200" w:firstLine="468" w:firstLineChars="195"/>
        <w:rPr>
          <w:rFonts w:hint="eastAsia" w:ascii="宋体" w:hAnsi="宋体" w:cs="宋体"/>
          <w:b/>
          <w:bCs/>
          <w:color w:val="auto"/>
          <w:sz w:val="32"/>
          <w:szCs w:val="32"/>
          <w:highlight w:val="none"/>
          <w:lang w:val="en-US" w:eastAsia="zh-CN"/>
        </w:rPr>
      </w:pPr>
      <w:r>
        <w:rPr>
          <w:rFonts w:hint="eastAsia" w:ascii="宋体" w:hAnsi="宋体"/>
          <w:color w:val="auto"/>
          <w:sz w:val="24"/>
          <w:szCs w:val="24"/>
          <w:highlight w:val="none"/>
          <w:lang w:val="en-US" w:eastAsia="zh-CN"/>
        </w:rPr>
        <w:t>1）设备费；2）设备运输费；3）设备安装调试费；4）与前端设备对接的费用（包括软件的对接）；5）设备安装后，房屋修缮的费用；6）质保5年的费用；7）连接his系统的接口费；8）本设备及机房的放射性职业病危害预评价、控制效果评价。9）完成本项目环境影响登记备案、核技术利用辐射安全许可申报</w:t>
      </w:r>
      <w:r>
        <w:rPr>
          <w:rFonts w:hint="eastAsia" w:ascii="宋体" w:hAnsi="宋体"/>
          <w:color w:val="auto"/>
          <w:sz w:val="24"/>
          <w:szCs w:val="24"/>
          <w:highlight w:val="none"/>
        </w:rPr>
        <w:t>。</w:t>
      </w:r>
      <w:r>
        <w:rPr>
          <w:rFonts w:hint="eastAsia" w:ascii="宋体" w:hAnsi="宋体" w:cs="宋体"/>
          <w:b/>
          <w:bCs/>
          <w:color w:val="auto"/>
          <w:sz w:val="32"/>
          <w:szCs w:val="32"/>
          <w:highlight w:val="none"/>
          <w:lang w:val="en-US" w:eastAsia="zh-CN"/>
        </w:rPr>
        <w:br w:type="page"/>
      </w:r>
    </w:p>
    <w:p w14:paraId="2E435918">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94"/>
      <w:bookmarkEnd w:id="95"/>
      <w:bookmarkEnd w:id="110"/>
      <w:bookmarkEnd w:id="111"/>
    </w:p>
    <w:p w14:paraId="71CDAA4C">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1、投标函</w:t>
      </w:r>
      <w:bookmarkEnd w:id="83"/>
    </w:p>
    <w:p w14:paraId="7EEBDF01">
      <w:pPr>
        <w:adjustRightInd w:val="0"/>
        <w:snapToGrid w:val="0"/>
        <w:spacing w:line="360" w:lineRule="auto"/>
        <w:ind w:right="630" w:rightChars="300"/>
        <w:rPr>
          <w:rFonts w:hint="eastAsia" w:ascii="宋体" w:hAnsi="宋体" w:eastAsia="宋体" w:cs="宋体"/>
          <w:color w:val="auto"/>
          <w:szCs w:val="21"/>
          <w:highlight w:val="none"/>
          <w:shd w:val="clear" w:color="auto" w:fill="auto"/>
          <w:lang w:eastAsia="zh-CN"/>
        </w:rPr>
      </w:pPr>
    </w:p>
    <w:p w14:paraId="4522081A">
      <w:pPr>
        <w:adjustRightInd w:val="0"/>
        <w:snapToGrid w:val="0"/>
        <w:spacing w:line="360" w:lineRule="auto"/>
        <w:ind w:right="630" w:rightChars="300"/>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采购人</w:t>
      </w:r>
      <w:r>
        <w:rPr>
          <w:rFonts w:hint="eastAsia" w:ascii="宋体" w:hAnsi="宋体" w:cs="宋体"/>
          <w:color w:val="auto"/>
          <w:sz w:val="24"/>
          <w:highlight w:val="none"/>
          <w:u w:val="single"/>
          <w:shd w:val="clear" w:color="auto" w:fill="auto"/>
        </w:rPr>
        <w:t>或</w:t>
      </w:r>
      <w:r>
        <w:rPr>
          <w:rFonts w:hint="eastAsia" w:ascii="宋体" w:hAnsi="宋体" w:cs="宋体"/>
          <w:color w:val="auto"/>
          <w:sz w:val="24"/>
          <w:highlight w:val="none"/>
          <w:u w:val="single"/>
          <w:shd w:val="clear" w:color="auto" w:fill="auto"/>
          <w:lang w:eastAsia="zh-CN"/>
        </w:rPr>
        <w:t>采购代理机构</w:t>
      </w:r>
      <w:r>
        <w:rPr>
          <w:rFonts w:hint="eastAsia" w:ascii="宋体" w:hAnsi="宋体" w:cs="宋体"/>
          <w:color w:val="auto"/>
          <w:sz w:val="24"/>
          <w:highlight w:val="none"/>
          <w:u w:val="single"/>
          <w:shd w:val="clear" w:color="auto" w:fill="auto"/>
        </w:rPr>
        <w:t>）：</w:t>
      </w:r>
    </w:p>
    <w:p w14:paraId="34003F91">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0F093458">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名称)授权(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授权代理人姓名)(职务、职称)为我方代表，参加贵方组织的(项目名称、项目编号、包号)招标的有关活动，并对此项目进行投标。为此：</w:t>
      </w:r>
    </w:p>
    <w:p w14:paraId="7BA562DA">
      <w:pPr>
        <w:adjustRightInd w:val="0"/>
        <w:snapToGrid w:val="0"/>
        <w:spacing w:line="360" w:lineRule="auto"/>
        <w:ind w:right="-21" w:rightChars="-10"/>
        <w:rPr>
          <w:rFonts w:hint="eastAsia" w:ascii="宋体" w:hAnsi="宋体" w:cs="宋体"/>
          <w:color w:val="auto"/>
          <w:sz w:val="24"/>
          <w:highlight w:val="none"/>
          <w:shd w:val="clear" w:color="auto" w:fill="auto"/>
        </w:rPr>
      </w:pPr>
    </w:p>
    <w:p w14:paraId="042315CC">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据此，签字代表宣布同意如下：</w:t>
      </w:r>
    </w:p>
    <w:p w14:paraId="006169EB">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（1）本项目投标总价详见报价一览表。</w:t>
      </w:r>
    </w:p>
    <w:p w14:paraId="7A119621">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（2）本项目</w:t>
      </w: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rPr>
        <w:t>有效期为自递交</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截止之日起</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个日历日。</w:t>
      </w:r>
    </w:p>
    <w:p w14:paraId="56D28EC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（3）已详细审查全部</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，包括所有补充通知（如果有的话）。</w:t>
      </w:r>
    </w:p>
    <w:p w14:paraId="391EF67D">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（4）在规定的时间后，遵守</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中有关保证金的规定。</w:t>
      </w:r>
    </w:p>
    <w:p w14:paraId="6E49028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（5）在领取中标通知书的同时按</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规定的形式，向贵方一次性支付代理服务费。</w:t>
      </w:r>
    </w:p>
    <w:p w14:paraId="6116912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（6）按照贵方要求，提供与其响应有关的一切数据或资料，完全理解贵方不一定接受最低价的响应。</w:t>
      </w:r>
    </w:p>
    <w:p w14:paraId="6F9281D0">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（7）按照</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的规定履行合同责任和义务。</w:t>
      </w:r>
    </w:p>
    <w:p w14:paraId="104BD5D1">
      <w:pPr>
        <w:adjustRightInd w:val="0"/>
        <w:snapToGrid w:val="0"/>
        <w:spacing w:line="360" w:lineRule="auto"/>
        <w:ind w:right="-21" w:rightChars="-10"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（8）我方承诺</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中的证明材料真实、合法、有效。</w:t>
      </w:r>
      <w:r>
        <w:rPr>
          <w:rFonts w:hint="eastAsia" w:ascii="宋体" w:hAnsi="宋体" w:cs="宋体"/>
          <w:color w:val="auto"/>
          <w:sz w:val="24"/>
          <w:highlight w:val="none"/>
          <w:shd w:val="clear" w:color="auto" w:fill="auto"/>
          <w:lang w:val="en-US" w:eastAsia="zh-CN"/>
        </w:rPr>
        <w:t>如存在虚假，由我单位负全部责任。</w:t>
      </w:r>
    </w:p>
    <w:p w14:paraId="49DC2BBF">
      <w:pPr>
        <w:tabs>
          <w:tab w:val="left" w:pos="10467"/>
        </w:tabs>
        <w:adjustRightInd w:val="0"/>
        <w:snapToGrid w:val="0"/>
        <w:spacing w:line="360" w:lineRule="auto"/>
        <w:ind w:right="1050" w:rightChars="500"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与本会议有关的一切往来通讯请寄：</w:t>
      </w:r>
    </w:p>
    <w:p w14:paraId="09035F8B">
      <w:pPr>
        <w:tabs>
          <w:tab w:val="left" w:pos="10467"/>
        </w:tabs>
        <w:adjustRightInd w:val="0"/>
        <w:snapToGrid w:val="0"/>
        <w:spacing w:line="360" w:lineRule="auto"/>
        <w:ind w:right="-21" w:rightChars="-10"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电话：</w:t>
      </w:r>
    </w:p>
    <w:p w14:paraId="06488381">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法定代表人（非法人组织负责人）或其授权委托人(签字或盖章)：</w:t>
      </w:r>
    </w:p>
    <w:p w14:paraId="32EBA33E">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名称（公章）:</w:t>
      </w:r>
    </w:p>
    <w:p w14:paraId="7C23C99F">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开户银行（全称）:</w:t>
      </w:r>
    </w:p>
    <w:p w14:paraId="72A8D194">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银行帐号:</w:t>
      </w:r>
    </w:p>
    <w:p w14:paraId="69A94F4D">
      <w:pPr>
        <w:spacing w:line="440" w:lineRule="exact"/>
        <w:ind w:firstLine="480" w:firstLineChars="200"/>
        <w:rPr>
          <w:rFonts w:hint="eastAsia" w:ascii="宋体" w:hAnsi="宋体" w:cs="宋体"/>
          <w:bCs/>
          <w:color w:val="auto"/>
          <w:sz w:val="24"/>
          <w:szCs w:val="24"/>
          <w:highlight w:val="none"/>
          <w:shd w:val="clear" w:color="auto" w:fill="auto"/>
        </w:rPr>
      </w:pPr>
      <w:bookmarkStart w:id="112" w:name="_Toc14185_WPSOffice_Level1"/>
      <w:bookmarkStart w:id="113" w:name="_Toc32380_WPSOffice_Level1"/>
      <w:r>
        <w:rPr>
          <w:rFonts w:hint="eastAsia" w:ascii="宋体" w:hAnsi="宋体" w:cs="宋体"/>
          <w:color w:val="auto"/>
          <w:sz w:val="24"/>
          <w:highlight w:val="none"/>
          <w:shd w:val="clear" w:color="auto" w:fill="auto"/>
        </w:rPr>
        <w:t>日期:</w:t>
      </w:r>
      <w:bookmarkStart w:id="114" w:name="_Toc32535_WPSOffice_Level1"/>
      <w:r>
        <w:rPr>
          <w:rFonts w:hint="eastAsia" w:ascii="宋体" w:hAnsi="宋体" w:cs="宋体"/>
          <w:b/>
          <w:color w:val="auto"/>
          <w:sz w:val="30"/>
          <w:szCs w:val="30"/>
          <w:highlight w:val="none"/>
          <w:shd w:val="clear" w:color="auto" w:fill="auto"/>
        </w:rPr>
        <w:br w:type="page"/>
      </w:r>
      <w:bookmarkEnd w:id="112"/>
      <w:bookmarkEnd w:id="113"/>
    </w:p>
    <w:p w14:paraId="6FD02163">
      <w:pPr>
        <w:numPr>
          <w:ilvl w:val="0"/>
          <w:numId w:val="0"/>
        </w:numPr>
        <w:spacing w:before="120" w:line="360" w:lineRule="auto"/>
        <w:ind w:leftChars="0"/>
        <w:jc w:val="center"/>
        <w:rPr>
          <w:rFonts w:hint="eastAsia" w:ascii="宋体" w:hAnsi="宋体" w:cs="宋体"/>
          <w:b/>
          <w:bCs/>
          <w:color w:val="auto"/>
          <w:sz w:val="30"/>
          <w:szCs w:val="30"/>
          <w:highlight w:val="none"/>
          <w:lang w:val="en-US" w:eastAsia="zh-CN"/>
        </w:rPr>
      </w:pPr>
      <w:bookmarkStart w:id="115" w:name="_Toc30957_WPSOffice_Level1"/>
      <w:bookmarkStart w:id="116" w:name="_Toc24778_WPSOffice_Level1"/>
      <w:bookmarkStart w:id="117" w:name="_Toc13892_WPSOffice_Level1"/>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rPr>
        <w:t>、</w:t>
      </w:r>
      <w:r>
        <w:rPr>
          <w:rFonts w:hint="eastAsia" w:ascii="宋体" w:hAnsi="宋体" w:cs="宋体"/>
          <w:b/>
          <w:bCs/>
          <w:color w:val="auto"/>
          <w:sz w:val="30"/>
          <w:szCs w:val="30"/>
          <w:highlight w:val="none"/>
          <w:lang w:val="en-US" w:eastAsia="zh-CN"/>
        </w:rPr>
        <w:t>法定代表人（或非法人组织负责人）身份证明书</w:t>
      </w:r>
      <w:bookmarkEnd w:id="115"/>
      <w:bookmarkEnd w:id="116"/>
    </w:p>
    <w:p w14:paraId="1939DD5E">
      <w:pPr>
        <w:spacing w:line="360" w:lineRule="auto"/>
        <w:rPr>
          <w:rFonts w:hint="eastAsia" w:ascii="宋体" w:hAnsi="宋体" w:cs="宋体"/>
          <w:color w:val="auto"/>
          <w:sz w:val="24"/>
          <w:highlight w:val="none"/>
          <w:shd w:val="clear" w:color="auto" w:fill="auto"/>
        </w:rPr>
      </w:pPr>
    </w:p>
    <w:p w14:paraId="07244157">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单位名称：</w:t>
      </w:r>
    </w:p>
    <w:p w14:paraId="1F2A7672">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企业类型：</w:t>
      </w:r>
    </w:p>
    <w:p w14:paraId="5F26365B">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地址：</w:t>
      </w:r>
    </w:p>
    <w:p w14:paraId="6ED892FA">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营业期限：</w:t>
      </w:r>
    </w:p>
    <w:p w14:paraId="23F3A458">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成立时间：</w:t>
      </w:r>
    </w:p>
    <w:p w14:paraId="4DE4D7A6">
      <w:pPr>
        <w:spacing w:line="360" w:lineRule="auto"/>
        <w:ind w:firstLine="840" w:firstLineChars="400"/>
        <w:rPr>
          <w:rFonts w:hint="eastAsia" w:ascii="仿宋_GB2312" w:hAnsi="仿宋_GB2312" w:eastAsia="仿宋_GB2312" w:cs="仿宋_GB2312"/>
          <w:color w:val="auto"/>
          <w:szCs w:val="21"/>
          <w:highlight w:val="none"/>
        </w:rPr>
      </w:pPr>
    </w:p>
    <w:p w14:paraId="730FCD4B">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，出生日期：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，现任职务：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39729E6E">
      <w:pPr>
        <w:rPr>
          <w:rFonts w:hint="eastAsia" w:ascii="宋体" w:hAnsi="宋体" w:eastAsia="宋体" w:cs="宋体"/>
          <w:color w:val="auto"/>
          <w:sz w:val="24"/>
          <w:szCs w:val="24"/>
          <w:highlight w:val="none"/>
          <w:lang w:eastAsia="zh-CN"/>
        </w:rPr>
      </w:pPr>
    </w:p>
    <w:p w14:paraId="0EB563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E778A65">
      <w:pPr>
        <w:rPr>
          <w:rFonts w:ascii="仿宋_GB2312" w:hAnsi="仿宋_GB2312" w:eastAsia="仿宋_GB2312" w:cs="仿宋_GB2312"/>
          <w:color w:val="auto"/>
          <w:szCs w:val="21"/>
          <w:highlight w:val="none"/>
        </w:rPr>
      </w:pPr>
    </w:p>
    <w:p w14:paraId="53A58CEE">
      <w:pPr>
        <w:rPr>
          <w:rFonts w:ascii="仿宋_GB2312" w:hAnsi="仿宋_GB2312" w:eastAsia="仿宋_GB2312" w:cs="仿宋_GB2312"/>
          <w:color w:val="auto"/>
          <w:szCs w:val="21"/>
          <w:highlight w:val="none"/>
        </w:rPr>
      </w:pPr>
    </w:p>
    <w:p w14:paraId="459AFC0A">
      <w:pPr>
        <w:rPr>
          <w:rFonts w:ascii="仿宋_GB2312" w:hAnsi="仿宋_GB2312" w:eastAsia="仿宋_GB2312" w:cs="仿宋_GB2312"/>
          <w:color w:val="auto"/>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36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24ECB041">
            <w:pPr>
              <w:jc w:val="center"/>
              <w:rPr>
                <w:rFonts w:hint="eastAsia" w:ascii="宋体" w:hAnsi="宋体" w:eastAsia="宋体" w:cs="宋体"/>
                <w:color w:val="auto"/>
                <w:sz w:val="24"/>
                <w:highlight w:val="none"/>
                <w:shd w:val="clear" w:color="auto" w:fill="auto"/>
              </w:rPr>
            </w:pPr>
          </w:p>
          <w:p w14:paraId="14762C32">
            <w:pPr>
              <w:jc w:val="center"/>
              <w:rPr>
                <w:rFonts w:hint="eastAsia" w:ascii="宋体" w:hAnsi="宋体" w:eastAsia="宋体" w:cs="宋体"/>
                <w:color w:val="auto"/>
                <w:sz w:val="24"/>
                <w:highlight w:val="none"/>
                <w:shd w:val="clear" w:color="auto" w:fill="auto"/>
              </w:rPr>
            </w:pPr>
          </w:p>
          <w:p w14:paraId="5E894655">
            <w:pPr>
              <w:jc w:val="center"/>
              <w:rPr>
                <w:rFonts w:hint="eastAsia" w:ascii="宋体" w:hAnsi="宋体" w:eastAsia="宋体" w:cs="宋体"/>
                <w:color w:val="auto"/>
                <w:sz w:val="24"/>
                <w:highlight w:val="none"/>
                <w:shd w:val="clear" w:color="auto" w:fill="auto"/>
              </w:rPr>
            </w:pPr>
          </w:p>
          <w:p w14:paraId="5309FDB3">
            <w:pPr>
              <w:jc w:val="center"/>
              <w:rPr>
                <w:rFonts w:hint="eastAsia" w:ascii="宋体" w:hAnsi="宋体" w:eastAsia="宋体" w:cs="宋体"/>
                <w:color w:val="auto"/>
                <w:sz w:val="24"/>
                <w:highlight w:val="none"/>
                <w:shd w:val="clear" w:color="auto" w:fill="auto"/>
              </w:rPr>
            </w:pPr>
          </w:p>
          <w:p w14:paraId="22D41343">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1985898E">
      <w:pPr>
        <w:rPr>
          <w:rFonts w:ascii="仿宋_GB2312" w:hAnsi="仿宋_GB2312" w:eastAsia="仿宋_GB2312" w:cs="仿宋_GB2312"/>
          <w:color w:val="auto"/>
          <w:szCs w:val="21"/>
          <w:highlight w:val="none"/>
        </w:rPr>
      </w:pPr>
    </w:p>
    <w:p w14:paraId="1FE84795">
      <w:pPr>
        <w:rPr>
          <w:rFonts w:ascii="仿宋_GB2312" w:hAnsi="仿宋_GB2312" w:eastAsia="仿宋_GB2312" w:cs="仿宋_GB2312"/>
          <w:color w:val="auto"/>
          <w:szCs w:val="21"/>
          <w:highlight w:val="none"/>
        </w:rPr>
      </w:pPr>
    </w:p>
    <w:p w14:paraId="50842127">
      <w:pPr>
        <w:rPr>
          <w:rFonts w:ascii="仿宋_GB2312" w:hAnsi="仿宋_GB2312" w:eastAsia="仿宋_GB2312" w:cs="仿宋_GB2312"/>
          <w:color w:val="auto"/>
          <w:szCs w:val="21"/>
          <w:highlight w:val="none"/>
        </w:rPr>
      </w:pPr>
    </w:p>
    <w:p w14:paraId="379A4A52">
      <w:pPr>
        <w:rPr>
          <w:rFonts w:ascii="仿宋_GB2312" w:hAnsi="仿宋_GB2312" w:eastAsia="仿宋_GB2312" w:cs="仿宋_GB2312"/>
          <w:color w:val="auto"/>
          <w:szCs w:val="21"/>
          <w:highlight w:val="none"/>
        </w:rPr>
      </w:pPr>
    </w:p>
    <w:p w14:paraId="4B6E31EF">
      <w:pPr>
        <w:spacing w:line="360" w:lineRule="auto"/>
        <w:ind w:firstLine="480"/>
        <w:rPr>
          <w:rFonts w:hint="eastAsia" w:ascii="宋体" w:hAnsi="宋体" w:eastAsia="宋体" w:cs="宋体"/>
          <w:color w:val="auto"/>
          <w:sz w:val="24"/>
          <w:highlight w:val="none"/>
          <w:shd w:val="clear" w:color="auto" w:fill="auto"/>
          <w:lang w:eastAsia="zh-CN"/>
        </w:rPr>
      </w:pPr>
    </w:p>
    <w:p w14:paraId="077E5E12">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A24095">
      <w:pPr>
        <w:spacing w:line="360" w:lineRule="auto"/>
        <w:ind w:firstLine="480" w:firstLineChars="200"/>
        <w:rPr>
          <w:rFonts w:hint="eastAsia" w:ascii="宋体" w:hAnsi="宋体" w:eastAsia="宋体" w:cs="宋体"/>
          <w:color w:val="auto"/>
          <w:sz w:val="24"/>
          <w:highlight w:val="none"/>
          <w:shd w:val="clear" w:color="auto" w:fill="auto"/>
        </w:rPr>
      </w:pPr>
    </w:p>
    <w:p w14:paraId="53177ECD">
      <w:pPr>
        <w:spacing w:line="360" w:lineRule="auto"/>
        <w:ind w:firstLine="480" w:firstLineChars="200"/>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rPr>
        <w:t>日期：</w:t>
      </w:r>
    </w:p>
    <w:p w14:paraId="1AA188E4">
      <w:pPr>
        <w:rPr>
          <w:rFonts w:hint="eastAsia" w:ascii="宋体" w:hAnsi="宋体" w:cs="宋体"/>
          <w:b/>
          <w:bCs/>
          <w:color w:val="auto"/>
          <w:sz w:val="32"/>
          <w:szCs w:val="32"/>
          <w:highlight w:val="none"/>
          <w:lang w:val="en-US" w:eastAsia="zh-CN"/>
        </w:rPr>
      </w:pPr>
      <w:bookmarkStart w:id="118" w:name="_Toc17821_WPSOffice_Level1"/>
      <w:bookmarkStart w:id="119" w:name="_Toc2816_WPSOffice_Level1"/>
      <w:r>
        <w:rPr>
          <w:rFonts w:hint="eastAsia" w:ascii="宋体" w:hAnsi="宋体" w:cs="宋体"/>
          <w:b/>
          <w:bCs/>
          <w:color w:val="auto"/>
          <w:sz w:val="32"/>
          <w:szCs w:val="32"/>
          <w:highlight w:val="none"/>
          <w:lang w:val="en-US" w:eastAsia="zh-CN"/>
        </w:rPr>
        <w:br w:type="page"/>
      </w:r>
    </w:p>
    <w:p w14:paraId="304B117D">
      <w:pPr>
        <w:numPr>
          <w:ilvl w:val="0"/>
          <w:numId w:val="0"/>
        </w:numPr>
        <w:spacing w:before="120" w:line="360" w:lineRule="auto"/>
        <w:ind w:leftChars="200"/>
        <w:jc w:val="both"/>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法定代表人（或非法人组织负责人）授权委托书</w:t>
      </w:r>
      <w:bookmarkEnd w:id="118"/>
      <w:bookmarkEnd w:id="119"/>
    </w:p>
    <w:p w14:paraId="34FF05BE">
      <w:pPr>
        <w:spacing w:line="360" w:lineRule="auto"/>
        <w:ind w:firstLine="420" w:firstLineChars="200"/>
        <w:rPr>
          <w:rFonts w:hint="eastAsia" w:ascii="仿宋_GB2312" w:hAnsi="仿宋_GB2312" w:eastAsia="仿宋_GB2312" w:cs="仿宋_GB2312"/>
          <w:color w:val="auto"/>
          <w:szCs w:val="21"/>
          <w:highlight w:val="none"/>
        </w:rPr>
      </w:pPr>
    </w:p>
    <w:p w14:paraId="1EF1818D">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44861D18">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本授权书于年月日签字生效，特此声明。</w:t>
      </w:r>
    </w:p>
    <w:p w14:paraId="0999118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tbl>
      <w:tblPr>
        <w:tblStyle w:val="28"/>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6AEE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11DA88E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CC7DFFE">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1CBFBD8">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071277E5">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40EB74C2">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9D0662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2BB557C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25F9F617">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A8D6C2A">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788DF57">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法定代表人（或非法人组织负责人）（签字或盖章）：</w:t>
      </w:r>
    </w:p>
    <w:p w14:paraId="2C17626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授权委托人（签字或盖章）：</w:t>
      </w:r>
    </w:p>
    <w:p w14:paraId="0A05BB1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电话：</w:t>
      </w:r>
    </w:p>
    <w:p w14:paraId="1D313BF4">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日期:</w:t>
      </w:r>
    </w:p>
    <w:p w14:paraId="50490ED4">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w:t>
      </w:r>
      <w:r>
        <w:rPr>
          <w:rFonts w:hint="eastAsia" w:ascii="宋体" w:hAnsi="宋体" w:cs="宋体"/>
          <w:b/>
          <w:color w:val="auto"/>
          <w:sz w:val="24"/>
          <w:szCs w:val="24"/>
          <w:highlight w:val="none"/>
          <w:shd w:val="clear" w:color="auto" w:fill="auto"/>
          <w:lang w:eastAsia="zh-CN"/>
        </w:rPr>
        <w:t>供应商</w:t>
      </w:r>
      <w:r>
        <w:rPr>
          <w:rFonts w:hint="eastAsia" w:ascii="宋体" w:hAnsi="宋体" w:cs="宋体"/>
          <w:b/>
          <w:color w:val="auto"/>
          <w:sz w:val="24"/>
          <w:szCs w:val="24"/>
          <w:highlight w:val="none"/>
          <w:shd w:val="clear" w:color="auto" w:fill="auto"/>
        </w:rPr>
        <w:t>，可不提供此项证明文件。</w:t>
      </w:r>
    </w:p>
    <w:p w14:paraId="260EAFE0">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26A01F6C">
      <w:pPr>
        <w:spacing w:line="360" w:lineRule="auto"/>
        <w:jc w:val="center"/>
        <w:rPr>
          <w:rFonts w:hint="eastAsia" w:ascii="宋体" w:hAnsi="宋体" w:cs="宋体"/>
          <w:b/>
          <w:color w:val="auto"/>
          <w:sz w:val="30"/>
          <w:szCs w:val="30"/>
          <w:highlight w:val="none"/>
          <w:shd w:val="clear" w:color="auto" w:fill="auto"/>
        </w:rPr>
      </w:pPr>
      <w:bookmarkStart w:id="120" w:name="_Toc26224_WPSOffice_Level1"/>
      <w:bookmarkStart w:id="121" w:name="_Toc27459_WPSOffice_Level1"/>
      <w:r>
        <w:rPr>
          <w:rFonts w:hint="eastAsia" w:ascii="宋体" w:hAnsi="宋体" w:cs="宋体"/>
          <w:b/>
          <w:color w:val="auto"/>
          <w:sz w:val="30"/>
          <w:szCs w:val="30"/>
          <w:highlight w:val="none"/>
          <w:shd w:val="clear" w:color="auto" w:fill="auto"/>
          <w:lang w:val="en-US" w:eastAsia="zh-CN"/>
        </w:rPr>
        <w:t>4、</w:t>
      </w:r>
      <w:r>
        <w:rPr>
          <w:rFonts w:hint="eastAsia" w:ascii="宋体" w:hAnsi="宋体" w:cs="宋体"/>
          <w:b/>
          <w:color w:val="auto"/>
          <w:sz w:val="30"/>
          <w:szCs w:val="30"/>
          <w:highlight w:val="none"/>
          <w:shd w:val="clear" w:color="auto" w:fill="auto"/>
        </w:rPr>
        <w:t>反商业贿赂承诺书</w:t>
      </w:r>
      <w:bookmarkEnd w:id="117"/>
      <w:bookmarkEnd w:id="120"/>
      <w:bookmarkEnd w:id="121"/>
    </w:p>
    <w:p w14:paraId="202D7876">
      <w:pPr>
        <w:pStyle w:val="14"/>
        <w:rPr>
          <w:rFonts w:hint="eastAsia" w:ascii="宋体" w:hAnsi="宋体" w:cs="宋体"/>
          <w:color w:val="auto"/>
          <w:highlight w:val="none"/>
          <w:shd w:val="clear" w:color="auto" w:fill="auto"/>
        </w:rPr>
      </w:pPr>
    </w:p>
    <w:p w14:paraId="0902DD7F">
      <w:pPr>
        <w:pStyle w:val="14"/>
        <w:ind w:firstLine="48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407DCF1">
      <w:pPr>
        <w:pStyle w:val="14"/>
        <w:ind w:firstLine="480"/>
        <w:rPr>
          <w:rFonts w:hint="eastAsia" w:ascii="宋体" w:hAnsi="宋体" w:cs="宋体"/>
          <w:color w:val="auto"/>
          <w:sz w:val="24"/>
          <w:szCs w:val="24"/>
          <w:highlight w:val="none"/>
          <w:shd w:val="clear" w:color="auto" w:fill="auto"/>
        </w:rPr>
      </w:pPr>
    </w:p>
    <w:p w14:paraId="0D679A77">
      <w:pPr>
        <w:spacing w:line="440" w:lineRule="exact"/>
        <w:rPr>
          <w:rFonts w:hint="eastAsia" w:ascii="宋体" w:hAnsi="宋体" w:cs="宋体"/>
          <w:bCs/>
          <w:color w:val="auto"/>
          <w:sz w:val="24"/>
          <w:szCs w:val="24"/>
          <w:highlight w:val="none"/>
          <w:shd w:val="clear" w:color="auto" w:fill="auto"/>
        </w:rPr>
      </w:pPr>
    </w:p>
    <w:p w14:paraId="5D96B13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23B459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8DD518F">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E556FB8">
      <w:pPr>
        <w:spacing w:line="440" w:lineRule="exact"/>
        <w:rPr>
          <w:rFonts w:hint="eastAsia" w:ascii="宋体" w:hAnsi="宋体" w:cs="宋体"/>
          <w:b/>
          <w:bCs/>
          <w:color w:val="auto"/>
          <w:sz w:val="24"/>
          <w:szCs w:val="24"/>
          <w:highlight w:val="none"/>
          <w:shd w:val="clear" w:color="auto" w:fill="auto"/>
        </w:rPr>
      </w:pPr>
    </w:p>
    <w:p w14:paraId="2820464D">
      <w:pPr>
        <w:spacing w:line="360" w:lineRule="auto"/>
        <w:jc w:val="left"/>
        <w:rPr>
          <w:rFonts w:hint="eastAsia" w:ascii="宋体" w:hAnsi="宋体" w:cs="宋体"/>
          <w:b/>
          <w:color w:val="auto"/>
          <w:sz w:val="30"/>
          <w:szCs w:val="30"/>
          <w:highlight w:val="none"/>
          <w:shd w:val="clear" w:color="auto" w:fill="auto"/>
        </w:rPr>
      </w:pPr>
    </w:p>
    <w:p w14:paraId="1334E1D4">
      <w:pPr>
        <w:pStyle w:val="10"/>
        <w:rPr>
          <w:rFonts w:hint="eastAsia" w:ascii="宋体" w:hAnsi="宋体" w:eastAsia="宋体" w:cs="宋体"/>
          <w:color w:val="auto"/>
          <w:highlight w:val="none"/>
          <w:shd w:val="clear" w:color="auto" w:fill="auto"/>
        </w:rPr>
      </w:pPr>
    </w:p>
    <w:p w14:paraId="56604833">
      <w:pPr>
        <w:rPr>
          <w:rFonts w:hint="eastAsia" w:ascii="宋体" w:hAnsi="宋体" w:cs="宋体"/>
          <w:color w:val="auto"/>
          <w:highlight w:val="none"/>
          <w:shd w:val="clear" w:color="auto" w:fill="auto"/>
        </w:rPr>
      </w:pPr>
    </w:p>
    <w:p w14:paraId="742ECA86">
      <w:pPr>
        <w:pStyle w:val="26"/>
        <w:ind w:firstLine="0" w:firstLineChars="0"/>
        <w:jc w:val="center"/>
        <w:rPr>
          <w:rFonts w:hint="eastAsia" w:ascii="宋体" w:hAnsi="宋体" w:eastAsia="宋体" w:cs="宋体"/>
          <w:color w:val="auto"/>
          <w:highlight w:val="none"/>
        </w:rPr>
      </w:pPr>
      <w:bookmarkStart w:id="122" w:name="_Toc32643_WPSOffice_Level1"/>
      <w:bookmarkStart w:id="123" w:name="_Toc30455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cs="宋体"/>
          <w:b/>
          <w:color w:val="auto"/>
          <w:kern w:val="2"/>
          <w:sz w:val="30"/>
          <w:szCs w:val="30"/>
          <w:highlight w:val="none"/>
          <w:shd w:val="clear" w:color="auto" w:fill="auto"/>
          <w:lang w:val="en-US" w:eastAsia="zh-CN" w:bidi="ar-SA"/>
        </w:rPr>
        <w:t>供应商</w:t>
      </w:r>
      <w:r>
        <w:rPr>
          <w:rFonts w:hint="eastAsia" w:ascii="宋体" w:hAnsi="宋体" w:eastAsia="宋体" w:cs="宋体"/>
          <w:b/>
          <w:color w:val="auto"/>
          <w:kern w:val="2"/>
          <w:sz w:val="30"/>
          <w:szCs w:val="30"/>
          <w:highlight w:val="none"/>
          <w:shd w:val="clear" w:color="auto" w:fill="auto"/>
          <w:lang w:val="en-US" w:eastAsia="zh-CN" w:bidi="ar-SA"/>
        </w:rPr>
        <w:t>参与政府采购活动（招投标活动）无异议承诺书</w:t>
      </w:r>
    </w:p>
    <w:p w14:paraId="36B93705">
      <w:pPr>
        <w:pStyle w:val="26"/>
        <w:ind w:firstLine="240"/>
        <w:rPr>
          <w:rFonts w:hint="eastAsia" w:ascii="宋体" w:hAnsi="宋体" w:eastAsia="宋体" w:cs="宋体"/>
          <w:color w:val="auto"/>
          <w:sz w:val="24"/>
          <w:highlight w:val="none"/>
        </w:rPr>
      </w:pPr>
    </w:p>
    <w:p w14:paraId="7905F992">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采购人</w:t>
      </w:r>
      <w:r>
        <w:rPr>
          <w:rFonts w:hint="eastAsia" w:ascii="宋体" w:hAnsi="宋体" w:eastAsia="宋体" w:cs="宋体"/>
          <w:color w:val="auto"/>
          <w:kern w:val="0"/>
          <w:sz w:val="24"/>
          <w:szCs w:val="32"/>
          <w:highlight w:val="none"/>
          <w:u w:val="single"/>
        </w:rPr>
        <w:t>）</w:t>
      </w:r>
    </w:p>
    <w:p w14:paraId="594B9AEA">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采购代理机构</w:t>
      </w:r>
      <w:r>
        <w:rPr>
          <w:rFonts w:hint="eastAsia" w:ascii="宋体" w:hAnsi="宋体" w:eastAsia="宋体" w:cs="宋体"/>
          <w:color w:val="auto"/>
          <w:kern w:val="0"/>
          <w:sz w:val="24"/>
          <w:szCs w:val="32"/>
          <w:highlight w:val="none"/>
          <w:u w:val="single"/>
        </w:rPr>
        <w:t>）</w:t>
      </w:r>
    </w:p>
    <w:p w14:paraId="6B0E703F">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rPr>
      </w:pPr>
    </w:p>
    <w:p w14:paraId="723C173D">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209B94C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78690BEA">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提出质疑或投诉。</w:t>
      </w:r>
    </w:p>
    <w:p w14:paraId="2B5B326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w:t>
      </w:r>
      <w:r>
        <w:rPr>
          <w:rFonts w:hint="eastAsia" w:ascii="宋体" w:hAnsi="宋体" w:cs="宋体"/>
          <w:color w:val="auto"/>
          <w:kern w:val="0"/>
          <w:sz w:val="24"/>
          <w:szCs w:val="32"/>
          <w:highlight w:val="none"/>
          <w:lang w:eastAsia="zh-CN"/>
        </w:rPr>
        <w:t>采购人</w:t>
      </w:r>
      <w:r>
        <w:rPr>
          <w:rFonts w:hint="eastAsia" w:ascii="宋体" w:hAnsi="宋体" w:eastAsia="宋体" w:cs="宋体"/>
          <w:color w:val="auto"/>
          <w:kern w:val="0"/>
          <w:sz w:val="24"/>
          <w:szCs w:val="32"/>
          <w:highlight w:val="none"/>
          <w:lang w:eastAsia="zh-CN"/>
        </w:rPr>
        <w:t>发现我公司投标文件中提供虚假材料，我公司将承担所有法律后果。</w:t>
      </w:r>
    </w:p>
    <w:p w14:paraId="5D60C720">
      <w:pPr>
        <w:widowControl/>
        <w:ind w:firstLine="360"/>
        <w:jc w:val="left"/>
        <w:rPr>
          <w:rFonts w:hint="eastAsia" w:ascii="宋体" w:hAnsi="宋体" w:eastAsia="宋体" w:cs="宋体"/>
          <w:color w:val="auto"/>
          <w:kern w:val="0"/>
          <w:sz w:val="24"/>
          <w:szCs w:val="32"/>
          <w:highlight w:val="none"/>
        </w:rPr>
      </w:pPr>
    </w:p>
    <w:p w14:paraId="79CCF6B9">
      <w:pPr>
        <w:widowControl/>
        <w:ind w:firstLine="360"/>
        <w:jc w:val="left"/>
        <w:rPr>
          <w:rFonts w:hint="eastAsia" w:ascii="宋体" w:hAnsi="宋体" w:eastAsia="宋体" w:cs="宋体"/>
          <w:color w:val="auto"/>
          <w:kern w:val="0"/>
          <w:sz w:val="24"/>
          <w:szCs w:val="32"/>
          <w:highlight w:val="none"/>
        </w:rPr>
      </w:pPr>
    </w:p>
    <w:p w14:paraId="4F0FD457">
      <w:pPr>
        <w:widowControl/>
        <w:ind w:firstLine="360"/>
        <w:jc w:val="left"/>
        <w:rPr>
          <w:rFonts w:hint="eastAsia" w:ascii="宋体" w:hAnsi="宋体" w:eastAsia="宋体" w:cs="宋体"/>
          <w:color w:val="auto"/>
          <w:kern w:val="0"/>
          <w:sz w:val="24"/>
          <w:szCs w:val="32"/>
          <w:highlight w:val="none"/>
        </w:rPr>
      </w:pPr>
    </w:p>
    <w:p w14:paraId="4D3C083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5370E8C">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F4E9F7A">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25BD68E">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4C55CEF4">
      <w:pPr>
        <w:pStyle w:val="6"/>
        <w:spacing w:before="0" w:after="0" w:line="360" w:lineRule="auto"/>
        <w:jc w:val="center"/>
        <w:rPr>
          <w:rFonts w:hint="eastAsia" w:ascii="宋体" w:hAnsi="宋体" w:eastAsia="宋体" w:cs="宋体"/>
          <w:color w:val="auto"/>
          <w:highlight w:val="none"/>
          <w:lang w:val="en-US" w:eastAsia="zh-CN"/>
        </w:rPr>
      </w:pPr>
      <w:bookmarkStart w:id="124" w:name="_Toc3579"/>
      <w:bookmarkStart w:id="125" w:name="_Toc17901_WPSOffice_Level1"/>
      <w:bookmarkStart w:id="126" w:name="_Toc20884"/>
      <w:r>
        <w:rPr>
          <w:rFonts w:hint="eastAsia" w:ascii="宋体" w:hAnsi="宋体" w:cs="宋体"/>
          <w:b/>
          <w:color w:val="auto"/>
          <w:sz w:val="30"/>
          <w:szCs w:val="30"/>
          <w:highlight w:val="none"/>
          <w:shd w:val="clear" w:color="auto" w:fill="auto"/>
          <w:lang w:val="en-US" w:eastAsia="zh-CN"/>
        </w:rPr>
        <w:t>6、</w:t>
      </w:r>
      <w:r>
        <w:rPr>
          <w:rFonts w:hint="eastAsia" w:ascii="宋体" w:hAnsi="宋体" w:eastAsia="宋体" w:cs="宋体"/>
          <w:b/>
          <w:bCs w:val="0"/>
          <w:color w:val="auto"/>
          <w:sz w:val="30"/>
          <w:szCs w:val="30"/>
          <w:highlight w:val="none"/>
          <w:lang w:val="en-US" w:eastAsia="zh-CN" w:bidi="ar-SA"/>
        </w:rPr>
        <w:t>保密承诺书</w:t>
      </w:r>
    </w:p>
    <w:p w14:paraId="68C44060">
      <w:pPr>
        <w:pStyle w:val="76"/>
        <w:bidi w:val="0"/>
        <w:spacing w:line="360" w:lineRule="auto"/>
        <w:rPr>
          <w:rFonts w:hint="eastAsia"/>
          <w:color w:val="auto"/>
          <w:highlight w:val="none"/>
          <w:lang w:val="en-US" w:eastAsia="zh-CN"/>
        </w:rPr>
      </w:pPr>
    </w:p>
    <w:p w14:paraId="5ABCCB1B">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（采购代理机构名称）：</w:t>
      </w:r>
    </w:p>
    <w:p w14:paraId="1C29450C">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我方参加贵组织的编号为</w:t>
      </w:r>
      <w:r>
        <w:rPr>
          <w:rFonts w:hint="eastAsia" w:ascii="宋体" w:hAnsi="宋体" w:eastAsia="宋体" w:cs="宋体"/>
          <w:b w:val="0"/>
          <w:color w:val="auto"/>
          <w:kern w:val="0"/>
          <w:sz w:val="24"/>
          <w:szCs w:val="32"/>
          <w:highlight w:val="none"/>
          <w:u w:val="single"/>
          <w:lang w:val="en-US" w:eastAsia="zh-CN" w:bidi="ar-SA"/>
        </w:rPr>
        <w:t xml:space="preserve">                </w:t>
      </w:r>
      <w:r>
        <w:rPr>
          <w:rFonts w:hint="eastAsia" w:ascii="宋体" w:hAnsi="宋体" w:eastAsia="宋体" w:cs="宋体"/>
          <w:b w:val="0"/>
          <w:color w:val="auto"/>
          <w:kern w:val="0"/>
          <w:sz w:val="24"/>
          <w:szCs w:val="32"/>
          <w:highlight w:val="none"/>
          <w:lang w:val="en-US" w:eastAsia="zh-CN" w:bidi="ar-SA"/>
        </w:rPr>
        <w:t>项目采购活动，根据有关保密法规制度，知悉应当承担的保密义务和法律责任，承诺如下：</w:t>
      </w:r>
    </w:p>
    <w:p w14:paraId="6A1641D5">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一、严格遵守相关的保密法律法规和规章制度，履行保密义务。</w:t>
      </w:r>
    </w:p>
    <w:p w14:paraId="63B9D1B4">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二、不以任何方式泄露或传播本次采购项目相关信息。</w:t>
      </w:r>
    </w:p>
    <w:p w14:paraId="632F7F54">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三、不违规记录、存储、复制本次采购项目相关信息。</w:t>
      </w:r>
    </w:p>
    <w:p w14:paraId="3D2D9CA8">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四、采购文件以及相关技术文件专室放置、专盘存储、专人管理。</w:t>
      </w:r>
    </w:p>
    <w:p w14:paraId="5232E1D6">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五、未经采购机构审查批准，不得擅自在互联网、通讯媒体等发表涉及此次采购项目相关内容或资讯。</w:t>
      </w:r>
    </w:p>
    <w:p w14:paraId="0F04F44A">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违反上述承诺，愿承担一切法律责任，接受采购单位管理部门和采购机构按相关规定作出的相关处罚。</w:t>
      </w:r>
    </w:p>
    <w:p w14:paraId="75846411">
      <w:pPr>
        <w:pStyle w:val="59"/>
        <w:spacing w:line="640" w:lineRule="exact"/>
        <w:rPr>
          <w:rFonts w:hint="eastAsia" w:ascii="宋体" w:hAnsi="宋体" w:eastAsia="宋体" w:cs="宋体"/>
          <w:b w:val="0"/>
          <w:bCs/>
          <w:color w:val="auto"/>
          <w:sz w:val="24"/>
          <w:highlight w:val="none"/>
        </w:rPr>
      </w:pPr>
    </w:p>
    <w:p w14:paraId="43685246">
      <w:pPr>
        <w:pStyle w:val="59"/>
        <w:spacing w:line="640" w:lineRule="exact"/>
        <w:rPr>
          <w:rFonts w:hint="eastAsia" w:ascii="宋体" w:hAnsi="宋体" w:eastAsia="宋体" w:cs="宋体"/>
          <w:b w:val="0"/>
          <w:bCs/>
          <w:color w:val="auto"/>
          <w:sz w:val="24"/>
          <w:highlight w:val="none"/>
        </w:rPr>
      </w:pPr>
    </w:p>
    <w:p w14:paraId="1DA76B4A">
      <w:pPr>
        <w:pStyle w:val="59"/>
        <w:spacing w:line="600" w:lineRule="auto"/>
        <w:rPr>
          <w:rFonts w:hint="eastAsia" w:ascii="宋体" w:hAnsi="宋体" w:eastAsia="宋体" w:cs="宋体"/>
          <w:b w:val="0"/>
          <w:bCs/>
          <w:color w:val="auto"/>
          <w:sz w:val="24"/>
          <w:highlight w:val="none"/>
        </w:rPr>
      </w:pPr>
    </w:p>
    <w:p w14:paraId="19F52E41">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19F11C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A68D9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9CA3A8A">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bookmarkEnd w:id="122"/>
    <w:bookmarkEnd w:id="123"/>
    <w:p w14:paraId="64E9A5AC">
      <w:pPr>
        <w:pStyle w:val="6"/>
        <w:spacing w:before="0" w:after="0" w:line="360" w:lineRule="auto"/>
        <w:jc w:val="center"/>
        <w:rPr>
          <w:color w:val="auto"/>
          <w:sz w:val="30"/>
          <w:szCs w:val="30"/>
          <w:highlight w:val="none"/>
        </w:rPr>
      </w:pPr>
      <w:bookmarkStart w:id="127" w:name="_Toc16017_WPSOffice_Level1"/>
      <w:bookmarkStart w:id="128" w:name="_Toc17746_WPSOffice_Level1"/>
      <w:r>
        <w:rPr>
          <w:rFonts w:hint="eastAsia" w:ascii="宋体" w:hAnsi="宋体" w:cs="宋体"/>
          <w:b/>
          <w:color w:val="auto"/>
          <w:sz w:val="30"/>
          <w:szCs w:val="30"/>
          <w:highlight w:val="none"/>
          <w:shd w:val="clear" w:color="auto" w:fill="auto"/>
          <w:lang w:val="en-US" w:eastAsia="zh-CN"/>
        </w:rPr>
        <w:t>7、</w:t>
      </w:r>
      <w:r>
        <w:rPr>
          <w:rFonts w:hint="eastAsia" w:ascii="宋体" w:hAnsi="宋体" w:eastAsia="宋体" w:cs="宋体"/>
          <w:b/>
          <w:bCs w:val="0"/>
          <w:color w:val="auto"/>
          <w:kern w:val="2"/>
          <w:sz w:val="30"/>
          <w:szCs w:val="30"/>
          <w:highlight w:val="none"/>
          <w:lang w:val="en-US" w:eastAsia="zh-CN" w:bidi="ar-SA"/>
        </w:rPr>
        <w:t>商务条款偏离表</w:t>
      </w:r>
      <w:bookmarkEnd w:id="127"/>
      <w:bookmarkEnd w:id="128"/>
    </w:p>
    <w:p w14:paraId="0BE64741">
      <w:pPr>
        <w:pStyle w:val="45"/>
        <w:spacing w:line="500" w:lineRule="exact"/>
        <w:ind w:left="480"/>
        <w:jc w:val="center"/>
        <w:rPr>
          <w:rFonts w:hint="default" w:ascii="宋体" w:hAnsi="宋体" w:eastAsia="宋体"/>
          <w:color w:val="auto"/>
          <w:highlight w:val="none"/>
          <w:u w:val="none"/>
          <w:lang w:val="en-US" w:eastAsia="zh-CN"/>
        </w:rPr>
      </w:pPr>
      <w:r>
        <w:rPr>
          <w:rFonts w:hint="eastAsia" w:ascii="宋体" w:hAnsi="宋体"/>
          <w:b/>
          <w:bCs/>
          <w:color w:val="auto"/>
          <w:highlight w:val="none"/>
          <w:lang w:eastAsia="zh-CN"/>
        </w:rPr>
        <w:t>供应商</w:t>
      </w:r>
      <w:r>
        <w:rPr>
          <w:rFonts w:hint="eastAsia" w:ascii="宋体" w:hAnsi="宋体"/>
          <w:b/>
          <w:bCs/>
          <w:color w:val="auto"/>
          <w:highlight w:val="none"/>
        </w:rPr>
        <w:t>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p w14:paraId="3C2C880D">
      <w:pPr>
        <w:pStyle w:val="45"/>
        <w:spacing w:line="500" w:lineRule="exact"/>
        <w:ind w:left="480"/>
        <w:rPr>
          <w:rFonts w:hint="eastAsia" w:ascii="宋体" w:hAnsi="宋体" w:eastAsia="宋体"/>
          <w:color w:val="auto"/>
          <w:highlight w:val="none"/>
          <w:u w:val="single"/>
          <w:lang w:eastAsia="zh-CN"/>
        </w:rPr>
      </w:pPr>
    </w:p>
    <w:tbl>
      <w:tblPr>
        <w:tblStyle w:val="28"/>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1717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44D07364">
            <w:pPr>
              <w:pStyle w:val="45"/>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341EE7C5">
            <w:pPr>
              <w:pStyle w:val="45"/>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的商务条款</w:t>
            </w:r>
          </w:p>
        </w:tc>
        <w:tc>
          <w:tcPr>
            <w:tcW w:w="2409" w:type="dxa"/>
            <w:noWrap w:val="0"/>
            <w:vAlign w:val="center"/>
          </w:tcPr>
          <w:p w14:paraId="1E33770B">
            <w:pPr>
              <w:pStyle w:val="45"/>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的商务条款</w:t>
            </w:r>
          </w:p>
        </w:tc>
        <w:tc>
          <w:tcPr>
            <w:tcW w:w="1588" w:type="dxa"/>
            <w:noWrap w:val="0"/>
            <w:vAlign w:val="center"/>
          </w:tcPr>
          <w:p w14:paraId="278162F8">
            <w:pPr>
              <w:pStyle w:val="45"/>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04E0A6C5">
            <w:pPr>
              <w:pStyle w:val="45"/>
              <w:spacing w:line="500" w:lineRule="exact"/>
              <w:jc w:val="center"/>
              <w:rPr>
                <w:rFonts w:ascii="宋体" w:hAnsi="宋体"/>
                <w:color w:val="auto"/>
                <w:highlight w:val="none"/>
              </w:rPr>
            </w:pPr>
            <w:r>
              <w:rPr>
                <w:rFonts w:hint="eastAsia" w:ascii="宋体" w:hAnsi="宋体"/>
                <w:color w:val="auto"/>
                <w:highlight w:val="none"/>
              </w:rPr>
              <w:t>备注</w:t>
            </w:r>
          </w:p>
        </w:tc>
      </w:tr>
      <w:tr w14:paraId="1421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30C4688">
            <w:pPr>
              <w:pStyle w:val="45"/>
              <w:spacing w:line="500" w:lineRule="exact"/>
              <w:ind w:left="480" w:firstLine="480"/>
              <w:jc w:val="center"/>
              <w:rPr>
                <w:rFonts w:ascii="宋体" w:hAnsi="宋体"/>
                <w:color w:val="auto"/>
                <w:highlight w:val="none"/>
              </w:rPr>
            </w:pPr>
          </w:p>
        </w:tc>
        <w:tc>
          <w:tcPr>
            <w:tcW w:w="2552" w:type="dxa"/>
            <w:noWrap w:val="0"/>
            <w:vAlign w:val="top"/>
          </w:tcPr>
          <w:p w14:paraId="154117A7">
            <w:pPr>
              <w:pStyle w:val="45"/>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合同履约期限</w:t>
            </w:r>
          </w:p>
        </w:tc>
        <w:tc>
          <w:tcPr>
            <w:tcW w:w="2409" w:type="dxa"/>
            <w:noWrap w:val="0"/>
            <w:vAlign w:val="top"/>
          </w:tcPr>
          <w:p w14:paraId="155FD9C9">
            <w:pPr>
              <w:pStyle w:val="45"/>
              <w:spacing w:line="500" w:lineRule="exact"/>
              <w:ind w:left="480" w:firstLine="480"/>
              <w:jc w:val="center"/>
              <w:rPr>
                <w:rFonts w:ascii="宋体" w:hAnsi="宋体"/>
                <w:color w:val="auto"/>
                <w:highlight w:val="none"/>
              </w:rPr>
            </w:pPr>
          </w:p>
        </w:tc>
        <w:tc>
          <w:tcPr>
            <w:tcW w:w="1588" w:type="dxa"/>
            <w:noWrap w:val="0"/>
            <w:vAlign w:val="top"/>
          </w:tcPr>
          <w:p w14:paraId="4D4BD188">
            <w:pPr>
              <w:pStyle w:val="45"/>
              <w:spacing w:line="500" w:lineRule="exact"/>
              <w:ind w:left="480" w:firstLine="480"/>
              <w:jc w:val="center"/>
              <w:rPr>
                <w:rFonts w:ascii="宋体" w:hAnsi="宋体"/>
                <w:color w:val="auto"/>
                <w:highlight w:val="none"/>
              </w:rPr>
            </w:pPr>
          </w:p>
        </w:tc>
        <w:tc>
          <w:tcPr>
            <w:tcW w:w="1815" w:type="dxa"/>
            <w:noWrap w:val="0"/>
            <w:vAlign w:val="top"/>
          </w:tcPr>
          <w:p w14:paraId="311A0A83">
            <w:pPr>
              <w:pStyle w:val="45"/>
              <w:spacing w:line="500" w:lineRule="exact"/>
              <w:ind w:left="480" w:firstLine="480"/>
              <w:jc w:val="center"/>
              <w:rPr>
                <w:rFonts w:ascii="宋体" w:hAnsi="宋体"/>
                <w:color w:val="auto"/>
                <w:highlight w:val="none"/>
              </w:rPr>
            </w:pPr>
          </w:p>
        </w:tc>
      </w:tr>
      <w:tr w14:paraId="42F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24FABFA6">
            <w:pPr>
              <w:pStyle w:val="45"/>
              <w:spacing w:line="500" w:lineRule="exact"/>
              <w:ind w:left="480" w:leftChars="0" w:firstLine="480" w:firstLineChars="0"/>
              <w:jc w:val="center"/>
              <w:rPr>
                <w:rFonts w:ascii="宋体" w:hAnsi="宋体"/>
                <w:color w:val="auto"/>
                <w:highlight w:val="none"/>
              </w:rPr>
            </w:pPr>
          </w:p>
        </w:tc>
        <w:tc>
          <w:tcPr>
            <w:tcW w:w="2552" w:type="dxa"/>
            <w:noWrap w:val="0"/>
            <w:vAlign w:val="top"/>
          </w:tcPr>
          <w:p w14:paraId="52207498">
            <w:pPr>
              <w:pStyle w:val="45"/>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付款方式</w:t>
            </w:r>
          </w:p>
        </w:tc>
        <w:tc>
          <w:tcPr>
            <w:tcW w:w="2409" w:type="dxa"/>
            <w:noWrap w:val="0"/>
            <w:vAlign w:val="top"/>
          </w:tcPr>
          <w:p w14:paraId="453133A6">
            <w:pPr>
              <w:pStyle w:val="45"/>
              <w:spacing w:line="500" w:lineRule="exact"/>
              <w:ind w:left="480" w:firstLine="480"/>
              <w:jc w:val="center"/>
              <w:rPr>
                <w:rFonts w:ascii="宋体" w:hAnsi="宋体"/>
                <w:color w:val="auto"/>
                <w:highlight w:val="none"/>
              </w:rPr>
            </w:pPr>
          </w:p>
        </w:tc>
        <w:tc>
          <w:tcPr>
            <w:tcW w:w="1588" w:type="dxa"/>
            <w:noWrap w:val="0"/>
            <w:vAlign w:val="top"/>
          </w:tcPr>
          <w:p w14:paraId="0BF91216">
            <w:pPr>
              <w:pStyle w:val="45"/>
              <w:spacing w:line="500" w:lineRule="exact"/>
              <w:ind w:left="480" w:firstLine="480"/>
              <w:jc w:val="center"/>
              <w:rPr>
                <w:rFonts w:ascii="宋体" w:hAnsi="宋体"/>
                <w:color w:val="auto"/>
                <w:highlight w:val="none"/>
              </w:rPr>
            </w:pPr>
          </w:p>
        </w:tc>
        <w:tc>
          <w:tcPr>
            <w:tcW w:w="1815" w:type="dxa"/>
            <w:noWrap w:val="0"/>
            <w:vAlign w:val="top"/>
          </w:tcPr>
          <w:p w14:paraId="58602743">
            <w:pPr>
              <w:pStyle w:val="45"/>
              <w:spacing w:line="500" w:lineRule="exact"/>
              <w:ind w:left="480" w:firstLine="480"/>
              <w:jc w:val="center"/>
              <w:rPr>
                <w:rFonts w:ascii="宋体" w:hAnsi="宋体"/>
                <w:color w:val="auto"/>
                <w:highlight w:val="none"/>
              </w:rPr>
            </w:pPr>
          </w:p>
        </w:tc>
      </w:tr>
      <w:tr w14:paraId="2B89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5E50F37">
            <w:pPr>
              <w:pStyle w:val="45"/>
              <w:spacing w:line="500" w:lineRule="exact"/>
              <w:ind w:left="480" w:firstLine="480"/>
              <w:jc w:val="center"/>
              <w:rPr>
                <w:rFonts w:ascii="宋体" w:hAnsi="宋体"/>
                <w:color w:val="auto"/>
                <w:highlight w:val="none"/>
              </w:rPr>
            </w:pPr>
          </w:p>
        </w:tc>
        <w:tc>
          <w:tcPr>
            <w:tcW w:w="2552" w:type="dxa"/>
            <w:noWrap w:val="0"/>
            <w:vAlign w:val="top"/>
          </w:tcPr>
          <w:p w14:paraId="3DB009B2">
            <w:pPr>
              <w:pStyle w:val="45"/>
              <w:spacing w:line="500" w:lineRule="exact"/>
              <w:jc w:val="both"/>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质保期</w:t>
            </w:r>
          </w:p>
        </w:tc>
        <w:tc>
          <w:tcPr>
            <w:tcW w:w="2409" w:type="dxa"/>
            <w:noWrap w:val="0"/>
            <w:vAlign w:val="top"/>
          </w:tcPr>
          <w:p w14:paraId="6FDD9CCD">
            <w:pPr>
              <w:pStyle w:val="45"/>
              <w:spacing w:line="500" w:lineRule="exact"/>
              <w:ind w:left="480" w:firstLine="480"/>
              <w:jc w:val="center"/>
              <w:rPr>
                <w:rFonts w:ascii="宋体" w:hAnsi="宋体"/>
                <w:color w:val="auto"/>
                <w:highlight w:val="none"/>
              </w:rPr>
            </w:pPr>
          </w:p>
        </w:tc>
        <w:tc>
          <w:tcPr>
            <w:tcW w:w="1588" w:type="dxa"/>
            <w:noWrap w:val="0"/>
            <w:vAlign w:val="top"/>
          </w:tcPr>
          <w:p w14:paraId="6FB7F7D9">
            <w:pPr>
              <w:pStyle w:val="45"/>
              <w:spacing w:line="500" w:lineRule="exact"/>
              <w:ind w:left="480" w:firstLine="480"/>
              <w:jc w:val="center"/>
              <w:rPr>
                <w:rFonts w:ascii="宋体" w:hAnsi="宋体"/>
                <w:color w:val="auto"/>
                <w:highlight w:val="none"/>
              </w:rPr>
            </w:pPr>
          </w:p>
        </w:tc>
        <w:tc>
          <w:tcPr>
            <w:tcW w:w="1815" w:type="dxa"/>
            <w:noWrap w:val="0"/>
            <w:vAlign w:val="top"/>
          </w:tcPr>
          <w:p w14:paraId="79D39A4D">
            <w:pPr>
              <w:pStyle w:val="45"/>
              <w:spacing w:line="500" w:lineRule="exact"/>
              <w:ind w:left="480" w:firstLine="480"/>
              <w:jc w:val="center"/>
              <w:rPr>
                <w:rFonts w:ascii="宋体" w:hAnsi="宋体"/>
                <w:color w:val="auto"/>
                <w:highlight w:val="none"/>
              </w:rPr>
            </w:pPr>
          </w:p>
        </w:tc>
      </w:tr>
      <w:tr w14:paraId="5A2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577AA4B">
            <w:pPr>
              <w:pStyle w:val="45"/>
              <w:spacing w:line="500" w:lineRule="exact"/>
              <w:ind w:left="480" w:firstLine="480"/>
              <w:jc w:val="center"/>
              <w:rPr>
                <w:rFonts w:ascii="宋体" w:hAnsi="宋体"/>
                <w:color w:val="auto"/>
                <w:highlight w:val="none"/>
              </w:rPr>
            </w:pPr>
          </w:p>
        </w:tc>
        <w:tc>
          <w:tcPr>
            <w:tcW w:w="2552" w:type="dxa"/>
            <w:noWrap w:val="0"/>
            <w:vAlign w:val="top"/>
          </w:tcPr>
          <w:p w14:paraId="7948C7E7">
            <w:pPr>
              <w:pStyle w:val="45"/>
              <w:spacing w:line="500" w:lineRule="exact"/>
              <w:jc w:val="both"/>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交货地点</w:t>
            </w:r>
          </w:p>
        </w:tc>
        <w:tc>
          <w:tcPr>
            <w:tcW w:w="2409" w:type="dxa"/>
            <w:noWrap w:val="0"/>
            <w:vAlign w:val="top"/>
          </w:tcPr>
          <w:p w14:paraId="6619D994">
            <w:pPr>
              <w:pStyle w:val="45"/>
              <w:spacing w:line="500" w:lineRule="exact"/>
              <w:ind w:left="480" w:firstLine="480"/>
              <w:jc w:val="center"/>
              <w:rPr>
                <w:rFonts w:ascii="宋体" w:hAnsi="宋体"/>
                <w:color w:val="auto"/>
                <w:highlight w:val="none"/>
              </w:rPr>
            </w:pPr>
          </w:p>
        </w:tc>
        <w:tc>
          <w:tcPr>
            <w:tcW w:w="1588" w:type="dxa"/>
            <w:noWrap w:val="0"/>
            <w:vAlign w:val="top"/>
          </w:tcPr>
          <w:p w14:paraId="05344BE1">
            <w:pPr>
              <w:pStyle w:val="45"/>
              <w:spacing w:line="500" w:lineRule="exact"/>
              <w:ind w:left="480" w:firstLine="480"/>
              <w:jc w:val="center"/>
              <w:rPr>
                <w:rFonts w:ascii="宋体" w:hAnsi="宋体"/>
                <w:color w:val="auto"/>
                <w:highlight w:val="none"/>
              </w:rPr>
            </w:pPr>
          </w:p>
        </w:tc>
        <w:tc>
          <w:tcPr>
            <w:tcW w:w="1815" w:type="dxa"/>
            <w:noWrap w:val="0"/>
            <w:vAlign w:val="top"/>
          </w:tcPr>
          <w:p w14:paraId="6F76F8B7">
            <w:pPr>
              <w:pStyle w:val="45"/>
              <w:spacing w:line="500" w:lineRule="exact"/>
              <w:ind w:left="480" w:firstLine="480"/>
              <w:jc w:val="center"/>
              <w:rPr>
                <w:rFonts w:ascii="宋体" w:hAnsi="宋体"/>
                <w:color w:val="auto"/>
                <w:highlight w:val="none"/>
              </w:rPr>
            </w:pPr>
          </w:p>
        </w:tc>
      </w:tr>
      <w:tr w14:paraId="577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D29C020">
            <w:pPr>
              <w:pStyle w:val="45"/>
              <w:spacing w:line="500" w:lineRule="exact"/>
              <w:ind w:left="480" w:firstLine="480"/>
              <w:jc w:val="center"/>
              <w:rPr>
                <w:rFonts w:ascii="宋体" w:hAnsi="宋体"/>
                <w:color w:val="auto"/>
                <w:highlight w:val="none"/>
              </w:rPr>
            </w:pPr>
          </w:p>
        </w:tc>
        <w:tc>
          <w:tcPr>
            <w:tcW w:w="2552" w:type="dxa"/>
            <w:noWrap w:val="0"/>
            <w:vAlign w:val="top"/>
          </w:tcPr>
          <w:p w14:paraId="5FCAA30A">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435D4D63">
            <w:pPr>
              <w:pStyle w:val="45"/>
              <w:spacing w:line="500" w:lineRule="exact"/>
              <w:ind w:left="480" w:firstLine="480"/>
              <w:jc w:val="center"/>
              <w:rPr>
                <w:rFonts w:ascii="宋体" w:hAnsi="宋体"/>
                <w:color w:val="auto"/>
                <w:highlight w:val="none"/>
              </w:rPr>
            </w:pPr>
          </w:p>
        </w:tc>
        <w:tc>
          <w:tcPr>
            <w:tcW w:w="1588" w:type="dxa"/>
            <w:noWrap w:val="0"/>
            <w:vAlign w:val="top"/>
          </w:tcPr>
          <w:p w14:paraId="0C75C5B2">
            <w:pPr>
              <w:pStyle w:val="45"/>
              <w:spacing w:line="500" w:lineRule="exact"/>
              <w:ind w:left="480" w:firstLine="480"/>
              <w:jc w:val="center"/>
              <w:rPr>
                <w:rFonts w:ascii="宋体" w:hAnsi="宋体"/>
                <w:color w:val="auto"/>
                <w:highlight w:val="none"/>
              </w:rPr>
            </w:pPr>
          </w:p>
        </w:tc>
        <w:tc>
          <w:tcPr>
            <w:tcW w:w="1815" w:type="dxa"/>
            <w:noWrap w:val="0"/>
            <w:vAlign w:val="top"/>
          </w:tcPr>
          <w:p w14:paraId="0C1835E5">
            <w:pPr>
              <w:pStyle w:val="45"/>
              <w:spacing w:line="500" w:lineRule="exact"/>
              <w:ind w:left="480" w:firstLine="480"/>
              <w:jc w:val="center"/>
              <w:rPr>
                <w:rFonts w:ascii="宋体" w:hAnsi="宋体"/>
                <w:color w:val="auto"/>
                <w:highlight w:val="none"/>
              </w:rPr>
            </w:pPr>
          </w:p>
        </w:tc>
      </w:tr>
      <w:tr w14:paraId="773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3B23469">
            <w:pPr>
              <w:pStyle w:val="45"/>
              <w:spacing w:line="500" w:lineRule="exact"/>
              <w:ind w:left="480" w:firstLine="480"/>
              <w:jc w:val="center"/>
              <w:rPr>
                <w:rFonts w:ascii="宋体" w:hAnsi="宋体"/>
                <w:color w:val="auto"/>
                <w:highlight w:val="none"/>
              </w:rPr>
            </w:pPr>
          </w:p>
        </w:tc>
        <w:tc>
          <w:tcPr>
            <w:tcW w:w="2552" w:type="dxa"/>
            <w:noWrap w:val="0"/>
            <w:vAlign w:val="top"/>
          </w:tcPr>
          <w:p w14:paraId="3B6E2652">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0B55E4F6">
            <w:pPr>
              <w:pStyle w:val="45"/>
              <w:spacing w:line="500" w:lineRule="exact"/>
              <w:ind w:left="480" w:firstLine="480"/>
              <w:jc w:val="center"/>
              <w:rPr>
                <w:rFonts w:ascii="宋体" w:hAnsi="宋体"/>
                <w:color w:val="auto"/>
                <w:highlight w:val="none"/>
              </w:rPr>
            </w:pPr>
          </w:p>
        </w:tc>
        <w:tc>
          <w:tcPr>
            <w:tcW w:w="1588" w:type="dxa"/>
            <w:noWrap w:val="0"/>
            <w:vAlign w:val="top"/>
          </w:tcPr>
          <w:p w14:paraId="40388201">
            <w:pPr>
              <w:pStyle w:val="45"/>
              <w:spacing w:line="500" w:lineRule="exact"/>
              <w:ind w:left="480" w:firstLine="480"/>
              <w:jc w:val="center"/>
              <w:rPr>
                <w:rFonts w:ascii="宋体" w:hAnsi="宋体"/>
                <w:color w:val="auto"/>
                <w:highlight w:val="none"/>
              </w:rPr>
            </w:pPr>
          </w:p>
        </w:tc>
        <w:tc>
          <w:tcPr>
            <w:tcW w:w="1815" w:type="dxa"/>
            <w:noWrap w:val="0"/>
            <w:vAlign w:val="top"/>
          </w:tcPr>
          <w:p w14:paraId="2F0C2D8A">
            <w:pPr>
              <w:pStyle w:val="45"/>
              <w:spacing w:line="500" w:lineRule="exact"/>
              <w:ind w:left="480" w:firstLine="480"/>
              <w:jc w:val="center"/>
              <w:rPr>
                <w:rFonts w:ascii="宋体" w:hAnsi="宋体"/>
                <w:color w:val="auto"/>
                <w:highlight w:val="none"/>
              </w:rPr>
            </w:pPr>
          </w:p>
        </w:tc>
      </w:tr>
      <w:tr w14:paraId="3F53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05004C7">
            <w:pPr>
              <w:pStyle w:val="45"/>
              <w:spacing w:line="500" w:lineRule="exact"/>
              <w:ind w:left="480" w:firstLine="480"/>
              <w:jc w:val="center"/>
              <w:rPr>
                <w:rFonts w:ascii="宋体" w:hAnsi="宋体"/>
                <w:color w:val="auto"/>
                <w:highlight w:val="none"/>
              </w:rPr>
            </w:pPr>
          </w:p>
        </w:tc>
        <w:tc>
          <w:tcPr>
            <w:tcW w:w="2552" w:type="dxa"/>
            <w:noWrap w:val="0"/>
            <w:vAlign w:val="top"/>
          </w:tcPr>
          <w:p w14:paraId="53F4F97D">
            <w:pPr>
              <w:pStyle w:val="45"/>
              <w:spacing w:line="500" w:lineRule="exact"/>
              <w:ind w:left="480" w:firstLine="480"/>
              <w:jc w:val="center"/>
              <w:rPr>
                <w:rFonts w:ascii="宋体" w:hAnsi="宋体"/>
                <w:color w:val="auto"/>
                <w:highlight w:val="none"/>
              </w:rPr>
            </w:pPr>
          </w:p>
        </w:tc>
        <w:tc>
          <w:tcPr>
            <w:tcW w:w="2409" w:type="dxa"/>
            <w:noWrap w:val="0"/>
            <w:vAlign w:val="top"/>
          </w:tcPr>
          <w:p w14:paraId="2150C224">
            <w:pPr>
              <w:pStyle w:val="45"/>
              <w:spacing w:line="500" w:lineRule="exact"/>
              <w:ind w:left="480" w:firstLine="480"/>
              <w:jc w:val="center"/>
              <w:rPr>
                <w:rFonts w:ascii="宋体" w:hAnsi="宋体"/>
                <w:color w:val="auto"/>
                <w:highlight w:val="none"/>
              </w:rPr>
            </w:pPr>
          </w:p>
        </w:tc>
        <w:tc>
          <w:tcPr>
            <w:tcW w:w="1588" w:type="dxa"/>
            <w:noWrap w:val="0"/>
            <w:vAlign w:val="top"/>
          </w:tcPr>
          <w:p w14:paraId="166DBF41">
            <w:pPr>
              <w:pStyle w:val="45"/>
              <w:spacing w:line="500" w:lineRule="exact"/>
              <w:ind w:left="480" w:firstLine="480"/>
              <w:jc w:val="center"/>
              <w:rPr>
                <w:rFonts w:ascii="宋体" w:hAnsi="宋体"/>
                <w:color w:val="auto"/>
                <w:highlight w:val="none"/>
              </w:rPr>
            </w:pPr>
          </w:p>
        </w:tc>
        <w:tc>
          <w:tcPr>
            <w:tcW w:w="1815" w:type="dxa"/>
            <w:noWrap w:val="0"/>
            <w:vAlign w:val="top"/>
          </w:tcPr>
          <w:p w14:paraId="037DC3C1">
            <w:pPr>
              <w:pStyle w:val="45"/>
              <w:spacing w:line="500" w:lineRule="exact"/>
              <w:ind w:left="480" w:firstLine="480"/>
              <w:jc w:val="center"/>
              <w:rPr>
                <w:rFonts w:ascii="宋体" w:hAnsi="宋体"/>
                <w:color w:val="auto"/>
                <w:highlight w:val="none"/>
              </w:rPr>
            </w:pPr>
          </w:p>
        </w:tc>
      </w:tr>
      <w:tr w14:paraId="732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951D27">
            <w:pPr>
              <w:pStyle w:val="45"/>
              <w:spacing w:line="500" w:lineRule="exact"/>
              <w:ind w:left="480" w:firstLine="480"/>
              <w:jc w:val="center"/>
              <w:rPr>
                <w:rFonts w:ascii="宋体" w:hAnsi="宋体"/>
                <w:color w:val="auto"/>
                <w:highlight w:val="none"/>
              </w:rPr>
            </w:pPr>
          </w:p>
        </w:tc>
        <w:tc>
          <w:tcPr>
            <w:tcW w:w="2552" w:type="dxa"/>
            <w:noWrap w:val="0"/>
            <w:vAlign w:val="top"/>
          </w:tcPr>
          <w:p w14:paraId="47A96F09">
            <w:pPr>
              <w:pStyle w:val="45"/>
              <w:spacing w:line="500" w:lineRule="exact"/>
              <w:ind w:left="480" w:firstLine="480"/>
              <w:jc w:val="center"/>
              <w:rPr>
                <w:rFonts w:ascii="宋体" w:hAnsi="宋体"/>
                <w:color w:val="auto"/>
                <w:highlight w:val="none"/>
              </w:rPr>
            </w:pPr>
          </w:p>
        </w:tc>
        <w:tc>
          <w:tcPr>
            <w:tcW w:w="2409" w:type="dxa"/>
            <w:noWrap w:val="0"/>
            <w:vAlign w:val="top"/>
          </w:tcPr>
          <w:p w14:paraId="4BA3DB41">
            <w:pPr>
              <w:pStyle w:val="45"/>
              <w:spacing w:line="500" w:lineRule="exact"/>
              <w:ind w:left="480" w:firstLine="480"/>
              <w:jc w:val="center"/>
              <w:rPr>
                <w:rFonts w:ascii="宋体" w:hAnsi="宋体"/>
                <w:color w:val="auto"/>
                <w:highlight w:val="none"/>
              </w:rPr>
            </w:pPr>
          </w:p>
        </w:tc>
        <w:tc>
          <w:tcPr>
            <w:tcW w:w="1588" w:type="dxa"/>
            <w:noWrap w:val="0"/>
            <w:vAlign w:val="top"/>
          </w:tcPr>
          <w:p w14:paraId="08EF3A74">
            <w:pPr>
              <w:pStyle w:val="45"/>
              <w:spacing w:line="500" w:lineRule="exact"/>
              <w:ind w:left="480" w:firstLine="480"/>
              <w:jc w:val="center"/>
              <w:rPr>
                <w:rFonts w:ascii="宋体" w:hAnsi="宋体"/>
                <w:color w:val="auto"/>
                <w:highlight w:val="none"/>
              </w:rPr>
            </w:pPr>
          </w:p>
        </w:tc>
        <w:tc>
          <w:tcPr>
            <w:tcW w:w="1815" w:type="dxa"/>
            <w:noWrap w:val="0"/>
            <w:vAlign w:val="top"/>
          </w:tcPr>
          <w:p w14:paraId="535C8DDD">
            <w:pPr>
              <w:pStyle w:val="45"/>
              <w:spacing w:line="500" w:lineRule="exact"/>
              <w:ind w:left="480" w:firstLine="480"/>
              <w:jc w:val="center"/>
              <w:rPr>
                <w:rFonts w:ascii="宋体" w:hAnsi="宋体"/>
                <w:color w:val="auto"/>
                <w:highlight w:val="none"/>
              </w:rPr>
            </w:pPr>
          </w:p>
        </w:tc>
      </w:tr>
      <w:tr w14:paraId="5488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026DB8">
            <w:pPr>
              <w:pStyle w:val="45"/>
              <w:spacing w:line="500" w:lineRule="exact"/>
              <w:ind w:left="480" w:firstLine="480"/>
              <w:jc w:val="center"/>
              <w:rPr>
                <w:rFonts w:ascii="宋体" w:hAnsi="宋体"/>
                <w:color w:val="auto"/>
                <w:highlight w:val="none"/>
              </w:rPr>
            </w:pPr>
          </w:p>
        </w:tc>
        <w:tc>
          <w:tcPr>
            <w:tcW w:w="2552" w:type="dxa"/>
            <w:noWrap w:val="0"/>
            <w:vAlign w:val="top"/>
          </w:tcPr>
          <w:p w14:paraId="6F883D65">
            <w:pPr>
              <w:pStyle w:val="45"/>
              <w:spacing w:line="500" w:lineRule="exact"/>
              <w:ind w:left="480" w:firstLine="480"/>
              <w:jc w:val="center"/>
              <w:rPr>
                <w:rFonts w:ascii="宋体" w:hAnsi="宋体"/>
                <w:color w:val="auto"/>
                <w:highlight w:val="none"/>
              </w:rPr>
            </w:pPr>
          </w:p>
        </w:tc>
        <w:tc>
          <w:tcPr>
            <w:tcW w:w="2409" w:type="dxa"/>
            <w:noWrap w:val="0"/>
            <w:vAlign w:val="top"/>
          </w:tcPr>
          <w:p w14:paraId="25A8F97A">
            <w:pPr>
              <w:pStyle w:val="45"/>
              <w:spacing w:line="500" w:lineRule="exact"/>
              <w:ind w:left="480" w:firstLine="480"/>
              <w:jc w:val="center"/>
              <w:rPr>
                <w:rFonts w:ascii="宋体" w:hAnsi="宋体"/>
                <w:color w:val="auto"/>
                <w:highlight w:val="none"/>
              </w:rPr>
            </w:pPr>
          </w:p>
        </w:tc>
        <w:tc>
          <w:tcPr>
            <w:tcW w:w="1588" w:type="dxa"/>
            <w:noWrap w:val="0"/>
            <w:vAlign w:val="top"/>
          </w:tcPr>
          <w:p w14:paraId="16711C30">
            <w:pPr>
              <w:pStyle w:val="45"/>
              <w:spacing w:line="500" w:lineRule="exact"/>
              <w:ind w:left="480" w:firstLine="480"/>
              <w:jc w:val="center"/>
              <w:rPr>
                <w:rFonts w:ascii="宋体" w:hAnsi="宋体"/>
                <w:color w:val="auto"/>
                <w:highlight w:val="none"/>
              </w:rPr>
            </w:pPr>
          </w:p>
        </w:tc>
        <w:tc>
          <w:tcPr>
            <w:tcW w:w="1815" w:type="dxa"/>
            <w:noWrap w:val="0"/>
            <w:vAlign w:val="top"/>
          </w:tcPr>
          <w:p w14:paraId="39285B1B">
            <w:pPr>
              <w:pStyle w:val="45"/>
              <w:spacing w:line="500" w:lineRule="exact"/>
              <w:ind w:left="480" w:firstLine="480"/>
              <w:jc w:val="center"/>
              <w:rPr>
                <w:rFonts w:ascii="宋体" w:hAnsi="宋体"/>
                <w:color w:val="auto"/>
                <w:highlight w:val="none"/>
              </w:rPr>
            </w:pPr>
          </w:p>
        </w:tc>
      </w:tr>
      <w:tr w14:paraId="3638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07BDF2C">
            <w:pPr>
              <w:pStyle w:val="45"/>
              <w:spacing w:line="500" w:lineRule="exact"/>
              <w:ind w:left="480" w:firstLine="480"/>
              <w:jc w:val="center"/>
              <w:rPr>
                <w:rFonts w:ascii="宋体" w:hAnsi="宋体"/>
                <w:color w:val="auto"/>
                <w:highlight w:val="none"/>
              </w:rPr>
            </w:pPr>
          </w:p>
        </w:tc>
        <w:tc>
          <w:tcPr>
            <w:tcW w:w="2552" w:type="dxa"/>
            <w:noWrap w:val="0"/>
            <w:vAlign w:val="top"/>
          </w:tcPr>
          <w:p w14:paraId="27682B91">
            <w:pPr>
              <w:pStyle w:val="45"/>
              <w:spacing w:line="500" w:lineRule="exact"/>
              <w:ind w:left="480" w:firstLine="480"/>
              <w:jc w:val="center"/>
              <w:rPr>
                <w:rFonts w:ascii="宋体" w:hAnsi="宋体"/>
                <w:color w:val="auto"/>
                <w:highlight w:val="none"/>
              </w:rPr>
            </w:pPr>
          </w:p>
        </w:tc>
        <w:tc>
          <w:tcPr>
            <w:tcW w:w="2409" w:type="dxa"/>
            <w:noWrap w:val="0"/>
            <w:vAlign w:val="top"/>
          </w:tcPr>
          <w:p w14:paraId="1D87927B">
            <w:pPr>
              <w:pStyle w:val="45"/>
              <w:spacing w:line="500" w:lineRule="exact"/>
              <w:ind w:left="480" w:firstLine="480"/>
              <w:jc w:val="center"/>
              <w:rPr>
                <w:rFonts w:ascii="宋体" w:hAnsi="宋体"/>
                <w:color w:val="auto"/>
                <w:highlight w:val="none"/>
              </w:rPr>
            </w:pPr>
          </w:p>
        </w:tc>
        <w:tc>
          <w:tcPr>
            <w:tcW w:w="1588" w:type="dxa"/>
            <w:noWrap w:val="0"/>
            <w:vAlign w:val="top"/>
          </w:tcPr>
          <w:p w14:paraId="46F5B621">
            <w:pPr>
              <w:pStyle w:val="45"/>
              <w:spacing w:line="500" w:lineRule="exact"/>
              <w:ind w:left="480" w:firstLine="480"/>
              <w:jc w:val="center"/>
              <w:rPr>
                <w:rFonts w:ascii="宋体" w:hAnsi="宋体"/>
                <w:color w:val="auto"/>
                <w:highlight w:val="none"/>
              </w:rPr>
            </w:pPr>
          </w:p>
        </w:tc>
        <w:tc>
          <w:tcPr>
            <w:tcW w:w="1815" w:type="dxa"/>
            <w:noWrap w:val="0"/>
            <w:vAlign w:val="top"/>
          </w:tcPr>
          <w:p w14:paraId="58D22440">
            <w:pPr>
              <w:pStyle w:val="45"/>
              <w:spacing w:line="500" w:lineRule="exact"/>
              <w:ind w:left="480" w:firstLine="480"/>
              <w:jc w:val="center"/>
              <w:rPr>
                <w:rFonts w:ascii="宋体" w:hAnsi="宋体"/>
                <w:color w:val="auto"/>
                <w:highlight w:val="none"/>
              </w:rPr>
            </w:pPr>
          </w:p>
        </w:tc>
      </w:tr>
      <w:tr w14:paraId="26DE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8943C6">
            <w:pPr>
              <w:pStyle w:val="45"/>
              <w:spacing w:line="500" w:lineRule="exact"/>
              <w:ind w:left="480" w:firstLine="480"/>
              <w:jc w:val="center"/>
              <w:rPr>
                <w:rFonts w:ascii="宋体" w:hAnsi="宋体"/>
                <w:color w:val="auto"/>
                <w:highlight w:val="none"/>
              </w:rPr>
            </w:pPr>
          </w:p>
        </w:tc>
        <w:tc>
          <w:tcPr>
            <w:tcW w:w="2552" w:type="dxa"/>
            <w:noWrap w:val="0"/>
            <w:vAlign w:val="top"/>
          </w:tcPr>
          <w:p w14:paraId="43700C09">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359510D3">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9779B66">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7BC5DA2F">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0F024B8">
      <w:pPr>
        <w:pStyle w:val="45"/>
        <w:spacing w:line="500" w:lineRule="exact"/>
        <w:ind w:left="480" w:firstLine="48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采购文件</w:t>
      </w:r>
      <w:r>
        <w:rPr>
          <w:rFonts w:hint="eastAsia" w:ascii="宋体" w:hAnsi="宋体"/>
          <w:color w:val="auto"/>
          <w:highlight w:val="none"/>
        </w:rPr>
        <w:t>的要求存在偏离，需逐项在偏离一栏中详细说明。若无偏离，请在上述表内注明“无偏离”或“/”</w:t>
      </w:r>
      <w:r>
        <w:rPr>
          <w:rFonts w:hint="eastAsia" w:ascii="宋体" w:hAnsi="宋体"/>
          <w:color w:val="auto"/>
          <w:highlight w:val="none"/>
          <w:lang w:eastAsia="zh-CN"/>
        </w:rPr>
        <w:t>，不填写视为不响应。</w:t>
      </w:r>
    </w:p>
    <w:p w14:paraId="29B5885F">
      <w:pPr>
        <w:pStyle w:val="45"/>
        <w:spacing w:line="500" w:lineRule="exact"/>
        <w:ind w:left="480" w:firstLine="480"/>
        <w:rPr>
          <w:rFonts w:ascii="宋体" w:hAnsi="宋体"/>
          <w:color w:val="auto"/>
          <w:highlight w:val="none"/>
        </w:rPr>
      </w:pPr>
    </w:p>
    <w:p w14:paraId="799BEE0D">
      <w:pPr>
        <w:spacing w:line="440" w:lineRule="exact"/>
        <w:rPr>
          <w:rFonts w:hint="eastAsia" w:ascii="宋体" w:hAnsi="宋体" w:cs="宋体"/>
          <w:bCs/>
          <w:color w:val="auto"/>
          <w:sz w:val="24"/>
          <w:szCs w:val="24"/>
          <w:highlight w:val="none"/>
          <w:shd w:val="clear" w:color="auto" w:fill="auto"/>
        </w:rPr>
      </w:pPr>
    </w:p>
    <w:p w14:paraId="3E9ACEE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00B0C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34820F6">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8108CB0">
      <w:pPr>
        <w:spacing w:line="440" w:lineRule="exact"/>
        <w:rPr>
          <w:rFonts w:hint="eastAsia" w:ascii="宋体" w:hAnsi="宋体" w:cs="宋体"/>
          <w:b/>
          <w:bCs/>
          <w:color w:val="auto"/>
          <w:sz w:val="24"/>
          <w:szCs w:val="24"/>
          <w:highlight w:val="none"/>
          <w:shd w:val="clear" w:color="auto" w:fill="auto"/>
        </w:rPr>
      </w:pPr>
    </w:p>
    <w:p w14:paraId="02C07BED">
      <w:pPr>
        <w:pStyle w:val="45"/>
        <w:numPr>
          <w:ilvl w:val="0"/>
          <w:numId w:val="0"/>
        </w:numPr>
        <w:spacing w:line="500" w:lineRule="exact"/>
        <w:rPr>
          <w:rFonts w:hint="eastAsia" w:ascii="宋体" w:hAnsi="宋体" w:cs="宋体"/>
          <w:b/>
          <w:color w:val="auto"/>
          <w:sz w:val="30"/>
          <w:szCs w:val="30"/>
          <w:highlight w:val="none"/>
          <w:shd w:val="clear" w:color="auto" w:fill="auto"/>
          <w:lang w:val="en-US" w:eastAsia="zh-CN"/>
        </w:rPr>
      </w:pPr>
      <w:bookmarkStart w:id="129" w:name="_Toc30141_WPSOffice_Level1"/>
      <w:bookmarkStart w:id="130" w:name="_Toc16320"/>
      <w:bookmarkStart w:id="131" w:name="_Toc5907_WPSOffice_Level1"/>
    </w:p>
    <w:p w14:paraId="4013AABD">
      <w:pPr>
        <w:pStyle w:val="45"/>
        <w:numPr>
          <w:ilvl w:val="0"/>
          <w:numId w:val="0"/>
        </w:numPr>
        <w:spacing w:line="500" w:lineRule="exact"/>
        <w:rPr>
          <w:rFonts w:hint="eastAsia" w:ascii="宋体" w:hAnsi="宋体" w:cs="宋体"/>
          <w:b/>
          <w:color w:val="auto"/>
          <w:sz w:val="30"/>
          <w:szCs w:val="30"/>
          <w:highlight w:val="none"/>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p>
    <w:p w14:paraId="028ED03A">
      <w:pPr>
        <w:pStyle w:val="45"/>
        <w:numPr>
          <w:ilvl w:val="0"/>
          <w:numId w:val="0"/>
        </w:numPr>
        <w:spacing w:line="500" w:lineRule="exact"/>
        <w:jc w:val="cente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t>8、技术条款偏离表</w:t>
      </w:r>
    </w:p>
    <w:p w14:paraId="69A0DA8F">
      <w:pPr>
        <w:pStyle w:val="45"/>
        <w:numPr>
          <w:ilvl w:val="0"/>
          <w:numId w:val="0"/>
        </w:numPr>
        <w:spacing w:line="500" w:lineRule="exact"/>
        <w:jc w:val="center"/>
        <w:rPr>
          <w:rFonts w:hint="default" w:ascii="宋体" w:hAnsi="宋体" w:eastAsia="宋体"/>
          <w:color w:val="auto"/>
          <w:highlight w:val="none"/>
          <w:u w:val="none"/>
          <w:lang w:val="en-US" w:eastAsia="zh-CN"/>
        </w:rPr>
      </w:pPr>
      <w:r>
        <w:rPr>
          <w:rFonts w:hint="eastAsia" w:ascii="宋体" w:hAnsi="宋体"/>
          <w:b/>
          <w:bCs/>
          <w:color w:val="auto"/>
          <w:highlight w:val="none"/>
          <w:lang w:eastAsia="zh-CN"/>
        </w:rPr>
        <w:t>供应商</w:t>
      </w:r>
      <w:r>
        <w:rPr>
          <w:rFonts w:hint="eastAsia" w:ascii="宋体" w:hAnsi="宋体"/>
          <w:b/>
          <w:bCs/>
          <w:color w:val="auto"/>
          <w:highlight w:val="none"/>
        </w:rPr>
        <w:t>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p w14:paraId="2E43D394">
      <w:pPr>
        <w:pStyle w:val="45"/>
        <w:spacing w:line="500" w:lineRule="exact"/>
        <w:ind w:left="480"/>
        <w:rPr>
          <w:rFonts w:hint="eastAsia" w:ascii="宋体" w:hAnsi="宋体" w:eastAsia="宋体"/>
          <w:color w:val="auto"/>
          <w:highlight w:val="none"/>
          <w:u w:val="single"/>
          <w:lang w:eastAsia="zh-CN"/>
        </w:rPr>
      </w:pPr>
    </w:p>
    <w:tbl>
      <w:tblPr>
        <w:tblStyle w:val="28"/>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2AEF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0C9B2856">
            <w:pPr>
              <w:pStyle w:val="45"/>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21BC1576">
            <w:pPr>
              <w:pStyle w:val="45"/>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2409" w:type="dxa"/>
            <w:noWrap w:val="0"/>
            <w:vAlign w:val="center"/>
          </w:tcPr>
          <w:p w14:paraId="776B2BDC">
            <w:pPr>
              <w:pStyle w:val="45"/>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588" w:type="dxa"/>
            <w:noWrap w:val="0"/>
            <w:vAlign w:val="center"/>
          </w:tcPr>
          <w:p w14:paraId="5D1E7790">
            <w:pPr>
              <w:pStyle w:val="45"/>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719BADA6">
            <w:pPr>
              <w:pStyle w:val="45"/>
              <w:spacing w:line="500" w:lineRule="exact"/>
              <w:jc w:val="center"/>
              <w:rPr>
                <w:rFonts w:ascii="宋体" w:hAnsi="宋体"/>
                <w:color w:val="auto"/>
                <w:highlight w:val="none"/>
              </w:rPr>
            </w:pPr>
            <w:r>
              <w:rPr>
                <w:rFonts w:hint="eastAsia" w:ascii="宋体" w:hAnsi="宋体"/>
                <w:color w:val="auto"/>
                <w:highlight w:val="none"/>
              </w:rPr>
              <w:t>备注</w:t>
            </w:r>
          </w:p>
        </w:tc>
      </w:tr>
      <w:tr w14:paraId="0E8C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7EFE6A8">
            <w:pPr>
              <w:pStyle w:val="45"/>
              <w:spacing w:line="500" w:lineRule="exact"/>
              <w:ind w:left="480" w:firstLine="480"/>
              <w:jc w:val="center"/>
              <w:rPr>
                <w:rFonts w:ascii="宋体" w:hAnsi="宋体"/>
                <w:color w:val="auto"/>
                <w:highlight w:val="none"/>
              </w:rPr>
            </w:pPr>
          </w:p>
        </w:tc>
        <w:tc>
          <w:tcPr>
            <w:tcW w:w="2552" w:type="dxa"/>
            <w:noWrap w:val="0"/>
            <w:vAlign w:val="top"/>
          </w:tcPr>
          <w:p w14:paraId="21F5671A">
            <w:pPr>
              <w:pStyle w:val="45"/>
              <w:spacing w:line="500" w:lineRule="exact"/>
              <w:jc w:val="both"/>
              <w:rPr>
                <w:rFonts w:hint="default" w:ascii="宋体" w:hAnsi="宋体" w:eastAsia="宋体"/>
                <w:color w:val="auto"/>
                <w:highlight w:val="none"/>
                <w:lang w:val="en-US" w:eastAsia="zh-CN"/>
              </w:rPr>
            </w:pPr>
          </w:p>
        </w:tc>
        <w:tc>
          <w:tcPr>
            <w:tcW w:w="2409" w:type="dxa"/>
            <w:noWrap w:val="0"/>
            <w:vAlign w:val="top"/>
          </w:tcPr>
          <w:p w14:paraId="72E4AD53">
            <w:pPr>
              <w:pStyle w:val="45"/>
              <w:spacing w:line="500" w:lineRule="exact"/>
              <w:ind w:left="480" w:firstLine="480"/>
              <w:jc w:val="center"/>
              <w:rPr>
                <w:rFonts w:ascii="宋体" w:hAnsi="宋体"/>
                <w:color w:val="auto"/>
                <w:highlight w:val="none"/>
              </w:rPr>
            </w:pPr>
          </w:p>
        </w:tc>
        <w:tc>
          <w:tcPr>
            <w:tcW w:w="1588" w:type="dxa"/>
            <w:noWrap w:val="0"/>
            <w:vAlign w:val="top"/>
          </w:tcPr>
          <w:p w14:paraId="6753EC59">
            <w:pPr>
              <w:pStyle w:val="45"/>
              <w:spacing w:line="500" w:lineRule="exact"/>
              <w:ind w:left="480" w:firstLine="480"/>
              <w:jc w:val="center"/>
              <w:rPr>
                <w:rFonts w:ascii="宋体" w:hAnsi="宋体"/>
                <w:color w:val="auto"/>
                <w:highlight w:val="none"/>
              </w:rPr>
            </w:pPr>
          </w:p>
        </w:tc>
        <w:tc>
          <w:tcPr>
            <w:tcW w:w="1815" w:type="dxa"/>
            <w:noWrap w:val="0"/>
            <w:vAlign w:val="top"/>
          </w:tcPr>
          <w:p w14:paraId="2BC00C97">
            <w:pPr>
              <w:pStyle w:val="45"/>
              <w:spacing w:line="500" w:lineRule="exact"/>
              <w:ind w:left="480" w:firstLine="480"/>
              <w:jc w:val="center"/>
              <w:rPr>
                <w:rFonts w:ascii="宋体" w:hAnsi="宋体"/>
                <w:color w:val="auto"/>
                <w:highlight w:val="none"/>
              </w:rPr>
            </w:pPr>
          </w:p>
        </w:tc>
      </w:tr>
      <w:tr w14:paraId="4E52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506CA805">
            <w:pPr>
              <w:pStyle w:val="45"/>
              <w:spacing w:line="500" w:lineRule="exact"/>
              <w:ind w:left="480" w:leftChars="0" w:firstLine="480" w:firstLineChars="0"/>
              <w:jc w:val="center"/>
              <w:rPr>
                <w:rFonts w:ascii="宋体" w:hAnsi="宋体"/>
                <w:color w:val="auto"/>
                <w:highlight w:val="none"/>
              </w:rPr>
            </w:pPr>
          </w:p>
        </w:tc>
        <w:tc>
          <w:tcPr>
            <w:tcW w:w="2552" w:type="dxa"/>
            <w:noWrap w:val="0"/>
            <w:vAlign w:val="top"/>
          </w:tcPr>
          <w:p w14:paraId="4D97A671">
            <w:pPr>
              <w:pStyle w:val="45"/>
              <w:spacing w:line="500" w:lineRule="exact"/>
              <w:jc w:val="both"/>
              <w:rPr>
                <w:rFonts w:hint="default" w:ascii="宋体" w:hAnsi="宋体" w:eastAsia="宋体"/>
                <w:color w:val="auto"/>
                <w:highlight w:val="none"/>
                <w:lang w:val="en-US" w:eastAsia="zh-CN"/>
              </w:rPr>
            </w:pPr>
          </w:p>
        </w:tc>
        <w:tc>
          <w:tcPr>
            <w:tcW w:w="2409" w:type="dxa"/>
            <w:noWrap w:val="0"/>
            <w:vAlign w:val="top"/>
          </w:tcPr>
          <w:p w14:paraId="3894A221">
            <w:pPr>
              <w:pStyle w:val="45"/>
              <w:spacing w:line="500" w:lineRule="exact"/>
              <w:ind w:left="480" w:firstLine="480"/>
              <w:jc w:val="center"/>
              <w:rPr>
                <w:rFonts w:ascii="宋体" w:hAnsi="宋体"/>
                <w:color w:val="auto"/>
                <w:highlight w:val="none"/>
              </w:rPr>
            </w:pPr>
          </w:p>
        </w:tc>
        <w:tc>
          <w:tcPr>
            <w:tcW w:w="1588" w:type="dxa"/>
            <w:noWrap w:val="0"/>
            <w:vAlign w:val="top"/>
          </w:tcPr>
          <w:p w14:paraId="14513EC4">
            <w:pPr>
              <w:pStyle w:val="45"/>
              <w:spacing w:line="500" w:lineRule="exact"/>
              <w:ind w:left="480" w:firstLine="480"/>
              <w:jc w:val="center"/>
              <w:rPr>
                <w:rFonts w:ascii="宋体" w:hAnsi="宋体"/>
                <w:color w:val="auto"/>
                <w:highlight w:val="none"/>
              </w:rPr>
            </w:pPr>
          </w:p>
        </w:tc>
        <w:tc>
          <w:tcPr>
            <w:tcW w:w="1815" w:type="dxa"/>
            <w:noWrap w:val="0"/>
            <w:vAlign w:val="top"/>
          </w:tcPr>
          <w:p w14:paraId="3A4889B3">
            <w:pPr>
              <w:pStyle w:val="45"/>
              <w:spacing w:line="500" w:lineRule="exact"/>
              <w:ind w:left="480" w:firstLine="480"/>
              <w:jc w:val="center"/>
              <w:rPr>
                <w:rFonts w:ascii="宋体" w:hAnsi="宋体"/>
                <w:color w:val="auto"/>
                <w:highlight w:val="none"/>
              </w:rPr>
            </w:pPr>
          </w:p>
        </w:tc>
      </w:tr>
      <w:tr w14:paraId="570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BB47BE1">
            <w:pPr>
              <w:pStyle w:val="45"/>
              <w:spacing w:line="500" w:lineRule="exact"/>
              <w:ind w:left="480" w:firstLine="480"/>
              <w:jc w:val="center"/>
              <w:rPr>
                <w:rFonts w:ascii="宋体" w:hAnsi="宋体"/>
                <w:color w:val="auto"/>
                <w:highlight w:val="none"/>
              </w:rPr>
            </w:pPr>
          </w:p>
        </w:tc>
        <w:tc>
          <w:tcPr>
            <w:tcW w:w="2552" w:type="dxa"/>
            <w:noWrap w:val="0"/>
            <w:vAlign w:val="top"/>
          </w:tcPr>
          <w:p w14:paraId="7EC7EF1A">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11DBB741">
            <w:pPr>
              <w:pStyle w:val="45"/>
              <w:spacing w:line="500" w:lineRule="exact"/>
              <w:ind w:left="480" w:firstLine="480"/>
              <w:jc w:val="center"/>
              <w:rPr>
                <w:rFonts w:ascii="宋体" w:hAnsi="宋体"/>
                <w:color w:val="auto"/>
                <w:highlight w:val="none"/>
              </w:rPr>
            </w:pPr>
          </w:p>
        </w:tc>
        <w:tc>
          <w:tcPr>
            <w:tcW w:w="1588" w:type="dxa"/>
            <w:noWrap w:val="0"/>
            <w:vAlign w:val="top"/>
          </w:tcPr>
          <w:p w14:paraId="7B8A4A0D">
            <w:pPr>
              <w:pStyle w:val="45"/>
              <w:spacing w:line="500" w:lineRule="exact"/>
              <w:ind w:left="480" w:firstLine="480"/>
              <w:jc w:val="center"/>
              <w:rPr>
                <w:rFonts w:ascii="宋体" w:hAnsi="宋体"/>
                <w:color w:val="auto"/>
                <w:highlight w:val="none"/>
              </w:rPr>
            </w:pPr>
          </w:p>
        </w:tc>
        <w:tc>
          <w:tcPr>
            <w:tcW w:w="1815" w:type="dxa"/>
            <w:noWrap w:val="0"/>
            <w:vAlign w:val="top"/>
          </w:tcPr>
          <w:p w14:paraId="6A2F8EE0">
            <w:pPr>
              <w:pStyle w:val="45"/>
              <w:spacing w:line="500" w:lineRule="exact"/>
              <w:ind w:left="480" w:firstLine="480"/>
              <w:jc w:val="center"/>
              <w:rPr>
                <w:rFonts w:ascii="宋体" w:hAnsi="宋体"/>
                <w:color w:val="auto"/>
                <w:highlight w:val="none"/>
              </w:rPr>
            </w:pPr>
          </w:p>
        </w:tc>
      </w:tr>
      <w:tr w14:paraId="559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458A0F0">
            <w:pPr>
              <w:pStyle w:val="45"/>
              <w:spacing w:line="500" w:lineRule="exact"/>
              <w:ind w:left="480" w:firstLine="480"/>
              <w:jc w:val="center"/>
              <w:rPr>
                <w:rFonts w:ascii="宋体" w:hAnsi="宋体"/>
                <w:color w:val="auto"/>
                <w:highlight w:val="none"/>
              </w:rPr>
            </w:pPr>
          </w:p>
        </w:tc>
        <w:tc>
          <w:tcPr>
            <w:tcW w:w="2552" w:type="dxa"/>
            <w:noWrap w:val="0"/>
            <w:vAlign w:val="top"/>
          </w:tcPr>
          <w:p w14:paraId="4ABF326F">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1F2267E9">
            <w:pPr>
              <w:pStyle w:val="45"/>
              <w:spacing w:line="500" w:lineRule="exact"/>
              <w:ind w:left="480" w:firstLine="480"/>
              <w:jc w:val="center"/>
              <w:rPr>
                <w:rFonts w:ascii="宋体" w:hAnsi="宋体"/>
                <w:color w:val="auto"/>
                <w:highlight w:val="none"/>
              </w:rPr>
            </w:pPr>
          </w:p>
        </w:tc>
        <w:tc>
          <w:tcPr>
            <w:tcW w:w="1588" w:type="dxa"/>
            <w:noWrap w:val="0"/>
            <w:vAlign w:val="top"/>
          </w:tcPr>
          <w:p w14:paraId="75FEDDBF">
            <w:pPr>
              <w:pStyle w:val="45"/>
              <w:spacing w:line="500" w:lineRule="exact"/>
              <w:ind w:left="480" w:firstLine="480"/>
              <w:jc w:val="center"/>
              <w:rPr>
                <w:rFonts w:ascii="宋体" w:hAnsi="宋体"/>
                <w:color w:val="auto"/>
                <w:highlight w:val="none"/>
              </w:rPr>
            </w:pPr>
          </w:p>
        </w:tc>
        <w:tc>
          <w:tcPr>
            <w:tcW w:w="1815" w:type="dxa"/>
            <w:noWrap w:val="0"/>
            <w:vAlign w:val="top"/>
          </w:tcPr>
          <w:p w14:paraId="3A502660">
            <w:pPr>
              <w:pStyle w:val="45"/>
              <w:spacing w:line="500" w:lineRule="exact"/>
              <w:ind w:left="480" w:firstLine="480"/>
              <w:jc w:val="center"/>
              <w:rPr>
                <w:rFonts w:ascii="宋体" w:hAnsi="宋体"/>
                <w:color w:val="auto"/>
                <w:highlight w:val="none"/>
              </w:rPr>
            </w:pPr>
          </w:p>
        </w:tc>
      </w:tr>
      <w:tr w14:paraId="661C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47EB459">
            <w:pPr>
              <w:pStyle w:val="45"/>
              <w:spacing w:line="500" w:lineRule="exact"/>
              <w:ind w:left="480" w:firstLine="480"/>
              <w:jc w:val="center"/>
              <w:rPr>
                <w:rFonts w:ascii="宋体" w:hAnsi="宋体"/>
                <w:color w:val="auto"/>
                <w:highlight w:val="none"/>
              </w:rPr>
            </w:pPr>
          </w:p>
        </w:tc>
        <w:tc>
          <w:tcPr>
            <w:tcW w:w="2552" w:type="dxa"/>
            <w:noWrap w:val="0"/>
            <w:vAlign w:val="top"/>
          </w:tcPr>
          <w:p w14:paraId="261E1060">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2E5C04E3">
            <w:pPr>
              <w:pStyle w:val="45"/>
              <w:spacing w:line="500" w:lineRule="exact"/>
              <w:ind w:left="480" w:firstLine="480"/>
              <w:jc w:val="center"/>
              <w:rPr>
                <w:rFonts w:ascii="宋体" w:hAnsi="宋体"/>
                <w:color w:val="auto"/>
                <w:highlight w:val="none"/>
              </w:rPr>
            </w:pPr>
          </w:p>
        </w:tc>
        <w:tc>
          <w:tcPr>
            <w:tcW w:w="1588" w:type="dxa"/>
            <w:noWrap w:val="0"/>
            <w:vAlign w:val="top"/>
          </w:tcPr>
          <w:p w14:paraId="6EE79DCF">
            <w:pPr>
              <w:pStyle w:val="45"/>
              <w:spacing w:line="500" w:lineRule="exact"/>
              <w:ind w:left="480" w:firstLine="480"/>
              <w:jc w:val="center"/>
              <w:rPr>
                <w:rFonts w:ascii="宋体" w:hAnsi="宋体"/>
                <w:color w:val="auto"/>
                <w:highlight w:val="none"/>
              </w:rPr>
            </w:pPr>
          </w:p>
        </w:tc>
        <w:tc>
          <w:tcPr>
            <w:tcW w:w="1815" w:type="dxa"/>
            <w:noWrap w:val="0"/>
            <w:vAlign w:val="top"/>
          </w:tcPr>
          <w:p w14:paraId="03020EC6">
            <w:pPr>
              <w:pStyle w:val="45"/>
              <w:spacing w:line="500" w:lineRule="exact"/>
              <w:ind w:left="480" w:firstLine="480"/>
              <w:jc w:val="center"/>
              <w:rPr>
                <w:rFonts w:ascii="宋体" w:hAnsi="宋体"/>
                <w:color w:val="auto"/>
                <w:highlight w:val="none"/>
              </w:rPr>
            </w:pPr>
          </w:p>
        </w:tc>
      </w:tr>
      <w:tr w14:paraId="1E2F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1E3CFA7">
            <w:pPr>
              <w:pStyle w:val="45"/>
              <w:spacing w:line="500" w:lineRule="exact"/>
              <w:ind w:left="480" w:firstLine="480"/>
              <w:jc w:val="center"/>
              <w:rPr>
                <w:rFonts w:ascii="宋体" w:hAnsi="宋体"/>
                <w:color w:val="auto"/>
                <w:highlight w:val="none"/>
              </w:rPr>
            </w:pPr>
          </w:p>
        </w:tc>
        <w:tc>
          <w:tcPr>
            <w:tcW w:w="2552" w:type="dxa"/>
            <w:noWrap w:val="0"/>
            <w:vAlign w:val="top"/>
          </w:tcPr>
          <w:p w14:paraId="27480090">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3E6067DE">
            <w:pPr>
              <w:pStyle w:val="45"/>
              <w:spacing w:line="500" w:lineRule="exact"/>
              <w:ind w:left="480" w:firstLine="480"/>
              <w:jc w:val="center"/>
              <w:rPr>
                <w:rFonts w:ascii="宋体" w:hAnsi="宋体"/>
                <w:color w:val="auto"/>
                <w:highlight w:val="none"/>
              </w:rPr>
            </w:pPr>
          </w:p>
        </w:tc>
        <w:tc>
          <w:tcPr>
            <w:tcW w:w="1588" w:type="dxa"/>
            <w:noWrap w:val="0"/>
            <w:vAlign w:val="top"/>
          </w:tcPr>
          <w:p w14:paraId="132D403A">
            <w:pPr>
              <w:pStyle w:val="45"/>
              <w:spacing w:line="500" w:lineRule="exact"/>
              <w:ind w:left="480" w:firstLine="480"/>
              <w:jc w:val="center"/>
              <w:rPr>
                <w:rFonts w:ascii="宋体" w:hAnsi="宋体"/>
                <w:color w:val="auto"/>
                <w:highlight w:val="none"/>
              </w:rPr>
            </w:pPr>
          </w:p>
        </w:tc>
        <w:tc>
          <w:tcPr>
            <w:tcW w:w="1815" w:type="dxa"/>
            <w:noWrap w:val="0"/>
            <w:vAlign w:val="top"/>
          </w:tcPr>
          <w:p w14:paraId="0420D303">
            <w:pPr>
              <w:pStyle w:val="45"/>
              <w:spacing w:line="500" w:lineRule="exact"/>
              <w:ind w:left="480" w:firstLine="480"/>
              <w:jc w:val="center"/>
              <w:rPr>
                <w:rFonts w:ascii="宋体" w:hAnsi="宋体"/>
                <w:color w:val="auto"/>
                <w:highlight w:val="none"/>
              </w:rPr>
            </w:pPr>
          </w:p>
        </w:tc>
      </w:tr>
      <w:tr w14:paraId="2DA0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B0723B8">
            <w:pPr>
              <w:pStyle w:val="45"/>
              <w:spacing w:line="500" w:lineRule="exact"/>
              <w:ind w:left="480" w:firstLine="480"/>
              <w:jc w:val="center"/>
              <w:rPr>
                <w:rFonts w:ascii="宋体" w:hAnsi="宋体"/>
                <w:color w:val="auto"/>
                <w:highlight w:val="none"/>
              </w:rPr>
            </w:pPr>
          </w:p>
        </w:tc>
        <w:tc>
          <w:tcPr>
            <w:tcW w:w="2552" w:type="dxa"/>
            <w:noWrap w:val="0"/>
            <w:vAlign w:val="top"/>
          </w:tcPr>
          <w:p w14:paraId="0FB8CF4D">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4FA77D0E">
            <w:pPr>
              <w:pStyle w:val="45"/>
              <w:spacing w:line="500" w:lineRule="exact"/>
              <w:ind w:left="480" w:firstLine="480"/>
              <w:jc w:val="center"/>
              <w:rPr>
                <w:rFonts w:ascii="宋体" w:hAnsi="宋体"/>
                <w:color w:val="auto"/>
                <w:highlight w:val="none"/>
              </w:rPr>
            </w:pPr>
          </w:p>
        </w:tc>
        <w:tc>
          <w:tcPr>
            <w:tcW w:w="1588" w:type="dxa"/>
            <w:noWrap w:val="0"/>
            <w:vAlign w:val="top"/>
          </w:tcPr>
          <w:p w14:paraId="247F5C71">
            <w:pPr>
              <w:pStyle w:val="45"/>
              <w:spacing w:line="500" w:lineRule="exact"/>
              <w:ind w:left="480" w:firstLine="480"/>
              <w:jc w:val="center"/>
              <w:rPr>
                <w:rFonts w:ascii="宋体" w:hAnsi="宋体"/>
                <w:color w:val="auto"/>
                <w:highlight w:val="none"/>
              </w:rPr>
            </w:pPr>
          </w:p>
        </w:tc>
        <w:tc>
          <w:tcPr>
            <w:tcW w:w="1815" w:type="dxa"/>
            <w:noWrap w:val="0"/>
            <w:vAlign w:val="top"/>
          </w:tcPr>
          <w:p w14:paraId="31B13AF1">
            <w:pPr>
              <w:pStyle w:val="45"/>
              <w:spacing w:line="500" w:lineRule="exact"/>
              <w:ind w:left="480" w:firstLine="480"/>
              <w:jc w:val="center"/>
              <w:rPr>
                <w:rFonts w:ascii="宋体" w:hAnsi="宋体"/>
                <w:color w:val="auto"/>
                <w:highlight w:val="none"/>
              </w:rPr>
            </w:pPr>
          </w:p>
        </w:tc>
      </w:tr>
      <w:tr w14:paraId="09B4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AE43ECF">
            <w:pPr>
              <w:pStyle w:val="45"/>
              <w:spacing w:line="500" w:lineRule="exact"/>
              <w:ind w:left="480" w:firstLine="480"/>
              <w:jc w:val="center"/>
              <w:rPr>
                <w:rFonts w:ascii="宋体" w:hAnsi="宋体"/>
                <w:color w:val="auto"/>
                <w:highlight w:val="none"/>
              </w:rPr>
            </w:pPr>
          </w:p>
        </w:tc>
        <w:tc>
          <w:tcPr>
            <w:tcW w:w="2552" w:type="dxa"/>
            <w:noWrap w:val="0"/>
            <w:vAlign w:val="top"/>
          </w:tcPr>
          <w:p w14:paraId="7361785F">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70CA007A">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8BCB7D8">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456B1895">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2B8FC43">
      <w:pPr>
        <w:pStyle w:val="45"/>
        <w:spacing w:line="240" w:lineRule="auto"/>
        <w:rPr>
          <w:rFonts w:hint="eastAsia" w:ascii="宋体" w:hAnsi="宋体" w:cs="宋体"/>
          <w:b/>
          <w:bCs/>
          <w:color w:val="auto"/>
          <w:sz w:val="24"/>
          <w:szCs w:val="24"/>
          <w:highlight w:val="none"/>
          <w:shd w:val="clear" w:color="auto" w:fill="auto"/>
          <w:lang w:val="en-US" w:eastAsia="zh-CN"/>
        </w:rPr>
      </w:pPr>
      <w:r>
        <w:rPr>
          <w:rFonts w:hint="eastAsia" w:ascii="宋体" w:hAnsi="宋体"/>
          <w:b/>
          <w:bCs/>
          <w:color w:val="auto"/>
          <w:highlight w:val="none"/>
        </w:rPr>
        <w:t>注:</w:t>
      </w:r>
      <w:r>
        <w:rPr>
          <w:rFonts w:hint="eastAsia" w:ascii="宋体" w:hAnsi="宋体"/>
          <w:b/>
          <w:bCs/>
          <w:color w:val="auto"/>
          <w:highlight w:val="none"/>
          <w:lang w:val="en-US" w:eastAsia="zh-CN"/>
        </w:rPr>
        <w:t>供应商须对照“采购需求与技术参数”中的条款逐条在《技术条款偏离表》中列明响应内容及是否偏离等情况，提供相关证明资料，须在“备注”栏说明证明资料在《响应文件》的具体位置或页码。技术参数中要求提供相关证明材料，如厂家公开发布的产品彩页或产品说明书或检测报告等未提供或不符合要求的，视为不响应采购文件技术参数，作负偏离处理。如提供虚假证明文件，按政府采购相关法律、法规处理。</w:t>
      </w:r>
    </w:p>
    <w:p w14:paraId="5CE42B02">
      <w:pPr>
        <w:snapToGrid w:val="0"/>
        <w:spacing w:line="600" w:lineRule="auto"/>
        <w:rPr>
          <w:rFonts w:hint="eastAsia" w:ascii="宋体" w:hAnsi="宋体" w:cs="宋体"/>
          <w:color w:val="auto"/>
          <w:sz w:val="24"/>
          <w:highlight w:val="none"/>
          <w:shd w:val="clear" w:color="auto" w:fill="auto"/>
          <w:lang w:eastAsia="zh-CN"/>
        </w:rPr>
      </w:pPr>
    </w:p>
    <w:p w14:paraId="662D734F">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F976AF1">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01E587BF">
      <w:pPr>
        <w:tabs>
          <w:tab w:val="left" w:pos="0"/>
        </w:tabs>
        <w:spacing w:line="600" w:lineRule="auto"/>
        <w:jc w:val="both"/>
        <w:outlineLvl w:val="0"/>
        <w:rPr>
          <w:rFonts w:hint="default" w:ascii="宋体" w:hAnsi="宋体" w:cs="宋体"/>
          <w:b/>
          <w:color w:val="auto"/>
          <w:sz w:val="30"/>
          <w:szCs w:val="30"/>
          <w:highlight w:val="none"/>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shd w:val="clear" w:color="auto" w:fill="auto"/>
          <w:lang w:eastAsia="zh-CN"/>
        </w:rPr>
        <w:t>日期：</w:t>
      </w:r>
    </w:p>
    <w:p w14:paraId="7F81A6D2">
      <w:pPr>
        <w:tabs>
          <w:tab w:val="left" w:pos="0"/>
        </w:tabs>
        <w:spacing w:line="360" w:lineRule="auto"/>
        <w:jc w:val="center"/>
        <w:outlineLvl w:val="0"/>
        <w:rPr>
          <w:rFonts w:hint="eastAsia"/>
          <w:color w:val="auto"/>
          <w:highlight w:val="none"/>
          <w:shd w:val="clear" w:color="auto" w:fill="auto"/>
        </w:rPr>
      </w:pPr>
      <w:r>
        <w:rPr>
          <w:rFonts w:hint="eastAsia" w:ascii="宋体" w:hAnsi="宋体" w:cs="宋体"/>
          <w:b/>
          <w:color w:val="auto"/>
          <w:sz w:val="30"/>
          <w:szCs w:val="30"/>
          <w:highlight w:val="none"/>
          <w:shd w:val="clear" w:color="auto" w:fill="auto"/>
          <w:lang w:val="en-US" w:eastAsia="zh-CN"/>
        </w:rPr>
        <w:t>9、供应商</w:t>
      </w:r>
      <w:r>
        <w:rPr>
          <w:rFonts w:hint="eastAsia" w:ascii="宋体" w:hAnsi="宋体" w:cs="宋体"/>
          <w:b/>
          <w:color w:val="auto"/>
          <w:sz w:val="30"/>
          <w:szCs w:val="30"/>
          <w:highlight w:val="none"/>
          <w:shd w:val="clear" w:color="auto" w:fill="auto"/>
        </w:rPr>
        <w:t>近三年</w:t>
      </w:r>
      <w:r>
        <w:rPr>
          <w:rFonts w:hint="eastAsia" w:ascii="宋体" w:hAnsi="宋体" w:cs="宋体"/>
          <w:b/>
          <w:color w:val="auto"/>
          <w:sz w:val="30"/>
          <w:szCs w:val="30"/>
          <w:highlight w:val="none"/>
          <w:shd w:val="clear" w:color="auto" w:fill="auto"/>
          <w:lang w:eastAsia="zh-CN"/>
        </w:rPr>
        <w:t>（投标截止日前三年内）</w:t>
      </w:r>
      <w:r>
        <w:rPr>
          <w:rFonts w:hint="eastAsia" w:ascii="宋体" w:hAnsi="宋体" w:cs="宋体"/>
          <w:b/>
          <w:color w:val="auto"/>
          <w:sz w:val="30"/>
          <w:szCs w:val="30"/>
          <w:highlight w:val="none"/>
          <w:shd w:val="clear" w:color="auto" w:fill="auto"/>
        </w:rPr>
        <w:t>业绩案例一览表</w:t>
      </w:r>
      <w:bookmarkEnd w:id="124"/>
      <w:bookmarkEnd w:id="125"/>
      <w:bookmarkEnd w:id="126"/>
      <w:bookmarkEnd w:id="129"/>
      <w:bookmarkEnd w:id="130"/>
      <w:bookmarkEnd w:id="131"/>
    </w:p>
    <w:tbl>
      <w:tblPr>
        <w:tblStyle w:val="28"/>
        <w:tblpPr w:leftFromText="180" w:rightFromText="180" w:vertAnchor="text" w:horzAnchor="margin" w:tblpXSpec="center" w:tblpY="267"/>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280"/>
        <w:gridCol w:w="3384"/>
        <w:gridCol w:w="1633"/>
        <w:gridCol w:w="1635"/>
        <w:gridCol w:w="1250"/>
      </w:tblGrid>
      <w:tr w14:paraId="66C91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FFC2B77">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9179ADD">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日期</w:t>
            </w: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A5E46A6">
            <w:pPr>
              <w:pStyle w:val="45"/>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采购人</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5354A1C">
            <w:pPr>
              <w:pStyle w:val="45"/>
              <w:spacing w:line="360" w:lineRule="auto"/>
              <w:jc w:val="center"/>
              <w:rPr>
                <w:rFonts w:ascii="宋体" w:hAnsi="宋体" w:cs="宋体"/>
                <w:color w:val="auto"/>
                <w:highlight w:val="none"/>
              </w:rPr>
            </w:pPr>
            <w:r>
              <w:rPr>
                <w:rFonts w:hint="eastAsia" w:ascii="宋体" w:hAnsi="宋体" w:cs="宋体"/>
                <w:color w:val="auto"/>
                <w:highlight w:val="none"/>
              </w:rPr>
              <w:t>采购内容</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B040F91">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14938D3">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1AB45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AD93D89">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6C3AB09">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7A4CCD55">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9C9382E">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D936B5F">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1068D61">
            <w:pPr>
              <w:pStyle w:val="45"/>
              <w:spacing w:line="360" w:lineRule="auto"/>
              <w:jc w:val="center"/>
              <w:rPr>
                <w:rFonts w:hint="eastAsia" w:ascii="宋体" w:hAnsi="宋体" w:cs="宋体"/>
                <w:color w:val="auto"/>
                <w:highlight w:val="none"/>
              </w:rPr>
            </w:pPr>
          </w:p>
        </w:tc>
      </w:tr>
      <w:tr w14:paraId="7CCD8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1D6F244">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89D44C0">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0835DDF8">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D0C04CC">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E8FBB2D">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D57F388">
            <w:pPr>
              <w:pStyle w:val="45"/>
              <w:spacing w:line="360" w:lineRule="auto"/>
              <w:jc w:val="center"/>
              <w:rPr>
                <w:rFonts w:hint="eastAsia" w:ascii="宋体" w:hAnsi="宋体" w:cs="宋体"/>
                <w:color w:val="auto"/>
                <w:highlight w:val="none"/>
              </w:rPr>
            </w:pPr>
          </w:p>
        </w:tc>
      </w:tr>
      <w:tr w14:paraId="6D83D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61FABAE">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C333C99">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9C6A8FE">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97B233A">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9EEE2BB">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3604EB8">
            <w:pPr>
              <w:pStyle w:val="45"/>
              <w:spacing w:line="360" w:lineRule="auto"/>
              <w:jc w:val="center"/>
              <w:rPr>
                <w:rFonts w:hint="eastAsia" w:ascii="宋体" w:hAnsi="宋体" w:cs="宋体"/>
                <w:color w:val="auto"/>
                <w:highlight w:val="none"/>
              </w:rPr>
            </w:pPr>
          </w:p>
        </w:tc>
      </w:tr>
      <w:tr w14:paraId="24438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5776EA0">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B465A6B">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F715FFB">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B758331">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1A47BB8">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85E79B0">
            <w:pPr>
              <w:pStyle w:val="45"/>
              <w:spacing w:line="360" w:lineRule="auto"/>
              <w:jc w:val="center"/>
              <w:rPr>
                <w:rFonts w:hint="eastAsia" w:ascii="宋体" w:hAnsi="宋体" w:cs="宋体"/>
                <w:color w:val="auto"/>
                <w:highlight w:val="none"/>
              </w:rPr>
            </w:pPr>
          </w:p>
        </w:tc>
      </w:tr>
      <w:tr w14:paraId="16745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E7533D7">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FD92D42">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2F42F78">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AE8369B">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5EC7FBE">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415EA55">
            <w:pPr>
              <w:pStyle w:val="45"/>
              <w:spacing w:line="360" w:lineRule="auto"/>
              <w:jc w:val="center"/>
              <w:rPr>
                <w:rFonts w:hint="eastAsia" w:ascii="宋体" w:hAnsi="宋体" w:cs="宋体"/>
                <w:color w:val="auto"/>
                <w:highlight w:val="none"/>
              </w:rPr>
            </w:pPr>
          </w:p>
        </w:tc>
      </w:tr>
      <w:tr w14:paraId="35B8B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B99E9B5">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DABBD97">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B7997E3">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24319A0">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AC51B91">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30A4665">
            <w:pPr>
              <w:pStyle w:val="45"/>
              <w:spacing w:line="360" w:lineRule="auto"/>
              <w:jc w:val="center"/>
              <w:rPr>
                <w:rFonts w:hint="eastAsia" w:ascii="宋体" w:hAnsi="宋体" w:cs="宋体"/>
                <w:color w:val="auto"/>
                <w:highlight w:val="none"/>
              </w:rPr>
            </w:pPr>
          </w:p>
        </w:tc>
      </w:tr>
      <w:tr w14:paraId="3465F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72F0B076">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D29D428">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A029951">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B1E48B3">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9756E2E">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1D848D2">
            <w:pPr>
              <w:pStyle w:val="45"/>
              <w:spacing w:line="360" w:lineRule="auto"/>
              <w:jc w:val="center"/>
              <w:rPr>
                <w:rFonts w:hint="eastAsia" w:ascii="宋体" w:hAnsi="宋体" w:cs="宋体"/>
                <w:color w:val="auto"/>
                <w:highlight w:val="none"/>
              </w:rPr>
            </w:pPr>
          </w:p>
        </w:tc>
      </w:tr>
    </w:tbl>
    <w:p w14:paraId="1F58B023">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注：提供合同或中标通知书扫描件（以签订合同日期为准，合同须包含合同首页、金额页、服务内容页、签字盖章页，未提供或内容不全、模糊、无法辨认的不得分。</w:t>
      </w:r>
    </w:p>
    <w:p w14:paraId="3549EA2A">
      <w:pPr>
        <w:spacing w:line="480" w:lineRule="auto"/>
        <w:ind w:firstLine="480" w:firstLineChars="200"/>
        <w:rPr>
          <w:rFonts w:hint="eastAsia" w:ascii="宋体" w:hAnsi="宋体" w:cs="宋体"/>
          <w:color w:val="auto"/>
          <w:sz w:val="24"/>
          <w:highlight w:val="none"/>
          <w:shd w:val="clear" w:color="auto" w:fill="auto"/>
        </w:rPr>
      </w:pPr>
    </w:p>
    <w:p w14:paraId="1E94E670">
      <w:pPr>
        <w:spacing w:line="480" w:lineRule="auto"/>
        <w:ind w:firstLine="480" w:firstLineChars="200"/>
        <w:rPr>
          <w:rFonts w:hint="eastAsia" w:ascii="宋体" w:hAnsi="宋体" w:cs="宋体"/>
          <w:color w:val="auto"/>
          <w:sz w:val="24"/>
          <w:highlight w:val="none"/>
          <w:shd w:val="clear" w:color="auto" w:fill="auto"/>
        </w:rPr>
      </w:pPr>
    </w:p>
    <w:p w14:paraId="6695A3F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3809E9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6D5C2E74">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72CE0BB">
      <w:pPr>
        <w:spacing w:line="440" w:lineRule="exact"/>
        <w:rPr>
          <w:rFonts w:hint="eastAsia" w:ascii="宋体" w:hAnsi="宋体" w:cs="宋体"/>
          <w:b/>
          <w:bCs/>
          <w:color w:val="auto"/>
          <w:sz w:val="24"/>
          <w:szCs w:val="24"/>
          <w:highlight w:val="none"/>
          <w:shd w:val="clear" w:color="auto" w:fill="auto"/>
        </w:rPr>
      </w:pPr>
    </w:p>
    <w:p w14:paraId="6ADFFECA">
      <w:pPr>
        <w:numPr>
          <w:ilvl w:val="0"/>
          <w:numId w:val="0"/>
        </w:numPr>
        <w:jc w:val="center"/>
        <w:rPr>
          <w:rFonts w:hint="eastAsia" w:ascii="宋体" w:hAnsi="宋体" w:eastAsia="宋体" w:cs="宋体"/>
          <w:b/>
          <w:color w:val="auto"/>
          <w:kern w:val="2"/>
          <w:sz w:val="30"/>
          <w:szCs w:val="30"/>
          <w:highlight w:val="none"/>
          <w:shd w:val="clear" w:color="auto" w:fill="auto"/>
          <w:lang w:val="en-US" w:eastAsia="zh-CN" w:bidi="ar-SA"/>
        </w:rPr>
      </w:pPr>
      <w:bookmarkStart w:id="132" w:name="_Toc25234"/>
      <w:bookmarkStart w:id="133" w:name="_Toc16587"/>
      <w:r>
        <w:rPr>
          <w:rFonts w:hint="eastAsia" w:ascii="宋体" w:hAnsi="宋体" w:cs="宋体"/>
          <w:b/>
          <w:color w:val="auto"/>
          <w:sz w:val="30"/>
          <w:szCs w:val="30"/>
          <w:highlight w:val="none"/>
          <w:shd w:val="clear" w:color="auto" w:fill="auto"/>
        </w:rPr>
        <w:br w:type="page"/>
      </w:r>
      <w:bookmarkEnd w:id="132"/>
      <w:bookmarkEnd w:id="133"/>
      <w:bookmarkStart w:id="134" w:name="_Toc41_WPSOffice_Level1"/>
      <w:bookmarkStart w:id="135" w:name="_Toc29004_WPSOffice_Level1"/>
      <w:bookmarkStart w:id="136" w:name="_Toc12611_WPSOffice_Level1"/>
      <w:bookmarkStart w:id="137" w:name="_Toc29460"/>
      <w:bookmarkStart w:id="138" w:name="_Toc5541"/>
      <w:r>
        <w:rPr>
          <w:rFonts w:hint="eastAsia" w:ascii="宋体" w:hAnsi="宋体" w:cs="宋体"/>
          <w:b/>
          <w:color w:val="auto"/>
          <w:sz w:val="30"/>
          <w:szCs w:val="30"/>
          <w:highlight w:val="none"/>
          <w:shd w:val="clear" w:color="auto" w:fill="auto"/>
          <w:lang w:val="en-US" w:eastAsia="zh-CN"/>
        </w:rPr>
        <w:t>10、</w:t>
      </w:r>
      <w:bookmarkEnd w:id="134"/>
      <w:bookmarkEnd w:id="135"/>
      <w:r>
        <w:rPr>
          <w:rFonts w:hint="eastAsia" w:ascii="宋体" w:hAnsi="宋体" w:cs="宋体"/>
          <w:b/>
          <w:color w:val="auto"/>
          <w:sz w:val="30"/>
          <w:szCs w:val="30"/>
          <w:highlight w:val="none"/>
          <w:shd w:val="clear" w:color="auto" w:fill="auto"/>
          <w:lang w:val="en-US" w:eastAsia="zh-CN"/>
        </w:rPr>
        <w:t>拟派项目团队人员</w:t>
      </w:r>
    </w:p>
    <w:tbl>
      <w:tblPr>
        <w:tblStyle w:val="28"/>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46"/>
        <w:gridCol w:w="1062"/>
        <w:gridCol w:w="1214"/>
        <w:gridCol w:w="1308"/>
        <w:gridCol w:w="2294"/>
        <w:gridCol w:w="1432"/>
      </w:tblGrid>
      <w:tr w14:paraId="118C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80" w:type="dxa"/>
            <w:noWrap w:val="0"/>
            <w:vAlign w:val="center"/>
          </w:tcPr>
          <w:p w14:paraId="390C73DF">
            <w:pPr>
              <w:spacing w:before="156" w:beforeLines="50" w:line="360" w:lineRule="auto"/>
              <w:jc w:val="center"/>
              <w:rPr>
                <w:rFonts w:ascii="宋体" w:hAnsi="宋体" w:cs="宋体"/>
                <w:sz w:val="24"/>
              </w:rPr>
            </w:pPr>
            <w:r>
              <w:rPr>
                <w:rFonts w:hint="eastAsia" w:ascii="宋体" w:hAnsi="宋体" w:cs="宋体"/>
                <w:sz w:val="24"/>
              </w:rPr>
              <w:t>序号</w:t>
            </w:r>
          </w:p>
        </w:tc>
        <w:tc>
          <w:tcPr>
            <w:tcW w:w="1746" w:type="dxa"/>
            <w:noWrap w:val="0"/>
            <w:vAlign w:val="center"/>
          </w:tcPr>
          <w:p w14:paraId="48A71A03">
            <w:pPr>
              <w:spacing w:before="156" w:beforeLines="50" w:line="360" w:lineRule="auto"/>
              <w:ind w:firstLine="240"/>
              <w:jc w:val="center"/>
              <w:rPr>
                <w:rFonts w:ascii="宋体" w:hAnsi="宋体" w:cs="宋体"/>
                <w:sz w:val="24"/>
              </w:rPr>
            </w:pPr>
            <w:r>
              <w:rPr>
                <w:rFonts w:hint="eastAsia" w:ascii="宋体" w:hAnsi="宋体" w:cs="宋体"/>
                <w:sz w:val="24"/>
              </w:rPr>
              <w:t>姓   名</w:t>
            </w:r>
          </w:p>
        </w:tc>
        <w:tc>
          <w:tcPr>
            <w:tcW w:w="1062" w:type="dxa"/>
            <w:noWrap w:val="0"/>
            <w:vAlign w:val="center"/>
          </w:tcPr>
          <w:p w14:paraId="0DCD8BB9">
            <w:pPr>
              <w:spacing w:before="156" w:beforeLines="50" w:line="360" w:lineRule="auto"/>
              <w:jc w:val="center"/>
              <w:rPr>
                <w:rFonts w:ascii="宋体" w:hAnsi="宋体" w:cs="宋体"/>
                <w:sz w:val="24"/>
              </w:rPr>
            </w:pPr>
            <w:r>
              <w:rPr>
                <w:rFonts w:hint="eastAsia" w:ascii="宋体" w:hAnsi="宋体" w:cs="宋体"/>
                <w:sz w:val="24"/>
              </w:rPr>
              <w:t>年龄</w:t>
            </w:r>
          </w:p>
        </w:tc>
        <w:tc>
          <w:tcPr>
            <w:tcW w:w="1214" w:type="dxa"/>
            <w:noWrap w:val="0"/>
            <w:vAlign w:val="center"/>
          </w:tcPr>
          <w:p w14:paraId="2C014EF2">
            <w:pPr>
              <w:spacing w:before="156" w:beforeLines="50" w:line="360" w:lineRule="auto"/>
              <w:jc w:val="center"/>
              <w:rPr>
                <w:rFonts w:ascii="宋体" w:hAnsi="宋体" w:cs="宋体"/>
                <w:sz w:val="24"/>
              </w:rPr>
            </w:pPr>
            <w:r>
              <w:rPr>
                <w:rFonts w:hint="eastAsia" w:ascii="宋体" w:hAnsi="宋体" w:cs="宋体"/>
                <w:sz w:val="24"/>
              </w:rPr>
              <w:t>性别</w:t>
            </w:r>
          </w:p>
        </w:tc>
        <w:tc>
          <w:tcPr>
            <w:tcW w:w="1308" w:type="dxa"/>
            <w:noWrap w:val="0"/>
            <w:vAlign w:val="center"/>
          </w:tcPr>
          <w:p w14:paraId="11A32B1C">
            <w:pPr>
              <w:spacing w:before="156" w:beforeLines="50"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专业</w:t>
            </w:r>
          </w:p>
        </w:tc>
        <w:tc>
          <w:tcPr>
            <w:tcW w:w="2294" w:type="dxa"/>
            <w:noWrap w:val="0"/>
            <w:vAlign w:val="center"/>
          </w:tcPr>
          <w:p w14:paraId="36695D99">
            <w:pPr>
              <w:spacing w:before="156" w:beforeLines="50" w:line="360" w:lineRule="auto"/>
              <w:jc w:val="center"/>
              <w:rPr>
                <w:rFonts w:ascii="宋体" w:hAnsi="宋体" w:cs="宋体"/>
                <w:sz w:val="24"/>
              </w:rPr>
            </w:pPr>
            <w:r>
              <w:rPr>
                <w:rFonts w:hint="eastAsia" w:ascii="宋体" w:hAnsi="宋体" w:cs="宋体"/>
                <w:sz w:val="24"/>
              </w:rPr>
              <w:t>在本项目拟任职务</w:t>
            </w:r>
          </w:p>
        </w:tc>
        <w:tc>
          <w:tcPr>
            <w:tcW w:w="1432" w:type="dxa"/>
            <w:noWrap w:val="0"/>
            <w:vAlign w:val="center"/>
          </w:tcPr>
          <w:p w14:paraId="01AE7D36">
            <w:pPr>
              <w:spacing w:before="156" w:beforeLines="50"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工作经验</w:t>
            </w:r>
          </w:p>
        </w:tc>
      </w:tr>
      <w:tr w14:paraId="2EB1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7F8EE904">
            <w:pPr>
              <w:spacing w:before="156" w:beforeLines="50" w:line="360" w:lineRule="auto"/>
              <w:rPr>
                <w:rFonts w:hint="eastAsia" w:ascii="宋体" w:hAnsi="宋体" w:cs="宋体"/>
                <w:sz w:val="24"/>
              </w:rPr>
            </w:pPr>
          </w:p>
        </w:tc>
        <w:tc>
          <w:tcPr>
            <w:tcW w:w="1746" w:type="dxa"/>
            <w:noWrap w:val="0"/>
            <w:vAlign w:val="center"/>
          </w:tcPr>
          <w:p w14:paraId="3AB2C87B">
            <w:pPr>
              <w:spacing w:before="156" w:beforeLines="50" w:line="360" w:lineRule="auto"/>
              <w:ind w:firstLine="240"/>
              <w:rPr>
                <w:rFonts w:hint="eastAsia" w:ascii="宋体" w:hAnsi="宋体" w:cs="宋体"/>
                <w:sz w:val="24"/>
              </w:rPr>
            </w:pPr>
          </w:p>
        </w:tc>
        <w:tc>
          <w:tcPr>
            <w:tcW w:w="1062" w:type="dxa"/>
            <w:noWrap w:val="0"/>
            <w:vAlign w:val="center"/>
          </w:tcPr>
          <w:p w14:paraId="260ECFFA">
            <w:pPr>
              <w:spacing w:before="156" w:beforeLines="50" w:line="360" w:lineRule="auto"/>
              <w:rPr>
                <w:rFonts w:hint="eastAsia" w:ascii="宋体" w:hAnsi="宋体" w:cs="宋体"/>
                <w:sz w:val="24"/>
              </w:rPr>
            </w:pPr>
          </w:p>
        </w:tc>
        <w:tc>
          <w:tcPr>
            <w:tcW w:w="1214" w:type="dxa"/>
            <w:noWrap w:val="0"/>
            <w:vAlign w:val="center"/>
          </w:tcPr>
          <w:p w14:paraId="046005D2">
            <w:pPr>
              <w:spacing w:before="156" w:beforeLines="50" w:line="360" w:lineRule="auto"/>
              <w:rPr>
                <w:rFonts w:hint="eastAsia" w:ascii="宋体" w:hAnsi="宋体" w:cs="宋体"/>
                <w:sz w:val="24"/>
              </w:rPr>
            </w:pPr>
          </w:p>
        </w:tc>
        <w:tc>
          <w:tcPr>
            <w:tcW w:w="1308" w:type="dxa"/>
            <w:noWrap w:val="0"/>
            <w:vAlign w:val="center"/>
          </w:tcPr>
          <w:p w14:paraId="52164C2F">
            <w:pPr>
              <w:spacing w:before="156" w:beforeLines="50" w:line="360" w:lineRule="auto"/>
              <w:rPr>
                <w:rFonts w:hint="eastAsia" w:ascii="宋体" w:hAnsi="宋体" w:cs="宋体"/>
                <w:sz w:val="24"/>
              </w:rPr>
            </w:pPr>
          </w:p>
        </w:tc>
        <w:tc>
          <w:tcPr>
            <w:tcW w:w="2294" w:type="dxa"/>
            <w:noWrap w:val="0"/>
            <w:vAlign w:val="center"/>
          </w:tcPr>
          <w:p w14:paraId="5E9E720B">
            <w:pPr>
              <w:spacing w:before="156" w:beforeLines="50" w:line="360" w:lineRule="auto"/>
              <w:rPr>
                <w:rFonts w:hint="eastAsia" w:ascii="宋体" w:hAnsi="宋体" w:cs="宋体"/>
                <w:sz w:val="24"/>
              </w:rPr>
            </w:pPr>
          </w:p>
        </w:tc>
        <w:tc>
          <w:tcPr>
            <w:tcW w:w="1432" w:type="dxa"/>
            <w:noWrap w:val="0"/>
            <w:vAlign w:val="center"/>
          </w:tcPr>
          <w:p w14:paraId="1E7173EE">
            <w:pPr>
              <w:spacing w:before="156" w:beforeLines="50" w:line="360" w:lineRule="auto"/>
              <w:rPr>
                <w:rFonts w:hint="eastAsia" w:ascii="宋体" w:hAnsi="宋体" w:cs="宋体"/>
                <w:sz w:val="24"/>
              </w:rPr>
            </w:pPr>
          </w:p>
        </w:tc>
      </w:tr>
      <w:tr w14:paraId="792B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1C0D045F">
            <w:pPr>
              <w:spacing w:before="156" w:beforeLines="50" w:line="360" w:lineRule="auto"/>
              <w:rPr>
                <w:rFonts w:ascii="宋体" w:hAnsi="宋体" w:cs="宋体"/>
                <w:sz w:val="24"/>
              </w:rPr>
            </w:pPr>
          </w:p>
        </w:tc>
        <w:tc>
          <w:tcPr>
            <w:tcW w:w="1746" w:type="dxa"/>
            <w:noWrap w:val="0"/>
            <w:vAlign w:val="center"/>
          </w:tcPr>
          <w:p w14:paraId="6B38AFEB">
            <w:pPr>
              <w:spacing w:before="156" w:beforeLines="50" w:line="360" w:lineRule="auto"/>
              <w:rPr>
                <w:rFonts w:ascii="宋体" w:hAnsi="宋体" w:cs="宋体"/>
                <w:sz w:val="24"/>
              </w:rPr>
            </w:pPr>
          </w:p>
        </w:tc>
        <w:tc>
          <w:tcPr>
            <w:tcW w:w="1062" w:type="dxa"/>
            <w:noWrap w:val="0"/>
            <w:vAlign w:val="center"/>
          </w:tcPr>
          <w:p w14:paraId="12B308B5">
            <w:pPr>
              <w:spacing w:before="156" w:beforeLines="50" w:line="360" w:lineRule="auto"/>
              <w:rPr>
                <w:rFonts w:ascii="宋体" w:hAnsi="宋体" w:cs="宋体"/>
                <w:sz w:val="24"/>
              </w:rPr>
            </w:pPr>
          </w:p>
        </w:tc>
        <w:tc>
          <w:tcPr>
            <w:tcW w:w="1214" w:type="dxa"/>
            <w:noWrap w:val="0"/>
            <w:vAlign w:val="center"/>
          </w:tcPr>
          <w:p w14:paraId="57BA7BF6">
            <w:pPr>
              <w:spacing w:before="156" w:beforeLines="50" w:line="360" w:lineRule="auto"/>
              <w:rPr>
                <w:rFonts w:ascii="宋体" w:hAnsi="宋体" w:cs="宋体"/>
                <w:sz w:val="24"/>
              </w:rPr>
            </w:pPr>
          </w:p>
        </w:tc>
        <w:tc>
          <w:tcPr>
            <w:tcW w:w="1308" w:type="dxa"/>
            <w:noWrap w:val="0"/>
            <w:vAlign w:val="center"/>
          </w:tcPr>
          <w:p w14:paraId="0F3B70ED">
            <w:pPr>
              <w:spacing w:before="156" w:beforeLines="50" w:line="360" w:lineRule="auto"/>
              <w:rPr>
                <w:rFonts w:ascii="宋体" w:hAnsi="宋体" w:cs="宋体"/>
                <w:sz w:val="24"/>
              </w:rPr>
            </w:pPr>
          </w:p>
        </w:tc>
        <w:tc>
          <w:tcPr>
            <w:tcW w:w="2294" w:type="dxa"/>
            <w:noWrap w:val="0"/>
            <w:vAlign w:val="center"/>
          </w:tcPr>
          <w:p w14:paraId="2D6A50DA">
            <w:pPr>
              <w:spacing w:before="156" w:beforeLines="50" w:line="360" w:lineRule="auto"/>
              <w:rPr>
                <w:rFonts w:ascii="宋体" w:hAnsi="宋体" w:cs="宋体"/>
                <w:sz w:val="24"/>
              </w:rPr>
            </w:pPr>
          </w:p>
        </w:tc>
        <w:tc>
          <w:tcPr>
            <w:tcW w:w="1432" w:type="dxa"/>
            <w:noWrap w:val="0"/>
            <w:vAlign w:val="center"/>
          </w:tcPr>
          <w:p w14:paraId="448DC75D">
            <w:pPr>
              <w:spacing w:before="156" w:beforeLines="50" w:line="360" w:lineRule="auto"/>
              <w:rPr>
                <w:rFonts w:ascii="宋体" w:hAnsi="宋体" w:cs="宋体"/>
                <w:sz w:val="24"/>
              </w:rPr>
            </w:pPr>
          </w:p>
        </w:tc>
      </w:tr>
      <w:tr w14:paraId="5439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0EFEFD43">
            <w:pPr>
              <w:spacing w:before="156" w:beforeLines="50" w:line="360" w:lineRule="auto"/>
              <w:rPr>
                <w:rFonts w:ascii="宋体" w:hAnsi="宋体" w:cs="宋体"/>
                <w:sz w:val="24"/>
              </w:rPr>
            </w:pPr>
          </w:p>
        </w:tc>
        <w:tc>
          <w:tcPr>
            <w:tcW w:w="1746" w:type="dxa"/>
            <w:noWrap w:val="0"/>
            <w:vAlign w:val="center"/>
          </w:tcPr>
          <w:p w14:paraId="79F19994">
            <w:pPr>
              <w:spacing w:before="156" w:beforeLines="50" w:line="360" w:lineRule="auto"/>
              <w:rPr>
                <w:rFonts w:ascii="宋体" w:hAnsi="宋体" w:cs="宋体"/>
                <w:sz w:val="24"/>
              </w:rPr>
            </w:pPr>
          </w:p>
        </w:tc>
        <w:tc>
          <w:tcPr>
            <w:tcW w:w="1062" w:type="dxa"/>
            <w:noWrap w:val="0"/>
            <w:vAlign w:val="center"/>
          </w:tcPr>
          <w:p w14:paraId="456B19CA">
            <w:pPr>
              <w:spacing w:before="156" w:beforeLines="50" w:line="360" w:lineRule="auto"/>
              <w:rPr>
                <w:rFonts w:ascii="宋体" w:hAnsi="宋体" w:cs="宋体"/>
                <w:sz w:val="24"/>
              </w:rPr>
            </w:pPr>
          </w:p>
        </w:tc>
        <w:tc>
          <w:tcPr>
            <w:tcW w:w="1214" w:type="dxa"/>
            <w:noWrap w:val="0"/>
            <w:vAlign w:val="center"/>
          </w:tcPr>
          <w:p w14:paraId="6523855F">
            <w:pPr>
              <w:spacing w:before="156" w:beforeLines="50" w:line="360" w:lineRule="auto"/>
              <w:rPr>
                <w:rFonts w:ascii="宋体" w:hAnsi="宋体" w:cs="宋体"/>
                <w:sz w:val="24"/>
              </w:rPr>
            </w:pPr>
          </w:p>
        </w:tc>
        <w:tc>
          <w:tcPr>
            <w:tcW w:w="1308" w:type="dxa"/>
            <w:noWrap w:val="0"/>
            <w:vAlign w:val="center"/>
          </w:tcPr>
          <w:p w14:paraId="59D46248">
            <w:pPr>
              <w:spacing w:before="156" w:beforeLines="50" w:line="360" w:lineRule="auto"/>
              <w:rPr>
                <w:rFonts w:ascii="宋体" w:hAnsi="宋体" w:cs="宋体"/>
                <w:sz w:val="24"/>
              </w:rPr>
            </w:pPr>
          </w:p>
        </w:tc>
        <w:tc>
          <w:tcPr>
            <w:tcW w:w="2294" w:type="dxa"/>
            <w:noWrap w:val="0"/>
            <w:vAlign w:val="center"/>
          </w:tcPr>
          <w:p w14:paraId="14B843EB">
            <w:pPr>
              <w:spacing w:before="156" w:beforeLines="50" w:line="360" w:lineRule="auto"/>
              <w:rPr>
                <w:rFonts w:ascii="宋体" w:hAnsi="宋体" w:cs="宋体"/>
                <w:sz w:val="24"/>
              </w:rPr>
            </w:pPr>
          </w:p>
        </w:tc>
        <w:tc>
          <w:tcPr>
            <w:tcW w:w="1432" w:type="dxa"/>
            <w:noWrap w:val="0"/>
            <w:vAlign w:val="center"/>
          </w:tcPr>
          <w:p w14:paraId="4A38DD34">
            <w:pPr>
              <w:spacing w:before="156" w:beforeLines="50" w:line="360" w:lineRule="auto"/>
              <w:rPr>
                <w:rFonts w:ascii="宋体" w:hAnsi="宋体" w:cs="宋体"/>
                <w:sz w:val="24"/>
              </w:rPr>
            </w:pPr>
          </w:p>
        </w:tc>
      </w:tr>
      <w:tr w14:paraId="682B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637750A3">
            <w:pPr>
              <w:spacing w:before="156" w:beforeLines="50" w:line="360" w:lineRule="auto"/>
              <w:rPr>
                <w:rFonts w:ascii="宋体" w:hAnsi="宋体" w:cs="宋体"/>
                <w:sz w:val="24"/>
              </w:rPr>
            </w:pPr>
          </w:p>
        </w:tc>
        <w:tc>
          <w:tcPr>
            <w:tcW w:w="1746" w:type="dxa"/>
            <w:noWrap w:val="0"/>
            <w:vAlign w:val="center"/>
          </w:tcPr>
          <w:p w14:paraId="2254144D">
            <w:pPr>
              <w:spacing w:before="156" w:beforeLines="50" w:line="360" w:lineRule="auto"/>
              <w:rPr>
                <w:rFonts w:ascii="宋体" w:hAnsi="宋体" w:cs="宋体"/>
                <w:sz w:val="24"/>
              </w:rPr>
            </w:pPr>
          </w:p>
        </w:tc>
        <w:tc>
          <w:tcPr>
            <w:tcW w:w="1062" w:type="dxa"/>
            <w:noWrap w:val="0"/>
            <w:vAlign w:val="center"/>
          </w:tcPr>
          <w:p w14:paraId="6F9EA11E">
            <w:pPr>
              <w:spacing w:before="156" w:beforeLines="50" w:line="360" w:lineRule="auto"/>
              <w:rPr>
                <w:rFonts w:ascii="宋体" w:hAnsi="宋体" w:cs="宋体"/>
                <w:sz w:val="24"/>
              </w:rPr>
            </w:pPr>
          </w:p>
        </w:tc>
        <w:tc>
          <w:tcPr>
            <w:tcW w:w="1214" w:type="dxa"/>
            <w:noWrap w:val="0"/>
            <w:vAlign w:val="center"/>
          </w:tcPr>
          <w:p w14:paraId="7C72C189">
            <w:pPr>
              <w:spacing w:before="156" w:beforeLines="50" w:line="360" w:lineRule="auto"/>
              <w:rPr>
                <w:rFonts w:ascii="宋体" w:hAnsi="宋体" w:cs="宋体"/>
                <w:sz w:val="24"/>
              </w:rPr>
            </w:pPr>
          </w:p>
        </w:tc>
        <w:tc>
          <w:tcPr>
            <w:tcW w:w="1308" w:type="dxa"/>
            <w:noWrap w:val="0"/>
            <w:vAlign w:val="center"/>
          </w:tcPr>
          <w:p w14:paraId="7FC764BE">
            <w:pPr>
              <w:spacing w:before="156" w:beforeLines="50" w:line="360" w:lineRule="auto"/>
              <w:rPr>
                <w:rFonts w:ascii="宋体" w:hAnsi="宋体" w:cs="宋体"/>
                <w:sz w:val="24"/>
              </w:rPr>
            </w:pPr>
          </w:p>
        </w:tc>
        <w:tc>
          <w:tcPr>
            <w:tcW w:w="2294" w:type="dxa"/>
            <w:noWrap w:val="0"/>
            <w:vAlign w:val="center"/>
          </w:tcPr>
          <w:p w14:paraId="01CD22A2">
            <w:pPr>
              <w:spacing w:before="156" w:beforeLines="50" w:line="360" w:lineRule="auto"/>
              <w:rPr>
                <w:rFonts w:ascii="宋体" w:hAnsi="宋体" w:cs="宋体"/>
                <w:sz w:val="24"/>
              </w:rPr>
            </w:pPr>
          </w:p>
        </w:tc>
        <w:tc>
          <w:tcPr>
            <w:tcW w:w="1432" w:type="dxa"/>
            <w:noWrap w:val="0"/>
            <w:vAlign w:val="center"/>
          </w:tcPr>
          <w:p w14:paraId="66286829">
            <w:pPr>
              <w:spacing w:before="156" w:beforeLines="50" w:line="360" w:lineRule="auto"/>
              <w:rPr>
                <w:rFonts w:ascii="宋体" w:hAnsi="宋体" w:cs="宋体"/>
                <w:sz w:val="24"/>
              </w:rPr>
            </w:pPr>
          </w:p>
        </w:tc>
      </w:tr>
      <w:tr w14:paraId="7252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468F19A0">
            <w:pPr>
              <w:spacing w:before="156" w:beforeLines="50" w:line="360" w:lineRule="auto"/>
              <w:rPr>
                <w:rFonts w:ascii="宋体" w:hAnsi="宋体" w:cs="宋体"/>
                <w:sz w:val="24"/>
              </w:rPr>
            </w:pPr>
          </w:p>
        </w:tc>
        <w:tc>
          <w:tcPr>
            <w:tcW w:w="1746" w:type="dxa"/>
            <w:noWrap w:val="0"/>
            <w:vAlign w:val="center"/>
          </w:tcPr>
          <w:p w14:paraId="745A64EC">
            <w:pPr>
              <w:spacing w:before="156" w:beforeLines="50" w:line="360" w:lineRule="auto"/>
              <w:rPr>
                <w:rFonts w:ascii="宋体" w:hAnsi="宋体" w:cs="宋体"/>
                <w:sz w:val="24"/>
              </w:rPr>
            </w:pPr>
          </w:p>
        </w:tc>
        <w:tc>
          <w:tcPr>
            <w:tcW w:w="1062" w:type="dxa"/>
            <w:noWrap w:val="0"/>
            <w:vAlign w:val="center"/>
          </w:tcPr>
          <w:p w14:paraId="78A68EB2">
            <w:pPr>
              <w:spacing w:before="156" w:beforeLines="50" w:line="360" w:lineRule="auto"/>
              <w:rPr>
                <w:rFonts w:ascii="宋体" w:hAnsi="宋体" w:cs="宋体"/>
                <w:sz w:val="24"/>
              </w:rPr>
            </w:pPr>
          </w:p>
        </w:tc>
        <w:tc>
          <w:tcPr>
            <w:tcW w:w="1214" w:type="dxa"/>
            <w:noWrap w:val="0"/>
            <w:vAlign w:val="center"/>
          </w:tcPr>
          <w:p w14:paraId="1532A1E9">
            <w:pPr>
              <w:spacing w:before="156" w:beforeLines="50" w:line="360" w:lineRule="auto"/>
              <w:rPr>
                <w:rFonts w:ascii="宋体" w:hAnsi="宋体" w:cs="宋体"/>
                <w:sz w:val="24"/>
              </w:rPr>
            </w:pPr>
          </w:p>
        </w:tc>
        <w:tc>
          <w:tcPr>
            <w:tcW w:w="1308" w:type="dxa"/>
            <w:noWrap w:val="0"/>
            <w:vAlign w:val="center"/>
          </w:tcPr>
          <w:p w14:paraId="3B74DC15">
            <w:pPr>
              <w:spacing w:before="156" w:beforeLines="50" w:line="360" w:lineRule="auto"/>
              <w:rPr>
                <w:rFonts w:ascii="宋体" w:hAnsi="宋体" w:cs="宋体"/>
                <w:sz w:val="24"/>
              </w:rPr>
            </w:pPr>
          </w:p>
        </w:tc>
        <w:tc>
          <w:tcPr>
            <w:tcW w:w="2294" w:type="dxa"/>
            <w:noWrap w:val="0"/>
            <w:vAlign w:val="center"/>
          </w:tcPr>
          <w:p w14:paraId="6BB65469">
            <w:pPr>
              <w:spacing w:before="156" w:beforeLines="50" w:line="360" w:lineRule="auto"/>
              <w:rPr>
                <w:rFonts w:ascii="宋体" w:hAnsi="宋体" w:cs="宋体"/>
                <w:sz w:val="24"/>
              </w:rPr>
            </w:pPr>
          </w:p>
        </w:tc>
        <w:tc>
          <w:tcPr>
            <w:tcW w:w="1432" w:type="dxa"/>
            <w:noWrap w:val="0"/>
            <w:vAlign w:val="center"/>
          </w:tcPr>
          <w:p w14:paraId="60B2A323">
            <w:pPr>
              <w:spacing w:before="156" w:beforeLines="50" w:line="360" w:lineRule="auto"/>
              <w:rPr>
                <w:rFonts w:ascii="宋体" w:hAnsi="宋体" w:cs="宋体"/>
                <w:sz w:val="24"/>
              </w:rPr>
            </w:pPr>
          </w:p>
        </w:tc>
      </w:tr>
      <w:tr w14:paraId="1BBA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7E401A93">
            <w:pPr>
              <w:spacing w:before="156" w:beforeLines="50" w:line="360" w:lineRule="auto"/>
              <w:rPr>
                <w:rFonts w:ascii="宋体" w:hAnsi="宋体" w:cs="宋体"/>
                <w:sz w:val="24"/>
              </w:rPr>
            </w:pPr>
          </w:p>
        </w:tc>
        <w:tc>
          <w:tcPr>
            <w:tcW w:w="1746" w:type="dxa"/>
            <w:noWrap w:val="0"/>
            <w:vAlign w:val="center"/>
          </w:tcPr>
          <w:p w14:paraId="3F9C537A">
            <w:pPr>
              <w:spacing w:before="156" w:beforeLines="50" w:line="360" w:lineRule="auto"/>
              <w:rPr>
                <w:rFonts w:ascii="宋体" w:hAnsi="宋体" w:cs="宋体"/>
                <w:sz w:val="24"/>
              </w:rPr>
            </w:pPr>
          </w:p>
        </w:tc>
        <w:tc>
          <w:tcPr>
            <w:tcW w:w="1062" w:type="dxa"/>
            <w:noWrap w:val="0"/>
            <w:vAlign w:val="center"/>
          </w:tcPr>
          <w:p w14:paraId="6EC6B1CC">
            <w:pPr>
              <w:spacing w:before="156" w:beforeLines="50" w:line="360" w:lineRule="auto"/>
              <w:rPr>
                <w:rFonts w:ascii="宋体" w:hAnsi="宋体" w:cs="宋体"/>
                <w:sz w:val="24"/>
              </w:rPr>
            </w:pPr>
          </w:p>
        </w:tc>
        <w:tc>
          <w:tcPr>
            <w:tcW w:w="1214" w:type="dxa"/>
            <w:noWrap w:val="0"/>
            <w:vAlign w:val="center"/>
          </w:tcPr>
          <w:p w14:paraId="2E3C01D4">
            <w:pPr>
              <w:spacing w:before="156" w:beforeLines="50" w:line="360" w:lineRule="auto"/>
              <w:rPr>
                <w:rFonts w:ascii="宋体" w:hAnsi="宋体" w:cs="宋体"/>
                <w:sz w:val="24"/>
              </w:rPr>
            </w:pPr>
          </w:p>
        </w:tc>
        <w:tc>
          <w:tcPr>
            <w:tcW w:w="1308" w:type="dxa"/>
            <w:noWrap w:val="0"/>
            <w:vAlign w:val="center"/>
          </w:tcPr>
          <w:p w14:paraId="28FD46DB">
            <w:pPr>
              <w:spacing w:before="156" w:beforeLines="50" w:line="360" w:lineRule="auto"/>
              <w:rPr>
                <w:rFonts w:ascii="宋体" w:hAnsi="宋体" w:cs="宋体"/>
                <w:sz w:val="24"/>
              </w:rPr>
            </w:pPr>
          </w:p>
        </w:tc>
        <w:tc>
          <w:tcPr>
            <w:tcW w:w="2294" w:type="dxa"/>
            <w:noWrap w:val="0"/>
            <w:vAlign w:val="center"/>
          </w:tcPr>
          <w:p w14:paraId="6B47816E">
            <w:pPr>
              <w:spacing w:before="156" w:beforeLines="50" w:line="360" w:lineRule="auto"/>
              <w:rPr>
                <w:rFonts w:ascii="宋体" w:hAnsi="宋体" w:cs="宋体"/>
                <w:sz w:val="24"/>
              </w:rPr>
            </w:pPr>
          </w:p>
        </w:tc>
        <w:tc>
          <w:tcPr>
            <w:tcW w:w="1432" w:type="dxa"/>
            <w:noWrap w:val="0"/>
            <w:vAlign w:val="center"/>
          </w:tcPr>
          <w:p w14:paraId="7694D2EF">
            <w:pPr>
              <w:spacing w:before="156" w:beforeLines="50" w:line="360" w:lineRule="auto"/>
              <w:rPr>
                <w:rFonts w:ascii="宋体" w:hAnsi="宋体" w:cs="宋体"/>
                <w:sz w:val="24"/>
              </w:rPr>
            </w:pPr>
          </w:p>
        </w:tc>
      </w:tr>
      <w:tr w14:paraId="06AE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77202A06">
            <w:pPr>
              <w:spacing w:before="156" w:beforeLines="50" w:line="360" w:lineRule="auto"/>
              <w:rPr>
                <w:rFonts w:ascii="宋体" w:hAnsi="宋体" w:cs="宋体"/>
                <w:sz w:val="24"/>
              </w:rPr>
            </w:pPr>
          </w:p>
        </w:tc>
        <w:tc>
          <w:tcPr>
            <w:tcW w:w="1746" w:type="dxa"/>
            <w:noWrap w:val="0"/>
            <w:vAlign w:val="center"/>
          </w:tcPr>
          <w:p w14:paraId="632AFE93">
            <w:pPr>
              <w:spacing w:before="156" w:beforeLines="50" w:line="360" w:lineRule="auto"/>
              <w:rPr>
                <w:rFonts w:ascii="宋体" w:hAnsi="宋体" w:cs="宋体"/>
                <w:sz w:val="24"/>
              </w:rPr>
            </w:pPr>
          </w:p>
        </w:tc>
        <w:tc>
          <w:tcPr>
            <w:tcW w:w="1062" w:type="dxa"/>
            <w:noWrap w:val="0"/>
            <w:vAlign w:val="center"/>
          </w:tcPr>
          <w:p w14:paraId="09F6A69C">
            <w:pPr>
              <w:spacing w:before="156" w:beforeLines="50" w:line="360" w:lineRule="auto"/>
              <w:rPr>
                <w:rFonts w:ascii="宋体" w:hAnsi="宋体" w:cs="宋体"/>
                <w:sz w:val="24"/>
              </w:rPr>
            </w:pPr>
          </w:p>
        </w:tc>
        <w:tc>
          <w:tcPr>
            <w:tcW w:w="1214" w:type="dxa"/>
            <w:noWrap w:val="0"/>
            <w:vAlign w:val="center"/>
          </w:tcPr>
          <w:p w14:paraId="05E6DB10">
            <w:pPr>
              <w:spacing w:before="156" w:beforeLines="50" w:line="360" w:lineRule="auto"/>
              <w:rPr>
                <w:rFonts w:ascii="宋体" w:hAnsi="宋体" w:cs="宋体"/>
                <w:sz w:val="24"/>
              </w:rPr>
            </w:pPr>
          </w:p>
        </w:tc>
        <w:tc>
          <w:tcPr>
            <w:tcW w:w="1308" w:type="dxa"/>
            <w:noWrap w:val="0"/>
            <w:vAlign w:val="center"/>
          </w:tcPr>
          <w:p w14:paraId="03FDDA15">
            <w:pPr>
              <w:spacing w:before="156" w:beforeLines="50" w:line="360" w:lineRule="auto"/>
              <w:rPr>
                <w:rFonts w:ascii="宋体" w:hAnsi="宋体" w:cs="宋体"/>
                <w:sz w:val="24"/>
              </w:rPr>
            </w:pPr>
          </w:p>
        </w:tc>
        <w:tc>
          <w:tcPr>
            <w:tcW w:w="2294" w:type="dxa"/>
            <w:noWrap w:val="0"/>
            <w:vAlign w:val="center"/>
          </w:tcPr>
          <w:p w14:paraId="77AACCB1">
            <w:pPr>
              <w:spacing w:before="156" w:beforeLines="50" w:line="360" w:lineRule="auto"/>
              <w:rPr>
                <w:rFonts w:ascii="宋体" w:hAnsi="宋体" w:cs="宋体"/>
                <w:sz w:val="24"/>
              </w:rPr>
            </w:pPr>
          </w:p>
        </w:tc>
        <w:tc>
          <w:tcPr>
            <w:tcW w:w="1432" w:type="dxa"/>
            <w:noWrap w:val="0"/>
            <w:vAlign w:val="center"/>
          </w:tcPr>
          <w:p w14:paraId="109B7B6C">
            <w:pPr>
              <w:spacing w:before="156" w:beforeLines="50" w:line="360" w:lineRule="auto"/>
              <w:rPr>
                <w:rFonts w:ascii="宋体" w:hAnsi="宋体" w:cs="宋体"/>
                <w:sz w:val="24"/>
              </w:rPr>
            </w:pPr>
          </w:p>
        </w:tc>
      </w:tr>
      <w:tr w14:paraId="6027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490DF8E1">
            <w:pPr>
              <w:spacing w:before="156" w:beforeLines="50" w:line="360" w:lineRule="auto"/>
              <w:rPr>
                <w:rFonts w:ascii="宋体" w:hAnsi="宋体" w:cs="宋体"/>
                <w:sz w:val="24"/>
              </w:rPr>
            </w:pPr>
          </w:p>
        </w:tc>
        <w:tc>
          <w:tcPr>
            <w:tcW w:w="1746" w:type="dxa"/>
            <w:noWrap w:val="0"/>
            <w:vAlign w:val="center"/>
          </w:tcPr>
          <w:p w14:paraId="534AD53D">
            <w:pPr>
              <w:spacing w:before="156" w:beforeLines="50" w:line="360" w:lineRule="auto"/>
              <w:rPr>
                <w:rFonts w:ascii="宋体" w:hAnsi="宋体" w:cs="宋体"/>
                <w:sz w:val="24"/>
              </w:rPr>
            </w:pPr>
          </w:p>
        </w:tc>
        <w:tc>
          <w:tcPr>
            <w:tcW w:w="1062" w:type="dxa"/>
            <w:noWrap w:val="0"/>
            <w:vAlign w:val="center"/>
          </w:tcPr>
          <w:p w14:paraId="09B59F33">
            <w:pPr>
              <w:spacing w:before="156" w:beforeLines="50" w:line="360" w:lineRule="auto"/>
              <w:rPr>
                <w:rFonts w:ascii="宋体" w:hAnsi="宋体" w:cs="宋体"/>
                <w:sz w:val="24"/>
              </w:rPr>
            </w:pPr>
          </w:p>
        </w:tc>
        <w:tc>
          <w:tcPr>
            <w:tcW w:w="1214" w:type="dxa"/>
            <w:noWrap w:val="0"/>
            <w:vAlign w:val="center"/>
          </w:tcPr>
          <w:p w14:paraId="04C07625">
            <w:pPr>
              <w:spacing w:before="156" w:beforeLines="50" w:line="360" w:lineRule="auto"/>
              <w:rPr>
                <w:rFonts w:ascii="宋体" w:hAnsi="宋体" w:cs="宋体"/>
                <w:sz w:val="24"/>
              </w:rPr>
            </w:pPr>
          </w:p>
        </w:tc>
        <w:tc>
          <w:tcPr>
            <w:tcW w:w="1308" w:type="dxa"/>
            <w:noWrap w:val="0"/>
            <w:vAlign w:val="center"/>
          </w:tcPr>
          <w:p w14:paraId="0955B6F5">
            <w:pPr>
              <w:spacing w:before="156" w:beforeLines="50" w:line="360" w:lineRule="auto"/>
              <w:rPr>
                <w:rFonts w:ascii="宋体" w:hAnsi="宋体" w:cs="宋体"/>
                <w:sz w:val="24"/>
              </w:rPr>
            </w:pPr>
          </w:p>
        </w:tc>
        <w:tc>
          <w:tcPr>
            <w:tcW w:w="2294" w:type="dxa"/>
            <w:noWrap w:val="0"/>
            <w:vAlign w:val="center"/>
          </w:tcPr>
          <w:p w14:paraId="7C20B7F5">
            <w:pPr>
              <w:spacing w:before="156" w:beforeLines="50" w:line="360" w:lineRule="auto"/>
              <w:rPr>
                <w:rFonts w:ascii="宋体" w:hAnsi="宋体" w:cs="宋体"/>
                <w:sz w:val="24"/>
              </w:rPr>
            </w:pPr>
          </w:p>
        </w:tc>
        <w:tc>
          <w:tcPr>
            <w:tcW w:w="1432" w:type="dxa"/>
            <w:noWrap w:val="0"/>
            <w:vAlign w:val="center"/>
          </w:tcPr>
          <w:p w14:paraId="446AA9ED">
            <w:pPr>
              <w:spacing w:before="156" w:beforeLines="50" w:line="360" w:lineRule="auto"/>
              <w:rPr>
                <w:rFonts w:ascii="宋体" w:hAnsi="宋体" w:cs="宋体"/>
                <w:sz w:val="24"/>
              </w:rPr>
            </w:pPr>
          </w:p>
        </w:tc>
      </w:tr>
      <w:tr w14:paraId="32E4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80" w:type="dxa"/>
            <w:noWrap w:val="0"/>
            <w:vAlign w:val="center"/>
          </w:tcPr>
          <w:p w14:paraId="6BC5DF3A">
            <w:pPr>
              <w:spacing w:before="156" w:beforeLines="50" w:line="360" w:lineRule="auto"/>
              <w:rPr>
                <w:rFonts w:ascii="宋体" w:hAnsi="宋体" w:cs="宋体"/>
                <w:sz w:val="24"/>
              </w:rPr>
            </w:pPr>
          </w:p>
        </w:tc>
        <w:tc>
          <w:tcPr>
            <w:tcW w:w="1746" w:type="dxa"/>
            <w:noWrap w:val="0"/>
            <w:vAlign w:val="center"/>
          </w:tcPr>
          <w:p w14:paraId="376FCBD7">
            <w:pPr>
              <w:spacing w:before="156" w:beforeLines="50" w:line="360" w:lineRule="auto"/>
              <w:rPr>
                <w:rFonts w:ascii="宋体" w:hAnsi="宋体" w:cs="宋体"/>
                <w:sz w:val="24"/>
              </w:rPr>
            </w:pPr>
          </w:p>
        </w:tc>
        <w:tc>
          <w:tcPr>
            <w:tcW w:w="1062" w:type="dxa"/>
            <w:noWrap w:val="0"/>
            <w:vAlign w:val="center"/>
          </w:tcPr>
          <w:p w14:paraId="07213FC8">
            <w:pPr>
              <w:spacing w:before="156" w:beforeLines="50" w:line="360" w:lineRule="auto"/>
              <w:rPr>
                <w:rFonts w:ascii="宋体" w:hAnsi="宋体" w:cs="宋体"/>
                <w:sz w:val="24"/>
              </w:rPr>
            </w:pPr>
          </w:p>
        </w:tc>
        <w:tc>
          <w:tcPr>
            <w:tcW w:w="1214" w:type="dxa"/>
            <w:noWrap w:val="0"/>
            <w:vAlign w:val="center"/>
          </w:tcPr>
          <w:p w14:paraId="425873D6">
            <w:pPr>
              <w:spacing w:before="156" w:beforeLines="50" w:line="360" w:lineRule="auto"/>
              <w:rPr>
                <w:rFonts w:ascii="宋体" w:hAnsi="宋体" w:cs="宋体"/>
                <w:sz w:val="24"/>
              </w:rPr>
            </w:pPr>
          </w:p>
        </w:tc>
        <w:tc>
          <w:tcPr>
            <w:tcW w:w="1308" w:type="dxa"/>
            <w:noWrap w:val="0"/>
            <w:vAlign w:val="center"/>
          </w:tcPr>
          <w:p w14:paraId="589A2747">
            <w:pPr>
              <w:spacing w:before="156" w:beforeLines="50" w:line="360" w:lineRule="auto"/>
              <w:rPr>
                <w:rFonts w:ascii="宋体" w:hAnsi="宋体" w:cs="宋体"/>
                <w:sz w:val="24"/>
              </w:rPr>
            </w:pPr>
          </w:p>
        </w:tc>
        <w:tc>
          <w:tcPr>
            <w:tcW w:w="2294" w:type="dxa"/>
            <w:noWrap w:val="0"/>
            <w:vAlign w:val="center"/>
          </w:tcPr>
          <w:p w14:paraId="168615DE">
            <w:pPr>
              <w:spacing w:before="156" w:beforeLines="50" w:line="360" w:lineRule="auto"/>
              <w:rPr>
                <w:rFonts w:ascii="宋体" w:hAnsi="宋体" w:cs="宋体"/>
                <w:sz w:val="24"/>
              </w:rPr>
            </w:pPr>
          </w:p>
        </w:tc>
        <w:tc>
          <w:tcPr>
            <w:tcW w:w="1432" w:type="dxa"/>
            <w:noWrap w:val="0"/>
            <w:vAlign w:val="center"/>
          </w:tcPr>
          <w:p w14:paraId="7308CB69">
            <w:pPr>
              <w:spacing w:before="156" w:beforeLines="50" w:line="360" w:lineRule="auto"/>
              <w:rPr>
                <w:rFonts w:ascii="宋体" w:hAnsi="宋体" w:cs="宋体"/>
                <w:sz w:val="24"/>
              </w:rPr>
            </w:pPr>
          </w:p>
        </w:tc>
      </w:tr>
      <w:tr w14:paraId="3F85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0" w:type="dxa"/>
            <w:noWrap w:val="0"/>
            <w:vAlign w:val="center"/>
          </w:tcPr>
          <w:p w14:paraId="1FCAFD8F">
            <w:pPr>
              <w:spacing w:before="156" w:beforeLines="50" w:line="360" w:lineRule="auto"/>
              <w:rPr>
                <w:rFonts w:ascii="宋体" w:hAnsi="宋体" w:cs="宋体"/>
                <w:sz w:val="24"/>
              </w:rPr>
            </w:pPr>
          </w:p>
        </w:tc>
        <w:tc>
          <w:tcPr>
            <w:tcW w:w="1746" w:type="dxa"/>
            <w:noWrap w:val="0"/>
            <w:vAlign w:val="center"/>
          </w:tcPr>
          <w:p w14:paraId="2F898260">
            <w:pPr>
              <w:spacing w:before="156" w:beforeLines="50" w:line="360" w:lineRule="auto"/>
              <w:rPr>
                <w:rFonts w:ascii="宋体" w:hAnsi="宋体" w:cs="宋体"/>
                <w:sz w:val="24"/>
              </w:rPr>
            </w:pPr>
          </w:p>
        </w:tc>
        <w:tc>
          <w:tcPr>
            <w:tcW w:w="1062" w:type="dxa"/>
            <w:noWrap w:val="0"/>
            <w:vAlign w:val="center"/>
          </w:tcPr>
          <w:p w14:paraId="57770129">
            <w:pPr>
              <w:spacing w:before="156" w:beforeLines="50" w:line="360" w:lineRule="auto"/>
              <w:rPr>
                <w:rFonts w:ascii="宋体" w:hAnsi="宋体" w:cs="宋体"/>
                <w:sz w:val="24"/>
              </w:rPr>
            </w:pPr>
          </w:p>
        </w:tc>
        <w:tc>
          <w:tcPr>
            <w:tcW w:w="1214" w:type="dxa"/>
            <w:noWrap w:val="0"/>
            <w:vAlign w:val="center"/>
          </w:tcPr>
          <w:p w14:paraId="738B5341">
            <w:pPr>
              <w:spacing w:before="156" w:beforeLines="50" w:line="360" w:lineRule="auto"/>
              <w:rPr>
                <w:rFonts w:ascii="宋体" w:hAnsi="宋体" w:cs="宋体"/>
                <w:sz w:val="24"/>
              </w:rPr>
            </w:pPr>
          </w:p>
        </w:tc>
        <w:tc>
          <w:tcPr>
            <w:tcW w:w="1308" w:type="dxa"/>
            <w:noWrap w:val="0"/>
            <w:vAlign w:val="center"/>
          </w:tcPr>
          <w:p w14:paraId="43D51ABA">
            <w:pPr>
              <w:spacing w:before="156" w:beforeLines="50" w:line="360" w:lineRule="auto"/>
              <w:rPr>
                <w:rFonts w:ascii="宋体" w:hAnsi="宋体" w:cs="宋体"/>
                <w:sz w:val="24"/>
              </w:rPr>
            </w:pPr>
          </w:p>
        </w:tc>
        <w:tc>
          <w:tcPr>
            <w:tcW w:w="2294" w:type="dxa"/>
            <w:noWrap w:val="0"/>
            <w:vAlign w:val="center"/>
          </w:tcPr>
          <w:p w14:paraId="4998FC6F">
            <w:pPr>
              <w:spacing w:before="156" w:beforeLines="50" w:line="360" w:lineRule="auto"/>
              <w:rPr>
                <w:rFonts w:ascii="宋体" w:hAnsi="宋体" w:cs="宋体"/>
                <w:sz w:val="24"/>
              </w:rPr>
            </w:pPr>
          </w:p>
        </w:tc>
        <w:tc>
          <w:tcPr>
            <w:tcW w:w="1432" w:type="dxa"/>
            <w:noWrap w:val="0"/>
            <w:vAlign w:val="center"/>
          </w:tcPr>
          <w:p w14:paraId="27EC1EB0">
            <w:pPr>
              <w:spacing w:before="156" w:beforeLines="50" w:line="360" w:lineRule="auto"/>
              <w:rPr>
                <w:rFonts w:ascii="宋体" w:hAnsi="宋体" w:cs="宋体"/>
                <w:sz w:val="24"/>
              </w:rPr>
            </w:pPr>
          </w:p>
        </w:tc>
      </w:tr>
    </w:tbl>
    <w:p w14:paraId="23C50CB1">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注：提供人员身份证、【劳动（劳务）合同或开标截止前近三个月（202</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en-US" w:eastAsia="zh-CN"/>
        </w:rPr>
        <w:t>月至今）在本单位的社保缴纳证明材料】复印件加盖公章）</w:t>
      </w:r>
    </w:p>
    <w:p w14:paraId="6A33B2A0">
      <w:pPr>
        <w:pStyle w:val="13"/>
        <w:jc w:val="center"/>
        <w:rPr>
          <w:rFonts w:hint="eastAsia"/>
          <w:color w:val="auto"/>
          <w:highlight w:val="none"/>
          <w:lang w:val="en-US" w:eastAsia="zh-CN"/>
        </w:rPr>
      </w:pPr>
    </w:p>
    <w:p w14:paraId="2CBE2134">
      <w:pPr>
        <w:snapToGrid w:val="0"/>
        <w:spacing w:line="600" w:lineRule="auto"/>
        <w:rPr>
          <w:rFonts w:hint="eastAsia" w:ascii="宋体" w:hAnsi="宋体" w:cs="宋体"/>
          <w:color w:val="auto"/>
          <w:sz w:val="24"/>
          <w:highlight w:val="none"/>
          <w:shd w:val="clear" w:color="auto" w:fill="auto"/>
          <w:lang w:eastAsia="zh-CN"/>
        </w:rPr>
      </w:pPr>
    </w:p>
    <w:p w14:paraId="085769D4">
      <w:pPr>
        <w:snapToGrid w:val="0"/>
        <w:spacing w:line="600" w:lineRule="auto"/>
        <w:rPr>
          <w:rFonts w:hint="eastAsia" w:ascii="宋体" w:hAnsi="宋体" w:cs="宋体"/>
          <w:color w:val="auto"/>
          <w:sz w:val="24"/>
          <w:highlight w:val="none"/>
          <w:shd w:val="clear" w:color="auto" w:fill="auto"/>
          <w:lang w:eastAsia="zh-CN"/>
        </w:rPr>
      </w:pPr>
    </w:p>
    <w:p w14:paraId="21AFA8D7">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B52FE5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369502">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BA6B980">
      <w:pPr>
        <w:rPr>
          <w:rFonts w:hint="eastAsia" w:ascii="宋体" w:hAnsi="宋体" w:eastAsia="宋体" w:cs="宋体"/>
          <w:b/>
          <w:color w:val="auto"/>
          <w:kern w:val="2"/>
          <w:sz w:val="30"/>
          <w:szCs w:val="30"/>
          <w:shd w:val="clear" w:fill="auto"/>
          <w:lang w:val="en-US" w:eastAsia="zh-CN" w:bidi="ar-SA"/>
        </w:rPr>
      </w:pPr>
      <w:r>
        <w:rPr>
          <w:rFonts w:hint="eastAsia" w:ascii="宋体" w:hAnsi="宋体" w:eastAsia="宋体" w:cs="宋体"/>
          <w:b/>
          <w:color w:val="auto"/>
          <w:kern w:val="2"/>
          <w:sz w:val="30"/>
          <w:szCs w:val="30"/>
          <w:shd w:val="clear" w:fill="auto"/>
          <w:lang w:val="en-US" w:eastAsia="zh-CN" w:bidi="ar-SA"/>
        </w:rPr>
        <w:br w:type="page"/>
      </w:r>
    </w:p>
    <w:p w14:paraId="1EADA27E">
      <w:pPr>
        <w:numPr>
          <w:ilvl w:val="0"/>
          <w:numId w:val="0"/>
        </w:numPr>
        <w:rPr>
          <w:rFonts w:hint="eastAsia" w:ascii="宋体" w:hAnsi="宋体" w:cs="宋体"/>
          <w:b/>
          <w:color w:val="auto"/>
          <w:kern w:val="2"/>
          <w:sz w:val="30"/>
          <w:szCs w:val="30"/>
          <w:highlight w:val="none"/>
          <w:shd w:val="clear" w:fill="auto"/>
          <w:lang w:val="en-US" w:eastAsia="zh-CN" w:bidi="ar-SA"/>
        </w:rPr>
      </w:pPr>
      <w:r>
        <w:rPr>
          <w:rFonts w:hint="eastAsia" w:ascii="宋体" w:hAnsi="宋体" w:eastAsia="宋体" w:cs="宋体"/>
          <w:b/>
          <w:color w:val="auto"/>
          <w:kern w:val="2"/>
          <w:sz w:val="30"/>
          <w:szCs w:val="30"/>
          <w:shd w:val="clear" w:fill="auto"/>
          <w:lang w:val="en-US" w:eastAsia="zh-CN" w:bidi="ar-SA"/>
        </w:rPr>
        <w:t>1</w:t>
      </w:r>
      <w:r>
        <w:rPr>
          <w:rFonts w:hint="eastAsia" w:ascii="宋体" w:hAnsi="宋体" w:cs="宋体"/>
          <w:b/>
          <w:color w:val="auto"/>
          <w:kern w:val="2"/>
          <w:sz w:val="30"/>
          <w:szCs w:val="30"/>
          <w:shd w:val="clear" w:fill="auto"/>
          <w:lang w:val="en-US" w:eastAsia="zh-CN" w:bidi="ar-SA"/>
        </w:rPr>
        <w:t>1</w:t>
      </w:r>
      <w:r>
        <w:rPr>
          <w:rFonts w:hint="eastAsia" w:ascii="宋体" w:hAnsi="宋体" w:eastAsia="宋体" w:cs="宋体"/>
          <w:b/>
          <w:color w:val="auto"/>
          <w:kern w:val="2"/>
          <w:sz w:val="30"/>
          <w:szCs w:val="30"/>
          <w:shd w:val="clear" w:fill="auto"/>
          <w:lang w:val="en-US" w:eastAsia="zh-CN" w:bidi="ar-SA"/>
        </w:rPr>
        <w:t>、产品注册证或备案证明（需在有效期内）</w:t>
      </w:r>
    </w:p>
    <w:p w14:paraId="4C5A45E0">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51CB44FD">
      <w:pPr>
        <w:numPr>
          <w:ilvl w:val="0"/>
          <w:numId w:val="0"/>
        </w:numPr>
        <w:rPr>
          <w:rFonts w:hint="default"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t>12、产品技术支持文件（包含但不限于产品检测报告、产品彩页或技术白皮书等）</w:t>
      </w:r>
    </w:p>
    <w:p w14:paraId="22167079">
      <w:pPr>
        <w:numPr>
          <w:ilvl w:val="0"/>
          <w:numId w:val="0"/>
        </w:numPr>
        <w:bidi w:val="0"/>
        <w:jc w:val="both"/>
        <w:rPr>
          <w:rFonts w:hint="eastAsia"/>
          <w:color w:val="auto"/>
          <w:highlight w:val="none"/>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3E2EA83">
      <w:pPr>
        <w:pStyle w:val="10"/>
        <w:numPr>
          <w:ilvl w:val="0"/>
          <w:numId w:val="0"/>
        </w:numPr>
        <w:ind w:leftChars="0"/>
        <w:jc w:val="both"/>
        <w:rPr>
          <w:rFonts w:hint="default"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13、售后服务承诺书</w:t>
      </w:r>
    </w:p>
    <w:p w14:paraId="56D8A79E">
      <w:pPr>
        <w:numPr>
          <w:ilvl w:val="0"/>
          <w:numId w:val="0"/>
        </w:numPr>
        <w:bidi w:val="0"/>
        <w:jc w:val="both"/>
        <w:rPr>
          <w:rFonts w:hint="eastAsia"/>
          <w:color w:val="auto"/>
          <w:highlight w:val="none"/>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06D412FE">
      <w:pPr>
        <w:numPr>
          <w:ilvl w:val="0"/>
          <w:numId w:val="0"/>
        </w:numPr>
        <w:rPr>
          <w:rFonts w:hint="eastAsia" w:ascii="宋体" w:hAnsi="宋体" w:cs="宋体"/>
          <w:b/>
          <w:color w:val="auto"/>
          <w:kern w:val="2"/>
          <w:sz w:val="30"/>
          <w:szCs w:val="30"/>
          <w:highlight w:val="none"/>
          <w:shd w:val="clear" w:fill="auto"/>
          <w:lang w:val="en-US" w:eastAsia="zh-CN" w:bidi="ar-SA"/>
        </w:rPr>
      </w:pPr>
      <w:r>
        <w:rPr>
          <w:rFonts w:hint="eastAsia" w:ascii="宋体" w:hAnsi="宋体" w:cs="宋体"/>
          <w:b/>
          <w:color w:val="auto"/>
          <w:kern w:val="2"/>
          <w:sz w:val="30"/>
          <w:szCs w:val="30"/>
          <w:highlight w:val="none"/>
          <w:shd w:val="clear" w:fill="auto"/>
          <w:lang w:val="en-US" w:eastAsia="zh-CN" w:bidi="ar-SA"/>
        </w:rPr>
        <w:t>14、服务方案（服务承诺详述、维修、培训以及服务联系人、联系方式等详述）</w:t>
      </w:r>
    </w:p>
    <w:p w14:paraId="1EB0F67B">
      <w:pPr>
        <w:numPr>
          <w:ilvl w:val="0"/>
          <w:numId w:val="0"/>
        </w:numPr>
        <w:rPr>
          <w:rFonts w:hint="default" w:ascii="宋体" w:hAnsi="宋体" w:cs="宋体"/>
          <w:b/>
          <w:color w:val="auto"/>
          <w:kern w:val="2"/>
          <w:sz w:val="30"/>
          <w:szCs w:val="30"/>
          <w:highlight w:val="none"/>
          <w:shd w:val="clear" w:fill="auto"/>
          <w:lang w:val="en-US" w:eastAsia="zh-CN" w:bidi="ar-SA"/>
        </w:rPr>
      </w:pPr>
      <w:r>
        <w:rPr>
          <w:rFonts w:hint="eastAsia" w:ascii="宋体" w:hAnsi="宋体" w:cs="宋体"/>
          <w:bCs/>
          <w:color w:val="auto"/>
          <w:sz w:val="24"/>
          <w:szCs w:val="24"/>
          <w:highlight w:val="none"/>
          <w:shd w:val="clear" w:color="auto" w:fill="auto"/>
          <w:lang w:val="en-US" w:eastAsia="zh-CN"/>
        </w:rPr>
        <w:t>应答：包含但不限于配送方案及应急处理方案、培训方案，服务明确响应时间、出现质量问题解决时间、服务响应的联系人及联系方式，配送车辆安排等相关信息及证明材料。</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3727DC0D">
      <w:pPr>
        <w:pStyle w:val="37"/>
        <w:ind w:left="0" w:leftChars="0" w:firstLine="0" w:firstLineChars="0"/>
        <w:jc w:val="left"/>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t>15、投标人根据采购文件要求提供的其他材料</w:t>
      </w:r>
    </w:p>
    <w:bookmarkEnd w:id="114"/>
    <w:bookmarkEnd w:id="136"/>
    <w:bookmarkEnd w:id="137"/>
    <w:bookmarkEnd w:id="138"/>
    <w:p w14:paraId="78858D84">
      <w:pPr>
        <w:pStyle w:val="35"/>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lang w:eastAsia="zh-CN"/>
        </w:rPr>
        <w:t>注：1.投标文件的内容包括但不仅限于上述内容，如有不足请自行补充。</w:t>
      </w:r>
    </w:p>
    <w:p w14:paraId="789D8313">
      <w:pPr>
        <w:pStyle w:val="35"/>
        <w:rPr>
          <w:rFonts w:hint="eastAsia" w:ascii="宋体" w:hAnsi="宋体" w:eastAsia="宋体" w:cs="宋体"/>
          <w:color w:val="auto"/>
          <w:highlight w:val="none"/>
          <w:lang w:val="en-US" w:eastAsia="zh-CN"/>
        </w:rPr>
      </w:pPr>
      <w:r>
        <w:rPr>
          <w:rFonts w:hint="eastAsia" w:ascii="宋体" w:hAnsi="宋体" w:eastAsia="宋体" w:cs="宋体"/>
          <w:bCs/>
          <w:color w:val="auto"/>
          <w:sz w:val="24"/>
          <w:szCs w:val="24"/>
          <w:highlight w:val="none"/>
          <w:shd w:val="clear" w:color="auto" w:fill="auto"/>
          <w:lang w:eastAsia="zh-CN"/>
        </w:rPr>
        <w:t>2.采购文件为提供格式的，请投标人自拟。</w:t>
      </w:r>
    </w:p>
    <w:p w14:paraId="7DDB7757">
      <w:pPr>
        <w:rPr>
          <w:rFonts w:hint="default" w:ascii="宋体" w:hAnsi="宋体" w:eastAsia="宋体" w:cs="宋体"/>
          <w:b/>
          <w:color w:val="auto"/>
          <w:kern w:val="2"/>
          <w:sz w:val="30"/>
          <w:szCs w:val="30"/>
          <w:highlight w:val="none"/>
          <w:shd w:val="clear" w:color="auto" w:fill="auto"/>
          <w:lang w:val="en-US" w:eastAsia="zh-CN" w:bidi="ar-SA"/>
        </w:rPr>
      </w:pPr>
      <w:bookmarkStart w:id="139" w:name="1120129-1185072-3_1"/>
      <w:bookmarkEnd w:id="139"/>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D1A6">
    <w:pPr>
      <w:pStyle w:val="24"/>
      <w:spacing w:before="0" w:beforeAutospacing="0" w:after="0" w:afterAutospacing="0"/>
      <w:rPr>
        <w:rFonts w:hint="eastAsia" w:ascii="仿宋" w:hAnsi="仿宋" w:eastAsia="仿宋" w:cs="仿宋"/>
        <w:b/>
        <w:bCs/>
        <w:color w:val="auto"/>
        <w:sz w:val="21"/>
        <w:szCs w:val="21"/>
        <w:highlight w:val="none"/>
      </w:rPr>
    </w:pPr>
  </w:p>
  <w:p w14:paraId="0EF755FE">
    <w:pPr>
      <w:pStyle w:val="24"/>
      <w:spacing w:before="0" w:beforeAutospacing="0" w:after="0" w:afterAutospacing="0"/>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4"/>
        <w:rFonts w:hint="eastAsia" w:ascii="仿宋" w:hAnsi="仿宋" w:eastAsia="仿宋" w:cs="仿宋"/>
        <w:b/>
        <w:bCs/>
        <w:color w:val="auto"/>
        <w:sz w:val="21"/>
        <w:szCs w:val="21"/>
        <w:highlight w:val="none"/>
      </w:rPr>
      <w:t>0991-4659594、</w:t>
    </w:r>
    <w:r>
      <w:rPr>
        <w:rStyle w:val="34"/>
        <w:rFonts w:hint="eastAsia" w:ascii="仿宋" w:hAnsi="仿宋" w:eastAsia="仿宋" w:cs="仿宋"/>
        <w:b/>
        <w:bCs/>
        <w:color w:val="auto"/>
        <w:sz w:val="21"/>
        <w:szCs w:val="21"/>
        <w:highlight w:val="none"/>
        <w:lang w:eastAsia="zh-CN"/>
      </w:rPr>
      <w:t>13201200217</w:t>
    </w:r>
  </w:p>
  <w:p w14:paraId="2FEE03A1">
    <w:pPr>
      <w:pStyle w:val="24"/>
      <w:spacing w:before="0" w:beforeAutospacing="0" w:after="0" w:afterAutospacing="0"/>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5A187BF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5E2C">
    <w:pPr>
      <w:pStyle w:val="24"/>
      <w:spacing w:before="0" w:beforeAutospacing="0" w:after="0" w:afterAutospacing="0"/>
      <w:rPr>
        <w:rFonts w:hint="eastAsia" w:ascii="仿宋" w:hAnsi="仿宋" w:eastAsia="仿宋" w:cs="仿宋"/>
        <w:b/>
        <w:bCs/>
        <w:color w:val="auto"/>
        <w:sz w:val="21"/>
        <w:szCs w:val="21"/>
        <w:highlight w:val="none"/>
      </w:rPr>
    </w:pPr>
  </w:p>
  <w:p w14:paraId="44AECD3F">
    <w:pPr>
      <w:pStyle w:val="24"/>
      <w:spacing w:before="0" w:beforeAutospacing="0" w:after="0" w:afterAutospacing="0"/>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4"/>
        <w:rFonts w:hint="eastAsia" w:ascii="仿宋" w:hAnsi="仿宋" w:eastAsia="仿宋" w:cs="仿宋"/>
        <w:b/>
        <w:bCs/>
        <w:color w:val="auto"/>
        <w:sz w:val="21"/>
        <w:szCs w:val="21"/>
        <w:highlight w:val="none"/>
      </w:rPr>
      <w:t>0991-4659594、</w:t>
    </w:r>
    <w:r>
      <w:rPr>
        <w:rStyle w:val="34"/>
        <w:rFonts w:hint="eastAsia" w:ascii="仿宋" w:hAnsi="仿宋" w:eastAsia="仿宋" w:cs="仿宋"/>
        <w:b/>
        <w:bCs/>
        <w:color w:val="auto"/>
        <w:sz w:val="21"/>
        <w:szCs w:val="21"/>
        <w:highlight w:val="none"/>
        <w:lang w:eastAsia="zh-CN"/>
      </w:rPr>
      <w:t>13201200217</w:t>
    </w:r>
  </w:p>
  <w:p w14:paraId="095C8CFD">
    <w:pPr>
      <w:pStyle w:val="24"/>
      <w:spacing w:before="0" w:beforeAutospacing="0" w:after="0" w:afterAutospacing="0"/>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6247A361">
    <w:pPr>
      <w:spacing w:line="196" w:lineRule="auto"/>
      <w:ind w:left="4779"/>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84B1">
    <w:pPr>
      <w:spacing w:line="196" w:lineRule="auto"/>
      <w:ind w:left="4779"/>
      <w:rPr>
        <w:rFonts w:hint="eastAsia" w:ascii="仿宋" w:hAnsi="仿宋" w:eastAsia="仿宋" w:cs="仿宋"/>
        <w:b/>
        <w:bCs/>
        <w:color w:val="auto"/>
        <w:sz w:val="21"/>
        <w:szCs w:val="21"/>
        <w:highlight w:val="none"/>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E754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90E754E">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011884CB">
    <w:pPr>
      <w:pStyle w:val="24"/>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4"/>
        <w:rFonts w:hint="eastAsia" w:ascii="仿宋" w:hAnsi="仿宋" w:eastAsia="仿宋" w:cs="仿宋"/>
        <w:b/>
        <w:bCs/>
        <w:color w:val="auto"/>
        <w:sz w:val="21"/>
        <w:szCs w:val="21"/>
        <w:highlight w:val="none"/>
      </w:rPr>
      <w:t>0991-4659594、</w:t>
    </w:r>
    <w:r>
      <w:rPr>
        <w:rStyle w:val="34"/>
        <w:rFonts w:hint="eastAsia" w:ascii="仿宋" w:hAnsi="仿宋" w:eastAsia="仿宋" w:cs="仿宋"/>
        <w:b/>
        <w:bCs/>
        <w:color w:val="auto"/>
        <w:sz w:val="21"/>
        <w:szCs w:val="21"/>
        <w:highlight w:val="none"/>
        <w:lang w:eastAsia="zh-CN"/>
      </w:rPr>
      <w:t>13201200217</w:t>
    </w:r>
  </w:p>
  <w:p w14:paraId="165BF815">
    <w:pPr>
      <w:pStyle w:val="24"/>
      <w:spacing w:before="0" w:beforeAutospacing="0" w:after="0" w:afterAutospacing="0"/>
      <w:ind w:firstLine="632"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6497D087">
    <w:pPr>
      <w:spacing w:line="196" w:lineRule="auto"/>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7137">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6BBD2">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F16BBD2">
                    <w:pPr>
                      <w:pStyle w:val="18"/>
                    </w:pPr>
                    <w:r>
                      <w:fldChar w:fldCharType="begin"/>
                    </w:r>
                    <w:r>
                      <w:instrText xml:space="preserve"> PAGE  \* MERGEFORMAT </w:instrText>
                    </w:r>
                    <w:r>
                      <w:fldChar w:fldCharType="separate"/>
                    </w:r>
                    <w:r>
                      <w:t>26</w:t>
                    </w:r>
                    <w:r>
                      <w:fldChar w:fldCharType="end"/>
                    </w:r>
                  </w:p>
                </w:txbxContent>
              </v:textbox>
            </v:shape>
          </w:pict>
        </mc:Fallback>
      </mc:AlternateContent>
    </w: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FA00">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74B1F">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8D74B1F">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9E8F">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D84BD">
                          <w:pPr>
                            <w:pStyle w:val="1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3BD84BD">
                    <w:pPr>
                      <w:pStyle w:val="1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EB88">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76B1E">
                          <w:pPr>
                            <w:pStyle w:val="1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5176B1E">
                    <w:pPr>
                      <w:pStyle w:val="1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FC4B">
    <w:pPr>
      <w:spacing w:line="400" w:lineRule="exact"/>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DA67">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9AF5">
    <w:pPr>
      <w:spacing w:line="400" w:lineRule="exact"/>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D2CE0"/>
    <w:multiLevelType w:val="singleLevel"/>
    <w:tmpl w:val="880D2CE0"/>
    <w:lvl w:ilvl="0" w:tentative="0">
      <w:start w:val="1"/>
      <w:numFmt w:val="decimal"/>
      <w:suff w:val="nothing"/>
      <w:lvlText w:val="%1、"/>
      <w:lvlJc w:val="left"/>
    </w:lvl>
  </w:abstractNum>
  <w:abstractNum w:abstractNumId="1">
    <w:nsid w:val="88548EC2"/>
    <w:multiLevelType w:val="singleLevel"/>
    <w:tmpl w:val="88548EC2"/>
    <w:lvl w:ilvl="0" w:tentative="0">
      <w:start w:val="2"/>
      <w:numFmt w:val="decimal"/>
      <w:suff w:val="nothing"/>
      <w:lvlText w:val="%1、"/>
      <w:lvlJc w:val="left"/>
    </w:lvl>
  </w:abstractNum>
  <w:abstractNum w:abstractNumId="2">
    <w:nsid w:val="983F835E"/>
    <w:multiLevelType w:val="singleLevel"/>
    <w:tmpl w:val="983F835E"/>
    <w:lvl w:ilvl="0" w:tentative="0">
      <w:start w:val="2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C94C446"/>
    <w:multiLevelType w:val="singleLevel"/>
    <w:tmpl w:val="EC94C446"/>
    <w:lvl w:ilvl="0" w:tentative="0">
      <w:start w:val="33"/>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30DC0E0A"/>
    <w:multiLevelType w:val="singleLevel"/>
    <w:tmpl w:val="30DC0E0A"/>
    <w:lvl w:ilvl="0" w:tentative="0">
      <w:start w:val="1"/>
      <w:numFmt w:val="decimal"/>
      <w:suff w:val="nothing"/>
      <w:lvlText w:val="%1、"/>
      <w:lvlJc w:val="left"/>
    </w:lvl>
  </w:abstractNum>
  <w:abstractNum w:abstractNumId="11">
    <w:nsid w:val="5A19B767"/>
    <w:multiLevelType w:val="singleLevel"/>
    <w:tmpl w:val="5A19B767"/>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12"/>
  </w:num>
  <w:num w:numId="3">
    <w:abstractNumId w:val="4"/>
  </w:num>
  <w:num w:numId="4">
    <w:abstractNumId w:val="9"/>
  </w:num>
  <w:num w:numId="5">
    <w:abstractNumId w:val="6"/>
  </w:num>
  <w:num w:numId="6">
    <w:abstractNumId w:val="5"/>
  </w:num>
  <w:num w:numId="7">
    <w:abstractNumId w:val="3"/>
  </w:num>
  <w:num w:numId="8">
    <w:abstractNumId w:val="7"/>
  </w:num>
  <w:num w:numId="9">
    <w:abstractNumId w:val="11"/>
  </w:num>
  <w:num w:numId="10">
    <w:abstractNumId w:val="0"/>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I4NGI4OWZmZTk1ODQ5MWE1OGYwNzgzNzU4MWIifQ=="/>
  </w:docVars>
  <w:rsids>
    <w:rsidRoot w:val="00000000"/>
    <w:rsid w:val="0008172E"/>
    <w:rsid w:val="000A6C91"/>
    <w:rsid w:val="00146BEF"/>
    <w:rsid w:val="00161899"/>
    <w:rsid w:val="001D4206"/>
    <w:rsid w:val="00204F1A"/>
    <w:rsid w:val="00281337"/>
    <w:rsid w:val="00294185"/>
    <w:rsid w:val="002D4797"/>
    <w:rsid w:val="00454F9A"/>
    <w:rsid w:val="00464F2A"/>
    <w:rsid w:val="00514B03"/>
    <w:rsid w:val="00617BAC"/>
    <w:rsid w:val="008E4165"/>
    <w:rsid w:val="008F0A37"/>
    <w:rsid w:val="009A59D3"/>
    <w:rsid w:val="009C3FB7"/>
    <w:rsid w:val="00A26E7A"/>
    <w:rsid w:val="00A73409"/>
    <w:rsid w:val="00B62E97"/>
    <w:rsid w:val="00B7652F"/>
    <w:rsid w:val="00C30539"/>
    <w:rsid w:val="00C93CF3"/>
    <w:rsid w:val="00CF16B2"/>
    <w:rsid w:val="00E83F87"/>
    <w:rsid w:val="00F05596"/>
    <w:rsid w:val="00F83BBB"/>
    <w:rsid w:val="00FA4984"/>
    <w:rsid w:val="00FE6558"/>
    <w:rsid w:val="010D5EC5"/>
    <w:rsid w:val="011E7FE5"/>
    <w:rsid w:val="011F532B"/>
    <w:rsid w:val="01431C28"/>
    <w:rsid w:val="01454888"/>
    <w:rsid w:val="01455F17"/>
    <w:rsid w:val="014A0195"/>
    <w:rsid w:val="01557D86"/>
    <w:rsid w:val="0161161E"/>
    <w:rsid w:val="016A5229"/>
    <w:rsid w:val="01883D54"/>
    <w:rsid w:val="018F1F55"/>
    <w:rsid w:val="01937797"/>
    <w:rsid w:val="01A15361"/>
    <w:rsid w:val="01BF4FD4"/>
    <w:rsid w:val="01C016C0"/>
    <w:rsid w:val="01C417A4"/>
    <w:rsid w:val="01C82F20"/>
    <w:rsid w:val="01CB3DD3"/>
    <w:rsid w:val="01D41E6A"/>
    <w:rsid w:val="01E128F1"/>
    <w:rsid w:val="01EC66B2"/>
    <w:rsid w:val="01EE2348"/>
    <w:rsid w:val="01EF29DF"/>
    <w:rsid w:val="02015A4B"/>
    <w:rsid w:val="02056CE6"/>
    <w:rsid w:val="02075520"/>
    <w:rsid w:val="020B009E"/>
    <w:rsid w:val="020C3669"/>
    <w:rsid w:val="020E7526"/>
    <w:rsid w:val="02132811"/>
    <w:rsid w:val="021B59A9"/>
    <w:rsid w:val="02292ACE"/>
    <w:rsid w:val="02294529"/>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81AC5"/>
    <w:rsid w:val="0289085D"/>
    <w:rsid w:val="028A6F7C"/>
    <w:rsid w:val="02C14803"/>
    <w:rsid w:val="02C313AB"/>
    <w:rsid w:val="02C820BA"/>
    <w:rsid w:val="02D92D78"/>
    <w:rsid w:val="02EB2C68"/>
    <w:rsid w:val="02ED5985"/>
    <w:rsid w:val="02EE1C6F"/>
    <w:rsid w:val="02F17034"/>
    <w:rsid w:val="02F261EA"/>
    <w:rsid w:val="02F3345B"/>
    <w:rsid w:val="02F40DB3"/>
    <w:rsid w:val="03125B78"/>
    <w:rsid w:val="03175930"/>
    <w:rsid w:val="031F3158"/>
    <w:rsid w:val="03446CAE"/>
    <w:rsid w:val="034B44A3"/>
    <w:rsid w:val="036B4029"/>
    <w:rsid w:val="036D5093"/>
    <w:rsid w:val="037E4DB0"/>
    <w:rsid w:val="038124E3"/>
    <w:rsid w:val="03830824"/>
    <w:rsid w:val="0397077B"/>
    <w:rsid w:val="039C5F8A"/>
    <w:rsid w:val="03A34A22"/>
    <w:rsid w:val="03A369B9"/>
    <w:rsid w:val="03AF6C6B"/>
    <w:rsid w:val="03BF71B5"/>
    <w:rsid w:val="03BF7E06"/>
    <w:rsid w:val="03C15826"/>
    <w:rsid w:val="03D81831"/>
    <w:rsid w:val="03DE41AE"/>
    <w:rsid w:val="03E106F7"/>
    <w:rsid w:val="03E37A51"/>
    <w:rsid w:val="04093C03"/>
    <w:rsid w:val="04156F31"/>
    <w:rsid w:val="0423616E"/>
    <w:rsid w:val="042D60CF"/>
    <w:rsid w:val="043B6D06"/>
    <w:rsid w:val="043D3A66"/>
    <w:rsid w:val="04474DDE"/>
    <w:rsid w:val="04524B2D"/>
    <w:rsid w:val="04594EBE"/>
    <w:rsid w:val="0468091F"/>
    <w:rsid w:val="04695CFB"/>
    <w:rsid w:val="047B22C9"/>
    <w:rsid w:val="047E3544"/>
    <w:rsid w:val="047F0945"/>
    <w:rsid w:val="04844779"/>
    <w:rsid w:val="04854E8F"/>
    <w:rsid w:val="048F701F"/>
    <w:rsid w:val="04A90DB9"/>
    <w:rsid w:val="04AD7B1C"/>
    <w:rsid w:val="04B50C03"/>
    <w:rsid w:val="04BD0C79"/>
    <w:rsid w:val="04C454DC"/>
    <w:rsid w:val="04C80EB0"/>
    <w:rsid w:val="04D80AE9"/>
    <w:rsid w:val="04E12020"/>
    <w:rsid w:val="04E417BF"/>
    <w:rsid w:val="04E72105"/>
    <w:rsid w:val="04FC391F"/>
    <w:rsid w:val="05050840"/>
    <w:rsid w:val="05135387"/>
    <w:rsid w:val="05174EC2"/>
    <w:rsid w:val="0538530C"/>
    <w:rsid w:val="05393DE8"/>
    <w:rsid w:val="05427102"/>
    <w:rsid w:val="054536D0"/>
    <w:rsid w:val="05483AD3"/>
    <w:rsid w:val="054E3E49"/>
    <w:rsid w:val="05502949"/>
    <w:rsid w:val="0557755C"/>
    <w:rsid w:val="0569410E"/>
    <w:rsid w:val="056D374B"/>
    <w:rsid w:val="05710EC2"/>
    <w:rsid w:val="05732B11"/>
    <w:rsid w:val="05744F19"/>
    <w:rsid w:val="057929FC"/>
    <w:rsid w:val="057D1E6A"/>
    <w:rsid w:val="0587053A"/>
    <w:rsid w:val="05881032"/>
    <w:rsid w:val="05946D18"/>
    <w:rsid w:val="05B418E6"/>
    <w:rsid w:val="05B91364"/>
    <w:rsid w:val="05C174EC"/>
    <w:rsid w:val="05C2341A"/>
    <w:rsid w:val="05CC2B24"/>
    <w:rsid w:val="05CC7357"/>
    <w:rsid w:val="05E37A63"/>
    <w:rsid w:val="05FB6D97"/>
    <w:rsid w:val="06002114"/>
    <w:rsid w:val="06035901"/>
    <w:rsid w:val="06055520"/>
    <w:rsid w:val="060E438E"/>
    <w:rsid w:val="061424E5"/>
    <w:rsid w:val="061D443E"/>
    <w:rsid w:val="061F025B"/>
    <w:rsid w:val="06273EBA"/>
    <w:rsid w:val="06344D1B"/>
    <w:rsid w:val="063C481E"/>
    <w:rsid w:val="06471FDD"/>
    <w:rsid w:val="0648551F"/>
    <w:rsid w:val="065021C5"/>
    <w:rsid w:val="065D2DEC"/>
    <w:rsid w:val="065E07BC"/>
    <w:rsid w:val="066174AF"/>
    <w:rsid w:val="066462EE"/>
    <w:rsid w:val="066F5D15"/>
    <w:rsid w:val="068723D9"/>
    <w:rsid w:val="06932236"/>
    <w:rsid w:val="06942B4F"/>
    <w:rsid w:val="069D1CFC"/>
    <w:rsid w:val="06A42F8B"/>
    <w:rsid w:val="06B025BD"/>
    <w:rsid w:val="06BB0B67"/>
    <w:rsid w:val="06BD5E7A"/>
    <w:rsid w:val="06BF0909"/>
    <w:rsid w:val="06BF7DC5"/>
    <w:rsid w:val="06C574A8"/>
    <w:rsid w:val="06DB2C97"/>
    <w:rsid w:val="06E07C48"/>
    <w:rsid w:val="06E12B83"/>
    <w:rsid w:val="06E14136"/>
    <w:rsid w:val="06E95BBD"/>
    <w:rsid w:val="06EC076D"/>
    <w:rsid w:val="06F85085"/>
    <w:rsid w:val="06FB7F21"/>
    <w:rsid w:val="06FF0635"/>
    <w:rsid w:val="0710782F"/>
    <w:rsid w:val="071A5701"/>
    <w:rsid w:val="07414C7E"/>
    <w:rsid w:val="07451A22"/>
    <w:rsid w:val="075637AE"/>
    <w:rsid w:val="075744B7"/>
    <w:rsid w:val="076444C8"/>
    <w:rsid w:val="07843053"/>
    <w:rsid w:val="07891819"/>
    <w:rsid w:val="078C1C6B"/>
    <w:rsid w:val="07972629"/>
    <w:rsid w:val="07986982"/>
    <w:rsid w:val="079E5C2C"/>
    <w:rsid w:val="079F215D"/>
    <w:rsid w:val="07A82F05"/>
    <w:rsid w:val="07B47D47"/>
    <w:rsid w:val="07D520E2"/>
    <w:rsid w:val="07D92EA2"/>
    <w:rsid w:val="07DF6075"/>
    <w:rsid w:val="07E9494F"/>
    <w:rsid w:val="07EB416A"/>
    <w:rsid w:val="07FA1B3C"/>
    <w:rsid w:val="080D1F98"/>
    <w:rsid w:val="081311EB"/>
    <w:rsid w:val="081E5B36"/>
    <w:rsid w:val="081F50C3"/>
    <w:rsid w:val="08202360"/>
    <w:rsid w:val="08242955"/>
    <w:rsid w:val="08316AA1"/>
    <w:rsid w:val="08326375"/>
    <w:rsid w:val="083737F4"/>
    <w:rsid w:val="083B58EC"/>
    <w:rsid w:val="085302CF"/>
    <w:rsid w:val="08755BCF"/>
    <w:rsid w:val="0889068B"/>
    <w:rsid w:val="088C7A37"/>
    <w:rsid w:val="08987A61"/>
    <w:rsid w:val="08AC29EE"/>
    <w:rsid w:val="08AE00F1"/>
    <w:rsid w:val="08B25CD3"/>
    <w:rsid w:val="08B37162"/>
    <w:rsid w:val="08B7612A"/>
    <w:rsid w:val="08C138B7"/>
    <w:rsid w:val="08C16CD1"/>
    <w:rsid w:val="08CC2E0B"/>
    <w:rsid w:val="08D36D1C"/>
    <w:rsid w:val="08D824EB"/>
    <w:rsid w:val="08E2228D"/>
    <w:rsid w:val="08E54069"/>
    <w:rsid w:val="08F070B8"/>
    <w:rsid w:val="09024EEC"/>
    <w:rsid w:val="0906101C"/>
    <w:rsid w:val="091A69F6"/>
    <w:rsid w:val="094445DB"/>
    <w:rsid w:val="09495FEF"/>
    <w:rsid w:val="094979E6"/>
    <w:rsid w:val="0953146E"/>
    <w:rsid w:val="09553615"/>
    <w:rsid w:val="097337E4"/>
    <w:rsid w:val="097D1531"/>
    <w:rsid w:val="098211BD"/>
    <w:rsid w:val="09867A33"/>
    <w:rsid w:val="0994772E"/>
    <w:rsid w:val="099757B6"/>
    <w:rsid w:val="09A90F57"/>
    <w:rsid w:val="09AB63DF"/>
    <w:rsid w:val="09AF41F6"/>
    <w:rsid w:val="09BA1A5E"/>
    <w:rsid w:val="09BB47C3"/>
    <w:rsid w:val="09E81DBB"/>
    <w:rsid w:val="09EA5ED1"/>
    <w:rsid w:val="09F84D5E"/>
    <w:rsid w:val="09FA43AB"/>
    <w:rsid w:val="09FF768D"/>
    <w:rsid w:val="0A356F59"/>
    <w:rsid w:val="0A402359"/>
    <w:rsid w:val="0A477B17"/>
    <w:rsid w:val="0A4C1174"/>
    <w:rsid w:val="0A5251A1"/>
    <w:rsid w:val="0A564CAA"/>
    <w:rsid w:val="0A574C4E"/>
    <w:rsid w:val="0A5E59F2"/>
    <w:rsid w:val="0A7A73A4"/>
    <w:rsid w:val="0A7C5D9A"/>
    <w:rsid w:val="0A912F60"/>
    <w:rsid w:val="0AA25A34"/>
    <w:rsid w:val="0AA70FFE"/>
    <w:rsid w:val="0AAC240E"/>
    <w:rsid w:val="0AAE43D8"/>
    <w:rsid w:val="0AC57D42"/>
    <w:rsid w:val="0AC820C6"/>
    <w:rsid w:val="0AC90CD4"/>
    <w:rsid w:val="0ACB60AD"/>
    <w:rsid w:val="0ADD6518"/>
    <w:rsid w:val="0AE75D97"/>
    <w:rsid w:val="0B001CF2"/>
    <w:rsid w:val="0B1023B8"/>
    <w:rsid w:val="0B1D276A"/>
    <w:rsid w:val="0B2E5770"/>
    <w:rsid w:val="0B397DBB"/>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94F85"/>
    <w:rsid w:val="0BE63281"/>
    <w:rsid w:val="0BE97E68"/>
    <w:rsid w:val="0BF01215"/>
    <w:rsid w:val="0C015BDB"/>
    <w:rsid w:val="0C116A61"/>
    <w:rsid w:val="0C1328F8"/>
    <w:rsid w:val="0C285E4F"/>
    <w:rsid w:val="0C2E162E"/>
    <w:rsid w:val="0C321A7D"/>
    <w:rsid w:val="0C3A5F38"/>
    <w:rsid w:val="0C421C91"/>
    <w:rsid w:val="0C48055B"/>
    <w:rsid w:val="0C5C3822"/>
    <w:rsid w:val="0C623D5B"/>
    <w:rsid w:val="0C6336EF"/>
    <w:rsid w:val="0C6C5FB4"/>
    <w:rsid w:val="0C724D77"/>
    <w:rsid w:val="0C743FF7"/>
    <w:rsid w:val="0C744623"/>
    <w:rsid w:val="0C7F2FF0"/>
    <w:rsid w:val="0C837BF8"/>
    <w:rsid w:val="0C857F4D"/>
    <w:rsid w:val="0C945EE3"/>
    <w:rsid w:val="0C98256C"/>
    <w:rsid w:val="0CA51C8C"/>
    <w:rsid w:val="0CAB08F7"/>
    <w:rsid w:val="0CB36A34"/>
    <w:rsid w:val="0CB56ED8"/>
    <w:rsid w:val="0CDB026F"/>
    <w:rsid w:val="0CE12D07"/>
    <w:rsid w:val="0CE23502"/>
    <w:rsid w:val="0CE4308B"/>
    <w:rsid w:val="0CEE1716"/>
    <w:rsid w:val="0D245D59"/>
    <w:rsid w:val="0D26492B"/>
    <w:rsid w:val="0D2A0944"/>
    <w:rsid w:val="0D3F0A7C"/>
    <w:rsid w:val="0D3F7C13"/>
    <w:rsid w:val="0D412F0F"/>
    <w:rsid w:val="0D463B94"/>
    <w:rsid w:val="0D503345"/>
    <w:rsid w:val="0D581BA0"/>
    <w:rsid w:val="0D643C9D"/>
    <w:rsid w:val="0D663D36"/>
    <w:rsid w:val="0D692839"/>
    <w:rsid w:val="0D6C2329"/>
    <w:rsid w:val="0D6E0B47"/>
    <w:rsid w:val="0D714911"/>
    <w:rsid w:val="0D7B0C0D"/>
    <w:rsid w:val="0D8158EB"/>
    <w:rsid w:val="0D8A321D"/>
    <w:rsid w:val="0D8A4D73"/>
    <w:rsid w:val="0D950D58"/>
    <w:rsid w:val="0DA05054"/>
    <w:rsid w:val="0DA475F8"/>
    <w:rsid w:val="0DB24BE8"/>
    <w:rsid w:val="0DB73ADF"/>
    <w:rsid w:val="0DBE2B84"/>
    <w:rsid w:val="0DC02014"/>
    <w:rsid w:val="0DC25076"/>
    <w:rsid w:val="0DDA7D8D"/>
    <w:rsid w:val="0DDD0B79"/>
    <w:rsid w:val="0DE75C7B"/>
    <w:rsid w:val="0DEE2D3E"/>
    <w:rsid w:val="0E0B10A1"/>
    <w:rsid w:val="0E17155D"/>
    <w:rsid w:val="0E4229F8"/>
    <w:rsid w:val="0E4A5DCF"/>
    <w:rsid w:val="0E4C1905"/>
    <w:rsid w:val="0E595FA4"/>
    <w:rsid w:val="0E636DB5"/>
    <w:rsid w:val="0E654101"/>
    <w:rsid w:val="0E95406C"/>
    <w:rsid w:val="0EAF3B53"/>
    <w:rsid w:val="0EB222ED"/>
    <w:rsid w:val="0EC57F43"/>
    <w:rsid w:val="0EC920D0"/>
    <w:rsid w:val="0ECB7A7E"/>
    <w:rsid w:val="0ED2734F"/>
    <w:rsid w:val="0ED3639B"/>
    <w:rsid w:val="0ED62152"/>
    <w:rsid w:val="0EE67DBF"/>
    <w:rsid w:val="0EEF0B20"/>
    <w:rsid w:val="0F020616"/>
    <w:rsid w:val="0F16276E"/>
    <w:rsid w:val="0F17365F"/>
    <w:rsid w:val="0F1D0A4F"/>
    <w:rsid w:val="0F1F677D"/>
    <w:rsid w:val="0F227B67"/>
    <w:rsid w:val="0F252A53"/>
    <w:rsid w:val="0F466BF1"/>
    <w:rsid w:val="0F4B56D3"/>
    <w:rsid w:val="0F4C2387"/>
    <w:rsid w:val="0F4C602A"/>
    <w:rsid w:val="0F4E0EC5"/>
    <w:rsid w:val="0F4E5EF3"/>
    <w:rsid w:val="0F535D74"/>
    <w:rsid w:val="0F86011A"/>
    <w:rsid w:val="0F981AEB"/>
    <w:rsid w:val="0FB10583"/>
    <w:rsid w:val="0FB610D3"/>
    <w:rsid w:val="0FB9307D"/>
    <w:rsid w:val="0FC74656"/>
    <w:rsid w:val="0FC87A76"/>
    <w:rsid w:val="0FCB0E62"/>
    <w:rsid w:val="0FD760AA"/>
    <w:rsid w:val="0FEA5FC2"/>
    <w:rsid w:val="101908EE"/>
    <w:rsid w:val="101E5995"/>
    <w:rsid w:val="101E758E"/>
    <w:rsid w:val="10296431"/>
    <w:rsid w:val="102F4D5A"/>
    <w:rsid w:val="10382707"/>
    <w:rsid w:val="10412694"/>
    <w:rsid w:val="104B2267"/>
    <w:rsid w:val="104B5041"/>
    <w:rsid w:val="104C1526"/>
    <w:rsid w:val="10550BEA"/>
    <w:rsid w:val="105C2FD7"/>
    <w:rsid w:val="106043C7"/>
    <w:rsid w:val="10737E12"/>
    <w:rsid w:val="107433A5"/>
    <w:rsid w:val="10944581"/>
    <w:rsid w:val="10950E21"/>
    <w:rsid w:val="10A73DA4"/>
    <w:rsid w:val="10A8024D"/>
    <w:rsid w:val="10AD59D5"/>
    <w:rsid w:val="10B17711"/>
    <w:rsid w:val="10C5247C"/>
    <w:rsid w:val="10CD557B"/>
    <w:rsid w:val="10D821AF"/>
    <w:rsid w:val="10EB179B"/>
    <w:rsid w:val="10EF4B23"/>
    <w:rsid w:val="10F92A97"/>
    <w:rsid w:val="110B2052"/>
    <w:rsid w:val="110D797F"/>
    <w:rsid w:val="1112279C"/>
    <w:rsid w:val="11190CA6"/>
    <w:rsid w:val="113949BB"/>
    <w:rsid w:val="114710E3"/>
    <w:rsid w:val="114B2A0F"/>
    <w:rsid w:val="11593A1D"/>
    <w:rsid w:val="11610D9E"/>
    <w:rsid w:val="11734DC4"/>
    <w:rsid w:val="117D32AF"/>
    <w:rsid w:val="118678B4"/>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1F5BBC"/>
    <w:rsid w:val="12221650"/>
    <w:rsid w:val="12241840"/>
    <w:rsid w:val="122B7211"/>
    <w:rsid w:val="12311EE9"/>
    <w:rsid w:val="12312740"/>
    <w:rsid w:val="12337CD3"/>
    <w:rsid w:val="12473E5E"/>
    <w:rsid w:val="124904BB"/>
    <w:rsid w:val="124F4532"/>
    <w:rsid w:val="12595AE4"/>
    <w:rsid w:val="125B3ADD"/>
    <w:rsid w:val="126C5111"/>
    <w:rsid w:val="126D6F98"/>
    <w:rsid w:val="126F1D5E"/>
    <w:rsid w:val="12721925"/>
    <w:rsid w:val="127B54E8"/>
    <w:rsid w:val="12894298"/>
    <w:rsid w:val="128D3ED3"/>
    <w:rsid w:val="129E368A"/>
    <w:rsid w:val="12B73E93"/>
    <w:rsid w:val="12C52EDB"/>
    <w:rsid w:val="12DD0CFF"/>
    <w:rsid w:val="12E07076"/>
    <w:rsid w:val="12E11EDA"/>
    <w:rsid w:val="12EF24EC"/>
    <w:rsid w:val="12EF3504"/>
    <w:rsid w:val="12EF5C46"/>
    <w:rsid w:val="12FF465F"/>
    <w:rsid w:val="1302679B"/>
    <w:rsid w:val="13036596"/>
    <w:rsid w:val="13040806"/>
    <w:rsid w:val="130D0DF8"/>
    <w:rsid w:val="13253D9A"/>
    <w:rsid w:val="133311E8"/>
    <w:rsid w:val="133717A1"/>
    <w:rsid w:val="133D3589"/>
    <w:rsid w:val="133E4E53"/>
    <w:rsid w:val="13461BDB"/>
    <w:rsid w:val="1358194E"/>
    <w:rsid w:val="13693677"/>
    <w:rsid w:val="13790895"/>
    <w:rsid w:val="1384535D"/>
    <w:rsid w:val="138C61F8"/>
    <w:rsid w:val="13945A6A"/>
    <w:rsid w:val="139E3520"/>
    <w:rsid w:val="139F106B"/>
    <w:rsid w:val="13A46AF3"/>
    <w:rsid w:val="13AB7498"/>
    <w:rsid w:val="13AC02D6"/>
    <w:rsid w:val="13AC331F"/>
    <w:rsid w:val="13AC7ACF"/>
    <w:rsid w:val="13B42377"/>
    <w:rsid w:val="13BA4012"/>
    <w:rsid w:val="13CB66E1"/>
    <w:rsid w:val="13CF6848"/>
    <w:rsid w:val="13D347C6"/>
    <w:rsid w:val="13D549B5"/>
    <w:rsid w:val="13D83EFE"/>
    <w:rsid w:val="13D958DB"/>
    <w:rsid w:val="13FD3CDB"/>
    <w:rsid w:val="14060050"/>
    <w:rsid w:val="141023CE"/>
    <w:rsid w:val="1412533E"/>
    <w:rsid w:val="14160299"/>
    <w:rsid w:val="141A221F"/>
    <w:rsid w:val="141B163F"/>
    <w:rsid w:val="14373691"/>
    <w:rsid w:val="144109FD"/>
    <w:rsid w:val="14447B5C"/>
    <w:rsid w:val="14474394"/>
    <w:rsid w:val="144F18F5"/>
    <w:rsid w:val="1453086B"/>
    <w:rsid w:val="145862E8"/>
    <w:rsid w:val="145D1D0F"/>
    <w:rsid w:val="146077B6"/>
    <w:rsid w:val="14656D97"/>
    <w:rsid w:val="146A6309"/>
    <w:rsid w:val="146F72F4"/>
    <w:rsid w:val="1470123B"/>
    <w:rsid w:val="148150FF"/>
    <w:rsid w:val="148A7C64"/>
    <w:rsid w:val="148C0304"/>
    <w:rsid w:val="14927F29"/>
    <w:rsid w:val="14991C55"/>
    <w:rsid w:val="14B800A6"/>
    <w:rsid w:val="14B91EAB"/>
    <w:rsid w:val="14BD71B5"/>
    <w:rsid w:val="14C02644"/>
    <w:rsid w:val="14C85DBE"/>
    <w:rsid w:val="14CC0610"/>
    <w:rsid w:val="14EB1588"/>
    <w:rsid w:val="14EF5D5B"/>
    <w:rsid w:val="14F02D82"/>
    <w:rsid w:val="14F07B4B"/>
    <w:rsid w:val="14FA53FE"/>
    <w:rsid w:val="151B1A81"/>
    <w:rsid w:val="153342E1"/>
    <w:rsid w:val="153835C5"/>
    <w:rsid w:val="15466D1F"/>
    <w:rsid w:val="156E201F"/>
    <w:rsid w:val="157306F8"/>
    <w:rsid w:val="15794030"/>
    <w:rsid w:val="157C1BB0"/>
    <w:rsid w:val="157F73F1"/>
    <w:rsid w:val="15882AAF"/>
    <w:rsid w:val="158A5A42"/>
    <w:rsid w:val="158D422E"/>
    <w:rsid w:val="158E5E52"/>
    <w:rsid w:val="15903BF7"/>
    <w:rsid w:val="15903F61"/>
    <w:rsid w:val="15AF07CC"/>
    <w:rsid w:val="15B10E05"/>
    <w:rsid w:val="15B44636"/>
    <w:rsid w:val="15C04DA1"/>
    <w:rsid w:val="15CD7FE6"/>
    <w:rsid w:val="15CF541B"/>
    <w:rsid w:val="15D67D69"/>
    <w:rsid w:val="15D93539"/>
    <w:rsid w:val="15DA1AAB"/>
    <w:rsid w:val="15E3769B"/>
    <w:rsid w:val="15E44A47"/>
    <w:rsid w:val="15FF5FF0"/>
    <w:rsid w:val="16037432"/>
    <w:rsid w:val="16133FB5"/>
    <w:rsid w:val="16140ACE"/>
    <w:rsid w:val="161645B2"/>
    <w:rsid w:val="16172CD0"/>
    <w:rsid w:val="1618494F"/>
    <w:rsid w:val="161A7216"/>
    <w:rsid w:val="16336886"/>
    <w:rsid w:val="163B65F5"/>
    <w:rsid w:val="16430322"/>
    <w:rsid w:val="164A07A8"/>
    <w:rsid w:val="164C0E1F"/>
    <w:rsid w:val="16520BA9"/>
    <w:rsid w:val="16550A4B"/>
    <w:rsid w:val="16581073"/>
    <w:rsid w:val="1659407E"/>
    <w:rsid w:val="166354BF"/>
    <w:rsid w:val="167859EC"/>
    <w:rsid w:val="169135ED"/>
    <w:rsid w:val="16934F52"/>
    <w:rsid w:val="169B5B99"/>
    <w:rsid w:val="169D39F1"/>
    <w:rsid w:val="16A20335"/>
    <w:rsid w:val="16A232B5"/>
    <w:rsid w:val="16C7558D"/>
    <w:rsid w:val="16D922FE"/>
    <w:rsid w:val="16DC1398"/>
    <w:rsid w:val="16E42F30"/>
    <w:rsid w:val="16F87717"/>
    <w:rsid w:val="171123C9"/>
    <w:rsid w:val="171673CC"/>
    <w:rsid w:val="17195FD9"/>
    <w:rsid w:val="1739389B"/>
    <w:rsid w:val="17426B41"/>
    <w:rsid w:val="17442EB6"/>
    <w:rsid w:val="1744341B"/>
    <w:rsid w:val="174E7E6A"/>
    <w:rsid w:val="1752072D"/>
    <w:rsid w:val="175569EB"/>
    <w:rsid w:val="176766C9"/>
    <w:rsid w:val="176B1995"/>
    <w:rsid w:val="17706AD1"/>
    <w:rsid w:val="17760A21"/>
    <w:rsid w:val="177F38A8"/>
    <w:rsid w:val="17A45CF3"/>
    <w:rsid w:val="17AB0F43"/>
    <w:rsid w:val="17AC7EF2"/>
    <w:rsid w:val="17B460A0"/>
    <w:rsid w:val="17BD58C0"/>
    <w:rsid w:val="17C80986"/>
    <w:rsid w:val="17C83968"/>
    <w:rsid w:val="17CD2363"/>
    <w:rsid w:val="17E64CBC"/>
    <w:rsid w:val="17EA25AE"/>
    <w:rsid w:val="17EB0715"/>
    <w:rsid w:val="17EF6733"/>
    <w:rsid w:val="17F20534"/>
    <w:rsid w:val="18000DA2"/>
    <w:rsid w:val="18221B76"/>
    <w:rsid w:val="18264E11"/>
    <w:rsid w:val="182800CE"/>
    <w:rsid w:val="182A1654"/>
    <w:rsid w:val="182F5D74"/>
    <w:rsid w:val="18335339"/>
    <w:rsid w:val="183A54FD"/>
    <w:rsid w:val="183D4FEE"/>
    <w:rsid w:val="184C0485"/>
    <w:rsid w:val="184F14A2"/>
    <w:rsid w:val="185724EA"/>
    <w:rsid w:val="186E3872"/>
    <w:rsid w:val="187D159A"/>
    <w:rsid w:val="18847640"/>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E0E00"/>
    <w:rsid w:val="19341F4D"/>
    <w:rsid w:val="19362169"/>
    <w:rsid w:val="19397763"/>
    <w:rsid w:val="193D01D8"/>
    <w:rsid w:val="194115A9"/>
    <w:rsid w:val="19475905"/>
    <w:rsid w:val="194C143C"/>
    <w:rsid w:val="19544D3A"/>
    <w:rsid w:val="195C3AA7"/>
    <w:rsid w:val="1966511E"/>
    <w:rsid w:val="197B110A"/>
    <w:rsid w:val="19813634"/>
    <w:rsid w:val="198534E5"/>
    <w:rsid w:val="198712C9"/>
    <w:rsid w:val="199E351A"/>
    <w:rsid w:val="19A366B4"/>
    <w:rsid w:val="19B23773"/>
    <w:rsid w:val="19BD3438"/>
    <w:rsid w:val="19BF7CA0"/>
    <w:rsid w:val="19CA0299"/>
    <w:rsid w:val="19D776CE"/>
    <w:rsid w:val="19D96C75"/>
    <w:rsid w:val="19E5653F"/>
    <w:rsid w:val="19F075FF"/>
    <w:rsid w:val="19F81560"/>
    <w:rsid w:val="19FE7890"/>
    <w:rsid w:val="1A155EFE"/>
    <w:rsid w:val="1A191401"/>
    <w:rsid w:val="1A19693D"/>
    <w:rsid w:val="1A275376"/>
    <w:rsid w:val="1A3A76B3"/>
    <w:rsid w:val="1A4817D2"/>
    <w:rsid w:val="1A4E5290"/>
    <w:rsid w:val="1A5A51FF"/>
    <w:rsid w:val="1A767127"/>
    <w:rsid w:val="1A767A16"/>
    <w:rsid w:val="1A775BA1"/>
    <w:rsid w:val="1A792B42"/>
    <w:rsid w:val="1A7E5B1F"/>
    <w:rsid w:val="1A820AB7"/>
    <w:rsid w:val="1A8D5210"/>
    <w:rsid w:val="1A974755"/>
    <w:rsid w:val="1AA61C46"/>
    <w:rsid w:val="1ABB6D7C"/>
    <w:rsid w:val="1AC0262D"/>
    <w:rsid w:val="1ACC1BF6"/>
    <w:rsid w:val="1ADD372D"/>
    <w:rsid w:val="1AE34D03"/>
    <w:rsid w:val="1AEB08AE"/>
    <w:rsid w:val="1AF44089"/>
    <w:rsid w:val="1B084CBE"/>
    <w:rsid w:val="1B13686F"/>
    <w:rsid w:val="1B257F7D"/>
    <w:rsid w:val="1B2B4328"/>
    <w:rsid w:val="1B2C1E5D"/>
    <w:rsid w:val="1B304996"/>
    <w:rsid w:val="1B4B15E7"/>
    <w:rsid w:val="1B5D45F6"/>
    <w:rsid w:val="1B5F444E"/>
    <w:rsid w:val="1B6036C8"/>
    <w:rsid w:val="1B666609"/>
    <w:rsid w:val="1B70239F"/>
    <w:rsid w:val="1BAE3275"/>
    <w:rsid w:val="1BB41072"/>
    <w:rsid w:val="1BBD320E"/>
    <w:rsid w:val="1BBD7B09"/>
    <w:rsid w:val="1BC12731"/>
    <w:rsid w:val="1BCC5083"/>
    <w:rsid w:val="1BD7261C"/>
    <w:rsid w:val="1BDD69B7"/>
    <w:rsid w:val="1BE45682"/>
    <w:rsid w:val="1BEA4FEC"/>
    <w:rsid w:val="1BEE7A4F"/>
    <w:rsid w:val="1BFB15ED"/>
    <w:rsid w:val="1C052FB3"/>
    <w:rsid w:val="1C0B2F31"/>
    <w:rsid w:val="1C0D5877"/>
    <w:rsid w:val="1C143999"/>
    <w:rsid w:val="1C164D29"/>
    <w:rsid w:val="1C30331C"/>
    <w:rsid w:val="1C320C8A"/>
    <w:rsid w:val="1C4073D3"/>
    <w:rsid w:val="1C43031D"/>
    <w:rsid w:val="1C463D7C"/>
    <w:rsid w:val="1C4F0E07"/>
    <w:rsid w:val="1C534DE0"/>
    <w:rsid w:val="1C6315F6"/>
    <w:rsid w:val="1C6A07C2"/>
    <w:rsid w:val="1C785875"/>
    <w:rsid w:val="1C812F25"/>
    <w:rsid w:val="1C844E32"/>
    <w:rsid w:val="1C917921"/>
    <w:rsid w:val="1C9300A3"/>
    <w:rsid w:val="1C982A38"/>
    <w:rsid w:val="1C9B2541"/>
    <w:rsid w:val="1CA01F2E"/>
    <w:rsid w:val="1CA349A7"/>
    <w:rsid w:val="1CCA4013"/>
    <w:rsid w:val="1CD52FEA"/>
    <w:rsid w:val="1CD922F5"/>
    <w:rsid w:val="1CE562B9"/>
    <w:rsid w:val="1CEC44F0"/>
    <w:rsid w:val="1CED4BD6"/>
    <w:rsid w:val="1CEE13BB"/>
    <w:rsid w:val="1CF314D4"/>
    <w:rsid w:val="1CF50629"/>
    <w:rsid w:val="1D097D79"/>
    <w:rsid w:val="1D0B3946"/>
    <w:rsid w:val="1D1B63EF"/>
    <w:rsid w:val="1D1C5E58"/>
    <w:rsid w:val="1D330F1C"/>
    <w:rsid w:val="1D3946F2"/>
    <w:rsid w:val="1D452B63"/>
    <w:rsid w:val="1D46455F"/>
    <w:rsid w:val="1D4E4A14"/>
    <w:rsid w:val="1D614786"/>
    <w:rsid w:val="1D64050B"/>
    <w:rsid w:val="1D6478AF"/>
    <w:rsid w:val="1D662C9C"/>
    <w:rsid w:val="1D6A0633"/>
    <w:rsid w:val="1D6C32D7"/>
    <w:rsid w:val="1D7501A1"/>
    <w:rsid w:val="1D776D95"/>
    <w:rsid w:val="1D790FCC"/>
    <w:rsid w:val="1D7E436A"/>
    <w:rsid w:val="1D7F1DD1"/>
    <w:rsid w:val="1D8611E5"/>
    <w:rsid w:val="1D887FDD"/>
    <w:rsid w:val="1D891FC7"/>
    <w:rsid w:val="1D906B60"/>
    <w:rsid w:val="1DA57AAD"/>
    <w:rsid w:val="1DB2580B"/>
    <w:rsid w:val="1DB32351"/>
    <w:rsid w:val="1DCA2E80"/>
    <w:rsid w:val="1DD468BA"/>
    <w:rsid w:val="1DE974EE"/>
    <w:rsid w:val="1DEF3669"/>
    <w:rsid w:val="1DF33DB2"/>
    <w:rsid w:val="1E05531A"/>
    <w:rsid w:val="1E0A7420"/>
    <w:rsid w:val="1E1A5215"/>
    <w:rsid w:val="1E210712"/>
    <w:rsid w:val="1E2752F7"/>
    <w:rsid w:val="1E317BBC"/>
    <w:rsid w:val="1E340C41"/>
    <w:rsid w:val="1E36795E"/>
    <w:rsid w:val="1E475F88"/>
    <w:rsid w:val="1E482465"/>
    <w:rsid w:val="1E483B20"/>
    <w:rsid w:val="1E4B1048"/>
    <w:rsid w:val="1E5170FD"/>
    <w:rsid w:val="1E676EDF"/>
    <w:rsid w:val="1E6B45E5"/>
    <w:rsid w:val="1E724DE3"/>
    <w:rsid w:val="1E7361AA"/>
    <w:rsid w:val="1EBC7DE0"/>
    <w:rsid w:val="1EBD29E4"/>
    <w:rsid w:val="1EC2015F"/>
    <w:rsid w:val="1ECA6EAF"/>
    <w:rsid w:val="1ECA7131"/>
    <w:rsid w:val="1ECE699F"/>
    <w:rsid w:val="1ECF0F2F"/>
    <w:rsid w:val="1ED03DE9"/>
    <w:rsid w:val="1ED27C99"/>
    <w:rsid w:val="1EDA4C19"/>
    <w:rsid w:val="1EE21E4B"/>
    <w:rsid w:val="1F007BC5"/>
    <w:rsid w:val="1F051E2B"/>
    <w:rsid w:val="1F083A58"/>
    <w:rsid w:val="1F112270"/>
    <w:rsid w:val="1F2234BC"/>
    <w:rsid w:val="1F2D0557"/>
    <w:rsid w:val="1F397700"/>
    <w:rsid w:val="1F3E3D05"/>
    <w:rsid w:val="1F536D3F"/>
    <w:rsid w:val="1F5A0A27"/>
    <w:rsid w:val="1F5E38E6"/>
    <w:rsid w:val="1F6477E0"/>
    <w:rsid w:val="1F784C48"/>
    <w:rsid w:val="1F860486"/>
    <w:rsid w:val="1F896F37"/>
    <w:rsid w:val="1F933745"/>
    <w:rsid w:val="1F9454A9"/>
    <w:rsid w:val="1FA176DF"/>
    <w:rsid w:val="1FA60DAF"/>
    <w:rsid w:val="1FA72783"/>
    <w:rsid w:val="1FB43DE7"/>
    <w:rsid w:val="1FBC7140"/>
    <w:rsid w:val="1FC61ED5"/>
    <w:rsid w:val="1FC92A24"/>
    <w:rsid w:val="1FD73527"/>
    <w:rsid w:val="1FDC5B1C"/>
    <w:rsid w:val="1FE04BDC"/>
    <w:rsid w:val="1FE11A78"/>
    <w:rsid w:val="1FFB1A16"/>
    <w:rsid w:val="20084133"/>
    <w:rsid w:val="20127B0E"/>
    <w:rsid w:val="201B6695"/>
    <w:rsid w:val="201D462F"/>
    <w:rsid w:val="202507BB"/>
    <w:rsid w:val="20255FD9"/>
    <w:rsid w:val="202B5901"/>
    <w:rsid w:val="20390BAA"/>
    <w:rsid w:val="203F45A7"/>
    <w:rsid w:val="2042312F"/>
    <w:rsid w:val="204C004D"/>
    <w:rsid w:val="204E3240"/>
    <w:rsid w:val="20544DFE"/>
    <w:rsid w:val="20765AE9"/>
    <w:rsid w:val="20800C04"/>
    <w:rsid w:val="2090032A"/>
    <w:rsid w:val="20992FDD"/>
    <w:rsid w:val="209D4B49"/>
    <w:rsid w:val="20A60A09"/>
    <w:rsid w:val="20B17816"/>
    <w:rsid w:val="20BB4CAB"/>
    <w:rsid w:val="20BF55AB"/>
    <w:rsid w:val="20C150A1"/>
    <w:rsid w:val="20C40B24"/>
    <w:rsid w:val="20C5226D"/>
    <w:rsid w:val="20E13C43"/>
    <w:rsid w:val="20E75F11"/>
    <w:rsid w:val="211B1C44"/>
    <w:rsid w:val="211C55DD"/>
    <w:rsid w:val="211E2230"/>
    <w:rsid w:val="213372B5"/>
    <w:rsid w:val="213C0BDF"/>
    <w:rsid w:val="21486BA6"/>
    <w:rsid w:val="21494AB6"/>
    <w:rsid w:val="214C62A1"/>
    <w:rsid w:val="215749BA"/>
    <w:rsid w:val="216A793E"/>
    <w:rsid w:val="216D3574"/>
    <w:rsid w:val="21725D08"/>
    <w:rsid w:val="217D1658"/>
    <w:rsid w:val="21876357"/>
    <w:rsid w:val="21973A69"/>
    <w:rsid w:val="21986894"/>
    <w:rsid w:val="219D5C62"/>
    <w:rsid w:val="219E0893"/>
    <w:rsid w:val="21A84A35"/>
    <w:rsid w:val="21AC60B7"/>
    <w:rsid w:val="21AD6E52"/>
    <w:rsid w:val="21BF7D7F"/>
    <w:rsid w:val="21C22705"/>
    <w:rsid w:val="21C43B80"/>
    <w:rsid w:val="21E64A84"/>
    <w:rsid w:val="22052DC8"/>
    <w:rsid w:val="220F3DD9"/>
    <w:rsid w:val="222E3C91"/>
    <w:rsid w:val="22412AA4"/>
    <w:rsid w:val="22431452"/>
    <w:rsid w:val="225C6F01"/>
    <w:rsid w:val="22664AEB"/>
    <w:rsid w:val="226748AD"/>
    <w:rsid w:val="2273152B"/>
    <w:rsid w:val="2274375B"/>
    <w:rsid w:val="227616B0"/>
    <w:rsid w:val="229828DE"/>
    <w:rsid w:val="22AB192E"/>
    <w:rsid w:val="22AD011B"/>
    <w:rsid w:val="22AD51B0"/>
    <w:rsid w:val="22AF6FB4"/>
    <w:rsid w:val="22B57C5B"/>
    <w:rsid w:val="22B819A2"/>
    <w:rsid w:val="22D14A7D"/>
    <w:rsid w:val="22DA55A5"/>
    <w:rsid w:val="22E83154"/>
    <w:rsid w:val="22FE0F77"/>
    <w:rsid w:val="230620AA"/>
    <w:rsid w:val="23275032"/>
    <w:rsid w:val="233E581D"/>
    <w:rsid w:val="23475340"/>
    <w:rsid w:val="236153B7"/>
    <w:rsid w:val="236173E4"/>
    <w:rsid w:val="23621DAC"/>
    <w:rsid w:val="237607F8"/>
    <w:rsid w:val="237C79BA"/>
    <w:rsid w:val="23840747"/>
    <w:rsid w:val="238D484F"/>
    <w:rsid w:val="23A349DF"/>
    <w:rsid w:val="23A73B8E"/>
    <w:rsid w:val="23AC2440"/>
    <w:rsid w:val="23C23745"/>
    <w:rsid w:val="23CB75DA"/>
    <w:rsid w:val="23CC2836"/>
    <w:rsid w:val="23E075A7"/>
    <w:rsid w:val="23E629DD"/>
    <w:rsid w:val="23F46333"/>
    <w:rsid w:val="24023F65"/>
    <w:rsid w:val="240E2B19"/>
    <w:rsid w:val="2413504A"/>
    <w:rsid w:val="2417526A"/>
    <w:rsid w:val="24243C4E"/>
    <w:rsid w:val="24296F7F"/>
    <w:rsid w:val="242B4415"/>
    <w:rsid w:val="24362A37"/>
    <w:rsid w:val="24387D06"/>
    <w:rsid w:val="244B6ED4"/>
    <w:rsid w:val="24640FE3"/>
    <w:rsid w:val="246E40F1"/>
    <w:rsid w:val="24762AA5"/>
    <w:rsid w:val="247B1FE7"/>
    <w:rsid w:val="24A222AD"/>
    <w:rsid w:val="24A432D9"/>
    <w:rsid w:val="24AD11BA"/>
    <w:rsid w:val="24AD3E08"/>
    <w:rsid w:val="24B271F1"/>
    <w:rsid w:val="24CD1E83"/>
    <w:rsid w:val="24EC61D3"/>
    <w:rsid w:val="24F149FA"/>
    <w:rsid w:val="250C1FD0"/>
    <w:rsid w:val="252866F3"/>
    <w:rsid w:val="252E065E"/>
    <w:rsid w:val="253212C3"/>
    <w:rsid w:val="254A5846"/>
    <w:rsid w:val="25561369"/>
    <w:rsid w:val="255765DB"/>
    <w:rsid w:val="25610EE2"/>
    <w:rsid w:val="256237B8"/>
    <w:rsid w:val="256B397C"/>
    <w:rsid w:val="25757B75"/>
    <w:rsid w:val="25791BC4"/>
    <w:rsid w:val="257B2490"/>
    <w:rsid w:val="25822E10"/>
    <w:rsid w:val="25984FC1"/>
    <w:rsid w:val="25A42AF3"/>
    <w:rsid w:val="25AC4FBE"/>
    <w:rsid w:val="25AD2008"/>
    <w:rsid w:val="25B12B77"/>
    <w:rsid w:val="25BA05FA"/>
    <w:rsid w:val="25CF6CDD"/>
    <w:rsid w:val="25D26BF1"/>
    <w:rsid w:val="25DC32E7"/>
    <w:rsid w:val="25E27E8F"/>
    <w:rsid w:val="26066C92"/>
    <w:rsid w:val="260757FB"/>
    <w:rsid w:val="26230C1A"/>
    <w:rsid w:val="262B5006"/>
    <w:rsid w:val="263F18CA"/>
    <w:rsid w:val="26403AF5"/>
    <w:rsid w:val="265A6A68"/>
    <w:rsid w:val="267F78C7"/>
    <w:rsid w:val="268D2189"/>
    <w:rsid w:val="26A65F2E"/>
    <w:rsid w:val="26AA7B90"/>
    <w:rsid w:val="26AE2A83"/>
    <w:rsid w:val="26B17617"/>
    <w:rsid w:val="26BE52D9"/>
    <w:rsid w:val="26C718EF"/>
    <w:rsid w:val="26CA63EC"/>
    <w:rsid w:val="26D7660D"/>
    <w:rsid w:val="26E02BF7"/>
    <w:rsid w:val="26F31699"/>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334E1"/>
    <w:rsid w:val="278C6770"/>
    <w:rsid w:val="278D30D3"/>
    <w:rsid w:val="279E0DBE"/>
    <w:rsid w:val="279F1686"/>
    <w:rsid w:val="27AC219C"/>
    <w:rsid w:val="27BA1C0D"/>
    <w:rsid w:val="27C2539A"/>
    <w:rsid w:val="27CD3795"/>
    <w:rsid w:val="27CD66E6"/>
    <w:rsid w:val="27D11AB5"/>
    <w:rsid w:val="27D25752"/>
    <w:rsid w:val="27DA17F9"/>
    <w:rsid w:val="27E506DE"/>
    <w:rsid w:val="28080567"/>
    <w:rsid w:val="281404E4"/>
    <w:rsid w:val="281A5F65"/>
    <w:rsid w:val="282910EA"/>
    <w:rsid w:val="282B155A"/>
    <w:rsid w:val="282D3B7A"/>
    <w:rsid w:val="28320BEF"/>
    <w:rsid w:val="2835183D"/>
    <w:rsid w:val="285579A3"/>
    <w:rsid w:val="2858552C"/>
    <w:rsid w:val="286136B2"/>
    <w:rsid w:val="286835D0"/>
    <w:rsid w:val="286C3EFE"/>
    <w:rsid w:val="28764D45"/>
    <w:rsid w:val="28815308"/>
    <w:rsid w:val="288D4D90"/>
    <w:rsid w:val="289363ED"/>
    <w:rsid w:val="28A44971"/>
    <w:rsid w:val="28A7566A"/>
    <w:rsid w:val="28AB365F"/>
    <w:rsid w:val="28BB5C8C"/>
    <w:rsid w:val="28C820DE"/>
    <w:rsid w:val="28CB31AE"/>
    <w:rsid w:val="28CB4F9F"/>
    <w:rsid w:val="28D64F00"/>
    <w:rsid w:val="28D84929"/>
    <w:rsid w:val="28E27260"/>
    <w:rsid w:val="28F428D3"/>
    <w:rsid w:val="28F83DF8"/>
    <w:rsid w:val="28FB6488"/>
    <w:rsid w:val="28FD6BEC"/>
    <w:rsid w:val="29312557"/>
    <w:rsid w:val="293255C4"/>
    <w:rsid w:val="29373017"/>
    <w:rsid w:val="29447C90"/>
    <w:rsid w:val="29477A7A"/>
    <w:rsid w:val="294E0E09"/>
    <w:rsid w:val="29513F9E"/>
    <w:rsid w:val="29523185"/>
    <w:rsid w:val="29531179"/>
    <w:rsid w:val="295E40CB"/>
    <w:rsid w:val="296C76B4"/>
    <w:rsid w:val="29772B08"/>
    <w:rsid w:val="297B57EB"/>
    <w:rsid w:val="29A12388"/>
    <w:rsid w:val="29A2341F"/>
    <w:rsid w:val="29A247B8"/>
    <w:rsid w:val="29A66843"/>
    <w:rsid w:val="29A906AC"/>
    <w:rsid w:val="29AB3EBD"/>
    <w:rsid w:val="29AC1FD3"/>
    <w:rsid w:val="29B027A3"/>
    <w:rsid w:val="29BD5A2D"/>
    <w:rsid w:val="29C06E6B"/>
    <w:rsid w:val="29C67A86"/>
    <w:rsid w:val="29CE5BFF"/>
    <w:rsid w:val="29DD1501"/>
    <w:rsid w:val="29DF5F05"/>
    <w:rsid w:val="29F556B9"/>
    <w:rsid w:val="29FC2F7D"/>
    <w:rsid w:val="2A036B63"/>
    <w:rsid w:val="2A06455B"/>
    <w:rsid w:val="2A067467"/>
    <w:rsid w:val="2A0E179C"/>
    <w:rsid w:val="2A0F2FCC"/>
    <w:rsid w:val="2A1249D6"/>
    <w:rsid w:val="2A1D4BAB"/>
    <w:rsid w:val="2A213B26"/>
    <w:rsid w:val="2A2C35A6"/>
    <w:rsid w:val="2A481CFC"/>
    <w:rsid w:val="2A496A6A"/>
    <w:rsid w:val="2A524929"/>
    <w:rsid w:val="2A5306A1"/>
    <w:rsid w:val="2A571F3F"/>
    <w:rsid w:val="2A5C0AED"/>
    <w:rsid w:val="2A6E2985"/>
    <w:rsid w:val="2A6F5F9E"/>
    <w:rsid w:val="2A7722C8"/>
    <w:rsid w:val="2A7C06B4"/>
    <w:rsid w:val="2A7E571E"/>
    <w:rsid w:val="2A8D5961"/>
    <w:rsid w:val="2AAC2374"/>
    <w:rsid w:val="2AAD4509"/>
    <w:rsid w:val="2AB87F34"/>
    <w:rsid w:val="2ABA315A"/>
    <w:rsid w:val="2ABC010F"/>
    <w:rsid w:val="2AC824BE"/>
    <w:rsid w:val="2ADE00FE"/>
    <w:rsid w:val="2AF40B26"/>
    <w:rsid w:val="2AF815A9"/>
    <w:rsid w:val="2B05199B"/>
    <w:rsid w:val="2B062415"/>
    <w:rsid w:val="2B1B2D6A"/>
    <w:rsid w:val="2B215656"/>
    <w:rsid w:val="2B271173"/>
    <w:rsid w:val="2B2B370F"/>
    <w:rsid w:val="2B3C32A7"/>
    <w:rsid w:val="2B4B7D6A"/>
    <w:rsid w:val="2B4D7E1F"/>
    <w:rsid w:val="2B53763F"/>
    <w:rsid w:val="2B5446D0"/>
    <w:rsid w:val="2B6007D0"/>
    <w:rsid w:val="2B6E6791"/>
    <w:rsid w:val="2B7F02AD"/>
    <w:rsid w:val="2B8B413B"/>
    <w:rsid w:val="2BBB5724"/>
    <w:rsid w:val="2BD372F7"/>
    <w:rsid w:val="2BD441CC"/>
    <w:rsid w:val="2BD51896"/>
    <w:rsid w:val="2BE42958"/>
    <w:rsid w:val="2BEE2055"/>
    <w:rsid w:val="2C0B4624"/>
    <w:rsid w:val="2C115363"/>
    <w:rsid w:val="2C1874AC"/>
    <w:rsid w:val="2C243785"/>
    <w:rsid w:val="2C3312C1"/>
    <w:rsid w:val="2C354361"/>
    <w:rsid w:val="2C4402A1"/>
    <w:rsid w:val="2C513745"/>
    <w:rsid w:val="2C647115"/>
    <w:rsid w:val="2C6818B4"/>
    <w:rsid w:val="2C7C30FA"/>
    <w:rsid w:val="2C830635"/>
    <w:rsid w:val="2C885AA5"/>
    <w:rsid w:val="2C8D1C48"/>
    <w:rsid w:val="2C9D6E3E"/>
    <w:rsid w:val="2CAA4E81"/>
    <w:rsid w:val="2CAD4098"/>
    <w:rsid w:val="2CBC1D1B"/>
    <w:rsid w:val="2CCE5976"/>
    <w:rsid w:val="2CCF4551"/>
    <w:rsid w:val="2CD65314"/>
    <w:rsid w:val="2CE23732"/>
    <w:rsid w:val="2CE37D43"/>
    <w:rsid w:val="2CE7380B"/>
    <w:rsid w:val="2CE952A3"/>
    <w:rsid w:val="2D0632F7"/>
    <w:rsid w:val="2D2156A2"/>
    <w:rsid w:val="2D3673F2"/>
    <w:rsid w:val="2D381FF5"/>
    <w:rsid w:val="2D3845E6"/>
    <w:rsid w:val="2D38772A"/>
    <w:rsid w:val="2D3912C5"/>
    <w:rsid w:val="2D3E3463"/>
    <w:rsid w:val="2D3F04E7"/>
    <w:rsid w:val="2D406F06"/>
    <w:rsid w:val="2D445D96"/>
    <w:rsid w:val="2D46629B"/>
    <w:rsid w:val="2D53008F"/>
    <w:rsid w:val="2D6931B5"/>
    <w:rsid w:val="2D6A7FB8"/>
    <w:rsid w:val="2D6B462B"/>
    <w:rsid w:val="2D6E26B8"/>
    <w:rsid w:val="2D7005F4"/>
    <w:rsid w:val="2D7216E0"/>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B5AC0"/>
    <w:rsid w:val="2E216777"/>
    <w:rsid w:val="2E255EB0"/>
    <w:rsid w:val="2E276538"/>
    <w:rsid w:val="2E2957DE"/>
    <w:rsid w:val="2E310269"/>
    <w:rsid w:val="2E322D3A"/>
    <w:rsid w:val="2E352597"/>
    <w:rsid w:val="2E50117F"/>
    <w:rsid w:val="2E710D80"/>
    <w:rsid w:val="2E730F8A"/>
    <w:rsid w:val="2E7749D4"/>
    <w:rsid w:val="2E7F2D87"/>
    <w:rsid w:val="2E886779"/>
    <w:rsid w:val="2E8C7883"/>
    <w:rsid w:val="2E8D3377"/>
    <w:rsid w:val="2E8D73C3"/>
    <w:rsid w:val="2E8E6D20"/>
    <w:rsid w:val="2E937607"/>
    <w:rsid w:val="2EA56A2B"/>
    <w:rsid w:val="2EA746CD"/>
    <w:rsid w:val="2EB4686A"/>
    <w:rsid w:val="2EB66590"/>
    <w:rsid w:val="2EB7060A"/>
    <w:rsid w:val="2EC65056"/>
    <w:rsid w:val="2ED24BD4"/>
    <w:rsid w:val="2ED72C6D"/>
    <w:rsid w:val="2EDB150E"/>
    <w:rsid w:val="2EF77BB3"/>
    <w:rsid w:val="2F053DEC"/>
    <w:rsid w:val="2F1C6F44"/>
    <w:rsid w:val="2F241A7A"/>
    <w:rsid w:val="2F2C2BC7"/>
    <w:rsid w:val="2F3462D4"/>
    <w:rsid w:val="2F365B49"/>
    <w:rsid w:val="2F3C7955"/>
    <w:rsid w:val="2F3E4FCD"/>
    <w:rsid w:val="2F405B63"/>
    <w:rsid w:val="2F450834"/>
    <w:rsid w:val="2F521E00"/>
    <w:rsid w:val="2F56009D"/>
    <w:rsid w:val="2F566550"/>
    <w:rsid w:val="2F5B427F"/>
    <w:rsid w:val="2F6A544C"/>
    <w:rsid w:val="2F6B4248"/>
    <w:rsid w:val="2F7366CB"/>
    <w:rsid w:val="2F7576E6"/>
    <w:rsid w:val="2F7650AD"/>
    <w:rsid w:val="2F83315F"/>
    <w:rsid w:val="2F9D27C7"/>
    <w:rsid w:val="2FAC68B5"/>
    <w:rsid w:val="2FB71D1A"/>
    <w:rsid w:val="2FBA5300"/>
    <w:rsid w:val="2FBC4CD9"/>
    <w:rsid w:val="2FD36F28"/>
    <w:rsid w:val="2FE27FC9"/>
    <w:rsid w:val="2FE71BC4"/>
    <w:rsid w:val="2FE8319B"/>
    <w:rsid w:val="2FE97655"/>
    <w:rsid w:val="2FF40DE3"/>
    <w:rsid w:val="2FF50078"/>
    <w:rsid w:val="30017543"/>
    <w:rsid w:val="30082943"/>
    <w:rsid w:val="300A0D8F"/>
    <w:rsid w:val="300D123A"/>
    <w:rsid w:val="301074C3"/>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B05EC"/>
    <w:rsid w:val="30FE7F03"/>
    <w:rsid w:val="31084B91"/>
    <w:rsid w:val="310F7E8C"/>
    <w:rsid w:val="31110BCE"/>
    <w:rsid w:val="311510C2"/>
    <w:rsid w:val="311A35B4"/>
    <w:rsid w:val="311C52FC"/>
    <w:rsid w:val="312A7702"/>
    <w:rsid w:val="3132038F"/>
    <w:rsid w:val="314A0D46"/>
    <w:rsid w:val="314E5E3F"/>
    <w:rsid w:val="315136FC"/>
    <w:rsid w:val="315A25ED"/>
    <w:rsid w:val="315D6678"/>
    <w:rsid w:val="31662B54"/>
    <w:rsid w:val="316A2F13"/>
    <w:rsid w:val="31900765"/>
    <w:rsid w:val="31912424"/>
    <w:rsid w:val="31957115"/>
    <w:rsid w:val="31A17989"/>
    <w:rsid w:val="31AF6900"/>
    <w:rsid w:val="31CC3470"/>
    <w:rsid w:val="31DD3FBE"/>
    <w:rsid w:val="31EC5663"/>
    <w:rsid w:val="31ED1D5A"/>
    <w:rsid w:val="31EF6F01"/>
    <w:rsid w:val="31F7367C"/>
    <w:rsid w:val="32047EB3"/>
    <w:rsid w:val="320C27F5"/>
    <w:rsid w:val="320D241D"/>
    <w:rsid w:val="321405BB"/>
    <w:rsid w:val="321E3ECC"/>
    <w:rsid w:val="32203688"/>
    <w:rsid w:val="327706BE"/>
    <w:rsid w:val="328E04C8"/>
    <w:rsid w:val="32915A23"/>
    <w:rsid w:val="32A11EA0"/>
    <w:rsid w:val="32A9114A"/>
    <w:rsid w:val="32D656FE"/>
    <w:rsid w:val="32DB1CEF"/>
    <w:rsid w:val="32F368A2"/>
    <w:rsid w:val="330905CD"/>
    <w:rsid w:val="331B6025"/>
    <w:rsid w:val="331F355D"/>
    <w:rsid w:val="33257929"/>
    <w:rsid w:val="332F39E9"/>
    <w:rsid w:val="333251E6"/>
    <w:rsid w:val="33347BCB"/>
    <w:rsid w:val="3339430A"/>
    <w:rsid w:val="33501C21"/>
    <w:rsid w:val="3355340B"/>
    <w:rsid w:val="335F213E"/>
    <w:rsid w:val="33690F4F"/>
    <w:rsid w:val="336B7D69"/>
    <w:rsid w:val="33756644"/>
    <w:rsid w:val="337566C2"/>
    <w:rsid w:val="337A048F"/>
    <w:rsid w:val="3386214C"/>
    <w:rsid w:val="338B299E"/>
    <w:rsid w:val="338F0A74"/>
    <w:rsid w:val="33917D65"/>
    <w:rsid w:val="33A3020C"/>
    <w:rsid w:val="33A43F7B"/>
    <w:rsid w:val="33AF4DD2"/>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A2472"/>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E5BCB"/>
    <w:rsid w:val="35642F4C"/>
    <w:rsid w:val="356559A9"/>
    <w:rsid w:val="356D3A55"/>
    <w:rsid w:val="35701B86"/>
    <w:rsid w:val="35732362"/>
    <w:rsid w:val="3573293B"/>
    <w:rsid w:val="35735344"/>
    <w:rsid w:val="357540AF"/>
    <w:rsid w:val="357868EB"/>
    <w:rsid w:val="358523D0"/>
    <w:rsid w:val="358B4A9D"/>
    <w:rsid w:val="35922636"/>
    <w:rsid w:val="35B91D00"/>
    <w:rsid w:val="35BD778E"/>
    <w:rsid w:val="35BD7A13"/>
    <w:rsid w:val="35C96397"/>
    <w:rsid w:val="35CA68AB"/>
    <w:rsid w:val="35D47B2B"/>
    <w:rsid w:val="35E410ED"/>
    <w:rsid w:val="35EB2FD4"/>
    <w:rsid w:val="35EF20C9"/>
    <w:rsid w:val="35F332E8"/>
    <w:rsid w:val="360311B0"/>
    <w:rsid w:val="36044441"/>
    <w:rsid w:val="3604696C"/>
    <w:rsid w:val="360C625B"/>
    <w:rsid w:val="36106BA5"/>
    <w:rsid w:val="361B3581"/>
    <w:rsid w:val="3633415F"/>
    <w:rsid w:val="363D0C4C"/>
    <w:rsid w:val="366A17AB"/>
    <w:rsid w:val="367364E1"/>
    <w:rsid w:val="367366AB"/>
    <w:rsid w:val="3673672C"/>
    <w:rsid w:val="368A3AE7"/>
    <w:rsid w:val="369763B5"/>
    <w:rsid w:val="369E142E"/>
    <w:rsid w:val="36A0221E"/>
    <w:rsid w:val="36A11284"/>
    <w:rsid w:val="36A84D62"/>
    <w:rsid w:val="36A971CE"/>
    <w:rsid w:val="36B4678E"/>
    <w:rsid w:val="36B84626"/>
    <w:rsid w:val="36B90B11"/>
    <w:rsid w:val="36C7366A"/>
    <w:rsid w:val="36D00958"/>
    <w:rsid w:val="36D30CA0"/>
    <w:rsid w:val="36D81EED"/>
    <w:rsid w:val="36D83D40"/>
    <w:rsid w:val="37144F35"/>
    <w:rsid w:val="371464A7"/>
    <w:rsid w:val="3717340B"/>
    <w:rsid w:val="37254CF6"/>
    <w:rsid w:val="372C50FE"/>
    <w:rsid w:val="3737345F"/>
    <w:rsid w:val="374110E2"/>
    <w:rsid w:val="37544118"/>
    <w:rsid w:val="375B2B26"/>
    <w:rsid w:val="375B3801"/>
    <w:rsid w:val="375F18C4"/>
    <w:rsid w:val="3763753D"/>
    <w:rsid w:val="37654388"/>
    <w:rsid w:val="37683D1E"/>
    <w:rsid w:val="37763AB9"/>
    <w:rsid w:val="37835258"/>
    <w:rsid w:val="37927BE8"/>
    <w:rsid w:val="379744F3"/>
    <w:rsid w:val="37976071"/>
    <w:rsid w:val="379B06AC"/>
    <w:rsid w:val="37B40B90"/>
    <w:rsid w:val="37C61F92"/>
    <w:rsid w:val="37C97BEC"/>
    <w:rsid w:val="37E57428"/>
    <w:rsid w:val="37F768B1"/>
    <w:rsid w:val="3802504D"/>
    <w:rsid w:val="380A1A96"/>
    <w:rsid w:val="38132AC7"/>
    <w:rsid w:val="383244EC"/>
    <w:rsid w:val="383511CC"/>
    <w:rsid w:val="38401AD7"/>
    <w:rsid w:val="38451629"/>
    <w:rsid w:val="385174B2"/>
    <w:rsid w:val="386E3C6A"/>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77C64"/>
    <w:rsid w:val="39003FBD"/>
    <w:rsid w:val="390546DB"/>
    <w:rsid w:val="39166552"/>
    <w:rsid w:val="391813F5"/>
    <w:rsid w:val="39296717"/>
    <w:rsid w:val="392B5F09"/>
    <w:rsid w:val="392F75E2"/>
    <w:rsid w:val="39411DB4"/>
    <w:rsid w:val="39496EDF"/>
    <w:rsid w:val="394A08C1"/>
    <w:rsid w:val="396124D1"/>
    <w:rsid w:val="397C09D4"/>
    <w:rsid w:val="397F44ED"/>
    <w:rsid w:val="398B089B"/>
    <w:rsid w:val="39B06716"/>
    <w:rsid w:val="39B1469C"/>
    <w:rsid w:val="39B30EA9"/>
    <w:rsid w:val="39C502E2"/>
    <w:rsid w:val="39C57AE5"/>
    <w:rsid w:val="39C80CDA"/>
    <w:rsid w:val="39D27B89"/>
    <w:rsid w:val="39D36865"/>
    <w:rsid w:val="39DA0497"/>
    <w:rsid w:val="39DF3228"/>
    <w:rsid w:val="39E72100"/>
    <w:rsid w:val="39EE332A"/>
    <w:rsid w:val="39F24C64"/>
    <w:rsid w:val="39F417E4"/>
    <w:rsid w:val="39F50A1C"/>
    <w:rsid w:val="3A046706"/>
    <w:rsid w:val="3A0D71BE"/>
    <w:rsid w:val="3A1B14E1"/>
    <w:rsid w:val="3A236CA2"/>
    <w:rsid w:val="3A2715D6"/>
    <w:rsid w:val="3A2736BF"/>
    <w:rsid w:val="3A312FB7"/>
    <w:rsid w:val="3A4B3142"/>
    <w:rsid w:val="3A4E3B48"/>
    <w:rsid w:val="3A5C1DF9"/>
    <w:rsid w:val="3A652D65"/>
    <w:rsid w:val="3A695377"/>
    <w:rsid w:val="3A6A4AC3"/>
    <w:rsid w:val="3A6D0814"/>
    <w:rsid w:val="3A6D0882"/>
    <w:rsid w:val="3A76269A"/>
    <w:rsid w:val="3A7D5F3A"/>
    <w:rsid w:val="3A8B3054"/>
    <w:rsid w:val="3A9940F0"/>
    <w:rsid w:val="3A9C399E"/>
    <w:rsid w:val="3ABB43FF"/>
    <w:rsid w:val="3ABD0BEB"/>
    <w:rsid w:val="3AC578B2"/>
    <w:rsid w:val="3ADD7705"/>
    <w:rsid w:val="3AEB2D9D"/>
    <w:rsid w:val="3AF479B5"/>
    <w:rsid w:val="3AF51BE4"/>
    <w:rsid w:val="3AFC0880"/>
    <w:rsid w:val="3B092937"/>
    <w:rsid w:val="3B14504C"/>
    <w:rsid w:val="3B16080F"/>
    <w:rsid w:val="3B186CDD"/>
    <w:rsid w:val="3B3360B0"/>
    <w:rsid w:val="3B390F77"/>
    <w:rsid w:val="3B4F2158"/>
    <w:rsid w:val="3B5205A1"/>
    <w:rsid w:val="3B5737B6"/>
    <w:rsid w:val="3B6B6574"/>
    <w:rsid w:val="3B6C4D3D"/>
    <w:rsid w:val="3B7B77B8"/>
    <w:rsid w:val="3B8350CC"/>
    <w:rsid w:val="3B8367ED"/>
    <w:rsid w:val="3B86205D"/>
    <w:rsid w:val="3B8B65D4"/>
    <w:rsid w:val="3B92781F"/>
    <w:rsid w:val="3B9A599F"/>
    <w:rsid w:val="3BA0139B"/>
    <w:rsid w:val="3BA22581"/>
    <w:rsid w:val="3BA735B9"/>
    <w:rsid w:val="3BB0325D"/>
    <w:rsid w:val="3BB66353"/>
    <w:rsid w:val="3BC52883"/>
    <w:rsid w:val="3BD04A2A"/>
    <w:rsid w:val="3BD41145"/>
    <w:rsid w:val="3BE272D1"/>
    <w:rsid w:val="3BE67960"/>
    <w:rsid w:val="3BED2EA4"/>
    <w:rsid w:val="3BF14B73"/>
    <w:rsid w:val="3C0021D6"/>
    <w:rsid w:val="3C050F37"/>
    <w:rsid w:val="3C0C2346"/>
    <w:rsid w:val="3C102DD1"/>
    <w:rsid w:val="3C1A1D46"/>
    <w:rsid w:val="3C1D35EE"/>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8F7316"/>
    <w:rsid w:val="3C916171"/>
    <w:rsid w:val="3C926E07"/>
    <w:rsid w:val="3C9E1A99"/>
    <w:rsid w:val="3CAA6701"/>
    <w:rsid w:val="3CB01844"/>
    <w:rsid w:val="3CBA314E"/>
    <w:rsid w:val="3CCD7E3F"/>
    <w:rsid w:val="3CFF09EF"/>
    <w:rsid w:val="3D10624F"/>
    <w:rsid w:val="3D135F4D"/>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11383"/>
    <w:rsid w:val="3D8B366C"/>
    <w:rsid w:val="3D946B14"/>
    <w:rsid w:val="3D9A2417"/>
    <w:rsid w:val="3DA22F5E"/>
    <w:rsid w:val="3DAC5A65"/>
    <w:rsid w:val="3DBD7407"/>
    <w:rsid w:val="3DC95986"/>
    <w:rsid w:val="3DCA2C9E"/>
    <w:rsid w:val="3DE06189"/>
    <w:rsid w:val="3DEA3293"/>
    <w:rsid w:val="3DF90189"/>
    <w:rsid w:val="3E042635"/>
    <w:rsid w:val="3E0A2C48"/>
    <w:rsid w:val="3E0D3030"/>
    <w:rsid w:val="3E0E6D7D"/>
    <w:rsid w:val="3E1F364B"/>
    <w:rsid w:val="3E274166"/>
    <w:rsid w:val="3E3A106C"/>
    <w:rsid w:val="3E524A9F"/>
    <w:rsid w:val="3E647654"/>
    <w:rsid w:val="3E703177"/>
    <w:rsid w:val="3E744690"/>
    <w:rsid w:val="3EA20FA0"/>
    <w:rsid w:val="3EA65736"/>
    <w:rsid w:val="3EC701A5"/>
    <w:rsid w:val="3ECA3044"/>
    <w:rsid w:val="3EE0687D"/>
    <w:rsid w:val="3EE60FF4"/>
    <w:rsid w:val="3EEB59B0"/>
    <w:rsid w:val="3EF71AB3"/>
    <w:rsid w:val="3F0C3C07"/>
    <w:rsid w:val="3F333DE0"/>
    <w:rsid w:val="3F355C78"/>
    <w:rsid w:val="3F4409A2"/>
    <w:rsid w:val="3F6253B0"/>
    <w:rsid w:val="3F647E7F"/>
    <w:rsid w:val="3F6A4E56"/>
    <w:rsid w:val="3F6A64F7"/>
    <w:rsid w:val="3F8A4240"/>
    <w:rsid w:val="3F8B304C"/>
    <w:rsid w:val="3F981511"/>
    <w:rsid w:val="3F9C5862"/>
    <w:rsid w:val="3F9D38CE"/>
    <w:rsid w:val="3FAD26DB"/>
    <w:rsid w:val="3FBA0827"/>
    <w:rsid w:val="3FBA6B59"/>
    <w:rsid w:val="3FC6058A"/>
    <w:rsid w:val="3FCD31D2"/>
    <w:rsid w:val="3FE714A3"/>
    <w:rsid w:val="3FE84B22"/>
    <w:rsid w:val="3FED5117"/>
    <w:rsid w:val="3FF04220"/>
    <w:rsid w:val="3FFB3AB0"/>
    <w:rsid w:val="3FFB455C"/>
    <w:rsid w:val="400044FA"/>
    <w:rsid w:val="40100C28"/>
    <w:rsid w:val="402538AF"/>
    <w:rsid w:val="402803C2"/>
    <w:rsid w:val="403141A3"/>
    <w:rsid w:val="403F534F"/>
    <w:rsid w:val="40486B6D"/>
    <w:rsid w:val="40492F59"/>
    <w:rsid w:val="40500C5D"/>
    <w:rsid w:val="40671B36"/>
    <w:rsid w:val="40691F2D"/>
    <w:rsid w:val="406E5359"/>
    <w:rsid w:val="40723D14"/>
    <w:rsid w:val="407A6A5F"/>
    <w:rsid w:val="407C28A3"/>
    <w:rsid w:val="408556D9"/>
    <w:rsid w:val="408702C9"/>
    <w:rsid w:val="408829E4"/>
    <w:rsid w:val="4090365D"/>
    <w:rsid w:val="409C4797"/>
    <w:rsid w:val="409D778E"/>
    <w:rsid w:val="409F587D"/>
    <w:rsid w:val="40AD7E31"/>
    <w:rsid w:val="40B622E0"/>
    <w:rsid w:val="40B856B5"/>
    <w:rsid w:val="40C02C90"/>
    <w:rsid w:val="40C32938"/>
    <w:rsid w:val="40C54587"/>
    <w:rsid w:val="40C600AE"/>
    <w:rsid w:val="40CD2B03"/>
    <w:rsid w:val="40D474E0"/>
    <w:rsid w:val="40E604BB"/>
    <w:rsid w:val="40ED383F"/>
    <w:rsid w:val="40F241E8"/>
    <w:rsid w:val="40F24318"/>
    <w:rsid w:val="40FD00C1"/>
    <w:rsid w:val="410535DA"/>
    <w:rsid w:val="41083028"/>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107E72"/>
    <w:rsid w:val="421F302E"/>
    <w:rsid w:val="422E218C"/>
    <w:rsid w:val="4237043D"/>
    <w:rsid w:val="423D72E4"/>
    <w:rsid w:val="423F6BAA"/>
    <w:rsid w:val="42565626"/>
    <w:rsid w:val="42660B19"/>
    <w:rsid w:val="426C096B"/>
    <w:rsid w:val="426F2B97"/>
    <w:rsid w:val="42812B20"/>
    <w:rsid w:val="42967175"/>
    <w:rsid w:val="429940CC"/>
    <w:rsid w:val="42A23EAE"/>
    <w:rsid w:val="42B57906"/>
    <w:rsid w:val="42CC27A0"/>
    <w:rsid w:val="42DC0D8F"/>
    <w:rsid w:val="42E07B44"/>
    <w:rsid w:val="42E14644"/>
    <w:rsid w:val="42F02C29"/>
    <w:rsid w:val="42F72C47"/>
    <w:rsid w:val="43065A98"/>
    <w:rsid w:val="43085D36"/>
    <w:rsid w:val="43117473"/>
    <w:rsid w:val="431760D2"/>
    <w:rsid w:val="432E7F09"/>
    <w:rsid w:val="4359067E"/>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85A47"/>
    <w:rsid w:val="43DC74C2"/>
    <w:rsid w:val="43DF5F41"/>
    <w:rsid w:val="43E02D35"/>
    <w:rsid w:val="43E15C5E"/>
    <w:rsid w:val="43E50164"/>
    <w:rsid w:val="43E5384B"/>
    <w:rsid w:val="43F23F61"/>
    <w:rsid w:val="43FD71F4"/>
    <w:rsid w:val="440A03A4"/>
    <w:rsid w:val="441A6704"/>
    <w:rsid w:val="442A60BB"/>
    <w:rsid w:val="44466E54"/>
    <w:rsid w:val="445033E8"/>
    <w:rsid w:val="4459240E"/>
    <w:rsid w:val="445E09D5"/>
    <w:rsid w:val="445F106B"/>
    <w:rsid w:val="446D660C"/>
    <w:rsid w:val="44717F74"/>
    <w:rsid w:val="44913E48"/>
    <w:rsid w:val="44A8678C"/>
    <w:rsid w:val="44D21BE9"/>
    <w:rsid w:val="44D82781"/>
    <w:rsid w:val="44DB3AAF"/>
    <w:rsid w:val="44EC3348"/>
    <w:rsid w:val="44F8664A"/>
    <w:rsid w:val="44FA19ED"/>
    <w:rsid w:val="44FB1005"/>
    <w:rsid w:val="44FF4853"/>
    <w:rsid w:val="45065F5D"/>
    <w:rsid w:val="45102DD1"/>
    <w:rsid w:val="45111F84"/>
    <w:rsid w:val="451E16D4"/>
    <w:rsid w:val="4524423D"/>
    <w:rsid w:val="452D285F"/>
    <w:rsid w:val="45381B79"/>
    <w:rsid w:val="454B0E83"/>
    <w:rsid w:val="455604F1"/>
    <w:rsid w:val="45584112"/>
    <w:rsid w:val="456414CF"/>
    <w:rsid w:val="456A6B72"/>
    <w:rsid w:val="457F3CA1"/>
    <w:rsid w:val="45812B97"/>
    <w:rsid w:val="458839BF"/>
    <w:rsid w:val="45887F17"/>
    <w:rsid w:val="458D7FB3"/>
    <w:rsid w:val="458E7AE0"/>
    <w:rsid w:val="458E7B9E"/>
    <w:rsid w:val="45905CFB"/>
    <w:rsid w:val="459578E9"/>
    <w:rsid w:val="459C0CF6"/>
    <w:rsid w:val="45A04BAE"/>
    <w:rsid w:val="45AC5423"/>
    <w:rsid w:val="45BF4D22"/>
    <w:rsid w:val="45C4185E"/>
    <w:rsid w:val="45C46745"/>
    <w:rsid w:val="45D47B04"/>
    <w:rsid w:val="45D778F8"/>
    <w:rsid w:val="45D84426"/>
    <w:rsid w:val="45DD47D8"/>
    <w:rsid w:val="45DF75B3"/>
    <w:rsid w:val="45EC5B58"/>
    <w:rsid w:val="45F06D5A"/>
    <w:rsid w:val="45F71D50"/>
    <w:rsid w:val="45F934F4"/>
    <w:rsid w:val="45FA6896"/>
    <w:rsid w:val="45FF3F96"/>
    <w:rsid w:val="463E2770"/>
    <w:rsid w:val="46401774"/>
    <w:rsid w:val="464D2D29"/>
    <w:rsid w:val="46535CF2"/>
    <w:rsid w:val="46735148"/>
    <w:rsid w:val="468913B5"/>
    <w:rsid w:val="469A3FCF"/>
    <w:rsid w:val="46C9271D"/>
    <w:rsid w:val="46D0797E"/>
    <w:rsid w:val="46DB78A8"/>
    <w:rsid w:val="46E51F43"/>
    <w:rsid w:val="47081865"/>
    <w:rsid w:val="470C0B02"/>
    <w:rsid w:val="470D6A52"/>
    <w:rsid w:val="471450DC"/>
    <w:rsid w:val="4723347D"/>
    <w:rsid w:val="472479E2"/>
    <w:rsid w:val="473F4843"/>
    <w:rsid w:val="474413C4"/>
    <w:rsid w:val="47466C18"/>
    <w:rsid w:val="47490958"/>
    <w:rsid w:val="474C1B90"/>
    <w:rsid w:val="475E4D8C"/>
    <w:rsid w:val="475F6FFB"/>
    <w:rsid w:val="47613706"/>
    <w:rsid w:val="476D294A"/>
    <w:rsid w:val="47744A88"/>
    <w:rsid w:val="47761971"/>
    <w:rsid w:val="47890476"/>
    <w:rsid w:val="4797006A"/>
    <w:rsid w:val="47A01A89"/>
    <w:rsid w:val="47A520E4"/>
    <w:rsid w:val="47A950EA"/>
    <w:rsid w:val="47B5191F"/>
    <w:rsid w:val="47BC062E"/>
    <w:rsid w:val="47BE18CE"/>
    <w:rsid w:val="47C22283"/>
    <w:rsid w:val="47C64BB4"/>
    <w:rsid w:val="47CB32E2"/>
    <w:rsid w:val="47D71873"/>
    <w:rsid w:val="47E47BD6"/>
    <w:rsid w:val="47F60B91"/>
    <w:rsid w:val="47FB3EBA"/>
    <w:rsid w:val="47FD5AEF"/>
    <w:rsid w:val="480B2333"/>
    <w:rsid w:val="480E207F"/>
    <w:rsid w:val="48167AAA"/>
    <w:rsid w:val="48373870"/>
    <w:rsid w:val="48486D82"/>
    <w:rsid w:val="487A031B"/>
    <w:rsid w:val="4895190E"/>
    <w:rsid w:val="48981E2D"/>
    <w:rsid w:val="48A117EC"/>
    <w:rsid w:val="48AE4C4E"/>
    <w:rsid w:val="48BC7D44"/>
    <w:rsid w:val="48BE01AF"/>
    <w:rsid w:val="48BE4616"/>
    <w:rsid w:val="48C27E3A"/>
    <w:rsid w:val="48C65766"/>
    <w:rsid w:val="48DE608B"/>
    <w:rsid w:val="48DF5182"/>
    <w:rsid w:val="48FC2EB6"/>
    <w:rsid w:val="49011B36"/>
    <w:rsid w:val="490536CC"/>
    <w:rsid w:val="490A7305"/>
    <w:rsid w:val="4915438D"/>
    <w:rsid w:val="49274AC8"/>
    <w:rsid w:val="492A36A1"/>
    <w:rsid w:val="49301E8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86490"/>
    <w:rsid w:val="49AB669F"/>
    <w:rsid w:val="49B2454B"/>
    <w:rsid w:val="49B303F3"/>
    <w:rsid w:val="49E65A94"/>
    <w:rsid w:val="49F679EF"/>
    <w:rsid w:val="49F92273"/>
    <w:rsid w:val="4A06561F"/>
    <w:rsid w:val="4A0668DF"/>
    <w:rsid w:val="4A167EEC"/>
    <w:rsid w:val="4A174386"/>
    <w:rsid w:val="4A1B239F"/>
    <w:rsid w:val="4A250AF5"/>
    <w:rsid w:val="4A25406F"/>
    <w:rsid w:val="4A28404B"/>
    <w:rsid w:val="4A290D7C"/>
    <w:rsid w:val="4A2E6757"/>
    <w:rsid w:val="4A40609E"/>
    <w:rsid w:val="4A41428F"/>
    <w:rsid w:val="4A4E51BA"/>
    <w:rsid w:val="4A4E64B2"/>
    <w:rsid w:val="4A536B62"/>
    <w:rsid w:val="4A5A0E17"/>
    <w:rsid w:val="4A5A16B1"/>
    <w:rsid w:val="4A627556"/>
    <w:rsid w:val="4A632C19"/>
    <w:rsid w:val="4A6536BD"/>
    <w:rsid w:val="4A69564B"/>
    <w:rsid w:val="4A7033D7"/>
    <w:rsid w:val="4A7757D2"/>
    <w:rsid w:val="4A7D6B8C"/>
    <w:rsid w:val="4A7F3D47"/>
    <w:rsid w:val="4A934DFD"/>
    <w:rsid w:val="4A9B4822"/>
    <w:rsid w:val="4ABF1A80"/>
    <w:rsid w:val="4AC15225"/>
    <w:rsid w:val="4ACD263C"/>
    <w:rsid w:val="4AF05152"/>
    <w:rsid w:val="4AF46A18"/>
    <w:rsid w:val="4B041530"/>
    <w:rsid w:val="4B094DA8"/>
    <w:rsid w:val="4B123B29"/>
    <w:rsid w:val="4B137364"/>
    <w:rsid w:val="4B2C16F1"/>
    <w:rsid w:val="4B341992"/>
    <w:rsid w:val="4B342A49"/>
    <w:rsid w:val="4B382EC2"/>
    <w:rsid w:val="4B4E00F3"/>
    <w:rsid w:val="4B5C75C6"/>
    <w:rsid w:val="4B5D316A"/>
    <w:rsid w:val="4B6717E4"/>
    <w:rsid w:val="4B67770C"/>
    <w:rsid w:val="4B705824"/>
    <w:rsid w:val="4B766CA0"/>
    <w:rsid w:val="4B7C5A8E"/>
    <w:rsid w:val="4B84465D"/>
    <w:rsid w:val="4B880B9F"/>
    <w:rsid w:val="4B8B0E4A"/>
    <w:rsid w:val="4BA1286E"/>
    <w:rsid w:val="4BA729F0"/>
    <w:rsid w:val="4BAE7484"/>
    <w:rsid w:val="4BB01E2B"/>
    <w:rsid w:val="4BB35325"/>
    <w:rsid w:val="4BB51437"/>
    <w:rsid w:val="4BC50363"/>
    <w:rsid w:val="4BCD0B56"/>
    <w:rsid w:val="4BD220D9"/>
    <w:rsid w:val="4BE17E7B"/>
    <w:rsid w:val="4BE45514"/>
    <w:rsid w:val="4BF244BC"/>
    <w:rsid w:val="4BF742E4"/>
    <w:rsid w:val="4BFF78E1"/>
    <w:rsid w:val="4C00529C"/>
    <w:rsid w:val="4C160AFB"/>
    <w:rsid w:val="4C177A54"/>
    <w:rsid w:val="4C18316B"/>
    <w:rsid w:val="4C2552F8"/>
    <w:rsid w:val="4C2C3E0B"/>
    <w:rsid w:val="4C37556E"/>
    <w:rsid w:val="4C501B69"/>
    <w:rsid w:val="4C52540B"/>
    <w:rsid w:val="4C5825DD"/>
    <w:rsid w:val="4C5916EF"/>
    <w:rsid w:val="4C59514C"/>
    <w:rsid w:val="4C5A3761"/>
    <w:rsid w:val="4C662EEE"/>
    <w:rsid w:val="4C690850"/>
    <w:rsid w:val="4C6958C8"/>
    <w:rsid w:val="4C8214A7"/>
    <w:rsid w:val="4C8776D7"/>
    <w:rsid w:val="4C90243C"/>
    <w:rsid w:val="4C905EA7"/>
    <w:rsid w:val="4C984E71"/>
    <w:rsid w:val="4CA304F0"/>
    <w:rsid w:val="4CAA3CF8"/>
    <w:rsid w:val="4CAD26EA"/>
    <w:rsid w:val="4CAE37A3"/>
    <w:rsid w:val="4CAF45F6"/>
    <w:rsid w:val="4CB079FF"/>
    <w:rsid w:val="4CB40E18"/>
    <w:rsid w:val="4CB47E59"/>
    <w:rsid w:val="4CB84CD1"/>
    <w:rsid w:val="4CC8569B"/>
    <w:rsid w:val="4CDB5C21"/>
    <w:rsid w:val="4CEF22C2"/>
    <w:rsid w:val="4CF85267"/>
    <w:rsid w:val="4D026998"/>
    <w:rsid w:val="4D081739"/>
    <w:rsid w:val="4D157F4F"/>
    <w:rsid w:val="4D1C5D83"/>
    <w:rsid w:val="4D213BF7"/>
    <w:rsid w:val="4D363FB7"/>
    <w:rsid w:val="4D402AFA"/>
    <w:rsid w:val="4D40746B"/>
    <w:rsid w:val="4D436429"/>
    <w:rsid w:val="4D5109CA"/>
    <w:rsid w:val="4D552358"/>
    <w:rsid w:val="4D563BBD"/>
    <w:rsid w:val="4D6A628D"/>
    <w:rsid w:val="4D761F2F"/>
    <w:rsid w:val="4D793DD7"/>
    <w:rsid w:val="4D8A6443"/>
    <w:rsid w:val="4D8A6E74"/>
    <w:rsid w:val="4D8B1D7C"/>
    <w:rsid w:val="4D8B2729"/>
    <w:rsid w:val="4DAE35B1"/>
    <w:rsid w:val="4DB67FFC"/>
    <w:rsid w:val="4DB80E16"/>
    <w:rsid w:val="4DBF3F22"/>
    <w:rsid w:val="4DC5776B"/>
    <w:rsid w:val="4DCF7290"/>
    <w:rsid w:val="4DD424D2"/>
    <w:rsid w:val="4DD9022E"/>
    <w:rsid w:val="4DDD09A1"/>
    <w:rsid w:val="4DE0206F"/>
    <w:rsid w:val="4DED0341"/>
    <w:rsid w:val="4DEF489C"/>
    <w:rsid w:val="4DF2005D"/>
    <w:rsid w:val="4DF94EFA"/>
    <w:rsid w:val="4E0208A1"/>
    <w:rsid w:val="4E0B6688"/>
    <w:rsid w:val="4E1121A5"/>
    <w:rsid w:val="4E1232D1"/>
    <w:rsid w:val="4E1D19D2"/>
    <w:rsid w:val="4E1E6139"/>
    <w:rsid w:val="4E224F42"/>
    <w:rsid w:val="4E2C707E"/>
    <w:rsid w:val="4E316BCD"/>
    <w:rsid w:val="4E3826D6"/>
    <w:rsid w:val="4E3F1C16"/>
    <w:rsid w:val="4E3F57BC"/>
    <w:rsid w:val="4E493DC4"/>
    <w:rsid w:val="4E4C44CD"/>
    <w:rsid w:val="4E50386D"/>
    <w:rsid w:val="4E55309F"/>
    <w:rsid w:val="4E7474E8"/>
    <w:rsid w:val="4E796078"/>
    <w:rsid w:val="4E7B73B3"/>
    <w:rsid w:val="4E7C4BA1"/>
    <w:rsid w:val="4E973A50"/>
    <w:rsid w:val="4E9F4105"/>
    <w:rsid w:val="4EA720E5"/>
    <w:rsid w:val="4EB02476"/>
    <w:rsid w:val="4EC372F3"/>
    <w:rsid w:val="4EE05CAA"/>
    <w:rsid w:val="4EE12346"/>
    <w:rsid w:val="4EE17CA8"/>
    <w:rsid w:val="4EE773E2"/>
    <w:rsid w:val="4EEC30DE"/>
    <w:rsid w:val="4EEE4370"/>
    <w:rsid w:val="4EF76CAE"/>
    <w:rsid w:val="4F114828"/>
    <w:rsid w:val="4F304989"/>
    <w:rsid w:val="4F366BC7"/>
    <w:rsid w:val="4F3F7826"/>
    <w:rsid w:val="4F5D14F6"/>
    <w:rsid w:val="4F6B689F"/>
    <w:rsid w:val="4F731591"/>
    <w:rsid w:val="4F8E010D"/>
    <w:rsid w:val="4F8F7D82"/>
    <w:rsid w:val="4F9A0837"/>
    <w:rsid w:val="4F9D6A43"/>
    <w:rsid w:val="4FAC1042"/>
    <w:rsid w:val="4FB60D92"/>
    <w:rsid w:val="4FB94E52"/>
    <w:rsid w:val="4FBE3AFD"/>
    <w:rsid w:val="4FDB3720"/>
    <w:rsid w:val="4FDF5967"/>
    <w:rsid w:val="4FE85264"/>
    <w:rsid w:val="4FEB69B0"/>
    <w:rsid w:val="4FEE3D08"/>
    <w:rsid w:val="4FFC4363"/>
    <w:rsid w:val="4FFD5A12"/>
    <w:rsid w:val="4FFF6489"/>
    <w:rsid w:val="500B0ED4"/>
    <w:rsid w:val="50102D4A"/>
    <w:rsid w:val="501C4F0D"/>
    <w:rsid w:val="5029091A"/>
    <w:rsid w:val="502A5588"/>
    <w:rsid w:val="502D6447"/>
    <w:rsid w:val="50360C21"/>
    <w:rsid w:val="503D6F10"/>
    <w:rsid w:val="50401737"/>
    <w:rsid w:val="50526BF2"/>
    <w:rsid w:val="5064689E"/>
    <w:rsid w:val="50696AB5"/>
    <w:rsid w:val="506E556F"/>
    <w:rsid w:val="50747150"/>
    <w:rsid w:val="507703C6"/>
    <w:rsid w:val="507C7513"/>
    <w:rsid w:val="50804F6F"/>
    <w:rsid w:val="50812FC2"/>
    <w:rsid w:val="50922234"/>
    <w:rsid w:val="50A0169A"/>
    <w:rsid w:val="50A548F7"/>
    <w:rsid w:val="50A95358"/>
    <w:rsid w:val="50D240A9"/>
    <w:rsid w:val="50E74E4F"/>
    <w:rsid w:val="50EF43D0"/>
    <w:rsid w:val="50F32C05"/>
    <w:rsid w:val="51014856"/>
    <w:rsid w:val="510A7849"/>
    <w:rsid w:val="51100044"/>
    <w:rsid w:val="5133250E"/>
    <w:rsid w:val="5147293F"/>
    <w:rsid w:val="51484635"/>
    <w:rsid w:val="514B4DA3"/>
    <w:rsid w:val="515570E4"/>
    <w:rsid w:val="515F1555"/>
    <w:rsid w:val="515F6445"/>
    <w:rsid w:val="516113B8"/>
    <w:rsid w:val="51744CB0"/>
    <w:rsid w:val="518178BC"/>
    <w:rsid w:val="51846C5D"/>
    <w:rsid w:val="518E4D56"/>
    <w:rsid w:val="51930C54"/>
    <w:rsid w:val="51932D58"/>
    <w:rsid w:val="5198443A"/>
    <w:rsid w:val="519F23F2"/>
    <w:rsid w:val="51B21398"/>
    <w:rsid w:val="51B65C8D"/>
    <w:rsid w:val="51B9350B"/>
    <w:rsid w:val="51C82E54"/>
    <w:rsid w:val="51E26886"/>
    <w:rsid w:val="520645B9"/>
    <w:rsid w:val="52066D18"/>
    <w:rsid w:val="520F3871"/>
    <w:rsid w:val="521117D6"/>
    <w:rsid w:val="5227352B"/>
    <w:rsid w:val="522B0B10"/>
    <w:rsid w:val="52386C48"/>
    <w:rsid w:val="523C6D60"/>
    <w:rsid w:val="524F1CF2"/>
    <w:rsid w:val="525B4D0A"/>
    <w:rsid w:val="525D0DDD"/>
    <w:rsid w:val="525E7D94"/>
    <w:rsid w:val="526A557B"/>
    <w:rsid w:val="527234DF"/>
    <w:rsid w:val="52734B8D"/>
    <w:rsid w:val="52866E27"/>
    <w:rsid w:val="52933667"/>
    <w:rsid w:val="52937784"/>
    <w:rsid w:val="52A422AF"/>
    <w:rsid w:val="52AD591D"/>
    <w:rsid w:val="52B40CD1"/>
    <w:rsid w:val="52C73780"/>
    <w:rsid w:val="52D30187"/>
    <w:rsid w:val="52DE294E"/>
    <w:rsid w:val="52DE4522"/>
    <w:rsid w:val="52E80C5A"/>
    <w:rsid w:val="52EB39D6"/>
    <w:rsid w:val="52F45CCD"/>
    <w:rsid w:val="530D11E7"/>
    <w:rsid w:val="53194497"/>
    <w:rsid w:val="53283BC9"/>
    <w:rsid w:val="532B274E"/>
    <w:rsid w:val="532B79AE"/>
    <w:rsid w:val="53301642"/>
    <w:rsid w:val="53383909"/>
    <w:rsid w:val="533A55FD"/>
    <w:rsid w:val="533E1C9D"/>
    <w:rsid w:val="535911AD"/>
    <w:rsid w:val="536034E5"/>
    <w:rsid w:val="53717427"/>
    <w:rsid w:val="53756F3F"/>
    <w:rsid w:val="538237C6"/>
    <w:rsid w:val="53B0409F"/>
    <w:rsid w:val="53E00D9A"/>
    <w:rsid w:val="53E05B8F"/>
    <w:rsid w:val="53E6232E"/>
    <w:rsid w:val="53E8049B"/>
    <w:rsid w:val="53E82405"/>
    <w:rsid w:val="54157FC5"/>
    <w:rsid w:val="541A2918"/>
    <w:rsid w:val="54204C9F"/>
    <w:rsid w:val="5426167E"/>
    <w:rsid w:val="54280325"/>
    <w:rsid w:val="54385FD8"/>
    <w:rsid w:val="543D19F2"/>
    <w:rsid w:val="543F078D"/>
    <w:rsid w:val="54624A1A"/>
    <w:rsid w:val="5467079A"/>
    <w:rsid w:val="546F53E5"/>
    <w:rsid w:val="547C4670"/>
    <w:rsid w:val="5482785F"/>
    <w:rsid w:val="54834761"/>
    <w:rsid w:val="54842B46"/>
    <w:rsid w:val="548D63DA"/>
    <w:rsid w:val="54981906"/>
    <w:rsid w:val="54992160"/>
    <w:rsid w:val="54AF45A2"/>
    <w:rsid w:val="54B13FCD"/>
    <w:rsid w:val="54C07BCA"/>
    <w:rsid w:val="54F07210"/>
    <w:rsid w:val="550146D2"/>
    <w:rsid w:val="550D21E2"/>
    <w:rsid w:val="55106B9E"/>
    <w:rsid w:val="55293CD7"/>
    <w:rsid w:val="55397F95"/>
    <w:rsid w:val="553B72BC"/>
    <w:rsid w:val="55402FD8"/>
    <w:rsid w:val="5562356C"/>
    <w:rsid w:val="55651104"/>
    <w:rsid w:val="55734F1D"/>
    <w:rsid w:val="557612C1"/>
    <w:rsid w:val="55794AFE"/>
    <w:rsid w:val="557A22BF"/>
    <w:rsid w:val="558D63DE"/>
    <w:rsid w:val="55A91797"/>
    <w:rsid w:val="55A955BC"/>
    <w:rsid w:val="55CD6CE1"/>
    <w:rsid w:val="55D128B6"/>
    <w:rsid w:val="55D3548E"/>
    <w:rsid w:val="55E820F0"/>
    <w:rsid w:val="55ED3A66"/>
    <w:rsid w:val="55FC5BB6"/>
    <w:rsid w:val="56032E96"/>
    <w:rsid w:val="561F3061"/>
    <w:rsid w:val="562F7218"/>
    <w:rsid w:val="563811F3"/>
    <w:rsid w:val="563B47EF"/>
    <w:rsid w:val="563D2F23"/>
    <w:rsid w:val="56442AC9"/>
    <w:rsid w:val="565A1A66"/>
    <w:rsid w:val="565C303E"/>
    <w:rsid w:val="56696A15"/>
    <w:rsid w:val="566E6F0C"/>
    <w:rsid w:val="568147E6"/>
    <w:rsid w:val="568578F8"/>
    <w:rsid w:val="56905AE9"/>
    <w:rsid w:val="56AD2D63"/>
    <w:rsid w:val="56AD7F56"/>
    <w:rsid w:val="56B14A4E"/>
    <w:rsid w:val="56C105BC"/>
    <w:rsid w:val="56DB6B9E"/>
    <w:rsid w:val="56E47121"/>
    <w:rsid w:val="56E93EB2"/>
    <w:rsid w:val="56EA6B57"/>
    <w:rsid w:val="56F332BC"/>
    <w:rsid w:val="56F72AE0"/>
    <w:rsid w:val="56FC0A62"/>
    <w:rsid w:val="57121C92"/>
    <w:rsid w:val="57285CD2"/>
    <w:rsid w:val="5729650D"/>
    <w:rsid w:val="57302BC2"/>
    <w:rsid w:val="573202DA"/>
    <w:rsid w:val="5734273B"/>
    <w:rsid w:val="57512180"/>
    <w:rsid w:val="5763554D"/>
    <w:rsid w:val="57644F14"/>
    <w:rsid w:val="57730938"/>
    <w:rsid w:val="577E549B"/>
    <w:rsid w:val="578904F9"/>
    <w:rsid w:val="57C344BA"/>
    <w:rsid w:val="57C43AAF"/>
    <w:rsid w:val="57CE0C4E"/>
    <w:rsid w:val="57D727B4"/>
    <w:rsid w:val="57E11A79"/>
    <w:rsid w:val="57F6321B"/>
    <w:rsid w:val="58025991"/>
    <w:rsid w:val="58026C75"/>
    <w:rsid w:val="580B590A"/>
    <w:rsid w:val="58123DE6"/>
    <w:rsid w:val="581278DB"/>
    <w:rsid w:val="581F1405"/>
    <w:rsid w:val="582901C7"/>
    <w:rsid w:val="582B4A6E"/>
    <w:rsid w:val="583A7F2A"/>
    <w:rsid w:val="584863F5"/>
    <w:rsid w:val="58543C7C"/>
    <w:rsid w:val="5858263B"/>
    <w:rsid w:val="585869BD"/>
    <w:rsid w:val="588D376D"/>
    <w:rsid w:val="58923CB1"/>
    <w:rsid w:val="58927B2F"/>
    <w:rsid w:val="589D3BF4"/>
    <w:rsid w:val="58A41F44"/>
    <w:rsid w:val="58AA6661"/>
    <w:rsid w:val="58AB6F65"/>
    <w:rsid w:val="58B32ECD"/>
    <w:rsid w:val="58C16F0F"/>
    <w:rsid w:val="58C83C33"/>
    <w:rsid w:val="58DC71A7"/>
    <w:rsid w:val="58DE696E"/>
    <w:rsid w:val="58E63860"/>
    <w:rsid w:val="58F07B9D"/>
    <w:rsid w:val="58F410EC"/>
    <w:rsid w:val="592074AC"/>
    <w:rsid w:val="592E72DE"/>
    <w:rsid w:val="5938443B"/>
    <w:rsid w:val="593D04C8"/>
    <w:rsid w:val="59460173"/>
    <w:rsid w:val="59490B80"/>
    <w:rsid w:val="594C24B0"/>
    <w:rsid w:val="594C55D0"/>
    <w:rsid w:val="597B0EF6"/>
    <w:rsid w:val="59822B75"/>
    <w:rsid w:val="598850C0"/>
    <w:rsid w:val="59B459DE"/>
    <w:rsid w:val="59B52CD9"/>
    <w:rsid w:val="59BE124D"/>
    <w:rsid w:val="59C84CDF"/>
    <w:rsid w:val="59CA4C89"/>
    <w:rsid w:val="59E309B6"/>
    <w:rsid w:val="59E37ED8"/>
    <w:rsid w:val="59E44CEE"/>
    <w:rsid w:val="59E63DC8"/>
    <w:rsid w:val="59EB14CD"/>
    <w:rsid w:val="59EF48C8"/>
    <w:rsid w:val="5A247CDB"/>
    <w:rsid w:val="5A335194"/>
    <w:rsid w:val="5A356DDA"/>
    <w:rsid w:val="5A371A5D"/>
    <w:rsid w:val="5A575D91"/>
    <w:rsid w:val="5A581480"/>
    <w:rsid w:val="5A6A2BD2"/>
    <w:rsid w:val="5A6E7822"/>
    <w:rsid w:val="5A7236C9"/>
    <w:rsid w:val="5A7339D6"/>
    <w:rsid w:val="5A894444"/>
    <w:rsid w:val="5A8E6A07"/>
    <w:rsid w:val="5A8F7875"/>
    <w:rsid w:val="5A9579D4"/>
    <w:rsid w:val="5A994586"/>
    <w:rsid w:val="5AA248EB"/>
    <w:rsid w:val="5ABF3065"/>
    <w:rsid w:val="5AC053E4"/>
    <w:rsid w:val="5ACE09A3"/>
    <w:rsid w:val="5ADE17FA"/>
    <w:rsid w:val="5AF727FF"/>
    <w:rsid w:val="5AF91A16"/>
    <w:rsid w:val="5B006CAA"/>
    <w:rsid w:val="5B0C5194"/>
    <w:rsid w:val="5B152458"/>
    <w:rsid w:val="5B264A86"/>
    <w:rsid w:val="5B396F85"/>
    <w:rsid w:val="5B3C37FD"/>
    <w:rsid w:val="5B475858"/>
    <w:rsid w:val="5B491849"/>
    <w:rsid w:val="5B567D36"/>
    <w:rsid w:val="5B5C7179"/>
    <w:rsid w:val="5B6416F3"/>
    <w:rsid w:val="5B676EA6"/>
    <w:rsid w:val="5B6D56EA"/>
    <w:rsid w:val="5B6E3384"/>
    <w:rsid w:val="5B7127AA"/>
    <w:rsid w:val="5B802A5A"/>
    <w:rsid w:val="5B80588C"/>
    <w:rsid w:val="5B8A0154"/>
    <w:rsid w:val="5B904646"/>
    <w:rsid w:val="5B996C0C"/>
    <w:rsid w:val="5BA046D8"/>
    <w:rsid w:val="5BA248C9"/>
    <w:rsid w:val="5BB271D5"/>
    <w:rsid w:val="5BC4536F"/>
    <w:rsid w:val="5BD708F5"/>
    <w:rsid w:val="5BE11D3E"/>
    <w:rsid w:val="5BE32481"/>
    <w:rsid w:val="5BE76365"/>
    <w:rsid w:val="5BF54256"/>
    <w:rsid w:val="5C25620A"/>
    <w:rsid w:val="5C355397"/>
    <w:rsid w:val="5C3A0AA8"/>
    <w:rsid w:val="5C3F2070"/>
    <w:rsid w:val="5C400455"/>
    <w:rsid w:val="5C435E0B"/>
    <w:rsid w:val="5C4444BD"/>
    <w:rsid w:val="5C5123E2"/>
    <w:rsid w:val="5C6F0385"/>
    <w:rsid w:val="5C770320"/>
    <w:rsid w:val="5C8017A6"/>
    <w:rsid w:val="5C864881"/>
    <w:rsid w:val="5C924B81"/>
    <w:rsid w:val="5C9E09E2"/>
    <w:rsid w:val="5CA363E0"/>
    <w:rsid w:val="5CA70719"/>
    <w:rsid w:val="5CB82EBF"/>
    <w:rsid w:val="5CBE05E3"/>
    <w:rsid w:val="5CC05D9E"/>
    <w:rsid w:val="5CC708B0"/>
    <w:rsid w:val="5CDA71D3"/>
    <w:rsid w:val="5CE54876"/>
    <w:rsid w:val="5CEF5874"/>
    <w:rsid w:val="5CFB2FDE"/>
    <w:rsid w:val="5D1A6F31"/>
    <w:rsid w:val="5D1E5536"/>
    <w:rsid w:val="5D1F5A7E"/>
    <w:rsid w:val="5D236ED9"/>
    <w:rsid w:val="5D2A1B13"/>
    <w:rsid w:val="5D2C20B7"/>
    <w:rsid w:val="5D2D52D3"/>
    <w:rsid w:val="5D393E6A"/>
    <w:rsid w:val="5D476082"/>
    <w:rsid w:val="5D4A0A98"/>
    <w:rsid w:val="5D4B4145"/>
    <w:rsid w:val="5D4C6C2E"/>
    <w:rsid w:val="5D5059DF"/>
    <w:rsid w:val="5D5A52FA"/>
    <w:rsid w:val="5D755474"/>
    <w:rsid w:val="5D766193"/>
    <w:rsid w:val="5D7E596D"/>
    <w:rsid w:val="5D8D744A"/>
    <w:rsid w:val="5D966AF6"/>
    <w:rsid w:val="5D9E18CE"/>
    <w:rsid w:val="5DAC6B99"/>
    <w:rsid w:val="5DBF4C78"/>
    <w:rsid w:val="5DC0691D"/>
    <w:rsid w:val="5DCF1811"/>
    <w:rsid w:val="5DD26EE0"/>
    <w:rsid w:val="5DD35148"/>
    <w:rsid w:val="5DE514EE"/>
    <w:rsid w:val="5DE53F7C"/>
    <w:rsid w:val="5DF64FF0"/>
    <w:rsid w:val="5E013701"/>
    <w:rsid w:val="5E0513FB"/>
    <w:rsid w:val="5E1570CE"/>
    <w:rsid w:val="5E171C43"/>
    <w:rsid w:val="5E1C6562"/>
    <w:rsid w:val="5E2800BA"/>
    <w:rsid w:val="5E2C09B6"/>
    <w:rsid w:val="5E2D14BF"/>
    <w:rsid w:val="5E3C0189"/>
    <w:rsid w:val="5E404FB0"/>
    <w:rsid w:val="5E42301F"/>
    <w:rsid w:val="5E467B9F"/>
    <w:rsid w:val="5E5118D1"/>
    <w:rsid w:val="5E51227F"/>
    <w:rsid w:val="5E514CD5"/>
    <w:rsid w:val="5E52263A"/>
    <w:rsid w:val="5E5A59C7"/>
    <w:rsid w:val="5E6E104D"/>
    <w:rsid w:val="5E731849"/>
    <w:rsid w:val="5E7C1280"/>
    <w:rsid w:val="5EAB53C3"/>
    <w:rsid w:val="5EAF39DF"/>
    <w:rsid w:val="5EB874C0"/>
    <w:rsid w:val="5EC31AC3"/>
    <w:rsid w:val="5EC91D37"/>
    <w:rsid w:val="5EE564C9"/>
    <w:rsid w:val="5EE65064"/>
    <w:rsid w:val="5EEE7B08"/>
    <w:rsid w:val="5EF55234"/>
    <w:rsid w:val="5EF808F3"/>
    <w:rsid w:val="5F0E3CF1"/>
    <w:rsid w:val="5F1624F5"/>
    <w:rsid w:val="5F193A26"/>
    <w:rsid w:val="5F1C125D"/>
    <w:rsid w:val="5F2522A0"/>
    <w:rsid w:val="5F2B4794"/>
    <w:rsid w:val="5F2D1625"/>
    <w:rsid w:val="5F357A2D"/>
    <w:rsid w:val="5F4B2EB5"/>
    <w:rsid w:val="5F4C3A88"/>
    <w:rsid w:val="5F4D7AE0"/>
    <w:rsid w:val="5F5A15AE"/>
    <w:rsid w:val="5F5A4C82"/>
    <w:rsid w:val="5F870365"/>
    <w:rsid w:val="5F886238"/>
    <w:rsid w:val="5F981562"/>
    <w:rsid w:val="5FA161BA"/>
    <w:rsid w:val="5FC001D5"/>
    <w:rsid w:val="5FC240D0"/>
    <w:rsid w:val="5FCA38F9"/>
    <w:rsid w:val="5FD84A30"/>
    <w:rsid w:val="5FE170F8"/>
    <w:rsid w:val="5FE86F17"/>
    <w:rsid w:val="5FED41D0"/>
    <w:rsid w:val="5FF200BA"/>
    <w:rsid w:val="5FF20A16"/>
    <w:rsid w:val="5FF6085F"/>
    <w:rsid w:val="5FF8256B"/>
    <w:rsid w:val="5FFC1120"/>
    <w:rsid w:val="5FFD12A5"/>
    <w:rsid w:val="60064D2A"/>
    <w:rsid w:val="60082B45"/>
    <w:rsid w:val="600B28A8"/>
    <w:rsid w:val="601158D1"/>
    <w:rsid w:val="6017480A"/>
    <w:rsid w:val="601D045C"/>
    <w:rsid w:val="602653D2"/>
    <w:rsid w:val="60270FD4"/>
    <w:rsid w:val="60303AFA"/>
    <w:rsid w:val="604324D0"/>
    <w:rsid w:val="60445AFC"/>
    <w:rsid w:val="604B60D3"/>
    <w:rsid w:val="60646268"/>
    <w:rsid w:val="606D7CFC"/>
    <w:rsid w:val="606F505F"/>
    <w:rsid w:val="60884998"/>
    <w:rsid w:val="608942B2"/>
    <w:rsid w:val="60A15641"/>
    <w:rsid w:val="60B27E50"/>
    <w:rsid w:val="60B44302"/>
    <w:rsid w:val="60B658E9"/>
    <w:rsid w:val="60B928B7"/>
    <w:rsid w:val="60C66B21"/>
    <w:rsid w:val="60C80EC0"/>
    <w:rsid w:val="60CD2CF0"/>
    <w:rsid w:val="60D2369F"/>
    <w:rsid w:val="60DF67A6"/>
    <w:rsid w:val="60E41416"/>
    <w:rsid w:val="60E52C42"/>
    <w:rsid w:val="60E6759D"/>
    <w:rsid w:val="60E855DE"/>
    <w:rsid w:val="60E96F99"/>
    <w:rsid w:val="60EF662F"/>
    <w:rsid w:val="60F71F45"/>
    <w:rsid w:val="60F80C24"/>
    <w:rsid w:val="610231C1"/>
    <w:rsid w:val="610278FD"/>
    <w:rsid w:val="611C05A5"/>
    <w:rsid w:val="611C39DE"/>
    <w:rsid w:val="611E5474"/>
    <w:rsid w:val="61376941"/>
    <w:rsid w:val="613F7A7D"/>
    <w:rsid w:val="61592BF5"/>
    <w:rsid w:val="615C5FB8"/>
    <w:rsid w:val="61634209"/>
    <w:rsid w:val="61693B6C"/>
    <w:rsid w:val="61AE7948"/>
    <w:rsid w:val="61D25A07"/>
    <w:rsid w:val="61E6608D"/>
    <w:rsid w:val="61ED7533"/>
    <w:rsid w:val="61F05F1C"/>
    <w:rsid w:val="61FC0F2C"/>
    <w:rsid w:val="61FD7DB0"/>
    <w:rsid w:val="62114372"/>
    <w:rsid w:val="62161890"/>
    <w:rsid w:val="62172430"/>
    <w:rsid w:val="62202443"/>
    <w:rsid w:val="62236948"/>
    <w:rsid w:val="6224761C"/>
    <w:rsid w:val="62275A5B"/>
    <w:rsid w:val="622C3001"/>
    <w:rsid w:val="623561A0"/>
    <w:rsid w:val="624314DE"/>
    <w:rsid w:val="624502F4"/>
    <w:rsid w:val="62483FD7"/>
    <w:rsid w:val="62500F5E"/>
    <w:rsid w:val="626204F3"/>
    <w:rsid w:val="62731C1A"/>
    <w:rsid w:val="62867571"/>
    <w:rsid w:val="629B6165"/>
    <w:rsid w:val="629F5531"/>
    <w:rsid w:val="62AB40A1"/>
    <w:rsid w:val="62AF7586"/>
    <w:rsid w:val="62B560E9"/>
    <w:rsid w:val="62B92A90"/>
    <w:rsid w:val="62BE3E96"/>
    <w:rsid w:val="62D11B87"/>
    <w:rsid w:val="62D338B4"/>
    <w:rsid w:val="62D5294D"/>
    <w:rsid w:val="62EC385F"/>
    <w:rsid w:val="62FB4E56"/>
    <w:rsid w:val="62FB5BA7"/>
    <w:rsid w:val="6300421A"/>
    <w:rsid w:val="6301326C"/>
    <w:rsid w:val="63050A1F"/>
    <w:rsid w:val="63080E5B"/>
    <w:rsid w:val="6309206C"/>
    <w:rsid w:val="630E5098"/>
    <w:rsid w:val="63185A08"/>
    <w:rsid w:val="631F224A"/>
    <w:rsid w:val="632035A5"/>
    <w:rsid w:val="63294E5F"/>
    <w:rsid w:val="633C082B"/>
    <w:rsid w:val="633C2410"/>
    <w:rsid w:val="633F63DA"/>
    <w:rsid w:val="63545C98"/>
    <w:rsid w:val="635F65AF"/>
    <w:rsid w:val="63620628"/>
    <w:rsid w:val="63651461"/>
    <w:rsid w:val="63870CB8"/>
    <w:rsid w:val="638B7A69"/>
    <w:rsid w:val="63903BC1"/>
    <w:rsid w:val="639248EB"/>
    <w:rsid w:val="63967850"/>
    <w:rsid w:val="639C3EF7"/>
    <w:rsid w:val="63A31776"/>
    <w:rsid w:val="63A368BC"/>
    <w:rsid w:val="63BD3EBA"/>
    <w:rsid w:val="63BE19B4"/>
    <w:rsid w:val="63F00578"/>
    <w:rsid w:val="640333E3"/>
    <w:rsid w:val="640B6395"/>
    <w:rsid w:val="640C2139"/>
    <w:rsid w:val="641522A9"/>
    <w:rsid w:val="641C35B1"/>
    <w:rsid w:val="641F101E"/>
    <w:rsid w:val="64237E60"/>
    <w:rsid w:val="642E543B"/>
    <w:rsid w:val="64316853"/>
    <w:rsid w:val="643353CD"/>
    <w:rsid w:val="64442D14"/>
    <w:rsid w:val="64446389"/>
    <w:rsid w:val="644665A5"/>
    <w:rsid w:val="64533B61"/>
    <w:rsid w:val="64537D8A"/>
    <w:rsid w:val="645529CF"/>
    <w:rsid w:val="64582752"/>
    <w:rsid w:val="645B42E9"/>
    <w:rsid w:val="64601330"/>
    <w:rsid w:val="64632D49"/>
    <w:rsid w:val="646F6A4F"/>
    <w:rsid w:val="64734452"/>
    <w:rsid w:val="64741109"/>
    <w:rsid w:val="6474752A"/>
    <w:rsid w:val="647868BD"/>
    <w:rsid w:val="64831720"/>
    <w:rsid w:val="648F71C6"/>
    <w:rsid w:val="64A82A8C"/>
    <w:rsid w:val="64AA707D"/>
    <w:rsid w:val="64BD683C"/>
    <w:rsid w:val="64C55F55"/>
    <w:rsid w:val="64C834FC"/>
    <w:rsid w:val="64E119E4"/>
    <w:rsid w:val="64EB7DFD"/>
    <w:rsid w:val="65003032"/>
    <w:rsid w:val="65050F4E"/>
    <w:rsid w:val="65071890"/>
    <w:rsid w:val="650C334E"/>
    <w:rsid w:val="650D3E92"/>
    <w:rsid w:val="65146C68"/>
    <w:rsid w:val="65190895"/>
    <w:rsid w:val="65322CBF"/>
    <w:rsid w:val="653D616B"/>
    <w:rsid w:val="65482211"/>
    <w:rsid w:val="654A3764"/>
    <w:rsid w:val="65525C0E"/>
    <w:rsid w:val="65555212"/>
    <w:rsid w:val="65653B74"/>
    <w:rsid w:val="6569417B"/>
    <w:rsid w:val="656D4997"/>
    <w:rsid w:val="657F5034"/>
    <w:rsid w:val="657F5A99"/>
    <w:rsid w:val="658B7132"/>
    <w:rsid w:val="65923A57"/>
    <w:rsid w:val="65971A81"/>
    <w:rsid w:val="65980F79"/>
    <w:rsid w:val="65984BDE"/>
    <w:rsid w:val="659E7533"/>
    <w:rsid w:val="65A97453"/>
    <w:rsid w:val="65AE4402"/>
    <w:rsid w:val="65AF3B9A"/>
    <w:rsid w:val="65C1644B"/>
    <w:rsid w:val="65E75F6F"/>
    <w:rsid w:val="65EF01E5"/>
    <w:rsid w:val="65FC33BF"/>
    <w:rsid w:val="65FC5496"/>
    <w:rsid w:val="65FC6E6D"/>
    <w:rsid w:val="6605765F"/>
    <w:rsid w:val="660F2AC1"/>
    <w:rsid w:val="662304CB"/>
    <w:rsid w:val="66464E42"/>
    <w:rsid w:val="664D3C1B"/>
    <w:rsid w:val="66551F6F"/>
    <w:rsid w:val="665C3A62"/>
    <w:rsid w:val="66644E66"/>
    <w:rsid w:val="66770B4B"/>
    <w:rsid w:val="667D07B1"/>
    <w:rsid w:val="667D1B95"/>
    <w:rsid w:val="668058D3"/>
    <w:rsid w:val="66827D54"/>
    <w:rsid w:val="668A2779"/>
    <w:rsid w:val="668A6259"/>
    <w:rsid w:val="66916C3F"/>
    <w:rsid w:val="66974852"/>
    <w:rsid w:val="66AC7DC6"/>
    <w:rsid w:val="66B8113E"/>
    <w:rsid w:val="66BD26E5"/>
    <w:rsid w:val="66D125F5"/>
    <w:rsid w:val="66D9630D"/>
    <w:rsid w:val="66E75B0D"/>
    <w:rsid w:val="66E77BFC"/>
    <w:rsid w:val="66FA4F21"/>
    <w:rsid w:val="6712048C"/>
    <w:rsid w:val="671458DD"/>
    <w:rsid w:val="671B3B7A"/>
    <w:rsid w:val="67266141"/>
    <w:rsid w:val="673C081D"/>
    <w:rsid w:val="674F0550"/>
    <w:rsid w:val="67565996"/>
    <w:rsid w:val="676E3F41"/>
    <w:rsid w:val="67713305"/>
    <w:rsid w:val="677752E1"/>
    <w:rsid w:val="67AB0BF9"/>
    <w:rsid w:val="67B04EEE"/>
    <w:rsid w:val="67B970C3"/>
    <w:rsid w:val="67C731E0"/>
    <w:rsid w:val="67CB7146"/>
    <w:rsid w:val="67D33980"/>
    <w:rsid w:val="67DE5264"/>
    <w:rsid w:val="67EE0C5C"/>
    <w:rsid w:val="67F35DF1"/>
    <w:rsid w:val="68092B5E"/>
    <w:rsid w:val="680D364D"/>
    <w:rsid w:val="680F5AE3"/>
    <w:rsid w:val="68117613"/>
    <w:rsid w:val="6820477D"/>
    <w:rsid w:val="682C160E"/>
    <w:rsid w:val="68427665"/>
    <w:rsid w:val="684775C0"/>
    <w:rsid w:val="684B1376"/>
    <w:rsid w:val="684D136C"/>
    <w:rsid w:val="684F0E2C"/>
    <w:rsid w:val="6865733B"/>
    <w:rsid w:val="68684609"/>
    <w:rsid w:val="686B477F"/>
    <w:rsid w:val="687141FF"/>
    <w:rsid w:val="68723EAA"/>
    <w:rsid w:val="6877412F"/>
    <w:rsid w:val="6880201F"/>
    <w:rsid w:val="68835AA2"/>
    <w:rsid w:val="68844ECD"/>
    <w:rsid w:val="688A2354"/>
    <w:rsid w:val="688C1BB2"/>
    <w:rsid w:val="6894390C"/>
    <w:rsid w:val="6895754F"/>
    <w:rsid w:val="689A781C"/>
    <w:rsid w:val="68A0780C"/>
    <w:rsid w:val="68A42548"/>
    <w:rsid w:val="68AD27CD"/>
    <w:rsid w:val="68C64618"/>
    <w:rsid w:val="68CE053F"/>
    <w:rsid w:val="68D7007A"/>
    <w:rsid w:val="68D7712D"/>
    <w:rsid w:val="68E727E3"/>
    <w:rsid w:val="68F20AA9"/>
    <w:rsid w:val="68F266B3"/>
    <w:rsid w:val="6909085B"/>
    <w:rsid w:val="690D2738"/>
    <w:rsid w:val="69176A78"/>
    <w:rsid w:val="691F15AB"/>
    <w:rsid w:val="69234699"/>
    <w:rsid w:val="69262D4A"/>
    <w:rsid w:val="692C1F12"/>
    <w:rsid w:val="69366B94"/>
    <w:rsid w:val="694D2D55"/>
    <w:rsid w:val="695E7C59"/>
    <w:rsid w:val="69617970"/>
    <w:rsid w:val="697D3DF1"/>
    <w:rsid w:val="697E4634"/>
    <w:rsid w:val="69817A0A"/>
    <w:rsid w:val="69877BD5"/>
    <w:rsid w:val="69883909"/>
    <w:rsid w:val="698C7784"/>
    <w:rsid w:val="69934DBD"/>
    <w:rsid w:val="6996284D"/>
    <w:rsid w:val="699833FF"/>
    <w:rsid w:val="6999757A"/>
    <w:rsid w:val="69A27DC6"/>
    <w:rsid w:val="69A67461"/>
    <w:rsid w:val="69B361C6"/>
    <w:rsid w:val="69BB76DC"/>
    <w:rsid w:val="69C34C7C"/>
    <w:rsid w:val="69CD7A7A"/>
    <w:rsid w:val="69E3443A"/>
    <w:rsid w:val="69E5416A"/>
    <w:rsid w:val="69E65023"/>
    <w:rsid w:val="69EE1BDC"/>
    <w:rsid w:val="69F81080"/>
    <w:rsid w:val="6A007DE8"/>
    <w:rsid w:val="6A11613C"/>
    <w:rsid w:val="6A186779"/>
    <w:rsid w:val="6A256586"/>
    <w:rsid w:val="6A302DD5"/>
    <w:rsid w:val="6A396A80"/>
    <w:rsid w:val="6A4610AD"/>
    <w:rsid w:val="6A461F5E"/>
    <w:rsid w:val="6A5A0FF9"/>
    <w:rsid w:val="6A5A4DFC"/>
    <w:rsid w:val="6A654291"/>
    <w:rsid w:val="6A680E8F"/>
    <w:rsid w:val="6A703E49"/>
    <w:rsid w:val="6A730966"/>
    <w:rsid w:val="6A797550"/>
    <w:rsid w:val="6A7E689E"/>
    <w:rsid w:val="6A891457"/>
    <w:rsid w:val="6AA652D2"/>
    <w:rsid w:val="6AA72340"/>
    <w:rsid w:val="6AB04219"/>
    <w:rsid w:val="6ACF25A6"/>
    <w:rsid w:val="6AD60DC8"/>
    <w:rsid w:val="6ADA17F5"/>
    <w:rsid w:val="6ADC0399"/>
    <w:rsid w:val="6ADF0BB9"/>
    <w:rsid w:val="6AEB0476"/>
    <w:rsid w:val="6AF723A7"/>
    <w:rsid w:val="6B0743D3"/>
    <w:rsid w:val="6B077010"/>
    <w:rsid w:val="6B204E64"/>
    <w:rsid w:val="6B33492D"/>
    <w:rsid w:val="6B3F0486"/>
    <w:rsid w:val="6B4B4F61"/>
    <w:rsid w:val="6B570869"/>
    <w:rsid w:val="6B5D3298"/>
    <w:rsid w:val="6B655563"/>
    <w:rsid w:val="6B6946AD"/>
    <w:rsid w:val="6B7436DD"/>
    <w:rsid w:val="6B7F5AB4"/>
    <w:rsid w:val="6B827C66"/>
    <w:rsid w:val="6B846633"/>
    <w:rsid w:val="6B861AFC"/>
    <w:rsid w:val="6BAD411E"/>
    <w:rsid w:val="6BB07A53"/>
    <w:rsid w:val="6BB72063"/>
    <w:rsid w:val="6BBD7915"/>
    <w:rsid w:val="6BBE0A12"/>
    <w:rsid w:val="6BC11AEE"/>
    <w:rsid w:val="6BCD4B6C"/>
    <w:rsid w:val="6BD15E73"/>
    <w:rsid w:val="6BE916E2"/>
    <w:rsid w:val="6BF250F0"/>
    <w:rsid w:val="6BFD5174"/>
    <w:rsid w:val="6C032272"/>
    <w:rsid w:val="6C090CE8"/>
    <w:rsid w:val="6C0B7728"/>
    <w:rsid w:val="6C0D1647"/>
    <w:rsid w:val="6C0E71A4"/>
    <w:rsid w:val="6C180D76"/>
    <w:rsid w:val="6C1B0013"/>
    <w:rsid w:val="6C1C6176"/>
    <w:rsid w:val="6C326AF7"/>
    <w:rsid w:val="6C3B3B64"/>
    <w:rsid w:val="6C4C0148"/>
    <w:rsid w:val="6C5B440E"/>
    <w:rsid w:val="6C5F40C9"/>
    <w:rsid w:val="6C653C4C"/>
    <w:rsid w:val="6C6B7426"/>
    <w:rsid w:val="6C6C6DC9"/>
    <w:rsid w:val="6C6D234E"/>
    <w:rsid w:val="6C724308"/>
    <w:rsid w:val="6C8B1137"/>
    <w:rsid w:val="6C9047E9"/>
    <w:rsid w:val="6CAC4790"/>
    <w:rsid w:val="6CC44182"/>
    <w:rsid w:val="6CD44D00"/>
    <w:rsid w:val="6CDF505E"/>
    <w:rsid w:val="6CE32E09"/>
    <w:rsid w:val="6CEC6037"/>
    <w:rsid w:val="6D042B59"/>
    <w:rsid w:val="6D0501AC"/>
    <w:rsid w:val="6D0E6B36"/>
    <w:rsid w:val="6D2324B0"/>
    <w:rsid w:val="6D2867C4"/>
    <w:rsid w:val="6D2D081F"/>
    <w:rsid w:val="6D2E5003"/>
    <w:rsid w:val="6D2F25FE"/>
    <w:rsid w:val="6D38139C"/>
    <w:rsid w:val="6D421CE6"/>
    <w:rsid w:val="6D45564C"/>
    <w:rsid w:val="6D554C2B"/>
    <w:rsid w:val="6D614390"/>
    <w:rsid w:val="6D675032"/>
    <w:rsid w:val="6D680AD9"/>
    <w:rsid w:val="6D7320FC"/>
    <w:rsid w:val="6D7F7C0A"/>
    <w:rsid w:val="6D891878"/>
    <w:rsid w:val="6DAC6531"/>
    <w:rsid w:val="6DB85607"/>
    <w:rsid w:val="6DB957D2"/>
    <w:rsid w:val="6DC53456"/>
    <w:rsid w:val="6DC91E26"/>
    <w:rsid w:val="6DCC36C7"/>
    <w:rsid w:val="6DCE16F6"/>
    <w:rsid w:val="6DD47B0C"/>
    <w:rsid w:val="6DD54C21"/>
    <w:rsid w:val="6DD90D09"/>
    <w:rsid w:val="6DE361D8"/>
    <w:rsid w:val="6DE615F1"/>
    <w:rsid w:val="6DF350A8"/>
    <w:rsid w:val="6DF67C63"/>
    <w:rsid w:val="6DFC60DE"/>
    <w:rsid w:val="6E0820D7"/>
    <w:rsid w:val="6E197336"/>
    <w:rsid w:val="6E1E5789"/>
    <w:rsid w:val="6E252535"/>
    <w:rsid w:val="6E256CE8"/>
    <w:rsid w:val="6E280525"/>
    <w:rsid w:val="6E285844"/>
    <w:rsid w:val="6E3102B9"/>
    <w:rsid w:val="6E3E3FF3"/>
    <w:rsid w:val="6E4603B2"/>
    <w:rsid w:val="6E483075"/>
    <w:rsid w:val="6E4E0DED"/>
    <w:rsid w:val="6E4F4250"/>
    <w:rsid w:val="6E540DBD"/>
    <w:rsid w:val="6E55134A"/>
    <w:rsid w:val="6E5B3D71"/>
    <w:rsid w:val="6E6146D4"/>
    <w:rsid w:val="6E626043"/>
    <w:rsid w:val="6E6D6DFA"/>
    <w:rsid w:val="6E6E488A"/>
    <w:rsid w:val="6E7454FB"/>
    <w:rsid w:val="6E9A108B"/>
    <w:rsid w:val="6E9E2DA7"/>
    <w:rsid w:val="6EA22C41"/>
    <w:rsid w:val="6EA9209B"/>
    <w:rsid w:val="6EB12C72"/>
    <w:rsid w:val="6EB26D11"/>
    <w:rsid w:val="6EC65D5F"/>
    <w:rsid w:val="6EC66750"/>
    <w:rsid w:val="6EC75EF8"/>
    <w:rsid w:val="6ED0100B"/>
    <w:rsid w:val="6EE163A3"/>
    <w:rsid w:val="6EED7D49"/>
    <w:rsid w:val="6EEE791B"/>
    <w:rsid w:val="6F1D0497"/>
    <w:rsid w:val="6F1E4E6F"/>
    <w:rsid w:val="6F332D93"/>
    <w:rsid w:val="6F3573A8"/>
    <w:rsid w:val="6F3D4088"/>
    <w:rsid w:val="6F4F25A6"/>
    <w:rsid w:val="6F6F11E3"/>
    <w:rsid w:val="6F7C10CD"/>
    <w:rsid w:val="6F8136B2"/>
    <w:rsid w:val="6F857F81"/>
    <w:rsid w:val="6F8A5CED"/>
    <w:rsid w:val="6F8C1474"/>
    <w:rsid w:val="6F965EAE"/>
    <w:rsid w:val="6F967250"/>
    <w:rsid w:val="6F991B91"/>
    <w:rsid w:val="6F9D0044"/>
    <w:rsid w:val="6FB13CF0"/>
    <w:rsid w:val="6FB4208D"/>
    <w:rsid w:val="6FB77CB5"/>
    <w:rsid w:val="6FB937F0"/>
    <w:rsid w:val="6FBF40A8"/>
    <w:rsid w:val="6FC43175"/>
    <w:rsid w:val="6FD9207B"/>
    <w:rsid w:val="6FDB04D8"/>
    <w:rsid w:val="6FDB7183"/>
    <w:rsid w:val="6FDD487B"/>
    <w:rsid w:val="6FE14FB9"/>
    <w:rsid w:val="6FE16CDF"/>
    <w:rsid w:val="6FE17B80"/>
    <w:rsid w:val="6FE8152F"/>
    <w:rsid w:val="6FFE4939"/>
    <w:rsid w:val="701142D5"/>
    <w:rsid w:val="702039C6"/>
    <w:rsid w:val="70211062"/>
    <w:rsid w:val="70220651"/>
    <w:rsid w:val="702432DB"/>
    <w:rsid w:val="70247FB9"/>
    <w:rsid w:val="702F7C58"/>
    <w:rsid w:val="70366918"/>
    <w:rsid w:val="703D24BF"/>
    <w:rsid w:val="70410704"/>
    <w:rsid w:val="704C3957"/>
    <w:rsid w:val="70505DA3"/>
    <w:rsid w:val="705523CF"/>
    <w:rsid w:val="706008FD"/>
    <w:rsid w:val="706143B5"/>
    <w:rsid w:val="706416A4"/>
    <w:rsid w:val="706A6530"/>
    <w:rsid w:val="706E286A"/>
    <w:rsid w:val="70705898"/>
    <w:rsid w:val="70715E81"/>
    <w:rsid w:val="708006AE"/>
    <w:rsid w:val="70855FE8"/>
    <w:rsid w:val="70984617"/>
    <w:rsid w:val="70992996"/>
    <w:rsid w:val="70AF4F0F"/>
    <w:rsid w:val="70C47C11"/>
    <w:rsid w:val="70C52F14"/>
    <w:rsid w:val="70C91C07"/>
    <w:rsid w:val="70CE22B6"/>
    <w:rsid w:val="70DC3F2A"/>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E0149"/>
    <w:rsid w:val="718F2EAC"/>
    <w:rsid w:val="719B38D4"/>
    <w:rsid w:val="71A410DC"/>
    <w:rsid w:val="71AA0E32"/>
    <w:rsid w:val="71AB11DF"/>
    <w:rsid w:val="71B40FF2"/>
    <w:rsid w:val="71C30BF1"/>
    <w:rsid w:val="71CC003B"/>
    <w:rsid w:val="71E015FD"/>
    <w:rsid w:val="71E72EEB"/>
    <w:rsid w:val="71F05038"/>
    <w:rsid w:val="71F10FFC"/>
    <w:rsid w:val="71F6413C"/>
    <w:rsid w:val="720F7144"/>
    <w:rsid w:val="72134629"/>
    <w:rsid w:val="72215C67"/>
    <w:rsid w:val="723F1032"/>
    <w:rsid w:val="72407DBB"/>
    <w:rsid w:val="72415169"/>
    <w:rsid w:val="724167EC"/>
    <w:rsid w:val="72425EC5"/>
    <w:rsid w:val="725325B9"/>
    <w:rsid w:val="72657315"/>
    <w:rsid w:val="726F35E9"/>
    <w:rsid w:val="72715A32"/>
    <w:rsid w:val="727C1377"/>
    <w:rsid w:val="727C75F4"/>
    <w:rsid w:val="72870D7F"/>
    <w:rsid w:val="72B92789"/>
    <w:rsid w:val="72BE70BB"/>
    <w:rsid w:val="72C43BB5"/>
    <w:rsid w:val="72D26D9D"/>
    <w:rsid w:val="72DC71C3"/>
    <w:rsid w:val="72FD1063"/>
    <w:rsid w:val="730205E8"/>
    <w:rsid w:val="732263F9"/>
    <w:rsid w:val="732A215B"/>
    <w:rsid w:val="73310666"/>
    <w:rsid w:val="73321BC9"/>
    <w:rsid w:val="733533A4"/>
    <w:rsid w:val="734325B6"/>
    <w:rsid w:val="73504EC4"/>
    <w:rsid w:val="73636AF7"/>
    <w:rsid w:val="737A7A8E"/>
    <w:rsid w:val="73894681"/>
    <w:rsid w:val="73956FD0"/>
    <w:rsid w:val="73A043E4"/>
    <w:rsid w:val="73A806E2"/>
    <w:rsid w:val="73B77990"/>
    <w:rsid w:val="73B8252E"/>
    <w:rsid w:val="73CA3031"/>
    <w:rsid w:val="73DC7BC2"/>
    <w:rsid w:val="73E01BEC"/>
    <w:rsid w:val="73E65B0F"/>
    <w:rsid w:val="73FC3876"/>
    <w:rsid w:val="74012C08"/>
    <w:rsid w:val="74122000"/>
    <w:rsid w:val="741D733B"/>
    <w:rsid w:val="742167A4"/>
    <w:rsid w:val="74390B33"/>
    <w:rsid w:val="743F1E08"/>
    <w:rsid w:val="74414A70"/>
    <w:rsid w:val="74535E78"/>
    <w:rsid w:val="745862A9"/>
    <w:rsid w:val="7482388F"/>
    <w:rsid w:val="749709B4"/>
    <w:rsid w:val="74A83EB4"/>
    <w:rsid w:val="74B2594D"/>
    <w:rsid w:val="74B80DF9"/>
    <w:rsid w:val="74BB16A3"/>
    <w:rsid w:val="74C176BB"/>
    <w:rsid w:val="74DB02F4"/>
    <w:rsid w:val="74E7523A"/>
    <w:rsid w:val="74ED3428"/>
    <w:rsid w:val="74F64F37"/>
    <w:rsid w:val="74FB7801"/>
    <w:rsid w:val="74FC79C6"/>
    <w:rsid w:val="75022074"/>
    <w:rsid w:val="75074E9E"/>
    <w:rsid w:val="751D6E79"/>
    <w:rsid w:val="751E3BF2"/>
    <w:rsid w:val="75201781"/>
    <w:rsid w:val="752765A4"/>
    <w:rsid w:val="754054B6"/>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90750"/>
    <w:rsid w:val="75FB217F"/>
    <w:rsid w:val="76063755"/>
    <w:rsid w:val="760910BC"/>
    <w:rsid w:val="760D0C61"/>
    <w:rsid w:val="76236746"/>
    <w:rsid w:val="763444AF"/>
    <w:rsid w:val="763923C6"/>
    <w:rsid w:val="764122A7"/>
    <w:rsid w:val="76553823"/>
    <w:rsid w:val="765608FC"/>
    <w:rsid w:val="767545EC"/>
    <w:rsid w:val="76777861"/>
    <w:rsid w:val="768E1277"/>
    <w:rsid w:val="7694298E"/>
    <w:rsid w:val="769F6A79"/>
    <w:rsid w:val="76A25E8A"/>
    <w:rsid w:val="76A95B6E"/>
    <w:rsid w:val="76AE63BC"/>
    <w:rsid w:val="76B332B4"/>
    <w:rsid w:val="76BB0769"/>
    <w:rsid w:val="76BC3C22"/>
    <w:rsid w:val="76D5748A"/>
    <w:rsid w:val="76D70321"/>
    <w:rsid w:val="76E45ED5"/>
    <w:rsid w:val="77041AF3"/>
    <w:rsid w:val="7707189B"/>
    <w:rsid w:val="77251168"/>
    <w:rsid w:val="772807E2"/>
    <w:rsid w:val="7729440A"/>
    <w:rsid w:val="77320F1E"/>
    <w:rsid w:val="7742690D"/>
    <w:rsid w:val="774C609C"/>
    <w:rsid w:val="77541D32"/>
    <w:rsid w:val="7764047F"/>
    <w:rsid w:val="776547BE"/>
    <w:rsid w:val="777419A5"/>
    <w:rsid w:val="778B7CBA"/>
    <w:rsid w:val="77A75D03"/>
    <w:rsid w:val="77AB1518"/>
    <w:rsid w:val="77B207C5"/>
    <w:rsid w:val="77CB0E43"/>
    <w:rsid w:val="77D37B47"/>
    <w:rsid w:val="77D93177"/>
    <w:rsid w:val="77D97A23"/>
    <w:rsid w:val="77E43CB3"/>
    <w:rsid w:val="77F443D5"/>
    <w:rsid w:val="77F9150C"/>
    <w:rsid w:val="7803238B"/>
    <w:rsid w:val="780D7714"/>
    <w:rsid w:val="781142A0"/>
    <w:rsid w:val="78150AED"/>
    <w:rsid w:val="78240373"/>
    <w:rsid w:val="783109E9"/>
    <w:rsid w:val="783B10C2"/>
    <w:rsid w:val="78411105"/>
    <w:rsid w:val="78483EA9"/>
    <w:rsid w:val="785A1E30"/>
    <w:rsid w:val="785D284E"/>
    <w:rsid w:val="78687BA7"/>
    <w:rsid w:val="78690B16"/>
    <w:rsid w:val="786D623F"/>
    <w:rsid w:val="78702BD9"/>
    <w:rsid w:val="787170CD"/>
    <w:rsid w:val="787212BF"/>
    <w:rsid w:val="787E0C0C"/>
    <w:rsid w:val="78811BBF"/>
    <w:rsid w:val="788D2AF2"/>
    <w:rsid w:val="78904AF8"/>
    <w:rsid w:val="789A1E33"/>
    <w:rsid w:val="78A204E1"/>
    <w:rsid w:val="78A33548"/>
    <w:rsid w:val="78A97962"/>
    <w:rsid w:val="78AA5A39"/>
    <w:rsid w:val="78AD7EF2"/>
    <w:rsid w:val="78B2607D"/>
    <w:rsid w:val="78C94DED"/>
    <w:rsid w:val="78D30F09"/>
    <w:rsid w:val="78D87374"/>
    <w:rsid w:val="78DE6224"/>
    <w:rsid w:val="79156E0F"/>
    <w:rsid w:val="79165D39"/>
    <w:rsid w:val="791D0E14"/>
    <w:rsid w:val="792A002F"/>
    <w:rsid w:val="792C14EF"/>
    <w:rsid w:val="792D08F7"/>
    <w:rsid w:val="793C3FB6"/>
    <w:rsid w:val="79421BC3"/>
    <w:rsid w:val="79450345"/>
    <w:rsid w:val="794569F7"/>
    <w:rsid w:val="79456DEF"/>
    <w:rsid w:val="794613B8"/>
    <w:rsid w:val="79494AD9"/>
    <w:rsid w:val="794E23D8"/>
    <w:rsid w:val="79571A0F"/>
    <w:rsid w:val="796444AC"/>
    <w:rsid w:val="7967694A"/>
    <w:rsid w:val="79685409"/>
    <w:rsid w:val="796F1BB2"/>
    <w:rsid w:val="79703A50"/>
    <w:rsid w:val="797177C8"/>
    <w:rsid w:val="797343FB"/>
    <w:rsid w:val="797A3DC2"/>
    <w:rsid w:val="797A52C9"/>
    <w:rsid w:val="797C66E4"/>
    <w:rsid w:val="798535C5"/>
    <w:rsid w:val="799A18DA"/>
    <w:rsid w:val="799A54B2"/>
    <w:rsid w:val="79AE27CB"/>
    <w:rsid w:val="79AF5B7C"/>
    <w:rsid w:val="79B402AC"/>
    <w:rsid w:val="79B46429"/>
    <w:rsid w:val="79B71626"/>
    <w:rsid w:val="79C30125"/>
    <w:rsid w:val="79CA4571"/>
    <w:rsid w:val="79CE4C1B"/>
    <w:rsid w:val="79DD73AB"/>
    <w:rsid w:val="79DE3F03"/>
    <w:rsid w:val="79E35935"/>
    <w:rsid w:val="79E43C88"/>
    <w:rsid w:val="79E519B9"/>
    <w:rsid w:val="79E9159A"/>
    <w:rsid w:val="79F357E3"/>
    <w:rsid w:val="79FD15C9"/>
    <w:rsid w:val="79FD3D06"/>
    <w:rsid w:val="79FD4190"/>
    <w:rsid w:val="7A112AE2"/>
    <w:rsid w:val="7A1D7EB6"/>
    <w:rsid w:val="7A202D75"/>
    <w:rsid w:val="7A226176"/>
    <w:rsid w:val="7A2E402A"/>
    <w:rsid w:val="7A320D06"/>
    <w:rsid w:val="7A350D55"/>
    <w:rsid w:val="7A3C333A"/>
    <w:rsid w:val="7A4F3740"/>
    <w:rsid w:val="7A5D1673"/>
    <w:rsid w:val="7A62556E"/>
    <w:rsid w:val="7A7A10A3"/>
    <w:rsid w:val="7A7D167B"/>
    <w:rsid w:val="7A7D2E5E"/>
    <w:rsid w:val="7A8607CB"/>
    <w:rsid w:val="7A881869"/>
    <w:rsid w:val="7A943E55"/>
    <w:rsid w:val="7A9762A8"/>
    <w:rsid w:val="7A996A33"/>
    <w:rsid w:val="7AA5597C"/>
    <w:rsid w:val="7AAB24DC"/>
    <w:rsid w:val="7AAC0D7F"/>
    <w:rsid w:val="7AAF05A8"/>
    <w:rsid w:val="7ACD17E9"/>
    <w:rsid w:val="7AD409A4"/>
    <w:rsid w:val="7ADA7D8C"/>
    <w:rsid w:val="7AE36C78"/>
    <w:rsid w:val="7AE73FDE"/>
    <w:rsid w:val="7AFD3CA9"/>
    <w:rsid w:val="7B0B0D89"/>
    <w:rsid w:val="7B13204F"/>
    <w:rsid w:val="7B1B1275"/>
    <w:rsid w:val="7B1F3EF6"/>
    <w:rsid w:val="7B260239"/>
    <w:rsid w:val="7B2E5971"/>
    <w:rsid w:val="7B40606A"/>
    <w:rsid w:val="7B4B6302"/>
    <w:rsid w:val="7B7376E0"/>
    <w:rsid w:val="7B7B2C26"/>
    <w:rsid w:val="7B7C6C8D"/>
    <w:rsid w:val="7B83642F"/>
    <w:rsid w:val="7B8C31E4"/>
    <w:rsid w:val="7B8D1365"/>
    <w:rsid w:val="7B920DF9"/>
    <w:rsid w:val="7BBB0378"/>
    <w:rsid w:val="7BBB1184"/>
    <w:rsid w:val="7BBC2061"/>
    <w:rsid w:val="7BE00D04"/>
    <w:rsid w:val="7BE74D9F"/>
    <w:rsid w:val="7BF00E78"/>
    <w:rsid w:val="7BF53138"/>
    <w:rsid w:val="7C0C3423"/>
    <w:rsid w:val="7C0F1373"/>
    <w:rsid w:val="7C104214"/>
    <w:rsid w:val="7C123AA9"/>
    <w:rsid w:val="7C3F157D"/>
    <w:rsid w:val="7C403511"/>
    <w:rsid w:val="7C4930AC"/>
    <w:rsid w:val="7C641B7B"/>
    <w:rsid w:val="7C653452"/>
    <w:rsid w:val="7C6B656D"/>
    <w:rsid w:val="7C7C362A"/>
    <w:rsid w:val="7C833A9B"/>
    <w:rsid w:val="7C8567F9"/>
    <w:rsid w:val="7C860AE5"/>
    <w:rsid w:val="7C8666A5"/>
    <w:rsid w:val="7C941047"/>
    <w:rsid w:val="7CC11A55"/>
    <w:rsid w:val="7CCE2EB1"/>
    <w:rsid w:val="7CD41C08"/>
    <w:rsid w:val="7CD568DC"/>
    <w:rsid w:val="7CE46A05"/>
    <w:rsid w:val="7CE6661E"/>
    <w:rsid w:val="7CFE15DE"/>
    <w:rsid w:val="7D02203A"/>
    <w:rsid w:val="7D036563"/>
    <w:rsid w:val="7D0D2B40"/>
    <w:rsid w:val="7D2535FF"/>
    <w:rsid w:val="7D2605B6"/>
    <w:rsid w:val="7D2C5EE0"/>
    <w:rsid w:val="7D324510"/>
    <w:rsid w:val="7D3C17C7"/>
    <w:rsid w:val="7D3E0998"/>
    <w:rsid w:val="7D421BBC"/>
    <w:rsid w:val="7D594363"/>
    <w:rsid w:val="7D5B67C5"/>
    <w:rsid w:val="7D5F438F"/>
    <w:rsid w:val="7D7F6AD2"/>
    <w:rsid w:val="7D9817C8"/>
    <w:rsid w:val="7D986822"/>
    <w:rsid w:val="7D9B3C00"/>
    <w:rsid w:val="7DD65E4C"/>
    <w:rsid w:val="7DD80DB5"/>
    <w:rsid w:val="7DDE7A42"/>
    <w:rsid w:val="7DE402A9"/>
    <w:rsid w:val="7DFB07E0"/>
    <w:rsid w:val="7E003DF6"/>
    <w:rsid w:val="7E24400D"/>
    <w:rsid w:val="7E2F3A3B"/>
    <w:rsid w:val="7E320D54"/>
    <w:rsid w:val="7E344CCE"/>
    <w:rsid w:val="7E471977"/>
    <w:rsid w:val="7E627264"/>
    <w:rsid w:val="7E6504D7"/>
    <w:rsid w:val="7E6B4E98"/>
    <w:rsid w:val="7E6F5E8D"/>
    <w:rsid w:val="7E756B34"/>
    <w:rsid w:val="7E8858D3"/>
    <w:rsid w:val="7E9C180F"/>
    <w:rsid w:val="7EA85760"/>
    <w:rsid w:val="7EBA06EE"/>
    <w:rsid w:val="7EBD559A"/>
    <w:rsid w:val="7EBD69B4"/>
    <w:rsid w:val="7EC127D4"/>
    <w:rsid w:val="7EC43B98"/>
    <w:rsid w:val="7ECA5D39"/>
    <w:rsid w:val="7ECA7590"/>
    <w:rsid w:val="7ED5251E"/>
    <w:rsid w:val="7EED5678"/>
    <w:rsid w:val="7EFE285D"/>
    <w:rsid w:val="7F174816"/>
    <w:rsid w:val="7F2A4A83"/>
    <w:rsid w:val="7F3C4409"/>
    <w:rsid w:val="7F433469"/>
    <w:rsid w:val="7F516910"/>
    <w:rsid w:val="7F5725D5"/>
    <w:rsid w:val="7F5E1A9C"/>
    <w:rsid w:val="7F6617E6"/>
    <w:rsid w:val="7F6C1BC1"/>
    <w:rsid w:val="7F7E03BE"/>
    <w:rsid w:val="7F843808"/>
    <w:rsid w:val="7F936A03"/>
    <w:rsid w:val="7FB26C86"/>
    <w:rsid w:val="7FCA64E6"/>
    <w:rsid w:val="7FD17419"/>
    <w:rsid w:val="7FD60D09"/>
    <w:rsid w:val="7FE474D2"/>
    <w:rsid w:val="7FEE004B"/>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30">
    <w:name w:val="Default Paragraph Font"/>
    <w:autoRedefine/>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List 3"/>
    <w:basedOn w:val="1"/>
    <w:qFormat/>
    <w:uiPriority w:val="0"/>
    <w:pPr>
      <w:ind w:left="100" w:leftChars="400" w:hanging="200" w:hangingChars="200"/>
    </w:pPr>
  </w:style>
  <w:style w:type="paragraph" w:styleId="8">
    <w:name w:val="table of authorities"/>
    <w:basedOn w:val="1"/>
    <w:next w:val="1"/>
    <w:qFormat/>
    <w:uiPriority w:val="0"/>
    <w:pPr>
      <w:widowControl w:val="0"/>
      <w:ind w:left="200" w:leftChars="200"/>
      <w:jc w:val="both"/>
    </w:pPr>
    <w:rPr>
      <w:rFonts w:asciiTheme="minorHAnsi" w:hAnsiTheme="minorHAnsi" w:eastAsiaTheme="minorEastAsia" w:cstheme="minorBidi"/>
      <w:kern w:val="2"/>
      <w:sz w:val="21"/>
      <w:szCs w:val="24"/>
      <w:lang w:val="en-US" w:eastAsia="zh-CN" w:bidi="ar-SA"/>
    </w:rPr>
  </w:style>
  <w:style w:type="paragraph" w:styleId="9">
    <w:name w:val="Normal Indent"/>
    <w:basedOn w:val="1"/>
    <w:unhideWhenUsed/>
    <w:qFormat/>
    <w:uiPriority w:val="0"/>
    <w:pPr>
      <w:ind w:firstLine="420" w:firstLineChars="200"/>
    </w:pPr>
  </w:style>
  <w:style w:type="paragraph" w:styleId="10">
    <w:name w:val="toa heading"/>
    <w:basedOn w:val="1"/>
    <w:next w:val="1"/>
    <w:qFormat/>
    <w:uiPriority w:val="0"/>
    <w:pPr>
      <w:spacing w:before="120"/>
    </w:pPr>
    <w:rPr>
      <w:rFonts w:ascii="Arial" w:hAnsi="Arial" w:eastAsia="仿宋"/>
      <w:sz w:val="24"/>
      <w:szCs w:val="20"/>
    </w:rPr>
  </w:style>
  <w:style w:type="paragraph" w:styleId="11">
    <w:name w:val="annotation text"/>
    <w:basedOn w:val="1"/>
    <w:qFormat/>
    <w:uiPriority w:val="0"/>
    <w:pPr>
      <w:jc w:val="left"/>
    </w:pPr>
    <w:rPr>
      <w:rFonts w:ascii="Times New Roman" w:hAnsi="Times New Roman" w:eastAsia="宋体" w:cs="Times New Roman"/>
    </w:rPr>
  </w:style>
  <w:style w:type="paragraph" w:styleId="12">
    <w:name w:val="Salutation"/>
    <w:basedOn w:val="1"/>
    <w:next w:val="1"/>
    <w:qFormat/>
    <w:uiPriority w:val="0"/>
  </w:style>
  <w:style w:type="paragraph" w:styleId="13">
    <w:name w:val="Body Text"/>
    <w:basedOn w:val="1"/>
    <w:next w:val="1"/>
    <w:qFormat/>
    <w:uiPriority w:val="0"/>
    <w:pPr>
      <w:spacing w:after="120" w:afterLines="0"/>
    </w:pPr>
  </w:style>
  <w:style w:type="paragraph" w:styleId="14">
    <w:name w:val="Body Text Indent"/>
    <w:basedOn w:val="1"/>
    <w:autoRedefine/>
    <w:qFormat/>
    <w:uiPriority w:val="0"/>
    <w:pPr>
      <w:adjustRightInd w:val="0"/>
      <w:snapToGrid w:val="0"/>
      <w:spacing w:line="360" w:lineRule="auto"/>
      <w:ind w:firstLine="420" w:firstLineChars="200"/>
    </w:pPr>
  </w:style>
  <w:style w:type="paragraph" w:styleId="15">
    <w:name w:val="Plain Text"/>
    <w:basedOn w:val="1"/>
    <w:autoRedefine/>
    <w:qFormat/>
    <w:uiPriority w:val="99"/>
    <w:rPr>
      <w:rFonts w:ascii="宋体" w:hAnsi="Courier New"/>
    </w:rPr>
  </w:style>
  <w:style w:type="paragraph" w:styleId="16">
    <w:name w:val="Date"/>
    <w:basedOn w:val="1"/>
    <w:next w:val="1"/>
    <w:autoRedefine/>
    <w:qFormat/>
    <w:uiPriority w:val="0"/>
    <w:rPr>
      <w:rFonts w:ascii="Arial" w:hAnsi="Arial" w:cs="Arial"/>
      <w:b/>
      <w:sz w:val="28"/>
    </w:rPr>
  </w:style>
  <w:style w:type="paragraph" w:styleId="17">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99"/>
    <w:pPr>
      <w:snapToGrid w:val="0"/>
    </w:pPr>
    <w:rPr>
      <w:rFonts w:ascii="Arial" w:hAnsi="Arial" w:cs="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4">
    <w:name w:val="Normal (Web)"/>
    <w:basedOn w:val="1"/>
    <w:qFormat/>
    <w:uiPriority w:val="99"/>
    <w:pPr>
      <w:spacing w:before="100" w:beforeAutospacing="1" w:after="100" w:afterAutospacing="1"/>
    </w:pPr>
    <w:rPr>
      <w:rFonts w:ascii="Courier New" w:hAnsi="Courier New"/>
      <w:color w:val="000000"/>
    </w:rPr>
  </w:style>
  <w:style w:type="paragraph" w:styleId="25">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26">
    <w:name w:val="Body Text First Indent"/>
    <w:basedOn w:val="13"/>
    <w:next w:val="1"/>
    <w:autoRedefine/>
    <w:qFormat/>
    <w:uiPriority w:val="0"/>
    <w:pPr>
      <w:spacing w:after="120" w:line="240" w:lineRule="auto"/>
      <w:ind w:firstLine="420" w:firstLineChars="100"/>
    </w:pPr>
    <w:rPr>
      <w:rFonts w:hAnsi="Calibri"/>
      <w:sz w:val="21"/>
      <w:szCs w:val="24"/>
    </w:rPr>
  </w:style>
  <w:style w:type="paragraph" w:styleId="27">
    <w:name w:val="Body Text First Indent 2"/>
    <w:basedOn w:val="14"/>
    <w:next w:val="1"/>
    <w:qFormat/>
    <w:uiPriority w:val="0"/>
    <w:pPr>
      <w:adjustRightInd/>
      <w:snapToGrid/>
      <w:spacing w:after="120" w:line="240" w:lineRule="auto"/>
      <w:ind w:left="420" w:leftChars="200"/>
    </w:pPr>
  </w:style>
  <w:style w:type="table" w:styleId="29">
    <w:name w:val="Table Grid"/>
    <w:basedOn w:val="2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Hyperlink"/>
    <w:basedOn w:val="30"/>
    <w:qFormat/>
    <w:uiPriority w:val="0"/>
    <w:rPr>
      <w:color w:val="0000FF"/>
      <w:u w:val="single"/>
    </w:rPr>
  </w:style>
  <w:style w:type="character" w:styleId="33">
    <w:name w:val="annotation reference"/>
    <w:basedOn w:val="30"/>
    <w:semiHidden/>
    <w:unhideWhenUsed/>
    <w:qFormat/>
    <w:uiPriority w:val="99"/>
    <w:rPr>
      <w:sz w:val="21"/>
      <w:szCs w:val="21"/>
    </w:rPr>
  </w:style>
  <w:style w:type="character" w:styleId="34">
    <w:name w:val="HTML Sample"/>
    <w:basedOn w:val="30"/>
    <w:qFormat/>
    <w:uiPriority w:val="0"/>
    <w:rPr>
      <w:rFonts w:ascii="Courier New" w:hAnsi="Courier New"/>
    </w:rPr>
  </w:style>
  <w:style w:type="paragraph" w:customStyle="1" w:styleId="35">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6">
    <w:name w:val="Char Char10 Char Char Char Char"/>
    <w:basedOn w:val="1"/>
    <w:next w:val="1"/>
    <w:qFormat/>
    <w:uiPriority w:val="0"/>
    <w:rPr>
      <w:rFonts w:ascii="Calibri" w:hAnsi="Calibri"/>
      <w:kern w:val="0"/>
    </w:rPr>
  </w:style>
  <w:style w:type="paragraph" w:customStyle="1" w:styleId="37">
    <w:name w:val="BodyText1I2"/>
    <w:basedOn w:val="38"/>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8">
    <w:name w:val="BodyTextIndent"/>
    <w:basedOn w:val="1"/>
    <w:next w:val="39"/>
    <w:qFormat/>
    <w:uiPriority w:val="0"/>
    <w:pPr>
      <w:spacing w:line="360" w:lineRule="auto"/>
      <w:ind w:firstLine="480"/>
      <w:jc w:val="left"/>
      <w:textAlignment w:val="baseline"/>
    </w:pPr>
    <w:rPr>
      <w:rFonts w:ascii="宋体" w:hAnsi="宋体"/>
      <w:kern w:val="0"/>
      <w:sz w:val="24"/>
    </w:rPr>
  </w:style>
  <w:style w:type="paragraph" w:customStyle="1" w:styleId="39">
    <w:name w:val="EnvelopeReturn"/>
    <w:basedOn w:val="1"/>
    <w:qFormat/>
    <w:uiPriority w:val="0"/>
    <w:pPr>
      <w:snapToGrid w:val="0"/>
      <w:textAlignment w:val="baseline"/>
    </w:pPr>
    <w:rPr>
      <w:rFonts w:ascii="Arial" w:hAnsi="Arial"/>
    </w:rPr>
  </w:style>
  <w:style w:type="paragraph" w:customStyle="1" w:styleId="40">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41">
    <w:name w:val="case31"/>
    <w:qFormat/>
    <w:uiPriority w:val="0"/>
    <w:rPr>
      <w:rFonts w:hint="default" w:ascii="ˎ̥" w:hAnsi="ˎ̥"/>
      <w:sz w:val="21"/>
      <w:szCs w:val="21"/>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3">
    <w:name w:val="List Paragraph"/>
    <w:basedOn w:val="1"/>
    <w:qFormat/>
    <w:uiPriority w:val="0"/>
    <w:pPr>
      <w:ind w:firstLine="420" w:firstLineChars="200"/>
    </w:pPr>
    <w:rPr>
      <w:rFonts w:ascii="Calibri" w:hAnsi="Calibri"/>
      <w:szCs w:val="22"/>
    </w:rPr>
  </w:style>
  <w:style w:type="paragraph" w:customStyle="1" w:styleId="44">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character" w:customStyle="1" w:styleId="47">
    <w:name w:val="font31"/>
    <w:basedOn w:val="30"/>
    <w:qFormat/>
    <w:uiPriority w:val="0"/>
    <w:rPr>
      <w:rFonts w:hint="eastAsia" w:ascii="宋体" w:hAnsi="宋体" w:eastAsia="宋体" w:cs="宋体"/>
      <w:color w:val="000000"/>
      <w:sz w:val="18"/>
      <w:szCs w:val="18"/>
      <w:u w:val="none"/>
    </w:rPr>
  </w:style>
  <w:style w:type="character" w:customStyle="1" w:styleId="48">
    <w:name w:val="font01"/>
    <w:basedOn w:val="30"/>
    <w:qFormat/>
    <w:uiPriority w:val="0"/>
    <w:rPr>
      <w:rFonts w:hint="default" w:ascii="Times New Roman" w:hAnsi="Times New Roman" w:cs="Times New Roman"/>
      <w:color w:val="000000"/>
      <w:sz w:val="18"/>
      <w:szCs w:val="18"/>
      <w:u w:val="none"/>
    </w:rPr>
  </w:style>
  <w:style w:type="character" w:customStyle="1" w:styleId="49">
    <w:name w:val="font21"/>
    <w:basedOn w:val="30"/>
    <w:qFormat/>
    <w:uiPriority w:val="0"/>
    <w:rPr>
      <w:rFonts w:hint="eastAsia" w:ascii="宋体" w:hAnsi="宋体" w:eastAsia="宋体" w:cs="宋体"/>
      <w:color w:val="000000"/>
      <w:sz w:val="21"/>
      <w:szCs w:val="21"/>
      <w:u w:val="none"/>
    </w:rPr>
  </w:style>
  <w:style w:type="character" w:customStyle="1" w:styleId="50">
    <w:name w:val="font11"/>
    <w:basedOn w:val="30"/>
    <w:qFormat/>
    <w:uiPriority w:val="0"/>
    <w:rPr>
      <w:rFonts w:ascii="Calibri" w:hAnsi="Calibri" w:cs="Calibri"/>
      <w:color w:val="000000"/>
      <w:sz w:val="21"/>
      <w:szCs w:val="21"/>
      <w:u w:val="none"/>
    </w:rPr>
  </w:style>
  <w:style w:type="paragraph" w:customStyle="1" w:styleId="51">
    <w:name w:val="Table Paragraph"/>
    <w:basedOn w:val="52"/>
    <w:qFormat/>
    <w:uiPriority w:val="1"/>
    <w:rPr>
      <w:rFonts w:ascii="宋体" w:hAnsi="宋体" w:eastAsia="宋体" w:cs="宋体"/>
      <w:lang w:val="zh-CN" w:eastAsia="zh-CN" w:bidi="zh-CN"/>
    </w:rPr>
  </w:style>
  <w:style w:type="paragraph" w:customStyle="1" w:styleId="52">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章节内容"/>
    <w:basedOn w:val="1"/>
    <w:qFormat/>
    <w:uiPriority w:val="0"/>
    <w:pPr>
      <w:shd w:val="clear" w:color="auto" w:fill="FFFFFF"/>
    </w:pPr>
  </w:style>
  <w:style w:type="character" w:customStyle="1" w:styleId="54">
    <w:name w:val="fontstyle01"/>
    <w:basedOn w:val="30"/>
    <w:qFormat/>
    <w:uiPriority w:val="0"/>
    <w:rPr>
      <w:rFonts w:hint="eastAsia" w:ascii="宋体" w:hAnsi="宋体" w:eastAsia="宋体"/>
      <w:color w:val="000000"/>
      <w:sz w:val="22"/>
      <w:szCs w:val="22"/>
    </w:rPr>
  </w:style>
  <w:style w:type="character" w:customStyle="1" w:styleId="55">
    <w:name w:val="fontstyle21"/>
    <w:basedOn w:val="30"/>
    <w:qFormat/>
    <w:uiPriority w:val="0"/>
    <w:rPr>
      <w:rFonts w:hint="default" w:ascii="TimesNewRomanPSMT" w:hAnsi="TimesNewRomanPSMT"/>
      <w:color w:val="000000"/>
      <w:sz w:val="22"/>
      <w:szCs w:val="22"/>
    </w:rPr>
  </w:style>
  <w:style w:type="paragraph" w:customStyle="1" w:styleId="56">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7">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8">
    <w:name w:val="Normal_6"/>
    <w:qFormat/>
    <w:uiPriority w:val="0"/>
    <w:rPr>
      <w:rFonts w:ascii="黑体" w:hAnsi="黑体" w:eastAsia="黑体" w:cs="Times New Roman"/>
      <w:b/>
      <w:sz w:val="32"/>
      <w:szCs w:val="24"/>
      <w:lang w:bidi="ar-SA"/>
    </w:rPr>
  </w:style>
  <w:style w:type="paragraph" w:customStyle="1" w:styleId="59">
    <w:name w:val="Normal_7"/>
    <w:qFormat/>
    <w:uiPriority w:val="0"/>
    <w:rPr>
      <w:rFonts w:ascii="黑体" w:hAnsi="黑体" w:eastAsia="黑体" w:cs="Times New Roman"/>
      <w:b/>
      <w:sz w:val="32"/>
      <w:szCs w:val="24"/>
      <w:lang w:bidi="ar-SA"/>
    </w:rPr>
  </w:style>
  <w:style w:type="character" w:customStyle="1" w:styleId="60">
    <w:name w:val="NormalCharacter"/>
    <w:qFormat/>
    <w:uiPriority w:val="0"/>
  </w:style>
  <w:style w:type="paragraph" w:customStyle="1" w:styleId="61">
    <w:name w:val="日期_0"/>
    <w:basedOn w:val="62"/>
    <w:next w:val="63"/>
    <w:qFormat/>
    <w:uiPriority w:val="0"/>
    <w:pPr>
      <w:ind w:left="100" w:leftChars="2500"/>
    </w:pPr>
    <w:rPr>
      <w:rFonts w:ascii="Times New Roman" w:hAnsi="Times New Roman" w:eastAsia="宋体"/>
      <w:szCs w:val="24"/>
    </w:rPr>
  </w:style>
  <w:style w:type="paragraph" w:customStyle="1" w:styleId="6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2"/>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Normal_0"/>
    <w:qFormat/>
    <w:uiPriority w:val="0"/>
    <w:rPr>
      <w:rFonts w:ascii="Times New Roman" w:hAnsi="Times New Roman" w:eastAsia="Times New Roman" w:cs="Times New Roman"/>
      <w:sz w:val="24"/>
      <w:szCs w:val="24"/>
      <w:lang w:bidi="ar-SA"/>
    </w:rPr>
  </w:style>
  <w:style w:type="paragraph" w:customStyle="1" w:styleId="66">
    <w:name w:val="Normal_1"/>
    <w:autoRedefine/>
    <w:qFormat/>
    <w:uiPriority w:val="0"/>
    <w:rPr>
      <w:rFonts w:ascii="黑体" w:hAnsi="黑体" w:eastAsia="黑体" w:cs="Times New Roman"/>
      <w:b/>
      <w:sz w:val="32"/>
      <w:szCs w:val="24"/>
      <w:lang w:bidi="ar-SA"/>
    </w:rPr>
  </w:style>
  <w:style w:type="paragraph" w:customStyle="1" w:styleId="6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3"/>
    <w:qFormat/>
    <w:uiPriority w:val="0"/>
    <w:rPr>
      <w:rFonts w:ascii="黑体" w:hAnsi="黑体" w:eastAsia="黑体" w:cs="Times New Roman"/>
      <w:b/>
      <w:sz w:val="32"/>
      <w:szCs w:val="24"/>
      <w:lang w:bidi="ar-SA"/>
    </w:rPr>
  </w:style>
  <w:style w:type="paragraph" w:customStyle="1" w:styleId="69">
    <w:name w:val="Normal"/>
    <w:next w:val="70"/>
    <w:qFormat/>
    <w:uiPriority w:val="0"/>
    <w:rPr>
      <w:rFonts w:ascii="Times New Roman" w:hAnsi="Times New Roman" w:eastAsia="Times New Roman" w:cs="Times New Roman"/>
      <w:sz w:val="24"/>
      <w:szCs w:val="24"/>
      <w:lang w:bidi="ar-SA"/>
    </w:rPr>
  </w:style>
  <w:style w:type="paragraph" w:customStyle="1" w:styleId="70">
    <w:name w:val="TOA Heading"/>
    <w:basedOn w:val="69"/>
    <w:next w:val="69"/>
    <w:qFormat/>
    <w:uiPriority w:val="0"/>
    <w:pPr>
      <w:spacing w:before="120"/>
    </w:pPr>
    <w:rPr>
      <w:rFonts w:ascii="Arial" w:hAnsi="Arial"/>
      <w:sz w:val="24"/>
      <w:szCs w:val="21"/>
    </w:rPr>
  </w:style>
  <w:style w:type="table" w:customStyle="1" w:styleId="71">
    <w:name w:val="TableGrid"/>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2">
    <w:name w:val="纯文本_1"/>
    <w:basedOn w:val="73"/>
    <w:unhideWhenUsed/>
    <w:qFormat/>
    <w:uiPriority w:val="0"/>
    <w:rPr>
      <w:rFonts w:ascii="宋体" w:hAnsi="Courier New" w:cs="Courier New"/>
      <w:szCs w:val="21"/>
    </w:rPr>
  </w:style>
  <w:style w:type="paragraph" w:customStyle="1" w:styleId="7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11"/>
    <w:qFormat/>
    <w:uiPriority w:val="0"/>
    <w:rPr>
      <w:rFonts w:ascii="黑体" w:hAnsi="黑体" w:eastAsia="黑体" w:cs="Times New Roman"/>
      <w:b/>
      <w:sz w:val="32"/>
      <w:szCs w:val="24"/>
      <w:lang w:val="en-US" w:eastAsia="zh-CN" w:bidi="ar-SA"/>
    </w:rPr>
  </w:style>
  <w:style w:type="paragraph" w:customStyle="1" w:styleId="76">
    <w:name w:val="正文内容"/>
    <w:basedOn w:val="1"/>
    <w:qFormat/>
    <w:uiPriority w:val="0"/>
    <w:pPr>
      <w:jc w:val="both"/>
    </w:pPr>
    <w:rPr>
      <w:rFonts w:hint="eastAsia" w:ascii="宋体" w:hAnsi="宋体" w:eastAsia="宋体" w:cs="宋体"/>
      <w:sz w:val="28"/>
    </w:rPr>
  </w:style>
  <w:style w:type="paragraph" w:customStyle="1" w:styleId="77">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_0"/>
    <w:basedOn w:val="77"/>
    <w:unhideWhenUsed/>
    <w:qFormat/>
    <w:uiPriority w:val="0"/>
    <w:pPr>
      <w:spacing w:after="120"/>
    </w:pPr>
    <w:rPr>
      <w:rFonts w:ascii="Times New Roman" w:hAnsi="Times New Roman" w:eastAsia="仿宋_GB2312"/>
      <w:sz w:val="28"/>
      <w:szCs w:val="24"/>
    </w:rPr>
  </w:style>
  <w:style w:type="character" w:customStyle="1" w:styleId="79">
    <w:name w:val="font61"/>
    <w:basedOn w:val="30"/>
    <w:qFormat/>
    <w:uiPriority w:val="0"/>
    <w:rPr>
      <w:rFonts w:hint="eastAsia" w:ascii="宋体" w:hAnsi="宋体" w:eastAsia="宋体" w:cs="宋体"/>
      <w:color w:val="000000"/>
      <w:sz w:val="21"/>
      <w:szCs w:val="21"/>
      <w:u w:val="none"/>
    </w:rPr>
  </w:style>
  <w:style w:type="paragraph" w:customStyle="1" w:styleId="80">
    <w:name w:val="p"/>
    <w:basedOn w:val="1"/>
    <w:qFormat/>
    <w:uiPriority w:val="0"/>
    <w:pPr>
      <w:widowControl/>
      <w:spacing w:line="525" w:lineRule="atLeast"/>
      <w:ind w:firstLine="375"/>
      <w:jc w:val="left"/>
    </w:pPr>
    <w:rPr>
      <w:kern w:val="0"/>
      <w:sz w:val="24"/>
    </w:rPr>
  </w:style>
  <w:style w:type="paragraph" w:customStyle="1" w:styleId="81">
    <w:name w:val="p0"/>
    <w:basedOn w:val="1"/>
    <w:qFormat/>
    <w:uiPriority w:val="0"/>
    <w:pPr>
      <w:widowControl/>
      <w:ind w:firstLine="0" w:firstLineChars="0"/>
    </w:pPr>
    <w:rPr>
      <w:rFonts w:ascii="Times New Roman" w:hAnsi="Times New Roman" w:eastAsia="宋体" w:cs="Times New Roman"/>
      <w:kern w:val="0"/>
      <w:sz w:val="21"/>
      <w:szCs w:val="21"/>
    </w:rPr>
  </w:style>
  <w:style w:type="paragraph" w:customStyle="1" w:styleId="8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列出段落1"/>
    <w:basedOn w:val="1"/>
    <w:qFormat/>
    <w:uiPriority w:val="0"/>
    <w:pPr>
      <w:ind w:firstLine="420" w:firstLineChars="200"/>
    </w:pPr>
    <w:rPr>
      <w:szCs w:val="21"/>
    </w:rPr>
  </w:style>
  <w:style w:type="paragraph" w:customStyle="1" w:styleId="84">
    <w:name w:val="样式2"/>
    <w:basedOn w:val="18"/>
    <w:qFormat/>
    <w:uiPriority w:val="0"/>
    <w:pPr>
      <w:widowControl/>
      <w:pBdr>
        <w:top w:val="single" w:color="auto" w:sz="4" w:space="1"/>
      </w:pBdr>
      <w:spacing w:line="360" w:lineRule="auto"/>
      <w:ind w:left="90" w:leftChars="43" w:firstLine="990" w:firstLineChars="550"/>
    </w:pPr>
    <w:rPr>
      <w:rFonts w:ascii="宋体" w:hAnsi="宋体"/>
    </w:rPr>
  </w:style>
  <w:style w:type="paragraph" w:customStyle="1" w:styleId="85">
    <w:name w:val="文档正文"/>
    <w:qFormat/>
    <w:uiPriority w:val="0"/>
    <w:pPr>
      <w:widowControl w:val="0"/>
      <w:adjustRightInd w:val="0"/>
      <w:spacing w:line="560" w:lineRule="exact"/>
      <w:ind w:firstLine="567"/>
      <w:jc w:val="both"/>
      <w:textAlignment w:val="baseline"/>
    </w:pPr>
    <w:rPr>
      <w:rFonts w:ascii="Calibri" w:hAnsi="Calibri" w:eastAsia="仿宋_GB2312" w:cs="Times New Roman"/>
      <w:kern w:val="2"/>
      <w:sz w:val="28"/>
      <w:lang w:val="en-US" w:eastAsia="zh-CN" w:bidi="ar-SA"/>
    </w:rPr>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88">
    <w:name w:val="样式 宋体 五号 行距: 单倍行距"/>
    <w:basedOn w:val="1"/>
    <w:qFormat/>
    <w:uiPriority w:val="0"/>
    <w:pPr>
      <w:adjustRightInd w:val="0"/>
      <w:jc w:val="left"/>
      <w:textAlignment w:val="baseline"/>
    </w:pPr>
    <w:rPr>
      <w:rFonts w:ascii="宋体" w:hAnsi="宋体"/>
      <w:kern w:val="0"/>
    </w:rPr>
  </w:style>
  <w:style w:type="paragraph" w:customStyle="1" w:styleId="89">
    <w:name w:val="Char1"/>
    <w:basedOn w:val="1"/>
    <w:qFormat/>
    <w:uiPriority w:val="0"/>
    <w:rPr>
      <w:rFonts w:ascii="Tahoma" w:hAnsi="Tahoma"/>
      <w:sz w:val="24"/>
    </w:rPr>
  </w:style>
  <w:style w:type="paragraph" w:customStyle="1" w:styleId="90">
    <w:name w:val="正文文本1"/>
    <w:basedOn w:val="1"/>
    <w:qFormat/>
    <w:uiPriority w:val="0"/>
    <w:pPr>
      <w:keepNext w:val="0"/>
      <w:keepLines w:val="0"/>
      <w:widowControl w:val="0"/>
      <w:suppressLineNumbers w:val="0"/>
      <w:spacing w:after="480" w:afterAutospacing="0" w:line="444" w:lineRule="auto"/>
      <w:ind w:firstLine="400"/>
      <w:jc w:val="both"/>
    </w:pPr>
    <w:rPr>
      <w:rFonts w:hint="eastAsia" w:ascii="宋体" w:hAnsi="宋体" w:eastAsia="宋体" w:cs="宋体"/>
      <w:kern w:val="2"/>
      <w:sz w:val="22"/>
      <w:szCs w:val="22"/>
      <w:lang w:val="en-US" w:eastAsia="zh-CN" w:bidi="ar"/>
    </w:rPr>
  </w:style>
  <w:style w:type="paragraph" w:customStyle="1" w:styleId="91">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18639</Words>
  <Characters>19990</Characters>
  <Lines>1</Lines>
  <Paragraphs>1</Paragraphs>
  <TotalTime>7</TotalTime>
  <ScaleCrop>false</ScaleCrop>
  <LinksUpToDate>false</LinksUpToDate>
  <CharactersWithSpaces>20099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五月</cp:lastModifiedBy>
  <cp:lastPrinted>2025-03-27T10:53:00Z</cp:lastPrinted>
  <dcterms:modified xsi:type="dcterms:W3CDTF">2025-06-27T11:47:21Z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266B0C1AE90A4E38B94DE437B602D094_13</vt:lpwstr>
  </property>
  <property fmtid="{D5CDD505-2E9C-101B-9397-08002B2CF9AE}" pid="4" name="KSOTemplateDocerSaveRecord">
    <vt:lpwstr>eyJoZGlkIjoiMGEyNGFiMWY5MWJmOTI0NTQ0NDYwMTg2NGI0OGUxYjkiLCJ1c2VySWQiOiI1NTU0OTg4In0=</vt:lpwstr>
  </property>
</Properties>
</file>