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E76355">
      <w:pPr>
        <w:rPr>
          <w:rFonts w:ascii="宋体" w:hAnsi="宋体" w:eastAsia="宋体" w:cs="宋体"/>
          <w:color w:val="auto"/>
          <w:highlight w:val="none"/>
        </w:rPr>
      </w:pPr>
    </w:p>
    <w:p w14:paraId="38B0166F">
      <w:pPr>
        <w:rPr>
          <w:rFonts w:ascii="宋体" w:hAnsi="宋体" w:eastAsia="宋体" w:cs="宋体"/>
          <w:color w:val="auto"/>
          <w:highlight w:val="none"/>
        </w:rPr>
      </w:pPr>
    </w:p>
    <w:p w14:paraId="0365D226">
      <w:pPr>
        <w:rPr>
          <w:rFonts w:ascii="宋体" w:hAnsi="宋体" w:eastAsia="宋体" w:cs="宋体"/>
          <w:color w:val="auto"/>
          <w:highlight w:val="none"/>
        </w:rPr>
      </w:pPr>
    </w:p>
    <w:p w14:paraId="6D4ECB57">
      <w:pPr>
        <w:rPr>
          <w:rFonts w:ascii="宋体" w:hAnsi="宋体" w:eastAsia="宋体" w:cs="宋体"/>
          <w:color w:val="auto"/>
          <w:highlight w:val="none"/>
        </w:rPr>
      </w:pPr>
    </w:p>
    <w:p w14:paraId="6870020A">
      <w:pPr>
        <w:rPr>
          <w:rFonts w:ascii="宋体" w:hAnsi="宋体" w:eastAsia="宋体" w:cs="宋体"/>
          <w:color w:val="auto"/>
          <w:highlight w:val="none"/>
        </w:rPr>
      </w:pPr>
    </w:p>
    <w:p w14:paraId="57B7987C">
      <w:pPr>
        <w:ind w:left="-105" w:right="-191"/>
        <w:jc w:val="center"/>
        <w:rPr>
          <w:rFonts w:ascii="宋体" w:hAnsi="宋体" w:eastAsia="宋体" w:cs="宋体"/>
          <w:b/>
          <w:bCs/>
          <w:color w:val="auto"/>
          <w:sz w:val="84"/>
          <w:szCs w:val="84"/>
          <w:highlight w:val="none"/>
        </w:rPr>
      </w:pPr>
      <w:r>
        <w:rPr>
          <w:rFonts w:hint="eastAsia" w:ascii="宋体" w:hAnsi="宋体" w:eastAsia="宋体" w:cs="宋体"/>
          <w:b/>
          <w:bCs/>
          <w:color w:val="auto"/>
          <w:sz w:val="84"/>
          <w:szCs w:val="84"/>
          <w:lang w:eastAsia="zh-CN"/>
        </w:rPr>
        <w:drawing>
          <wp:inline distT="0" distB="0" distL="114300" distR="114300">
            <wp:extent cx="3333115" cy="2613025"/>
            <wp:effectExtent l="0" t="0" r="635" b="15875"/>
            <wp:docPr id="1" name="图片 1" descr="da1cb057bd2028fd9c59696dcdf7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a1cb057bd2028fd9c59696dcdf7749"/>
                    <pic:cNvPicPr>
                      <a:picLocks noChangeAspect="1"/>
                    </pic:cNvPicPr>
                  </pic:nvPicPr>
                  <pic:blipFill>
                    <a:blip r:embed="rId10"/>
                    <a:srcRect l="18768" t="26558" r="25787" b="34879"/>
                    <a:stretch>
                      <a:fillRect/>
                    </a:stretch>
                  </pic:blipFill>
                  <pic:spPr>
                    <a:xfrm>
                      <a:off x="0" y="0"/>
                      <a:ext cx="3333115" cy="2613025"/>
                    </a:xfrm>
                    <a:prstGeom prst="rect">
                      <a:avLst/>
                    </a:prstGeom>
                    <a:noFill/>
                    <a:ln>
                      <a:noFill/>
                    </a:ln>
                  </pic:spPr>
                </pic:pic>
              </a:graphicData>
            </a:graphic>
          </wp:inline>
        </w:drawing>
      </w:r>
    </w:p>
    <w:p w14:paraId="2BF4CEE3">
      <w:pPr>
        <w:keepNext w:val="0"/>
        <w:keepLines w:val="0"/>
        <w:pageBreakBefore w:val="0"/>
        <w:widowControl w:val="0"/>
        <w:kinsoku/>
        <w:wordWrap/>
        <w:overflowPunct/>
        <w:topLinePunct w:val="0"/>
        <w:autoSpaceDE/>
        <w:autoSpaceDN/>
        <w:bidi w:val="0"/>
        <w:adjustRightInd/>
        <w:snapToGrid/>
        <w:ind w:left="-108" w:right="-193"/>
        <w:jc w:val="center"/>
        <w:textAlignment w:val="auto"/>
        <w:rPr>
          <w:rFonts w:ascii="宋体" w:hAnsi="宋体" w:eastAsia="宋体" w:cs="宋体"/>
          <w:b/>
          <w:bCs/>
          <w:color w:val="auto"/>
          <w:sz w:val="32"/>
          <w:szCs w:val="32"/>
          <w:highlight w:val="none"/>
        </w:rPr>
      </w:pPr>
    </w:p>
    <w:p w14:paraId="6B10D4E7">
      <w:pPr>
        <w:keepNext w:val="0"/>
        <w:keepLines w:val="0"/>
        <w:pageBreakBefore w:val="0"/>
        <w:widowControl w:val="0"/>
        <w:kinsoku/>
        <w:wordWrap/>
        <w:overflowPunct/>
        <w:topLinePunct w:val="0"/>
        <w:autoSpaceDE/>
        <w:autoSpaceDN/>
        <w:bidi w:val="0"/>
        <w:adjustRightInd/>
        <w:snapToGrid/>
        <w:spacing w:beforeLines="100" w:line="120" w:lineRule="auto"/>
        <w:ind w:left="0" w:right="0"/>
        <w:jc w:val="center"/>
        <w:textAlignment w:val="auto"/>
        <w:rPr>
          <w:rFonts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lang w:eastAsia="zh-CN"/>
        </w:rPr>
        <w:t>竞争性磋商文件</w:t>
      </w:r>
    </w:p>
    <w:p w14:paraId="06ABD659">
      <w:pPr>
        <w:ind w:left="-105" w:right="-191"/>
        <w:jc w:val="center"/>
        <w:rPr>
          <w:rFonts w:ascii="宋体" w:hAnsi="宋体" w:eastAsia="宋体" w:cs="宋体"/>
          <w:b/>
          <w:bCs/>
          <w:color w:val="auto"/>
          <w:sz w:val="84"/>
          <w:szCs w:val="84"/>
          <w:highlight w:val="none"/>
        </w:rPr>
      </w:pPr>
    </w:p>
    <w:p w14:paraId="4AE8F04A">
      <w:pPr>
        <w:snapToGrid w:val="0"/>
        <w:spacing w:line="600" w:lineRule="exact"/>
        <w:jc w:val="left"/>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项目编号：2025HDYPCS-022</w:t>
      </w:r>
    </w:p>
    <w:p w14:paraId="5950ADB5">
      <w:pPr>
        <w:snapToGrid w:val="0"/>
        <w:spacing w:line="600" w:lineRule="exact"/>
        <w:ind w:right="178" w:rightChars="85"/>
        <w:jc w:val="left"/>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项目名称：2025年达坂城区全面实施预算绩效管理咨询服务</w:t>
      </w:r>
    </w:p>
    <w:p w14:paraId="686C80DF">
      <w:pPr>
        <w:snapToGrid w:val="0"/>
        <w:spacing w:line="600" w:lineRule="exact"/>
        <w:jc w:val="left"/>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 购 人：乌鲁木齐市达坂城区财政局</w:t>
      </w:r>
    </w:p>
    <w:p w14:paraId="439DB7B8">
      <w:pPr>
        <w:pStyle w:val="32"/>
        <w:ind w:firstLine="500" w:firstLineChars="200"/>
        <w:jc w:val="left"/>
        <w:rPr>
          <w:color w:val="auto"/>
          <w:highlight w:val="none"/>
        </w:rPr>
      </w:pPr>
    </w:p>
    <w:p w14:paraId="0281AE68">
      <w:pPr>
        <w:snapToGrid w:val="0"/>
        <w:spacing w:line="520" w:lineRule="exact"/>
        <w:jc w:val="center"/>
        <w:rPr>
          <w:rFonts w:ascii="宋体" w:hAnsi="宋体" w:eastAsia="宋体" w:cs="宋体"/>
          <w:b/>
          <w:color w:val="auto"/>
          <w:sz w:val="32"/>
          <w:szCs w:val="32"/>
          <w:highlight w:val="none"/>
        </w:rPr>
      </w:pPr>
    </w:p>
    <w:p w14:paraId="57652E94">
      <w:pPr>
        <w:snapToGrid w:val="0"/>
        <w:spacing w:line="520" w:lineRule="exact"/>
        <w:jc w:val="center"/>
        <w:rPr>
          <w:rFonts w:ascii="宋体" w:hAnsi="宋体" w:eastAsia="宋体" w:cs="宋体"/>
          <w:b/>
          <w:color w:val="auto"/>
          <w:sz w:val="32"/>
          <w:szCs w:val="32"/>
          <w:highlight w:val="none"/>
        </w:rPr>
      </w:pPr>
      <w:r>
        <w:rPr>
          <w:rFonts w:hint="eastAsia" w:ascii="宋体" w:hAnsi="宋体" w:eastAsia="宋体" w:cs="宋体"/>
          <w:b/>
          <w:color w:val="000000" w:themeColor="text1"/>
          <w:sz w:val="32"/>
          <w:szCs w:val="32"/>
          <w:highlight w:val="none"/>
          <w:lang w:eastAsia="zh-CN"/>
          <w14:textFill>
            <w14:solidFill>
              <w14:schemeClr w14:val="tx1"/>
            </w14:solidFill>
          </w14:textFill>
        </w:rPr>
        <w:t>新疆恒达壹品项目管理咨询有限公司</w:t>
      </w:r>
    </w:p>
    <w:p w14:paraId="0AD326A3">
      <w:pPr>
        <w:snapToGrid w:val="0"/>
        <w:spacing w:line="520" w:lineRule="exact"/>
        <w:jc w:val="center"/>
        <w:rPr>
          <w:rFonts w:ascii="宋体" w:hAnsi="宋体" w:eastAsia="宋体" w:cs="宋体"/>
          <w:b/>
          <w:color w:val="auto"/>
          <w:sz w:val="32"/>
          <w:szCs w:val="32"/>
          <w:highlight w:val="none"/>
        </w:rPr>
        <w:sectPr>
          <w:pgSz w:w="11906" w:h="16838"/>
          <w:pgMar w:top="1440" w:right="866" w:bottom="1440" w:left="1800" w:header="851" w:footer="752" w:gutter="0"/>
          <w:pgNumType w:fmt="decimal" w:start="1"/>
          <w:cols w:space="720" w:num="1"/>
          <w:formProt w:val="0"/>
          <w:docGrid w:type="lines" w:linePitch="312" w:charSpace="0"/>
        </w:sectPr>
      </w:pPr>
      <w:r>
        <w:rPr>
          <w:rFonts w:hint="eastAsia" w:ascii="宋体" w:hAnsi="宋体" w:eastAsia="宋体" w:cs="宋体"/>
          <w:b/>
          <w:color w:val="auto"/>
          <w:sz w:val="32"/>
          <w:szCs w:val="32"/>
          <w:highlight w:val="none"/>
        </w:rPr>
        <w:t>20</w:t>
      </w:r>
      <w:r>
        <w:rPr>
          <w:rFonts w:hint="eastAsia" w:ascii="宋体" w:hAnsi="宋体" w:eastAsia="宋体" w:cs="宋体"/>
          <w:b/>
          <w:color w:val="auto"/>
          <w:sz w:val="32"/>
          <w:szCs w:val="32"/>
          <w:highlight w:val="none"/>
          <w:lang w:val="en-US" w:eastAsia="zh-CN"/>
        </w:rPr>
        <w:t>25</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lang w:val="en-US" w:eastAsia="zh-CN"/>
        </w:rPr>
        <w:t>06</w:t>
      </w:r>
      <w:r>
        <w:rPr>
          <w:rFonts w:hint="eastAsia" w:ascii="宋体" w:hAnsi="宋体" w:eastAsia="宋体" w:cs="宋体"/>
          <w:b/>
          <w:color w:val="auto"/>
          <w:sz w:val="32"/>
          <w:szCs w:val="32"/>
          <w:highlight w:val="none"/>
        </w:rPr>
        <w:t>月</w:t>
      </w:r>
    </w:p>
    <w:p w14:paraId="03D35748">
      <w:pPr>
        <w:jc w:val="center"/>
        <w:rPr>
          <w:rFonts w:ascii="宋体" w:hAnsi="宋体" w:eastAsia="宋体" w:cs="宋体"/>
          <w:b/>
          <w:bCs/>
          <w:color w:val="auto"/>
          <w:sz w:val="32"/>
          <w:szCs w:val="32"/>
          <w:highlight w:val="none"/>
        </w:rPr>
        <w:sectPr>
          <w:headerReference r:id="rId3" w:type="default"/>
          <w:footerReference r:id="rId4" w:type="default"/>
          <w:pgSz w:w="11906" w:h="16838"/>
          <w:pgMar w:top="1440" w:right="1106" w:bottom="1440" w:left="1800" w:header="851" w:footer="752" w:gutter="0"/>
          <w:pgNumType w:fmt="decimal" w:start="1"/>
          <w:cols w:space="720" w:num="1"/>
          <w:formProt w:val="0"/>
          <w:docGrid w:type="lines" w:linePitch="312" w:charSpace="0"/>
        </w:sectPr>
      </w:pPr>
    </w:p>
    <w:p w14:paraId="5E674819">
      <w:pPr>
        <w:jc w:val="center"/>
        <w:rPr>
          <w:rFonts w:ascii="宋体" w:hAnsi="宋体" w:eastAsia="宋体" w:cs="宋体"/>
          <w:b/>
          <w:bCs/>
          <w:color w:val="auto"/>
          <w:sz w:val="32"/>
          <w:szCs w:val="32"/>
          <w:highlight w:val="none"/>
        </w:rPr>
      </w:pPr>
    </w:p>
    <w:p w14:paraId="729AA139">
      <w:pPr>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目      录</w:t>
      </w:r>
    </w:p>
    <w:p w14:paraId="5F28508B">
      <w:pPr>
        <w:pStyle w:val="19"/>
        <w:tabs>
          <w:tab w:val="right" w:leader="dot" w:pos="900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"1-3" \h \z \u</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40"/>
          <w:highlight w:val="none"/>
        </w:rPr>
        <w:fldChar w:fldCharType="begin"/>
      </w:r>
      <w:r>
        <w:rPr>
          <w:rFonts w:hint="eastAsia" w:ascii="宋体" w:hAnsi="宋体" w:eastAsia="宋体" w:cs="宋体"/>
          <w:color w:val="auto"/>
          <w:sz w:val="28"/>
          <w:szCs w:val="40"/>
          <w:highlight w:val="none"/>
        </w:rPr>
        <w:instrText xml:space="preserve"> HYPERLINK \l _Toc216 </w:instrText>
      </w:r>
      <w:r>
        <w:rPr>
          <w:rFonts w:hint="eastAsia" w:ascii="宋体" w:hAnsi="宋体" w:eastAsia="宋体" w:cs="宋体"/>
          <w:color w:val="auto"/>
          <w:sz w:val="28"/>
          <w:szCs w:val="40"/>
          <w:highlight w:val="none"/>
        </w:rPr>
        <w:fldChar w:fldCharType="separate"/>
      </w:r>
      <w:r>
        <w:rPr>
          <w:rFonts w:hint="eastAsia" w:ascii="宋体" w:hAnsi="宋体" w:eastAsia="宋体" w:cs="宋体"/>
          <w:color w:val="auto"/>
          <w:sz w:val="28"/>
          <w:szCs w:val="28"/>
          <w:highlight w:val="none"/>
        </w:rPr>
        <w:t xml:space="preserve">第一章 </w:t>
      </w:r>
      <w:r>
        <w:rPr>
          <w:rFonts w:hint="eastAsia" w:ascii="宋体" w:hAnsi="宋体" w:eastAsia="宋体" w:cs="宋体"/>
          <w:color w:val="auto"/>
          <w:sz w:val="28"/>
          <w:szCs w:val="28"/>
          <w:highlight w:val="none"/>
          <w:lang w:val="en-US" w:eastAsia="zh-CN"/>
        </w:rPr>
        <w:t>磋商</w:t>
      </w:r>
      <w:r>
        <w:rPr>
          <w:rFonts w:hint="eastAsia" w:ascii="宋体" w:hAnsi="宋体" w:eastAsia="宋体" w:cs="宋体"/>
          <w:color w:val="auto"/>
          <w:sz w:val="28"/>
          <w:szCs w:val="28"/>
          <w:highlight w:val="none"/>
        </w:rPr>
        <w:t>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_Toc216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40"/>
          <w:highlight w:val="none"/>
        </w:rPr>
        <w:fldChar w:fldCharType="end"/>
      </w:r>
    </w:p>
    <w:p w14:paraId="1692D845">
      <w:pPr>
        <w:pStyle w:val="19"/>
        <w:tabs>
          <w:tab w:val="right" w:leader="dot" w:pos="9000"/>
        </w:tabs>
        <w:rPr>
          <w:rFonts w:hint="eastAsia" w:ascii="宋体" w:hAnsi="宋体" w:eastAsia="宋体" w:cs="宋体"/>
          <w:color w:val="auto"/>
          <w:sz w:val="28"/>
          <w:szCs w:val="28"/>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color w:val="auto"/>
          <w:sz w:val="28"/>
          <w:szCs w:val="40"/>
          <w:highlight w:val="none"/>
        </w:rPr>
        <w:instrText xml:space="preserve"> HYPERLINK \l _Toc2979 </w:instrText>
      </w:r>
      <w:r>
        <w:rPr>
          <w:rFonts w:hint="eastAsia" w:ascii="宋体" w:hAnsi="宋体" w:eastAsia="宋体" w:cs="宋体"/>
          <w:color w:val="auto"/>
          <w:sz w:val="28"/>
          <w:szCs w:val="40"/>
          <w:highlight w:val="none"/>
        </w:rPr>
        <w:fldChar w:fldCharType="separate"/>
      </w:r>
      <w:r>
        <w:rPr>
          <w:rFonts w:hint="eastAsia" w:ascii="宋体" w:hAnsi="宋体" w:eastAsia="宋体" w:cs="宋体"/>
          <w:color w:val="auto"/>
          <w:sz w:val="28"/>
          <w:szCs w:val="28"/>
          <w:highlight w:val="none"/>
        </w:rPr>
        <w:t>第二章 供应商须知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_Toc2979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40"/>
          <w:highlight w:val="none"/>
        </w:rPr>
        <w:fldChar w:fldCharType="end"/>
      </w:r>
    </w:p>
    <w:p w14:paraId="609A165C">
      <w:pPr>
        <w:pStyle w:val="22"/>
        <w:tabs>
          <w:tab w:val="right" w:leader="dot" w:pos="9000"/>
        </w:tabs>
        <w:ind w:left="0" w:leftChars="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color w:val="auto"/>
          <w:sz w:val="28"/>
          <w:szCs w:val="40"/>
          <w:highlight w:val="none"/>
        </w:rPr>
        <w:instrText xml:space="preserve"> HYPERLINK \l _Toc11619 </w:instrText>
      </w:r>
      <w:r>
        <w:rPr>
          <w:rFonts w:hint="eastAsia" w:ascii="宋体" w:hAnsi="宋体" w:eastAsia="宋体" w:cs="宋体"/>
          <w:color w:val="auto"/>
          <w:sz w:val="28"/>
          <w:szCs w:val="40"/>
          <w:highlight w:val="none"/>
        </w:rPr>
        <w:fldChar w:fldCharType="separate"/>
      </w:r>
      <w:r>
        <w:rPr>
          <w:rFonts w:hint="eastAsia" w:ascii="宋体" w:hAnsi="宋体" w:eastAsia="宋体" w:cs="宋体"/>
          <w:color w:val="auto"/>
          <w:spacing w:val="6"/>
          <w:sz w:val="28"/>
          <w:szCs w:val="44"/>
          <w:highlight w:val="none"/>
        </w:rPr>
        <w:t>第三章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_Toc11619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40"/>
          <w:highlight w:val="none"/>
        </w:rPr>
        <w:fldChar w:fldCharType="end"/>
      </w:r>
    </w:p>
    <w:p w14:paraId="583930A0">
      <w:pPr>
        <w:pStyle w:val="19"/>
        <w:tabs>
          <w:tab w:val="right" w:leader="dot" w:pos="9000"/>
        </w:tabs>
        <w:rPr>
          <w:rFonts w:hint="eastAsia" w:ascii="宋体" w:hAnsi="宋体" w:eastAsia="宋体" w:cs="宋体"/>
          <w:color w:val="auto"/>
          <w:sz w:val="28"/>
          <w:szCs w:val="28"/>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color w:val="auto"/>
          <w:sz w:val="28"/>
          <w:szCs w:val="40"/>
          <w:highlight w:val="none"/>
        </w:rPr>
        <w:instrText xml:space="preserve"> HYPERLINK \l _Toc28961 </w:instrText>
      </w:r>
      <w:r>
        <w:rPr>
          <w:rFonts w:hint="eastAsia" w:ascii="宋体" w:hAnsi="宋体" w:eastAsia="宋体" w:cs="宋体"/>
          <w:color w:val="auto"/>
          <w:sz w:val="28"/>
          <w:szCs w:val="40"/>
          <w:highlight w:val="none"/>
        </w:rPr>
        <w:fldChar w:fldCharType="separate"/>
      </w:r>
      <w:r>
        <w:rPr>
          <w:rFonts w:hint="eastAsia" w:ascii="宋体" w:hAnsi="宋体" w:eastAsia="宋体" w:cs="宋体"/>
          <w:color w:val="auto"/>
          <w:sz w:val="28"/>
          <w:szCs w:val="28"/>
          <w:highlight w:val="none"/>
        </w:rPr>
        <w:t>第四章 合同条款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_Toc28961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40"/>
          <w:highlight w:val="none"/>
        </w:rPr>
        <w:fldChar w:fldCharType="end"/>
      </w:r>
    </w:p>
    <w:p w14:paraId="19BC07C9">
      <w:pPr>
        <w:pStyle w:val="22"/>
        <w:tabs>
          <w:tab w:val="right" w:leader="dot" w:pos="9000"/>
        </w:tabs>
        <w:ind w:left="0" w:leftChars="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color w:val="auto"/>
          <w:sz w:val="28"/>
          <w:szCs w:val="40"/>
          <w:highlight w:val="none"/>
        </w:rPr>
        <w:instrText xml:space="preserve"> HYPERLINK \l _Toc8583 </w:instrText>
      </w:r>
      <w:r>
        <w:rPr>
          <w:rFonts w:hint="eastAsia" w:ascii="宋体" w:hAnsi="宋体" w:eastAsia="宋体" w:cs="宋体"/>
          <w:color w:val="auto"/>
          <w:sz w:val="28"/>
          <w:szCs w:val="40"/>
          <w:highlight w:val="none"/>
        </w:rPr>
        <w:fldChar w:fldCharType="separate"/>
      </w:r>
      <w:r>
        <w:rPr>
          <w:rFonts w:hint="eastAsia" w:ascii="宋体" w:hAnsi="宋体" w:eastAsia="宋体" w:cs="宋体"/>
          <w:color w:val="auto"/>
          <w:sz w:val="28"/>
          <w:szCs w:val="28"/>
          <w:highlight w:val="none"/>
        </w:rPr>
        <w:t>第五章 评审办法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_Toc8583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40"/>
          <w:highlight w:val="none"/>
        </w:rPr>
        <w:fldChar w:fldCharType="end"/>
      </w:r>
    </w:p>
    <w:p w14:paraId="7436736F">
      <w:pPr>
        <w:pStyle w:val="22"/>
        <w:tabs>
          <w:tab w:val="right" w:leader="dot" w:pos="9000"/>
        </w:tabs>
        <w:ind w:left="0" w:leftChars="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color w:val="auto"/>
          <w:sz w:val="28"/>
          <w:szCs w:val="40"/>
          <w:highlight w:val="none"/>
        </w:rPr>
        <w:instrText xml:space="preserve"> HYPERLINK \l _Toc10434 </w:instrText>
      </w:r>
      <w:r>
        <w:rPr>
          <w:rFonts w:hint="eastAsia" w:ascii="宋体" w:hAnsi="宋体" w:eastAsia="宋体" w:cs="宋体"/>
          <w:color w:val="auto"/>
          <w:sz w:val="28"/>
          <w:szCs w:val="40"/>
          <w:highlight w:val="none"/>
        </w:rPr>
        <w:fldChar w:fldCharType="separate"/>
      </w:r>
      <w:r>
        <w:rPr>
          <w:rFonts w:hint="eastAsia" w:ascii="宋体" w:hAnsi="宋体" w:eastAsia="宋体" w:cs="宋体"/>
          <w:color w:val="auto"/>
          <w:spacing w:val="6"/>
          <w:sz w:val="28"/>
          <w:szCs w:val="44"/>
          <w:highlight w:val="none"/>
        </w:rPr>
        <w:t>第六章 响应文件格式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_Toc10434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40"/>
          <w:highlight w:val="none"/>
        </w:rPr>
        <w:fldChar w:fldCharType="end"/>
      </w:r>
    </w:p>
    <w:p w14:paraId="6628F1CE">
      <w:pPr>
        <w:pStyle w:val="19"/>
        <w:tabs>
          <w:tab w:val="right" w:leader="dot" w:pos="9000"/>
        </w:tabs>
        <w:rPr>
          <w:color w:val="auto"/>
          <w:highlight w:val="none"/>
        </w:rPr>
      </w:pPr>
    </w:p>
    <w:p w14:paraId="7A96F35E">
      <w:pPr>
        <w:pStyle w:val="35"/>
        <w:tabs>
          <w:tab w:val="right" w:leader="dot" w:pos="9016"/>
        </w:tabs>
        <w:spacing w:before="340" w:after="330" w:line="560" w:lineRule="exact"/>
        <w:ind w:left="0"/>
        <w:rPr>
          <w:rFonts w:ascii="宋体" w:hAnsi="宋体" w:eastAsia="宋体" w:cs="宋体"/>
          <w:color w:val="auto"/>
          <w:sz w:val="28"/>
          <w:szCs w:val="28"/>
          <w:highlight w:val="none"/>
        </w:rPr>
      </w:pPr>
      <w:r>
        <w:rPr>
          <w:rFonts w:hint="eastAsia" w:ascii="宋体" w:hAnsi="宋体" w:eastAsia="宋体" w:cs="宋体"/>
          <w:color w:val="auto"/>
          <w:szCs w:val="28"/>
          <w:highlight w:val="none"/>
        </w:rPr>
        <w:fldChar w:fldCharType="end"/>
      </w:r>
    </w:p>
    <w:p w14:paraId="3F8DD094">
      <w:pPr>
        <w:pStyle w:val="35"/>
        <w:tabs>
          <w:tab w:val="right" w:leader="dot" w:pos="9016"/>
        </w:tabs>
        <w:spacing w:line="600" w:lineRule="exact"/>
        <w:ind w:left="0"/>
        <w:rPr>
          <w:rFonts w:ascii="宋体" w:hAnsi="宋体" w:eastAsia="宋体" w:cs="宋体"/>
          <w:color w:val="auto"/>
          <w:highlight w:val="none"/>
        </w:rPr>
        <w:sectPr>
          <w:footerReference r:id="rId5" w:type="default"/>
          <w:pgSz w:w="11906" w:h="16838"/>
          <w:pgMar w:top="1440" w:right="1106" w:bottom="1440" w:left="1800" w:header="851" w:footer="752" w:gutter="0"/>
          <w:pgNumType w:fmt="decimal" w:start="1"/>
          <w:cols w:space="720" w:num="1"/>
          <w:formProt w:val="0"/>
          <w:docGrid w:type="lines" w:linePitch="312" w:charSpace="0"/>
        </w:sectPr>
      </w:pPr>
    </w:p>
    <w:p w14:paraId="629DF6DF">
      <w:pPr>
        <w:rPr>
          <w:color w:val="auto"/>
          <w:highlight w:val="none"/>
        </w:rPr>
      </w:pPr>
    </w:p>
    <w:p w14:paraId="1202D517">
      <w:pPr>
        <w:widowControl/>
        <w:spacing w:line="480" w:lineRule="exact"/>
        <w:jc w:val="center"/>
        <w:outlineLvl w:val="0"/>
        <w:rPr>
          <w:rStyle w:val="36"/>
          <w:rFonts w:ascii="宋体" w:hAnsi="宋体" w:eastAsia="宋体" w:cs="宋体"/>
          <w:color w:val="auto"/>
          <w:highlight w:val="none"/>
        </w:rPr>
      </w:pPr>
      <w:bookmarkStart w:id="0" w:name="_Toc216"/>
      <w:r>
        <w:rPr>
          <w:rStyle w:val="36"/>
          <w:rFonts w:hint="eastAsia" w:ascii="宋体" w:hAnsi="宋体" w:eastAsia="宋体" w:cs="宋体"/>
          <w:color w:val="auto"/>
          <w:highlight w:val="none"/>
        </w:rPr>
        <w:t xml:space="preserve">第一章 </w:t>
      </w:r>
      <w:bookmarkEnd w:id="0"/>
      <w:r>
        <w:rPr>
          <w:rStyle w:val="36"/>
          <w:rFonts w:hint="eastAsia" w:ascii="宋体" w:hAnsi="宋体" w:eastAsia="宋体" w:cs="宋体"/>
          <w:color w:val="auto"/>
          <w:highlight w:val="none"/>
        </w:rPr>
        <w:t>竞争性磋商公告</w:t>
      </w:r>
    </w:p>
    <w:p w14:paraId="07B1F0ED">
      <w:pPr>
        <w:widowControl/>
        <w:spacing w:line="440" w:lineRule="exact"/>
        <w:jc w:val="left"/>
        <w:outlineLvl w:val="1"/>
        <w:rPr>
          <w:rFonts w:ascii="宋体" w:hAnsi="宋体" w:eastAsia="宋体" w:cs="宋体"/>
          <w:b/>
          <w:color w:val="auto"/>
          <w:kern w:val="0"/>
          <w:sz w:val="24"/>
          <w:szCs w:val="24"/>
          <w:highlight w:val="none"/>
        </w:rPr>
      </w:pPr>
      <w:bookmarkStart w:id="1" w:name="_Toc4190"/>
      <w:bookmarkStart w:id="2" w:name="_Toc5263"/>
      <w:bookmarkStart w:id="3" w:name="_Toc23983"/>
      <w:r>
        <w:rPr>
          <w:rFonts w:hint="eastAsia" w:ascii="宋体" w:hAnsi="宋体" w:eastAsia="宋体" w:cs="宋体"/>
          <w:b/>
          <w:color w:val="auto"/>
          <w:kern w:val="0"/>
          <w:sz w:val="24"/>
          <w:szCs w:val="24"/>
          <w:highlight w:val="none"/>
        </w:rPr>
        <w:t>一、项目基本情况</w:t>
      </w:r>
      <w:bookmarkEnd w:id="1"/>
      <w:bookmarkEnd w:id="2"/>
      <w:bookmarkEnd w:id="3"/>
    </w:p>
    <w:p w14:paraId="26DF89C1">
      <w:pPr>
        <w:widowControl/>
        <w:spacing w:line="440" w:lineRule="exact"/>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项目编号：2025HDYPCS-022</w:t>
      </w:r>
    </w:p>
    <w:p w14:paraId="17069DB2">
      <w:pPr>
        <w:widowControl/>
        <w:spacing w:line="44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项目名称：2025年达坂城区全面实施预算绩效管理咨询服务</w:t>
      </w:r>
    </w:p>
    <w:p w14:paraId="3CD85B23">
      <w:pPr>
        <w:widowControl/>
        <w:spacing w:line="440" w:lineRule="exact"/>
        <w:ind w:firstLine="480" w:firstLineChars="200"/>
        <w:jc w:val="left"/>
        <w:rPr>
          <w:rFonts w:hint="default" w:eastAsia="宋体"/>
          <w:color w:val="auto"/>
          <w:highlight w:val="none"/>
          <w:lang w:val="en-US" w:eastAsia="zh-CN"/>
        </w:rPr>
      </w:pPr>
      <w:r>
        <w:rPr>
          <w:rFonts w:hint="eastAsia" w:ascii="宋体" w:hAnsi="宋体" w:eastAsia="宋体" w:cs="宋体"/>
          <w:color w:val="auto"/>
          <w:kern w:val="0"/>
          <w:sz w:val="24"/>
          <w:szCs w:val="24"/>
          <w:highlight w:val="none"/>
        </w:rPr>
        <w:t>采购方式：</w:t>
      </w:r>
      <w:r>
        <w:rPr>
          <w:rFonts w:hint="eastAsia" w:ascii="宋体" w:hAnsi="宋体" w:eastAsia="宋体" w:cs="宋体"/>
          <w:color w:val="auto"/>
          <w:kern w:val="0"/>
          <w:sz w:val="24"/>
          <w:szCs w:val="24"/>
          <w:highlight w:val="none"/>
          <w:lang w:val="en-US" w:eastAsia="zh-CN"/>
        </w:rPr>
        <w:t>竞争性磋商</w:t>
      </w:r>
    </w:p>
    <w:p w14:paraId="36D30460">
      <w:pPr>
        <w:widowControl/>
        <w:spacing w:line="44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采购预算：</w:t>
      </w:r>
      <w:r>
        <w:rPr>
          <w:rFonts w:hint="eastAsia" w:ascii="宋体" w:hAnsi="宋体" w:eastAsia="宋体" w:cs="宋体"/>
          <w:color w:val="auto"/>
          <w:kern w:val="0"/>
          <w:sz w:val="24"/>
          <w:szCs w:val="24"/>
          <w:highlight w:val="none"/>
          <w:lang w:val="en-US" w:eastAsia="zh-CN"/>
        </w:rPr>
        <w:t>700000.00</w:t>
      </w:r>
      <w:r>
        <w:rPr>
          <w:rFonts w:hint="eastAsia" w:ascii="宋体" w:hAnsi="宋体" w:eastAsia="宋体" w:cs="宋体"/>
          <w:color w:val="auto"/>
          <w:kern w:val="0"/>
          <w:sz w:val="24"/>
          <w:szCs w:val="24"/>
          <w:highlight w:val="none"/>
        </w:rPr>
        <w:t>元</w:t>
      </w:r>
    </w:p>
    <w:p w14:paraId="65EDD42A">
      <w:pPr>
        <w:widowControl/>
        <w:spacing w:line="44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最高限价：</w:t>
      </w:r>
      <w:r>
        <w:rPr>
          <w:rFonts w:hint="eastAsia" w:ascii="宋体" w:hAnsi="宋体" w:eastAsia="宋体" w:cs="宋体"/>
          <w:color w:val="auto"/>
          <w:kern w:val="0"/>
          <w:sz w:val="24"/>
          <w:szCs w:val="24"/>
          <w:highlight w:val="none"/>
          <w:lang w:val="en-US" w:eastAsia="zh-CN"/>
        </w:rPr>
        <w:t>700000.00</w:t>
      </w:r>
      <w:r>
        <w:rPr>
          <w:rFonts w:hint="eastAsia" w:ascii="宋体" w:hAnsi="宋体" w:eastAsia="宋体" w:cs="宋体"/>
          <w:color w:val="auto"/>
          <w:kern w:val="0"/>
          <w:sz w:val="24"/>
          <w:szCs w:val="24"/>
          <w:highlight w:val="none"/>
        </w:rPr>
        <w:t>元</w:t>
      </w:r>
    </w:p>
    <w:p w14:paraId="6538BA7D">
      <w:pPr>
        <w:widowControl/>
        <w:spacing w:line="440" w:lineRule="exact"/>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采购需求：全面实施预算绩效管理，绩效目标填报及审核辅导，绩效运行监控填报及审核、绩效评价填报及审核、组织开展绩效管理培训等工作</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具体详见竞争性磋商文件第三章采购需求</w:t>
      </w:r>
      <w:r>
        <w:rPr>
          <w:rFonts w:hint="eastAsia" w:ascii="宋体" w:hAnsi="宋体" w:eastAsia="宋体" w:cs="宋体"/>
          <w:color w:val="auto"/>
          <w:kern w:val="0"/>
          <w:sz w:val="24"/>
          <w:szCs w:val="24"/>
          <w:highlight w:val="none"/>
          <w:lang w:eastAsia="zh-CN"/>
        </w:rPr>
        <w:t>）</w:t>
      </w:r>
    </w:p>
    <w:p w14:paraId="42F429D3">
      <w:pPr>
        <w:widowControl/>
        <w:spacing w:line="440" w:lineRule="exact"/>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合同履约期限：</w:t>
      </w:r>
      <w:r>
        <w:rPr>
          <w:rFonts w:hint="eastAsia" w:ascii="宋体" w:hAnsi="宋体" w:eastAsia="宋体" w:cs="宋体"/>
          <w:color w:val="auto"/>
          <w:kern w:val="0"/>
          <w:sz w:val="24"/>
          <w:szCs w:val="24"/>
          <w:highlight w:val="none"/>
          <w:lang w:val="en-US" w:eastAsia="zh-CN"/>
        </w:rPr>
        <w:t>1年</w:t>
      </w:r>
      <w:r>
        <w:rPr>
          <w:rFonts w:hint="eastAsia" w:ascii="宋体" w:hAnsi="宋体" w:eastAsia="宋体" w:cs="宋体"/>
          <w:color w:val="auto"/>
          <w:kern w:val="0"/>
          <w:sz w:val="24"/>
          <w:szCs w:val="24"/>
          <w:highlight w:val="none"/>
        </w:rPr>
        <w:t>。</w:t>
      </w:r>
    </w:p>
    <w:p w14:paraId="06E9EAB4">
      <w:pPr>
        <w:widowControl/>
        <w:spacing w:line="440" w:lineRule="exact"/>
        <w:ind w:firstLine="480" w:firstLineChars="200"/>
        <w:jc w:val="left"/>
        <w:outlineLvl w:val="1"/>
        <w:rPr>
          <w:rFonts w:ascii="宋体" w:hAnsi="宋体" w:eastAsia="宋体" w:cs="宋体"/>
          <w:bCs/>
          <w:color w:val="auto"/>
          <w:kern w:val="0"/>
          <w:sz w:val="24"/>
          <w:szCs w:val="24"/>
          <w:highlight w:val="none"/>
        </w:rPr>
      </w:pPr>
      <w:bookmarkStart w:id="4" w:name="_Toc26295"/>
      <w:bookmarkStart w:id="5" w:name="_Toc9229"/>
      <w:bookmarkStart w:id="6" w:name="_Toc24778"/>
      <w:r>
        <w:rPr>
          <w:rFonts w:hint="eastAsia" w:ascii="宋体" w:hAnsi="宋体" w:eastAsia="宋体" w:cs="宋体"/>
          <w:bCs/>
          <w:color w:val="auto"/>
          <w:kern w:val="0"/>
          <w:sz w:val="24"/>
          <w:szCs w:val="24"/>
          <w:highlight w:val="none"/>
        </w:rPr>
        <w:t>本项目不接受联合体投标。</w:t>
      </w:r>
      <w:bookmarkEnd w:id="4"/>
    </w:p>
    <w:p w14:paraId="2CE0C5AA">
      <w:pPr>
        <w:widowControl/>
        <w:numPr>
          <w:ilvl w:val="0"/>
          <w:numId w:val="0"/>
        </w:numPr>
        <w:spacing w:line="440" w:lineRule="exact"/>
        <w:jc w:val="both"/>
        <w:rPr>
          <w:rFonts w:hint="eastAsia" w:ascii="宋体" w:hAnsi="宋体" w:eastAsia="宋体" w:cs="宋体"/>
          <w:b/>
          <w:color w:val="auto"/>
          <w:kern w:val="0"/>
          <w:sz w:val="24"/>
          <w:szCs w:val="24"/>
          <w:highlight w:val="none"/>
        </w:rPr>
      </w:pPr>
      <w:bookmarkStart w:id="7" w:name="_Toc2058"/>
      <w:r>
        <w:rPr>
          <w:rFonts w:hint="eastAsia" w:ascii="宋体" w:hAnsi="宋体" w:eastAsia="宋体" w:cs="宋体"/>
          <w:b/>
          <w:color w:val="auto"/>
          <w:kern w:val="0"/>
          <w:sz w:val="24"/>
          <w:szCs w:val="24"/>
          <w:highlight w:val="none"/>
          <w:lang w:val="en-US" w:eastAsia="zh-CN"/>
        </w:rPr>
        <w:t>二、</w:t>
      </w:r>
      <w:r>
        <w:rPr>
          <w:rFonts w:hint="eastAsia" w:ascii="宋体" w:hAnsi="宋体" w:eastAsia="宋体" w:cs="宋体"/>
          <w:b/>
          <w:color w:val="auto"/>
          <w:kern w:val="0"/>
          <w:sz w:val="24"/>
          <w:szCs w:val="24"/>
          <w:highlight w:val="none"/>
        </w:rPr>
        <w:t>申请人的资格要求：</w:t>
      </w:r>
      <w:bookmarkEnd w:id="5"/>
      <w:bookmarkEnd w:id="6"/>
      <w:bookmarkEnd w:id="7"/>
    </w:p>
    <w:p w14:paraId="676E8153">
      <w:pPr>
        <w:widowControl/>
        <w:numPr>
          <w:ilvl w:val="0"/>
          <w:numId w:val="0"/>
        </w:numPr>
        <w:spacing w:line="440" w:lineRule="exact"/>
        <w:ind w:firstLine="480" w:firstLineChars="200"/>
        <w:jc w:val="both"/>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1. 满足《中华人民共和国政府采购法》第二十二条规定；</w:t>
      </w:r>
    </w:p>
    <w:p w14:paraId="214604F0">
      <w:pPr>
        <w:widowControl/>
        <w:spacing w:line="440" w:lineRule="exact"/>
        <w:ind w:firstLine="480" w:firstLineChars="200"/>
        <w:jc w:val="left"/>
        <w:rPr>
          <w:rFonts w:hint="default" w:ascii="宋体" w:hAnsi="宋体" w:eastAsia="宋体" w:cs="Calibri"/>
          <w:b w:val="0"/>
          <w:bCs w:val="0"/>
          <w:color w:val="auto"/>
          <w:kern w:val="0"/>
          <w:sz w:val="24"/>
          <w:szCs w:val="24"/>
          <w:highlight w:val="none"/>
          <w:lang w:val="en-US" w:eastAsia="zh-CN" w:bidi="ar-SA"/>
        </w:rPr>
      </w:pPr>
      <w:r>
        <w:rPr>
          <w:rFonts w:hint="eastAsia" w:ascii="宋体" w:hAnsi="宋体" w:eastAsia="宋体" w:cs="Calibri"/>
          <w:b w:val="0"/>
          <w:bCs w:val="0"/>
          <w:color w:val="auto"/>
          <w:kern w:val="0"/>
          <w:sz w:val="24"/>
          <w:szCs w:val="24"/>
          <w:highlight w:val="none"/>
          <w:lang w:val="en-US" w:eastAsia="zh-CN" w:bidi="ar-SA"/>
        </w:rPr>
        <w:t>2. 落实政府采购政策需满足的资格要求：供应商为小微企业</w:t>
      </w:r>
    </w:p>
    <w:p w14:paraId="0C46DB42">
      <w:pPr>
        <w:widowControl/>
        <w:spacing w:line="440" w:lineRule="exact"/>
        <w:ind w:firstLine="480" w:firstLineChars="200"/>
        <w:jc w:val="both"/>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3. 本项目的特定资格要求：</w:t>
      </w:r>
    </w:p>
    <w:p w14:paraId="505FD2A1">
      <w:pPr>
        <w:widowControl/>
        <w:spacing w:line="440" w:lineRule="exact"/>
        <w:ind w:firstLine="480" w:firstLineChars="200"/>
        <w:jc w:val="both"/>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3.1 根据《关于在政府采购活动中查询及使用信用记录有关问题的通知》(财库[2016]125号)的规定，对被列入“失信被执行人”、“重大税收违法失信主体”、“政府采购严重违法失信行为记录名单”的供应商，拒绝参与本项目政府采购活动【查询渠道：“信用中国”网站（www.creditchina.gov.cn）、“中国政府采购网”（www.ccgp.gov.cn）】；（需注明具体查询时间，不得早于招标公告发布日期）提供查询截图。</w:t>
      </w:r>
    </w:p>
    <w:p w14:paraId="47920242">
      <w:pPr>
        <w:widowControl/>
        <w:spacing w:line="440" w:lineRule="exact"/>
        <w:ind w:firstLine="480" w:firstLineChars="200"/>
        <w:jc w:val="both"/>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3.2 供应商不得存在下列情形之一：</w:t>
      </w:r>
    </w:p>
    <w:p w14:paraId="110D0BFB">
      <w:pPr>
        <w:widowControl/>
        <w:spacing w:line="440" w:lineRule="exact"/>
        <w:ind w:firstLine="480" w:firstLineChars="200"/>
        <w:jc w:val="both"/>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3.2.1 单位负责人为同一人或者存在直接控股、管理关系的不同供应离，不得参加同一合同项下的政府采购活动。</w:t>
      </w:r>
    </w:p>
    <w:p w14:paraId="3219EC7B">
      <w:pPr>
        <w:widowControl/>
        <w:spacing w:line="440" w:lineRule="exact"/>
        <w:ind w:firstLine="480" w:firstLineChars="200"/>
        <w:jc w:val="both"/>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3.2.2 除单一来源采购项目外，为采购项目提供整体设计、规范编制或者项目管理、监理、检测等服务的供应商，不得再参加该采购项目的其他采购活动。</w:t>
      </w:r>
    </w:p>
    <w:p w14:paraId="1B04B4DB">
      <w:pPr>
        <w:widowControl/>
        <w:spacing w:line="440" w:lineRule="exact"/>
        <w:ind w:firstLine="480" w:firstLineChars="200"/>
        <w:jc w:val="both"/>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3.3本项目专门面向小微企业采购，大中型企业不允许参加此项目投标。供应商应根据工信部等部委发布的《关于印发中小企业划型标准规定的通知》（工信部联企业〔2011〕300号），自行确认企业类型。本次采购项目所属行业为“第十六项 其他未列明行业”，符合要求的供应商须提供《中小企业声明函》。监狱企业、残疾人福利性单位，视同为小型和微型企业，须提供《声明函》。</w:t>
      </w:r>
    </w:p>
    <w:p w14:paraId="14180EEF">
      <w:pPr>
        <w:widowControl/>
        <w:spacing w:line="440" w:lineRule="exact"/>
        <w:ind w:firstLine="480" w:firstLineChars="200"/>
        <w:jc w:val="both"/>
        <w:rPr>
          <w:rFonts w:ascii="宋体" w:hAnsi="宋体" w:eastAsia="宋体" w:cs="宋体"/>
          <w:color w:val="auto"/>
          <w:kern w:val="0"/>
          <w:sz w:val="24"/>
          <w:szCs w:val="24"/>
          <w:highlight w:val="none"/>
        </w:rPr>
      </w:pPr>
      <w:r>
        <w:rPr>
          <w:rFonts w:hint="eastAsia" w:ascii="宋体" w:hAnsi="宋体" w:eastAsia="宋体" w:cs="宋体"/>
          <w:b w:val="0"/>
          <w:color w:val="auto"/>
          <w:kern w:val="0"/>
          <w:sz w:val="24"/>
          <w:szCs w:val="24"/>
          <w:highlight w:val="none"/>
          <w:shd w:val="clear" w:color="auto" w:fill="auto"/>
          <w:lang w:val="en-US" w:eastAsia="zh-CN" w:bidi="ar-SA"/>
        </w:rPr>
        <w:t>4.本项目不接受联合体投标。</w:t>
      </w:r>
    </w:p>
    <w:p w14:paraId="24BE9140">
      <w:pPr>
        <w:widowControl/>
        <w:spacing w:line="440" w:lineRule="exact"/>
        <w:ind w:firstLine="482" w:firstLineChars="200"/>
        <w:jc w:val="left"/>
        <w:outlineLvl w:val="1"/>
        <w:rPr>
          <w:rFonts w:ascii="宋体" w:hAnsi="宋体" w:eastAsia="宋体" w:cs="宋体"/>
          <w:b/>
          <w:color w:val="auto"/>
          <w:kern w:val="0"/>
          <w:sz w:val="24"/>
          <w:szCs w:val="24"/>
          <w:highlight w:val="none"/>
        </w:rPr>
      </w:pPr>
      <w:bookmarkStart w:id="8" w:name="_Toc8842"/>
      <w:bookmarkStart w:id="9" w:name="_Toc13731"/>
      <w:bookmarkStart w:id="10" w:name="_Toc4560"/>
      <w:r>
        <w:rPr>
          <w:rFonts w:hint="eastAsia" w:ascii="宋体" w:hAnsi="宋体" w:eastAsia="宋体" w:cs="宋体"/>
          <w:b/>
          <w:color w:val="auto"/>
          <w:kern w:val="0"/>
          <w:sz w:val="24"/>
          <w:szCs w:val="24"/>
          <w:highlight w:val="none"/>
        </w:rPr>
        <w:t>三、获取</w:t>
      </w:r>
      <w:bookmarkEnd w:id="8"/>
      <w:bookmarkEnd w:id="9"/>
      <w:r>
        <w:rPr>
          <w:rFonts w:hint="eastAsia" w:ascii="宋体" w:hAnsi="宋体" w:eastAsia="宋体" w:cs="宋体"/>
          <w:b/>
          <w:color w:val="auto"/>
          <w:kern w:val="0"/>
          <w:sz w:val="24"/>
          <w:szCs w:val="24"/>
          <w:highlight w:val="none"/>
          <w:lang w:val="en-US" w:eastAsia="zh-CN"/>
        </w:rPr>
        <w:t>磋商</w:t>
      </w:r>
      <w:r>
        <w:rPr>
          <w:rFonts w:hint="eastAsia" w:ascii="宋体" w:hAnsi="宋体" w:eastAsia="宋体" w:cs="宋体"/>
          <w:b/>
          <w:color w:val="auto"/>
          <w:kern w:val="0"/>
          <w:sz w:val="24"/>
          <w:szCs w:val="24"/>
          <w:highlight w:val="none"/>
        </w:rPr>
        <w:t>文件</w:t>
      </w:r>
      <w:bookmarkEnd w:id="10"/>
    </w:p>
    <w:p w14:paraId="09860F7B">
      <w:pPr>
        <w:widowControl/>
        <w:spacing w:line="440" w:lineRule="exact"/>
        <w:ind w:firstLine="480" w:firstLineChars="200"/>
        <w:jc w:val="left"/>
        <w:rPr>
          <w:rFonts w:hint="eastAsia" w:ascii="宋体" w:hAnsi="宋体" w:eastAsia="Times New Roman" w:cs="Times New Roman"/>
          <w:b w:val="0"/>
          <w:bCs/>
          <w:color w:val="auto"/>
          <w:sz w:val="24"/>
          <w:szCs w:val="24"/>
          <w:highlight w:val="none"/>
          <w:lang w:val="en-US" w:eastAsia="zh-CN" w:bidi="ar-SA"/>
        </w:rPr>
      </w:pPr>
      <w:bookmarkStart w:id="11" w:name="_Toc32194"/>
      <w:bookmarkStart w:id="12" w:name="_Toc13442"/>
      <w:r>
        <w:rPr>
          <w:rFonts w:hint="eastAsia" w:ascii="宋体" w:hAnsi="宋体" w:eastAsia="宋体" w:cs="宋体"/>
          <w:color w:val="auto"/>
          <w:sz w:val="24"/>
          <w:highlight w:val="none"/>
        </w:rPr>
        <w:t>1.时间：20</w:t>
      </w: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06</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日至20</w:t>
      </w: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07</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04</w:t>
      </w:r>
      <w:r>
        <w:rPr>
          <w:rFonts w:hint="eastAsia" w:ascii="宋体" w:hAnsi="宋体" w:eastAsia="宋体" w:cs="宋体"/>
          <w:color w:val="auto"/>
          <w:sz w:val="24"/>
          <w:highlight w:val="none"/>
        </w:rPr>
        <w:t>日，</w:t>
      </w:r>
      <w:r>
        <w:rPr>
          <w:rFonts w:hint="eastAsia" w:ascii="宋体" w:hAnsi="宋体" w:eastAsia="Times New Roman" w:cs="Times New Roman"/>
          <w:b w:val="0"/>
          <w:bCs/>
          <w:color w:val="auto"/>
          <w:sz w:val="24"/>
          <w:szCs w:val="24"/>
          <w:highlight w:val="none"/>
          <w:lang w:val="en-US" w:eastAsia="zh-CN" w:bidi="ar-SA"/>
        </w:rPr>
        <w:t>每天上午00:00至14:00，下午14:00至23:59（北京时间，法定节假日除外）。</w:t>
      </w:r>
    </w:p>
    <w:p w14:paraId="0A3F37CC">
      <w:pPr>
        <w:spacing w:line="480" w:lineRule="exact"/>
        <w:ind w:firstLine="480"/>
        <w:rPr>
          <w:rFonts w:hint="eastAsia" w:ascii="宋体" w:hAnsi="宋体" w:eastAsia="宋体" w:cs="宋体"/>
          <w:color w:val="auto"/>
          <w:spacing w:val="-6"/>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方式</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线</w:t>
      </w:r>
      <w:r>
        <w:rPr>
          <w:rFonts w:hint="eastAsia" w:ascii="宋体" w:hAnsi="宋体" w:eastAsia="宋体" w:cs="宋体"/>
          <w:color w:val="auto"/>
          <w:sz w:val="24"/>
          <w:highlight w:val="none"/>
        </w:rPr>
        <w:t>上获取</w:t>
      </w:r>
      <w:r>
        <w:rPr>
          <w:rFonts w:hint="eastAsia" w:ascii="宋体" w:hAnsi="宋体" w:eastAsia="宋体" w:cs="宋体"/>
          <w:color w:val="auto"/>
          <w:sz w:val="24"/>
          <w:highlight w:val="none"/>
          <w:lang w:eastAsia="zh-CN"/>
        </w:rPr>
        <w:t>。</w:t>
      </w:r>
    </w:p>
    <w:p w14:paraId="3CD8855C">
      <w:pPr>
        <w:widowControl/>
        <w:spacing w:line="440" w:lineRule="exact"/>
        <w:ind w:firstLine="480" w:firstLineChars="200"/>
        <w:jc w:val="left"/>
        <w:rPr>
          <w:rFonts w:hint="eastAsia" w:ascii="宋体" w:hAnsi="宋体" w:eastAsia="Times New Roman" w:cs="Times New Roman"/>
          <w:b w:val="0"/>
          <w:bCs/>
          <w:color w:val="auto"/>
          <w:sz w:val="24"/>
          <w:szCs w:val="24"/>
          <w:highlight w:val="none"/>
          <w:lang w:val="en-US" w:eastAsia="zh-CN" w:bidi="ar-SA"/>
        </w:rPr>
      </w:pPr>
      <w:r>
        <w:rPr>
          <w:rFonts w:hint="eastAsia" w:ascii="宋体" w:hAnsi="宋体" w:eastAsia="宋体" w:cs="宋体"/>
          <w:color w:val="auto"/>
          <w:sz w:val="24"/>
          <w:highlight w:val="none"/>
        </w:rPr>
        <w:t>3.</w:t>
      </w:r>
      <w:r>
        <w:rPr>
          <w:rFonts w:hint="eastAsia" w:ascii="宋体" w:hAnsi="宋体" w:eastAsia="Times New Roman" w:cs="Times New Roman"/>
          <w:b w:val="0"/>
          <w:bCs/>
          <w:color w:val="auto"/>
          <w:sz w:val="24"/>
          <w:szCs w:val="24"/>
          <w:highlight w:val="none"/>
          <w:lang w:val="en-US" w:eastAsia="zh-CN" w:bidi="ar-SA"/>
        </w:rPr>
        <w:t>地点：供应商登录政采云平台(https://www.zcygov.cn/)在线申请获取采购文件（进入“项目采购”应用，在获取采购文件菜单中选择项目，申请获取采购文件）</w:t>
      </w:r>
    </w:p>
    <w:p w14:paraId="5DEB8B5B">
      <w:pPr>
        <w:widowControl/>
        <w:spacing w:line="440" w:lineRule="exact"/>
        <w:ind w:firstLine="480" w:firstLineChars="200"/>
        <w:jc w:val="left"/>
        <w:rPr>
          <w:rFonts w:hint="eastAsia" w:ascii="宋体" w:hAnsi="宋体" w:eastAsia="Times New Roman" w:cs="Times New Roman"/>
          <w:b w:val="0"/>
          <w:bCs/>
          <w:color w:val="auto"/>
          <w:sz w:val="24"/>
          <w:szCs w:val="24"/>
          <w:highlight w:val="none"/>
          <w:lang w:val="en-US" w:eastAsia="zh-CN" w:bidi="ar-SA"/>
        </w:rPr>
      </w:pPr>
      <w:r>
        <w:rPr>
          <w:rFonts w:hint="eastAsia" w:ascii="宋体" w:hAnsi="宋体" w:eastAsia="Times New Roman" w:cs="Times New Roman"/>
          <w:b w:val="0"/>
          <w:bCs/>
          <w:color w:val="auto"/>
          <w:sz w:val="24"/>
          <w:szCs w:val="24"/>
          <w:highlight w:val="none"/>
          <w:lang w:val="en-US" w:eastAsia="zh-CN" w:bidi="ar-SA"/>
        </w:rPr>
        <w:t>4.磋商文件售价（元）：0</w:t>
      </w:r>
    </w:p>
    <w:p w14:paraId="3762050F">
      <w:pPr>
        <w:widowControl/>
        <w:spacing w:line="440" w:lineRule="exact"/>
        <w:ind w:firstLine="482" w:firstLineChars="200"/>
        <w:jc w:val="left"/>
        <w:outlineLvl w:val="1"/>
        <w:rPr>
          <w:rFonts w:ascii="宋体" w:hAnsi="宋体" w:eastAsia="宋体" w:cs="宋体"/>
          <w:b/>
          <w:color w:val="auto"/>
          <w:kern w:val="0"/>
          <w:sz w:val="24"/>
          <w:szCs w:val="24"/>
          <w:highlight w:val="none"/>
        </w:rPr>
      </w:pPr>
      <w:bookmarkStart w:id="13" w:name="_Toc9560"/>
      <w:r>
        <w:rPr>
          <w:rFonts w:hint="eastAsia" w:ascii="宋体" w:hAnsi="宋体" w:eastAsia="宋体" w:cs="宋体"/>
          <w:b/>
          <w:color w:val="auto"/>
          <w:kern w:val="0"/>
          <w:sz w:val="24"/>
          <w:szCs w:val="24"/>
          <w:highlight w:val="none"/>
        </w:rPr>
        <w:t>四、提交响应文件截止时间、开标/磋商时间和地点</w:t>
      </w:r>
      <w:bookmarkEnd w:id="11"/>
      <w:bookmarkEnd w:id="12"/>
      <w:bookmarkEnd w:id="13"/>
    </w:p>
    <w:p w14:paraId="4D4E041D">
      <w:pPr>
        <w:widowControl/>
        <w:spacing w:line="480" w:lineRule="exact"/>
        <w:ind w:firstLine="480" w:firstLineChars="200"/>
        <w:jc w:val="left"/>
        <w:rPr>
          <w:rFonts w:ascii="宋体" w:hAnsi="宋体" w:eastAsia="宋体" w:cs="宋体"/>
          <w:color w:val="auto"/>
          <w:kern w:val="0"/>
          <w:sz w:val="24"/>
          <w:highlight w:val="none"/>
        </w:rPr>
      </w:pPr>
      <w:bookmarkStart w:id="14" w:name="_Toc15169"/>
      <w:bookmarkStart w:id="15" w:name="_Toc24699"/>
      <w:r>
        <w:rPr>
          <w:rFonts w:hint="eastAsia" w:ascii="宋体" w:hAnsi="宋体" w:eastAsia="宋体" w:cs="宋体"/>
          <w:color w:val="auto"/>
          <w:kern w:val="0"/>
          <w:sz w:val="24"/>
          <w:highlight w:val="none"/>
        </w:rPr>
        <w:t>提交</w:t>
      </w:r>
      <w:r>
        <w:rPr>
          <w:rFonts w:hint="eastAsia" w:ascii="宋体" w:hAnsi="宋体" w:eastAsia="宋体" w:cs="宋体"/>
          <w:color w:val="auto"/>
          <w:kern w:val="0"/>
          <w:sz w:val="24"/>
          <w:highlight w:val="none"/>
          <w:lang w:val="en-US" w:eastAsia="zh-CN"/>
        </w:rPr>
        <w:t>响应</w:t>
      </w:r>
      <w:r>
        <w:rPr>
          <w:rFonts w:hint="eastAsia" w:ascii="宋体" w:hAnsi="宋体" w:eastAsia="宋体" w:cs="宋体"/>
          <w:color w:val="auto"/>
          <w:kern w:val="0"/>
          <w:sz w:val="24"/>
          <w:highlight w:val="none"/>
        </w:rPr>
        <w:t>文件截止时间：20</w:t>
      </w:r>
      <w:r>
        <w:rPr>
          <w:rFonts w:hint="eastAsia" w:ascii="宋体" w:hAnsi="宋体" w:eastAsia="宋体" w:cs="宋体"/>
          <w:color w:val="auto"/>
          <w:kern w:val="0"/>
          <w:sz w:val="24"/>
          <w:highlight w:val="none"/>
          <w:lang w:val="en-US" w:eastAsia="zh-CN"/>
        </w:rPr>
        <w:t>25</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lang w:val="en-US" w:eastAsia="zh-CN"/>
        </w:rPr>
        <w:t>07</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lang w:val="en-US" w:eastAsia="zh-CN"/>
        </w:rPr>
        <w:t>08</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rPr>
        <w:t>:00时（北京时间）</w:t>
      </w:r>
    </w:p>
    <w:p w14:paraId="30C1DDD8">
      <w:pPr>
        <w:widowControl/>
        <w:spacing w:line="440" w:lineRule="exact"/>
        <w:ind w:firstLine="480" w:firstLineChars="200"/>
        <w:jc w:val="both"/>
        <w:rPr>
          <w:rFonts w:hint="eastAsia" w:ascii="宋体" w:hAnsi="宋体" w:eastAsia="Times New Roman" w:cs="Times New Roman"/>
          <w:b w:val="0"/>
          <w:bCs/>
          <w:color w:val="auto"/>
          <w:sz w:val="24"/>
          <w:szCs w:val="24"/>
          <w:highlight w:val="none"/>
          <w:lang w:val="en-US" w:eastAsia="zh-CN" w:bidi="ar-SA"/>
        </w:rPr>
      </w:pPr>
      <w:r>
        <w:rPr>
          <w:rFonts w:hint="eastAsia" w:ascii="宋体" w:hAnsi="宋体" w:eastAsia="宋体" w:cs="宋体"/>
          <w:color w:val="auto"/>
          <w:kern w:val="0"/>
          <w:sz w:val="24"/>
          <w:highlight w:val="none"/>
          <w:lang w:val="en-US" w:eastAsia="zh-CN"/>
        </w:rPr>
        <w:t>响应文件递交</w:t>
      </w:r>
      <w:r>
        <w:rPr>
          <w:rFonts w:hint="eastAsia" w:ascii="宋体" w:hAnsi="宋体" w:eastAsia="宋体" w:cs="宋体"/>
          <w:color w:val="auto"/>
          <w:kern w:val="0"/>
          <w:sz w:val="24"/>
          <w:highlight w:val="none"/>
        </w:rPr>
        <w:t>地点：</w:t>
      </w:r>
      <w:r>
        <w:rPr>
          <w:rFonts w:hint="eastAsia" w:ascii="宋体" w:hAnsi="宋体" w:eastAsia="Times New Roman" w:cs="Times New Roman"/>
          <w:b w:val="0"/>
          <w:bCs/>
          <w:color w:val="auto"/>
          <w:sz w:val="24"/>
          <w:szCs w:val="24"/>
          <w:highlight w:val="none"/>
          <w:lang w:val="en-US" w:eastAsia="zh-CN" w:bidi="ar-SA"/>
        </w:rPr>
        <w:t>线上递交，供应商通过登录“政采云平台(https://www.zcygov.cn/)”，在投标截止时间前将加密电子响应文件通过 CA 上传到对应项目的指定位置。</w:t>
      </w:r>
    </w:p>
    <w:p w14:paraId="53F309CD">
      <w:pPr>
        <w:widowControl/>
        <w:spacing w:line="480" w:lineRule="exact"/>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时间：20</w:t>
      </w:r>
      <w:r>
        <w:rPr>
          <w:rFonts w:hint="eastAsia" w:ascii="宋体" w:hAnsi="宋体" w:eastAsia="宋体" w:cs="宋体"/>
          <w:color w:val="auto"/>
          <w:kern w:val="0"/>
          <w:sz w:val="24"/>
          <w:highlight w:val="none"/>
          <w:lang w:val="en-US" w:eastAsia="zh-CN"/>
        </w:rPr>
        <w:t>25</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lang w:val="en-US" w:eastAsia="zh-CN"/>
        </w:rPr>
        <w:t>07</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lang w:val="en-US" w:eastAsia="zh-CN"/>
        </w:rPr>
        <w:t>08</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rPr>
        <w:t>:00时（北京时间）</w:t>
      </w:r>
    </w:p>
    <w:p w14:paraId="6FC251DD">
      <w:pPr>
        <w:widowControl/>
        <w:spacing w:line="480" w:lineRule="exact"/>
        <w:ind w:firstLine="480" w:firstLineChars="200"/>
        <w:jc w:val="left"/>
        <w:rPr>
          <w:rFonts w:ascii="宋体" w:hAnsi="宋体" w:eastAsia="宋体" w:cs="宋体"/>
          <w:b/>
          <w:color w:val="auto"/>
          <w:kern w:val="0"/>
          <w:sz w:val="24"/>
          <w:highlight w:val="none"/>
        </w:rPr>
      </w:pP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地点：</w:t>
      </w:r>
      <w:r>
        <w:rPr>
          <w:rFonts w:hint="eastAsia" w:ascii="宋体" w:hAnsi="宋体" w:eastAsia="Times New Roman" w:cs="Times New Roman"/>
          <w:b w:val="0"/>
          <w:bCs/>
          <w:color w:val="auto"/>
          <w:sz w:val="24"/>
          <w:szCs w:val="24"/>
          <w:highlight w:val="none"/>
          <w:lang w:val="en-US" w:eastAsia="zh-CN" w:bidi="ar-SA"/>
        </w:rPr>
        <w:t>政采云平台(https://www.zcygov.cn/)不见面开标大厅</w:t>
      </w:r>
    </w:p>
    <w:p w14:paraId="1A11034E">
      <w:pPr>
        <w:widowControl/>
        <w:spacing w:line="440" w:lineRule="exact"/>
        <w:ind w:firstLine="482" w:firstLineChars="200"/>
        <w:jc w:val="left"/>
        <w:outlineLvl w:val="1"/>
        <w:rPr>
          <w:rFonts w:ascii="宋体" w:hAnsi="宋体" w:eastAsia="宋体" w:cs="宋体"/>
          <w:b/>
          <w:color w:val="auto"/>
          <w:kern w:val="0"/>
          <w:sz w:val="24"/>
          <w:szCs w:val="24"/>
          <w:highlight w:val="none"/>
        </w:rPr>
      </w:pPr>
      <w:bookmarkStart w:id="16" w:name="_Toc14893"/>
      <w:r>
        <w:rPr>
          <w:rFonts w:hint="eastAsia" w:ascii="宋体" w:hAnsi="宋体" w:eastAsia="宋体" w:cs="宋体"/>
          <w:b/>
          <w:color w:val="auto"/>
          <w:kern w:val="0"/>
          <w:sz w:val="24"/>
          <w:szCs w:val="24"/>
          <w:highlight w:val="none"/>
        </w:rPr>
        <w:t>五、公告期限</w:t>
      </w:r>
      <w:bookmarkEnd w:id="14"/>
      <w:bookmarkEnd w:id="15"/>
      <w:bookmarkEnd w:id="16"/>
    </w:p>
    <w:p w14:paraId="0B1D4DEB">
      <w:pPr>
        <w:widowControl/>
        <w:spacing w:line="44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个工作日。</w:t>
      </w:r>
    </w:p>
    <w:p w14:paraId="05252A34">
      <w:pPr>
        <w:widowControl/>
        <w:spacing w:line="440" w:lineRule="exact"/>
        <w:ind w:firstLine="482" w:firstLineChars="200"/>
        <w:jc w:val="left"/>
        <w:outlineLvl w:val="1"/>
        <w:rPr>
          <w:rFonts w:ascii="宋体" w:hAnsi="宋体" w:eastAsia="宋体" w:cs="宋体"/>
          <w:b/>
          <w:color w:val="auto"/>
          <w:kern w:val="0"/>
          <w:sz w:val="24"/>
          <w:szCs w:val="24"/>
          <w:highlight w:val="none"/>
        </w:rPr>
      </w:pPr>
      <w:bookmarkStart w:id="17" w:name="_Toc7972"/>
      <w:bookmarkStart w:id="18" w:name="_Toc12114"/>
      <w:bookmarkStart w:id="19" w:name="_Toc6626"/>
      <w:r>
        <w:rPr>
          <w:rFonts w:hint="eastAsia" w:ascii="宋体" w:hAnsi="宋体" w:eastAsia="宋体" w:cs="宋体"/>
          <w:b/>
          <w:color w:val="auto"/>
          <w:kern w:val="0"/>
          <w:sz w:val="24"/>
          <w:szCs w:val="24"/>
          <w:highlight w:val="none"/>
        </w:rPr>
        <w:t>六、其他补充事宜</w:t>
      </w:r>
      <w:bookmarkEnd w:id="17"/>
      <w:bookmarkEnd w:id="18"/>
      <w:bookmarkEnd w:id="19"/>
    </w:p>
    <w:p w14:paraId="2BA92E90">
      <w:pPr>
        <w:widowControl/>
        <w:spacing w:line="440" w:lineRule="exact"/>
        <w:ind w:firstLine="480" w:firstLineChars="200"/>
        <w:jc w:val="left"/>
        <w:rPr>
          <w:rFonts w:hint="eastAsia" w:ascii="宋体" w:hAnsi="宋体" w:eastAsia="Times New Roman" w:cs="Times New Roman"/>
          <w:b w:val="0"/>
          <w:bCs/>
          <w:color w:val="auto"/>
          <w:sz w:val="24"/>
          <w:szCs w:val="24"/>
          <w:highlight w:val="none"/>
          <w:lang w:val="en-US" w:eastAsia="zh-CN" w:bidi="ar-SA"/>
        </w:rPr>
      </w:pPr>
      <w:bookmarkStart w:id="20" w:name="_Toc17548"/>
      <w:bookmarkStart w:id="21" w:name="_Toc19691"/>
      <w:r>
        <w:rPr>
          <w:rFonts w:hint="eastAsia" w:ascii="宋体" w:hAnsi="宋体" w:eastAsia="Times New Roman" w:cs="Times New Roman"/>
          <w:b w:val="0"/>
          <w:bCs/>
          <w:color w:val="auto"/>
          <w:sz w:val="24"/>
          <w:szCs w:val="24"/>
          <w:highlight w:val="none"/>
          <w:lang w:val="en-US" w:eastAsia="zh-CN" w:bidi="ar-SA"/>
        </w:rPr>
        <w:t>1、本项目实行网上投标，采用电子投标文件。</w:t>
      </w:r>
    </w:p>
    <w:p w14:paraId="58DC1928">
      <w:pPr>
        <w:widowControl/>
        <w:spacing w:line="440" w:lineRule="exact"/>
        <w:ind w:firstLine="480" w:firstLineChars="200"/>
        <w:jc w:val="left"/>
        <w:rPr>
          <w:rFonts w:hint="eastAsia" w:ascii="宋体" w:hAnsi="宋体" w:eastAsia="Times New Roman" w:cs="Times New Roman"/>
          <w:b w:val="0"/>
          <w:bCs/>
          <w:color w:val="auto"/>
          <w:sz w:val="24"/>
          <w:szCs w:val="24"/>
          <w:highlight w:val="none"/>
          <w:lang w:val="en-US" w:eastAsia="zh-CN" w:bidi="ar-SA"/>
        </w:rPr>
      </w:pPr>
      <w:r>
        <w:rPr>
          <w:rFonts w:hint="eastAsia" w:ascii="宋体" w:hAnsi="宋体" w:eastAsia="Times New Roman" w:cs="Times New Roman"/>
          <w:b w:val="0"/>
          <w:bCs/>
          <w:color w:val="auto"/>
          <w:sz w:val="24"/>
          <w:szCs w:val="24"/>
          <w:highlight w:val="none"/>
          <w:lang w:val="en-US" w:eastAsia="zh-CN" w:bidi="ar-SA"/>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10CABCB1">
      <w:pPr>
        <w:widowControl/>
        <w:spacing w:line="440" w:lineRule="exact"/>
        <w:ind w:firstLine="480" w:firstLineChars="200"/>
        <w:jc w:val="left"/>
        <w:rPr>
          <w:rFonts w:hint="eastAsia" w:ascii="宋体" w:hAnsi="宋体" w:eastAsia="Times New Roman" w:cs="Times New Roman"/>
          <w:b w:val="0"/>
          <w:bCs/>
          <w:color w:val="auto"/>
          <w:sz w:val="24"/>
          <w:szCs w:val="24"/>
          <w:highlight w:val="none"/>
          <w:lang w:val="en-US" w:eastAsia="zh-CN" w:bidi="ar-SA"/>
        </w:rPr>
      </w:pPr>
      <w:r>
        <w:rPr>
          <w:rFonts w:hint="eastAsia" w:ascii="宋体" w:hAnsi="宋体" w:eastAsia="Times New Roman" w:cs="Times New Roman"/>
          <w:b w:val="0"/>
          <w:bCs/>
          <w:color w:val="auto"/>
          <w:sz w:val="24"/>
          <w:szCs w:val="24"/>
          <w:highlight w:val="none"/>
          <w:lang w:val="en-US" w:eastAsia="zh-CN" w:bidi="ar-SA"/>
        </w:rPr>
        <w:t>3、供应商将政采云电子交易客户端下载、安装完成后，可通过账号密码或CA登录客户端进行投标文件的制作。在使用政采云投标客户端时，建议使用WIN7及以上操作系统。</w:t>
      </w:r>
    </w:p>
    <w:p w14:paraId="52DAF038">
      <w:pPr>
        <w:widowControl/>
        <w:spacing w:line="440" w:lineRule="exact"/>
        <w:ind w:firstLine="482" w:firstLineChars="200"/>
        <w:jc w:val="left"/>
        <w:outlineLvl w:val="1"/>
        <w:rPr>
          <w:rFonts w:ascii="宋体" w:hAnsi="宋体" w:eastAsia="宋体" w:cs="宋体"/>
          <w:b/>
          <w:color w:val="auto"/>
          <w:kern w:val="0"/>
          <w:sz w:val="24"/>
          <w:szCs w:val="24"/>
          <w:highlight w:val="none"/>
        </w:rPr>
      </w:pPr>
      <w:bookmarkStart w:id="22" w:name="_Toc26987"/>
      <w:r>
        <w:rPr>
          <w:rFonts w:hint="eastAsia" w:ascii="宋体" w:hAnsi="宋体" w:eastAsia="宋体" w:cs="宋体"/>
          <w:b/>
          <w:color w:val="auto"/>
          <w:kern w:val="0"/>
          <w:sz w:val="24"/>
          <w:szCs w:val="24"/>
          <w:highlight w:val="none"/>
        </w:rPr>
        <w:t>七、对本次采购提出询问，请按以下方式联系</w:t>
      </w:r>
      <w:bookmarkEnd w:id="20"/>
      <w:bookmarkEnd w:id="21"/>
      <w:bookmarkEnd w:id="22"/>
    </w:p>
    <w:p w14:paraId="31813F4F">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bookmarkStart w:id="23" w:name="_Toc19009"/>
      <w:bookmarkStart w:id="24" w:name="_Toc4404"/>
      <w:bookmarkStart w:id="25" w:name="_Toc29903"/>
      <w:r>
        <w:rPr>
          <w:rFonts w:hint="eastAsia" w:ascii="宋体" w:hAnsi="宋体" w:eastAsia="宋体" w:cs="宋体"/>
          <w:color w:val="auto"/>
          <w:kern w:val="0"/>
          <w:sz w:val="24"/>
          <w:szCs w:val="24"/>
          <w:highlight w:val="none"/>
          <w:lang w:val="en-US" w:eastAsia="zh-CN"/>
        </w:rPr>
        <w:t>1.采购人信息</w:t>
      </w:r>
      <w:bookmarkEnd w:id="23"/>
      <w:bookmarkEnd w:id="24"/>
      <w:bookmarkEnd w:id="25"/>
    </w:p>
    <w:p w14:paraId="5AB14CC7">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名 称：乌鲁木齐市达坂城区财政局</w:t>
      </w:r>
    </w:p>
    <w:p w14:paraId="405EFBD6">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地 址：新疆乌鲁木齐市达坂城区达坂城镇洛宾路东五巷</w:t>
      </w:r>
    </w:p>
    <w:p w14:paraId="28D414C7">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项目联系人：马萍</w:t>
      </w:r>
    </w:p>
    <w:p w14:paraId="7E507E23">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项目联系方式：13199899791</w:t>
      </w:r>
    </w:p>
    <w:p w14:paraId="70939515">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2.采购代理机构信息</w:t>
      </w:r>
    </w:p>
    <w:p w14:paraId="35125AF3">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名 称：新疆恒达壹品项目管理咨询有限公司</w:t>
      </w:r>
    </w:p>
    <w:p w14:paraId="69545CD9">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地 址：新疆乌鲁木齐市水磨沟区红光山路888号绿城广场商业综合楼1B座2204</w:t>
      </w:r>
    </w:p>
    <w:p w14:paraId="523B0B45">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项目联系人：陈涛、汪玉杰、马燕</w:t>
      </w:r>
    </w:p>
    <w:p w14:paraId="54426C39">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项目联系方式：0991—4825717、13999256359</w:t>
      </w:r>
    </w:p>
    <w:p w14:paraId="06BC1B9F">
      <w:pPr>
        <w:pStyle w:val="4"/>
        <w:numPr>
          <w:ilvl w:val="0"/>
          <w:numId w:val="2"/>
        </w:numPr>
        <w:jc w:val="center"/>
        <w:outlineLvl w:val="0"/>
        <w:rPr>
          <w:rStyle w:val="36"/>
          <w:rFonts w:ascii="宋体" w:hAnsi="宋体" w:eastAsia="宋体" w:cs="宋体"/>
          <w:color w:val="auto"/>
          <w:highlight w:val="none"/>
        </w:rPr>
      </w:pPr>
      <w:r>
        <w:rPr>
          <w:rFonts w:hint="eastAsia" w:ascii="宋体" w:hAnsi="宋体" w:eastAsia="宋体" w:cs="宋体"/>
          <w:color w:val="auto"/>
          <w:highlight w:val="none"/>
        </w:rPr>
        <w:br w:type="page"/>
      </w:r>
      <w:bookmarkStart w:id="26" w:name="_Toc37090958"/>
      <w:bookmarkEnd w:id="26"/>
      <w:bookmarkStart w:id="27" w:name="_Toc2979"/>
      <w:r>
        <w:rPr>
          <w:rStyle w:val="36"/>
          <w:rFonts w:hint="eastAsia" w:ascii="宋体" w:hAnsi="宋体" w:eastAsia="宋体" w:cs="宋体"/>
          <w:color w:val="auto"/>
          <w:highlight w:val="none"/>
        </w:rPr>
        <w:t>供应商须知</w:t>
      </w:r>
      <w:bookmarkEnd w:id="27"/>
    </w:p>
    <w:p w14:paraId="44306970">
      <w:pPr>
        <w:pStyle w:val="5"/>
        <w:spacing w:line="440" w:lineRule="exact"/>
        <w:jc w:val="center"/>
        <w:rPr>
          <w:rFonts w:ascii="宋体" w:hAnsi="宋体" w:eastAsia="宋体" w:cs="宋体"/>
          <w:color w:val="auto"/>
          <w:sz w:val="30"/>
          <w:szCs w:val="30"/>
          <w:highlight w:val="none"/>
        </w:rPr>
      </w:pPr>
      <w:bookmarkStart w:id="28" w:name="_Toc22248"/>
      <w:bookmarkStart w:id="29" w:name="_Toc10606"/>
      <w:bookmarkStart w:id="30" w:name="_Toc16991"/>
      <w:r>
        <w:rPr>
          <w:rFonts w:hint="eastAsia" w:ascii="宋体" w:hAnsi="宋体" w:eastAsia="宋体" w:cs="宋体"/>
          <w:color w:val="auto"/>
          <w:sz w:val="30"/>
          <w:szCs w:val="30"/>
          <w:highlight w:val="none"/>
        </w:rPr>
        <w:t>一、供应商须知前附表</w:t>
      </w:r>
      <w:bookmarkEnd w:id="28"/>
      <w:bookmarkEnd w:id="29"/>
      <w:bookmarkEnd w:id="30"/>
    </w:p>
    <w:p w14:paraId="78AF861E">
      <w:pPr>
        <w:rPr>
          <w:color w:val="auto"/>
          <w:highlight w:val="none"/>
        </w:rPr>
      </w:pPr>
    </w:p>
    <w:tbl>
      <w:tblPr>
        <w:tblStyle w:val="27"/>
        <w:tblW w:w="988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30"/>
        <w:gridCol w:w="7243"/>
      </w:tblGrid>
      <w:tr w14:paraId="442CBC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12" w:space="0"/>
              <w:left w:val="single" w:color="auto" w:sz="12" w:space="0"/>
              <w:bottom w:val="single" w:color="auto" w:sz="4" w:space="0"/>
              <w:right w:val="single" w:color="auto" w:sz="4" w:space="0"/>
              <w:tl2br w:val="nil"/>
              <w:tr2bl w:val="nil"/>
            </w:tcBorders>
            <w:noWrap/>
            <w:vAlign w:val="center"/>
          </w:tcPr>
          <w:p w14:paraId="00DED564">
            <w:pPr>
              <w:shd w:val="clear" w:color="auto" w:fill="FFFFFF"/>
              <w:autoSpaceDE w:val="0"/>
              <w:autoSpaceDN w:val="0"/>
              <w:spacing w:line="360" w:lineRule="exact"/>
              <w:rPr>
                <w:rFonts w:ascii="宋体" w:hAnsi="宋体" w:eastAsia="宋体" w:cs="宋体"/>
                <w:color w:val="auto"/>
                <w:kern w:val="0"/>
                <w:sz w:val="24"/>
                <w:szCs w:val="24"/>
                <w:highlight w:val="none"/>
              </w:rPr>
            </w:pPr>
            <w:bookmarkStart w:id="31" w:name="_Toc37090959"/>
            <w:bookmarkStart w:id="32" w:name="_Toc14359"/>
            <w:r>
              <w:rPr>
                <w:rFonts w:hint="eastAsia" w:ascii="宋体" w:hAnsi="宋体" w:eastAsia="宋体" w:cs="宋体"/>
                <w:color w:val="auto"/>
                <w:kern w:val="0"/>
                <w:sz w:val="24"/>
                <w:szCs w:val="24"/>
                <w:highlight w:val="none"/>
              </w:rPr>
              <w:t>项号</w:t>
            </w:r>
          </w:p>
        </w:tc>
        <w:tc>
          <w:tcPr>
            <w:tcW w:w="1930" w:type="dxa"/>
            <w:tcBorders>
              <w:top w:val="single" w:color="auto" w:sz="12" w:space="0"/>
              <w:left w:val="single" w:color="auto" w:sz="4" w:space="0"/>
              <w:bottom w:val="single" w:color="auto" w:sz="4" w:space="0"/>
              <w:right w:val="single" w:color="auto" w:sz="4" w:space="0"/>
              <w:tl2br w:val="nil"/>
              <w:tr2bl w:val="nil"/>
            </w:tcBorders>
            <w:noWrap/>
            <w:vAlign w:val="center"/>
          </w:tcPr>
          <w:p w14:paraId="2C3DD599">
            <w:pPr>
              <w:shd w:val="clear" w:color="auto" w:fill="FFFFFF"/>
              <w:autoSpaceDE w:val="0"/>
              <w:autoSpaceDN w:val="0"/>
              <w:spacing w:line="3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内  容</w:t>
            </w:r>
          </w:p>
        </w:tc>
        <w:tc>
          <w:tcPr>
            <w:tcW w:w="7243" w:type="dxa"/>
            <w:tcBorders>
              <w:top w:val="single" w:color="auto" w:sz="12" w:space="0"/>
              <w:left w:val="single" w:color="auto" w:sz="4" w:space="0"/>
              <w:bottom w:val="single" w:color="auto" w:sz="4" w:space="0"/>
              <w:right w:val="single" w:color="auto" w:sz="12" w:space="0"/>
              <w:tl2br w:val="nil"/>
              <w:tr2bl w:val="nil"/>
            </w:tcBorders>
            <w:noWrap/>
            <w:vAlign w:val="center"/>
          </w:tcPr>
          <w:p w14:paraId="1A644751">
            <w:pPr>
              <w:shd w:val="clear" w:color="auto" w:fill="FFFFFF"/>
              <w:autoSpaceDE w:val="0"/>
              <w:autoSpaceDN w:val="0"/>
              <w:spacing w:line="3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说明及要求</w:t>
            </w:r>
          </w:p>
        </w:tc>
      </w:tr>
      <w:tr w14:paraId="2CD691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vMerge w:val="restart"/>
            <w:tcBorders>
              <w:top w:val="single" w:color="auto" w:sz="4" w:space="0"/>
              <w:left w:val="single" w:color="auto" w:sz="12" w:space="0"/>
              <w:bottom w:val="single" w:color="auto" w:sz="4" w:space="0"/>
              <w:right w:val="single" w:color="auto" w:sz="4" w:space="0"/>
              <w:tl2br w:val="nil"/>
              <w:tr2bl w:val="nil"/>
            </w:tcBorders>
            <w:noWrap/>
            <w:vAlign w:val="center"/>
          </w:tcPr>
          <w:p w14:paraId="61DC1F8D">
            <w:pPr>
              <w:shd w:val="clear" w:color="auto" w:fill="FFFFFF"/>
              <w:autoSpaceDE w:val="0"/>
              <w:autoSpaceDN w:val="0"/>
              <w:spacing w:line="3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１</w:t>
            </w:r>
          </w:p>
        </w:tc>
        <w:tc>
          <w:tcPr>
            <w:tcW w:w="1930" w:type="dxa"/>
            <w:tcBorders>
              <w:top w:val="single" w:color="auto" w:sz="4" w:space="0"/>
              <w:left w:val="single" w:color="auto" w:sz="4" w:space="0"/>
              <w:bottom w:val="single" w:color="auto" w:sz="4" w:space="0"/>
              <w:right w:val="single" w:color="auto" w:sz="4" w:space="0"/>
              <w:tl2br w:val="nil"/>
              <w:tr2bl w:val="nil"/>
            </w:tcBorders>
            <w:noWrap/>
            <w:vAlign w:val="center"/>
          </w:tcPr>
          <w:p w14:paraId="08479D89">
            <w:pPr>
              <w:shd w:val="clear" w:color="auto" w:fill="FFFFFF"/>
              <w:autoSpaceDE w:val="0"/>
              <w:autoSpaceDN w:val="0"/>
              <w:spacing w:line="3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7243" w:type="dxa"/>
            <w:tcBorders>
              <w:top w:val="single" w:color="auto" w:sz="4" w:space="0"/>
              <w:left w:val="single" w:color="auto" w:sz="4" w:space="0"/>
              <w:bottom w:val="single" w:color="auto" w:sz="4" w:space="0"/>
              <w:right w:val="single" w:color="auto" w:sz="12" w:space="0"/>
              <w:tl2br w:val="nil"/>
              <w:tr2bl w:val="nil"/>
            </w:tcBorders>
            <w:noWrap/>
            <w:vAlign w:val="center"/>
          </w:tcPr>
          <w:p w14:paraId="57DAD48E">
            <w:pPr>
              <w:shd w:val="clear" w:color="auto" w:fill="FFFFFF"/>
              <w:autoSpaceDE w:val="0"/>
              <w:autoSpaceDN w:val="0"/>
              <w:spacing w:line="36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2025年达坂城区全面实施预算绩效管理咨询服务</w:t>
            </w:r>
          </w:p>
        </w:tc>
      </w:tr>
      <w:tr w14:paraId="39EF7F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09" w:type="dxa"/>
            <w:vMerge w:val="continue"/>
            <w:tcBorders>
              <w:top w:val="single" w:color="auto" w:sz="4" w:space="0"/>
              <w:left w:val="single" w:color="auto" w:sz="12" w:space="0"/>
              <w:bottom w:val="single" w:color="auto" w:sz="4" w:space="0"/>
              <w:right w:val="single" w:color="auto" w:sz="4" w:space="0"/>
              <w:tl2br w:val="nil"/>
              <w:tr2bl w:val="nil"/>
            </w:tcBorders>
            <w:noWrap/>
            <w:vAlign w:val="center"/>
          </w:tcPr>
          <w:p w14:paraId="5EFA52A8">
            <w:pPr>
              <w:shd w:val="clear" w:color="auto" w:fill="FFFFFF"/>
              <w:autoSpaceDE w:val="0"/>
              <w:autoSpaceDN w:val="0"/>
              <w:spacing w:line="360" w:lineRule="exact"/>
              <w:jc w:val="center"/>
              <w:rPr>
                <w:rFonts w:ascii="宋体" w:hAnsi="宋体" w:eastAsia="宋体" w:cs="宋体"/>
                <w:color w:val="auto"/>
                <w:kern w:val="0"/>
                <w:sz w:val="24"/>
                <w:szCs w:val="24"/>
                <w:highlight w:val="none"/>
              </w:rPr>
            </w:pPr>
          </w:p>
        </w:tc>
        <w:tc>
          <w:tcPr>
            <w:tcW w:w="1930" w:type="dxa"/>
            <w:tcBorders>
              <w:top w:val="single" w:color="auto" w:sz="4" w:space="0"/>
              <w:left w:val="single" w:color="auto" w:sz="4" w:space="0"/>
              <w:bottom w:val="single" w:color="auto" w:sz="4" w:space="0"/>
              <w:right w:val="single" w:color="auto" w:sz="4" w:space="0"/>
              <w:tl2br w:val="nil"/>
              <w:tr2bl w:val="nil"/>
            </w:tcBorders>
            <w:noWrap/>
            <w:vAlign w:val="center"/>
          </w:tcPr>
          <w:p w14:paraId="70DB6987">
            <w:pPr>
              <w:shd w:val="clear" w:color="auto" w:fill="FFFFFF"/>
              <w:autoSpaceDE w:val="0"/>
              <w:autoSpaceDN w:val="0"/>
              <w:spacing w:line="360" w:lineRule="exact"/>
              <w:jc w:val="center"/>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项目编号</w:t>
            </w:r>
          </w:p>
        </w:tc>
        <w:tc>
          <w:tcPr>
            <w:tcW w:w="7243" w:type="dxa"/>
            <w:tcBorders>
              <w:top w:val="single" w:color="auto" w:sz="4" w:space="0"/>
              <w:left w:val="single" w:color="auto" w:sz="4" w:space="0"/>
              <w:bottom w:val="single" w:color="auto" w:sz="4" w:space="0"/>
              <w:right w:val="single" w:color="auto" w:sz="12" w:space="0"/>
              <w:tl2br w:val="nil"/>
              <w:tr2bl w:val="nil"/>
            </w:tcBorders>
            <w:noWrap/>
            <w:vAlign w:val="center"/>
          </w:tcPr>
          <w:p w14:paraId="16E0BE1B">
            <w:pPr>
              <w:shd w:val="clear" w:color="auto" w:fill="FFFFFF"/>
              <w:autoSpaceDE w:val="0"/>
              <w:autoSpaceDN w:val="0"/>
              <w:spacing w:line="36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2025HDYPCS-022</w:t>
            </w:r>
          </w:p>
        </w:tc>
      </w:tr>
      <w:tr w14:paraId="6839E0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vMerge w:val="continue"/>
            <w:tcBorders>
              <w:top w:val="single" w:color="auto" w:sz="4" w:space="0"/>
              <w:left w:val="single" w:color="auto" w:sz="12" w:space="0"/>
              <w:bottom w:val="single" w:color="auto" w:sz="4" w:space="0"/>
              <w:right w:val="single" w:color="auto" w:sz="4" w:space="0"/>
              <w:tl2br w:val="nil"/>
              <w:tr2bl w:val="nil"/>
            </w:tcBorders>
            <w:noWrap/>
            <w:vAlign w:val="center"/>
          </w:tcPr>
          <w:p w14:paraId="3A19F38B">
            <w:pPr>
              <w:shd w:val="clear" w:color="auto" w:fill="FFFFFF"/>
              <w:autoSpaceDE w:val="0"/>
              <w:autoSpaceDN w:val="0"/>
              <w:spacing w:line="360" w:lineRule="exact"/>
              <w:jc w:val="center"/>
              <w:rPr>
                <w:rFonts w:ascii="宋体" w:hAnsi="宋体" w:eastAsia="宋体" w:cs="宋体"/>
                <w:color w:val="auto"/>
                <w:kern w:val="0"/>
                <w:sz w:val="24"/>
                <w:szCs w:val="24"/>
                <w:highlight w:val="none"/>
              </w:rPr>
            </w:pPr>
          </w:p>
        </w:tc>
        <w:tc>
          <w:tcPr>
            <w:tcW w:w="1930" w:type="dxa"/>
            <w:tcBorders>
              <w:top w:val="single" w:color="auto" w:sz="4" w:space="0"/>
              <w:left w:val="single" w:color="auto" w:sz="4" w:space="0"/>
              <w:bottom w:val="single" w:color="auto" w:sz="4" w:space="0"/>
              <w:right w:val="single" w:color="auto" w:sz="4" w:space="0"/>
              <w:tl2br w:val="nil"/>
              <w:tr2bl w:val="nil"/>
            </w:tcBorders>
            <w:noWrap/>
            <w:vAlign w:val="center"/>
          </w:tcPr>
          <w:p w14:paraId="32F14150">
            <w:pPr>
              <w:shd w:val="clear" w:color="auto" w:fill="FFFFFF"/>
              <w:autoSpaceDE w:val="0"/>
              <w:autoSpaceDN w:val="0"/>
              <w:spacing w:line="3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采购方式</w:t>
            </w:r>
          </w:p>
        </w:tc>
        <w:tc>
          <w:tcPr>
            <w:tcW w:w="7243" w:type="dxa"/>
            <w:tcBorders>
              <w:top w:val="single" w:color="auto" w:sz="4" w:space="0"/>
              <w:left w:val="single" w:color="auto" w:sz="4" w:space="0"/>
              <w:bottom w:val="single" w:color="auto" w:sz="4" w:space="0"/>
              <w:right w:val="single" w:color="auto" w:sz="12" w:space="0"/>
              <w:tl2br w:val="nil"/>
              <w:tr2bl w:val="nil"/>
            </w:tcBorders>
            <w:noWrap/>
            <w:vAlign w:val="center"/>
          </w:tcPr>
          <w:p w14:paraId="7A4357C5">
            <w:pPr>
              <w:shd w:val="clear" w:color="auto" w:fill="FFFFFF"/>
              <w:autoSpaceDE w:val="0"/>
              <w:autoSpaceDN w:val="0"/>
              <w:spacing w:line="360" w:lineRule="exac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竞争性磋商</w:t>
            </w:r>
          </w:p>
        </w:tc>
      </w:tr>
      <w:tr w14:paraId="31E622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09" w:type="dxa"/>
            <w:vMerge w:val="continue"/>
            <w:tcBorders>
              <w:top w:val="single" w:color="auto" w:sz="4" w:space="0"/>
              <w:left w:val="single" w:color="auto" w:sz="12" w:space="0"/>
              <w:bottom w:val="single" w:color="auto" w:sz="4" w:space="0"/>
              <w:right w:val="single" w:color="auto" w:sz="4" w:space="0"/>
              <w:tl2br w:val="nil"/>
              <w:tr2bl w:val="nil"/>
            </w:tcBorders>
            <w:noWrap/>
            <w:vAlign w:val="center"/>
          </w:tcPr>
          <w:p w14:paraId="69A0E3AC">
            <w:pPr>
              <w:shd w:val="clear" w:color="auto" w:fill="FFFFFF"/>
              <w:autoSpaceDE w:val="0"/>
              <w:autoSpaceDN w:val="0"/>
              <w:spacing w:line="360" w:lineRule="exact"/>
              <w:jc w:val="center"/>
              <w:rPr>
                <w:rFonts w:ascii="宋体" w:hAnsi="宋体" w:eastAsia="宋体" w:cs="宋体"/>
                <w:color w:val="auto"/>
                <w:kern w:val="0"/>
                <w:sz w:val="24"/>
                <w:szCs w:val="24"/>
                <w:highlight w:val="none"/>
              </w:rPr>
            </w:pPr>
          </w:p>
        </w:tc>
        <w:tc>
          <w:tcPr>
            <w:tcW w:w="1930" w:type="dxa"/>
            <w:tcBorders>
              <w:top w:val="single" w:color="auto" w:sz="4" w:space="0"/>
              <w:left w:val="single" w:color="auto" w:sz="4" w:space="0"/>
              <w:bottom w:val="single" w:color="auto" w:sz="4" w:space="0"/>
              <w:right w:val="single" w:color="auto" w:sz="4" w:space="0"/>
              <w:tl2br w:val="nil"/>
              <w:tr2bl w:val="nil"/>
            </w:tcBorders>
            <w:noWrap/>
            <w:vAlign w:val="center"/>
          </w:tcPr>
          <w:p w14:paraId="30F58C20">
            <w:pPr>
              <w:shd w:val="clear" w:color="auto" w:fill="FFFFFF"/>
              <w:autoSpaceDE w:val="0"/>
              <w:autoSpaceDN w:val="0"/>
              <w:spacing w:line="3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资金来源</w:t>
            </w:r>
          </w:p>
        </w:tc>
        <w:tc>
          <w:tcPr>
            <w:tcW w:w="7243" w:type="dxa"/>
            <w:tcBorders>
              <w:top w:val="single" w:color="auto" w:sz="4" w:space="0"/>
              <w:left w:val="single" w:color="auto" w:sz="4" w:space="0"/>
              <w:bottom w:val="single" w:color="auto" w:sz="4" w:space="0"/>
              <w:right w:val="single" w:color="auto" w:sz="12" w:space="0"/>
              <w:tl2br w:val="nil"/>
              <w:tr2bl w:val="nil"/>
            </w:tcBorders>
            <w:noWrap/>
            <w:vAlign w:val="center"/>
          </w:tcPr>
          <w:p w14:paraId="16C2477D">
            <w:pPr>
              <w:shd w:val="clear" w:color="auto" w:fill="FFFFFF"/>
              <w:autoSpaceDE w:val="0"/>
              <w:autoSpaceDN w:val="0"/>
              <w:spacing w:line="360" w:lineRule="exact"/>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财政性资金</w:t>
            </w:r>
          </w:p>
        </w:tc>
      </w:tr>
      <w:tr w14:paraId="34D449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continue"/>
            <w:tcBorders>
              <w:top w:val="single" w:color="auto" w:sz="4" w:space="0"/>
              <w:left w:val="single" w:color="auto" w:sz="12" w:space="0"/>
              <w:bottom w:val="single" w:color="auto" w:sz="4" w:space="0"/>
              <w:right w:val="single" w:color="auto" w:sz="4" w:space="0"/>
              <w:tl2br w:val="nil"/>
              <w:tr2bl w:val="nil"/>
            </w:tcBorders>
            <w:noWrap/>
            <w:vAlign w:val="center"/>
          </w:tcPr>
          <w:p w14:paraId="673261E2">
            <w:pPr>
              <w:shd w:val="clear" w:color="auto" w:fill="FFFFFF"/>
              <w:autoSpaceDE w:val="0"/>
              <w:autoSpaceDN w:val="0"/>
              <w:spacing w:line="360" w:lineRule="exact"/>
              <w:jc w:val="center"/>
              <w:rPr>
                <w:rFonts w:ascii="宋体" w:hAnsi="宋体" w:eastAsia="宋体" w:cs="宋体"/>
                <w:color w:val="auto"/>
                <w:kern w:val="0"/>
                <w:sz w:val="24"/>
                <w:szCs w:val="24"/>
                <w:highlight w:val="none"/>
              </w:rPr>
            </w:pPr>
          </w:p>
        </w:tc>
        <w:tc>
          <w:tcPr>
            <w:tcW w:w="1930" w:type="dxa"/>
            <w:tcBorders>
              <w:top w:val="single" w:color="auto" w:sz="4" w:space="0"/>
              <w:left w:val="single" w:color="auto" w:sz="4" w:space="0"/>
              <w:bottom w:val="single" w:color="auto" w:sz="4" w:space="0"/>
              <w:right w:val="single" w:color="auto" w:sz="4" w:space="0"/>
              <w:tl2br w:val="nil"/>
              <w:tr2bl w:val="nil"/>
            </w:tcBorders>
            <w:noWrap/>
            <w:vAlign w:val="center"/>
          </w:tcPr>
          <w:p w14:paraId="74CC2F58">
            <w:pPr>
              <w:shd w:val="clear" w:color="auto" w:fill="FFFFFF"/>
              <w:autoSpaceDE w:val="0"/>
              <w:autoSpaceDN w:val="0"/>
              <w:spacing w:line="3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资格审查方式</w:t>
            </w:r>
          </w:p>
        </w:tc>
        <w:tc>
          <w:tcPr>
            <w:tcW w:w="7243" w:type="dxa"/>
            <w:tcBorders>
              <w:top w:val="single" w:color="auto" w:sz="4" w:space="0"/>
              <w:left w:val="single" w:color="auto" w:sz="4" w:space="0"/>
              <w:bottom w:val="single" w:color="auto" w:sz="4" w:space="0"/>
              <w:right w:val="single" w:color="auto" w:sz="12" w:space="0"/>
              <w:tl2br w:val="nil"/>
              <w:tr2bl w:val="nil"/>
            </w:tcBorders>
            <w:noWrap/>
            <w:vAlign w:val="center"/>
          </w:tcPr>
          <w:p w14:paraId="06B6B2B2">
            <w:pPr>
              <w:shd w:val="clear" w:color="auto" w:fill="FFFFFF"/>
              <w:autoSpaceDE w:val="0"/>
              <w:autoSpaceDN w:val="0"/>
              <w:spacing w:line="36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资格后审</w:t>
            </w:r>
          </w:p>
        </w:tc>
      </w:tr>
      <w:tr w14:paraId="0FC2F6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vMerge w:val="continue"/>
            <w:tcBorders>
              <w:top w:val="single" w:color="auto" w:sz="4" w:space="0"/>
              <w:left w:val="single" w:color="auto" w:sz="12" w:space="0"/>
              <w:bottom w:val="single" w:color="auto" w:sz="4" w:space="0"/>
              <w:right w:val="single" w:color="auto" w:sz="4" w:space="0"/>
              <w:tl2br w:val="nil"/>
              <w:tr2bl w:val="nil"/>
            </w:tcBorders>
            <w:noWrap/>
            <w:vAlign w:val="center"/>
          </w:tcPr>
          <w:p w14:paraId="77FF9819">
            <w:pPr>
              <w:shd w:val="clear" w:color="auto" w:fill="FFFFFF"/>
              <w:autoSpaceDE w:val="0"/>
              <w:autoSpaceDN w:val="0"/>
              <w:spacing w:line="360" w:lineRule="exact"/>
              <w:jc w:val="center"/>
              <w:rPr>
                <w:rFonts w:ascii="宋体" w:hAnsi="宋体" w:eastAsia="宋体" w:cs="宋体"/>
                <w:color w:val="auto"/>
                <w:kern w:val="0"/>
                <w:sz w:val="24"/>
                <w:szCs w:val="24"/>
                <w:highlight w:val="none"/>
              </w:rPr>
            </w:pPr>
          </w:p>
        </w:tc>
        <w:tc>
          <w:tcPr>
            <w:tcW w:w="1930" w:type="dxa"/>
            <w:tcBorders>
              <w:top w:val="single" w:color="auto" w:sz="4" w:space="0"/>
              <w:left w:val="single" w:color="auto" w:sz="4" w:space="0"/>
              <w:bottom w:val="single" w:color="auto" w:sz="4" w:space="0"/>
              <w:right w:val="single" w:color="auto" w:sz="4" w:space="0"/>
              <w:tl2br w:val="nil"/>
              <w:tr2bl w:val="nil"/>
            </w:tcBorders>
            <w:noWrap/>
            <w:vAlign w:val="center"/>
          </w:tcPr>
          <w:p w14:paraId="67270B99">
            <w:pPr>
              <w:shd w:val="clear" w:color="auto" w:fill="FFFFFF"/>
              <w:autoSpaceDE w:val="0"/>
              <w:autoSpaceDN w:val="0"/>
              <w:spacing w:line="3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采购内容</w:t>
            </w:r>
          </w:p>
        </w:tc>
        <w:tc>
          <w:tcPr>
            <w:tcW w:w="7243" w:type="dxa"/>
            <w:tcBorders>
              <w:top w:val="single" w:color="auto" w:sz="4" w:space="0"/>
              <w:left w:val="single" w:color="auto" w:sz="4" w:space="0"/>
              <w:bottom w:val="single" w:color="auto" w:sz="4" w:space="0"/>
              <w:right w:val="single" w:color="auto" w:sz="12" w:space="0"/>
              <w:tl2br w:val="nil"/>
              <w:tr2bl w:val="nil"/>
            </w:tcBorders>
            <w:noWrap/>
            <w:vAlign w:val="center"/>
          </w:tcPr>
          <w:p w14:paraId="70C4BBB9">
            <w:pPr>
              <w:widowControl/>
              <w:shd w:val="clear" w:color="auto" w:fill="FFFFFF"/>
              <w:spacing w:line="360" w:lineRule="exac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详见第三章《采购需求》。</w:t>
            </w:r>
          </w:p>
        </w:tc>
      </w:tr>
      <w:tr w14:paraId="162AD8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12" w:space="0"/>
              <w:bottom w:val="single" w:color="auto" w:sz="4" w:space="0"/>
              <w:right w:val="single" w:color="auto" w:sz="4" w:space="0"/>
              <w:tl2br w:val="nil"/>
              <w:tr2bl w:val="nil"/>
            </w:tcBorders>
            <w:noWrap/>
            <w:vAlign w:val="center"/>
          </w:tcPr>
          <w:p w14:paraId="19785D84">
            <w:pPr>
              <w:shd w:val="clear" w:color="auto" w:fill="FFFFFF"/>
              <w:autoSpaceDE w:val="0"/>
              <w:autoSpaceDN w:val="0"/>
              <w:spacing w:line="3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930" w:type="dxa"/>
            <w:tcBorders>
              <w:top w:val="single" w:color="auto" w:sz="4" w:space="0"/>
              <w:left w:val="single" w:color="auto" w:sz="4" w:space="0"/>
              <w:bottom w:val="single" w:color="auto" w:sz="4" w:space="0"/>
              <w:right w:val="single" w:color="auto" w:sz="4" w:space="0"/>
              <w:tl2br w:val="nil"/>
              <w:tr2bl w:val="nil"/>
            </w:tcBorders>
            <w:noWrap/>
            <w:vAlign w:val="center"/>
          </w:tcPr>
          <w:p w14:paraId="4812314F">
            <w:pPr>
              <w:shd w:val="clear" w:color="auto" w:fill="FFFFFF"/>
              <w:autoSpaceDE w:val="0"/>
              <w:autoSpaceDN w:val="0"/>
              <w:spacing w:line="360" w:lineRule="exact"/>
              <w:jc w:val="center"/>
              <w:rPr>
                <w:rFonts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kern w:val="0"/>
                <w:sz w:val="24"/>
                <w:szCs w:val="24"/>
                <w:highlight w:val="none"/>
              </w:rPr>
              <w:t>预算</w:t>
            </w:r>
            <w:r>
              <w:rPr>
                <w:rFonts w:hint="eastAsia" w:ascii="宋体" w:hAnsi="宋体" w:eastAsia="宋体" w:cs="宋体"/>
                <w:color w:val="auto"/>
                <w:sz w:val="24"/>
                <w:szCs w:val="24"/>
                <w:highlight w:val="none"/>
              </w:rPr>
              <w:t>及最高限价</w:t>
            </w:r>
          </w:p>
        </w:tc>
        <w:tc>
          <w:tcPr>
            <w:tcW w:w="7243" w:type="dxa"/>
            <w:tcBorders>
              <w:top w:val="single" w:color="auto" w:sz="4" w:space="0"/>
              <w:left w:val="single" w:color="auto" w:sz="4" w:space="0"/>
              <w:bottom w:val="single" w:color="auto" w:sz="4" w:space="0"/>
              <w:right w:val="single" w:color="auto" w:sz="12" w:space="0"/>
              <w:tl2br w:val="nil"/>
              <w:tr2bl w:val="nil"/>
            </w:tcBorders>
            <w:noWrap/>
            <w:vAlign w:val="center"/>
          </w:tcPr>
          <w:p w14:paraId="337486AC">
            <w:pPr>
              <w:widowControl/>
              <w:shd w:val="clear" w:color="auto" w:fill="FFFFFF"/>
              <w:spacing w:line="360" w:lineRule="exact"/>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采购预算：</w:t>
            </w:r>
            <w:r>
              <w:rPr>
                <w:rFonts w:hint="eastAsia" w:ascii="宋体" w:hAnsi="宋体" w:eastAsia="宋体" w:cs="宋体"/>
                <w:b/>
                <w:bCs/>
                <w:color w:val="auto"/>
                <w:sz w:val="24"/>
                <w:szCs w:val="24"/>
                <w:highlight w:val="none"/>
                <w:u w:val="single"/>
                <w:lang w:val="en-US" w:eastAsia="zh-CN"/>
              </w:rPr>
              <w:t>700000.00</w:t>
            </w:r>
            <w:r>
              <w:rPr>
                <w:rFonts w:hint="eastAsia" w:ascii="宋体" w:hAnsi="宋体" w:eastAsia="宋体" w:cs="宋体"/>
                <w:b/>
                <w:bCs/>
                <w:color w:val="auto"/>
                <w:sz w:val="24"/>
                <w:szCs w:val="24"/>
                <w:highlight w:val="none"/>
              </w:rPr>
              <w:t>元，最高限价：</w:t>
            </w:r>
            <w:r>
              <w:rPr>
                <w:rFonts w:hint="eastAsia" w:ascii="宋体" w:hAnsi="宋体" w:eastAsia="宋体" w:cs="宋体"/>
                <w:b/>
                <w:bCs/>
                <w:color w:val="auto"/>
                <w:sz w:val="24"/>
                <w:szCs w:val="24"/>
                <w:highlight w:val="none"/>
                <w:u w:val="single"/>
                <w:lang w:val="en-US" w:eastAsia="zh-CN"/>
              </w:rPr>
              <w:t>700000.00</w:t>
            </w:r>
            <w:r>
              <w:rPr>
                <w:rFonts w:hint="eastAsia" w:ascii="宋体" w:hAnsi="宋体" w:eastAsia="宋体" w:cs="宋体"/>
                <w:b/>
                <w:bCs/>
                <w:color w:val="auto"/>
                <w:sz w:val="24"/>
                <w:szCs w:val="24"/>
                <w:highlight w:val="none"/>
              </w:rPr>
              <w:t>元；供应商磋商总报价</w:t>
            </w:r>
            <w:r>
              <w:rPr>
                <w:rFonts w:hint="eastAsia" w:ascii="宋体" w:hAnsi="宋体" w:eastAsia="宋体" w:cs="宋体"/>
                <w:b/>
                <w:bCs/>
                <w:color w:val="auto"/>
                <w:sz w:val="24"/>
                <w:szCs w:val="24"/>
                <w:highlight w:val="none"/>
                <w:lang w:val="en-US" w:eastAsia="zh-CN"/>
              </w:rPr>
              <w:t>若</w:t>
            </w:r>
            <w:r>
              <w:rPr>
                <w:rFonts w:hint="eastAsia" w:ascii="宋体" w:hAnsi="宋体" w:eastAsia="宋体" w:cs="宋体"/>
                <w:b/>
                <w:bCs/>
                <w:color w:val="auto"/>
                <w:sz w:val="24"/>
                <w:szCs w:val="24"/>
                <w:highlight w:val="none"/>
              </w:rPr>
              <w:t>超过本项目采购预算或最高限价的，将视为未实质性响应</w:t>
            </w:r>
            <w:r>
              <w:rPr>
                <w:rFonts w:hint="eastAsia" w:ascii="宋体" w:hAnsi="宋体" w:eastAsia="宋体" w:cs="宋体"/>
                <w:b/>
                <w:bCs/>
                <w:color w:val="auto"/>
                <w:sz w:val="24"/>
                <w:szCs w:val="24"/>
                <w:highlight w:val="none"/>
                <w:lang w:eastAsia="zh-CN"/>
              </w:rPr>
              <w:t>磋商文件</w:t>
            </w:r>
            <w:r>
              <w:rPr>
                <w:rFonts w:hint="eastAsia" w:ascii="宋体" w:hAnsi="宋体" w:eastAsia="宋体" w:cs="宋体"/>
                <w:b/>
                <w:bCs/>
                <w:color w:val="auto"/>
                <w:sz w:val="24"/>
                <w:szCs w:val="24"/>
                <w:highlight w:val="none"/>
              </w:rPr>
              <w:t>要求。</w:t>
            </w:r>
          </w:p>
        </w:tc>
      </w:tr>
      <w:tr w14:paraId="00AA0B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12" w:space="0"/>
              <w:bottom w:val="single" w:color="auto" w:sz="4" w:space="0"/>
              <w:right w:val="single" w:color="auto" w:sz="4" w:space="0"/>
              <w:tl2br w:val="nil"/>
              <w:tr2bl w:val="nil"/>
            </w:tcBorders>
            <w:noWrap/>
            <w:vAlign w:val="center"/>
          </w:tcPr>
          <w:p w14:paraId="0B573008">
            <w:pPr>
              <w:shd w:val="clear" w:color="auto" w:fill="FFFFFF"/>
              <w:autoSpaceDE w:val="0"/>
              <w:autoSpaceDN w:val="0"/>
              <w:spacing w:line="3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930" w:type="dxa"/>
            <w:tcBorders>
              <w:top w:val="single" w:color="auto" w:sz="4" w:space="0"/>
              <w:left w:val="single" w:color="auto" w:sz="4" w:space="0"/>
              <w:bottom w:val="single" w:color="auto" w:sz="4" w:space="0"/>
              <w:right w:val="single" w:color="auto" w:sz="4" w:space="0"/>
              <w:tl2br w:val="nil"/>
              <w:tr2bl w:val="nil"/>
            </w:tcBorders>
            <w:noWrap/>
            <w:vAlign w:val="center"/>
          </w:tcPr>
          <w:p w14:paraId="2096CD52">
            <w:pPr>
              <w:shd w:val="clear" w:color="auto" w:fill="FFFFFF"/>
              <w:autoSpaceDE w:val="0"/>
              <w:autoSpaceDN w:val="0"/>
              <w:spacing w:line="360" w:lineRule="exact"/>
              <w:jc w:val="center"/>
              <w:rPr>
                <w:rFonts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kern w:val="0"/>
                <w:sz w:val="24"/>
                <w:szCs w:val="24"/>
                <w:highlight w:val="none"/>
              </w:rPr>
              <w:t>质量标准</w:t>
            </w:r>
          </w:p>
        </w:tc>
        <w:tc>
          <w:tcPr>
            <w:tcW w:w="7243" w:type="dxa"/>
            <w:tcBorders>
              <w:top w:val="single" w:color="auto" w:sz="4" w:space="0"/>
              <w:left w:val="single" w:color="auto" w:sz="4" w:space="0"/>
              <w:bottom w:val="single" w:color="auto" w:sz="4" w:space="0"/>
              <w:right w:val="single" w:color="auto" w:sz="12" w:space="0"/>
              <w:tl2br w:val="nil"/>
              <w:tr2bl w:val="nil"/>
            </w:tcBorders>
            <w:noWrap/>
            <w:vAlign w:val="center"/>
          </w:tcPr>
          <w:p w14:paraId="20DF6573">
            <w:pPr>
              <w:shd w:val="clear" w:color="auto" w:fill="FFFFFF"/>
              <w:autoSpaceDE w:val="0"/>
              <w:autoSpaceDN w:val="0"/>
              <w:spacing w:line="36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合格（通过采购人及有关部门组织的项目验收）</w:t>
            </w:r>
          </w:p>
        </w:tc>
      </w:tr>
      <w:tr w14:paraId="6C238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09" w:type="dxa"/>
            <w:tcBorders>
              <w:top w:val="single" w:color="auto" w:sz="4" w:space="0"/>
              <w:left w:val="single" w:color="auto" w:sz="12" w:space="0"/>
              <w:bottom w:val="single" w:color="auto" w:sz="4" w:space="0"/>
              <w:right w:val="single" w:color="auto" w:sz="4" w:space="0"/>
              <w:tl2br w:val="nil"/>
              <w:tr2bl w:val="nil"/>
            </w:tcBorders>
            <w:noWrap/>
            <w:vAlign w:val="center"/>
          </w:tcPr>
          <w:p w14:paraId="7DD54BE5">
            <w:pPr>
              <w:shd w:val="clear" w:color="auto" w:fill="FFFFFF"/>
              <w:autoSpaceDE w:val="0"/>
              <w:autoSpaceDN w:val="0"/>
              <w:spacing w:line="3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930" w:type="dxa"/>
            <w:tcBorders>
              <w:top w:val="single" w:color="auto" w:sz="4" w:space="0"/>
              <w:left w:val="single" w:color="auto" w:sz="4" w:space="0"/>
              <w:bottom w:val="single" w:color="auto" w:sz="4" w:space="0"/>
              <w:right w:val="single" w:color="auto" w:sz="4" w:space="0"/>
              <w:tl2br w:val="nil"/>
              <w:tr2bl w:val="nil"/>
            </w:tcBorders>
            <w:noWrap/>
            <w:vAlign w:val="center"/>
          </w:tcPr>
          <w:p w14:paraId="2DCB19F0">
            <w:pPr>
              <w:shd w:val="clear" w:color="auto" w:fill="FFFFFF"/>
              <w:autoSpaceDE w:val="0"/>
              <w:autoSpaceDN w:val="0"/>
              <w:spacing w:line="360" w:lineRule="exact"/>
              <w:jc w:val="center"/>
              <w:rPr>
                <w:rFonts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kern w:val="0"/>
                <w:sz w:val="24"/>
                <w:szCs w:val="24"/>
                <w:highlight w:val="none"/>
              </w:rPr>
              <w:t>供应商资格</w:t>
            </w:r>
          </w:p>
        </w:tc>
        <w:tc>
          <w:tcPr>
            <w:tcW w:w="7243" w:type="dxa"/>
            <w:tcBorders>
              <w:top w:val="single" w:color="auto" w:sz="4" w:space="0"/>
              <w:left w:val="single" w:color="auto" w:sz="4" w:space="0"/>
              <w:bottom w:val="single" w:color="auto" w:sz="4" w:space="0"/>
              <w:right w:val="single" w:color="auto" w:sz="12" w:space="0"/>
              <w:tl2br w:val="nil"/>
              <w:tr2bl w:val="nil"/>
            </w:tcBorders>
            <w:noWrap/>
            <w:vAlign w:val="center"/>
          </w:tcPr>
          <w:p w14:paraId="509C7339">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满足《中华人民共和国政府采购法》第二十二条规定；</w:t>
            </w:r>
          </w:p>
          <w:p w14:paraId="7E1F5814">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落实政府采购政策需满足的资格要求：供应商为小微企业</w:t>
            </w:r>
          </w:p>
          <w:p w14:paraId="42A882A7">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本项目的特定资格要求：</w:t>
            </w:r>
          </w:p>
          <w:p w14:paraId="741418AD">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根据《关于在政府采购活动中查询及使用信用记录有关问题的通知》(财库[2016]125号)的规定，对被列入“失信被执行人”、“重大税收违法失信主体”、“政府采购严重违法失信行为记录名单”的供应商，拒绝参与本项目政府采购活动【查询渠道：“信用中国”网站（www.creditchina.gov.cn）、“中国政府采购网”（www.ccgp.gov.cn）】；（需注明具体查询时间，不得早于招标公告发布日期）提供查询截图。</w:t>
            </w:r>
          </w:p>
          <w:p w14:paraId="1AE3C225">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供应商不得存在下列情形之一：</w:t>
            </w:r>
          </w:p>
          <w:p w14:paraId="161CD28C">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单位负责人为同一人或者存在直接控股、管理关系的不同供应离，不得参加同一合同项下的政府采购活动。</w:t>
            </w:r>
          </w:p>
          <w:p w14:paraId="5F96763C">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除单一来源采购项目外，为采购项目提供整体设计、规范编制或者项目管理、监理、检测等服务的供应商，不得再参加该采购项目的其他采购活动。</w:t>
            </w:r>
          </w:p>
          <w:p w14:paraId="35C809AB">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r>
              <w:rPr>
                <w:rFonts w:hint="eastAsia" w:ascii="宋体" w:hAnsi="宋体" w:eastAsia="宋体" w:cs="宋体"/>
                <w:color w:val="auto"/>
                <w:kern w:val="0"/>
                <w:sz w:val="24"/>
                <w:szCs w:val="24"/>
                <w:highlight w:val="none"/>
                <w:shd w:val="clear" w:color="auto" w:fill="auto"/>
                <w:lang w:val="en-US" w:eastAsia="zh-CN"/>
              </w:rPr>
              <w:t>本项目专门面向小微企业采购，大中型企业不允许参加此项目投标。供应商应根据工信部等部委发布的《关于印发中小企业划型标准规定的通知》（工信部联企业〔2011〕300号），自行确认企业类型。本次采购项目所属行业为“第十六项 其他未列明行业”，符合要求的供应商须提供《中小企业声明函》。监狱企业、残疾人福利性单位，视同为小型和微型企业，须提供《声明函》。</w:t>
            </w:r>
          </w:p>
          <w:p w14:paraId="22E5AADA">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4.本项目不接受联合体投标。</w:t>
            </w:r>
          </w:p>
        </w:tc>
      </w:tr>
      <w:tr w14:paraId="670AE9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709" w:type="dxa"/>
            <w:tcBorders>
              <w:top w:val="single" w:color="auto" w:sz="4" w:space="0"/>
              <w:left w:val="single" w:color="auto" w:sz="12" w:space="0"/>
              <w:bottom w:val="single" w:color="auto" w:sz="4" w:space="0"/>
              <w:right w:val="single" w:color="auto" w:sz="4" w:space="0"/>
              <w:tl2br w:val="nil"/>
              <w:tr2bl w:val="nil"/>
            </w:tcBorders>
            <w:noWrap/>
            <w:vAlign w:val="center"/>
          </w:tcPr>
          <w:p w14:paraId="36BAC62F">
            <w:pPr>
              <w:shd w:val="clear" w:color="auto" w:fill="FFFFFF"/>
              <w:autoSpaceDE w:val="0"/>
              <w:autoSpaceDN w:val="0"/>
              <w:spacing w:line="3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930" w:type="dxa"/>
            <w:tcBorders>
              <w:top w:val="single" w:color="auto" w:sz="4" w:space="0"/>
              <w:left w:val="single" w:color="auto" w:sz="4" w:space="0"/>
              <w:bottom w:val="single" w:color="auto" w:sz="4" w:space="0"/>
              <w:right w:val="single" w:color="auto" w:sz="4" w:space="0"/>
              <w:tl2br w:val="nil"/>
              <w:tr2bl w:val="nil"/>
            </w:tcBorders>
            <w:noWrap/>
            <w:vAlign w:val="center"/>
          </w:tcPr>
          <w:p w14:paraId="47D6E948">
            <w:pPr>
              <w:shd w:val="clear" w:color="auto" w:fill="FFFFFF"/>
              <w:autoSpaceDE w:val="0"/>
              <w:autoSpaceDN w:val="0"/>
              <w:spacing w:line="3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响应文件</w:t>
            </w:r>
            <w:r>
              <w:rPr>
                <w:rFonts w:hint="eastAsia" w:ascii="宋体" w:hAnsi="宋体" w:eastAsia="宋体" w:cs="宋体"/>
                <w:color w:val="auto"/>
                <w:kern w:val="0"/>
                <w:sz w:val="24"/>
                <w:szCs w:val="24"/>
                <w:highlight w:val="none"/>
              </w:rPr>
              <w:t>份数</w:t>
            </w:r>
          </w:p>
        </w:tc>
        <w:tc>
          <w:tcPr>
            <w:tcW w:w="7243" w:type="dxa"/>
            <w:tcBorders>
              <w:top w:val="single" w:color="auto" w:sz="4" w:space="0"/>
              <w:left w:val="single" w:color="auto" w:sz="4" w:space="0"/>
              <w:bottom w:val="single" w:color="auto" w:sz="4" w:space="0"/>
              <w:right w:val="single" w:color="auto" w:sz="12" w:space="0"/>
              <w:tl2br w:val="nil"/>
              <w:tr2bl w:val="nil"/>
            </w:tcBorders>
            <w:noWrap/>
            <w:vAlign w:val="center"/>
          </w:tcPr>
          <w:p w14:paraId="6F928394">
            <w:pPr>
              <w:shd w:val="clear" w:color="auto"/>
              <w:autoSpaceDE w:val="0"/>
              <w:autoSpaceDN w:val="0"/>
              <w:spacing w:line="360" w:lineRule="exac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val="en-US" w:eastAsia="zh-CN"/>
              </w:rPr>
              <w:t>1</w:t>
            </w:r>
            <w:r>
              <w:rPr>
                <w:rFonts w:hint="eastAsia" w:ascii="宋体" w:hAnsi="宋体" w:eastAsia="宋体" w:cs="宋体"/>
                <w:b/>
                <w:color w:val="auto"/>
                <w:kern w:val="0"/>
                <w:sz w:val="24"/>
                <w:szCs w:val="24"/>
                <w:highlight w:val="none"/>
              </w:rPr>
              <w:t>）本项目采用远程不见面电子标的方式开标，供应商开标时无需提供纸质</w:t>
            </w:r>
            <w:r>
              <w:rPr>
                <w:rFonts w:hint="eastAsia" w:ascii="宋体" w:hAnsi="宋体" w:eastAsia="宋体" w:cs="宋体"/>
                <w:b/>
                <w:color w:val="auto"/>
                <w:kern w:val="0"/>
                <w:sz w:val="24"/>
                <w:szCs w:val="24"/>
                <w:highlight w:val="none"/>
                <w:lang w:val="en-US" w:eastAsia="zh-CN"/>
              </w:rPr>
              <w:t>响应</w:t>
            </w:r>
            <w:r>
              <w:rPr>
                <w:rFonts w:hint="eastAsia" w:ascii="宋体" w:hAnsi="宋体" w:eastAsia="宋体" w:cs="宋体"/>
                <w:b/>
                <w:color w:val="auto"/>
                <w:kern w:val="0"/>
                <w:sz w:val="24"/>
                <w:szCs w:val="24"/>
                <w:highlight w:val="none"/>
              </w:rPr>
              <w:t>文件，须在投标文件递交截止时间前通过新疆政府采购网（http://www.ccgp-xinjiang.gov.cn/）的“政采云登录入口”登录后，将加密电子</w:t>
            </w:r>
            <w:r>
              <w:rPr>
                <w:rFonts w:hint="eastAsia" w:ascii="宋体" w:hAnsi="宋体" w:eastAsia="宋体" w:cs="宋体"/>
                <w:b/>
                <w:color w:val="auto"/>
                <w:kern w:val="0"/>
                <w:sz w:val="24"/>
                <w:szCs w:val="24"/>
                <w:highlight w:val="none"/>
                <w:lang w:val="en-US" w:eastAsia="zh-CN"/>
              </w:rPr>
              <w:t>响应</w:t>
            </w:r>
            <w:r>
              <w:rPr>
                <w:rFonts w:hint="eastAsia" w:ascii="宋体" w:hAnsi="宋体" w:eastAsia="宋体" w:cs="宋体"/>
                <w:b/>
                <w:color w:val="auto"/>
                <w:kern w:val="0"/>
                <w:sz w:val="24"/>
                <w:szCs w:val="24"/>
                <w:highlight w:val="none"/>
              </w:rPr>
              <w:t>文件（为.jmbs后缀格式）上传到对应项目的指定位置。</w:t>
            </w:r>
          </w:p>
          <w:p w14:paraId="37033E3A">
            <w:pPr>
              <w:shd w:val="clear" w:color="auto"/>
              <w:autoSpaceDE w:val="0"/>
              <w:autoSpaceDN w:val="0"/>
              <w:spacing w:line="360" w:lineRule="exact"/>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（2）中标的供应商在领取《中标通知书》时须向采购代理机构递交纸质</w:t>
            </w:r>
            <w:r>
              <w:rPr>
                <w:rFonts w:hint="eastAsia" w:ascii="宋体" w:hAnsi="宋体" w:eastAsia="宋体" w:cs="宋体"/>
                <w:b/>
                <w:color w:val="auto"/>
                <w:kern w:val="0"/>
                <w:sz w:val="24"/>
                <w:szCs w:val="24"/>
                <w:highlight w:val="none"/>
                <w:lang w:val="en-US" w:eastAsia="zh-CN"/>
              </w:rPr>
              <w:t>响应</w:t>
            </w:r>
            <w:r>
              <w:rPr>
                <w:rFonts w:hint="eastAsia" w:ascii="宋体" w:hAnsi="宋体" w:eastAsia="宋体" w:cs="宋体"/>
                <w:b/>
                <w:color w:val="auto"/>
                <w:kern w:val="0"/>
                <w:sz w:val="24"/>
                <w:szCs w:val="24"/>
                <w:highlight w:val="none"/>
              </w:rPr>
              <w:t>文件一正</w:t>
            </w:r>
            <w:r>
              <w:rPr>
                <w:rFonts w:hint="eastAsia" w:ascii="宋体" w:hAnsi="宋体" w:eastAsia="宋体" w:cs="宋体"/>
                <w:b/>
                <w:color w:val="auto"/>
                <w:kern w:val="0"/>
                <w:sz w:val="24"/>
                <w:szCs w:val="24"/>
                <w:highlight w:val="none"/>
                <w:lang w:val="en-US" w:eastAsia="zh-CN"/>
              </w:rPr>
              <w:t>贰</w:t>
            </w:r>
            <w:r>
              <w:rPr>
                <w:rFonts w:hint="eastAsia" w:ascii="宋体" w:hAnsi="宋体" w:eastAsia="宋体" w:cs="宋体"/>
                <w:b/>
                <w:color w:val="auto"/>
                <w:kern w:val="0"/>
                <w:sz w:val="24"/>
                <w:szCs w:val="24"/>
                <w:highlight w:val="none"/>
              </w:rPr>
              <w:t>副、格式为PDF的电子</w:t>
            </w:r>
            <w:r>
              <w:rPr>
                <w:rFonts w:hint="eastAsia" w:ascii="宋体" w:hAnsi="宋体" w:eastAsia="宋体" w:cs="宋体"/>
                <w:b/>
                <w:color w:val="auto"/>
                <w:kern w:val="0"/>
                <w:sz w:val="24"/>
                <w:szCs w:val="24"/>
                <w:highlight w:val="none"/>
                <w:lang w:val="en-US" w:eastAsia="zh-CN"/>
              </w:rPr>
              <w:t>响应</w:t>
            </w:r>
            <w:r>
              <w:rPr>
                <w:rFonts w:hint="eastAsia" w:ascii="宋体" w:hAnsi="宋体" w:eastAsia="宋体" w:cs="宋体"/>
                <w:b/>
                <w:color w:val="auto"/>
                <w:kern w:val="0"/>
                <w:sz w:val="24"/>
                <w:szCs w:val="24"/>
                <w:highlight w:val="none"/>
              </w:rPr>
              <w:t>文件一份（U盘存储）与提交政采云平台的</w:t>
            </w:r>
            <w:r>
              <w:rPr>
                <w:rFonts w:hint="eastAsia" w:ascii="宋体" w:hAnsi="宋体" w:eastAsia="宋体" w:cs="宋体"/>
                <w:b/>
                <w:color w:val="auto"/>
                <w:kern w:val="0"/>
                <w:sz w:val="24"/>
                <w:szCs w:val="24"/>
                <w:highlight w:val="none"/>
                <w:lang w:val="en-US" w:eastAsia="zh-CN"/>
              </w:rPr>
              <w:t>响应</w:t>
            </w:r>
            <w:r>
              <w:rPr>
                <w:rFonts w:hint="eastAsia" w:ascii="宋体" w:hAnsi="宋体" w:eastAsia="宋体" w:cs="宋体"/>
                <w:b/>
                <w:color w:val="auto"/>
                <w:kern w:val="0"/>
                <w:sz w:val="24"/>
                <w:szCs w:val="24"/>
                <w:highlight w:val="none"/>
              </w:rPr>
              <w:t>文件内容一致。</w:t>
            </w:r>
          </w:p>
        </w:tc>
      </w:tr>
      <w:tr w14:paraId="659E6A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12" w:space="0"/>
              <w:bottom w:val="single" w:color="auto" w:sz="4" w:space="0"/>
              <w:right w:val="single" w:color="auto" w:sz="4" w:space="0"/>
              <w:tl2br w:val="nil"/>
              <w:tr2bl w:val="nil"/>
            </w:tcBorders>
            <w:noWrap/>
            <w:vAlign w:val="center"/>
          </w:tcPr>
          <w:p w14:paraId="349D0B99">
            <w:pPr>
              <w:shd w:val="clear" w:color="auto" w:fill="FFFFFF"/>
              <w:autoSpaceDE w:val="0"/>
              <w:autoSpaceDN w:val="0"/>
              <w:spacing w:line="3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930" w:type="dxa"/>
            <w:tcBorders>
              <w:top w:val="single" w:color="auto" w:sz="4" w:space="0"/>
              <w:left w:val="single" w:color="auto" w:sz="4" w:space="0"/>
              <w:bottom w:val="single" w:color="auto" w:sz="4" w:space="0"/>
              <w:right w:val="single" w:color="auto" w:sz="4" w:space="0"/>
              <w:tl2br w:val="nil"/>
              <w:tr2bl w:val="nil"/>
            </w:tcBorders>
            <w:noWrap/>
            <w:vAlign w:val="center"/>
          </w:tcPr>
          <w:p w14:paraId="18591E74">
            <w:pPr>
              <w:shd w:val="clear" w:color="auto" w:fill="FFFFFF"/>
              <w:autoSpaceDE w:val="0"/>
              <w:autoSpaceDN w:val="0"/>
              <w:spacing w:line="360" w:lineRule="exact"/>
              <w:jc w:val="center"/>
              <w:rPr>
                <w:rFonts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kern w:val="0"/>
                <w:sz w:val="24"/>
                <w:szCs w:val="24"/>
                <w:highlight w:val="none"/>
                <w:lang w:val="en-US" w:eastAsia="zh-CN"/>
              </w:rPr>
              <w:t>响应文件</w:t>
            </w:r>
            <w:r>
              <w:rPr>
                <w:rFonts w:hint="eastAsia" w:ascii="宋体" w:hAnsi="宋体" w:eastAsia="宋体" w:cs="宋体"/>
                <w:color w:val="auto"/>
                <w:kern w:val="0"/>
                <w:sz w:val="24"/>
                <w:szCs w:val="24"/>
                <w:highlight w:val="none"/>
              </w:rPr>
              <w:t>递交截止时间</w:t>
            </w:r>
          </w:p>
        </w:tc>
        <w:tc>
          <w:tcPr>
            <w:tcW w:w="7243" w:type="dxa"/>
            <w:tcBorders>
              <w:top w:val="single" w:color="auto" w:sz="4" w:space="0"/>
              <w:left w:val="single" w:color="auto" w:sz="4" w:space="0"/>
              <w:bottom w:val="single" w:color="auto" w:sz="4" w:space="0"/>
              <w:right w:val="single" w:color="auto" w:sz="12" w:space="0"/>
              <w:tl2br w:val="nil"/>
              <w:tr2bl w:val="nil"/>
            </w:tcBorders>
            <w:noWrap/>
            <w:vAlign w:val="center"/>
          </w:tcPr>
          <w:p w14:paraId="79EF8878">
            <w:pPr>
              <w:keepNext w:val="0"/>
              <w:keepLines w:val="0"/>
              <w:pageBreakBefore w:val="0"/>
              <w:widowControl/>
              <w:kinsoku/>
              <w:wordWrap/>
              <w:overflowPunct/>
              <w:topLinePunct w:val="0"/>
              <w:bidi w:val="0"/>
              <w:snapToGrid/>
              <w:spacing w:line="440" w:lineRule="exact"/>
              <w:ind w:firstLine="0" w:firstLineChars="0"/>
              <w:jc w:val="left"/>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2025年07月08日11：00时（北京时间）</w:t>
            </w:r>
          </w:p>
          <w:p w14:paraId="33E0AE67">
            <w:pPr>
              <w:keepNext w:val="0"/>
              <w:keepLines w:val="0"/>
              <w:pageBreakBefore w:val="0"/>
              <w:widowControl/>
              <w:kinsoku/>
              <w:wordWrap/>
              <w:overflowPunct/>
              <w:topLinePunct w:val="0"/>
              <w:bidi w:val="0"/>
              <w:snapToGrid/>
              <w:spacing w:line="440" w:lineRule="exact"/>
              <w:ind w:firstLine="0" w:firstLineChars="0"/>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auto"/>
                <w:lang w:val="en-US" w:eastAsia="zh-CN"/>
              </w:rPr>
              <w:t>不见面开标默认解密时长：30分钟；对迟于该时间递交的响应文件将不予接收，不接受邮寄的响应文件。</w:t>
            </w:r>
          </w:p>
        </w:tc>
      </w:tr>
      <w:tr w14:paraId="217B86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12" w:space="0"/>
              <w:bottom w:val="single" w:color="auto" w:sz="4" w:space="0"/>
              <w:right w:val="single" w:color="auto" w:sz="4" w:space="0"/>
              <w:tl2br w:val="nil"/>
              <w:tr2bl w:val="nil"/>
            </w:tcBorders>
            <w:noWrap/>
            <w:vAlign w:val="center"/>
          </w:tcPr>
          <w:p w14:paraId="56BE04E6">
            <w:pPr>
              <w:shd w:val="clear" w:color="auto" w:fill="FFFFFF"/>
              <w:autoSpaceDE w:val="0"/>
              <w:autoSpaceDN w:val="0"/>
              <w:spacing w:line="3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930" w:type="dxa"/>
            <w:tcBorders>
              <w:top w:val="single" w:color="auto" w:sz="4" w:space="0"/>
              <w:left w:val="single" w:color="auto" w:sz="4" w:space="0"/>
              <w:bottom w:val="single" w:color="auto" w:sz="4" w:space="0"/>
              <w:right w:val="single" w:color="auto" w:sz="4" w:space="0"/>
              <w:tl2br w:val="nil"/>
              <w:tr2bl w:val="nil"/>
            </w:tcBorders>
            <w:noWrap/>
            <w:vAlign w:val="center"/>
          </w:tcPr>
          <w:p w14:paraId="3EA5E77B">
            <w:pPr>
              <w:shd w:val="clear" w:color="auto" w:fill="FFFFFF"/>
              <w:autoSpaceDE w:val="0"/>
              <w:autoSpaceDN w:val="0"/>
              <w:spacing w:line="360" w:lineRule="exact"/>
              <w:jc w:val="center"/>
              <w:rPr>
                <w:rFonts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有效期限</w:t>
            </w:r>
          </w:p>
        </w:tc>
        <w:tc>
          <w:tcPr>
            <w:tcW w:w="7243" w:type="dxa"/>
            <w:tcBorders>
              <w:top w:val="single" w:color="auto" w:sz="4" w:space="0"/>
              <w:left w:val="single" w:color="auto" w:sz="4" w:space="0"/>
              <w:bottom w:val="single" w:color="auto" w:sz="4" w:space="0"/>
              <w:right w:val="single" w:color="auto" w:sz="12" w:space="0"/>
              <w:tl2br w:val="nil"/>
              <w:tr2bl w:val="nil"/>
            </w:tcBorders>
            <w:noWrap/>
            <w:vAlign w:val="center"/>
          </w:tcPr>
          <w:p w14:paraId="17614174">
            <w:pPr>
              <w:shd w:val="clear" w:color="auto" w:fill="FFFFFF"/>
              <w:autoSpaceDE w:val="0"/>
              <w:autoSpaceDN w:val="0"/>
              <w:spacing w:line="36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响应文件递交截止后</w:t>
            </w:r>
            <w:r>
              <w:rPr>
                <w:rFonts w:hint="eastAsia" w:ascii="宋体" w:hAnsi="宋体" w:eastAsia="宋体" w:cs="宋体"/>
                <w:color w:val="auto"/>
                <w:kern w:val="0"/>
                <w:sz w:val="24"/>
                <w:szCs w:val="24"/>
                <w:highlight w:val="none"/>
                <w:u w:val="single"/>
              </w:rPr>
              <w:t>90</w:t>
            </w:r>
            <w:r>
              <w:rPr>
                <w:rFonts w:hint="eastAsia" w:ascii="宋体" w:hAnsi="宋体" w:eastAsia="宋体" w:cs="宋体"/>
                <w:color w:val="auto"/>
                <w:kern w:val="0"/>
                <w:sz w:val="24"/>
                <w:szCs w:val="24"/>
                <w:highlight w:val="none"/>
              </w:rPr>
              <w:t>天</w:t>
            </w:r>
          </w:p>
        </w:tc>
      </w:tr>
      <w:tr w14:paraId="6BF33D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12" w:space="0"/>
              <w:bottom w:val="single" w:color="auto" w:sz="4" w:space="0"/>
              <w:right w:val="single" w:color="auto" w:sz="4" w:space="0"/>
              <w:tl2br w:val="nil"/>
              <w:tr2bl w:val="nil"/>
            </w:tcBorders>
            <w:noWrap/>
            <w:vAlign w:val="center"/>
          </w:tcPr>
          <w:p w14:paraId="41213939">
            <w:pPr>
              <w:shd w:val="clear" w:color="auto" w:fill="FFFFFF"/>
              <w:autoSpaceDE w:val="0"/>
              <w:autoSpaceDN w:val="0"/>
              <w:spacing w:line="3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1930" w:type="dxa"/>
            <w:tcBorders>
              <w:top w:val="single" w:color="auto" w:sz="4" w:space="0"/>
              <w:left w:val="single" w:color="auto" w:sz="4" w:space="0"/>
              <w:bottom w:val="single" w:color="auto" w:sz="4" w:space="0"/>
              <w:right w:val="single" w:color="auto" w:sz="4" w:space="0"/>
              <w:tl2br w:val="nil"/>
              <w:tr2bl w:val="nil"/>
            </w:tcBorders>
            <w:noWrap/>
            <w:vAlign w:val="center"/>
          </w:tcPr>
          <w:p w14:paraId="44DABC29">
            <w:pPr>
              <w:shd w:val="clear" w:color="auto" w:fill="FFFFFF"/>
              <w:autoSpaceDE w:val="0"/>
              <w:autoSpaceDN w:val="0"/>
              <w:spacing w:line="360" w:lineRule="exact"/>
              <w:jc w:val="center"/>
              <w:rPr>
                <w:rFonts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kern w:val="0"/>
                <w:sz w:val="24"/>
                <w:szCs w:val="24"/>
                <w:highlight w:val="none"/>
                <w:lang w:val="en-US" w:eastAsia="zh-CN"/>
              </w:rPr>
              <w:t>响应文件</w:t>
            </w:r>
            <w:r>
              <w:rPr>
                <w:rFonts w:hint="eastAsia" w:ascii="宋体" w:hAnsi="宋体" w:eastAsia="宋体" w:cs="宋体"/>
                <w:color w:val="auto"/>
                <w:kern w:val="0"/>
                <w:sz w:val="24"/>
                <w:szCs w:val="24"/>
                <w:highlight w:val="none"/>
              </w:rPr>
              <w:t>递交地点</w:t>
            </w:r>
          </w:p>
        </w:tc>
        <w:tc>
          <w:tcPr>
            <w:tcW w:w="7243" w:type="dxa"/>
            <w:tcBorders>
              <w:top w:val="single" w:color="auto" w:sz="4" w:space="0"/>
              <w:left w:val="single" w:color="auto" w:sz="4" w:space="0"/>
              <w:bottom w:val="single" w:color="auto" w:sz="4" w:space="0"/>
              <w:right w:val="single" w:color="auto" w:sz="12" w:space="0"/>
              <w:tl2br w:val="nil"/>
              <w:tr2bl w:val="nil"/>
            </w:tcBorders>
            <w:noWrap/>
            <w:vAlign w:val="center"/>
          </w:tcPr>
          <w:p w14:paraId="1CFA9326">
            <w:pPr>
              <w:widowControl/>
              <w:shd w:val="clear" w:color="auto" w:fill="FFFFFF"/>
              <w:spacing w:line="36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shd w:val="clear" w:color="auto"/>
                <w:lang w:val="en-US" w:eastAsia="zh-CN"/>
              </w:rPr>
              <w:t>线上递交，登录政府采购云平台（http://www.ccgp-xinjiang.gov.cn/），将加密电子响应文件上传到对应项目的的指定位置。</w:t>
            </w:r>
          </w:p>
        </w:tc>
      </w:tr>
      <w:tr w14:paraId="05B0BC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12" w:space="0"/>
              <w:bottom w:val="single" w:color="auto" w:sz="4" w:space="0"/>
              <w:right w:val="single" w:color="auto" w:sz="4" w:space="0"/>
              <w:tl2br w:val="nil"/>
              <w:tr2bl w:val="nil"/>
            </w:tcBorders>
            <w:noWrap/>
            <w:vAlign w:val="center"/>
          </w:tcPr>
          <w:p w14:paraId="3CC00B08">
            <w:pPr>
              <w:shd w:val="clear" w:color="auto" w:fill="FFFFFF"/>
              <w:autoSpaceDE w:val="0"/>
              <w:autoSpaceDN w:val="0"/>
              <w:spacing w:line="3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1930" w:type="dxa"/>
            <w:tcBorders>
              <w:top w:val="single" w:color="auto" w:sz="4" w:space="0"/>
              <w:left w:val="single" w:color="auto" w:sz="4" w:space="0"/>
              <w:bottom w:val="single" w:color="auto" w:sz="4" w:space="0"/>
              <w:right w:val="single" w:color="auto" w:sz="4" w:space="0"/>
              <w:tl2br w:val="nil"/>
              <w:tr2bl w:val="nil"/>
            </w:tcBorders>
            <w:noWrap/>
            <w:vAlign w:val="center"/>
          </w:tcPr>
          <w:p w14:paraId="73D12DBF">
            <w:pPr>
              <w:shd w:val="clear" w:color="auto" w:fill="FFFFFF"/>
              <w:autoSpaceDE w:val="0"/>
              <w:autoSpaceDN w:val="0"/>
              <w:spacing w:line="360" w:lineRule="exact"/>
              <w:jc w:val="center"/>
              <w:rPr>
                <w:rFonts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时间、磋商地点</w:t>
            </w:r>
          </w:p>
        </w:tc>
        <w:tc>
          <w:tcPr>
            <w:tcW w:w="7243" w:type="dxa"/>
            <w:tcBorders>
              <w:top w:val="single" w:color="auto" w:sz="4" w:space="0"/>
              <w:left w:val="single" w:color="auto" w:sz="4" w:space="0"/>
              <w:bottom w:val="single" w:color="auto" w:sz="4" w:space="0"/>
              <w:right w:val="single" w:color="auto" w:sz="12" w:space="0"/>
              <w:tl2br w:val="nil"/>
              <w:tr2bl w:val="nil"/>
            </w:tcBorders>
            <w:noWrap/>
            <w:vAlign w:val="center"/>
          </w:tcPr>
          <w:p w14:paraId="100C311B">
            <w:pPr>
              <w:keepNext w:val="0"/>
              <w:keepLines w:val="0"/>
              <w:pageBreakBefore w:val="0"/>
              <w:widowControl/>
              <w:shd w:val="clear" w:color="auto"/>
              <w:kinsoku/>
              <w:wordWrap w:val="0"/>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时间：</w:t>
            </w:r>
            <w:r>
              <w:rPr>
                <w:rFonts w:hint="eastAsia" w:ascii="宋体" w:hAnsi="宋体" w:eastAsia="宋体" w:cs="宋体"/>
                <w:color w:val="auto"/>
                <w:kern w:val="0"/>
                <w:sz w:val="24"/>
                <w:szCs w:val="24"/>
                <w:highlight w:val="none"/>
                <w:lang w:eastAsia="zh-CN"/>
              </w:rPr>
              <w:t>202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年</w:t>
            </w:r>
            <w:r>
              <w:rPr>
                <w:rFonts w:hint="eastAsia" w:ascii="宋体" w:hAnsi="宋体" w:eastAsia="宋体" w:cs="宋体"/>
                <w:color w:val="auto"/>
                <w:kern w:val="0"/>
                <w:sz w:val="24"/>
                <w:szCs w:val="24"/>
                <w:highlight w:val="none"/>
                <w:lang w:val="en-US" w:eastAsia="zh-CN"/>
              </w:rPr>
              <w:t>07</w:t>
            </w:r>
            <w:r>
              <w:rPr>
                <w:rFonts w:hint="eastAsia" w:ascii="宋体" w:hAnsi="宋体" w:eastAsia="宋体" w:cs="宋体"/>
                <w:color w:val="auto"/>
                <w:kern w:val="0"/>
                <w:sz w:val="24"/>
                <w:szCs w:val="24"/>
                <w:highlight w:val="none"/>
                <w:lang w:eastAsia="zh-CN"/>
              </w:rPr>
              <w:t>月</w:t>
            </w:r>
            <w:r>
              <w:rPr>
                <w:rFonts w:hint="eastAsia" w:ascii="宋体" w:hAnsi="宋体" w:eastAsia="宋体" w:cs="宋体"/>
                <w:color w:val="auto"/>
                <w:kern w:val="0"/>
                <w:sz w:val="24"/>
                <w:szCs w:val="24"/>
                <w:highlight w:val="none"/>
                <w:lang w:val="en-US" w:eastAsia="zh-CN"/>
              </w:rPr>
              <w:t>08</w:t>
            </w:r>
            <w:r>
              <w:rPr>
                <w:rFonts w:hint="eastAsia" w:ascii="宋体" w:hAnsi="宋体" w:eastAsia="宋体" w:cs="宋体"/>
                <w:color w:val="auto"/>
                <w:kern w:val="0"/>
                <w:sz w:val="24"/>
                <w:szCs w:val="24"/>
                <w:highlight w:val="none"/>
                <w:lang w:eastAsia="zh-CN"/>
              </w:rPr>
              <w:t>日</w:t>
            </w: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0时（北京时间）</w:t>
            </w:r>
          </w:p>
          <w:p w14:paraId="4CF679B9">
            <w:pPr>
              <w:keepNext w:val="0"/>
              <w:keepLines w:val="0"/>
              <w:pageBreakBefore w:val="0"/>
              <w:widowControl/>
              <w:shd w:val="clear" w:color="auto"/>
              <w:kinsoku/>
              <w:wordWrap w:val="0"/>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地点：政府采购云平台（http://www.ccgp-xinjiang.gov.cn/）</w:t>
            </w:r>
            <w:r>
              <w:rPr>
                <w:rFonts w:hint="eastAsia" w:ascii="宋体" w:hAnsi="宋体" w:eastAsia="宋体" w:cs="宋体"/>
                <w:color w:val="auto"/>
                <w:kern w:val="0"/>
                <w:sz w:val="24"/>
                <w:szCs w:val="24"/>
                <w:highlight w:val="none"/>
                <w:lang w:val="en-US" w:eastAsia="zh-CN"/>
              </w:rPr>
              <w:t>不见面开标大厅</w:t>
            </w:r>
          </w:p>
          <w:p w14:paraId="486CD286">
            <w:pPr>
              <w:keepNext w:val="0"/>
              <w:keepLines w:val="0"/>
              <w:pageBreakBefore w:val="0"/>
              <w:widowControl/>
              <w:shd w:val="clear" w:color="auto"/>
              <w:kinsoku/>
              <w:wordWrap w:val="0"/>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3）本项目采用不见面开标、投标人需要递交电子响应文件，在投标截止时间前将加密的电子响应文件通过新疆政采云平台上传到指定位置，无需递交纸质文件。</w:t>
            </w:r>
          </w:p>
          <w:p w14:paraId="1A83BC94">
            <w:pPr>
              <w:keepNext w:val="0"/>
              <w:keepLines w:val="0"/>
              <w:pageBreakBefore w:val="0"/>
              <w:widowControl/>
              <w:shd w:val="clear" w:color="auto"/>
              <w:kinsoku/>
              <w:wordWrap w:val="0"/>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4）投标单位应在开标前确保成为新疆政府采购网正式注册入库供应商，并完成 CA 数字证书申领。因未注册入库、未办理 CA 数字证书等原因造成无法投标或投标失败等后果由投标单位自行承担。</w:t>
            </w:r>
          </w:p>
          <w:p w14:paraId="6341ECAD">
            <w:pPr>
              <w:keepNext w:val="0"/>
              <w:keepLines w:val="0"/>
              <w:pageBreakBefore w:val="0"/>
              <w:widowControl/>
              <w:shd w:val="clear" w:color="auto"/>
              <w:kinsoku/>
              <w:wordWrap w:val="0"/>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5）投标单位应使用最新版本的 CA 驱动和政采云投标客户端，客户端下载、安装完成后，可通过账号密码或 CA 登录客户端进行响应文件制作。在使用政采云投标客户端时，建议使用谷歌浏览器，电脑配置满足 win7+64 位以上操作系统（不能用 mac 或者 linux 系统）。客户端请至新疆政府采购网（www.ccgp-xinjiang.gov.cn）下载专区查看，如有问题可拨打政采云客户服务热线95763进行咨询。如因供应商自身原因导致在规定时间内无法正常解密的（如：浏览器故障、未安装客户端和相关驱动、网络故障、加密 CA 与解密 CA 不一致等），代理机构不予异常处理，视为供应商自动弃标。</w:t>
            </w:r>
          </w:p>
          <w:p w14:paraId="2130FC72">
            <w:pPr>
              <w:keepNext w:val="0"/>
              <w:keepLines w:val="0"/>
              <w:pageBreakBefore w:val="0"/>
              <w:widowControl/>
              <w:shd w:val="clear" w:color="auto"/>
              <w:kinsoku/>
              <w:wordWrap w:val="0"/>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6）投标单位应当在投标截止时间前，将生成的“电子加密响应文件”上传递交至“政府采购云平台”，投标截止时间以后上传递交的响应文件将被“政府采购云平台”拒收。</w:t>
            </w:r>
          </w:p>
          <w:p w14:paraId="59BD83CF">
            <w:pPr>
              <w:keepNext w:val="0"/>
              <w:keepLines w:val="0"/>
              <w:pageBreakBefore w:val="0"/>
              <w:widowControl/>
              <w:shd w:val="clear" w:color="auto"/>
              <w:kinsoku/>
              <w:wordWrap w:val="0"/>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7）供应商在开标前须提前配置好电脑浏览器（建议使用 360 浏览器或谷歌浏览器），开标时请使用制作加密电子响应文件的 CA 锁进行解密及报价确认。本项目响应文件解密时间定为 30 分钟内，如因自身原因导致无法正常解密，后果由供应商自行承担。</w:t>
            </w:r>
          </w:p>
          <w:p w14:paraId="15C7FFB5">
            <w:pPr>
              <w:keepNext w:val="0"/>
              <w:keepLines w:val="0"/>
              <w:pageBreakBefore w:val="0"/>
              <w:widowControl w:val="0"/>
              <w:shd w:val="clear" w:color="auto"/>
              <w:kinsoku/>
              <w:wordWrap/>
              <w:overflowPunct/>
              <w:topLinePunct w:val="0"/>
              <w:autoSpaceDE w:val="0"/>
              <w:autoSpaceDN w:val="0"/>
              <w:bidi w:val="0"/>
              <w:adjustRightInd/>
              <w:snapToGrid/>
              <w:spacing w:line="360" w:lineRule="exact"/>
              <w:ind w:left="0" w:firstLine="0" w:firstLineChars="0"/>
              <w:jc w:val="both"/>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投标单位登录政采云平台，在开标时间后30分钟内（2025年07月08日11：00-11：30）用“项目采购-开标评标”功能进行解密响应文件。若投标单位在规定时间内（2025年07月08日11：00-11：30）未按时解密的，视为无效投标。解密与加密响应文件须使用同一个CA。</w:t>
            </w:r>
          </w:p>
        </w:tc>
      </w:tr>
      <w:tr w14:paraId="07690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12" w:space="0"/>
              <w:bottom w:val="single" w:color="auto" w:sz="4" w:space="0"/>
              <w:right w:val="single" w:color="auto" w:sz="4" w:space="0"/>
              <w:tl2br w:val="nil"/>
              <w:tr2bl w:val="nil"/>
            </w:tcBorders>
            <w:noWrap/>
            <w:vAlign w:val="center"/>
          </w:tcPr>
          <w:p w14:paraId="27E6357B">
            <w:pPr>
              <w:shd w:val="clear" w:color="auto" w:fill="FFFFFF"/>
              <w:autoSpaceDE w:val="0"/>
              <w:autoSpaceDN w:val="0"/>
              <w:spacing w:line="3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1930" w:type="dxa"/>
            <w:tcBorders>
              <w:top w:val="single" w:color="auto" w:sz="4" w:space="0"/>
              <w:left w:val="single" w:color="auto" w:sz="4" w:space="0"/>
              <w:bottom w:val="single" w:color="auto" w:sz="4" w:space="0"/>
              <w:right w:val="single" w:color="auto" w:sz="4" w:space="0"/>
              <w:tl2br w:val="nil"/>
              <w:tr2bl w:val="nil"/>
            </w:tcBorders>
            <w:noWrap/>
            <w:vAlign w:val="center"/>
          </w:tcPr>
          <w:p w14:paraId="18119597">
            <w:pPr>
              <w:shd w:val="clear" w:color="auto" w:fill="FFFFFF"/>
              <w:autoSpaceDE w:val="0"/>
              <w:autoSpaceDN w:val="0"/>
              <w:spacing w:line="3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评审办法</w:t>
            </w:r>
          </w:p>
        </w:tc>
        <w:tc>
          <w:tcPr>
            <w:tcW w:w="7243" w:type="dxa"/>
            <w:tcBorders>
              <w:top w:val="single" w:color="auto" w:sz="4" w:space="0"/>
              <w:left w:val="single" w:color="auto" w:sz="4" w:space="0"/>
              <w:bottom w:val="single" w:color="auto" w:sz="4" w:space="0"/>
              <w:right w:val="single" w:color="auto" w:sz="12" w:space="0"/>
              <w:tl2br w:val="nil"/>
              <w:tr2bl w:val="nil"/>
            </w:tcBorders>
            <w:noWrap/>
            <w:vAlign w:val="center"/>
          </w:tcPr>
          <w:p w14:paraId="4223FDE3">
            <w:pPr>
              <w:pStyle w:val="32"/>
              <w:spacing w:line="400" w:lineRule="exact"/>
              <w:ind w:firstLine="0"/>
              <w:rPr>
                <w:color w:val="auto"/>
                <w:highlight w:val="none"/>
              </w:rPr>
            </w:pPr>
            <w:r>
              <w:rPr>
                <w:rFonts w:hint="eastAsia" w:ascii="宋体" w:hAnsi="宋体" w:eastAsia="宋体" w:cs="宋体"/>
                <w:color w:val="auto"/>
                <w:spacing w:val="0"/>
                <w:sz w:val="24"/>
                <w:szCs w:val="24"/>
                <w:highlight w:val="none"/>
              </w:rPr>
              <w:t>本项目的评审方法为：综合评分法，即供应商在通过初步审查，且提供最后报价的供应商进行商务、技术评审，</w:t>
            </w:r>
            <w:r>
              <w:rPr>
                <w:rFonts w:hint="eastAsia" w:ascii="宋体" w:hAnsi="宋体" w:eastAsia="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rPr>
              <w:t>小组根据综合得分由高到低进行排序，推荐前三名为成交候选单位。经采购人确认后确定排名第一的供应商为本项目的成交供应商。</w:t>
            </w:r>
          </w:p>
        </w:tc>
      </w:tr>
      <w:tr w14:paraId="218378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12" w:space="0"/>
              <w:bottom w:val="single" w:color="auto" w:sz="4" w:space="0"/>
              <w:right w:val="single" w:color="auto" w:sz="4" w:space="0"/>
              <w:tl2br w:val="nil"/>
              <w:tr2bl w:val="nil"/>
            </w:tcBorders>
            <w:noWrap/>
            <w:vAlign w:val="center"/>
          </w:tcPr>
          <w:p w14:paraId="3A13340B">
            <w:pPr>
              <w:shd w:val="clear" w:color="auto" w:fill="FFFFFF"/>
              <w:autoSpaceDE w:val="0"/>
              <w:autoSpaceDN w:val="0"/>
              <w:spacing w:line="3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1930" w:type="dxa"/>
            <w:tcBorders>
              <w:top w:val="single" w:color="auto" w:sz="4" w:space="0"/>
              <w:left w:val="single" w:color="auto" w:sz="4" w:space="0"/>
              <w:bottom w:val="single" w:color="auto" w:sz="4" w:space="0"/>
              <w:right w:val="single" w:color="auto" w:sz="4" w:space="0"/>
              <w:tl2br w:val="nil"/>
              <w:tr2bl w:val="nil"/>
            </w:tcBorders>
            <w:noWrap/>
            <w:vAlign w:val="center"/>
          </w:tcPr>
          <w:p w14:paraId="49FFA880">
            <w:pPr>
              <w:shd w:val="clear" w:color="auto" w:fill="FFFFFF"/>
              <w:autoSpaceDE w:val="0"/>
              <w:autoSpaceDN w:val="0"/>
              <w:spacing w:line="36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b/>
                <w:bCs/>
                <w:color w:val="auto"/>
                <w:sz w:val="24"/>
                <w:szCs w:val="24"/>
                <w:highlight w:val="none"/>
              </w:rPr>
              <w:t>★</w:t>
            </w:r>
            <w:r>
              <w:rPr>
                <w:rFonts w:hint="eastAsia" w:ascii="宋体" w:hAnsi="宋体" w:eastAsia="宋体" w:cs="宋体"/>
                <w:color w:val="auto"/>
                <w:kern w:val="0"/>
                <w:sz w:val="24"/>
                <w:szCs w:val="24"/>
                <w:highlight w:val="none"/>
                <w:lang w:eastAsia="zh-CN"/>
              </w:rPr>
              <w:t>投标保证金</w:t>
            </w:r>
          </w:p>
        </w:tc>
        <w:tc>
          <w:tcPr>
            <w:tcW w:w="7243" w:type="dxa"/>
            <w:tcBorders>
              <w:top w:val="single" w:color="auto" w:sz="4" w:space="0"/>
              <w:left w:val="single" w:color="auto" w:sz="4" w:space="0"/>
              <w:bottom w:val="single" w:color="auto" w:sz="4" w:space="0"/>
              <w:right w:val="single" w:color="auto" w:sz="12" w:space="0"/>
              <w:tl2br w:val="nil"/>
              <w:tr2bl w:val="nil"/>
            </w:tcBorders>
            <w:noWrap/>
            <w:vAlign w:val="center"/>
          </w:tcPr>
          <w:p w14:paraId="7362FCA7">
            <w:pPr>
              <w:pStyle w:val="39"/>
              <w:shd w:val="clear" w:color="auto" w:fill="FFFFFF"/>
              <w:spacing w:line="360" w:lineRule="exact"/>
              <w:ind w:firstLine="0" w:firstLineChars="0"/>
              <w:rPr>
                <w:rFonts w:ascii="宋体" w:eastAsia="宋体" w:cs="宋体"/>
                <w:color w:val="auto"/>
                <w:sz w:val="24"/>
                <w:highlight w:val="none"/>
              </w:rPr>
            </w:pPr>
            <w:r>
              <w:rPr>
                <w:rFonts w:hint="eastAsia" w:ascii="宋体" w:eastAsia="宋体" w:cs="宋体"/>
                <w:color w:val="auto"/>
                <w:sz w:val="24"/>
                <w:highlight w:val="none"/>
                <w:lang w:val="en-US" w:eastAsia="zh-CN"/>
              </w:rPr>
              <w:t>磋商</w:t>
            </w:r>
            <w:r>
              <w:rPr>
                <w:rFonts w:hint="eastAsia" w:ascii="宋体" w:eastAsia="宋体" w:cs="宋体"/>
                <w:color w:val="auto"/>
                <w:sz w:val="24"/>
                <w:highlight w:val="none"/>
              </w:rPr>
              <w:t>保证金金额：</w:t>
            </w:r>
            <w:r>
              <w:rPr>
                <w:rFonts w:hint="eastAsia" w:ascii="宋体" w:eastAsia="宋体" w:cs="宋体"/>
                <w:color w:val="auto"/>
                <w:sz w:val="24"/>
                <w:highlight w:val="none"/>
                <w:lang w:val="en-US" w:eastAsia="zh-CN"/>
              </w:rPr>
              <w:t>14000</w:t>
            </w:r>
            <w:r>
              <w:rPr>
                <w:rFonts w:hint="eastAsia" w:ascii="宋体" w:eastAsia="宋体" w:cs="宋体"/>
                <w:color w:val="auto"/>
                <w:sz w:val="24"/>
                <w:highlight w:val="none"/>
              </w:rPr>
              <w:t>.00元（</w:t>
            </w:r>
            <w:r>
              <w:rPr>
                <w:rFonts w:hint="eastAsia" w:ascii="宋体" w:eastAsia="宋体" w:cs="宋体"/>
                <w:color w:val="auto"/>
                <w:sz w:val="24"/>
                <w:highlight w:val="none"/>
                <w:lang w:val="en-US" w:eastAsia="zh-CN"/>
              </w:rPr>
              <w:t>壹万肆仟元整</w:t>
            </w:r>
            <w:r>
              <w:rPr>
                <w:rFonts w:hint="eastAsia" w:ascii="宋体" w:eastAsia="宋体" w:cs="宋体"/>
                <w:color w:val="auto"/>
                <w:sz w:val="24"/>
                <w:highlight w:val="none"/>
              </w:rPr>
              <w:t>）</w:t>
            </w:r>
          </w:p>
          <w:p w14:paraId="701E4661">
            <w:pPr>
              <w:pStyle w:val="39"/>
              <w:shd w:val="clear" w:color="auto" w:fill="FFFFFF"/>
              <w:spacing w:line="360" w:lineRule="exact"/>
              <w:ind w:firstLine="0" w:firstLineChars="0"/>
              <w:rPr>
                <w:rFonts w:hint="eastAsia" w:ascii="宋体" w:eastAsia="宋体" w:cs="宋体"/>
                <w:color w:val="auto"/>
                <w:sz w:val="24"/>
                <w:highlight w:val="none"/>
              </w:rPr>
            </w:pPr>
            <w:r>
              <w:rPr>
                <w:rFonts w:hint="eastAsia" w:ascii="宋体" w:eastAsia="宋体" w:cs="宋体"/>
                <w:color w:val="auto"/>
                <w:sz w:val="24"/>
                <w:highlight w:val="none"/>
              </w:rPr>
              <w:t>供应商应于</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年</w:t>
            </w:r>
            <w:r>
              <w:rPr>
                <w:rFonts w:hint="eastAsia" w:asci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日</w:t>
            </w:r>
            <w:r>
              <w:rPr>
                <w:rFonts w:hint="eastAsia" w:ascii="宋体" w:eastAsia="宋体" w:cs="宋体"/>
                <w:color w:val="auto"/>
                <w:sz w:val="24"/>
                <w:highlight w:val="none"/>
                <w:lang w:val="en-US" w:eastAsia="zh-CN"/>
              </w:rPr>
              <w:t>11</w:t>
            </w:r>
            <w:r>
              <w:rPr>
                <w:rFonts w:hint="eastAsia" w:ascii="宋体" w:eastAsia="宋体" w:cs="宋体"/>
                <w:color w:val="auto"/>
                <w:sz w:val="24"/>
                <w:highlight w:val="none"/>
              </w:rPr>
              <w:t>:00</w:t>
            </w:r>
            <w:r>
              <w:rPr>
                <w:rFonts w:hint="eastAsia" w:ascii="宋体" w:hAnsi="宋体" w:eastAsia="宋体" w:cs="宋体"/>
                <w:color w:val="auto"/>
                <w:sz w:val="24"/>
                <w:szCs w:val="24"/>
                <w:highlight w:val="none"/>
              </w:rPr>
              <w:t>时</w:t>
            </w:r>
            <w:r>
              <w:rPr>
                <w:rFonts w:hint="eastAsia" w:ascii="宋体" w:eastAsia="宋体" w:cs="宋体"/>
                <w:color w:val="auto"/>
                <w:sz w:val="24"/>
                <w:highlight w:val="none"/>
              </w:rPr>
              <w:t>（北京时间）前，将投标保证金缴纳至采购代理机构指定账户。投标保证金应采用人民币，以非现金形式的电汇、网银或银行保函等方式，由供应商的账户汇出(个体工商户除外)提交。</w:t>
            </w:r>
          </w:p>
          <w:p w14:paraId="345E8C9F">
            <w:pPr>
              <w:pStyle w:val="39"/>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240" w:firstLineChars="100"/>
              <w:textAlignment w:val="auto"/>
              <w:rPr>
                <w:rFonts w:hint="eastAsia" w:ascii="宋体" w:eastAsia="宋体" w:cs="宋体"/>
                <w:color w:val="auto"/>
                <w:sz w:val="24"/>
                <w:highlight w:val="none"/>
              </w:rPr>
            </w:pPr>
            <w:r>
              <w:rPr>
                <w:rFonts w:hint="eastAsia" w:ascii="宋体" w:eastAsia="宋体" w:cs="宋体"/>
                <w:color w:val="auto"/>
                <w:sz w:val="24"/>
                <w:highlight w:val="none"/>
              </w:rPr>
              <w:t>账户名称：新疆恒达壹品项目管理咨询有限公司</w:t>
            </w:r>
          </w:p>
          <w:p w14:paraId="7C142B3F">
            <w:pPr>
              <w:pStyle w:val="39"/>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240" w:firstLineChars="100"/>
              <w:textAlignment w:val="auto"/>
              <w:rPr>
                <w:rFonts w:hint="eastAsia" w:ascii="宋体" w:eastAsia="宋体" w:cs="宋体"/>
                <w:color w:val="auto"/>
                <w:sz w:val="24"/>
                <w:highlight w:val="none"/>
              </w:rPr>
            </w:pPr>
            <w:r>
              <w:rPr>
                <w:rFonts w:hint="eastAsia" w:ascii="宋体" w:eastAsia="宋体" w:cs="宋体"/>
                <w:color w:val="auto"/>
                <w:sz w:val="24"/>
                <w:highlight w:val="none"/>
              </w:rPr>
              <w:t>开户行：兴业银行乌鲁木齐高新区支行</w:t>
            </w:r>
          </w:p>
          <w:p w14:paraId="330D2D98">
            <w:pPr>
              <w:pStyle w:val="39"/>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240" w:firstLineChars="100"/>
              <w:textAlignment w:val="auto"/>
              <w:rPr>
                <w:rFonts w:hint="eastAsia" w:ascii="宋体" w:eastAsia="宋体" w:cs="宋体"/>
                <w:color w:val="auto"/>
                <w:sz w:val="24"/>
                <w:highlight w:val="none"/>
              </w:rPr>
            </w:pPr>
            <w:r>
              <w:rPr>
                <w:rFonts w:hint="eastAsia" w:ascii="宋体" w:eastAsia="宋体" w:cs="宋体"/>
                <w:color w:val="auto"/>
                <w:sz w:val="24"/>
                <w:highlight w:val="none"/>
              </w:rPr>
              <w:t>银行账号：512040100100995788</w:t>
            </w:r>
          </w:p>
          <w:p w14:paraId="35C5DE2F">
            <w:pPr>
              <w:pStyle w:val="39"/>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240" w:firstLineChars="100"/>
              <w:textAlignment w:val="auto"/>
              <w:rPr>
                <w:rFonts w:hint="eastAsia" w:ascii="宋体" w:eastAsia="宋体" w:cs="宋体"/>
                <w:color w:val="auto"/>
                <w:sz w:val="24"/>
                <w:highlight w:val="none"/>
              </w:rPr>
            </w:pPr>
            <w:r>
              <w:rPr>
                <w:rFonts w:hint="eastAsia" w:ascii="宋体" w:eastAsia="宋体" w:cs="宋体"/>
                <w:color w:val="auto"/>
                <w:sz w:val="24"/>
                <w:highlight w:val="none"/>
              </w:rPr>
              <w:t>行号：309881002044</w:t>
            </w:r>
          </w:p>
          <w:p w14:paraId="2E5E1F43">
            <w:pPr>
              <w:pStyle w:val="39"/>
              <w:shd w:val="clear" w:color="auto" w:fill="FFFFFF"/>
              <w:spacing w:line="360" w:lineRule="exact"/>
              <w:ind w:firstLine="0" w:firstLineChars="0"/>
              <w:rPr>
                <w:rFonts w:hint="eastAsia" w:ascii="宋体" w:eastAsia="宋体" w:cs="宋体"/>
                <w:color w:val="auto"/>
                <w:sz w:val="24"/>
                <w:highlight w:val="none"/>
              </w:rPr>
            </w:pPr>
            <w:r>
              <w:rPr>
                <w:rFonts w:hint="eastAsia" w:ascii="宋体" w:eastAsia="宋体" w:cs="宋体"/>
                <w:color w:val="auto"/>
                <w:sz w:val="24"/>
                <w:highlight w:val="none"/>
              </w:rPr>
              <w:t>注：</w:t>
            </w:r>
          </w:p>
          <w:p w14:paraId="5E4F8EBC">
            <w:pPr>
              <w:pStyle w:val="39"/>
              <w:shd w:val="clear" w:color="auto" w:fill="FFFFFF"/>
              <w:spacing w:line="360" w:lineRule="exact"/>
              <w:ind w:firstLine="0" w:firstLineChars="0"/>
              <w:rPr>
                <w:rFonts w:ascii="宋体" w:eastAsia="宋体" w:cs="宋体"/>
                <w:color w:val="auto"/>
                <w:sz w:val="24"/>
                <w:highlight w:val="none"/>
              </w:rPr>
            </w:pPr>
            <w:r>
              <w:rPr>
                <w:rFonts w:hint="eastAsia" w:ascii="宋体" w:eastAsia="宋体" w:cs="宋体"/>
                <w:color w:val="auto"/>
                <w:sz w:val="24"/>
                <w:highlight w:val="none"/>
              </w:rPr>
              <w:t>1.如果发现供应商有围标、串标行为，其响应无效，且</w:t>
            </w:r>
            <w:r>
              <w:rPr>
                <w:rFonts w:hint="eastAsia" w:ascii="宋体" w:eastAsia="宋体" w:cs="宋体"/>
                <w:color w:val="auto"/>
                <w:sz w:val="24"/>
                <w:highlight w:val="none"/>
                <w:lang w:val="en-US" w:eastAsia="zh-CN"/>
              </w:rPr>
              <w:t>磋商</w:t>
            </w:r>
            <w:r>
              <w:rPr>
                <w:rFonts w:hint="eastAsia" w:ascii="宋体" w:eastAsia="宋体" w:cs="宋体"/>
                <w:color w:val="auto"/>
                <w:sz w:val="24"/>
                <w:highlight w:val="none"/>
                <w:lang w:eastAsia="zh-CN"/>
              </w:rPr>
              <w:t>保证金</w:t>
            </w:r>
            <w:r>
              <w:rPr>
                <w:rFonts w:hint="eastAsia" w:ascii="宋体" w:eastAsia="宋体" w:cs="宋体"/>
                <w:color w:val="auto"/>
                <w:sz w:val="24"/>
                <w:highlight w:val="none"/>
              </w:rPr>
              <w:t>将被没收，不予退还；</w:t>
            </w:r>
          </w:p>
          <w:p w14:paraId="3AAE676E">
            <w:pPr>
              <w:pStyle w:val="39"/>
              <w:shd w:val="clear" w:color="auto" w:fill="FFFFFF"/>
              <w:spacing w:line="360" w:lineRule="exact"/>
              <w:ind w:firstLine="0" w:firstLineChars="0"/>
              <w:rPr>
                <w:rFonts w:ascii="宋体" w:eastAsia="宋体" w:cs="宋体"/>
                <w:color w:val="auto"/>
                <w:sz w:val="24"/>
                <w:highlight w:val="none"/>
              </w:rPr>
            </w:pPr>
            <w:r>
              <w:rPr>
                <w:rFonts w:hint="eastAsia" w:ascii="宋体" w:eastAsia="宋体" w:cs="宋体"/>
                <w:color w:val="auto"/>
                <w:sz w:val="24"/>
                <w:highlight w:val="none"/>
              </w:rPr>
              <w:t>2.</w:t>
            </w:r>
            <w:r>
              <w:rPr>
                <w:rFonts w:hint="eastAsia" w:ascii="宋体" w:eastAsia="宋体" w:cs="宋体"/>
                <w:color w:val="auto"/>
                <w:sz w:val="24"/>
                <w:highlight w:val="none"/>
                <w:lang w:val="en-US" w:eastAsia="zh-CN"/>
              </w:rPr>
              <w:t>磋商</w:t>
            </w:r>
            <w:r>
              <w:rPr>
                <w:rFonts w:hint="eastAsia" w:ascii="宋体" w:eastAsia="宋体" w:cs="宋体"/>
                <w:color w:val="auto"/>
                <w:sz w:val="24"/>
                <w:highlight w:val="none"/>
                <w:lang w:eastAsia="zh-CN"/>
              </w:rPr>
              <w:t>保证金</w:t>
            </w:r>
            <w:r>
              <w:rPr>
                <w:rFonts w:hint="eastAsia" w:ascii="宋体" w:eastAsia="宋体" w:cs="宋体"/>
                <w:color w:val="auto"/>
                <w:sz w:val="24"/>
                <w:highlight w:val="none"/>
              </w:rPr>
              <w:t>未按规定时间缴纳或提交金额不足的，将被视为无效响应</w:t>
            </w:r>
            <w:r>
              <w:rPr>
                <w:rFonts w:hint="eastAsia" w:ascii="宋体" w:eastAsia="宋体" w:cs="宋体"/>
                <w:color w:val="auto"/>
                <w:sz w:val="24"/>
                <w:highlight w:val="none"/>
                <w:lang w:eastAsia="zh-CN"/>
              </w:rPr>
              <w:t>，</w:t>
            </w:r>
            <w:r>
              <w:rPr>
                <w:rFonts w:hint="eastAsia" w:ascii="宋体" w:eastAsia="宋体" w:cs="宋体"/>
                <w:color w:val="auto"/>
                <w:sz w:val="24"/>
                <w:highlight w:val="none"/>
              </w:rPr>
              <w:t>其响应文件将不予接受。供应商应充分考虑资金在途时间）；</w:t>
            </w:r>
          </w:p>
          <w:p w14:paraId="66902FDA">
            <w:pPr>
              <w:pStyle w:val="39"/>
              <w:shd w:val="clear" w:color="auto" w:fill="FFFFFF"/>
              <w:spacing w:line="360" w:lineRule="exact"/>
              <w:ind w:firstLine="0" w:firstLineChars="0"/>
              <w:rPr>
                <w:rFonts w:ascii="宋体" w:eastAsia="宋体" w:cs="宋体"/>
                <w:color w:val="auto"/>
                <w:sz w:val="24"/>
                <w:highlight w:val="none"/>
              </w:rPr>
            </w:pPr>
            <w:r>
              <w:rPr>
                <w:rFonts w:hint="eastAsia" w:ascii="宋体" w:eastAsia="宋体" w:cs="宋体"/>
                <w:color w:val="auto"/>
                <w:sz w:val="24"/>
                <w:highlight w:val="none"/>
              </w:rPr>
              <w:t>3.供应商递交保证金时请在汇款时注明“项目简称、汇款事由（磋商保证金）”，对因未注明项目简称及汇款事由而造成保证金不能及时到账的，后果由供应商自负。</w:t>
            </w:r>
          </w:p>
        </w:tc>
      </w:tr>
      <w:tr w14:paraId="61E3A0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12" w:space="0"/>
              <w:bottom w:val="single" w:color="auto" w:sz="4" w:space="0"/>
              <w:right w:val="single" w:color="auto" w:sz="4" w:space="0"/>
              <w:tl2br w:val="nil"/>
              <w:tr2bl w:val="nil"/>
            </w:tcBorders>
            <w:noWrap/>
            <w:vAlign w:val="center"/>
          </w:tcPr>
          <w:p w14:paraId="44B40061">
            <w:pPr>
              <w:shd w:val="clear" w:color="auto" w:fill="FFFFFF"/>
              <w:autoSpaceDE w:val="0"/>
              <w:autoSpaceDN w:val="0"/>
              <w:spacing w:line="3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1930" w:type="dxa"/>
            <w:tcBorders>
              <w:top w:val="single" w:color="auto" w:sz="4" w:space="0"/>
              <w:left w:val="single" w:color="auto" w:sz="4" w:space="0"/>
              <w:bottom w:val="single" w:color="auto" w:sz="4" w:space="0"/>
              <w:right w:val="single" w:color="auto" w:sz="4" w:space="0"/>
              <w:tl2br w:val="nil"/>
              <w:tr2bl w:val="nil"/>
            </w:tcBorders>
            <w:noWrap/>
            <w:vAlign w:val="center"/>
          </w:tcPr>
          <w:p w14:paraId="60DB0B12">
            <w:pPr>
              <w:pStyle w:val="39"/>
              <w:shd w:val="clear" w:color="auto" w:fill="FFFFFF"/>
              <w:spacing w:line="360" w:lineRule="exact"/>
              <w:ind w:firstLine="0" w:firstLineChars="0"/>
              <w:jc w:val="center"/>
              <w:rPr>
                <w:rFonts w:ascii="宋体" w:eastAsia="宋体" w:cs="宋体"/>
                <w:color w:val="auto"/>
                <w:sz w:val="24"/>
                <w:highlight w:val="none"/>
              </w:rPr>
            </w:pPr>
            <w:r>
              <w:rPr>
                <w:rFonts w:hint="eastAsia" w:ascii="宋体" w:eastAsia="宋体" w:cs="宋体"/>
                <w:color w:val="auto"/>
                <w:sz w:val="24"/>
                <w:highlight w:val="none"/>
              </w:rPr>
              <w:t>对</w:t>
            </w:r>
            <w:r>
              <w:rPr>
                <w:rFonts w:hint="eastAsia" w:ascii="宋体" w:eastAsia="宋体" w:cs="宋体"/>
                <w:color w:val="auto"/>
                <w:sz w:val="24"/>
                <w:highlight w:val="none"/>
                <w:lang w:eastAsia="zh-CN"/>
              </w:rPr>
              <w:t>磋商文件</w:t>
            </w:r>
            <w:r>
              <w:rPr>
                <w:rFonts w:hint="eastAsia" w:ascii="宋体" w:eastAsia="宋体" w:cs="宋体"/>
                <w:color w:val="auto"/>
                <w:sz w:val="24"/>
                <w:highlight w:val="none"/>
              </w:rPr>
              <w:t>的质疑</w:t>
            </w:r>
          </w:p>
        </w:tc>
        <w:tc>
          <w:tcPr>
            <w:tcW w:w="7243" w:type="dxa"/>
            <w:tcBorders>
              <w:top w:val="single" w:color="auto" w:sz="4" w:space="0"/>
              <w:left w:val="single" w:color="auto" w:sz="4" w:space="0"/>
              <w:bottom w:val="single" w:color="auto" w:sz="4" w:space="0"/>
              <w:right w:val="single" w:color="auto" w:sz="12" w:space="0"/>
              <w:tl2br w:val="nil"/>
              <w:tr2bl w:val="nil"/>
            </w:tcBorders>
            <w:noWrap/>
            <w:vAlign w:val="center"/>
          </w:tcPr>
          <w:p w14:paraId="780DD102">
            <w:pPr>
              <w:pStyle w:val="39"/>
              <w:shd w:val="clear" w:color="auto" w:fill="FFFFFF"/>
              <w:spacing w:line="360" w:lineRule="exact"/>
              <w:ind w:firstLine="0" w:firstLineChars="0"/>
              <w:rPr>
                <w:rFonts w:ascii="宋体" w:eastAsia="宋体" w:cs="宋体"/>
                <w:color w:val="auto"/>
                <w:sz w:val="24"/>
                <w:highlight w:val="none"/>
              </w:rPr>
            </w:pPr>
            <w:r>
              <w:rPr>
                <w:rFonts w:hint="eastAsia" w:ascii="宋体" w:eastAsia="宋体" w:cs="宋体"/>
                <w:color w:val="auto"/>
                <w:sz w:val="24"/>
                <w:highlight w:val="none"/>
              </w:rPr>
              <w:t>供应商若对</w:t>
            </w:r>
            <w:r>
              <w:rPr>
                <w:rFonts w:hint="eastAsia" w:ascii="宋体" w:eastAsia="宋体" w:cs="宋体"/>
                <w:color w:val="auto"/>
                <w:sz w:val="24"/>
                <w:highlight w:val="none"/>
                <w:lang w:val="en-US" w:eastAsia="zh-CN"/>
              </w:rPr>
              <w:t>竞争性</w:t>
            </w:r>
            <w:r>
              <w:rPr>
                <w:rFonts w:hint="eastAsia" w:ascii="宋体" w:eastAsia="宋体" w:cs="宋体"/>
                <w:color w:val="auto"/>
                <w:sz w:val="24"/>
                <w:highlight w:val="none"/>
                <w:lang w:eastAsia="zh-CN"/>
              </w:rPr>
              <w:t>磋商文件</w:t>
            </w:r>
            <w:r>
              <w:rPr>
                <w:rFonts w:hint="eastAsia" w:ascii="宋体" w:eastAsia="宋体" w:cs="宋体"/>
                <w:color w:val="auto"/>
                <w:sz w:val="24"/>
                <w:highlight w:val="none"/>
              </w:rPr>
              <w:t>内容质疑，须按以下要求提出：</w:t>
            </w:r>
          </w:p>
          <w:p w14:paraId="6E5E5791">
            <w:pPr>
              <w:pStyle w:val="39"/>
              <w:shd w:val="clear" w:color="auto" w:fill="FFFFFF"/>
              <w:spacing w:line="360" w:lineRule="exact"/>
              <w:ind w:firstLine="0" w:firstLineChars="0"/>
              <w:rPr>
                <w:rFonts w:ascii="宋体" w:eastAsia="宋体" w:cs="宋体"/>
                <w:color w:val="auto"/>
                <w:sz w:val="24"/>
                <w:highlight w:val="none"/>
              </w:rPr>
            </w:pPr>
            <w:r>
              <w:rPr>
                <w:rFonts w:hint="eastAsia" w:ascii="宋体" w:eastAsia="宋体" w:cs="宋体"/>
                <w:color w:val="auto"/>
                <w:sz w:val="24"/>
                <w:highlight w:val="none"/>
              </w:rPr>
              <w:t>①质疑函应以书面形式（详见 供应商须知 第14.1款）通知采购代理机构。采购代理机构将在收到质疑函后7个工作日内作出答复，并以书面形式通知质疑供应商和其他有关供应商。</w:t>
            </w:r>
          </w:p>
          <w:p w14:paraId="2AE3FF4F">
            <w:pPr>
              <w:pStyle w:val="39"/>
              <w:shd w:val="clear" w:color="auto" w:fill="FFFFFF"/>
              <w:spacing w:line="360" w:lineRule="exact"/>
              <w:ind w:firstLine="0" w:firstLineChars="0"/>
              <w:rPr>
                <w:rFonts w:ascii="宋体" w:eastAsia="宋体" w:cs="宋体"/>
                <w:b/>
                <w:bCs/>
                <w:color w:val="auto"/>
                <w:sz w:val="24"/>
                <w:highlight w:val="none"/>
              </w:rPr>
            </w:pPr>
            <w:r>
              <w:rPr>
                <w:rFonts w:hint="eastAsia" w:ascii="宋体" w:eastAsia="宋体" w:cs="宋体"/>
                <w:b/>
                <w:bCs/>
                <w:color w:val="auto"/>
                <w:sz w:val="24"/>
                <w:highlight w:val="none"/>
              </w:rPr>
              <w:t>②供应商应在法定质疑期内一次性提出所有质疑内容。</w:t>
            </w:r>
          </w:p>
          <w:p w14:paraId="239AFCA3">
            <w:pPr>
              <w:pStyle w:val="39"/>
              <w:shd w:val="clear" w:color="auto" w:fill="FFFFFF"/>
              <w:spacing w:line="360" w:lineRule="exact"/>
              <w:ind w:firstLine="0" w:firstLineChars="0"/>
              <w:rPr>
                <w:rFonts w:hint="eastAsia" w:ascii="宋体" w:eastAsia="宋体" w:cs="宋体"/>
                <w:color w:val="auto"/>
                <w:sz w:val="24"/>
                <w:lang w:eastAsia="zh-CN"/>
              </w:rPr>
            </w:pPr>
            <w:r>
              <w:rPr>
                <w:rFonts w:hint="eastAsia" w:ascii="宋体" w:eastAsia="宋体" w:cs="宋体"/>
                <w:color w:val="auto"/>
                <w:sz w:val="24"/>
              </w:rPr>
              <w:t>③联系部门：</w:t>
            </w:r>
            <w:r>
              <w:rPr>
                <w:rFonts w:hint="eastAsia" w:ascii="宋体" w:eastAsia="宋体" w:cs="宋体"/>
                <w:color w:val="auto"/>
                <w:sz w:val="24"/>
                <w:lang w:eastAsia="zh-CN"/>
              </w:rPr>
              <w:t>新疆恒达壹品项目管理咨询有限公司</w:t>
            </w:r>
          </w:p>
          <w:p w14:paraId="36BBF502">
            <w:pPr>
              <w:pStyle w:val="39"/>
              <w:shd w:val="clear" w:color="auto" w:fill="FFFFFF"/>
              <w:spacing w:line="360" w:lineRule="exact"/>
              <w:ind w:firstLine="0" w:firstLineChars="0"/>
              <w:rPr>
                <w:rFonts w:ascii="宋体" w:eastAsia="宋体" w:cs="宋体"/>
                <w:color w:val="auto"/>
                <w:sz w:val="24"/>
              </w:rPr>
            </w:pPr>
            <w:r>
              <w:rPr>
                <w:rFonts w:hint="eastAsia" w:ascii="宋体" w:eastAsia="宋体" w:cs="宋体"/>
                <w:color w:val="auto"/>
                <w:sz w:val="24"/>
              </w:rPr>
              <w:t>④联系电话：</w:t>
            </w:r>
            <w:r>
              <w:rPr>
                <w:rFonts w:hint="eastAsia" w:ascii="宋体" w:hAnsi="宋体" w:eastAsia="宋体" w:cs="宋体"/>
                <w:bCs/>
                <w:color w:val="auto"/>
                <w:sz w:val="24"/>
                <w:szCs w:val="24"/>
              </w:rPr>
              <w:t>0991—4825717</w:t>
            </w:r>
          </w:p>
          <w:p w14:paraId="4608C76E">
            <w:pPr>
              <w:pStyle w:val="39"/>
              <w:shd w:val="clear" w:color="auto" w:fill="FFFFFF"/>
              <w:spacing w:line="360" w:lineRule="exact"/>
              <w:ind w:firstLine="0" w:firstLineChars="0"/>
              <w:rPr>
                <w:rFonts w:ascii="宋体" w:eastAsia="宋体" w:cs="宋体"/>
                <w:color w:val="auto"/>
                <w:sz w:val="24"/>
                <w:highlight w:val="none"/>
              </w:rPr>
            </w:pPr>
            <w:r>
              <w:rPr>
                <w:rFonts w:hint="eastAsia" w:ascii="宋体" w:eastAsia="宋体" w:cs="宋体"/>
                <w:color w:val="auto"/>
                <w:sz w:val="24"/>
              </w:rPr>
              <w:t>⑤通讯地址：</w:t>
            </w:r>
            <w:r>
              <w:rPr>
                <w:rFonts w:hint="eastAsia" w:ascii="宋体" w:hAnsi="宋体" w:eastAsia="宋体" w:cs="宋体"/>
                <w:bCs/>
                <w:color w:val="auto"/>
                <w:sz w:val="24"/>
                <w:szCs w:val="24"/>
                <w:lang w:val="en-US" w:eastAsia="zh-CN"/>
              </w:rPr>
              <w:t>新疆乌鲁木齐市水磨沟区红光山路888号绿城广场商业综合楼1B座2204</w:t>
            </w:r>
          </w:p>
        </w:tc>
      </w:tr>
      <w:tr w14:paraId="3F7CBF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12" w:space="0"/>
              <w:bottom w:val="single" w:color="auto" w:sz="4" w:space="0"/>
              <w:right w:val="single" w:color="auto" w:sz="4" w:space="0"/>
              <w:tl2br w:val="nil"/>
              <w:tr2bl w:val="nil"/>
            </w:tcBorders>
            <w:noWrap/>
            <w:vAlign w:val="center"/>
          </w:tcPr>
          <w:p w14:paraId="2FC5D34B">
            <w:pPr>
              <w:shd w:val="clear" w:color="auto" w:fill="FFFFFF"/>
              <w:autoSpaceDE w:val="0"/>
              <w:autoSpaceDN w:val="0"/>
              <w:spacing w:line="3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1930" w:type="dxa"/>
            <w:tcBorders>
              <w:top w:val="single" w:color="auto" w:sz="4" w:space="0"/>
              <w:left w:val="single" w:color="auto" w:sz="4" w:space="0"/>
              <w:bottom w:val="single" w:color="auto" w:sz="4" w:space="0"/>
              <w:right w:val="single" w:color="auto" w:sz="4" w:space="0"/>
              <w:tl2br w:val="nil"/>
              <w:tr2bl w:val="nil"/>
            </w:tcBorders>
            <w:noWrap/>
            <w:vAlign w:val="center"/>
          </w:tcPr>
          <w:p w14:paraId="2A729993">
            <w:pPr>
              <w:shd w:val="clear" w:color="auto" w:fill="FFFFFF"/>
              <w:autoSpaceDE w:val="0"/>
              <w:autoSpaceDN w:val="0"/>
              <w:spacing w:line="3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履约保证金</w:t>
            </w:r>
          </w:p>
        </w:tc>
        <w:tc>
          <w:tcPr>
            <w:tcW w:w="7243" w:type="dxa"/>
            <w:tcBorders>
              <w:top w:val="single" w:color="auto" w:sz="4" w:space="0"/>
              <w:left w:val="single" w:color="auto" w:sz="4" w:space="0"/>
              <w:bottom w:val="single" w:color="auto" w:sz="4" w:space="0"/>
              <w:right w:val="single" w:color="auto" w:sz="12" w:space="0"/>
              <w:tl2br w:val="nil"/>
              <w:tr2bl w:val="nil"/>
            </w:tcBorders>
            <w:noWrap/>
            <w:vAlign w:val="center"/>
          </w:tcPr>
          <w:p w14:paraId="3926B479">
            <w:pPr>
              <w:pStyle w:val="39"/>
              <w:shd w:val="clear" w:color="auto" w:fill="FFFFFF"/>
              <w:spacing w:line="360" w:lineRule="exact"/>
              <w:ind w:firstLine="0" w:firstLineChars="0"/>
              <w:rPr>
                <w:rFonts w:ascii="宋体" w:eastAsia="宋体" w:cs="宋体"/>
                <w:color w:val="auto"/>
                <w:sz w:val="24"/>
                <w:highlight w:val="none"/>
              </w:rPr>
            </w:pPr>
            <w:r>
              <w:rPr>
                <w:rFonts w:hint="eastAsia" w:ascii="宋体" w:eastAsia="宋体" w:cs="宋体"/>
                <w:color w:val="auto"/>
                <w:sz w:val="24"/>
                <w:highlight w:val="none"/>
              </w:rPr>
              <w:t>/</w:t>
            </w:r>
          </w:p>
        </w:tc>
      </w:tr>
      <w:tr w14:paraId="606C79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09" w:type="dxa"/>
            <w:vMerge w:val="restart"/>
            <w:tcBorders>
              <w:top w:val="single" w:color="auto" w:sz="4" w:space="0"/>
              <w:left w:val="single" w:color="auto" w:sz="12" w:space="0"/>
              <w:bottom w:val="single" w:color="auto" w:sz="4" w:space="0"/>
              <w:right w:val="single" w:color="auto" w:sz="4" w:space="0"/>
              <w:tl2br w:val="nil"/>
              <w:tr2bl w:val="nil"/>
            </w:tcBorders>
            <w:noWrap/>
            <w:vAlign w:val="center"/>
          </w:tcPr>
          <w:p w14:paraId="136D5CD9">
            <w:pPr>
              <w:shd w:val="clear" w:color="auto" w:fill="FFFFFF"/>
              <w:autoSpaceDE w:val="0"/>
              <w:autoSpaceDN w:val="0"/>
              <w:spacing w:line="3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1930" w:type="dxa"/>
            <w:tcBorders>
              <w:top w:val="single" w:color="auto" w:sz="4" w:space="0"/>
              <w:left w:val="single" w:color="auto" w:sz="4" w:space="0"/>
              <w:bottom w:val="single" w:color="auto" w:sz="4" w:space="0"/>
              <w:right w:val="single" w:color="auto" w:sz="4" w:space="0"/>
              <w:tl2br w:val="nil"/>
              <w:tr2bl w:val="nil"/>
            </w:tcBorders>
            <w:noWrap/>
            <w:vAlign w:val="center"/>
          </w:tcPr>
          <w:p w14:paraId="63EBA600">
            <w:pPr>
              <w:shd w:val="clear" w:color="auto" w:fill="FFFFFF"/>
              <w:autoSpaceDE w:val="0"/>
              <w:autoSpaceDN w:val="0"/>
              <w:spacing w:line="360" w:lineRule="exact"/>
              <w:jc w:val="center"/>
              <w:rPr>
                <w:rFonts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期限</w:t>
            </w:r>
          </w:p>
        </w:tc>
        <w:tc>
          <w:tcPr>
            <w:tcW w:w="7243" w:type="dxa"/>
            <w:tcBorders>
              <w:top w:val="single" w:color="auto" w:sz="4" w:space="0"/>
              <w:left w:val="single" w:color="auto" w:sz="4" w:space="0"/>
              <w:bottom w:val="single" w:color="auto" w:sz="4" w:space="0"/>
              <w:right w:val="single" w:color="auto" w:sz="12" w:space="0"/>
              <w:tl2br w:val="nil"/>
              <w:tr2bl w:val="nil"/>
            </w:tcBorders>
            <w:noWrap/>
            <w:vAlign w:val="center"/>
          </w:tcPr>
          <w:p w14:paraId="3CD8A7F9">
            <w:pPr>
              <w:spacing w:line="3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1年</w:t>
            </w:r>
            <w:r>
              <w:rPr>
                <w:rFonts w:hint="eastAsia" w:ascii="宋体" w:hAnsi="宋体" w:eastAsia="宋体" w:cs="宋体"/>
                <w:color w:val="auto"/>
                <w:sz w:val="24"/>
                <w:szCs w:val="24"/>
                <w:highlight w:val="none"/>
              </w:rPr>
              <w:t>。</w:t>
            </w:r>
          </w:p>
        </w:tc>
      </w:tr>
      <w:tr w14:paraId="6F4E20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09" w:type="dxa"/>
            <w:vMerge w:val="continue"/>
            <w:tcBorders>
              <w:top w:val="single" w:color="auto" w:sz="4" w:space="0"/>
              <w:left w:val="single" w:color="auto" w:sz="12" w:space="0"/>
              <w:bottom w:val="single" w:color="auto" w:sz="4" w:space="0"/>
              <w:right w:val="single" w:color="auto" w:sz="4" w:space="0"/>
              <w:tl2br w:val="nil"/>
              <w:tr2bl w:val="nil"/>
            </w:tcBorders>
            <w:noWrap/>
            <w:vAlign w:val="center"/>
          </w:tcPr>
          <w:p w14:paraId="2B5F0EEB">
            <w:pPr>
              <w:shd w:val="clear" w:color="auto" w:fill="FFFFFF"/>
              <w:autoSpaceDE w:val="0"/>
              <w:autoSpaceDN w:val="0"/>
              <w:spacing w:line="360" w:lineRule="exact"/>
              <w:jc w:val="center"/>
              <w:rPr>
                <w:rFonts w:ascii="宋体" w:hAnsi="宋体" w:eastAsia="宋体" w:cs="宋体"/>
                <w:color w:val="auto"/>
                <w:kern w:val="0"/>
                <w:sz w:val="24"/>
                <w:szCs w:val="24"/>
                <w:highlight w:val="none"/>
              </w:rPr>
            </w:pPr>
          </w:p>
        </w:tc>
        <w:tc>
          <w:tcPr>
            <w:tcW w:w="1930" w:type="dxa"/>
            <w:tcBorders>
              <w:top w:val="single" w:color="auto" w:sz="4" w:space="0"/>
              <w:left w:val="single" w:color="auto" w:sz="4" w:space="0"/>
              <w:bottom w:val="single" w:color="auto" w:sz="4" w:space="0"/>
              <w:right w:val="single" w:color="auto" w:sz="4" w:space="0"/>
              <w:tl2br w:val="nil"/>
              <w:tr2bl w:val="nil"/>
            </w:tcBorders>
            <w:noWrap/>
            <w:vAlign w:val="center"/>
          </w:tcPr>
          <w:p w14:paraId="34869BF2">
            <w:pPr>
              <w:pStyle w:val="39"/>
              <w:shd w:val="clear" w:color="auto" w:fill="FFFFFF"/>
              <w:spacing w:line="360" w:lineRule="exact"/>
              <w:ind w:firstLine="0" w:firstLineChars="0"/>
              <w:jc w:val="center"/>
              <w:rPr>
                <w:rFonts w:ascii="宋体" w:eastAsia="宋体" w:cs="宋体"/>
                <w:color w:val="auto"/>
                <w:sz w:val="24"/>
                <w:highlight w:val="none"/>
              </w:rPr>
            </w:pPr>
            <w:r>
              <w:rPr>
                <w:rFonts w:hint="eastAsia" w:ascii="宋体" w:eastAsia="宋体" w:cs="宋体"/>
                <w:b/>
                <w:bCs/>
                <w:color w:val="auto"/>
                <w:sz w:val="24"/>
                <w:highlight w:val="none"/>
              </w:rPr>
              <w:t>★</w:t>
            </w:r>
            <w:r>
              <w:rPr>
                <w:rFonts w:hint="eastAsia" w:ascii="宋体" w:eastAsia="宋体" w:cs="宋体"/>
                <w:color w:val="auto"/>
                <w:sz w:val="24"/>
                <w:highlight w:val="none"/>
                <w:lang w:val="en-US" w:eastAsia="zh-CN"/>
              </w:rPr>
              <w:t>服务</w:t>
            </w:r>
            <w:r>
              <w:rPr>
                <w:rFonts w:hint="eastAsia" w:ascii="宋体" w:eastAsia="宋体" w:cs="宋体"/>
                <w:color w:val="auto"/>
                <w:sz w:val="24"/>
                <w:highlight w:val="none"/>
              </w:rPr>
              <w:t>地点</w:t>
            </w:r>
          </w:p>
        </w:tc>
        <w:tc>
          <w:tcPr>
            <w:tcW w:w="7243" w:type="dxa"/>
            <w:tcBorders>
              <w:top w:val="single" w:color="auto" w:sz="4" w:space="0"/>
              <w:left w:val="single" w:color="auto" w:sz="4" w:space="0"/>
              <w:bottom w:val="single" w:color="auto" w:sz="4" w:space="0"/>
              <w:right w:val="single" w:color="auto" w:sz="12" w:space="0"/>
              <w:tl2br w:val="nil"/>
              <w:tr2bl w:val="nil"/>
            </w:tcBorders>
            <w:noWrap/>
            <w:vAlign w:val="center"/>
          </w:tcPr>
          <w:p w14:paraId="7C068BA7">
            <w:pPr>
              <w:pStyle w:val="39"/>
              <w:shd w:val="clear" w:color="auto" w:fill="FFFFFF"/>
              <w:spacing w:line="360" w:lineRule="exact"/>
              <w:ind w:firstLine="0" w:firstLineChars="0"/>
              <w:rPr>
                <w:rFonts w:ascii="宋体" w:eastAsia="宋体" w:cs="宋体"/>
                <w:color w:val="auto"/>
                <w:sz w:val="24"/>
                <w:highlight w:val="none"/>
              </w:rPr>
            </w:pPr>
            <w:r>
              <w:rPr>
                <w:rFonts w:hint="eastAsia" w:ascii="宋体" w:eastAsia="宋体" w:cs="宋体"/>
                <w:bCs/>
                <w:color w:val="auto"/>
                <w:sz w:val="24"/>
                <w:highlight w:val="none"/>
              </w:rPr>
              <w:t>采购人指定地点</w:t>
            </w:r>
          </w:p>
        </w:tc>
      </w:tr>
      <w:tr w14:paraId="0EB106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09" w:type="dxa"/>
            <w:tcBorders>
              <w:top w:val="single" w:color="auto" w:sz="4" w:space="0"/>
              <w:left w:val="single" w:color="auto" w:sz="12" w:space="0"/>
              <w:bottom w:val="single" w:color="auto" w:sz="4" w:space="0"/>
              <w:right w:val="single" w:color="auto" w:sz="4" w:space="0"/>
              <w:tl2br w:val="nil"/>
              <w:tr2bl w:val="nil"/>
            </w:tcBorders>
            <w:noWrap/>
            <w:vAlign w:val="center"/>
          </w:tcPr>
          <w:p w14:paraId="4F9EA278">
            <w:pPr>
              <w:shd w:val="clear" w:color="auto" w:fill="FFFFFF"/>
              <w:autoSpaceDE w:val="0"/>
              <w:autoSpaceDN w:val="0"/>
              <w:spacing w:line="3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1930" w:type="dxa"/>
            <w:tcBorders>
              <w:top w:val="single" w:color="auto" w:sz="4" w:space="0"/>
              <w:left w:val="single" w:color="auto" w:sz="4" w:space="0"/>
              <w:bottom w:val="single" w:color="auto" w:sz="4" w:space="0"/>
              <w:right w:val="single" w:color="auto" w:sz="4" w:space="0"/>
              <w:tl2br w:val="nil"/>
              <w:tr2bl w:val="nil"/>
            </w:tcBorders>
            <w:noWrap/>
            <w:vAlign w:val="center"/>
          </w:tcPr>
          <w:p w14:paraId="0D6B2E6E">
            <w:pPr>
              <w:pStyle w:val="39"/>
              <w:shd w:val="clear" w:color="auto" w:fill="FFFFFF"/>
              <w:spacing w:line="360" w:lineRule="exact"/>
              <w:ind w:firstLine="0" w:firstLineChars="0"/>
              <w:jc w:val="center"/>
              <w:rPr>
                <w:rFonts w:ascii="宋体" w:eastAsia="宋体" w:cs="宋体"/>
                <w:color w:val="auto"/>
                <w:sz w:val="24"/>
                <w:highlight w:val="none"/>
              </w:rPr>
            </w:pPr>
            <w:r>
              <w:rPr>
                <w:rFonts w:hint="eastAsia" w:ascii="宋体" w:eastAsia="宋体" w:cs="宋体"/>
                <w:color w:val="auto"/>
                <w:sz w:val="24"/>
                <w:highlight w:val="none"/>
              </w:rPr>
              <w:t>付款方式</w:t>
            </w:r>
          </w:p>
        </w:tc>
        <w:tc>
          <w:tcPr>
            <w:tcW w:w="7243" w:type="dxa"/>
            <w:tcBorders>
              <w:top w:val="single" w:color="auto" w:sz="4" w:space="0"/>
              <w:left w:val="single" w:color="auto" w:sz="4" w:space="0"/>
              <w:bottom w:val="single" w:color="auto" w:sz="4" w:space="0"/>
              <w:right w:val="single" w:color="auto" w:sz="12" w:space="0"/>
              <w:tl2br w:val="nil"/>
              <w:tr2bl w:val="nil"/>
            </w:tcBorders>
            <w:noWrap/>
            <w:vAlign w:val="center"/>
          </w:tcPr>
          <w:p w14:paraId="27932F2A">
            <w:pPr>
              <w:tabs>
                <w:tab w:val="left" w:pos="5264"/>
              </w:tabs>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以</w:t>
            </w:r>
            <w:r>
              <w:rPr>
                <w:rFonts w:hint="eastAsia" w:ascii="宋体" w:hAnsi="宋体" w:eastAsia="宋体" w:cs="宋体"/>
                <w:color w:val="auto"/>
                <w:sz w:val="24"/>
                <w:szCs w:val="24"/>
                <w:highlight w:val="none"/>
                <w:lang w:val="en-US" w:eastAsia="zh-CN"/>
              </w:rPr>
              <w:t>实际</w:t>
            </w:r>
            <w:r>
              <w:rPr>
                <w:rFonts w:hint="default" w:ascii="宋体" w:hAnsi="宋体" w:eastAsia="宋体" w:cs="宋体"/>
                <w:color w:val="auto"/>
                <w:sz w:val="24"/>
                <w:szCs w:val="24"/>
                <w:highlight w:val="none"/>
                <w:lang w:val="en-US" w:eastAsia="zh-CN"/>
              </w:rPr>
              <w:t>签订合同为准</w:t>
            </w:r>
          </w:p>
        </w:tc>
      </w:tr>
      <w:tr w14:paraId="52D8B5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709" w:type="dxa"/>
            <w:tcBorders>
              <w:top w:val="single" w:color="auto" w:sz="4" w:space="0"/>
              <w:left w:val="single" w:color="auto" w:sz="12" w:space="0"/>
              <w:bottom w:val="single" w:color="auto" w:sz="4" w:space="0"/>
              <w:right w:val="single" w:color="auto" w:sz="4" w:space="0"/>
              <w:tl2br w:val="nil"/>
              <w:tr2bl w:val="nil"/>
            </w:tcBorders>
            <w:noWrap/>
            <w:vAlign w:val="center"/>
          </w:tcPr>
          <w:p w14:paraId="6D3916C6">
            <w:pPr>
              <w:shd w:val="clear" w:color="auto" w:fill="FFFFFF"/>
              <w:autoSpaceDE w:val="0"/>
              <w:autoSpaceDN w:val="0"/>
              <w:spacing w:line="3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1930" w:type="dxa"/>
            <w:tcBorders>
              <w:top w:val="single" w:color="auto" w:sz="4" w:space="0"/>
              <w:left w:val="single" w:color="auto" w:sz="4" w:space="0"/>
              <w:bottom w:val="single" w:color="auto" w:sz="4" w:space="0"/>
              <w:right w:val="single" w:color="auto" w:sz="4" w:space="0"/>
              <w:tl2br w:val="nil"/>
              <w:tr2bl w:val="nil"/>
            </w:tcBorders>
            <w:noWrap/>
            <w:vAlign w:val="center"/>
          </w:tcPr>
          <w:p w14:paraId="51CC636D">
            <w:pPr>
              <w:shd w:val="clear" w:color="auto" w:fill="FFFFFF"/>
              <w:autoSpaceDE w:val="0"/>
              <w:autoSpaceDN w:val="0"/>
              <w:spacing w:line="3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质保期</w:t>
            </w:r>
          </w:p>
        </w:tc>
        <w:tc>
          <w:tcPr>
            <w:tcW w:w="7243" w:type="dxa"/>
            <w:tcBorders>
              <w:top w:val="single" w:color="auto" w:sz="4" w:space="0"/>
              <w:left w:val="single" w:color="auto" w:sz="4" w:space="0"/>
              <w:bottom w:val="single" w:color="auto" w:sz="4" w:space="0"/>
              <w:right w:val="single" w:color="auto" w:sz="12" w:space="0"/>
              <w:tl2br w:val="nil"/>
              <w:tr2bl w:val="nil"/>
            </w:tcBorders>
            <w:noWrap/>
            <w:vAlign w:val="center"/>
          </w:tcPr>
          <w:p w14:paraId="2276936F">
            <w:pPr>
              <w:pStyle w:val="39"/>
              <w:shd w:val="clear" w:color="auto" w:fill="FFFFFF"/>
              <w:spacing w:line="360" w:lineRule="exact"/>
              <w:ind w:firstLine="0" w:firstLineChars="0"/>
              <w:rPr>
                <w:rFonts w:hint="default" w:ascii="宋体" w:eastAsia="宋体" w:cs="宋体"/>
                <w:color w:val="auto"/>
                <w:sz w:val="24"/>
                <w:highlight w:val="none"/>
                <w:lang w:val="en-US" w:eastAsia="zh-CN"/>
              </w:rPr>
            </w:pPr>
            <w:r>
              <w:rPr>
                <w:rFonts w:hint="eastAsia" w:ascii="宋体" w:eastAsia="宋体" w:cs="宋体"/>
                <w:color w:val="auto"/>
                <w:sz w:val="24"/>
                <w:highlight w:val="none"/>
                <w:lang w:val="en-US" w:eastAsia="zh-CN"/>
              </w:rPr>
              <w:t>/</w:t>
            </w:r>
          </w:p>
        </w:tc>
      </w:tr>
      <w:tr w14:paraId="6B823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709" w:type="dxa"/>
            <w:tcBorders>
              <w:top w:val="single" w:color="auto" w:sz="4" w:space="0"/>
              <w:left w:val="single" w:color="auto" w:sz="12" w:space="0"/>
              <w:bottom w:val="single" w:color="auto" w:sz="4" w:space="0"/>
              <w:right w:val="single" w:color="auto" w:sz="4" w:space="0"/>
              <w:tl2br w:val="nil"/>
              <w:tr2bl w:val="nil"/>
            </w:tcBorders>
            <w:noWrap/>
            <w:vAlign w:val="center"/>
          </w:tcPr>
          <w:p w14:paraId="2516BF28">
            <w:pPr>
              <w:shd w:val="clear" w:color="auto" w:fill="FFFFFF"/>
              <w:autoSpaceDE w:val="0"/>
              <w:autoSpaceDN w:val="0"/>
              <w:spacing w:line="3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1930" w:type="dxa"/>
            <w:tcBorders>
              <w:top w:val="single" w:color="auto" w:sz="4" w:space="0"/>
              <w:left w:val="single" w:color="auto" w:sz="4" w:space="0"/>
              <w:bottom w:val="single" w:color="auto" w:sz="4" w:space="0"/>
              <w:right w:val="single" w:color="auto" w:sz="4" w:space="0"/>
              <w:tl2br w:val="nil"/>
              <w:tr2bl w:val="nil"/>
            </w:tcBorders>
            <w:noWrap/>
            <w:vAlign w:val="center"/>
          </w:tcPr>
          <w:p w14:paraId="4B88F20D">
            <w:pPr>
              <w:shd w:val="clear" w:color="auto" w:fill="FFFFFF"/>
              <w:autoSpaceDE w:val="0"/>
              <w:autoSpaceDN w:val="0"/>
              <w:spacing w:line="3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数量调整</w:t>
            </w:r>
          </w:p>
        </w:tc>
        <w:tc>
          <w:tcPr>
            <w:tcW w:w="7243" w:type="dxa"/>
            <w:tcBorders>
              <w:top w:val="single" w:color="auto" w:sz="4" w:space="0"/>
              <w:left w:val="single" w:color="auto" w:sz="4" w:space="0"/>
              <w:bottom w:val="single" w:color="auto" w:sz="4" w:space="0"/>
              <w:right w:val="single" w:color="auto" w:sz="12" w:space="0"/>
              <w:tl2br w:val="nil"/>
              <w:tr2bl w:val="nil"/>
            </w:tcBorders>
            <w:noWrap/>
            <w:vAlign w:val="center"/>
          </w:tcPr>
          <w:p w14:paraId="5F6AB23A">
            <w:pPr>
              <w:pStyle w:val="39"/>
              <w:shd w:val="clear" w:color="auto" w:fill="FFFFFF"/>
              <w:spacing w:line="360" w:lineRule="exact"/>
              <w:ind w:firstLine="0" w:firstLineChars="0"/>
              <w:rPr>
                <w:rFonts w:hint="eastAsia" w:ascii="宋体" w:eastAsia="宋体" w:cs="宋体"/>
                <w:color w:val="auto"/>
                <w:sz w:val="24"/>
                <w:highlight w:val="none"/>
                <w:lang w:eastAsia="zh-CN"/>
              </w:rPr>
            </w:pPr>
            <w:r>
              <w:rPr>
                <w:rFonts w:hint="eastAsia" w:ascii="宋体" w:eastAsia="宋体" w:cs="宋体"/>
                <w:color w:val="auto"/>
                <w:sz w:val="24"/>
                <w:highlight w:val="none"/>
                <w:lang w:val="en-US" w:eastAsia="zh-CN"/>
              </w:rPr>
              <w:t>/</w:t>
            </w:r>
          </w:p>
        </w:tc>
      </w:tr>
      <w:tr w14:paraId="1503A8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12" w:space="0"/>
              <w:bottom w:val="single" w:color="auto" w:sz="4" w:space="0"/>
              <w:right w:val="single" w:color="auto" w:sz="4" w:space="0"/>
              <w:tl2br w:val="nil"/>
              <w:tr2bl w:val="nil"/>
            </w:tcBorders>
            <w:noWrap/>
            <w:vAlign w:val="center"/>
          </w:tcPr>
          <w:p w14:paraId="6619B630">
            <w:pPr>
              <w:shd w:val="clear" w:color="auto" w:fill="FFFFFF"/>
              <w:autoSpaceDE w:val="0"/>
              <w:autoSpaceDN w:val="0"/>
              <w:spacing w:line="3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p>
        </w:tc>
        <w:tc>
          <w:tcPr>
            <w:tcW w:w="1930" w:type="dxa"/>
            <w:tcBorders>
              <w:top w:val="single" w:color="auto" w:sz="4" w:space="0"/>
              <w:left w:val="single" w:color="auto" w:sz="4" w:space="0"/>
              <w:bottom w:val="single" w:color="auto" w:sz="4" w:space="0"/>
              <w:right w:val="single" w:color="auto" w:sz="4" w:space="0"/>
              <w:tl2br w:val="nil"/>
              <w:tr2bl w:val="nil"/>
            </w:tcBorders>
            <w:noWrap/>
            <w:vAlign w:val="center"/>
          </w:tcPr>
          <w:p w14:paraId="4E208557">
            <w:pPr>
              <w:shd w:val="clear" w:color="auto" w:fill="FFFFFF"/>
              <w:autoSpaceDE w:val="0"/>
              <w:autoSpaceDN w:val="0"/>
              <w:spacing w:line="3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1"/>
                <w:sz w:val="24"/>
                <w:szCs w:val="24"/>
                <w:highlight w:val="none"/>
              </w:rPr>
              <w:t>政府采购政策</w:t>
            </w:r>
          </w:p>
        </w:tc>
        <w:tc>
          <w:tcPr>
            <w:tcW w:w="7243" w:type="dxa"/>
            <w:tcBorders>
              <w:top w:val="single" w:color="auto" w:sz="4" w:space="0"/>
              <w:left w:val="single" w:color="auto" w:sz="4" w:space="0"/>
              <w:bottom w:val="single" w:color="auto" w:sz="4" w:space="0"/>
              <w:right w:val="single" w:color="auto" w:sz="12" w:space="0"/>
              <w:tl2br w:val="nil"/>
              <w:tr2bl w:val="nil"/>
            </w:tcBorders>
            <w:noWrap/>
            <w:vAlign w:val="center"/>
          </w:tcPr>
          <w:p w14:paraId="21FBEABE">
            <w:pPr>
              <w:spacing w:line="360" w:lineRule="exact"/>
              <w:rPr>
                <w:rFonts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lang w:val="en-US" w:eastAsia="zh-CN"/>
              </w:rPr>
              <w:t>一</w:t>
            </w:r>
            <w:r>
              <w:rPr>
                <w:rFonts w:hint="eastAsia" w:ascii="宋体" w:hAnsi="宋体" w:eastAsia="宋体" w:cs="宋体"/>
                <w:color w:val="auto"/>
                <w:kern w:val="1"/>
                <w:sz w:val="24"/>
                <w:szCs w:val="24"/>
                <w:highlight w:val="none"/>
              </w:rPr>
              <w:t>、节能、环境标志产品评审优惠内容及加分幅度：</w:t>
            </w:r>
          </w:p>
          <w:p w14:paraId="230B5FE1">
            <w:pPr>
              <w:spacing w:line="360" w:lineRule="exact"/>
              <w:rPr>
                <w:rFonts w:ascii="宋体" w:hAnsi="宋体" w:eastAsia="宋体" w:cs="宋体"/>
                <w:b/>
                <w:color w:val="auto"/>
                <w:kern w:val="1"/>
                <w:sz w:val="24"/>
                <w:szCs w:val="24"/>
                <w:highlight w:val="none"/>
              </w:rPr>
            </w:pPr>
            <w:r>
              <w:rPr>
                <w:rFonts w:hint="eastAsia" w:ascii="宋体" w:hAnsi="宋体" w:eastAsia="宋体" w:cs="宋体"/>
                <w:color w:val="auto"/>
                <w:kern w:val="1"/>
                <w:sz w:val="24"/>
                <w:szCs w:val="24"/>
                <w:highlight w:val="none"/>
              </w:rPr>
              <w:t>严格执行 《财政部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w:t>
            </w:r>
            <w:r>
              <w:rPr>
                <w:rFonts w:hint="eastAsia" w:ascii="宋体" w:hAnsi="宋体" w:eastAsia="宋体" w:cs="宋体"/>
                <w:b/>
                <w:color w:val="auto"/>
                <w:kern w:val="1"/>
                <w:sz w:val="24"/>
                <w:szCs w:val="24"/>
                <w:highlight w:val="none"/>
              </w:rPr>
              <w:t>本次投标产品类别属于政府强制采购产品类别的，须按照要求提供依据国家确定的认证机构出具的节能产品或环境标志产品认证证书，否则投标无效；属于政府优先采购产品类别的，须按照要求提供依据国家确定的认证机构出具的、节能产品或环境标志产品认证证书，否则不予认定。</w:t>
            </w:r>
            <w:r>
              <w:rPr>
                <w:rFonts w:hint="eastAsia" w:ascii="宋体" w:hAnsi="宋体" w:eastAsia="宋体" w:cs="宋体"/>
                <w:color w:val="auto"/>
                <w:kern w:val="1"/>
                <w:sz w:val="24"/>
                <w:szCs w:val="24"/>
                <w:highlight w:val="none"/>
              </w:rPr>
              <w:t>同一标项内的节能、环境标志政府采购产品部分加分只对属于品目内的非强制类产品进行加分，强制类产品已作为投标时强制性要求不再给予加分。若节能、环境标志品目内的产品仅是构成投标产品的部件、组件或零件的，则该投标产品不予加分。价格项加分具体方法详见第五评标办法“商务评审”。</w:t>
            </w:r>
            <w:r>
              <w:rPr>
                <w:rFonts w:hint="eastAsia" w:ascii="宋体" w:hAnsi="宋体" w:eastAsia="宋体" w:cs="宋体"/>
                <w:b/>
                <w:color w:val="auto"/>
                <w:kern w:val="1"/>
                <w:sz w:val="24"/>
                <w:szCs w:val="24"/>
                <w:highlight w:val="none"/>
              </w:rPr>
              <w:t>供应商须按照</w:t>
            </w:r>
            <w:r>
              <w:rPr>
                <w:rFonts w:hint="eastAsia" w:ascii="宋体" w:hAnsi="宋体" w:eastAsia="宋体" w:cs="宋体"/>
                <w:b/>
                <w:color w:val="auto"/>
                <w:kern w:val="1"/>
                <w:sz w:val="24"/>
                <w:szCs w:val="24"/>
                <w:highlight w:val="none"/>
                <w:lang w:eastAsia="zh-CN"/>
              </w:rPr>
              <w:t>磋商文件</w:t>
            </w:r>
            <w:r>
              <w:rPr>
                <w:rFonts w:hint="eastAsia" w:ascii="宋体" w:hAnsi="宋体" w:eastAsia="宋体" w:cs="宋体"/>
                <w:b/>
                <w:color w:val="auto"/>
                <w:kern w:val="1"/>
                <w:sz w:val="24"/>
                <w:szCs w:val="24"/>
                <w:highlight w:val="none"/>
              </w:rPr>
              <w:t>格式要求在《环境标志产品明细表</w:t>
            </w:r>
            <w:r>
              <w:rPr>
                <w:rFonts w:hint="eastAsia" w:ascii="宋体" w:hAnsi="宋体" w:eastAsia="宋体" w:cs="宋体"/>
                <w:b/>
                <w:color w:val="auto"/>
                <w:kern w:val="1"/>
                <w:sz w:val="24"/>
                <w:szCs w:val="24"/>
                <w:highlight w:val="none"/>
                <w:lang w:eastAsia="zh-CN"/>
              </w:rPr>
              <w:t>》《</w:t>
            </w:r>
            <w:r>
              <w:rPr>
                <w:rFonts w:hint="eastAsia" w:ascii="宋体" w:hAnsi="宋体" w:eastAsia="宋体" w:cs="宋体"/>
                <w:b/>
                <w:color w:val="auto"/>
                <w:kern w:val="1"/>
                <w:sz w:val="24"/>
                <w:szCs w:val="24"/>
                <w:highlight w:val="none"/>
              </w:rPr>
              <w:t>节能标志产品明细表》中列明并附证书，否则，不予加分。</w:t>
            </w:r>
          </w:p>
        </w:tc>
      </w:tr>
      <w:tr w14:paraId="5EDA13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12" w:space="0"/>
              <w:bottom w:val="single" w:color="auto" w:sz="4" w:space="0"/>
              <w:right w:val="single" w:color="auto" w:sz="4" w:space="0"/>
              <w:tl2br w:val="nil"/>
              <w:tr2bl w:val="nil"/>
            </w:tcBorders>
            <w:noWrap/>
            <w:vAlign w:val="center"/>
          </w:tcPr>
          <w:p w14:paraId="7699B74D">
            <w:pPr>
              <w:shd w:val="clear" w:color="auto" w:fill="FFFFFF"/>
              <w:autoSpaceDE w:val="0"/>
              <w:autoSpaceDN w:val="0"/>
              <w:spacing w:line="3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w:t>
            </w:r>
          </w:p>
        </w:tc>
        <w:tc>
          <w:tcPr>
            <w:tcW w:w="1930" w:type="dxa"/>
            <w:tcBorders>
              <w:top w:val="single" w:color="auto" w:sz="4" w:space="0"/>
              <w:left w:val="single" w:color="auto" w:sz="4" w:space="0"/>
              <w:bottom w:val="single" w:color="auto" w:sz="4" w:space="0"/>
              <w:right w:val="single" w:color="auto" w:sz="4" w:space="0"/>
              <w:tl2br w:val="nil"/>
              <w:tr2bl w:val="nil"/>
            </w:tcBorders>
            <w:noWrap/>
            <w:vAlign w:val="center"/>
          </w:tcPr>
          <w:p w14:paraId="4487E4E5">
            <w:pPr>
              <w:spacing w:line="360" w:lineRule="exact"/>
              <w:jc w:val="center"/>
              <w:rPr>
                <w:rFonts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其他说明</w:t>
            </w:r>
          </w:p>
        </w:tc>
        <w:tc>
          <w:tcPr>
            <w:tcW w:w="7243" w:type="dxa"/>
            <w:tcBorders>
              <w:top w:val="single" w:color="auto" w:sz="4" w:space="0"/>
              <w:left w:val="single" w:color="auto" w:sz="4" w:space="0"/>
              <w:bottom w:val="single" w:color="auto" w:sz="4" w:space="0"/>
              <w:right w:val="single" w:color="auto" w:sz="12" w:space="0"/>
              <w:tl2br w:val="nil"/>
              <w:tr2bl w:val="nil"/>
            </w:tcBorders>
            <w:noWrap/>
            <w:vAlign w:val="center"/>
          </w:tcPr>
          <w:p w14:paraId="2AD6C950">
            <w:pPr>
              <w:spacing w:line="360" w:lineRule="exact"/>
              <w:rPr>
                <w:rFonts w:hint="eastAsia" w:ascii="宋体" w:hAnsi="宋体" w:eastAsia="宋体" w:cs="宋体"/>
                <w:b/>
                <w:color w:val="auto"/>
                <w:kern w:val="1"/>
                <w:sz w:val="24"/>
                <w:szCs w:val="24"/>
                <w:highlight w:val="none"/>
                <w:lang w:val="en-US" w:eastAsia="zh-CN"/>
              </w:rPr>
            </w:pPr>
            <w:r>
              <w:rPr>
                <w:rFonts w:hint="eastAsia" w:ascii="宋体" w:hAnsi="宋体" w:eastAsia="宋体" w:cs="宋体"/>
                <w:b/>
                <w:color w:val="auto"/>
                <w:kern w:val="1"/>
                <w:sz w:val="24"/>
                <w:szCs w:val="24"/>
                <w:highlight w:val="none"/>
                <w:lang w:val="en-US" w:eastAsia="zh-CN"/>
              </w:rPr>
              <w:t>1、当出现下列情形之一，响应文件将予以退回：</w:t>
            </w:r>
          </w:p>
          <w:p w14:paraId="595A6867">
            <w:pPr>
              <w:spacing w:line="360" w:lineRule="exact"/>
              <w:rPr>
                <w:rFonts w:hint="eastAsia" w:ascii="宋体" w:hAnsi="宋体" w:eastAsia="宋体" w:cs="宋体"/>
                <w:b/>
                <w:color w:val="auto"/>
                <w:kern w:val="1"/>
                <w:sz w:val="24"/>
                <w:szCs w:val="24"/>
                <w:highlight w:val="none"/>
                <w:lang w:val="en-US" w:eastAsia="zh-CN"/>
              </w:rPr>
            </w:pPr>
            <w:r>
              <w:rPr>
                <w:rFonts w:hint="eastAsia" w:ascii="宋体" w:hAnsi="宋体" w:eastAsia="宋体" w:cs="宋体"/>
                <w:b/>
                <w:color w:val="auto"/>
                <w:kern w:val="1"/>
                <w:sz w:val="24"/>
                <w:szCs w:val="24"/>
                <w:highlight w:val="none"/>
                <w:lang w:val="en-US" w:eastAsia="zh-CN"/>
              </w:rPr>
              <w:t>（1）投标人在响应文件递交截止时间前未成功上传加密电子响应文件；</w:t>
            </w:r>
          </w:p>
          <w:p w14:paraId="55BF8B79">
            <w:pPr>
              <w:spacing w:line="360" w:lineRule="exact"/>
              <w:rPr>
                <w:rFonts w:hint="eastAsia" w:ascii="宋体" w:hAnsi="宋体" w:eastAsia="宋体" w:cs="宋体"/>
                <w:b/>
                <w:color w:val="auto"/>
                <w:kern w:val="1"/>
                <w:sz w:val="24"/>
                <w:szCs w:val="24"/>
                <w:highlight w:val="none"/>
                <w:lang w:val="en-US" w:eastAsia="zh-CN"/>
              </w:rPr>
            </w:pPr>
            <w:r>
              <w:rPr>
                <w:rFonts w:hint="eastAsia" w:ascii="宋体" w:hAnsi="宋体" w:eastAsia="宋体" w:cs="宋体"/>
                <w:b/>
                <w:color w:val="auto"/>
                <w:kern w:val="1"/>
                <w:sz w:val="24"/>
                <w:szCs w:val="24"/>
                <w:highlight w:val="none"/>
                <w:lang w:val="en-US" w:eastAsia="zh-CN"/>
              </w:rPr>
              <w:t>（2）投标人使用解密的CA数字证书与上传加密响应文件使用的CA数字证书不一致；</w:t>
            </w:r>
          </w:p>
          <w:p w14:paraId="0BD3779E">
            <w:pPr>
              <w:spacing w:line="360" w:lineRule="exact"/>
              <w:rPr>
                <w:rFonts w:hint="eastAsia" w:ascii="宋体" w:hAnsi="宋体" w:eastAsia="宋体" w:cs="宋体"/>
                <w:b/>
                <w:color w:val="auto"/>
                <w:kern w:val="1"/>
                <w:sz w:val="24"/>
                <w:szCs w:val="24"/>
                <w:highlight w:val="none"/>
                <w:lang w:val="en-US" w:eastAsia="zh-CN"/>
              </w:rPr>
            </w:pPr>
            <w:r>
              <w:rPr>
                <w:rFonts w:hint="eastAsia" w:ascii="宋体" w:hAnsi="宋体" w:eastAsia="宋体" w:cs="宋体"/>
                <w:b/>
                <w:color w:val="auto"/>
                <w:kern w:val="1"/>
                <w:sz w:val="24"/>
                <w:szCs w:val="24"/>
                <w:highlight w:val="none"/>
                <w:lang w:val="en-US" w:eastAsia="zh-CN"/>
              </w:rPr>
              <w:t>（3）投标人解密时CA数字证书已过期，导致无法正常解密；</w:t>
            </w:r>
          </w:p>
          <w:p w14:paraId="4A27C02D">
            <w:pPr>
              <w:spacing w:line="360" w:lineRule="exact"/>
              <w:rPr>
                <w:rFonts w:hint="eastAsia" w:ascii="宋体" w:hAnsi="宋体" w:eastAsia="宋体" w:cs="宋体"/>
                <w:b/>
                <w:color w:val="auto"/>
                <w:kern w:val="1"/>
                <w:sz w:val="24"/>
                <w:szCs w:val="24"/>
                <w:highlight w:val="none"/>
                <w:lang w:val="en-US" w:eastAsia="zh-CN"/>
              </w:rPr>
            </w:pPr>
            <w:r>
              <w:rPr>
                <w:rFonts w:hint="eastAsia" w:ascii="宋体" w:hAnsi="宋体" w:eastAsia="宋体" w:cs="宋体"/>
                <w:b/>
                <w:color w:val="auto"/>
                <w:kern w:val="1"/>
                <w:sz w:val="24"/>
                <w:szCs w:val="24"/>
                <w:highlight w:val="none"/>
                <w:lang w:val="en-US" w:eastAsia="zh-CN"/>
              </w:rPr>
              <w:t>（4）加密响应文件时，CA数字证书未过期，解密时，显示CA数字证书已过期，导致无法正常解密；</w:t>
            </w:r>
          </w:p>
          <w:p w14:paraId="4DA2BF15">
            <w:pPr>
              <w:spacing w:line="360" w:lineRule="exact"/>
              <w:rPr>
                <w:rFonts w:hint="eastAsia" w:ascii="宋体" w:hAnsi="宋体" w:eastAsia="宋体" w:cs="宋体"/>
                <w:b/>
                <w:color w:val="auto"/>
                <w:kern w:val="1"/>
                <w:sz w:val="24"/>
                <w:szCs w:val="24"/>
                <w:highlight w:val="none"/>
                <w:lang w:val="en-US" w:eastAsia="zh-CN"/>
              </w:rPr>
            </w:pPr>
            <w:r>
              <w:rPr>
                <w:rFonts w:hint="eastAsia" w:ascii="宋体" w:hAnsi="宋体" w:eastAsia="宋体" w:cs="宋体"/>
                <w:b/>
                <w:color w:val="auto"/>
                <w:kern w:val="1"/>
                <w:sz w:val="24"/>
                <w:szCs w:val="24"/>
                <w:highlight w:val="none"/>
                <w:lang w:val="en-US" w:eastAsia="zh-CN"/>
              </w:rPr>
              <w:t>（5）未在规定的响应文件解密时间内进行解密的；</w:t>
            </w:r>
          </w:p>
          <w:p w14:paraId="755A7CC1">
            <w:pPr>
              <w:spacing w:line="360" w:lineRule="exact"/>
              <w:rPr>
                <w:rFonts w:hint="eastAsia" w:ascii="宋体" w:hAnsi="宋体" w:eastAsia="宋体" w:cs="宋体"/>
                <w:b/>
                <w:color w:val="auto"/>
                <w:kern w:val="1"/>
                <w:sz w:val="24"/>
                <w:szCs w:val="24"/>
                <w:highlight w:val="none"/>
                <w:lang w:val="en-US" w:eastAsia="zh-CN"/>
              </w:rPr>
            </w:pPr>
            <w:r>
              <w:rPr>
                <w:rFonts w:hint="eastAsia" w:ascii="宋体" w:hAnsi="宋体" w:eastAsia="宋体" w:cs="宋体"/>
                <w:b/>
                <w:color w:val="auto"/>
                <w:kern w:val="1"/>
                <w:sz w:val="24"/>
                <w:szCs w:val="24"/>
                <w:highlight w:val="none"/>
                <w:lang w:val="en-US" w:eastAsia="zh-CN"/>
              </w:rPr>
              <w:t>（6）投标人个人原因导致无法解密的其他情形。</w:t>
            </w:r>
          </w:p>
          <w:p w14:paraId="6AA20F20">
            <w:pPr>
              <w:spacing w:line="360" w:lineRule="exact"/>
              <w:rPr>
                <w:rFonts w:hint="eastAsia" w:ascii="宋体" w:hAnsi="宋体" w:eastAsia="宋体" w:cs="宋体"/>
                <w:b/>
                <w:color w:val="auto"/>
                <w:kern w:val="1"/>
                <w:sz w:val="24"/>
                <w:szCs w:val="24"/>
                <w:highlight w:val="none"/>
                <w:lang w:val="en-US" w:eastAsia="zh-CN"/>
              </w:rPr>
            </w:pPr>
            <w:r>
              <w:rPr>
                <w:rFonts w:hint="eastAsia" w:ascii="宋体" w:hAnsi="宋体" w:eastAsia="宋体" w:cs="宋体"/>
                <w:b/>
                <w:color w:val="auto"/>
                <w:kern w:val="1"/>
                <w:sz w:val="24"/>
                <w:szCs w:val="24"/>
                <w:highlight w:val="none"/>
                <w:lang w:val="en-US" w:eastAsia="zh-CN"/>
              </w:rPr>
              <w:t>2、投标人应在投标截止时间前将投标时使用的计算机安装相关的浏览器、CA驱动等软件，方便响应文件解密时能够正常解密。</w:t>
            </w:r>
          </w:p>
          <w:p w14:paraId="54590FD8">
            <w:pPr>
              <w:spacing w:line="360" w:lineRule="exact"/>
              <w:rPr>
                <w:rFonts w:hint="eastAsia" w:ascii="宋体" w:hAnsi="宋体" w:eastAsia="宋体" w:cs="宋体"/>
                <w:b/>
                <w:color w:val="auto"/>
                <w:kern w:val="1"/>
                <w:sz w:val="24"/>
                <w:szCs w:val="24"/>
                <w:highlight w:val="none"/>
                <w:lang w:val="en-US" w:eastAsia="zh-CN"/>
              </w:rPr>
            </w:pPr>
            <w:r>
              <w:rPr>
                <w:rFonts w:hint="eastAsia" w:ascii="宋体" w:hAnsi="宋体" w:eastAsia="宋体" w:cs="宋体"/>
                <w:b/>
                <w:color w:val="auto"/>
                <w:kern w:val="1"/>
                <w:sz w:val="24"/>
                <w:szCs w:val="24"/>
                <w:highlight w:val="none"/>
                <w:lang w:val="en-US" w:eastAsia="zh-CN"/>
              </w:rPr>
              <w:t>3、投标人需在投标截止时间前自行测试开标时使用的计算机，如因投标人自身原因导致响应文件解密失败的，由投标人自行承担相应后果。</w:t>
            </w:r>
          </w:p>
          <w:p w14:paraId="3442422E">
            <w:pPr>
              <w:spacing w:line="360" w:lineRule="exact"/>
              <w:rPr>
                <w:rFonts w:hint="eastAsia" w:ascii="宋体" w:hAnsi="宋体" w:eastAsia="宋体" w:cs="宋体"/>
                <w:b/>
                <w:color w:val="auto"/>
                <w:kern w:val="1"/>
                <w:sz w:val="24"/>
                <w:szCs w:val="24"/>
                <w:highlight w:val="none"/>
                <w:lang w:val="en-US" w:eastAsia="zh-CN"/>
              </w:rPr>
            </w:pPr>
            <w:r>
              <w:rPr>
                <w:rFonts w:hint="eastAsia" w:ascii="宋体" w:hAnsi="宋体" w:eastAsia="宋体" w:cs="宋体"/>
                <w:b/>
                <w:color w:val="auto"/>
                <w:kern w:val="1"/>
                <w:sz w:val="24"/>
                <w:szCs w:val="24"/>
                <w:highlight w:val="none"/>
                <w:lang w:val="en-US" w:eastAsia="zh-CN"/>
              </w:rPr>
              <w:t>（1）无论何种原因，在响应文件中未提供相应材料的，评标委员会将视同其未提供。</w:t>
            </w:r>
          </w:p>
          <w:p w14:paraId="5E5C6A4C">
            <w:pPr>
              <w:spacing w:line="360" w:lineRule="exact"/>
              <w:rPr>
                <w:rFonts w:hint="eastAsia" w:ascii="宋体" w:hAnsi="宋体" w:eastAsia="宋体" w:cs="宋体"/>
                <w:b/>
                <w:color w:val="auto"/>
                <w:kern w:val="1"/>
                <w:sz w:val="24"/>
                <w:szCs w:val="24"/>
                <w:highlight w:val="none"/>
                <w:lang w:val="en-US" w:eastAsia="zh-CN"/>
              </w:rPr>
            </w:pPr>
            <w:r>
              <w:rPr>
                <w:rFonts w:hint="eastAsia" w:ascii="宋体" w:hAnsi="宋体" w:eastAsia="宋体" w:cs="宋体"/>
                <w:b/>
                <w:color w:val="auto"/>
                <w:kern w:val="1"/>
                <w:sz w:val="24"/>
                <w:szCs w:val="24"/>
                <w:highlight w:val="none"/>
                <w:lang w:val="en-US" w:eastAsia="zh-CN"/>
              </w:rPr>
              <w:t>（2）投标人在开标前应确保成为新疆政府采购网正式注册入库投标人，并完成CA数字证书（符合国密标准）申领。如需咨询，请联系新疆CA服务热线0991-2819290；</w:t>
            </w:r>
          </w:p>
          <w:p w14:paraId="65FD24C2">
            <w:pPr>
              <w:spacing w:line="360" w:lineRule="exact"/>
              <w:rPr>
                <w:rFonts w:ascii="宋体" w:hAnsi="宋体" w:eastAsia="宋体" w:cs="宋体"/>
                <w:b/>
                <w:color w:val="auto"/>
                <w:kern w:val="1"/>
                <w:sz w:val="24"/>
                <w:szCs w:val="24"/>
                <w:highlight w:val="none"/>
              </w:rPr>
            </w:pPr>
            <w:r>
              <w:rPr>
                <w:rFonts w:hint="eastAsia" w:ascii="宋体" w:hAnsi="宋体" w:eastAsia="宋体" w:cs="宋体"/>
                <w:b/>
                <w:color w:val="auto"/>
                <w:kern w:val="1"/>
                <w:sz w:val="24"/>
                <w:szCs w:val="24"/>
                <w:highlight w:val="none"/>
                <w:lang w:val="en-US" w:eastAsia="zh-CN"/>
              </w:rPr>
              <w:t>（3）投标人将政采云电子交易客户端下载、安装完成后，可通过账号密码或CA登录客户端进行响应文件的制作。在使用政采云投标客户端时，建议使用WIN7及以上操作系统。客户端请至新疆政府采购网（https://www.zcygov.cn/）下载专区查看，如有问题可拨打政采云客户服务热线95763进行咨询。</w:t>
            </w:r>
          </w:p>
        </w:tc>
      </w:tr>
      <w:tr w14:paraId="01DD56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12" w:space="0"/>
              <w:bottom w:val="single" w:color="auto" w:sz="4" w:space="0"/>
              <w:right w:val="single" w:color="auto" w:sz="4" w:space="0"/>
              <w:tl2br w:val="nil"/>
              <w:tr2bl w:val="nil"/>
            </w:tcBorders>
            <w:noWrap/>
            <w:vAlign w:val="center"/>
          </w:tcPr>
          <w:p w14:paraId="5BE3F19E">
            <w:pPr>
              <w:shd w:val="clear" w:color="auto" w:fill="FFFFFF"/>
              <w:autoSpaceDE w:val="0"/>
              <w:autoSpaceDN w:val="0"/>
              <w:spacing w:line="36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9173" w:type="dxa"/>
            <w:gridSpan w:val="2"/>
            <w:tcBorders>
              <w:top w:val="single" w:color="auto" w:sz="4" w:space="0"/>
              <w:left w:val="single" w:color="auto" w:sz="4" w:space="0"/>
              <w:bottom w:val="single" w:color="auto" w:sz="4" w:space="0"/>
              <w:right w:val="single" w:color="auto" w:sz="12" w:space="0"/>
              <w:tl2br w:val="nil"/>
              <w:tr2bl w:val="nil"/>
            </w:tcBorders>
            <w:noWrap/>
            <w:vAlign w:val="center"/>
          </w:tcPr>
          <w:p w14:paraId="3C8BF834">
            <w:pPr>
              <w:pStyle w:val="41"/>
              <w:spacing w:line="400" w:lineRule="exact"/>
              <w:jc w:val="both"/>
              <w:rPr>
                <w:rFonts w:ascii="宋体" w:hAnsi="宋体" w:eastAsia="宋体" w:cs="宋体"/>
                <w:b/>
                <w:bCs/>
                <w:color w:val="auto"/>
                <w:highlight w:val="none"/>
              </w:rPr>
            </w:pPr>
            <w:r>
              <w:rPr>
                <w:rFonts w:hint="eastAsia" w:ascii="宋体" w:hAnsi="宋体" w:eastAsia="宋体" w:cs="宋体"/>
                <w:b/>
                <w:bCs/>
                <w:color w:val="auto"/>
                <w:highlight w:val="none"/>
              </w:rPr>
              <w:t>注意事项：</w:t>
            </w:r>
          </w:p>
          <w:p w14:paraId="3E5C97FD">
            <w:pPr>
              <w:pStyle w:val="41"/>
              <w:spacing w:line="360" w:lineRule="exact"/>
              <w:jc w:val="both"/>
              <w:rPr>
                <w:rFonts w:ascii="宋体" w:hAnsi="宋体" w:eastAsia="宋体" w:cs="宋体;SimSun"/>
                <w:b/>
                <w:bCs/>
                <w:color w:val="auto"/>
                <w:kern w:val="2"/>
                <w:highlight w:val="none"/>
              </w:rPr>
            </w:pPr>
            <w:r>
              <w:rPr>
                <w:rFonts w:hint="eastAsia" w:ascii="宋体" w:hAnsi="宋体" w:eastAsia="宋体" w:cs="宋体;SimSun"/>
                <w:b/>
                <w:bCs/>
                <w:color w:val="auto"/>
                <w:kern w:val="2"/>
                <w:highlight w:val="none"/>
              </w:rPr>
              <w:t>1、供应商应对</w:t>
            </w:r>
            <w:r>
              <w:rPr>
                <w:rFonts w:hint="eastAsia" w:ascii="宋体" w:hAnsi="宋体" w:eastAsia="宋体" w:cs="宋体;SimSun"/>
                <w:b/>
                <w:bCs/>
                <w:color w:val="auto"/>
                <w:kern w:val="2"/>
                <w:highlight w:val="none"/>
                <w:lang w:eastAsia="zh-CN"/>
              </w:rPr>
              <w:t>磋商文件</w:t>
            </w:r>
            <w:r>
              <w:rPr>
                <w:rFonts w:hint="eastAsia" w:ascii="宋体" w:hAnsi="宋体" w:eastAsia="宋体" w:cs="宋体;SimSun"/>
                <w:b/>
                <w:bCs/>
                <w:color w:val="auto"/>
                <w:kern w:val="2"/>
                <w:highlight w:val="none"/>
              </w:rPr>
              <w:t>中加“★”引起重视，如不满足此类条款的规定，将视为未实质性响应</w:t>
            </w:r>
            <w:r>
              <w:rPr>
                <w:rFonts w:hint="eastAsia" w:ascii="宋体" w:hAnsi="宋体" w:eastAsia="宋体" w:cs="宋体;SimSun"/>
                <w:b/>
                <w:bCs/>
                <w:color w:val="auto"/>
                <w:kern w:val="2"/>
                <w:highlight w:val="none"/>
                <w:lang w:eastAsia="zh-CN"/>
              </w:rPr>
              <w:t>磋商文件</w:t>
            </w:r>
            <w:r>
              <w:rPr>
                <w:rFonts w:hint="eastAsia" w:ascii="宋体" w:hAnsi="宋体" w:eastAsia="宋体" w:cs="宋体;SimSun"/>
                <w:b/>
                <w:bCs/>
                <w:color w:val="auto"/>
                <w:kern w:val="2"/>
                <w:highlight w:val="none"/>
              </w:rPr>
              <w:t>要求，其磋商无效。</w:t>
            </w:r>
          </w:p>
          <w:p w14:paraId="6D303939">
            <w:pPr>
              <w:pStyle w:val="41"/>
              <w:spacing w:line="400" w:lineRule="exact"/>
              <w:jc w:val="both"/>
              <w:rPr>
                <w:rFonts w:ascii="宋体" w:hAnsi="宋体" w:eastAsia="宋体" w:cs="宋体"/>
                <w:b/>
                <w:color w:val="auto"/>
                <w:kern w:val="1"/>
                <w:highlight w:val="none"/>
              </w:rPr>
            </w:pPr>
            <w:r>
              <w:rPr>
                <w:rFonts w:hint="eastAsia" w:ascii="宋体" w:hAnsi="宋体" w:eastAsia="宋体" w:cs="宋体"/>
                <w:b/>
                <w:color w:val="auto"/>
                <w:kern w:val="1"/>
                <w:highlight w:val="none"/>
              </w:rPr>
              <w:t>2、在评审过程直至签订合同前的任何时间，如经证实发现供应商提供虚假投标资料</w:t>
            </w:r>
            <w:r>
              <w:rPr>
                <w:rFonts w:hint="eastAsia" w:ascii="宋体" w:hAnsi="宋体" w:eastAsia="宋体" w:cs="宋体"/>
                <w:b/>
                <w:color w:val="auto"/>
                <w:kern w:val="1"/>
                <w:highlight w:val="none"/>
                <w:lang w:eastAsia="zh-CN"/>
              </w:rPr>
              <w:t>（</w:t>
            </w:r>
            <w:r>
              <w:rPr>
                <w:rFonts w:hint="eastAsia" w:ascii="宋体" w:hAnsi="宋体" w:eastAsia="宋体" w:cs="宋体"/>
                <w:b/>
                <w:color w:val="auto"/>
                <w:kern w:val="1"/>
                <w:highlight w:val="none"/>
              </w:rPr>
              <w:t>包括技术支持资料</w:t>
            </w:r>
            <w:r>
              <w:rPr>
                <w:rFonts w:hint="eastAsia" w:ascii="宋体" w:hAnsi="宋体" w:eastAsia="宋体" w:cs="宋体"/>
                <w:b/>
                <w:color w:val="auto"/>
                <w:kern w:val="1"/>
                <w:highlight w:val="none"/>
                <w:lang w:eastAsia="zh-CN"/>
              </w:rPr>
              <w:t>）</w:t>
            </w:r>
            <w:r>
              <w:rPr>
                <w:rFonts w:hint="eastAsia" w:ascii="宋体" w:hAnsi="宋体" w:eastAsia="宋体" w:cs="宋体"/>
                <w:b/>
                <w:color w:val="auto"/>
                <w:kern w:val="1"/>
                <w:highlight w:val="none"/>
              </w:rPr>
              <w:t>或信息骗取成交的，或者未按本</w:t>
            </w:r>
            <w:r>
              <w:rPr>
                <w:rFonts w:hint="eastAsia" w:ascii="宋体" w:hAnsi="宋体" w:eastAsia="宋体" w:cs="宋体"/>
                <w:b/>
                <w:color w:val="auto"/>
                <w:kern w:val="1"/>
                <w:highlight w:val="none"/>
                <w:lang w:eastAsia="zh-CN"/>
              </w:rPr>
              <w:t>磋商文件</w:t>
            </w:r>
            <w:r>
              <w:rPr>
                <w:rFonts w:hint="eastAsia" w:ascii="宋体" w:hAnsi="宋体" w:eastAsia="宋体" w:cs="宋体"/>
                <w:b/>
                <w:color w:val="auto"/>
                <w:kern w:val="1"/>
                <w:highlight w:val="none"/>
              </w:rPr>
              <w:t>要求提交履约保证金的（如有要求），将取消其成交资格，没收其</w:t>
            </w:r>
            <w:r>
              <w:rPr>
                <w:rFonts w:hint="eastAsia" w:ascii="宋体" w:hAnsi="宋体" w:eastAsia="宋体" w:cs="宋体"/>
                <w:b/>
                <w:color w:val="auto"/>
                <w:kern w:val="1"/>
                <w:highlight w:val="none"/>
                <w:lang w:eastAsia="zh-CN"/>
              </w:rPr>
              <w:t>投标保证金</w:t>
            </w:r>
            <w:r>
              <w:rPr>
                <w:rFonts w:hint="eastAsia" w:ascii="宋体" w:hAnsi="宋体" w:eastAsia="宋体" w:cs="宋体"/>
                <w:b/>
                <w:color w:val="auto"/>
                <w:kern w:val="1"/>
                <w:highlight w:val="none"/>
              </w:rPr>
              <w:t>，并报主管部门备案。</w:t>
            </w:r>
          </w:p>
          <w:p w14:paraId="0D556C82">
            <w:pPr>
              <w:pStyle w:val="41"/>
              <w:spacing w:line="400" w:lineRule="exact"/>
              <w:jc w:val="both"/>
              <w:rPr>
                <w:rFonts w:ascii="宋体" w:hAnsi="宋体" w:eastAsia="宋体" w:cs="宋体"/>
                <w:color w:val="auto"/>
                <w:kern w:val="2"/>
                <w:highlight w:val="none"/>
              </w:rPr>
            </w:pPr>
            <w:r>
              <w:rPr>
                <w:rFonts w:hint="eastAsia" w:ascii="宋体" w:hAnsi="宋体" w:eastAsia="宋体" w:cs="宋体"/>
                <w:b/>
                <w:bCs/>
                <w:color w:val="auto"/>
                <w:kern w:val="2"/>
                <w:highlight w:val="none"/>
              </w:rPr>
              <w:t>3、响应文件应编制页码及索引目录。</w:t>
            </w:r>
          </w:p>
        </w:tc>
      </w:tr>
      <w:tr w14:paraId="2D4F9B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709" w:type="dxa"/>
            <w:tcBorders>
              <w:top w:val="single" w:color="auto" w:sz="4" w:space="0"/>
              <w:left w:val="single" w:color="auto" w:sz="12" w:space="0"/>
              <w:bottom w:val="single" w:color="auto" w:sz="12" w:space="0"/>
              <w:right w:val="single" w:color="auto" w:sz="4" w:space="0"/>
              <w:tl2br w:val="nil"/>
              <w:tr2bl w:val="nil"/>
            </w:tcBorders>
            <w:noWrap/>
            <w:vAlign w:val="center"/>
          </w:tcPr>
          <w:p w14:paraId="192B95C0">
            <w:pPr>
              <w:shd w:val="clear" w:color="auto" w:fill="FFFFFF"/>
              <w:autoSpaceDE w:val="0"/>
              <w:autoSpaceDN w:val="0"/>
              <w:spacing w:line="36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1</w:t>
            </w:r>
          </w:p>
        </w:tc>
        <w:tc>
          <w:tcPr>
            <w:tcW w:w="9173" w:type="dxa"/>
            <w:gridSpan w:val="2"/>
            <w:tcBorders>
              <w:top w:val="single" w:color="auto" w:sz="4" w:space="0"/>
              <w:left w:val="single" w:color="auto" w:sz="4" w:space="0"/>
              <w:bottom w:val="single" w:color="auto" w:sz="12" w:space="0"/>
              <w:right w:val="single" w:color="auto" w:sz="12" w:space="0"/>
              <w:tl2br w:val="nil"/>
              <w:tr2bl w:val="nil"/>
            </w:tcBorders>
            <w:noWrap/>
            <w:vAlign w:val="center"/>
          </w:tcPr>
          <w:p w14:paraId="3C511BA3">
            <w:pPr>
              <w:pStyle w:val="41"/>
              <w:spacing w:line="400" w:lineRule="exact"/>
              <w:jc w:val="both"/>
              <w:rPr>
                <w:rFonts w:hint="eastAsia" w:ascii="宋体" w:hAnsi="宋体" w:eastAsia="宋体" w:cs="宋体"/>
                <w:b/>
                <w:color w:val="auto"/>
                <w:kern w:val="1"/>
                <w:highlight w:val="none"/>
                <w:lang w:eastAsia="zh-CN"/>
              </w:rPr>
            </w:pPr>
            <w:r>
              <w:rPr>
                <w:rFonts w:hint="eastAsia" w:ascii="宋体" w:hAnsi="宋体" w:eastAsia="宋体" w:cs="宋体"/>
                <w:b/>
                <w:color w:val="auto"/>
                <w:kern w:val="1"/>
                <w:highlight w:val="none"/>
              </w:rPr>
              <w:t>成交服务费：</w:t>
            </w:r>
            <w:r>
              <w:rPr>
                <w:rFonts w:hint="eastAsia" w:ascii="宋体" w:hAnsi="宋体" w:eastAsia="宋体" w:cs="宋体"/>
                <w:b/>
                <w:color w:val="000000"/>
                <w:kern w:val="1"/>
              </w:rPr>
              <w:t>由成交供应商支付，在领取《成交通知书》时向采购代理机构一次性支付成交服务费。其计算标准和方法参照原发改计价[2002]1980号文件规定标准执行</w:t>
            </w:r>
            <w:r>
              <w:rPr>
                <w:rFonts w:hint="eastAsia" w:ascii="宋体" w:hAnsi="宋体" w:eastAsia="宋体" w:cs="宋体"/>
                <w:b/>
                <w:color w:val="000000"/>
                <w:kern w:val="1"/>
                <w:lang w:eastAsia="zh-CN"/>
              </w:rPr>
              <w:t>。</w:t>
            </w:r>
          </w:p>
        </w:tc>
      </w:tr>
      <w:bookmarkEnd w:id="31"/>
      <w:bookmarkEnd w:id="32"/>
    </w:tbl>
    <w:p w14:paraId="24FA1627">
      <w:pPr>
        <w:pStyle w:val="42"/>
        <w:spacing w:before="0" w:line="440" w:lineRule="exact"/>
        <w:jc w:val="center"/>
        <w:rPr>
          <w:rFonts w:ascii="宋体" w:hAnsi="宋体" w:eastAsia="宋体" w:cs="宋体"/>
          <w:color w:val="auto"/>
          <w:sz w:val="28"/>
          <w:szCs w:val="28"/>
          <w:highlight w:val="none"/>
        </w:rPr>
      </w:pPr>
      <w:r>
        <w:rPr>
          <w:rFonts w:hint="eastAsia" w:ascii="宋体" w:hAnsi="宋体" w:eastAsia="宋体" w:cs="宋体"/>
          <w:color w:val="auto"/>
          <w:highlight w:val="none"/>
        </w:rPr>
        <w:br w:type="page"/>
      </w:r>
      <w:bookmarkStart w:id="33" w:name="_Toc13766989"/>
      <w:bookmarkStart w:id="34" w:name="_Toc28642"/>
      <w:bookmarkStart w:id="35" w:name="_Toc1898"/>
      <w:bookmarkStart w:id="36" w:name="_Toc3902"/>
      <w:r>
        <w:rPr>
          <w:rFonts w:hint="eastAsia" w:ascii="宋体" w:hAnsi="宋体" w:eastAsia="宋体" w:cs="宋体"/>
          <w:color w:val="auto"/>
          <w:sz w:val="28"/>
          <w:szCs w:val="28"/>
          <w:highlight w:val="none"/>
        </w:rPr>
        <w:t>二、</w:t>
      </w:r>
      <w:bookmarkEnd w:id="33"/>
      <w:r>
        <w:rPr>
          <w:rFonts w:hint="eastAsia" w:ascii="宋体" w:hAnsi="宋体" w:eastAsia="宋体" w:cs="宋体"/>
          <w:color w:val="auto"/>
          <w:sz w:val="28"/>
          <w:szCs w:val="24"/>
          <w:highlight w:val="none"/>
        </w:rPr>
        <w:t>供应商须知</w:t>
      </w:r>
      <w:bookmarkEnd w:id="34"/>
      <w:bookmarkEnd w:id="35"/>
      <w:bookmarkEnd w:id="36"/>
    </w:p>
    <w:p w14:paraId="7C94E8FD">
      <w:pPr>
        <w:spacing w:beforeLines="50" w:afterLines="50" w:line="440" w:lineRule="exact"/>
        <w:jc w:val="center"/>
        <w:rPr>
          <w:rFonts w:ascii="宋体" w:hAnsi="宋体" w:eastAsia="宋体" w:cs="宋体"/>
          <w:b/>
          <w:color w:val="auto"/>
          <w:kern w:val="0"/>
          <w:sz w:val="24"/>
          <w:szCs w:val="24"/>
          <w:highlight w:val="none"/>
          <w:lang w:val="zh-CN"/>
        </w:rPr>
      </w:pPr>
      <w:bookmarkStart w:id="37" w:name="_Toc21030"/>
      <w:bookmarkStart w:id="38" w:name="_Toc37090625"/>
      <w:bookmarkStart w:id="39" w:name="_Toc37090961"/>
      <w:bookmarkStart w:id="40" w:name="_Toc13766990"/>
      <w:r>
        <w:rPr>
          <w:rFonts w:hint="eastAsia" w:ascii="宋体" w:hAnsi="宋体" w:eastAsia="宋体" w:cs="宋体"/>
          <w:b/>
          <w:color w:val="auto"/>
          <w:kern w:val="0"/>
          <w:sz w:val="24"/>
          <w:szCs w:val="24"/>
          <w:highlight w:val="none"/>
          <w:lang w:val="zh-CN"/>
        </w:rPr>
        <w:t>（一）总则</w:t>
      </w:r>
      <w:bookmarkEnd w:id="37"/>
      <w:bookmarkEnd w:id="38"/>
      <w:bookmarkEnd w:id="39"/>
    </w:p>
    <w:p w14:paraId="6FDA40C6">
      <w:pPr>
        <w:spacing w:line="440" w:lineRule="exact"/>
        <w:ind w:firstLine="482" w:firstLineChars="200"/>
        <w:rPr>
          <w:rFonts w:ascii="宋体" w:hAnsi="宋体" w:eastAsia="宋体" w:cs="宋体"/>
          <w:b/>
          <w:bCs/>
          <w:color w:val="auto"/>
          <w:sz w:val="24"/>
          <w:szCs w:val="24"/>
          <w:highlight w:val="none"/>
        </w:rPr>
      </w:pPr>
      <w:bookmarkStart w:id="41" w:name="_Toc37090962"/>
      <w:bookmarkStart w:id="42" w:name="_Toc29497"/>
      <w:bookmarkStart w:id="43" w:name="_Toc37090626"/>
      <w:r>
        <w:rPr>
          <w:rFonts w:hint="eastAsia" w:ascii="宋体" w:hAnsi="宋体" w:eastAsia="宋体" w:cs="宋体"/>
          <w:b/>
          <w:bCs/>
          <w:color w:val="auto"/>
          <w:sz w:val="24"/>
          <w:szCs w:val="24"/>
          <w:highlight w:val="none"/>
        </w:rPr>
        <w:t>1. 项目说明</w:t>
      </w:r>
      <w:bookmarkEnd w:id="41"/>
      <w:bookmarkEnd w:id="42"/>
      <w:bookmarkEnd w:id="43"/>
    </w:p>
    <w:p w14:paraId="1AEE5570">
      <w:pPr>
        <w:shd w:val="clear" w:color="auto"/>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 本项目的说明详见供应商须知前附表（以下简称“前附表”）所述。</w:t>
      </w:r>
    </w:p>
    <w:p w14:paraId="03D01869">
      <w:pPr>
        <w:shd w:val="clear" w:color="auto"/>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本采购项目已经批准，采购人为</w:t>
      </w:r>
      <w:r>
        <w:rPr>
          <w:rFonts w:hint="eastAsia" w:ascii="宋体" w:hAnsi="宋体" w:eastAsia="宋体" w:cs="宋体"/>
          <w:color w:val="auto"/>
          <w:sz w:val="24"/>
          <w:szCs w:val="24"/>
          <w:highlight w:val="none"/>
          <w:u w:val="single"/>
          <w:lang w:eastAsia="zh-CN"/>
        </w:rPr>
        <w:t>乌鲁木齐市达坂城区财政局</w:t>
      </w:r>
      <w:r>
        <w:rPr>
          <w:rFonts w:hint="eastAsia" w:ascii="宋体" w:hAnsi="宋体" w:eastAsia="宋体" w:cs="宋体"/>
          <w:color w:val="auto"/>
          <w:sz w:val="24"/>
          <w:szCs w:val="24"/>
          <w:highlight w:val="none"/>
        </w:rPr>
        <w:t>，该项目已具备采购条件，现对该项目进行</w:t>
      </w:r>
      <w:r>
        <w:rPr>
          <w:rFonts w:hint="default" w:ascii="Times New Roman" w:hAnsi="Times New Roman" w:eastAsia="宋体" w:cs="Times New Roman"/>
          <w:color w:val="000000" w:themeColor="text1"/>
          <w:sz w:val="24"/>
          <w:szCs w:val="24"/>
          <w14:textFill>
            <w14:solidFill>
              <w14:schemeClr w14:val="tx1"/>
            </w14:solidFill>
          </w14:textFill>
        </w:rPr>
        <w:t>竞争性磋商</w:t>
      </w:r>
      <w:r>
        <w:rPr>
          <w:rFonts w:hint="eastAsia" w:ascii="宋体" w:hAnsi="宋体" w:eastAsia="宋体" w:cs="宋体"/>
          <w:color w:val="auto"/>
          <w:sz w:val="24"/>
          <w:szCs w:val="24"/>
          <w:highlight w:val="none"/>
        </w:rPr>
        <w:t>。</w:t>
      </w:r>
    </w:p>
    <w:p w14:paraId="45B2A71D">
      <w:pPr>
        <w:shd w:val="clear" w:color="auto"/>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1.3</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sz w:val="24"/>
          <w:szCs w:val="24"/>
          <w:highlight w:val="none"/>
        </w:rPr>
        <w:t>本采购项目供应商的资格审查采取资格后审方式。本次磋商</w:t>
      </w:r>
      <w:r>
        <w:rPr>
          <w:rFonts w:hint="eastAsia" w:ascii="宋体" w:hAnsi="宋体" w:eastAsia="宋体" w:cs="宋体"/>
          <w:color w:val="auto"/>
          <w:sz w:val="24"/>
          <w:szCs w:val="24"/>
          <w:highlight w:val="none"/>
          <w:u w:val="single"/>
        </w:rPr>
        <w:t>不接受</w:t>
      </w:r>
      <w:r>
        <w:rPr>
          <w:rFonts w:hint="eastAsia" w:ascii="宋体" w:hAnsi="宋体" w:eastAsia="宋体" w:cs="宋体"/>
          <w:color w:val="auto"/>
          <w:sz w:val="24"/>
          <w:szCs w:val="24"/>
          <w:highlight w:val="none"/>
        </w:rPr>
        <w:t>联合体、不接受备选方案。</w:t>
      </w:r>
    </w:p>
    <w:p w14:paraId="65EE702C">
      <w:pPr>
        <w:shd w:val="clear" w:color="auto"/>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供应商资格必须符合供应商须知前附表说明，通过资格后审的供应商为合格的供应商。合格的供应商必须符合</w:t>
      </w:r>
      <w:r>
        <w:rPr>
          <w:rFonts w:hint="eastAsia" w:ascii="宋体" w:hAnsi="宋体" w:eastAsia="宋体" w:cs="宋体"/>
          <w:color w:val="auto"/>
          <w:sz w:val="24"/>
          <w:szCs w:val="24"/>
          <w:highlight w:val="none"/>
          <w:lang w:eastAsia="zh-CN"/>
        </w:rPr>
        <w:t>磋商文件中</w:t>
      </w:r>
      <w:r>
        <w:rPr>
          <w:rFonts w:hint="eastAsia" w:ascii="宋体" w:hAnsi="宋体" w:eastAsia="宋体" w:cs="宋体"/>
          <w:color w:val="auto"/>
          <w:sz w:val="24"/>
          <w:szCs w:val="24"/>
          <w:highlight w:val="none"/>
        </w:rPr>
        <w:t>对供应商的规定，且具备独立完成所投项目或所投标项的</w:t>
      </w:r>
      <w:r>
        <w:rPr>
          <w:rFonts w:hint="eastAsia" w:ascii="宋体" w:hAnsi="宋体" w:eastAsia="宋体" w:cs="宋体"/>
          <w:color w:val="auto"/>
          <w:kern w:val="10"/>
          <w:sz w:val="24"/>
          <w:szCs w:val="24"/>
          <w:highlight w:val="none"/>
        </w:rPr>
        <w:t>能</w:t>
      </w:r>
      <w:r>
        <w:rPr>
          <w:rFonts w:hint="eastAsia" w:ascii="宋体" w:hAnsi="宋体" w:eastAsia="宋体" w:cs="宋体"/>
          <w:color w:val="auto"/>
          <w:sz w:val="24"/>
          <w:szCs w:val="24"/>
          <w:highlight w:val="none"/>
        </w:rPr>
        <w:t>力，成交后不允许转包、违法分包。</w:t>
      </w:r>
    </w:p>
    <w:p w14:paraId="45B219FE">
      <w:pPr>
        <w:shd w:val="clear" w:color="auto"/>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 资格后审包括下列的内容</w:t>
      </w:r>
    </w:p>
    <w:p w14:paraId="49AB7F7D">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 供应商满足“前附表”规定的资格要求；</w:t>
      </w:r>
    </w:p>
    <w:p w14:paraId="5AC87D93">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w:t>
      </w:r>
      <w:r>
        <w:rPr>
          <w:rFonts w:hint="eastAsia" w:ascii="宋体" w:hAnsi="宋体" w:eastAsia="宋体" w:cs="宋体"/>
          <w:color w:val="auto"/>
          <w:kern w:val="0"/>
          <w:sz w:val="24"/>
          <w:szCs w:val="24"/>
          <w:highlight w:val="none"/>
          <w:lang w:val="en-US" w:eastAsia="zh-CN"/>
        </w:rPr>
        <w:t xml:space="preserve"> 竞争性</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要求供应商法定代表人或其授权代表签字或盖章和加盖供应商</w:t>
      </w:r>
      <w:r>
        <w:rPr>
          <w:rFonts w:hint="eastAsia" w:ascii="宋体" w:hAnsi="宋体" w:eastAsia="宋体" w:cs="宋体"/>
          <w:color w:val="auto"/>
          <w:kern w:val="0"/>
          <w:sz w:val="24"/>
          <w:szCs w:val="24"/>
          <w:highlight w:val="none"/>
          <w:lang w:val="en-US" w:eastAsia="zh-CN"/>
        </w:rPr>
        <w:t>电子</w:t>
      </w:r>
      <w:r>
        <w:rPr>
          <w:rFonts w:hint="eastAsia" w:ascii="宋体" w:hAnsi="宋体" w:eastAsia="宋体" w:cs="宋体"/>
          <w:color w:val="auto"/>
          <w:kern w:val="0"/>
          <w:sz w:val="24"/>
          <w:szCs w:val="24"/>
          <w:highlight w:val="none"/>
        </w:rPr>
        <w:t>公章的，供应商须按</w:t>
      </w:r>
      <w:r>
        <w:rPr>
          <w:rFonts w:hint="eastAsia" w:ascii="宋体" w:hAnsi="宋体" w:eastAsia="宋体" w:cs="宋体"/>
          <w:color w:val="auto"/>
          <w:kern w:val="0"/>
          <w:sz w:val="24"/>
          <w:szCs w:val="24"/>
          <w:highlight w:val="none"/>
          <w:lang w:val="en-US" w:eastAsia="zh-CN"/>
        </w:rPr>
        <w:t>竞争性</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要求签署；</w:t>
      </w:r>
    </w:p>
    <w:p w14:paraId="2C565DDC">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1.4.3</w:t>
      </w:r>
      <w:r>
        <w:rPr>
          <w:rFonts w:hint="eastAsia" w:ascii="宋体" w:hAnsi="宋体" w:eastAsia="宋体" w:cs="宋体"/>
          <w:color w:val="auto"/>
          <w:kern w:val="0"/>
          <w:sz w:val="24"/>
          <w:szCs w:val="24"/>
          <w:highlight w:val="none"/>
          <w:lang w:val="en-US" w:eastAsia="zh-CN"/>
        </w:rPr>
        <w:t xml:space="preserve"> 服务</w:t>
      </w:r>
      <w:r>
        <w:rPr>
          <w:rFonts w:hint="eastAsia" w:ascii="宋体" w:hAnsi="宋体" w:eastAsia="宋体" w:cs="宋体"/>
          <w:color w:val="auto"/>
          <w:kern w:val="0"/>
          <w:sz w:val="24"/>
          <w:szCs w:val="24"/>
          <w:highlight w:val="none"/>
        </w:rPr>
        <w:t>期限符合</w:t>
      </w:r>
      <w:r>
        <w:rPr>
          <w:rFonts w:hint="eastAsia" w:ascii="宋体" w:hAnsi="宋体" w:eastAsia="宋体" w:cs="宋体"/>
          <w:color w:val="auto"/>
          <w:kern w:val="0"/>
          <w:sz w:val="24"/>
          <w:szCs w:val="24"/>
          <w:highlight w:val="none"/>
          <w:lang w:val="en-US" w:eastAsia="zh-CN"/>
        </w:rPr>
        <w:t>竞争性</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要求；</w:t>
      </w:r>
    </w:p>
    <w:p w14:paraId="39F41A58">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w:t>
      </w:r>
      <w:r>
        <w:rPr>
          <w:rFonts w:hint="eastAsia" w:ascii="宋体" w:hAnsi="宋体" w:eastAsia="宋体" w:cs="宋体"/>
          <w:color w:val="auto"/>
          <w:kern w:val="0"/>
          <w:sz w:val="24"/>
          <w:szCs w:val="24"/>
          <w:highlight w:val="none"/>
          <w:lang w:val="en-US" w:eastAsia="zh-CN"/>
        </w:rPr>
        <w:t xml:space="preserve"> 服务</w:t>
      </w:r>
      <w:r>
        <w:rPr>
          <w:rFonts w:hint="eastAsia" w:ascii="宋体" w:hAnsi="宋体" w:eastAsia="宋体" w:cs="宋体"/>
          <w:color w:val="auto"/>
          <w:kern w:val="0"/>
          <w:sz w:val="24"/>
          <w:szCs w:val="24"/>
          <w:highlight w:val="none"/>
        </w:rPr>
        <w:t>地点符合</w:t>
      </w:r>
      <w:r>
        <w:rPr>
          <w:rFonts w:hint="eastAsia" w:ascii="宋体" w:hAnsi="宋体" w:eastAsia="宋体" w:cs="宋体"/>
          <w:color w:val="auto"/>
          <w:kern w:val="0"/>
          <w:sz w:val="24"/>
          <w:szCs w:val="24"/>
          <w:highlight w:val="none"/>
          <w:lang w:val="en-US" w:eastAsia="zh-CN"/>
        </w:rPr>
        <w:t>竞争性</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规定；</w:t>
      </w:r>
    </w:p>
    <w:p w14:paraId="4DA233D1">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1.4.5 响应内容质量、服务等满足</w:t>
      </w:r>
      <w:r>
        <w:rPr>
          <w:rFonts w:hint="eastAsia" w:ascii="宋体" w:hAnsi="宋体" w:eastAsia="宋体" w:cs="宋体"/>
          <w:color w:val="auto"/>
          <w:kern w:val="0"/>
          <w:sz w:val="24"/>
          <w:szCs w:val="24"/>
          <w:highlight w:val="none"/>
          <w:lang w:val="en-US" w:eastAsia="zh-CN"/>
        </w:rPr>
        <w:t>竞争性</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要求；</w:t>
      </w:r>
    </w:p>
    <w:p w14:paraId="5FCAB4D5">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1.4.6</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响应文件中所提条件均须符合采购人的要求；</w:t>
      </w:r>
    </w:p>
    <w:p w14:paraId="6AC27D90">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1.4.7</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符合</w:t>
      </w:r>
      <w:r>
        <w:rPr>
          <w:rFonts w:hint="eastAsia" w:ascii="宋体" w:hAnsi="宋体" w:eastAsia="宋体" w:cs="宋体"/>
          <w:color w:val="auto"/>
          <w:kern w:val="0"/>
          <w:sz w:val="24"/>
          <w:szCs w:val="24"/>
          <w:highlight w:val="none"/>
          <w:lang w:val="en-US" w:eastAsia="zh-CN"/>
        </w:rPr>
        <w:t>竞争性</w:t>
      </w:r>
      <w:r>
        <w:rPr>
          <w:rFonts w:hint="eastAsia" w:ascii="宋体" w:hAnsi="宋体" w:eastAsia="宋体" w:cs="宋体"/>
          <w:color w:val="auto"/>
          <w:kern w:val="0"/>
          <w:sz w:val="24"/>
          <w:szCs w:val="24"/>
          <w:highlight w:val="none"/>
          <w:lang w:eastAsia="zh-CN"/>
        </w:rPr>
        <w:t>磋商文件中</w:t>
      </w:r>
      <w:r>
        <w:rPr>
          <w:rFonts w:hint="eastAsia" w:ascii="宋体" w:hAnsi="宋体" w:eastAsia="宋体" w:cs="宋体"/>
          <w:color w:val="auto"/>
          <w:kern w:val="0"/>
          <w:sz w:val="24"/>
          <w:szCs w:val="24"/>
          <w:highlight w:val="none"/>
        </w:rPr>
        <w:t>规定的其他实质性要求；</w:t>
      </w:r>
    </w:p>
    <w:p w14:paraId="2E54EF03">
      <w:pPr>
        <w:shd w:val="clear" w:color="auto"/>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1.4.8</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无法律、法规和规章禁止的其他情况。</w:t>
      </w:r>
    </w:p>
    <w:p w14:paraId="2CE22677">
      <w:pPr>
        <w:shd w:val="clear"/>
        <w:spacing w:line="440" w:lineRule="exact"/>
        <w:ind w:firstLine="482" w:firstLineChars="200"/>
        <w:rPr>
          <w:rFonts w:ascii="宋体" w:hAnsi="宋体" w:eastAsia="宋体" w:cs="宋体"/>
          <w:b/>
          <w:bCs/>
          <w:color w:val="auto"/>
          <w:sz w:val="24"/>
          <w:szCs w:val="24"/>
          <w:highlight w:val="none"/>
        </w:rPr>
      </w:pPr>
      <w:bookmarkStart w:id="44" w:name="_Toc37090627"/>
      <w:bookmarkStart w:id="45" w:name="_Toc37090963"/>
      <w:bookmarkStart w:id="46" w:name="_Toc17644"/>
      <w:r>
        <w:rPr>
          <w:rFonts w:hint="eastAsia" w:ascii="宋体" w:hAnsi="宋体" w:eastAsia="宋体" w:cs="宋体"/>
          <w:b/>
          <w:bCs/>
          <w:color w:val="auto"/>
          <w:sz w:val="24"/>
          <w:szCs w:val="24"/>
          <w:highlight w:val="none"/>
        </w:rPr>
        <w:t xml:space="preserve">2. </w:t>
      </w:r>
      <w:bookmarkEnd w:id="44"/>
      <w:bookmarkEnd w:id="45"/>
      <w:bookmarkEnd w:id="46"/>
      <w:r>
        <w:rPr>
          <w:rFonts w:hint="eastAsia" w:ascii="宋体" w:hAnsi="宋体" w:eastAsia="宋体" w:cs="宋体"/>
          <w:b/>
          <w:bCs/>
          <w:color w:val="auto"/>
          <w:sz w:val="24"/>
          <w:szCs w:val="24"/>
          <w:highlight w:val="none"/>
        </w:rPr>
        <w:t>采购范围</w:t>
      </w:r>
    </w:p>
    <w:p w14:paraId="5B2879F0">
      <w:pPr>
        <w:shd w:val="clear" w:color="auto"/>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2.1本采购项目的采购范围</w:t>
      </w:r>
      <w:r>
        <w:rPr>
          <w:rFonts w:hint="eastAsia" w:ascii="宋体" w:hAnsi="宋体" w:eastAsia="宋体" w:cs="宋体"/>
          <w:color w:val="auto"/>
          <w:kern w:val="0"/>
          <w:sz w:val="24"/>
          <w:szCs w:val="24"/>
          <w:highlight w:val="none"/>
        </w:rPr>
        <w:t>已通过“前附表”第1项</w:t>
      </w:r>
      <w:r>
        <w:rPr>
          <w:rFonts w:hint="eastAsia" w:ascii="宋体" w:hAnsi="宋体" w:eastAsia="宋体" w:cs="宋体"/>
          <w:color w:val="auto"/>
          <w:sz w:val="24"/>
          <w:szCs w:val="24"/>
          <w:highlight w:val="none"/>
        </w:rPr>
        <w:t>采购内容</w:t>
      </w:r>
      <w:r>
        <w:rPr>
          <w:rFonts w:hint="eastAsia" w:ascii="宋体" w:hAnsi="宋体" w:eastAsia="宋体" w:cs="宋体"/>
          <w:color w:val="auto"/>
          <w:kern w:val="0"/>
          <w:sz w:val="24"/>
          <w:szCs w:val="24"/>
          <w:highlight w:val="none"/>
        </w:rPr>
        <w:t>所述，</w:t>
      </w:r>
      <w:r>
        <w:rPr>
          <w:rFonts w:hint="eastAsia" w:ascii="宋体" w:hAnsi="宋体" w:eastAsia="宋体" w:cs="宋体"/>
          <w:color w:val="auto"/>
          <w:sz w:val="24"/>
          <w:szCs w:val="24"/>
          <w:highlight w:val="none"/>
        </w:rPr>
        <w:t>指本项目</w:t>
      </w:r>
      <w:r>
        <w:rPr>
          <w:rFonts w:hint="eastAsia" w:ascii="宋体" w:hAnsi="宋体" w:eastAsia="宋体" w:cs="宋体"/>
          <w:color w:val="auto"/>
          <w:kern w:val="0"/>
          <w:sz w:val="24"/>
          <w:szCs w:val="24"/>
          <w:highlight w:val="none"/>
          <w:lang w:val="en-US" w:eastAsia="zh-CN"/>
        </w:rPr>
        <w:t>竞争性</w:t>
      </w:r>
      <w:r>
        <w:rPr>
          <w:rFonts w:hint="eastAsia" w:ascii="宋体" w:hAnsi="宋体" w:eastAsia="宋体" w:cs="宋体"/>
          <w:color w:val="auto"/>
          <w:sz w:val="24"/>
          <w:szCs w:val="24"/>
          <w:highlight w:val="none"/>
          <w:lang w:eastAsia="zh-CN"/>
        </w:rPr>
        <w:t>磋商文件中</w:t>
      </w:r>
      <w:r>
        <w:rPr>
          <w:rFonts w:hint="eastAsia" w:ascii="宋体" w:hAnsi="宋体" w:eastAsia="宋体" w:cs="宋体"/>
          <w:color w:val="auto"/>
          <w:sz w:val="24"/>
          <w:szCs w:val="24"/>
          <w:highlight w:val="none"/>
        </w:rPr>
        <w:t>范围内所要求的所有工作内容。</w:t>
      </w:r>
    </w:p>
    <w:p w14:paraId="4CD3EDEB">
      <w:pPr>
        <w:shd w:val="clear"/>
        <w:spacing w:line="440" w:lineRule="exact"/>
        <w:ind w:firstLine="482" w:firstLineChars="200"/>
        <w:rPr>
          <w:rFonts w:ascii="宋体" w:hAnsi="宋体" w:eastAsia="宋体" w:cs="宋体"/>
          <w:b/>
          <w:bCs/>
          <w:color w:val="auto"/>
          <w:sz w:val="24"/>
          <w:szCs w:val="24"/>
          <w:highlight w:val="none"/>
        </w:rPr>
      </w:pPr>
      <w:bookmarkStart w:id="47" w:name="_Toc37090964"/>
      <w:bookmarkStart w:id="48" w:name="_Toc26876"/>
      <w:bookmarkStart w:id="49" w:name="_Toc37090628"/>
      <w:r>
        <w:rPr>
          <w:rFonts w:hint="eastAsia" w:ascii="宋体" w:hAnsi="宋体" w:eastAsia="宋体" w:cs="宋体"/>
          <w:b/>
          <w:bCs/>
          <w:color w:val="auto"/>
          <w:sz w:val="24"/>
          <w:szCs w:val="24"/>
          <w:highlight w:val="none"/>
        </w:rPr>
        <w:t>3. 适用法律及约束力</w:t>
      </w:r>
      <w:bookmarkEnd w:id="47"/>
      <w:bookmarkEnd w:id="48"/>
      <w:bookmarkEnd w:id="49"/>
    </w:p>
    <w:p w14:paraId="74542A47">
      <w:pPr>
        <w:shd w:val="clear" w:color="auto"/>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 本次磋商及由本次磋商产生的合同受中华人民共和国的相关法律、法规制约和保护。供应商一旦领取了</w:t>
      </w:r>
      <w:r>
        <w:rPr>
          <w:rFonts w:hint="eastAsia" w:ascii="宋体" w:hAnsi="宋体" w:eastAsia="宋体" w:cs="宋体"/>
          <w:color w:val="auto"/>
          <w:kern w:val="0"/>
          <w:sz w:val="24"/>
          <w:szCs w:val="24"/>
          <w:highlight w:val="none"/>
          <w:lang w:val="en-US" w:eastAsia="zh-CN"/>
        </w:rPr>
        <w:t>竞争性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并参加本项目，即被认为接受了</w:t>
      </w:r>
      <w:r>
        <w:rPr>
          <w:rFonts w:hint="eastAsia" w:ascii="宋体" w:hAnsi="宋体" w:eastAsia="宋体" w:cs="宋体"/>
          <w:color w:val="auto"/>
          <w:kern w:val="0"/>
          <w:sz w:val="24"/>
          <w:szCs w:val="24"/>
          <w:highlight w:val="none"/>
          <w:lang w:val="en-US" w:eastAsia="zh-CN"/>
        </w:rPr>
        <w:t>竞争性</w:t>
      </w:r>
      <w:r>
        <w:rPr>
          <w:rFonts w:hint="eastAsia" w:ascii="宋体" w:hAnsi="宋体" w:eastAsia="宋体" w:cs="宋体"/>
          <w:color w:val="auto"/>
          <w:sz w:val="24"/>
          <w:szCs w:val="24"/>
          <w:highlight w:val="none"/>
          <w:lang w:eastAsia="zh-CN"/>
        </w:rPr>
        <w:t>磋商文件中的</w:t>
      </w:r>
      <w:r>
        <w:rPr>
          <w:rFonts w:hint="eastAsia" w:ascii="宋体" w:hAnsi="宋体" w:eastAsia="宋体" w:cs="宋体"/>
          <w:color w:val="auto"/>
          <w:sz w:val="24"/>
          <w:szCs w:val="24"/>
          <w:highlight w:val="none"/>
        </w:rPr>
        <w:t>所有条件和规定。</w:t>
      </w:r>
    </w:p>
    <w:p w14:paraId="36922540">
      <w:pPr>
        <w:shd w:val="clear" w:color="auto"/>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3.2供应商应保证，在中华人民共和国境内使用投标成果、服务或其任何一部分时，不会产生因第三方提出侵犯其专利权</w:t>
      </w:r>
      <w:r>
        <w:rPr>
          <w:rFonts w:hint="eastAsia" w:ascii="宋体" w:hAnsi="宋体" w:eastAsia="宋体" w:cs="宋体"/>
          <w:color w:val="auto"/>
          <w:sz w:val="24"/>
          <w:szCs w:val="24"/>
          <w:highlight w:val="none"/>
          <w:lang w:eastAsia="zh-CN"/>
        </w:rPr>
        <w:t>或其他</w:t>
      </w:r>
      <w:r>
        <w:rPr>
          <w:rFonts w:hint="eastAsia" w:ascii="宋体" w:hAnsi="宋体" w:eastAsia="宋体" w:cs="宋体"/>
          <w:color w:val="auto"/>
          <w:sz w:val="24"/>
          <w:szCs w:val="24"/>
          <w:highlight w:val="none"/>
        </w:rPr>
        <w:t>知识产权而引起的法律和经济纠纷。</w:t>
      </w:r>
    </w:p>
    <w:p w14:paraId="59FDD874">
      <w:pPr>
        <w:spacing w:line="440" w:lineRule="exact"/>
        <w:ind w:firstLine="482" w:firstLineChars="200"/>
        <w:rPr>
          <w:rFonts w:ascii="宋体" w:hAnsi="宋体" w:eastAsia="宋体" w:cs="宋体"/>
          <w:b/>
          <w:bCs/>
          <w:color w:val="auto"/>
          <w:sz w:val="24"/>
          <w:szCs w:val="24"/>
          <w:highlight w:val="none"/>
        </w:rPr>
      </w:pPr>
      <w:bookmarkStart w:id="50" w:name="_Toc37090629"/>
      <w:bookmarkStart w:id="51" w:name="_Toc37090965"/>
      <w:bookmarkStart w:id="52" w:name="_Toc18819"/>
      <w:r>
        <w:rPr>
          <w:rFonts w:hint="eastAsia" w:ascii="宋体" w:hAnsi="宋体" w:eastAsia="宋体" w:cs="宋体"/>
          <w:b/>
          <w:bCs/>
          <w:color w:val="auto"/>
          <w:sz w:val="24"/>
          <w:szCs w:val="24"/>
          <w:highlight w:val="none"/>
        </w:rPr>
        <w:t>4. 采购项目实施要求</w:t>
      </w:r>
      <w:bookmarkEnd w:id="50"/>
      <w:bookmarkEnd w:id="51"/>
      <w:bookmarkEnd w:id="52"/>
    </w:p>
    <w:p w14:paraId="2CA3A67F">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4.1质量标准已通过“前附表”第3项所述，本采购项目的质量等级标准为合格（通过采购人及有关部门组织的项目验收）。</w:t>
      </w:r>
    </w:p>
    <w:p w14:paraId="404E7694">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4.2 供应方与采购人签订合同后，按照</w:t>
      </w:r>
      <w:r>
        <w:rPr>
          <w:rFonts w:hint="eastAsia" w:ascii="宋体" w:hAnsi="宋体" w:eastAsia="宋体" w:cs="宋体"/>
          <w:color w:val="auto"/>
          <w:kern w:val="0"/>
          <w:sz w:val="24"/>
          <w:szCs w:val="24"/>
          <w:highlight w:val="none"/>
          <w:lang w:val="en-US" w:eastAsia="zh-CN"/>
        </w:rPr>
        <w:t>竞争性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及合同相关的要求编制现场服务计划。</w:t>
      </w:r>
    </w:p>
    <w:p w14:paraId="1BF1078C">
      <w:pPr>
        <w:shd w:val="clear"/>
        <w:spacing w:line="440" w:lineRule="exact"/>
        <w:ind w:firstLine="482" w:firstLineChars="200"/>
        <w:rPr>
          <w:rFonts w:ascii="宋体" w:hAnsi="宋体" w:eastAsia="宋体" w:cs="宋体"/>
          <w:b/>
          <w:bCs/>
          <w:color w:val="auto"/>
          <w:sz w:val="24"/>
          <w:szCs w:val="24"/>
          <w:highlight w:val="none"/>
        </w:rPr>
      </w:pPr>
      <w:bookmarkStart w:id="53" w:name="_Toc37090966"/>
      <w:bookmarkStart w:id="54" w:name="_Toc37090630"/>
      <w:bookmarkStart w:id="55" w:name="_Toc14650"/>
      <w:r>
        <w:rPr>
          <w:rFonts w:hint="eastAsia" w:ascii="宋体" w:hAnsi="宋体" w:eastAsia="宋体" w:cs="宋体"/>
          <w:b/>
          <w:bCs/>
          <w:color w:val="auto"/>
          <w:sz w:val="24"/>
          <w:szCs w:val="24"/>
          <w:highlight w:val="none"/>
        </w:rPr>
        <w:t xml:space="preserve">5. </w:t>
      </w:r>
      <w:r>
        <w:rPr>
          <w:rFonts w:hint="eastAsia" w:ascii="宋体" w:hAnsi="宋体" w:eastAsia="宋体" w:cs="宋体"/>
          <w:b/>
          <w:bCs/>
          <w:color w:val="auto"/>
          <w:sz w:val="24"/>
          <w:szCs w:val="24"/>
          <w:highlight w:val="none"/>
          <w:lang w:val="en-US" w:eastAsia="zh-CN"/>
        </w:rPr>
        <w:t>服务</w:t>
      </w:r>
      <w:r>
        <w:rPr>
          <w:rFonts w:hint="eastAsia" w:ascii="宋体" w:hAnsi="宋体" w:eastAsia="宋体" w:cs="宋体"/>
          <w:b/>
          <w:bCs/>
          <w:color w:val="auto"/>
          <w:sz w:val="24"/>
          <w:szCs w:val="24"/>
          <w:highlight w:val="none"/>
        </w:rPr>
        <w:t>期限及</w:t>
      </w:r>
      <w:r>
        <w:rPr>
          <w:rFonts w:hint="eastAsia" w:ascii="宋体" w:hAnsi="宋体" w:eastAsia="宋体" w:cs="宋体"/>
          <w:b/>
          <w:bCs/>
          <w:color w:val="auto"/>
          <w:sz w:val="24"/>
          <w:szCs w:val="24"/>
          <w:highlight w:val="none"/>
          <w:lang w:val="en-US" w:eastAsia="zh-CN"/>
        </w:rPr>
        <w:t>服务</w:t>
      </w:r>
      <w:r>
        <w:rPr>
          <w:rFonts w:hint="eastAsia" w:ascii="宋体" w:hAnsi="宋体" w:eastAsia="宋体" w:cs="宋体"/>
          <w:b/>
          <w:bCs/>
          <w:color w:val="auto"/>
          <w:sz w:val="24"/>
          <w:szCs w:val="24"/>
          <w:highlight w:val="none"/>
        </w:rPr>
        <w:t>地点</w:t>
      </w:r>
      <w:bookmarkEnd w:id="53"/>
      <w:bookmarkEnd w:id="54"/>
      <w:bookmarkEnd w:id="55"/>
    </w:p>
    <w:p w14:paraId="7530041D">
      <w:pPr>
        <w:shd w:val="clear" w:color="auto"/>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5.1 </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期限已</w:t>
      </w:r>
      <w:r>
        <w:rPr>
          <w:rFonts w:hint="eastAsia" w:ascii="宋体" w:hAnsi="宋体" w:eastAsia="宋体" w:cs="宋体"/>
          <w:color w:val="auto"/>
          <w:kern w:val="0"/>
          <w:sz w:val="24"/>
          <w:szCs w:val="24"/>
          <w:highlight w:val="none"/>
        </w:rPr>
        <w:t>通过“前附表”所述，</w:t>
      </w:r>
      <w:r>
        <w:rPr>
          <w:rFonts w:hint="eastAsia" w:ascii="宋体" w:hAnsi="宋体" w:eastAsia="宋体" w:cs="宋体"/>
          <w:color w:val="auto"/>
          <w:sz w:val="24"/>
          <w:szCs w:val="24"/>
          <w:highlight w:val="none"/>
        </w:rPr>
        <w:t>是指完成本项目采购内容及配套服务工作、验收合格并移交采购人的时间；</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地点已</w:t>
      </w:r>
      <w:r>
        <w:rPr>
          <w:rFonts w:hint="eastAsia" w:ascii="宋体" w:hAnsi="宋体" w:eastAsia="宋体" w:cs="宋体"/>
          <w:color w:val="auto"/>
          <w:kern w:val="0"/>
          <w:sz w:val="24"/>
          <w:szCs w:val="24"/>
          <w:highlight w:val="none"/>
        </w:rPr>
        <w:t>通过“前附表”所述</w:t>
      </w:r>
      <w:r>
        <w:rPr>
          <w:rFonts w:hint="eastAsia" w:ascii="宋体" w:hAnsi="宋体" w:eastAsia="宋体" w:cs="宋体"/>
          <w:color w:val="auto"/>
          <w:sz w:val="24"/>
          <w:szCs w:val="24"/>
          <w:highlight w:val="none"/>
        </w:rPr>
        <w:t>。</w:t>
      </w:r>
    </w:p>
    <w:p w14:paraId="3146E57C">
      <w:pPr>
        <w:shd w:val="clear"/>
        <w:spacing w:line="440" w:lineRule="exact"/>
        <w:ind w:firstLine="482" w:firstLineChars="200"/>
        <w:rPr>
          <w:rFonts w:ascii="宋体" w:hAnsi="宋体" w:eastAsia="宋体" w:cs="宋体"/>
          <w:b/>
          <w:bCs/>
          <w:color w:val="auto"/>
          <w:sz w:val="24"/>
          <w:szCs w:val="24"/>
          <w:highlight w:val="none"/>
        </w:rPr>
      </w:pPr>
      <w:bookmarkStart w:id="56" w:name="_Toc37090631"/>
      <w:bookmarkStart w:id="57" w:name="_Toc4069"/>
      <w:bookmarkStart w:id="58" w:name="_Toc37090967"/>
      <w:r>
        <w:rPr>
          <w:rFonts w:hint="eastAsia" w:ascii="宋体" w:hAnsi="宋体" w:eastAsia="宋体" w:cs="宋体"/>
          <w:b/>
          <w:bCs/>
          <w:color w:val="auto"/>
          <w:sz w:val="24"/>
          <w:szCs w:val="24"/>
          <w:highlight w:val="none"/>
        </w:rPr>
        <w:t>6. 资金来源</w:t>
      </w:r>
      <w:bookmarkEnd w:id="56"/>
      <w:bookmarkEnd w:id="57"/>
      <w:bookmarkEnd w:id="58"/>
    </w:p>
    <w:p w14:paraId="21C6D9FC">
      <w:pPr>
        <w:shd w:val="clear" w:color="auto"/>
        <w:spacing w:line="440" w:lineRule="exact"/>
        <w:ind w:firstLine="480" w:firstLineChars="200"/>
        <w:rPr>
          <w:rFonts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6.1采购单位的资金通过“前附表”第1项所述的方式获得，并将部分资金用于本项目合同下的合格支付。</w:t>
      </w:r>
    </w:p>
    <w:p w14:paraId="23D30198">
      <w:pPr>
        <w:shd w:val="clear"/>
        <w:spacing w:line="440" w:lineRule="exact"/>
        <w:ind w:firstLine="482" w:firstLineChars="200"/>
        <w:rPr>
          <w:rFonts w:ascii="宋体" w:hAnsi="宋体" w:eastAsia="宋体" w:cs="宋体"/>
          <w:b/>
          <w:bCs/>
          <w:color w:val="auto"/>
          <w:sz w:val="24"/>
          <w:szCs w:val="24"/>
          <w:highlight w:val="none"/>
        </w:rPr>
      </w:pPr>
      <w:bookmarkStart w:id="59" w:name="_Toc37090968"/>
      <w:bookmarkStart w:id="60" w:name="_Toc37090632"/>
      <w:bookmarkStart w:id="61" w:name="_Toc19811"/>
      <w:r>
        <w:rPr>
          <w:rFonts w:hint="eastAsia" w:ascii="宋体" w:hAnsi="宋体" w:eastAsia="宋体" w:cs="宋体"/>
          <w:b/>
          <w:bCs/>
          <w:color w:val="auto"/>
          <w:sz w:val="24"/>
          <w:szCs w:val="24"/>
          <w:highlight w:val="none"/>
        </w:rPr>
        <w:t>7. 供应商资格要求</w:t>
      </w:r>
      <w:bookmarkEnd w:id="59"/>
      <w:bookmarkEnd w:id="60"/>
      <w:bookmarkEnd w:id="61"/>
    </w:p>
    <w:p w14:paraId="42640F7A">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供应商资格要求须满足“前附表”第4项要求。</w:t>
      </w:r>
    </w:p>
    <w:p w14:paraId="67A33464">
      <w:pPr>
        <w:shd w:val="clear"/>
        <w:spacing w:line="440" w:lineRule="exact"/>
        <w:ind w:firstLine="482" w:firstLineChars="200"/>
        <w:rPr>
          <w:rFonts w:ascii="宋体" w:hAnsi="宋体" w:eastAsia="宋体" w:cs="宋体"/>
          <w:b/>
          <w:bCs/>
          <w:color w:val="auto"/>
          <w:sz w:val="24"/>
          <w:szCs w:val="24"/>
          <w:highlight w:val="none"/>
        </w:rPr>
      </w:pPr>
      <w:bookmarkStart w:id="62" w:name="_Toc37090633"/>
      <w:bookmarkStart w:id="63" w:name="_Toc30617"/>
      <w:bookmarkStart w:id="64" w:name="_Toc37090969"/>
      <w:r>
        <w:rPr>
          <w:rFonts w:hint="eastAsia" w:ascii="宋体" w:hAnsi="宋体" w:eastAsia="宋体" w:cs="宋体"/>
          <w:b/>
          <w:bCs/>
          <w:color w:val="auto"/>
          <w:sz w:val="24"/>
          <w:szCs w:val="24"/>
          <w:highlight w:val="none"/>
        </w:rPr>
        <w:t>8. 投标费用</w:t>
      </w:r>
      <w:bookmarkEnd w:id="62"/>
      <w:bookmarkEnd w:id="63"/>
      <w:bookmarkEnd w:id="64"/>
    </w:p>
    <w:p w14:paraId="351B7F1E">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供应商应承担其编制响应文件与递交响应文件所涉及的一切费用，不论投标结果如何，采购人或采购代理机构均无义务和责任承担这些费用。</w:t>
      </w:r>
    </w:p>
    <w:p w14:paraId="40B52B2F">
      <w:pPr>
        <w:pStyle w:val="43"/>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9.合格供应商的条件</w:t>
      </w:r>
    </w:p>
    <w:p w14:paraId="102D95D1">
      <w:pPr>
        <w:pStyle w:val="43"/>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9.1具有本项目实施能力，符合、承认并承诺履行本文件各项规定的国内法人、其他组织或自然人均可参加投标。</w:t>
      </w:r>
    </w:p>
    <w:p w14:paraId="2D35F72E">
      <w:pPr>
        <w:pStyle w:val="43"/>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9.2 遵守有关的国家法律、法规和条例，具备《中华人民共和国政府采购法》和本文件中规定的条件：</w:t>
      </w:r>
    </w:p>
    <w:p w14:paraId="6BC82EA7">
      <w:pPr>
        <w:pStyle w:val="43"/>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9.2.1具有独立承担民事责任的能力；</w:t>
      </w:r>
    </w:p>
    <w:p w14:paraId="42C1B332">
      <w:pPr>
        <w:pStyle w:val="43"/>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9.2.2具有良好的商业信誉和健全的财务会计制度；</w:t>
      </w:r>
    </w:p>
    <w:p w14:paraId="7BBD4C2A">
      <w:pPr>
        <w:pStyle w:val="43"/>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9.2.3具有履行合同所必需的</w:t>
      </w:r>
      <w:r>
        <w:rPr>
          <w:rFonts w:hint="eastAsia" w:ascii="宋体" w:hAnsi="宋体" w:cs="宋体"/>
          <w:color w:val="auto"/>
          <w:sz w:val="24"/>
          <w:highlight w:val="none"/>
          <w:lang w:eastAsia="zh-CN"/>
        </w:rPr>
        <w:t>货物</w:t>
      </w:r>
      <w:r>
        <w:rPr>
          <w:rFonts w:hint="eastAsia" w:ascii="宋体" w:hAnsi="宋体" w:cs="宋体"/>
          <w:color w:val="auto"/>
          <w:sz w:val="24"/>
          <w:highlight w:val="none"/>
        </w:rPr>
        <w:t>和专业技术能力；</w:t>
      </w:r>
    </w:p>
    <w:p w14:paraId="097F86CC">
      <w:pPr>
        <w:pStyle w:val="43"/>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9.2.4具有依法缴纳税收和社会保障资金的良好记录；</w:t>
      </w:r>
    </w:p>
    <w:p w14:paraId="1D512235">
      <w:pPr>
        <w:pStyle w:val="43"/>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9.2.5参加政府采购活动前三年内，在经营活动中没有重大违法记录；</w:t>
      </w:r>
    </w:p>
    <w:p w14:paraId="0EDC86C3">
      <w:pPr>
        <w:pStyle w:val="43"/>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9.2.6法律、行政法规规定的其他条件；</w:t>
      </w:r>
    </w:p>
    <w:p w14:paraId="7A014F35">
      <w:pPr>
        <w:pStyle w:val="43"/>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9.2.7具有本</w:t>
      </w:r>
      <w:r>
        <w:rPr>
          <w:rFonts w:hint="eastAsia" w:ascii="宋体" w:hAnsi="宋体" w:cs="宋体"/>
          <w:color w:val="auto"/>
          <w:sz w:val="24"/>
          <w:highlight w:val="none"/>
          <w:lang w:val="en-US" w:eastAsia="zh-CN"/>
        </w:rPr>
        <w:t>竞争性</w:t>
      </w:r>
      <w:r>
        <w:rPr>
          <w:rFonts w:hint="eastAsia" w:ascii="宋体" w:hAnsi="宋体" w:cs="宋体"/>
          <w:color w:val="auto"/>
          <w:sz w:val="24"/>
          <w:highlight w:val="none"/>
          <w:lang w:eastAsia="zh-CN"/>
        </w:rPr>
        <w:t>磋商文件</w:t>
      </w:r>
      <w:r>
        <w:rPr>
          <w:rFonts w:hint="eastAsia" w:ascii="宋体" w:hAnsi="宋体" w:cs="宋体"/>
          <w:color w:val="auto"/>
          <w:sz w:val="24"/>
          <w:highlight w:val="none"/>
        </w:rPr>
        <w:t>第二部分“供应商须知前附表”中第4项规定的资格条件。</w:t>
      </w:r>
    </w:p>
    <w:p w14:paraId="73BF6F67">
      <w:pPr>
        <w:pStyle w:val="43"/>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9.3供应商之间如果存在下列情形之一的，不得同时参加同一包（标段）或者不分包（标段）的同一项目投标：</w:t>
      </w:r>
    </w:p>
    <w:p w14:paraId="66B421A6">
      <w:pPr>
        <w:pStyle w:val="43"/>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9.3.1法定代表人</w:t>
      </w:r>
      <w:r>
        <w:rPr>
          <w:rFonts w:hint="eastAsia" w:ascii="宋体" w:hAnsi="宋体" w:cs="宋体"/>
          <w:color w:val="auto"/>
          <w:sz w:val="24"/>
          <w:highlight w:val="none"/>
          <w:lang w:eastAsia="zh-CN"/>
        </w:rPr>
        <w:t>（负责人）</w:t>
      </w:r>
      <w:r>
        <w:rPr>
          <w:rFonts w:hint="eastAsia" w:ascii="宋体" w:hAnsi="宋体" w:cs="宋体"/>
          <w:color w:val="auto"/>
          <w:sz w:val="24"/>
          <w:highlight w:val="none"/>
        </w:rPr>
        <w:t>为同一个人的两个及两个以上法人；</w:t>
      </w:r>
    </w:p>
    <w:p w14:paraId="55447AD6">
      <w:pPr>
        <w:pStyle w:val="43"/>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9.3.2母公司、全资子公司及其控股公司；</w:t>
      </w:r>
    </w:p>
    <w:p w14:paraId="646C2B88">
      <w:pPr>
        <w:pStyle w:val="43"/>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9.3.3参加投标的其他组织之间存在特殊的利害关系的；</w:t>
      </w:r>
    </w:p>
    <w:p w14:paraId="2BF1BB58">
      <w:pPr>
        <w:pStyle w:val="43"/>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9.3.4法律和行政法规规定的其他情形。</w:t>
      </w:r>
    </w:p>
    <w:p w14:paraId="2FE9E43D">
      <w:pPr>
        <w:pStyle w:val="43"/>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9.4 供应商授权代表须持有《</w:t>
      </w:r>
      <w:r>
        <w:rPr>
          <w:rFonts w:hint="eastAsia" w:ascii="宋体" w:hAnsi="宋体" w:cs="宋体"/>
          <w:color w:val="auto"/>
          <w:sz w:val="24"/>
          <w:highlight w:val="none"/>
          <w:lang w:eastAsia="zh-CN"/>
        </w:rPr>
        <w:t>法定代表人（</w:t>
      </w:r>
      <w:r>
        <w:rPr>
          <w:rFonts w:hint="eastAsia" w:ascii="宋体" w:hAnsi="宋体" w:cs="宋体"/>
          <w:color w:val="auto"/>
          <w:sz w:val="24"/>
          <w:highlight w:val="none"/>
          <w:lang w:val="en-US" w:eastAsia="zh-CN"/>
        </w:rPr>
        <w:t>负责人</w:t>
      </w:r>
      <w:r>
        <w:rPr>
          <w:rFonts w:hint="eastAsia" w:ascii="宋体" w:hAnsi="宋体" w:cs="宋体"/>
          <w:color w:val="auto"/>
          <w:sz w:val="24"/>
          <w:highlight w:val="none"/>
          <w:lang w:eastAsia="zh-CN"/>
        </w:rPr>
        <w:t>）</w:t>
      </w:r>
      <w:r>
        <w:rPr>
          <w:rFonts w:hint="eastAsia" w:ascii="宋体" w:hAnsi="宋体" w:cs="宋体"/>
          <w:color w:val="auto"/>
          <w:sz w:val="24"/>
          <w:highlight w:val="none"/>
        </w:rPr>
        <w:t>授权委托书》。</w:t>
      </w:r>
    </w:p>
    <w:p w14:paraId="3A685418">
      <w:pPr>
        <w:pStyle w:val="43"/>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9.5 供应商按时足额</w:t>
      </w:r>
      <w:r>
        <w:rPr>
          <w:rFonts w:hint="eastAsia" w:ascii="宋体" w:hAnsi="宋体" w:cs="宋体"/>
          <w:color w:val="auto"/>
          <w:sz w:val="24"/>
          <w:highlight w:val="none"/>
          <w:lang w:eastAsia="zh-CN"/>
        </w:rPr>
        <w:t>缴纳投标保证金</w:t>
      </w:r>
      <w:r>
        <w:rPr>
          <w:rFonts w:hint="eastAsia" w:ascii="宋体" w:hAnsi="宋体" w:cs="宋体"/>
          <w:color w:val="auto"/>
          <w:sz w:val="24"/>
          <w:highlight w:val="none"/>
        </w:rPr>
        <w:t>。</w:t>
      </w:r>
    </w:p>
    <w:p w14:paraId="729CA4EC">
      <w:pPr>
        <w:shd w:val="clear" w:color="auto"/>
        <w:spacing w:line="440" w:lineRule="exact"/>
        <w:ind w:firstLine="482" w:firstLineChars="200"/>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w:t>
      </w:r>
      <w:r>
        <w:rPr>
          <w:rFonts w:hint="eastAsia" w:ascii="宋体" w:hAnsi="宋体" w:eastAsia="宋体" w:cs="宋体"/>
          <w:b/>
          <w:color w:val="auto"/>
          <w:kern w:val="0"/>
          <w:sz w:val="24"/>
          <w:szCs w:val="24"/>
          <w:highlight w:val="none"/>
          <w:lang w:val="en-US" w:eastAsia="zh-CN"/>
        </w:rPr>
        <w:t>0</w:t>
      </w:r>
      <w:r>
        <w:rPr>
          <w:rFonts w:hint="eastAsia" w:ascii="宋体" w:hAnsi="宋体" w:eastAsia="宋体" w:cs="宋体"/>
          <w:b/>
          <w:color w:val="auto"/>
          <w:kern w:val="0"/>
          <w:sz w:val="24"/>
          <w:szCs w:val="24"/>
          <w:highlight w:val="none"/>
        </w:rPr>
        <w:t>.信用信息查询</w:t>
      </w:r>
    </w:p>
    <w:p w14:paraId="192C0275">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cs="宋体"/>
          <w:color w:val="auto"/>
          <w:kern w:val="0"/>
          <w:sz w:val="24"/>
          <w:highlight w:val="none"/>
        </w:rPr>
        <w:t>★</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.1查询渠道：“信用中国”网站（www.creditchina.gov.cn）、“中国政府采购网”（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29"/>
          <w:rFonts w:hint="eastAsia" w:ascii="宋体" w:hAnsi="宋体" w:eastAsia="宋体" w:cs="宋体"/>
          <w:color w:val="auto"/>
          <w:kern w:val="0"/>
          <w:sz w:val="24"/>
          <w:szCs w:val="24"/>
          <w:highlight w:val="none"/>
          <w:u w:val="none"/>
        </w:rPr>
        <w:t>www.ccgp.gov.cn</w:t>
      </w:r>
      <w:r>
        <w:rPr>
          <w:rStyle w:val="29"/>
          <w:rFonts w:hint="eastAsia" w:ascii="宋体" w:hAnsi="宋体" w:eastAsia="宋体" w:cs="宋体"/>
          <w:color w:val="auto"/>
          <w:kern w:val="0"/>
          <w:sz w:val="24"/>
          <w:szCs w:val="24"/>
          <w:highlight w:val="none"/>
          <w:u w:val="none"/>
        </w:rPr>
        <w:fldChar w:fldCharType="end"/>
      </w:r>
      <w:r>
        <w:rPr>
          <w:rFonts w:hint="eastAsia" w:ascii="宋体" w:hAnsi="宋体" w:eastAsia="宋体" w:cs="宋体"/>
          <w:color w:val="auto"/>
          <w:kern w:val="0"/>
          <w:sz w:val="24"/>
          <w:szCs w:val="24"/>
          <w:highlight w:val="none"/>
        </w:rPr>
        <w:t>）。</w:t>
      </w:r>
    </w:p>
    <w:p w14:paraId="49A98049">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cs="宋体"/>
          <w:color w:val="auto"/>
          <w:kern w:val="0"/>
          <w:sz w:val="24"/>
          <w:highlight w:val="none"/>
        </w:rPr>
        <w:t>★</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.2查询截止时间：</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:00时（北京时间）。</w:t>
      </w:r>
    </w:p>
    <w:p w14:paraId="47CFB0F4">
      <w:pPr>
        <w:shd w:val="clear" w:color="auto"/>
        <w:spacing w:line="440" w:lineRule="exact"/>
        <w:ind w:firstLine="480" w:firstLineChars="200"/>
        <w:rPr>
          <w:rFonts w:ascii="宋体" w:hAnsi="宋体" w:eastAsia="宋体" w:cs="宋体"/>
          <w:color w:val="auto"/>
          <w:sz w:val="24"/>
          <w:szCs w:val="24"/>
          <w:highlight w:val="none"/>
        </w:rPr>
      </w:pPr>
      <w:r>
        <w:rPr>
          <w:rFonts w:hint="eastAsia" w:ascii="宋体" w:hAnsi="宋体" w:cs="宋体"/>
          <w:color w:val="auto"/>
          <w:kern w:val="0"/>
          <w:sz w:val="24"/>
          <w:highlight w:val="none"/>
        </w:rPr>
        <w:t>★</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.3根据《关于在政府采购活动中查询及使用信用记录有关问题的通知》</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财库[2016]125号</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的规定，对被列入“失信被执行人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重大税收违法失信主体</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政府采购严重违法失信行为记录名单”的供应商，拒绝参与本项目政府采购活动。</w:t>
      </w:r>
    </w:p>
    <w:p w14:paraId="42ACB665">
      <w:pPr>
        <w:shd w:val="clear" w:color="auto"/>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.4信用信息查询由采购代理机构在开标/磋商后通过本须知11.1所述渠道进行网上查询，对存在本须知11.3所述情形的供应商，将对其查询结果的网页截图作为查询记录和证据留存。</w:t>
      </w:r>
    </w:p>
    <w:bookmarkEnd w:id="40"/>
    <w:p w14:paraId="2B125616">
      <w:pPr>
        <w:spacing w:beforeLines="50" w:afterLines="50" w:line="440" w:lineRule="exact"/>
        <w:jc w:val="center"/>
        <w:rPr>
          <w:rFonts w:ascii="宋体" w:hAnsi="宋体" w:eastAsia="宋体" w:cs="宋体"/>
          <w:b/>
          <w:color w:val="auto"/>
          <w:kern w:val="0"/>
          <w:sz w:val="24"/>
          <w:szCs w:val="24"/>
          <w:highlight w:val="none"/>
          <w:lang w:val="zh-CN"/>
        </w:rPr>
      </w:pPr>
      <w:bookmarkStart w:id="65" w:name="_Toc37090972"/>
      <w:bookmarkStart w:id="66" w:name="_Toc37090636"/>
      <w:r>
        <w:rPr>
          <w:rFonts w:hint="eastAsia" w:ascii="宋体" w:hAnsi="宋体" w:eastAsia="宋体" w:cs="宋体"/>
          <w:b/>
          <w:color w:val="auto"/>
          <w:kern w:val="0"/>
          <w:sz w:val="24"/>
          <w:szCs w:val="24"/>
          <w:highlight w:val="none"/>
          <w:lang w:val="zh-CN"/>
        </w:rPr>
        <w:t>（二）</w:t>
      </w:r>
      <w:bookmarkEnd w:id="65"/>
      <w:bookmarkEnd w:id="66"/>
      <w:r>
        <w:rPr>
          <w:rFonts w:hint="eastAsia" w:ascii="宋体" w:hAnsi="宋体" w:eastAsia="宋体" w:cs="宋体"/>
          <w:b/>
          <w:color w:val="auto"/>
          <w:kern w:val="0"/>
          <w:sz w:val="24"/>
          <w:szCs w:val="24"/>
          <w:highlight w:val="none"/>
          <w:lang w:val="zh-CN"/>
        </w:rPr>
        <w:t>磋商文件</w:t>
      </w:r>
    </w:p>
    <w:p w14:paraId="0D075C03">
      <w:pPr>
        <w:spacing w:line="440" w:lineRule="exact"/>
        <w:ind w:firstLine="482" w:firstLineChars="200"/>
        <w:rPr>
          <w:rFonts w:ascii="宋体" w:hAnsi="宋体" w:eastAsia="宋体" w:cs="宋体"/>
          <w:b/>
          <w:bCs/>
          <w:color w:val="auto"/>
          <w:sz w:val="24"/>
          <w:szCs w:val="24"/>
          <w:highlight w:val="none"/>
        </w:rPr>
      </w:pPr>
      <w:bookmarkStart w:id="67" w:name="_Toc37090637"/>
      <w:bookmarkStart w:id="68" w:name="_Toc10669"/>
      <w:bookmarkStart w:id="69" w:name="_Toc37090973"/>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eastAsia="zh-CN"/>
        </w:rPr>
        <w:t>磋商文件</w:t>
      </w:r>
      <w:r>
        <w:rPr>
          <w:rFonts w:hint="eastAsia" w:ascii="宋体" w:hAnsi="宋体" w:eastAsia="宋体" w:cs="宋体"/>
          <w:b/>
          <w:bCs/>
          <w:color w:val="auto"/>
          <w:sz w:val="24"/>
          <w:szCs w:val="24"/>
          <w:highlight w:val="none"/>
        </w:rPr>
        <w:t>的组成</w:t>
      </w:r>
      <w:bookmarkEnd w:id="67"/>
      <w:bookmarkEnd w:id="68"/>
      <w:bookmarkEnd w:id="69"/>
    </w:p>
    <w:p w14:paraId="757608CD">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 xml:space="preserve">.1 </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包括下列内容</w:t>
      </w:r>
    </w:p>
    <w:p w14:paraId="3EC55A98">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第一章 </w:t>
      </w:r>
      <w:r>
        <w:rPr>
          <w:rFonts w:hint="eastAsia" w:ascii="宋体" w:hAnsi="宋体" w:eastAsia="宋体" w:cs="宋体"/>
          <w:color w:val="auto"/>
          <w:kern w:val="0"/>
          <w:sz w:val="24"/>
          <w:szCs w:val="24"/>
          <w:highlight w:val="none"/>
          <w:lang w:val="en-US" w:eastAsia="zh-CN"/>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公告</w:t>
      </w:r>
    </w:p>
    <w:p w14:paraId="459CB3F1">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第二章 供应商须知</w:t>
      </w:r>
    </w:p>
    <w:p w14:paraId="6357604F">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第三章 采购需求</w:t>
      </w:r>
    </w:p>
    <w:p w14:paraId="2728899D">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第四章 合同条款</w:t>
      </w:r>
    </w:p>
    <w:p w14:paraId="31586920">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第五章 评审办法</w:t>
      </w:r>
    </w:p>
    <w:p w14:paraId="221C69F6">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第六章 响应文件格式</w:t>
      </w:r>
    </w:p>
    <w:p w14:paraId="666F191E">
      <w:pPr>
        <w:shd w:val="clear" w:color="auto"/>
        <w:autoSpaceDE w:val="0"/>
        <w:autoSpaceDN w:val="0"/>
        <w:adjustRightInd w:val="0"/>
        <w:spacing w:line="44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val="zh-CN"/>
        </w:rPr>
        <w:t xml:space="preserve">.2 </w:t>
      </w:r>
      <w:r>
        <w:rPr>
          <w:rFonts w:hint="eastAsia" w:ascii="宋体" w:hAnsi="宋体" w:eastAsia="宋体" w:cs="宋体"/>
          <w:b/>
          <w:bCs/>
          <w:color w:val="auto"/>
          <w:sz w:val="24"/>
          <w:szCs w:val="24"/>
          <w:highlight w:val="none"/>
        </w:rPr>
        <w:t>本次磋商</w:t>
      </w:r>
      <w:r>
        <w:rPr>
          <w:rFonts w:hint="eastAsia" w:ascii="宋体" w:hAnsi="宋体" w:eastAsia="宋体" w:cs="宋体"/>
          <w:b/>
          <w:color w:val="auto"/>
          <w:sz w:val="24"/>
          <w:szCs w:val="24"/>
          <w:highlight w:val="none"/>
          <w:lang w:val="zh-CN"/>
        </w:rPr>
        <w:t>的最小单位是标项。竞争性磋商文件未分标项的，供应商须对全部</w:t>
      </w:r>
      <w:r>
        <w:rPr>
          <w:rFonts w:hint="eastAsia" w:ascii="宋体" w:hAnsi="宋体" w:eastAsia="宋体" w:cs="宋体"/>
          <w:b/>
          <w:color w:val="auto"/>
          <w:sz w:val="24"/>
          <w:szCs w:val="24"/>
          <w:highlight w:val="none"/>
        </w:rPr>
        <w:t>采购</w:t>
      </w:r>
      <w:r>
        <w:rPr>
          <w:rFonts w:hint="eastAsia" w:ascii="宋体" w:hAnsi="宋体" w:eastAsia="宋体" w:cs="宋体"/>
          <w:b/>
          <w:color w:val="auto"/>
          <w:sz w:val="24"/>
          <w:szCs w:val="24"/>
          <w:highlight w:val="none"/>
          <w:lang w:val="zh-CN"/>
        </w:rPr>
        <w:t>内容投标，不得部分投标；竞争性磋商文件分标项的，供应商应当以标项为单位编制并提交响应文件</w:t>
      </w:r>
      <w:r>
        <w:rPr>
          <w:rFonts w:hint="eastAsia" w:ascii="宋体" w:hAnsi="宋体" w:eastAsia="宋体" w:cs="宋体"/>
          <w:color w:val="auto"/>
          <w:sz w:val="24"/>
          <w:szCs w:val="24"/>
          <w:highlight w:val="none"/>
          <w:lang w:val="zh-CN"/>
        </w:rPr>
        <w:t>。</w:t>
      </w:r>
    </w:p>
    <w:p w14:paraId="5B1616C5">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cs="宋体"/>
          <w:color w:val="auto"/>
          <w:kern w:val="0"/>
          <w:sz w:val="24"/>
          <w:highlight w:val="none"/>
        </w:rPr>
        <w:t>★</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val="zh-CN"/>
        </w:rPr>
        <w:t xml:space="preserve">.3 </w:t>
      </w:r>
      <w:r>
        <w:rPr>
          <w:rFonts w:hint="eastAsia" w:ascii="宋体" w:hAnsi="宋体" w:eastAsia="宋体" w:cs="宋体"/>
          <w:color w:val="auto"/>
          <w:kern w:val="0"/>
          <w:sz w:val="24"/>
          <w:szCs w:val="24"/>
          <w:highlight w:val="none"/>
          <w:lang w:val="en-US" w:eastAsia="zh-CN"/>
        </w:rPr>
        <w:t>竞争性</w:t>
      </w:r>
      <w:r>
        <w:rPr>
          <w:rFonts w:hint="eastAsia" w:ascii="宋体" w:hAnsi="宋体" w:eastAsia="宋体" w:cs="宋体"/>
          <w:color w:val="auto"/>
          <w:sz w:val="24"/>
          <w:szCs w:val="24"/>
          <w:highlight w:val="none"/>
          <w:lang w:val="zh-CN"/>
        </w:rPr>
        <w:t>磋商文件如果要求供应商提交备选投标方案的，供应商可以提交备选方案；否则，备选方案将被拒绝。</w:t>
      </w:r>
    </w:p>
    <w:p w14:paraId="018D39B5">
      <w:pPr>
        <w:shd w:val="clear" w:color="auto"/>
        <w:spacing w:line="44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val="zh-CN"/>
        </w:rPr>
        <w:t xml:space="preserve">.4 </w:t>
      </w:r>
      <w:r>
        <w:rPr>
          <w:rFonts w:hint="eastAsia" w:ascii="宋体" w:hAnsi="宋体" w:eastAsia="宋体" w:cs="宋体"/>
          <w:color w:val="auto"/>
          <w:kern w:val="0"/>
          <w:sz w:val="24"/>
          <w:szCs w:val="24"/>
          <w:highlight w:val="none"/>
          <w:lang w:val="en-US" w:eastAsia="zh-CN"/>
        </w:rPr>
        <w:t>竞争性</w:t>
      </w:r>
      <w:r>
        <w:rPr>
          <w:rFonts w:hint="eastAsia" w:ascii="宋体" w:hAnsi="宋体" w:eastAsia="宋体" w:cs="宋体"/>
          <w:color w:val="auto"/>
          <w:sz w:val="24"/>
          <w:szCs w:val="24"/>
          <w:highlight w:val="none"/>
          <w:lang w:val="zh-CN"/>
        </w:rPr>
        <w:t>磋商文件由本文件及由采购人按</w:t>
      </w:r>
      <w:r>
        <w:rPr>
          <w:rFonts w:hint="eastAsia" w:ascii="宋体" w:hAnsi="宋体" w:eastAsia="宋体" w:cs="宋体"/>
          <w:color w:val="auto"/>
          <w:kern w:val="0"/>
          <w:sz w:val="24"/>
          <w:szCs w:val="24"/>
          <w:highlight w:val="none"/>
          <w:lang w:val="en-US" w:eastAsia="zh-CN"/>
        </w:rPr>
        <w:t>竞争性</w:t>
      </w:r>
      <w:r>
        <w:rPr>
          <w:rFonts w:hint="eastAsia" w:ascii="宋体" w:hAnsi="宋体" w:eastAsia="宋体" w:cs="宋体"/>
          <w:color w:val="auto"/>
          <w:sz w:val="24"/>
          <w:szCs w:val="24"/>
          <w:highlight w:val="none"/>
          <w:lang w:val="zh-CN"/>
        </w:rPr>
        <w:t>磋商文件有关规定发出的</w:t>
      </w:r>
      <w:r>
        <w:rPr>
          <w:rFonts w:hint="eastAsia" w:ascii="宋体" w:hAnsi="宋体" w:eastAsia="宋体" w:cs="宋体"/>
          <w:color w:val="auto"/>
          <w:kern w:val="0"/>
          <w:sz w:val="24"/>
          <w:szCs w:val="24"/>
          <w:highlight w:val="none"/>
          <w:lang w:val="en-US" w:eastAsia="zh-CN"/>
        </w:rPr>
        <w:t>竞争性</w:t>
      </w:r>
      <w:r>
        <w:rPr>
          <w:rFonts w:hint="eastAsia" w:ascii="宋体" w:hAnsi="宋体" w:eastAsia="宋体" w:cs="宋体"/>
          <w:color w:val="auto"/>
          <w:sz w:val="24"/>
          <w:szCs w:val="24"/>
          <w:highlight w:val="none"/>
          <w:lang w:val="zh-CN"/>
        </w:rPr>
        <w:t>磋商文件补充构成。</w:t>
      </w:r>
    </w:p>
    <w:p w14:paraId="0CF099B2">
      <w:pPr>
        <w:shd w:val="clear" w:color="auto"/>
        <w:spacing w:line="44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val="zh-CN"/>
        </w:rPr>
        <w:t xml:space="preserve">.5 </w:t>
      </w:r>
      <w:r>
        <w:rPr>
          <w:rFonts w:hint="eastAsia" w:ascii="宋体" w:hAnsi="宋体" w:eastAsia="宋体" w:cs="宋体"/>
          <w:color w:val="auto"/>
          <w:kern w:val="0"/>
          <w:sz w:val="24"/>
          <w:szCs w:val="24"/>
          <w:highlight w:val="none"/>
          <w:lang w:val="en-US" w:eastAsia="zh-CN"/>
        </w:rPr>
        <w:t>竞争性</w:t>
      </w:r>
      <w:r>
        <w:rPr>
          <w:rFonts w:hint="eastAsia" w:ascii="宋体" w:hAnsi="宋体" w:eastAsia="宋体" w:cs="宋体"/>
          <w:color w:val="auto"/>
          <w:sz w:val="24"/>
          <w:szCs w:val="24"/>
          <w:highlight w:val="none"/>
          <w:lang w:val="zh-CN"/>
        </w:rPr>
        <w:t>磋商文件的澄清、修改、</w:t>
      </w:r>
      <w:r>
        <w:rPr>
          <w:rFonts w:hint="eastAsia" w:ascii="宋体" w:hAnsi="宋体" w:eastAsia="宋体" w:cs="宋体"/>
          <w:color w:val="auto"/>
          <w:sz w:val="24"/>
          <w:szCs w:val="24"/>
          <w:highlight w:val="none"/>
        </w:rPr>
        <w:t>磋商</w:t>
      </w:r>
      <w:r>
        <w:rPr>
          <w:rFonts w:hint="eastAsia" w:ascii="宋体" w:hAnsi="宋体" w:eastAsia="宋体" w:cs="宋体"/>
          <w:color w:val="auto"/>
          <w:sz w:val="24"/>
          <w:szCs w:val="24"/>
          <w:highlight w:val="none"/>
          <w:lang w:val="zh-CN"/>
        </w:rPr>
        <w:t>答疑会纪要等书面材料在本采购项目中均称</w:t>
      </w:r>
      <w:r>
        <w:rPr>
          <w:rFonts w:hint="eastAsia" w:ascii="宋体" w:hAnsi="宋体" w:eastAsia="宋体" w:cs="宋体"/>
          <w:color w:val="auto"/>
          <w:kern w:val="0"/>
          <w:sz w:val="24"/>
          <w:szCs w:val="24"/>
          <w:highlight w:val="none"/>
          <w:lang w:val="en-US" w:eastAsia="zh-CN"/>
        </w:rPr>
        <w:t>竞争性</w:t>
      </w:r>
      <w:r>
        <w:rPr>
          <w:rFonts w:hint="eastAsia" w:ascii="宋体" w:hAnsi="宋体" w:eastAsia="宋体" w:cs="宋体"/>
          <w:color w:val="auto"/>
          <w:sz w:val="24"/>
          <w:szCs w:val="24"/>
          <w:highlight w:val="none"/>
          <w:lang w:val="zh-CN"/>
        </w:rPr>
        <w:t>磋商文件补充。</w:t>
      </w:r>
    </w:p>
    <w:p w14:paraId="56DDE303">
      <w:pPr>
        <w:shd w:val="clear" w:color="auto"/>
        <w:spacing w:line="440" w:lineRule="exact"/>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val="zh-CN"/>
        </w:rPr>
        <w:t xml:space="preserve">.6 </w:t>
      </w:r>
      <w:r>
        <w:rPr>
          <w:rFonts w:hint="eastAsia" w:ascii="宋体" w:hAnsi="宋体" w:eastAsia="宋体" w:cs="宋体"/>
          <w:color w:val="auto"/>
          <w:kern w:val="0"/>
          <w:sz w:val="24"/>
          <w:szCs w:val="24"/>
          <w:highlight w:val="none"/>
          <w:lang w:val="en-US" w:eastAsia="zh-CN"/>
        </w:rPr>
        <w:t>竞争性</w:t>
      </w:r>
      <w:r>
        <w:rPr>
          <w:rFonts w:hint="eastAsia" w:ascii="宋体" w:hAnsi="宋体" w:eastAsia="宋体" w:cs="宋体"/>
          <w:color w:val="auto"/>
          <w:sz w:val="24"/>
          <w:szCs w:val="24"/>
          <w:highlight w:val="none"/>
          <w:lang w:val="zh-CN"/>
        </w:rPr>
        <w:t>磋商文件补充作为</w:t>
      </w:r>
      <w:r>
        <w:rPr>
          <w:rFonts w:hint="eastAsia" w:ascii="宋体" w:hAnsi="宋体" w:eastAsia="宋体" w:cs="宋体"/>
          <w:color w:val="auto"/>
          <w:kern w:val="0"/>
          <w:sz w:val="24"/>
          <w:szCs w:val="24"/>
          <w:highlight w:val="none"/>
          <w:lang w:val="en-US" w:eastAsia="zh-CN"/>
        </w:rPr>
        <w:t>竞争性</w:t>
      </w:r>
      <w:r>
        <w:rPr>
          <w:rFonts w:hint="eastAsia" w:ascii="宋体" w:hAnsi="宋体" w:eastAsia="宋体" w:cs="宋体"/>
          <w:color w:val="auto"/>
          <w:sz w:val="24"/>
          <w:szCs w:val="24"/>
          <w:highlight w:val="none"/>
          <w:lang w:val="zh-CN"/>
        </w:rPr>
        <w:t>磋商文件的组成部分，对供应商起同等约束作用。如果</w:t>
      </w:r>
      <w:r>
        <w:rPr>
          <w:rFonts w:hint="eastAsia" w:ascii="宋体" w:hAnsi="宋体" w:eastAsia="宋体" w:cs="宋体"/>
          <w:color w:val="auto"/>
          <w:kern w:val="0"/>
          <w:sz w:val="24"/>
          <w:szCs w:val="24"/>
          <w:highlight w:val="none"/>
          <w:lang w:val="en-US" w:eastAsia="zh-CN"/>
        </w:rPr>
        <w:t>竞争性</w:t>
      </w:r>
      <w:r>
        <w:rPr>
          <w:rFonts w:hint="eastAsia" w:ascii="宋体" w:hAnsi="宋体" w:eastAsia="宋体" w:cs="宋体"/>
          <w:color w:val="auto"/>
          <w:sz w:val="24"/>
          <w:szCs w:val="24"/>
          <w:highlight w:val="none"/>
          <w:lang w:val="zh-CN"/>
        </w:rPr>
        <w:t>磋商文件补充内容与在此</w:t>
      </w:r>
      <w:r>
        <w:rPr>
          <w:rFonts w:hint="eastAsia" w:ascii="宋体" w:hAnsi="宋体" w:eastAsia="宋体" w:cs="宋体"/>
          <w:color w:val="auto"/>
          <w:kern w:val="0"/>
          <w:sz w:val="24"/>
          <w:szCs w:val="24"/>
          <w:highlight w:val="none"/>
          <w:lang w:val="en-US" w:eastAsia="zh-CN"/>
        </w:rPr>
        <w:t>竞争性</w:t>
      </w:r>
      <w:r>
        <w:rPr>
          <w:rFonts w:hint="eastAsia" w:ascii="宋体" w:hAnsi="宋体" w:eastAsia="宋体" w:cs="宋体"/>
          <w:color w:val="auto"/>
          <w:sz w:val="24"/>
          <w:szCs w:val="24"/>
          <w:highlight w:val="none"/>
          <w:lang w:val="zh-CN"/>
        </w:rPr>
        <w:t>磋商文件补充发出之前的</w:t>
      </w:r>
      <w:r>
        <w:rPr>
          <w:rFonts w:hint="eastAsia" w:ascii="宋体" w:hAnsi="宋体" w:eastAsia="宋体" w:cs="宋体"/>
          <w:color w:val="auto"/>
          <w:kern w:val="0"/>
          <w:sz w:val="24"/>
          <w:szCs w:val="24"/>
          <w:highlight w:val="none"/>
          <w:lang w:val="en-US" w:eastAsia="zh-CN"/>
        </w:rPr>
        <w:t>竞争性</w:t>
      </w:r>
      <w:r>
        <w:rPr>
          <w:rFonts w:hint="eastAsia" w:ascii="宋体" w:hAnsi="宋体" w:eastAsia="宋体" w:cs="宋体"/>
          <w:color w:val="auto"/>
          <w:sz w:val="24"/>
          <w:szCs w:val="24"/>
          <w:highlight w:val="none"/>
          <w:lang w:val="zh-CN"/>
        </w:rPr>
        <w:t>磋商文件等书面材料中相关内容相冲突，请供应商执行</w:t>
      </w:r>
      <w:r>
        <w:rPr>
          <w:rFonts w:hint="eastAsia" w:ascii="宋体" w:hAnsi="宋体" w:eastAsia="宋体" w:cs="宋体"/>
          <w:color w:val="auto"/>
          <w:kern w:val="0"/>
          <w:sz w:val="24"/>
          <w:szCs w:val="24"/>
          <w:highlight w:val="none"/>
          <w:lang w:val="en-US" w:eastAsia="zh-CN"/>
        </w:rPr>
        <w:t>竞争性</w:t>
      </w:r>
      <w:r>
        <w:rPr>
          <w:rFonts w:hint="eastAsia" w:ascii="宋体" w:hAnsi="宋体" w:eastAsia="宋体" w:cs="宋体"/>
          <w:color w:val="auto"/>
          <w:sz w:val="24"/>
          <w:szCs w:val="24"/>
          <w:highlight w:val="none"/>
          <w:lang w:val="zh-CN"/>
        </w:rPr>
        <w:t>磋商文件补充的相关内容，先前发出的</w:t>
      </w:r>
      <w:r>
        <w:rPr>
          <w:rFonts w:hint="eastAsia" w:ascii="宋体" w:hAnsi="宋体" w:eastAsia="宋体" w:cs="宋体"/>
          <w:color w:val="auto"/>
          <w:kern w:val="0"/>
          <w:sz w:val="24"/>
          <w:szCs w:val="24"/>
          <w:highlight w:val="none"/>
          <w:lang w:val="en-US" w:eastAsia="zh-CN"/>
        </w:rPr>
        <w:t>竞争性</w:t>
      </w:r>
      <w:r>
        <w:rPr>
          <w:rFonts w:hint="eastAsia" w:ascii="宋体" w:hAnsi="宋体" w:eastAsia="宋体" w:cs="宋体"/>
          <w:color w:val="auto"/>
          <w:sz w:val="24"/>
          <w:szCs w:val="24"/>
          <w:highlight w:val="none"/>
          <w:lang w:val="zh-CN"/>
        </w:rPr>
        <w:t>磋商文件等书面材料中相关内容自动废止。</w:t>
      </w:r>
    </w:p>
    <w:p w14:paraId="37CEDE30">
      <w:pPr>
        <w:shd w:val="clear" w:color="auto"/>
        <w:spacing w:line="440" w:lineRule="exact"/>
        <w:ind w:firstLine="480" w:firstLineChars="200"/>
        <w:rPr>
          <w:rFonts w:ascii="宋体" w:hAnsi="宋体" w:eastAsia="宋体" w:cs="宋体"/>
          <w:color w:val="auto"/>
          <w:sz w:val="24"/>
          <w:highlight w:val="none"/>
          <w:lang w:val="zh-CN"/>
        </w:rPr>
      </w:pPr>
      <w:bookmarkStart w:id="70" w:name="_Toc12268"/>
      <w:bookmarkStart w:id="71" w:name="_Toc37090638"/>
      <w:bookmarkStart w:id="72" w:name="_Toc37090974"/>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lang w:val="zh-CN"/>
        </w:rPr>
        <w:t>.7 供应商应认真审阅和理解</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lang w:val="zh-CN"/>
        </w:rPr>
        <w:t>所有内容，尤其注意</w:t>
      </w:r>
      <w:r>
        <w:rPr>
          <w:rFonts w:hint="eastAsia" w:ascii="宋体" w:hAnsi="宋体" w:eastAsia="宋体" w:cs="宋体"/>
          <w:color w:val="auto"/>
          <w:sz w:val="24"/>
          <w:highlight w:val="none"/>
        </w:rPr>
        <w:t>加“★”</w:t>
      </w:r>
      <w:r>
        <w:rPr>
          <w:rFonts w:hint="eastAsia" w:ascii="宋体" w:hAnsi="宋体" w:eastAsia="宋体" w:cs="宋体"/>
          <w:color w:val="auto"/>
          <w:sz w:val="24"/>
          <w:highlight w:val="none"/>
          <w:lang w:val="zh-CN"/>
        </w:rPr>
        <w:t>等的条款，按照</w:t>
      </w:r>
      <w:r>
        <w:rPr>
          <w:rFonts w:hint="eastAsia" w:ascii="宋体" w:hAnsi="宋体" w:eastAsia="宋体" w:cs="宋体"/>
          <w:color w:val="auto"/>
          <w:kern w:val="0"/>
          <w:sz w:val="24"/>
          <w:szCs w:val="24"/>
          <w:highlight w:val="none"/>
          <w:lang w:val="en-US" w:eastAsia="zh-CN"/>
        </w:rPr>
        <w:t>竞争性</w:t>
      </w:r>
      <w:r>
        <w:rPr>
          <w:rFonts w:hint="eastAsia" w:ascii="宋体" w:hAnsi="宋体" w:eastAsia="宋体" w:cs="宋体"/>
          <w:color w:val="auto"/>
          <w:sz w:val="24"/>
          <w:highlight w:val="none"/>
          <w:lang w:val="zh-CN"/>
        </w:rPr>
        <w:t>磋商文件要求编制响应文件。任何对</w:t>
      </w:r>
      <w:r>
        <w:rPr>
          <w:rFonts w:hint="eastAsia" w:ascii="宋体" w:hAnsi="宋体" w:eastAsia="宋体" w:cs="宋体"/>
          <w:color w:val="auto"/>
          <w:kern w:val="0"/>
          <w:sz w:val="24"/>
          <w:szCs w:val="24"/>
          <w:highlight w:val="none"/>
          <w:lang w:val="en-US" w:eastAsia="zh-CN"/>
        </w:rPr>
        <w:t>竞争性</w:t>
      </w:r>
      <w:r>
        <w:rPr>
          <w:rFonts w:hint="eastAsia" w:ascii="宋体" w:hAnsi="宋体" w:eastAsia="宋体" w:cs="宋体"/>
          <w:color w:val="auto"/>
          <w:sz w:val="24"/>
          <w:highlight w:val="none"/>
          <w:lang w:val="zh-CN"/>
        </w:rPr>
        <w:t>磋商文件的忽略或误解不能作为响应文件存在缺陷或瑕疵的理由，其风险由供应商承担。</w:t>
      </w:r>
    </w:p>
    <w:p w14:paraId="19F1B114">
      <w:pPr>
        <w:shd w:val="clear"/>
        <w:spacing w:line="440" w:lineRule="exact"/>
        <w:ind w:firstLine="482" w:firstLineChars="200"/>
        <w:rPr>
          <w:rFonts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lang w:val="zh-CN"/>
        </w:rPr>
        <w:t>. 磋商文件的获取</w:t>
      </w:r>
      <w:bookmarkEnd w:id="70"/>
      <w:bookmarkEnd w:id="71"/>
      <w:bookmarkEnd w:id="72"/>
    </w:p>
    <w:p w14:paraId="395E2682">
      <w:pPr>
        <w:shd w:val="clear" w:color="auto"/>
        <w:spacing w:line="440" w:lineRule="exact"/>
        <w:ind w:firstLine="482" w:firstLineChars="200"/>
        <w:rPr>
          <w:rFonts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lang w:val="en-US" w:eastAsia="zh-CN"/>
        </w:rPr>
        <w:t>12</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竞争性</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的提供期限自开始发出之日起不得少于五个工作日。具体提供期限见</w:t>
      </w:r>
      <w:r>
        <w:rPr>
          <w:rFonts w:hint="eastAsia" w:ascii="宋体" w:hAnsi="宋体" w:eastAsia="宋体" w:cs="宋体"/>
          <w:b/>
          <w:bCs/>
          <w:color w:val="auto"/>
          <w:kern w:val="0"/>
          <w:sz w:val="24"/>
          <w:szCs w:val="24"/>
          <w:highlight w:val="none"/>
          <w:lang w:val="en-US" w:eastAsia="zh-CN"/>
        </w:rPr>
        <w:t>竞争性</w:t>
      </w:r>
      <w:r>
        <w:rPr>
          <w:rFonts w:hint="eastAsia" w:ascii="宋体" w:hAnsi="宋体" w:eastAsia="宋体" w:cs="宋体"/>
          <w:b/>
          <w:color w:val="auto"/>
          <w:kern w:val="0"/>
          <w:sz w:val="24"/>
          <w:szCs w:val="24"/>
          <w:highlight w:val="none"/>
          <w:lang w:eastAsia="zh-CN"/>
        </w:rPr>
        <w:t>磋商文件</w:t>
      </w:r>
      <w:r>
        <w:rPr>
          <w:rFonts w:hint="eastAsia" w:ascii="宋体" w:hAnsi="宋体" w:eastAsia="宋体" w:cs="宋体"/>
          <w:b/>
          <w:color w:val="auto"/>
          <w:kern w:val="0"/>
          <w:sz w:val="24"/>
          <w:szCs w:val="24"/>
          <w:highlight w:val="none"/>
        </w:rPr>
        <w:t>公告</w:t>
      </w:r>
      <w:r>
        <w:rPr>
          <w:rFonts w:hint="eastAsia" w:ascii="宋体" w:hAnsi="宋体" w:eastAsia="宋体" w:cs="宋体"/>
          <w:color w:val="auto"/>
          <w:kern w:val="0"/>
          <w:sz w:val="24"/>
          <w:szCs w:val="24"/>
          <w:highlight w:val="none"/>
        </w:rPr>
        <w:t>。</w:t>
      </w:r>
    </w:p>
    <w:p w14:paraId="356FEDE4">
      <w:pPr>
        <w:keepNext w:val="0"/>
        <w:keepLines w:val="0"/>
        <w:pageBreakBefore w:val="0"/>
        <w:widowControl w:val="0"/>
        <w:shd w:val="clear" w:color="auto" w:fill="auto"/>
        <w:kinsoku/>
        <w:wordWrap/>
        <w:overflowPunct/>
        <w:topLinePunct w:val="0"/>
        <w:bidi w:val="0"/>
        <w:spacing w:line="42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12.2凡符合资格要求并有意参加投标的供应商,登录政采云平台（https://www.zcygov.cn/）后进入“项目采购”应用，在获取采购文件菜单中选择项目，自行获取采购文件。</w:t>
      </w:r>
    </w:p>
    <w:p w14:paraId="129045D7">
      <w:pPr>
        <w:shd w:val="clear"/>
        <w:spacing w:line="440" w:lineRule="exact"/>
        <w:ind w:firstLine="482" w:firstLineChars="200"/>
        <w:rPr>
          <w:rFonts w:ascii="宋体" w:hAnsi="宋体" w:eastAsia="宋体" w:cs="宋体"/>
          <w:b/>
          <w:bCs/>
          <w:color w:val="auto"/>
          <w:sz w:val="24"/>
          <w:szCs w:val="24"/>
          <w:highlight w:val="none"/>
          <w:lang w:val="zh-CN"/>
        </w:rPr>
      </w:pPr>
      <w:bookmarkStart w:id="73" w:name="_Toc28565"/>
      <w:bookmarkStart w:id="74" w:name="_Toc37090639"/>
      <w:bookmarkStart w:id="75" w:name="_Toc37090975"/>
      <w:r>
        <w:rPr>
          <w:rFonts w:hint="eastAsia" w:ascii="宋体" w:hAnsi="宋体" w:eastAsia="宋体" w:cs="宋体"/>
          <w:b/>
          <w:bCs/>
          <w:color w:val="auto"/>
          <w:sz w:val="24"/>
          <w:szCs w:val="24"/>
          <w:highlight w:val="none"/>
          <w:lang w:val="en-US" w:eastAsia="zh-CN"/>
        </w:rPr>
        <w:t>13</w:t>
      </w:r>
      <w:r>
        <w:rPr>
          <w:rFonts w:hint="eastAsia" w:ascii="宋体" w:hAnsi="宋体" w:eastAsia="宋体" w:cs="宋体"/>
          <w:b/>
          <w:bCs/>
          <w:color w:val="auto"/>
          <w:sz w:val="24"/>
          <w:szCs w:val="24"/>
          <w:highlight w:val="none"/>
          <w:lang w:val="zh-CN"/>
        </w:rPr>
        <w:t>. 磋商文件的澄清或修改</w:t>
      </w:r>
      <w:bookmarkEnd w:id="73"/>
      <w:bookmarkEnd w:id="74"/>
      <w:bookmarkEnd w:id="75"/>
    </w:p>
    <w:p w14:paraId="5A2F7A00">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13</w:t>
      </w:r>
      <w:r>
        <w:rPr>
          <w:rFonts w:hint="eastAsia" w:ascii="宋体" w:hAnsi="宋体" w:eastAsia="宋体" w:cs="宋体"/>
          <w:b w:val="0"/>
          <w:bCs w:val="0"/>
          <w:color w:val="auto"/>
          <w:kern w:val="0"/>
          <w:sz w:val="24"/>
          <w:szCs w:val="24"/>
          <w:highlight w:val="none"/>
        </w:rPr>
        <w:t>.1</w:t>
      </w:r>
      <w:r>
        <w:rPr>
          <w:rFonts w:hint="eastAsia" w:ascii="宋体" w:hAnsi="宋体" w:eastAsia="宋体" w:cs="宋体"/>
          <w:color w:val="auto"/>
          <w:kern w:val="0"/>
          <w:sz w:val="24"/>
          <w:szCs w:val="24"/>
          <w:highlight w:val="none"/>
        </w:rPr>
        <w:t>供应商若对</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有任何疑问，应当在获取</w:t>
      </w:r>
      <w:r>
        <w:rPr>
          <w:rFonts w:hint="eastAsia" w:ascii="宋体" w:hAnsi="宋体" w:eastAsia="宋体" w:cs="宋体"/>
          <w:color w:val="auto"/>
          <w:kern w:val="0"/>
          <w:sz w:val="24"/>
          <w:szCs w:val="24"/>
          <w:highlight w:val="none"/>
          <w:lang w:val="en-US" w:eastAsia="zh-CN"/>
        </w:rPr>
        <w:t>竞争性</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或者</w:t>
      </w:r>
      <w:r>
        <w:rPr>
          <w:rFonts w:hint="eastAsia" w:ascii="宋体" w:hAnsi="宋体" w:eastAsia="宋体" w:cs="宋体"/>
          <w:color w:val="auto"/>
          <w:kern w:val="0"/>
          <w:sz w:val="24"/>
          <w:szCs w:val="24"/>
          <w:highlight w:val="none"/>
          <w:lang w:val="en-US" w:eastAsia="zh-CN"/>
        </w:rPr>
        <w:t>竞争性</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公告期限届满之日起七个工作日内提出。本项目接受对</w:t>
      </w:r>
      <w:r>
        <w:rPr>
          <w:rFonts w:hint="eastAsia" w:ascii="宋体" w:hAnsi="宋体" w:eastAsia="宋体" w:cs="宋体"/>
          <w:color w:val="auto"/>
          <w:kern w:val="0"/>
          <w:sz w:val="24"/>
          <w:szCs w:val="24"/>
          <w:highlight w:val="none"/>
          <w:lang w:val="en-US" w:eastAsia="zh-CN"/>
        </w:rPr>
        <w:t>竞争性</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质疑的截止时间见“前附表”第12项，供应商须在截止时间前一次性提出对</w:t>
      </w:r>
      <w:r>
        <w:rPr>
          <w:rFonts w:hint="eastAsia" w:ascii="宋体" w:hAnsi="宋体" w:eastAsia="宋体" w:cs="宋体"/>
          <w:color w:val="auto"/>
          <w:kern w:val="0"/>
          <w:sz w:val="24"/>
          <w:szCs w:val="24"/>
          <w:highlight w:val="none"/>
          <w:lang w:val="en-US" w:eastAsia="zh-CN"/>
        </w:rPr>
        <w:t>竞争性</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质疑内容。供应商提出质疑应当提交质疑函和必要的证明材料。质疑函应当包括下列内容：</w:t>
      </w:r>
    </w:p>
    <w:p w14:paraId="0F11A8E6">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13</w:t>
      </w:r>
      <w:r>
        <w:rPr>
          <w:rFonts w:hint="eastAsia" w:ascii="宋体" w:hAnsi="宋体" w:eastAsia="宋体" w:cs="宋体"/>
          <w:b w:val="0"/>
          <w:bCs w:val="0"/>
          <w:color w:val="auto"/>
          <w:kern w:val="0"/>
          <w:sz w:val="24"/>
          <w:szCs w:val="24"/>
          <w:highlight w:val="none"/>
        </w:rPr>
        <w:t>.1.</w:t>
      </w:r>
      <w:r>
        <w:rPr>
          <w:rFonts w:hint="eastAsia" w:ascii="宋体" w:hAnsi="宋体" w:eastAsia="宋体" w:cs="宋体"/>
          <w:color w:val="auto"/>
          <w:kern w:val="0"/>
          <w:sz w:val="24"/>
          <w:szCs w:val="24"/>
          <w:highlight w:val="none"/>
        </w:rPr>
        <w:t>1供应商的姓名或者名称、地址、邮编、联系人及联系电话；</w:t>
      </w:r>
    </w:p>
    <w:p w14:paraId="67616C71">
      <w:pPr>
        <w:shd w:val="clear" w:color="auto"/>
        <w:spacing w:line="440" w:lineRule="exact"/>
        <w:ind w:firstLine="480" w:firstLineChars="200"/>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13</w:t>
      </w:r>
      <w:r>
        <w:rPr>
          <w:rFonts w:hint="eastAsia" w:ascii="宋体" w:hAnsi="宋体" w:eastAsia="宋体" w:cs="宋体"/>
          <w:b w:val="0"/>
          <w:bCs w:val="0"/>
          <w:color w:val="auto"/>
          <w:kern w:val="0"/>
          <w:sz w:val="24"/>
          <w:szCs w:val="24"/>
          <w:highlight w:val="none"/>
        </w:rPr>
        <w:t>.1.2质疑项目的名称、编号；</w:t>
      </w:r>
    </w:p>
    <w:p w14:paraId="111E6A2F">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13</w:t>
      </w:r>
      <w:r>
        <w:rPr>
          <w:rFonts w:hint="eastAsia" w:ascii="宋体" w:hAnsi="宋体" w:eastAsia="宋体" w:cs="宋体"/>
          <w:b w:val="0"/>
          <w:bCs w:val="0"/>
          <w:color w:val="auto"/>
          <w:kern w:val="0"/>
          <w:sz w:val="24"/>
          <w:szCs w:val="24"/>
          <w:highlight w:val="none"/>
        </w:rPr>
        <w:t>.1.3</w:t>
      </w:r>
      <w:r>
        <w:rPr>
          <w:rFonts w:hint="eastAsia" w:ascii="宋体" w:hAnsi="宋体" w:eastAsia="宋体" w:cs="宋体"/>
          <w:color w:val="auto"/>
          <w:kern w:val="0"/>
          <w:sz w:val="24"/>
          <w:szCs w:val="24"/>
          <w:highlight w:val="none"/>
        </w:rPr>
        <w:t>具体、明确的质疑事项和与质疑事项相关的请求；</w:t>
      </w:r>
    </w:p>
    <w:p w14:paraId="361C79FD">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13</w:t>
      </w:r>
      <w:r>
        <w:rPr>
          <w:rFonts w:hint="eastAsia" w:ascii="宋体" w:hAnsi="宋体" w:eastAsia="宋体" w:cs="宋体"/>
          <w:color w:val="auto"/>
          <w:kern w:val="0"/>
          <w:sz w:val="24"/>
          <w:szCs w:val="24"/>
          <w:highlight w:val="none"/>
        </w:rPr>
        <w:t>.1.4事实依据；</w:t>
      </w:r>
    </w:p>
    <w:p w14:paraId="485FA3C0">
      <w:pPr>
        <w:shd w:val="clear" w:color="auto"/>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w:t>
      </w:r>
      <w:r>
        <w:rPr>
          <w:rFonts w:hint="eastAsia" w:ascii="宋体" w:hAnsi="宋体" w:eastAsia="宋体" w:cs="宋体"/>
          <w:color w:val="auto"/>
          <w:kern w:val="0"/>
          <w:sz w:val="24"/>
          <w:szCs w:val="24"/>
          <w:highlight w:val="none"/>
        </w:rPr>
        <w:t>.1.5必要的法律依据；</w:t>
      </w:r>
    </w:p>
    <w:p w14:paraId="3DD91D83">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13</w:t>
      </w:r>
      <w:r>
        <w:rPr>
          <w:rFonts w:hint="eastAsia" w:ascii="宋体" w:hAnsi="宋体" w:eastAsia="宋体" w:cs="宋体"/>
          <w:color w:val="auto"/>
          <w:kern w:val="0"/>
          <w:sz w:val="24"/>
          <w:szCs w:val="24"/>
          <w:highlight w:val="none"/>
        </w:rPr>
        <w:t>.1.6提出质疑的日期。</w:t>
      </w:r>
    </w:p>
    <w:p w14:paraId="25227875">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供应商为自然人的，应当由本人签字；供应商为法人或者其他组织的，应当由法定代表人、主要负责人，或者其授权代表签字或者盖章，并加盖投标单位</w:t>
      </w:r>
      <w:r>
        <w:rPr>
          <w:rFonts w:hint="eastAsia" w:ascii="宋体" w:hAnsi="宋体" w:eastAsia="宋体" w:cs="宋体"/>
          <w:color w:val="auto"/>
          <w:sz w:val="24"/>
          <w:szCs w:val="24"/>
          <w:highlight w:val="none"/>
          <w:lang w:val="en-US" w:eastAsia="zh-CN"/>
        </w:rPr>
        <w:t>电子</w:t>
      </w:r>
      <w:r>
        <w:rPr>
          <w:rFonts w:hint="eastAsia" w:ascii="宋体" w:hAnsi="宋体" w:eastAsia="宋体" w:cs="宋体"/>
          <w:color w:val="auto"/>
          <w:sz w:val="24"/>
          <w:szCs w:val="24"/>
          <w:highlight w:val="none"/>
          <w:lang w:val="zh-CN"/>
        </w:rPr>
        <w:t>公章。</w:t>
      </w:r>
    </w:p>
    <w:p w14:paraId="4232F182">
      <w:pPr>
        <w:shd w:val="clear" w:color="auto"/>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13</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 xml:space="preserve"> 在响应文件递交截止期前的任何时候，无论出于何种原因，采购人均可主动地或在解答供应商提出的澄清问题时对</w:t>
      </w:r>
      <w:r>
        <w:rPr>
          <w:rFonts w:hint="eastAsia" w:ascii="宋体" w:hAnsi="宋体" w:eastAsia="宋体" w:cs="宋体"/>
          <w:color w:val="auto"/>
          <w:sz w:val="24"/>
          <w:szCs w:val="24"/>
          <w:highlight w:val="none"/>
          <w:lang w:val="en-US" w:eastAsia="zh-CN"/>
        </w:rPr>
        <w:t>竞争性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进行修改。</w:t>
      </w:r>
    </w:p>
    <w:p w14:paraId="12E4DD98">
      <w:pPr>
        <w:shd w:val="clear" w:color="auto"/>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13</w:t>
      </w: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lang w:val="en-US" w:eastAsia="zh-CN"/>
        </w:rPr>
        <w:t>竞争性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的修改将以书面形式通知所有参与磋商的供应商，并对其具有约束力，供应商应立即以传真形式回复采购人，确认已收到修改文件。</w:t>
      </w:r>
    </w:p>
    <w:p w14:paraId="0E3BD810">
      <w:pPr>
        <w:shd w:val="clear" w:color="auto"/>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13</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为使供应商有充分的时间对</w:t>
      </w:r>
      <w:r>
        <w:rPr>
          <w:rFonts w:hint="eastAsia" w:ascii="宋体" w:hAnsi="宋体" w:eastAsia="宋体" w:cs="宋体"/>
          <w:color w:val="auto"/>
          <w:sz w:val="24"/>
          <w:szCs w:val="24"/>
          <w:highlight w:val="none"/>
          <w:lang w:val="en-US" w:eastAsia="zh-CN"/>
        </w:rPr>
        <w:t>竞争性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的修改文件进行研究，采购人有权推迟磋商时间，并将此变更书面通知所有参与磋商的供应商。</w:t>
      </w:r>
    </w:p>
    <w:p w14:paraId="3D40A3BF">
      <w:pPr>
        <w:shd w:val="clear" w:color="auto"/>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13</w:t>
      </w:r>
      <w:r>
        <w:rPr>
          <w:rFonts w:hint="eastAsia" w:ascii="宋体" w:hAnsi="宋体" w:eastAsia="宋体" w:cs="宋体"/>
          <w:color w:val="auto"/>
          <w:sz w:val="24"/>
          <w:szCs w:val="24"/>
          <w:highlight w:val="none"/>
        </w:rPr>
        <w:t>.5 在上述情况下，采购人与供应商响应文件递交截止日前的全部权利、责任和义务，将适用于延长后的响应文件递交截止期。</w:t>
      </w:r>
    </w:p>
    <w:p w14:paraId="3F3A13BD">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13</w:t>
      </w:r>
      <w:r>
        <w:rPr>
          <w:rFonts w:hint="eastAsia" w:ascii="宋体" w:hAnsi="宋体" w:eastAsia="宋体" w:cs="宋体"/>
          <w:color w:val="auto"/>
          <w:kern w:val="0"/>
          <w:sz w:val="24"/>
          <w:szCs w:val="24"/>
          <w:highlight w:val="none"/>
        </w:rPr>
        <w:t xml:space="preserve">.6 </w:t>
      </w:r>
      <w:r>
        <w:rPr>
          <w:rFonts w:hint="eastAsia" w:ascii="宋体" w:hAnsi="宋体" w:eastAsia="宋体" w:cs="宋体;SimSun"/>
          <w:color w:val="auto"/>
          <w:sz w:val="24"/>
          <w:szCs w:val="24"/>
          <w:highlight w:val="none"/>
        </w:rPr>
        <w:t>供应商领取</w:t>
      </w:r>
      <w:r>
        <w:rPr>
          <w:rFonts w:hint="eastAsia" w:ascii="宋体" w:hAnsi="宋体" w:eastAsia="宋体" w:cs="宋体"/>
          <w:color w:val="auto"/>
          <w:sz w:val="24"/>
          <w:szCs w:val="24"/>
          <w:highlight w:val="none"/>
          <w:lang w:val="en-US" w:eastAsia="zh-CN"/>
        </w:rPr>
        <w:t>竞争性</w:t>
      </w:r>
      <w:r>
        <w:rPr>
          <w:rFonts w:hint="eastAsia" w:ascii="宋体" w:hAnsi="宋体" w:eastAsia="宋体" w:cs="宋体;SimSun"/>
          <w:color w:val="auto"/>
          <w:sz w:val="24"/>
          <w:szCs w:val="24"/>
          <w:highlight w:val="none"/>
          <w:lang w:eastAsia="zh-CN"/>
        </w:rPr>
        <w:t>磋商文件</w:t>
      </w:r>
      <w:r>
        <w:rPr>
          <w:rFonts w:hint="eastAsia" w:ascii="宋体" w:hAnsi="宋体" w:eastAsia="宋体" w:cs="宋体;SimSun"/>
          <w:color w:val="auto"/>
          <w:sz w:val="24"/>
          <w:szCs w:val="24"/>
          <w:highlight w:val="none"/>
        </w:rPr>
        <w:t>后，应仔细检查</w:t>
      </w:r>
      <w:r>
        <w:rPr>
          <w:rFonts w:hint="eastAsia" w:ascii="宋体" w:hAnsi="宋体" w:eastAsia="宋体" w:cs="宋体;SimSun"/>
          <w:color w:val="auto"/>
          <w:sz w:val="24"/>
          <w:szCs w:val="24"/>
          <w:highlight w:val="none"/>
          <w:lang w:eastAsia="zh-CN"/>
        </w:rPr>
        <w:t>磋商文件</w:t>
      </w:r>
      <w:r>
        <w:rPr>
          <w:rFonts w:hint="eastAsia" w:ascii="宋体" w:hAnsi="宋体" w:eastAsia="宋体" w:cs="宋体;SimSun"/>
          <w:color w:val="auto"/>
          <w:sz w:val="24"/>
          <w:szCs w:val="24"/>
          <w:highlight w:val="none"/>
        </w:rPr>
        <w:t>的所有内容，如有残缺应在领到</w:t>
      </w:r>
      <w:r>
        <w:rPr>
          <w:rFonts w:hint="eastAsia" w:ascii="宋体" w:hAnsi="宋体" w:eastAsia="宋体" w:cs="宋体"/>
          <w:color w:val="auto"/>
          <w:sz w:val="24"/>
          <w:szCs w:val="24"/>
          <w:highlight w:val="none"/>
          <w:lang w:val="en-US" w:eastAsia="zh-CN"/>
        </w:rPr>
        <w:t>竞争性</w:t>
      </w:r>
      <w:r>
        <w:rPr>
          <w:rFonts w:hint="eastAsia" w:ascii="宋体" w:hAnsi="宋体" w:eastAsia="宋体" w:cs="宋体;SimSun"/>
          <w:color w:val="auto"/>
          <w:sz w:val="24"/>
          <w:szCs w:val="24"/>
          <w:highlight w:val="none"/>
          <w:lang w:eastAsia="zh-CN"/>
        </w:rPr>
        <w:t>磋商文件</w:t>
      </w:r>
      <w:r>
        <w:rPr>
          <w:rFonts w:hint="eastAsia" w:ascii="宋体" w:hAnsi="宋体" w:eastAsia="宋体" w:cs="宋体;SimSun"/>
          <w:color w:val="auto"/>
          <w:sz w:val="24"/>
          <w:szCs w:val="24"/>
          <w:highlight w:val="none"/>
        </w:rPr>
        <w:t>后</w:t>
      </w:r>
      <w:r>
        <w:rPr>
          <w:rFonts w:ascii="宋体" w:hAnsi="宋体" w:eastAsia="宋体" w:cs="宋体;SimSun"/>
          <w:color w:val="auto"/>
          <w:sz w:val="24"/>
          <w:szCs w:val="24"/>
          <w:highlight w:val="none"/>
        </w:rPr>
        <w:t>5</w:t>
      </w:r>
      <w:r>
        <w:rPr>
          <w:rFonts w:hint="eastAsia" w:ascii="宋体" w:hAnsi="宋体" w:eastAsia="宋体" w:cs="宋体;SimSun"/>
          <w:color w:val="auto"/>
          <w:sz w:val="24"/>
          <w:szCs w:val="24"/>
          <w:highlight w:val="none"/>
        </w:rPr>
        <w:t>日内向采购代理机构提出，否则，由此引起的损失自负；供应商同时应认真审阅</w:t>
      </w:r>
      <w:r>
        <w:rPr>
          <w:rFonts w:hint="eastAsia" w:ascii="宋体" w:hAnsi="宋体" w:eastAsia="宋体" w:cs="宋体"/>
          <w:color w:val="auto"/>
          <w:sz w:val="24"/>
          <w:szCs w:val="24"/>
          <w:highlight w:val="none"/>
          <w:lang w:val="en-US" w:eastAsia="zh-CN"/>
        </w:rPr>
        <w:t>竞争性</w:t>
      </w:r>
      <w:r>
        <w:rPr>
          <w:rFonts w:hint="eastAsia" w:ascii="宋体" w:hAnsi="宋体" w:eastAsia="宋体" w:cs="宋体;SimSun"/>
          <w:color w:val="auto"/>
          <w:sz w:val="24"/>
          <w:szCs w:val="24"/>
          <w:highlight w:val="none"/>
          <w:lang w:eastAsia="zh-CN"/>
        </w:rPr>
        <w:t>磋商文件</w:t>
      </w:r>
      <w:r>
        <w:rPr>
          <w:rFonts w:hint="eastAsia" w:ascii="宋体" w:hAnsi="宋体" w:eastAsia="宋体" w:cs="宋体;SimSun"/>
          <w:color w:val="auto"/>
          <w:sz w:val="24"/>
          <w:szCs w:val="24"/>
          <w:highlight w:val="none"/>
        </w:rPr>
        <w:t>所有的事项、格式、条款和规范要求等，如果供应商没有按</w:t>
      </w:r>
      <w:r>
        <w:rPr>
          <w:rFonts w:hint="eastAsia" w:ascii="宋体" w:hAnsi="宋体" w:eastAsia="宋体" w:cs="宋体"/>
          <w:color w:val="auto"/>
          <w:sz w:val="24"/>
          <w:szCs w:val="24"/>
          <w:highlight w:val="none"/>
          <w:lang w:val="en-US" w:eastAsia="zh-CN"/>
        </w:rPr>
        <w:t>竞争性</w:t>
      </w:r>
      <w:r>
        <w:rPr>
          <w:rFonts w:hint="eastAsia" w:ascii="宋体" w:hAnsi="宋体" w:eastAsia="宋体" w:cs="宋体;SimSun"/>
          <w:color w:val="auto"/>
          <w:sz w:val="24"/>
          <w:szCs w:val="24"/>
          <w:highlight w:val="none"/>
          <w:lang w:eastAsia="zh-CN"/>
        </w:rPr>
        <w:t>磋商文件</w:t>
      </w:r>
      <w:r>
        <w:rPr>
          <w:rFonts w:hint="eastAsia" w:ascii="宋体" w:hAnsi="宋体" w:eastAsia="宋体" w:cs="宋体;SimSun"/>
          <w:color w:val="auto"/>
          <w:sz w:val="24"/>
          <w:szCs w:val="24"/>
          <w:highlight w:val="none"/>
        </w:rPr>
        <w:t>要求提交全部资料或者没有对</w:t>
      </w:r>
      <w:r>
        <w:rPr>
          <w:rFonts w:hint="eastAsia" w:ascii="宋体" w:hAnsi="宋体" w:eastAsia="宋体" w:cs="宋体;SimSun"/>
          <w:color w:val="auto"/>
          <w:sz w:val="24"/>
          <w:szCs w:val="24"/>
          <w:highlight w:val="none"/>
          <w:lang w:eastAsia="zh-CN"/>
        </w:rPr>
        <w:t>磋商文件</w:t>
      </w:r>
      <w:r>
        <w:rPr>
          <w:rFonts w:hint="eastAsia" w:ascii="宋体" w:hAnsi="宋体" w:eastAsia="宋体" w:cs="宋体;SimSun"/>
          <w:color w:val="auto"/>
          <w:sz w:val="24"/>
          <w:szCs w:val="24"/>
          <w:highlight w:val="none"/>
        </w:rPr>
        <w:t>做出实质性响应，其风险应由供应商自行承担。</w:t>
      </w:r>
    </w:p>
    <w:p w14:paraId="1A1E46B6">
      <w:pPr>
        <w:shd w:val="clear" w:color="auto"/>
        <w:spacing w:line="440" w:lineRule="exact"/>
        <w:ind w:firstLine="482" w:firstLineChars="200"/>
        <w:rPr>
          <w:rFonts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lang w:val="en-US" w:eastAsia="zh-CN"/>
        </w:rPr>
        <w:t>13</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7</w:t>
      </w:r>
      <w:r>
        <w:rPr>
          <w:rFonts w:hint="eastAsia" w:ascii="宋体" w:hAnsi="宋体" w:eastAsia="宋体" w:cs="宋体"/>
          <w:b/>
          <w:bCs/>
          <w:color w:val="auto"/>
          <w:kern w:val="0"/>
          <w:sz w:val="24"/>
          <w:szCs w:val="24"/>
          <w:highlight w:val="none"/>
        </w:rPr>
        <w:t>响应文件递交截止时间前，供应商须随时关注本项目</w:t>
      </w:r>
      <w:r>
        <w:rPr>
          <w:rFonts w:hint="eastAsia" w:ascii="宋体" w:hAnsi="宋体" w:eastAsia="宋体" w:cs="宋体"/>
          <w:b/>
          <w:bCs/>
          <w:color w:val="auto"/>
          <w:sz w:val="24"/>
          <w:szCs w:val="24"/>
          <w:highlight w:val="none"/>
          <w:lang w:val="en-US" w:eastAsia="zh-CN"/>
        </w:rPr>
        <w:t>竞争性</w:t>
      </w:r>
      <w:r>
        <w:rPr>
          <w:rFonts w:hint="eastAsia" w:ascii="宋体" w:hAnsi="宋体" w:eastAsia="宋体" w:cs="宋体"/>
          <w:b/>
          <w:bCs/>
          <w:color w:val="auto"/>
          <w:kern w:val="0"/>
          <w:sz w:val="24"/>
          <w:szCs w:val="24"/>
          <w:highlight w:val="none"/>
          <w:lang w:eastAsia="zh-CN"/>
        </w:rPr>
        <w:t>磋商</w:t>
      </w:r>
      <w:r>
        <w:rPr>
          <w:rFonts w:hint="eastAsia" w:ascii="宋体" w:hAnsi="宋体" w:eastAsia="宋体" w:cs="宋体"/>
          <w:b/>
          <w:bCs/>
          <w:color w:val="auto"/>
          <w:kern w:val="0"/>
          <w:sz w:val="24"/>
          <w:szCs w:val="24"/>
          <w:highlight w:val="none"/>
        </w:rPr>
        <w:t>公告发布网站</w:t>
      </w:r>
      <w:r>
        <w:rPr>
          <w:rFonts w:hint="eastAsia" w:ascii="宋体" w:hAnsi="宋体" w:eastAsia="宋体" w:cs="宋体"/>
          <w:b/>
          <w:bCs/>
          <w:color w:val="auto"/>
          <w:kern w:val="0"/>
          <w:sz w:val="24"/>
          <w:szCs w:val="24"/>
          <w:highlight w:val="none"/>
          <w:lang w:val="en-US" w:eastAsia="zh-CN"/>
        </w:rPr>
        <w:t>新疆</w:t>
      </w:r>
      <w:r>
        <w:rPr>
          <w:rFonts w:hint="eastAsia" w:ascii="宋体" w:hAnsi="宋体" w:eastAsia="宋体" w:cs="宋体"/>
          <w:b/>
          <w:bCs/>
          <w:color w:val="auto"/>
          <w:kern w:val="0"/>
          <w:sz w:val="24"/>
          <w:szCs w:val="24"/>
          <w:highlight w:val="none"/>
        </w:rPr>
        <w:t>政府采购网（http://http://www.ccgp.gov.cn//）上本项目的最新</w:t>
      </w:r>
      <w:r>
        <w:rPr>
          <w:rFonts w:hint="eastAsia" w:ascii="宋体" w:hAnsi="宋体" w:eastAsia="宋体" w:cs="宋体"/>
          <w:b/>
          <w:bCs/>
          <w:color w:val="auto"/>
          <w:sz w:val="24"/>
          <w:szCs w:val="24"/>
          <w:highlight w:val="none"/>
        </w:rPr>
        <w:t>的变更公告、更正公告、澄清公告等相关信息，并对上述查看行为自行承担责任；供应商对索取书面修改或者澄清文件或者查阅电子修改或者澄清文件的行为自行承担责任，在响应文件递交截止时间后递交的响应文件视为无效响应文件。</w:t>
      </w:r>
    </w:p>
    <w:p w14:paraId="68C3E0DD">
      <w:pPr>
        <w:shd w:val="clear"/>
        <w:spacing w:line="440" w:lineRule="exact"/>
        <w:ind w:firstLine="482" w:firstLineChars="200"/>
        <w:rPr>
          <w:rFonts w:ascii="宋体" w:hAnsi="宋体" w:eastAsia="宋体" w:cs="宋体"/>
          <w:b/>
          <w:bCs/>
          <w:color w:val="auto"/>
          <w:sz w:val="24"/>
          <w:szCs w:val="24"/>
          <w:highlight w:val="none"/>
          <w:lang w:val="zh-CN"/>
        </w:rPr>
      </w:pPr>
      <w:bookmarkStart w:id="76" w:name="_Toc18141"/>
      <w:bookmarkStart w:id="77" w:name="_Toc37090640"/>
      <w:bookmarkStart w:id="78" w:name="_Toc37090976"/>
      <w:r>
        <w:rPr>
          <w:rFonts w:hint="eastAsia" w:ascii="宋体" w:hAnsi="宋体" w:eastAsia="宋体" w:cs="宋体"/>
          <w:b/>
          <w:bCs/>
          <w:color w:val="auto"/>
          <w:sz w:val="24"/>
          <w:szCs w:val="24"/>
          <w:highlight w:val="none"/>
          <w:lang w:val="en-US" w:eastAsia="zh-CN"/>
        </w:rPr>
        <w:t>14</w:t>
      </w:r>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rPr>
        <w:t xml:space="preserve"> 磋商</w:t>
      </w:r>
      <w:r>
        <w:rPr>
          <w:rFonts w:hint="eastAsia" w:ascii="宋体" w:hAnsi="宋体" w:eastAsia="宋体" w:cs="宋体"/>
          <w:b/>
          <w:bCs/>
          <w:color w:val="auto"/>
          <w:sz w:val="24"/>
          <w:szCs w:val="24"/>
          <w:highlight w:val="none"/>
          <w:lang w:val="zh-CN"/>
        </w:rPr>
        <w:t>报价</w:t>
      </w:r>
      <w:bookmarkEnd w:id="76"/>
      <w:bookmarkEnd w:id="77"/>
      <w:bookmarkEnd w:id="78"/>
    </w:p>
    <w:p w14:paraId="627D46E9">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14</w:t>
      </w:r>
      <w:r>
        <w:rPr>
          <w:rFonts w:hint="eastAsia" w:ascii="宋体" w:hAnsi="宋体" w:eastAsia="宋体" w:cs="宋体"/>
          <w:color w:val="auto"/>
          <w:kern w:val="0"/>
          <w:sz w:val="24"/>
          <w:szCs w:val="24"/>
          <w:highlight w:val="none"/>
        </w:rPr>
        <w:t>.1 本采购项目使用的货币为</w:t>
      </w:r>
      <w:r>
        <w:rPr>
          <w:rFonts w:hint="eastAsia" w:ascii="宋体" w:hAnsi="宋体" w:eastAsia="宋体" w:cs="宋体"/>
          <w:color w:val="auto"/>
          <w:kern w:val="0"/>
          <w:sz w:val="24"/>
          <w:szCs w:val="24"/>
          <w:highlight w:val="none"/>
          <w:u w:val="single"/>
        </w:rPr>
        <w:t xml:space="preserve"> 人民币 </w:t>
      </w:r>
      <w:r>
        <w:rPr>
          <w:rFonts w:hint="eastAsia" w:ascii="宋体" w:hAnsi="宋体" w:eastAsia="宋体" w:cs="宋体"/>
          <w:color w:val="auto"/>
          <w:kern w:val="0"/>
          <w:sz w:val="24"/>
          <w:szCs w:val="24"/>
          <w:highlight w:val="none"/>
        </w:rPr>
        <w:t>，实施时亦以</w:t>
      </w:r>
      <w:r>
        <w:rPr>
          <w:rFonts w:hint="eastAsia" w:ascii="宋体" w:hAnsi="宋体" w:eastAsia="宋体" w:cs="宋体"/>
          <w:color w:val="auto"/>
          <w:kern w:val="0"/>
          <w:sz w:val="24"/>
          <w:szCs w:val="24"/>
          <w:highlight w:val="none"/>
          <w:u w:val="single"/>
        </w:rPr>
        <w:t xml:space="preserve"> 人民币 </w:t>
      </w:r>
      <w:r>
        <w:rPr>
          <w:rFonts w:hint="eastAsia" w:ascii="宋体" w:hAnsi="宋体" w:eastAsia="宋体" w:cs="宋体"/>
          <w:color w:val="auto"/>
          <w:kern w:val="0"/>
          <w:sz w:val="24"/>
          <w:szCs w:val="24"/>
          <w:highlight w:val="none"/>
        </w:rPr>
        <w:t>支付。</w:t>
      </w:r>
    </w:p>
    <w:p w14:paraId="38FADCA4">
      <w:pPr>
        <w:shd w:val="clear" w:color="auto"/>
        <w:adjustRightInd w:val="0"/>
        <w:snapToGrid w:val="0"/>
        <w:spacing w:line="440" w:lineRule="exact"/>
        <w:ind w:firstLine="482" w:firstLineChars="200"/>
        <w:rPr>
          <w:rFonts w:ascii="宋体" w:hAnsi="宋体" w:cs="宋体"/>
          <w:b/>
          <w:bCs/>
          <w:color w:val="auto"/>
          <w:sz w:val="24"/>
          <w:highlight w:val="none"/>
        </w:rPr>
      </w:pPr>
      <w:r>
        <w:rPr>
          <w:rFonts w:hint="eastAsia" w:ascii="宋体" w:hAnsi="宋体" w:cs="宋体"/>
          <w:b/>
          <w:bCs/>
          <w:color w:val="auto"/>
          <w:kern w:val="0"/>
          <w:sz w:val="24"/>
          <w:highlight w:val="none"/>
        </w:rPr>
        <w:t>★</w:t>
      </w:r>
      <w:r>
        <w:rPr>
          <w:rFonts w:hint="eastAsia" w:ascii="宋体" w:hAnsi="宋体" w:eastAsia="宋体" w:cs="宋体"/>
          <w:color w:val="auto"/>
          <w:kern w:val="0"/>
          <w:sz w:val="24"/>
          <w:szCs w:val="24"/>
          <w:highlight w:val="none"/>
          <w:lang w:val="en-US" w:eastAsia="zh-CN"/>
        </w:rPr>
        <w:t>14</w:t>
      </w:r>
      <w:r>
        <w:rPr>
          <w:rFonts w:hint="eastAsia" w:ascii="宋体" w:hAnsi="宋体" w:eastAsia="宋体" w:cs="宋体"/>
          <w:color w:val="auto"/>
          <w:kern w:val="0"/>
          <w:sz w:val="24"/>
          <w:szCs w:val="24"/>
          <w:highlight w:val="none"/>
        </w:rPr>
        <w:t>.2 磋商报价为本</w:t>
      </w:r>
      <w:r>
        <w:rPr>
          <w:rFonts w:hint="eastAsia" w:ascii="宋体" w:hAnsi="宋体" w:eastAsia="宋体" w:cs="宋体"/>
          <w:color w:val="auto"/>
          <w:sz w:val="24"/>
          <w:szCs w:val="24"/>
          <w:highlight w:val="none"/>
          <w:lang w:val="en-US" w:eastAsia="zh-CN"/>
        </w:rPr>
        <w:t>竞争性</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所确定的采购范围内的全部工作内容的价格体现。</w:t>
      </w:r>
      <w:r>
        <w:rPr>
          <w:rFonts w:hint="eastAsia" w:ascii="宋体" w:hAnsi="宋体" w:cs="宋体"/>
          <w:b/>
          <w:bCs/>
          <w:color w:val="auto"/>
          <w:kern w:val="0"/>
          <w:sz w:val="24"/>
          <w:highlight w:val="none"/>
        </w:rPr>
        <w:t>任何有选</w:t>
      </w:r>
      <w:r>
        <w:rPr>
          <w:rFonts w:hint="eastAsia" w:ascii="宋体" w:hAnsi="宋体" w:cs="宋体"/>
          <w:b/>
          <w:bCs/>
          <w:color w:val="auto"/>
          <w:sz w:val="24"/>
          <w:highlight w:val="none"/>
        </w:rPr>
        <w:t>择的报价将不予接受（除非采购人另有约定），否则，在评审时将其视为无效响应。</w:t>
      </w:r>
    </w:p>
    <w:p w14:paraId="4F7B1E17">
      <w:pPr>
        <w:shd w:val="clear" w:color="auto"/>
        <w:adjustRightInd w:val="0"/>
        <w:snapToGrid w:val="0"/>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14</w:t>
      </w:r>
      <w:r>
        <w:rPr>
          <w:rFonts w:hint="eastAsia" w:ascii="宋体" w:hAnsi="宋体" w:eastAsia="宋体" w:cs="宋体"/>
          <w:color w:val="auto"/>
          <w:kern w:val="0"/>
          <w:sz w:val="24"/>
          <w:szCs w:val="24"/>
          <w:highlight w:val="none"/>
        </w:rPr>
        <w:t>.3 磋商价格应包括：价格部分是对磋商服务价格构成的说明，每一项</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仅接受一个价格。磋商报价包括供应商为实施本项目提供全部</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内容所包括的全部价格的体现。</w:t>
      </w:r>
    </w:p>
    <w:p w14:paraId="319F469E">
      <w:pPr>
        <w:shd w:val="clear" w:color="auto"/>
        <w:adjustRightInd w:val="0"/>
        <w:snapToGrid w:val="0"/>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14</w:t>
      </w: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供应商的任何错漏、优惠、竞争性报价不得作为减轻责任、减少服务、增加收费、降低质量的理由。供应商必须自行考虑本项目在实施期间的一切可能产生的费用。在合同执行过程中，采购人将不再另行支付与本项目相关的任何费用（非本项目要求</w:t>
      </w:r>
      <w:r>
        <w:rPr>
          <w:rFonts w:hint="eastAsia" w:ascii="宋体" w:hAnsi="宋体" w:eastAsia="宋体" w:cs="宋体"/>
          <w:color w:val="auto"/>
          <w:kern w:val="0"/>
          <w:sz w:val="24"/>
          <w:szCs w:val="24"/>
          <w:highlight w:val="none"/>
          <w:lang w:eastAsia="zh-CN"/>
        </w:rPr>
        <w:t>的其他内容</w:t>
      </w:r>
      <w:r>
        <w:rPr>
          <w:rFonts w:hint="eastAsia" w:ascii="宋体" w:hAnsi="宋体" w:eastAsia="宋体" w:cs="宋体"/>
          <w:color w:val="auto"/>
          <w:kern w:val="0"/>
          <w:sz w:val="24"/>
          <w:szCs w:val="24"/>
          <w:highlight w:val="none"/>
        </w:rPr>
        <w:t>除外）。</w:t>
      </w:r>
    </w:p>
    <w:p w14:paraId="382AD697">
      <w:pPr>
        <w:shd w:val="clear" w:color="auto"/>
        <w:adjustRightInd w:val="0"/>
        <w:snapToGrid w:val="0"/>
        <w:spacing w:line="440" w:lineRule="exact"/>
        <w:ind w:firstLine="480" w:firstLineChars="200"/>
        <w:rPr>
          <w:rStyle w:val="66"/>
          <w:rFonts w:ascii="宋体" w:hAnsi="宋体" w:eastAsia="宋体"/>
          <w:b w:val="0"/>
          <w:bCs w:val="0"/>
          <w:color w:val="auto"/>
          <w:kern w:val="0"/>
          <w:sz w:val="24"/>
          <w:szCs w:val="24"/>
          <w:highlight w:val="none"/>
        </w:rPr>
      </w:pPr>
      <w:r>
        <w:rPr>
          <w:rFonts w:hint="eastAsia" w:ascii="宋体" w:hAnsi="宋体" w:eastAsia="宋体" w:cs="宋体"/>
          <w:color w:val="auto"/>
          <w:kern w:val="0"/>
          <w:sz w:val="24"/>
          <w:szCs w:val="24"/>
          <w:highlight w:val="none"/>
          <w:lang w:val="en-US" w:eastAsia="zh-CN"/>
        </w:rPr>
        <w:t>14</w:t>
      </w:r>
      <w:r>
        <w:rPr>
          <w:rFonts w:hint="eastAsia" w:ascii="宋体" w:hAnsi="宋体" w:cs="宋体"/>
          <w:b w:val="0"/>
          <w:bCs w:val="0"/>
          <w:color w:val="auto"/>
          <w:kern w:val="0"/>
          <w:sz w:val="24"/>
          <w:highlight w:val="none"/>
        </w:rPr>
        <w:t>.3.</w:t>
      </w:r>
      <w:r>
        <w:rPr>
          <w:rFonts w:hint="eastAsia" w:ascii="宋体" w:hAnsi="宋体" w:cs="宋体"/>
          <w:b w:val="0"/>
          <w:bCs w:val="0"/>
          <w:color w:val="auto"/>
          <w:kern w:val="0"/>
          <w:sz w:val="24"/>
          <w:highlight w:val="none"/>
          <w:lang w:val="en-US" w:eastAsia="zh-CN"/>
        </w:rPr>
        <w:t>2</w:t>
      </w:r>
      <w:r>
        <w:rPr>
          <w:rFonts w:hint="eastAsia" w:ascii="宋体" w:hAnsi="宋体" w:cs="宋体"/>
          <w:b w:val="0"/>
          <w:bCs w:val="0"/>
          <w:color w:val="auto"/>
          <w:kern w:val="0"/>
          <w:sz w:val="24"/>
          <w:highlight w:val="none"/>
        </w:rPr>
        <w:t>供应商须按照竞争性磋商文件中《响应文件报价一览表》及《</w:t>
      </w:r>
      <w:r>
        <w:rPr>
          <w:rFonts w:hint="eastAsia" w:ascii="宋体" w:hAnsi="宋体" w:cs="宋体"/>
          <w:b w:val="0"/>
          <w:bCs w:val="0"/>
          <w:color w:val="auto"/>
          <w:kern w:val="0"/>
          <w:sz w:val="24"/>
          <w:highlight w:val="none"/>
          <w:lang w:eastAsia="zh-CN"/>
        </w:rPr>
        <w:t>分项报价表</w:t>
      </w:r>
      <w:r>
        <w:rPr>
          <w:rFonts w:hint="eastAsia" w:ascii="宋体" w:hAnsi="宋体" w:cs="宋体"/>
          <w:b w:val="0"/>
          <w:bCs w:val="0"/>
          <w:color w:val="auto"/>
          <w:kern w:val="0"/>
          <w:sz w:val="24"/>
          <w:highlight w:val="none"/>
        </w:rPr>
        <w:t>》格式进行填报。</w:t>
      </w:r>
    </w:p>
    <w:p w14:paraId="520801E3">
      <w:pPr>
        <w:shd w:val="clear" w:color="auto"/>
        <w:snapToGrid w:val="0"/>
        <w:spacing w:line="440" w:lineRule="exact"/>
        <w:ind w:firstLine="482" w:firstLineChars="200"/>
        <w:textAlignment w:val="baseline"/>
        <w:rPr>
          <w:rStyle w:val="66"/>
          <w:rFonts w:hint="eastAsia" w:ascii="宋体" w:hAnsi="宋体"/>
          <w:b/>
          <w:bCs/>
          <w:color w:val="auto"/>
          <w:kern w:val="0"/>
          <w:sz w:val="24"/>
          <w:szCs w:val="24"/>
          <w:highlight w:val="none"/>
        </w:rPr>
      </w:pPr>
      <w:r>
        <w:rPr>
          <w:rStyle w:val="66"/>
          <w:rFonts w:hint="eastAsia" w:ascii="宋体" w:hAnsi="宋体"/>
          <w:b/>
          <w:bCs/>
          <w:color w:val="auto"/>
          <w:kern w:val="0"/>
          <w:sz w:val="24"/>
          <w:szCs w:val="24"/>
          <w:highlight w:val="none"/>
          <w:lang w:val="en-US"/>
        </w:rPr>
        <w:t>14</w:t>
      </w:r>
      <w:r>
        <w:rPr>
          <w:rStyle w:val="66"/>
          <w:rFonts w:ascii="宋体" w:hAnsi="宋体"/>
          <w:b/>
          <w:bCs/>
          <w:color w:val="auto"/>
          <w:kern w:val="0"/>
          <w:sz w:val="24"/>
          <w:szCs w:val="24"/>
          <w:highlight w:val="none"/>
        </w:rPr>
        <w:t>.4</w:t>
      </w:r>
      <w:r>
        <w:rPr>
          <w:rStyle w:val="66"/>
          <w:rFonts w:hint="eastAsia" w:ascii="宋体" w:hAnsi="宋体"/>
          <w:b/>
          <w:bCs/>
          <w:color w:val="auto"/>
          <w:kern w:val="0"/>
          <w:sz w:val="24"/>
          <w:szCs w:val="24"/>
          <w:highlight w:val="none"/>
        </w:rPr>
        <w:t xml:space="preserve"> 本次磋商实行两次报价，加密的响应文件中提供的供应商报价为一次报价，在磋商小组对各供应商的响应文件进行初步评审（资格评审、符合性评审）后，由磋商小组开启二次报价，各供应商须在二次报价开启后的 30 分钟内登录政采云系统进行二次（最后）报价。因供应商自身原因未在系统内及时填报二次报价的，其责任由供应商承担。</w:t>
      </w:r>
    </w:p>
    <w:p w14:paraId="7F017CE7">
      <w:pPr>
        <w:shd w:val="clear" w:color="auto"/>
        <w:snapToGrid w:val="0"/>
        <w:spacing w:line="440" w:lineRule="exact"/>
        <w:ind w:firstLine="482" w:firstLineChars="200"/>
        <w:textAlignment w:val="baseline"/>
        <w:rPr>
          <w:rStyle w:val="66"/>
          <w:rFonts w:ascii="宋体" w:hAnsi="宋体"/>
          <w:b/>
          <w:bCs/>
          <w:color w:val="auto"/>
          <w:kern w:val="0"/>
          <w:sz w:val="24"/>
          <w:szCs w:val="24"/>
          <w:highlight w:val="none"/>
        </w:rPr>
      </w:pPr>
      <w:r>
        <w:rPr>
          <w:rStyle w:val="66"/>
          <w:rFonts w:hint="eastAsia" w:ascii="宋体" w:hAnsi="宋体"/>
          <w:b/>
          <w:bCs/>
          <w:color w:val="auto"/>
          <w:kern w:val="0"/>
          <w:sz w:val="24"/>
          <w:szCs w:val="24"/>
          <w:highlight w:val="none"/>
        </w:rPr>
        <w:t>提示：开标/磋商时，请供应商随时关注政采云账号内的站内信息；注册时留下的注册人的手机短息（系统会推送短信至注册联系人的手机），但此短信仅系友情提示，并不具有任何约束性和必要性，采购代理机构不承担投标人未收到短信而引起的一切后果和法律责任。</w:t>
      </w:r>
    </w:p>
    <w:p w14:paraId="600AFF67">
      <w:pPr>
        <w:shd w:val="clear" w:color="auto"/>
        <w:spacing w:line="440" w:lineRule="exact"/>
        <w:ind w:firstLine="482" w:firstLineChars="200"/>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val="en-US" w:eastAsia="zh-CN"/>
        </w:rPr>
        <w:t>15</w:t>
      </w: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eastAsia="zh-CN"/>
        </w:rPr>
        <w:t>投标保证金</w:t>
      </w:r>
    </w:p>
    <w:p w14:paraId="2FB2986B">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投标保证金</w:t>
      </w:r>
      <w:r>
        <w:rPr>
          <w:rFonts w:hint="eastAsia" w:ascii="宋体" w:hAnsi="宋体" w:eastAsia="宋体" w:cs="宋体"/>
          <w:color w:val="auto"/>
          <w:kern w:val="0"/>
          <w:sz w:val="24"/>
          <w:szCs w:val="24"/>
          <w:highlight w:val="none"/>
        </w:rPr>
        <w:t>是为了保护采购人和采购代理机构免遭因供应商的违规、违约行为而引起的风险，采购人/代理机构在受到损害时可根据本须知的有关规定没收供应商的</w:t>
      </w:r>
      <w:r>
        <w:rPr>
          <w:rFonts w:hint="eastAsia" w:ascii="宋体" w:hAnsi="宋体" w:eastAsia="宋体" w:cs="宋体"/>
          <w:color w:val="auto"/>
          <w:kern w:val="0"/>
          <w:sz w:val="24"/>
          <w:szCs w:val="24"/>
          <w:highlight w:val="none"/>
          <w:lang w:eastAsia="zh-CN"/>
        </w:rPr>
        <w:t>投标保证金</w:t>
      </w:r>
      <w:r>
        <w:rPr>
          <w:rFonts w:hint="eastAsia" w:ascii="宋体" w:hAnsi="宋体" w:eastAsia="宋体" w:cs="宋体"/>
          <w:color w:val="auto"/>
          <w:kern w:val="0"/>
          <w:sz w:val="24"/>
          <w:szCs w:val="24"/>
          <w:highlight w:val="none"/>
        </w:rPr>
        <w:t>。成交供应商如未能按</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要求与采购人签署项目合同并提交建设履约保证金，视为供应商违约，则采购人有权提取成交供应商</w:t>
      </w:r>
      <w:r>
        <w:rPr>
          <w:rFonts w:hint="eastAsia" w:ascii="宋体" w:hAnsi="宋体" w:eastAsia="宋体" w:cs="宋体"/>
          <w:color w:val="auto"/>
          <w:kern w:val="0"/>
          <w:sz w:val="24"/>
          <w:szCs w:val="24"/>
          <w:highlight w:val="none"/>
          <w:lang w:eastAsia="zh-CN"/>
        </w:rPr>
        <w:t>投标保证金</w:t>
      </w:r>
      <w:r>
        <w:rPr>
          <w:rFonts w:hint="eastAsia" w:ascii="宋体" w:hAnsi="宋体" w:eastAsia="宋体" w:cs="宋体"/>
          <w:color w:val="auto"/>
          <w:kern w:val="0"/>
          <w:sz w:val="24"/>
          <w:szCs w:val="24"/>
          <w:highlight w:val="none"/>
        </w:rPr>
        <w:t>。</w:t>
      </w:r>
    </w:p>
    <w:p w14:paraId="4F25A5E3">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.2 供应商应提交</w:t>
      </w:r>
      <w:r>
        <w:rPr>
          <w:rFonts w:hint="eastAsia" w:ascii="宋体" w:hAnsi="宋体" w:eastAsia="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lang w:eastAsia="zh-CN"/>
        </w:rPr>
        <w:t>保证金</w:t>
      </w:r>
      <w:r>
        <w:rPr>
          <w:rFonts w:hint="eastAsia" w:ascii="宋体" w:hAnsi="宋体" w:eastAsia="宋体" w:cs="宋体"/>
          <w:color w:val="auto"/>
          <w:kern w:val="0"/>
          <w:sz w:val="24"/>
          <w:szCs w:val="24"/>
          <w:highlight w:val="none"/>
        </w:rPr>
        <w:t>，并作为其响应文件的一部分。</w:t>
      </w:r>
      <w:r>
        <w:rPr>
          <w:rFonts w:hint="eastAsia" w:ascii="宋体" w:hAnsi="宋体" w:eastAsia="宋体" w:cs="宋体"/>
          <w:color w:val="auto"/>
          <w:kern w:val="0"/>
          <w:sz w:val="24"/>
          <w:szCs w:val="24"/>
          <w:highlight w:val="none"/>
          <w:lang w:val="en-US" w:eastAsia="zh-CN"/>
        </w:rPr>
        <w:t>竞争性</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前附表规定</w:t>
      </w:r>
      <w:r>
        <w:rPr>
          <w:rFonts w:hint="eastAsia" w:ascii="宋体" w:hAnsi="宋体" w:eastAsia="宋体" w:cs="宋体"/>
          <w:color w:val="auto"/>
          <w:kern w:val="0"/>
          <w:sz w:val="24"/>
          <w:szCs w:val="24"/>
          <w:highlight w:val="none"/>
          <w:lang w:eastAsia="zh-CN"/>
        </w:rPr>
        <w:t>缴纳投标保证金</w:t>
      </w:r>
      <w:r>
        <w:rPr>
          <w:rFonts w:hint="eastAsia" w:ascii="宋体" w:hAnsi="宋体" w:eastAsia="宋体" w:cs="宋体"/>
          <w:color w:val="auto"/>
          <w:kern w:val="0"/>
          <w:sz w:val="24"/>
          <w:szCs w:val="24"/>
          <w:highlight w:val="none"/>
        </w:rPr>
        <w:t>的，供应商应按</w:t>
      </w:r>
      <w:r>
        <w:rPr>
          <w:rFonts w:hint="eastAsia" w:ascii="宋体" w:hAnsi="宋体" w:eastAsia="宋体" w:cs="宋体"/>
          <w:color w:val="auto"/>
          <w:kern w:val="0"/>
          <w:sz w:val="24"/>
          <w:szCs w:val="24"/>
          <w:highlight w:val="none"/>
          <w:lang w:val="en-US" w:eastAsia="zh-CN"/>
        </w:rPr>
        <w:t>竞争性</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前附表规定的要求提交保证金，</w:t>
      </w:r>
      <w:r>
        <w:rPr>
          <w:rFonts w:hint="eastAsia" w:ascii="宋体" w:hAnsi="宋体" w:eastAsia="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lang w:eastAsia="zh-CN"/>
        </w:rPr>
        <w:t>保证金</w:t>
      </w:r>
      <w:r>
        <w:rPr>
          <w:rFonts w:hint="eastAsia" w:ascii="宋体" w:hAnsi="宋体" w:eastAsia="宋体" w:cs="宋体"/>
          <w:color w:val="auto"/>
          <w:kern w:val="0"/>
          <w:sz w:val="24"/>
          <w:szCs w:val="24"/>
          <w:highlight w:val="none"/>
        </w:rPr>
        <w:t>有效期应与</w:t>
      </w:r>
      <w:r>
        <w:rPr>
          <w:rFonts w:hint="eastAsia" w:ascii="宋体" w:hAnsi="宋体" w:eastAsia="宋体" w:cs="宋体"/>
          <w:color w:val="auto"/>
          <w:kern w:val="0"/>
          <w:sz w:val="24"/>
          <w:szCs w:val="24"/>
          <w:highlight w:val="none"/>
          <w:lang w:val="en-US" w:eastAsia="zh-CN"/>
        </w:rPr>
        <w:t>竞争性</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规定的磋商有效期一致。</w:t>
      </w:r>
    </w:p>
    <w:p w14:paraId="1655D20C">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 xml:space="preserve">.3 </w:t>
      </w:r>
      <w:r>
        <w:rPr>
          <w:rFonts w:hint="eastAsia" w:ascii="宋体" w:hAnsi="宋体" w:eastAsia="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lang w:eastAsia="zh-CN"/>
        </w:rPr>
        <w:t>保证金</w:t>
      </w:r>
      <w:r>
        <w:rPr>
          <w:rFonts w:hint="eastAsia" w:ascii="宋体" w:hAnsi="宋体" w:eastAsia="宋体" w:cs="宋体"/>
          <w:color w:val="auto"/>
          <w:kern w:val="0"/>
          <w:sz w:val="24"/>
          <w:szCs w:val="24"/>
          <w:highlight w:val="none"/>
        </w:rPr>
        <w:t>缴纳方式要求见供应商须知前附表。</w:t>
      </w:r>
      <w:r>
        <w:rPr>
          <w:rFonts w:hint="eastAsia" w:ascii="宋体" w:hAnsi="宋体" w:eastAsia="宋体" w:cs="宋体"/>
          <w:b/>
          <w:bCs/>
          <w:color w:val="auto"/>
          <w:kern w:val="0"/>
          <w:sz w:val="24"/>
          <w:szCs w:val="24"/>
          <w:highlight w:val="none"/>
        </w:rPr>
        <w:t>凡未按</w:t>
      </w:r>
      <w:r>
        <w:rPr>
          <w:rFonts w:hint="eastAsia" w:ascii="宋体" w:hAnsi="宋体" w:eastAsia="宋体" w:cs="宋体"/>
          <w:b/>
          <w:bCs/>
          <w:color w:val="auto"/>
          <w:kern w:val="0"/>
          <w:sz w:val="24"/>
          <w:szCs w:val="24"/>
          <w:highlight w:val="none"/>
          <w:lang w:val="en-US" w:eastAsia="zh-CN"/>
        </w:rPr>
        <w:t>竞争性</w:t>
      </w:r>
      <w:r>
        <w:rPr>
          <w:rFonts w:hint="eastAsia" w:ascii="宋体" w:hAnsi="宋体" w:eastAsia="宋体" w:cs="宋体"/>
          <w:b/>
          <w:bCs/>
          <w:color w:val="auto"/>
          <w:kern w:val="0"/>
          <w:sz w:val="24"/>
          <w:szCs w:val="24"/>
          <w:highlight w:val="none"/>
          <w:lang w:eastAsia="zh-CN"/>
        </w:rPr>
        <w:t>磋商文件</w:t>
      </w:r>
      <w:r>
        <w:rPr>
          <w:rFonts w:hint="eastAsia" w:ascii="宋体" w:hAnsi="宋体" w:eastAsia="宋体" w:cs="宋体"/>
          <w:b/>
          <w:bCs/>
          <w:color w:val="auto"/>
          <w:kern w:val="0"/>
          <w:sz w:val="24"/>
          <w:szCs w:val="24"/>
          <w:highlight w:val="none"/>
        </w:rPr>
        <w:t>要求提交</w:t>
      </w:r>
      <w:r>
        <w:rPr>
          <w:rFonts w:hint="eastAsia" w:ascii="宋体" w:hAnsi="宋体" w:eastAsia="宋体" w:cs="宋体"/>
          <w:b/>
          <w:bCs/>
          <w:color w:val="auto"/>
          <w:kern w:val="0"/>
          <w:sz w:val="24"/>
          <w:szCs w:val="24"/>
          <w:highlight w:val="none"/>
          <w:lang w:val="en-US" w:eastAsia="zh-CN"/>
        </w:rPr>
        <w:t>磋商</w:t>
      </w:r>
      <w:r>
        <w:rPr>
          <w:rFonts w:hint="eastAsia" w:ascii="宋体" w:hAnsi="宋体" w:eastAsia="宋体" w:cs="宋体"/>
          <w:b/>
          <w:bCs/>
          <w:color w:val="auto"/>
          <w:kern w:val="0"/>
          <w:sz w:val="24"/>
          <w:szCs w:val="24"/>
          <w:highlight w:val="none"/>
          <w:lang w:eastAsia="zh-CN"/>
        </w:rPr>
        <w:t>保证金</w:t>
      </w:r>
      <w:r>
        <w:rPr>
          <w:rFonts w:hint="eastAsia" w:ascii="宋体" w:hAnsi="宋体" w:eastAsia="宋体" w:cs="宋体"/>
          <w:b/>
          <w:bCs/>
          <w:color w:val="auto"/>
          <w:kern w:val="0"/>
          <w:sz w:val="24"/>
          <w:szCs w:val="24"/>
          <w:highlight w:val="none"/>
        </w:rPr>
        <w:t>的，将视为非实质性响应</w:t>
      </w:r>
      <w:r>
        <w:rPr>
          <w:rFonts w:hint="eastAsia" w:ascii="宋体" w:hAnsi="宋体" w:eastAsia="宋体" w:cs="宋体"/>
          <w:b/>
          <w:bCs/>
          <w:color w:val="auto"/>
          <w:kern w:val="0"/>
          <w:sz w:val="24"/>
          <w:szCs w:val="24"/>
          <w:highlight w:val="none"/>
          <w:lang w:val="en-US" w:eastAsia="zh-CN"/>
        </w:rPr>
        <w:t>竞争性</w:t>
      </w:r>
      <w:r>
        <w:rPr>
          <w:rFonts w:hint="eastAsia" w:ascii="宋体" w:hAnsi="宋体" w:eastAsia="宋体" w:cs="宋体"/>
          <w:b/>
          <w:bCs/>
          <w:color w:val="auto"/>
          <w:kern w:val="0"/>
          <w:sz w:val="24"/>
          <w:szCs w:val="24"/>
          <w:highlight w:val="none"/>
          <w:lang w:eastAsia="zh-CN"/>
        </w:rPr>
        <w:t>磋商文件</w:t>
      </w:r>
      <w:r>
        <w:rPr>
          <w:rFonts w:hint="eastAsia" w:ascii="宋体" w:hAnsi="宋体" w:eastAsia="宋体" w:cs="宋体"/>
          <w:b/>
          <w:bCs/>
          <w:color w:val="auto"/>
          <w:kern w:val="0"/>
          <w:sz w:val="24"/>
          <w:szCs w:val="24"/>
          <w:highlight w:val="none"/>
        </w:rPr>
        <w:t>要求，其响应文件将被拒绝。</w:t>
      </w:r>
    </w:p>
    <w:p w14:paraId="011BE313">
      <w:pPr>
        <w:shd w:val="clear" w:color="auto"/>
        <w:spacing w:line="440" w:lineRule="exact"/>
        <w:ind w:firstLine="480" w:firstLineChars="200"/>
        <w:rPr>
          <w:rFonts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 xml:space="preserve"> 未成交供应商的</w:t>
      </w:r>
      <w:r>
        <w:rPr>
          <w:rFonts w:hint="eastAsia" w:ascii="宋体" w:hAnsi="宋体" w:eastAsia="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lang w:eastAsia="zh-CN"/>
        </w:rPr>
        <w:t>保证金</w:t>
      </w:r>
      <w:r>
        <w:rPr>
          <w:rFonts w:hint="eastAsia" w:ascii="宋体" w:hAnsi="宋体" w:eastAsia="宋体" w:cs="宋体"/>
          <w:color w:val="auto"/>
          <w:kern w:val="0"/>
          <w:sz w:val="24"/>
          <w:szCs w:val="24"/>
          <w:highlight w:val="none"/>
        </w:rPr>
        <w:t>，将在《成交通知书》发出5个工作日内退还。因违反规定被没收的</w:t>
      </w:r>
      <w:r>
        <w:rPr>
          <w:rFonts w:hint="eastAsia" w:ascii="宋体" w:hAnsi="宋体" w:eastAsia="宋体" w:cs="宋体"/>
          <w:color w:val="auto"/>
          <w:kern w:val="0"/>
          <w:sz w:val="24"/>
          <w:szCs w:val="24"/>
          <w:highlight w:val="none"/>
          <w:lang w:eastAsia="zh-CN"/>
        </w:rPr>
        <w:t>投标保证金</w:t>
      </w:r>
      <w:r>
        <w:rPr>
          <w:rFonts w:hint="eastAsia" w:ascii="宋体" w:hAnsi="宋体" w:eastAsia="宋体" w:cs="宋体"/>
          <w:color w:val="auto"/>
          <w:kern w:val="0"/>
          <w:sz w:val="24"/>
          <w:szCs w:val="24"/>
          <w:highlight w:val="none"/>
        </w:rPr>
        <w:t>不予退回。</w:t>
      </w:r>
    </w:p>
    <w:p w14:paraId="76D40131">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 xml:space="preserve"> 成交供应商的</w:t>
      </w:r>
      <w:r>
        <w:rPr>
          <w:rFonts w:hint="eastAsia" w:ascii="宋体" w:hAnsi="宋体" w:eastAsia="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lang w:eastAsia="zh-CN"/>
        </w:rPr>
        <w:t>保证金</w:t>
      </w:r>
      <w:r>
        <w:rPr>
          <w:rFonts w:hint="eastAsia" w:ascii="宋体" w:hAnsi="宋体" w:eastAsia="宋体" w:cs="宋体"/>
          <w:color w:val="auto"/>
          <w:kern w:val="0"/>
          <w:sz w:val="24"/>
          <w:szCs w:val="24"/>
          <w:highlight w:val="none"/>
        </w:rPr>
        <w:t>自采购合同签订之日起5个工作日内退还。</w:t>
      </w:r>
    </w:p>
    <w:p w14:paraId="49C17747">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 xml:space="preserve"> </w:t>
      </w:r>
      <w:r>
        <w:rPr>
          <w:rFonts w:hint="eastAsia" w:ascii="宋体" w:hAnsi="宋体" w:eastAsia="宋体" w:cs="宋体"/>
          <w:b/>
          <w:color w:val="auto"/>
          <w:kern w:val="0"/>
          <w:sz w:val="24"/>
          <w:szCs w:val="24"/>
          <w:highlight w:val="none"/>
        </w:rPr>
        <w:t>下列任何情况发生时，</w:t>
      </w:r>
      <w:r>
        <w:rPr>
          <w:rFonts w:hint="eastAsia" w:ascii="宋体" w:hAnsi="宋体" w:eastAsia="宋体" w:cs="宋体"/>
          <w:b/>
          <w:color w:val="auto"/>
          <w:kern w:val="0"/>
          <w:sz w:val="24"/>
          <w:szCs w:val="24"/>
          <w:highlight w:val="none"/>
          <w:lang w:val="en-US" w:eastAsia="zh-CN"/>
        </w:rPr>
        <w:t>磋商</w:t>
      </w:r>
      <w:r>
        <w:rPr>
          <w:rFonts w:hint="eastAsia" w:ascii="宋体" w:hAnsi="宋体" w:eastAsia="宋体" w:cs="宋体"/>
          <w:b/>
          <w:color w:val="auto"/>
          <w:kern w:val="0"/>
          <w:sz w:val="24"/>
          <w:szCs w:val="24"/>
          <w:highlight w:val="none"/>
          <w:lang w:eastAsia="zh-CN"/>
        </w:rPr>
        <w:t>保证金</w:t>
      </w:r>
      <w:r>
        <w:rPr>
          <w:rFonts w:hint="eastAsia" w:ascii="宋体" w:hAnsi="宋体" w:eastAsia="宋体" w:cs="宋体"/>
          <w:b/>
          <w:color w:val="auto"/>
          <w:kern w:val="0"/>
          <w:sz w:val="24"/>
          <w:szCs w:val="24"/>
          <w:highlight w:val="none"/>
        </w:rPr>
        <w:t>将可能被没收：</w:t>
      </w:r>
    </w:p>
    <w:p w14:paraId="79CC75EA">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.1 供应商在规定的磋商有效期内撤回其响应文件的；</w:t>
      </w:r>
    </w:p>
    <w:p w14:paraId="270524D4">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.2 成交供应商无正当理由拒绝按规定与采购人签订合同或未能在规定期限内签署合同的或未按</w:t>
      </w:r>
      <w:r>
        <w:rPr>
          <w:rFonts w:hint="eastAsia" w:ascii="宋体" w:hAnsi="宋体" w:eastAsia="宋体" w:cs="宋体"/>
          <w:color w:val="auto"/>
          <w:kern w:val="0"/>
          <w:sz w:val="24"/>
          <w:szCs w:val="24"/>
          <w:highlight w:val="none"/>
          <w:lang w:val="en-US" w:eastAsia="zh-CN"/>
        </w:rPr>
        <w:t>竞争性</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要求提交履约保证金的；</w:t>
      </w:r>
    </w:p>
    <w:p w14:paraId="6AEE1810">
      <w:pPr>
        <w:shd w:val="clear" w:color="auto"/>
        <w:autoSpaceDE w:val="0"/>
        <w:autoSpaceDN w:val="0"/>
        <w:adjustRightInd w:val="0"/>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 xml:space="preserve"> </w:t>
      </w:r>
      <w:r>
        <w:rPr>
          <w:rFonts w:hint="eastAsia" w:ascii="宋体" w:hAnsi="宋体" w:eastAsia="宋体" w:cs="宋体"/>
          <w:b/>
          <w:color w:val="auto"/>
          <w:kern w:val="0"/>
          <w:sz w:val="24"/>
          <w:szCs w:val="24"/>
          <w:highlight w:val="none"/>
        </w:rPr>
        <w:t>供应商办理</w:t>
      </w:r>
      <w:r>
        <w:rPr>
          <w:rFonts w:hint="eastAsia" w:ascii="宋体" w:hAnsi="宋体" w:eastAsia="宋体" w:cs="宋体"/>
          <w:b/>
          <w:color w:val="auto"/>
          <w:kern w:val="0"/>
          <w:sz w:val="24"/>
          <w:szCs w:val="24"/>
          <w:highlight w:val="none"/>
          <w:lang w:val="en-US" w:eastAsia="zh-CN"/>
        </w:rPr>
        <w:t>磋商</w:t>
      </w:r>
      <w:r>
        <w:rPr>
          <w:rFonts w:hint="eastAsia" w:ascii="宋体" w:hAnsi="宋体" w:eastAsia="宋体" w:cs="宋体"/>
          <w:b/>
          <w:color w:val="auto"/>
          <w:kern w:val="0"/>
          <w:sz w:val="24"/>
          <w:szCs w:val="24"/>
          <w:highlight w:val="none"/>
          <w:lang w:eastAsia="zh-CN"/>
        </w:rPr>
        <w:t>保证金</w:t>
      </w:r>
      <w:r>
        <w:rPr>
          <w:rFonts w:hint="eastAsia" w:ascii="宋体" w:hAnsi="宋体" w:eastAsia="宋体" w:cs="宋体"/>
          <w:b/>
          <w:color w:val="auto"/>
          <w:kern w:val="0"/>
          <w:sz w:val="24"/>
          <w:szCs w:val="24"/>
          <w:highlight w:val="none"/>
        </w:rPr>
        <w:t>退款申请手续须提供以下资料：</w:t>
      </w:r>
    </w:p>
    <w:p w14:paraId="0D2D487A">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.1供应商须给采购代理机构提供账户信息（单位名称、开户银行名称、银行账号、银行行号）</w:t>
      </w:r>
    </w:p>
    <w:p w14:paraId="3FEA5456">
      <w:pPr>
        <w:shd w:val="clear" w:color="auto"/>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.2 成交供应商办理</w:t>
      </w:r>
      <w:r>
        <w:rPr>
          <w:rFonts w:hint="eastAsia" w:ascii="宋体" w:hAnsi="宋体" w:eastAsia="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lang w:eastAsia="zh-CN"/>
        </w:rPr>
        <w:t>保证金</w:t>
      </w:r>
      <w:r>
        <w:rPr>
          <w:rFonts w:hint="eastAsia" w:ascii="宋体" w:hAnsi="宋体" w:eastAsia="宋体" w:cs="宋体"/>
          <w:color w:val="auto"/>
          <w:kern w:val="0"/>
          <w:sz w:val="24"/>
          <w:szCs w:val="24"/>
          <w:highlight w:val="none"/>
        </w:rPr>
        <w:t>退款申请时，除16.8.1项要求外，还须提供与采购人签订的已加盖成交供应商</w:t>
      </w:r>
      <w:r>
        <w:rPr>
          <w:rFonts w:hint="eastAsia" w:ascii="宋体" w:hAnsi="宋体" w:eastAsia="宋体" w:cs="宋体"/>
          <w:color w:val="auto"/>
          <w:kern w:val="0"/>
          <w:sz w:val="24"/>
          <w:szCs w:val="24"/>
          <w:highlight w:val="none"/>
          <w:lang w:val="en-US" w:eastAsia="zh-CN"/>
        </w:rPr>
        <w:t>电子</w:t>
      </w:r>
      <w:r>
        <w:rPr>
          <w:rFonts w:hint="eastAsia" w:ascii="宋体" w:hAnsi="宋体" w:eastAsia="宋体" w:cs="宋体"/>
          <w:color w:val="auto"/>
          <w:kern w:val="0"/>
          <w:sz w:val="24"/>
          <w:szCs w:val="24"/>
          <w:highlight w:val="none"/>
        </w:rPr>
        <w:t>公章的合同全本复印件一份及PDF扫描件一份（代理机构存档备查）。</w:t>
      </w:r>
    </w:p>
    <w:p w14:paraId="7CE0B1B1">
      <w:pPr>
        <w:spacing w:line="440" w:lineRule="exact"/>
        <w:ind w:firstLine="482" w:firstLineChars="200"/>
        <w:rPr>
          <w:rFonts w:ascii="宋体" w:hAnsi="宋体" w:eastAsia="宋体" w:cs="宋体"/>
          <w:b/>
          <w:bCs/>
          <w:color w:val="auto"/>
          <w:sz w:val="24"/>
          <w:szCs w:val="24"/>
          <w:highlight w:val="none"/>
          <w:lang w:val="zh-CN"/>
        </w:rPr>
      </w:pPr>
      <w:bookmarkStart w:id="79" w:name="_Toc37090641"/>
      <w:bookmarkStart w:id="80" w:name="_Toc37090977"/>
      <w:bookmarkStart w:id="81" w:name="_Toc5612"/>
      <w:r>
        <w:rPr>
          <w:rFonts w:hint="eastAsia" w:ascii="宋体" w:hAnsi="宋体" w:eastAsia="宋体" w:cs="宋体"/>
          <w:b/>
          <w:bCs/>
          <w:color w:val="auto"/>
          <w:sz w:val="24"/>
          <w:szCs w:val="24"/>
          <w:highlight w:val="none"/>
          <w:lang w:val="en-US" w:eastAsia="zh-CN"/>
        </w:rPr>
        <w:t>16</w:t>
      </w:r>
      <w:r>
        <w:rPr>
          <w:rFonts w:hint="eastAsia" w:ascii="宋体" w:hAnsi="宋体" w:eastAsia="宋体" w:cs="宋体"/>
          <w:b/>
          <w:bCs/>
          <w:color w:val="auto"/>
          <w:sz w:val="24"/>
          <w:szCs w:val="24"/>
          <w:highlight w:val="none"/>
          <w:lang w:val="zh-CN"/>
        </w:rPr>
        <w:t xml:space="preserve">. </w:t>
      </w:r>
      <w:r>
        <w:rPr>
          <w:rFonts w:hint="eastAsia" w:ascii="宋体" w:hAnsi="宋体" w:eastAsia="宋体" w:cs="宋体"/>
          <w:b/>
          <w:bCs/>
          <w:color w:val="auto"/>
          <w:sz w:val="24"/>
          <w:szCs w:val="24"/>
          <w:highlight w:val="none"/>
        </w:rPr>
        <w:t>磋商</w:t>
      </w:r>
      <w:r>
        <w:rPr>
          <w:rFonts w:hint="eastAsia" w:ascii="宋体" w:hAnsi="宋体" w:eastAsia="宋体" w:cs="宋体"/>
          <w:b/>
          <w:bCs/>
          <w:color w:val="auto"/>
          <w:sz w:val="24"/>
          <w:szCs w:val="24"/>
          <w:highlight w:val="none"/>
          <w:lang w:val="zh-CN"/>
        </w:rPr>
        <w:t>答疑会和现场踏勘</w:t>
      </w:r>
      <w:bookmarkEnd w:id="79"/>
      <w:bookmarkEnd w:id="80"/>
      <w:bookmarkEnd w:id="81"/>
    </w:p>
    <w:p w14:paraId="390711D4">
      <w:pPr>
        <w:shd w:val="clear" w:color="auto"/>
        <w:spacing w:line="440" w:lineRule="exact"/>
        <w:ind w:firstLine="480" w:firstLineChars="200"/>
        <w:rPr>
          <w:rFonts w:hint="eastAsia" w:ascii="宋体" w:hAnsi="宋体" w:eastAsia="宋体" w:cs="宋体"/>
          <w:color w:val="auto"/>
          <w:kern w:val="0"/>
          <w:sz w:val="24"/>
          <w:szCs w:val="24"/>
          <w:highlight w:val="none"/>
          <w:lang w:val="zh-CN"/>
        </w:rPr>
      </w:pPr>
      <w:bookmarkStart w:id="82" w:name="_Toc8947"/>
      <w:bookmarkStart w:id="83" w:name="_Toc37090978"/>
      <w:bookmarkStart w:id="84" w:name="_Toc37090642"/>
      <w:r>
        <w:rPr>
          <w:rFonts w:hint="eastAsia" w:ascii="宋体" w:hAnsi="宋体" w:eastAsia="宋体" w:cs="宋体"/>
          <w:color w:val="auto"/>
          <w:kern w:val="0"/>
          <w:sz w:val="24"/>
          <w:szCs w:val="24"/>
          <w:highlight w:val="none"/>
          <w:lang w:val="en-US" w:eastAsia="zh-CN"/>
        </w:rPr>
        <w:t>16</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zh-CN"/>
        </w:rPr>
        <w:t xml:space="preserve"> 磋商须知前附表规定组织磋商答疑会和现场踏勘的，采购人按磋商须知前附表规定的时间、地点组织供应商</w:t>
      </w:r>
      <w:r>
        <w:rPr>
          <w:rFonts w:hint="eastAsia" w:ascii="宋体" w:hAnsi="宋体" w:eastAsia="宋体" w:cs="宋体"/>
          <w:color w:val="auto"/>
          <w:kern w:val="0"/>
          <w:sz w:val="24"/>
          <w:szCs w:val="24"/>
          <w:highlight w:val="none"/>
        </w:rPr>
        <w:t>磋商</w:t>
      </w:r>
      <w:r>
        <w:rPr>
          <w:rFonts w:hint="eastAsia" w:ascii="宋体" w:hAnsi="宋体" w:eastAsia="宋体" w:cs="宋体"/>
          <w:color w:val="auto"/>
          <w:kern w:val="0"/>
          <w:sz w:val="24"/>
          <w:szCs w:val="24"/>
          <w:highlight w:val="none"/>
          <w:lang w:val="zh-CN"/>
        </w:rPr>
        <w:t>答疑会</w:t>
      </w:r>
      <w:r>
        <w:rPr>
          <w:rFonts w:hint="eastAsia" w:ascii="宋体" w:hAnsi="宋体" w:eastAsia="宋体" w:cs="宋体"/>
          <w:color w:val="auto"/>
          <w:kern w:val="0"/>
          <w:sz w:val="24"/>
          <w:szCs w:val="24"/>
          <w:highlight w:val="none"/>
        </w:rPr>
        <w:t>及</w:t>
      </w:r>
      <w:r>
        <w:rPr>
          <w:rFonts w:hint="eastAsia" w:ascii="宋体" w:hAnsi="宋体" w:eastAsia="宋体" w:cs="宋体"/>
          <w:color w:val="auto"/>
          <w:kern w:val="0"/>
          <w:sz w:val="24"/>
          <w:szCs w:val="24"/>
          <w:highlight w:val="none"/>
          <w:lang w:val="zh-CN"/>
        </w:rPr>
        <w:t>踏勘项目现场。</w:t>
      </w:r>
    </w:p>
    <w:p w14:paraId="12DE7054">
      <w:pPr>
        <w:shd w:val="clear" w:color="auto"/>
        <w:spacing w:line="440" w:lineRule="exact"/>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16</w:t>
      </w: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zh-CN"/>
        </w:rPr>
        <w:t xml:space="preserve"> 供应商踏勘现场发生的费用自理。</w:t>
      </w:r>
    </w:p>
    <w:p w14:paraId="6DBACCBB">
      <w:pPr>
        <w:shd w:val="clear" w:color="auto"/>
        <w:spacing w:line="440" w:lineRule="exact"/>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16</w:t>
      </w: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zh-CN"/>
        </w:rPr>
        <w:t xml:space="preserve"> 除采购人的原因外，供应商自行负责在踏勘现场中所发生的人员伤亡和财产损失。</w:t>
      </w:r>
    </w:p>
    <w:p w14:paraId="6FD494F8">
      <w:pPr>
        <w:shd w:val="clear" w:color="auto"/>
        <w:spacing w:line="440" w:lineRule="exact"/>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16</w:t>
      </w: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zh-CN"/>
        </w:rPr>
        <w:t xml:space="preserve"> 采购人在踏勘现场中介绍的工程场地和相关的周边环境情况，供应商在编制响应文件时参考，采购人不对供应商据此作出的判断和决策负责。</w:t>
      </w:r>
    </w:p>
    <w:p w14:paraId="0FE6420C">
      <w:pPr>
        <w:spacing w:line="440" w:lineRule="exact"/>
        <w:ind w:firstLine="482" w:firstLineChars="200"/>
        <w:rPr>
          <w:rFonts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17</w:t>
      </w:r>
      <w:r>
        <w:rPr>
          <w:rFonts w:hint="eastAsia" w:ascii="宋体" w:hAnsi="宋体" w:eastAsia="宋体" w:cs="宋体"/>
          <w:b/>
          <w:bCs/>
          <w:color w:val="auto"/>
          <w:sz w:val="24"/>
          <w:szCs w:val="24"/>
          <w:highlight w:val="none"/>
          <w:lang w:val="zh-CN"/>
        </w:rPr>
        <w:t xml:space="preserve">. </w:t>
      </w:r>
      <w:bookmarkEnd w:id="82"/>
      <w:bookmarkEnd w:id="83"/>
      <w:bookmarkEnd w:id="84"/>
      <w:r>
        <w:rPr>
          <w:rFonts w:hint="eastAsia" w:ascii="宋体" w:hAnsi="宋体" w:eastAsia="宋体" w:cs="宋体"/>
          <w:b/>
          <w:bCs/>
          <w:color w:val="auto"/>
          <w:sz w:val="24"/>
          <w:szCs w:val="24"/>
          <w:highlight w:val="none"/>
          <w:lang w:val="zh-CN"/>
        </w:rPr>
        <w:t>磋商有效期</w:t>
      </w:r>
    </w:p>
    <w:p w14:paraId="6C3547B3">
      <w:pPr>
        <w:shd w:val="clear" w:color="auto"/>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17.1 磋商有效期见本须知前附表所规定的期限，在此期限内，凡符合本竞争性磋商文件要求的响应文件均保持有效。磋商有效期不足的，在评审时将其视为无效响应。</w:t>
      </w:r>
    </w:p>
    <w:p w14:paraId="25E72C38">
      <w:pPr>
        <w:shd w:val="clear" w:color="auto"/>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17.2 在特殊情况下，采购人在原定的磋商有效期内，可以根据需要以书面形式向供应商提出延长磋商有效期的要求，对此要求供应商须以书面形式予以答复。供应商拒绝延长的，其投标在原磋商有效期届满后将不再有效，但有权收回其磋商保证金；同意延长磋商有效期的供应商既不能要求也不允许修改或撤回其响应文件。</w:t>
      </w:r>
    </w:p>
    <w:p w14:paraId="48618269">
      <w:pPr>
        <w:spacing w:beforeLines="50" w:afterLines="50" w:line="440" w:lineRule="exact"/>
        <w:jc w:val="center"/>
        <w:rPr>
          <w:rFonts w:ascii="宋体" w:hAnsi="宋体" w:eastAsia="宋体" w:cs="宋体"/>
          <w:b/>
          <w:color w:val="auto"/>
          <w:kern w:val="0"/>
          <w:sz w:val="24"/>
          <w:szCs w:val="24"/>
          <w:highlight w:val="none"/>
        </w:rPr>
      </w:pPr>
      <w:bookmarkStart w:id="85" w:name="_Toc25205"/>
      <w:bookmarkStart w:id="86" w:name="_Toc37090979"/>
      <w:bookmarkStart w:id="87" w:name="_Toc37090643"/>
      <w:r>
        <w:rPr>
          <w:rFonts w:hint="eastAsia" w:ascii="宋体" w:hAnsi="宋体" w:eastAsia="宋体" w:cs="宋体"/>
          <w:b/>
          <w:color w:val="auto"/>
          <w:kern w:val="0"/>
          <w:sz w:val="24"/>
          <w:szCs w:val="24"/>
          <w:highlight w:val="none"/>
          <w:lang w:val="zh-CN"/>
        </w:rPr>
        <w:t>（</w:t>
      </w:r>
      <w:r>
        <w:rPr>
          <w:rFonts w:hint="eastAsia" w:ascii="宋体" w:hAnsi="宋体" w:eastAsia="宋体" w:cs="宋体"/>
          <w:b/>
          <w:color w:val="auto"/>
          <w:kern w:val="0"/>
          <w:sz w:val="24"/>
          <w:szCs w:val="24"/>
          <w:highlight w:val="none"/>
        </w:rPr>
        <w:t>三</w:t>
      </w:r>
      <w:r>
        <w:rPr>
          <w:rFonts w:hint="eastAsia" w:ascii="宋体" w:hAnsi="宋体" w:eastAsia="宋体" w:cs="宋体"/>
          <w:b/>
          <w:color w:val="auto"/>
          <w:kern w:val="0"/>
          <w:sz w:val="24"/>
          <w:szCs w:val="24"/>
          <w:highlight w:val="none"/>
          <w:lang w:val="zh-CN"/>
        </w:rPr>
        <w:t>）</w:t>
      </w:r>
      <w:r>
        <w:rPr>
          <w:rFonts w:hint="eastAsia" w:ascii="宋体" w:hAnsi="宋体" w:eastAsia="宋体" w:cs="宋体"/>
          <w:b/>
          <w:color w:val="auto"/>
          <w:kern w:val="0"/>
          <w:sz w:val="24"/>
          <w:szCs w:val="24"/>
          <w:highlight w:val="none"/>
        </w:rPr>
        <w:t>响应文件的编制</w:t>
      </w:r>
      <w:bookmarkEnd w:id="85"/>
    </w:p>
    <w:p w14:paraId="5E57B4C6">
      <w:pPr>
        <w:spacing w:line="440" w:lineRule="exact"/>
        <w:ind w:firstLine="482" w:firstLineChars="200"/>
        <w:rPr>
          <w:rFonts w:ascii="宋体" w:hAnsi="宋体" w:eastAsia="宋体" w:cs="宋体"/>
          <w:b/>
          <w:bCs/>
          <w:color w:val="auto"/>
          <w:sz w:val="24"/>
          <w:szCs w:val="24"/>
          <w:highlight w:val="none"/>
          <w:lang w:val="zh-CN"/>
        </w:rPr>
      </w:pPr>
      <w:bookmarkStart w:id="88" w:name="_Toc12448"/>
      <w:r>
        <w:rPr>
          <w:rFonts w:hint="eastAsia" w:ascii="宋体" w:hAnsi="宋体" w:eastAsia="宋体" w:cs="宋体"/>
          <w:b/>
          <w:bCs/>
          <w:color w:val="auto"/>
          <w:sz w:val="24"/>
          <w:szCs w:val="24"/>
          <w:highlight w:val="none"/>
          <w:lang w:val="en-US" w:eastAsia="zh-CN"/>
        </w:rPr>
        <w:t>18</w:t>
      </w:r>
      <w:r>
        <w:rPr>
          <w:rFonts w:hint="eastAsia" w:ascii="宋体" w:hAnsi="宋体" w:eastAsia="宋体" w:cs="宋体"/>
          <w:b/>
          <w:bCs/>
          <w:color w:val="auto"/>
          <w:sz w:val="24"/>
          <w:szCs w:val="24"/>
          <w:highlight w:val="none"/>
          <w:lang w:val="zh-CN"/>
        </w:rPr>
        <w:t>. 响应文件编制要求</w:t>
      </w:r>
      <w:bookmarkEnd w:id="86"/>
      <w:bookmarkEnd w:id="87"/>
      <w:bookmarkEnd w:id="88"/>
    </w:p>
    <w:p w14:paraId="0C475717">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18</w:t>
      </w:r>
      <w:r>
        <w:rPr>
          <w:rFonts w:hint="eastAsia" w:ascii="宋体" w:hAnsi="宋体" w:eastAsia="宋体" w:cs="宋体"/>
          <w:color w:val="auto"/>
          <w:kern w:val="0"/>
          <w:sz w:val="24"/>
          <w:szCs w:val="24"/>
          <w:highlight w:val="none"/>
        </w:rPr>
        <w:t>.1供应商提交的响应文件及供应商与采购代理机构就有关投标的所有来往函电均使用中文。</w:t>
      </w:r>
    </w:p>
    <w:p w14:paraId="3A3000A9">
      <w:pPr>
        <w:shd w:val="clear"/>
        <w:spacing w:line="440" w:lineRule="exact"/>
        <w:ind w:firstLine="482" w:firstLineChars="200"/>
        <w:rPr>
          <w:rFonts w:ascii="宋体" w:hAnsi="宋体" w:eastAsia="宋体" w:cs="宋体"/>
          <w:b/>
          <w:bCs/>
          <w:color w:val="auto"/>
          <w:sz w:val="24"/>
          <w:szCs w:val="24"/>
          <w:highlight w:val="none"/>
          <w:lang w:val="zh-CN"/>
        </w:rPr>
      </w:pPr>
      <w:bookmarkStart w:id="89" w:name="_Toc37090980"/>
      <w:bookmarkStart w:id="90" w:name="_Toc7871"/>
      <w:bookmarkStart w:id="91" w:name="_Toc37090644"/>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lang w:val="zh-CN"/>
        </w:rPr>
        <w:t>. 响应文件编制的依据</w:t>
      </w:r>
      <w:bookmarkEnd w:id="89"/>
      <w:bookmarkEnd w:id="90"/>
      <w:bookmarkEnd w:id="91"/>
    </w:p>
    <w:p w14:paraId="08345AAC">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19</w:t>
      </w:r>
      <w:r>
        <w:rPr>
          <w:rFonts w:hint="eastAsia" w:ascii="宋体" w:hAnsi="宋体" w:eastAsia="宋体" w:cs="宋体"/>
          <w:color w:val="auto"/>
          <w:kern w:val="0"/>
          <w:sz w:val="24"/>
          <w:szCs w:val="24"/>
          <w:highlight w:val="none"/>
        </w:rPr>
        <w:t>.1 采购人提供的采购需求及有关资料；</w:t>
      </w:r>
    </w:p>
    <w:p w14:paraId="73E34A1F">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19</w:t>
      </w:r>
      <w:r>
        <w:rPr>
          <w:rFonts w:hint="eastAsia" w:ascii="宋体" w:hAnsi="宋体" w:eastAsia="宋体" w:cs="宋体"/>
          <w:color w:val="auto"/>
          <w:kern w:val="0"/>
          <w:sz w:val="24"/>
          <w:szCs w:val="24"/>
          <w:highlight w:val="none"/>
        </w:rPr>
        <w:t>.2 本</w:t>
      </w:r>
      <w:r>
        <w:rPr>
          <w:rFonts w:hint="eastAsia" w:ascii="宋体" w:hAnsi="宋体" w:eastAsia="宋体" w:cs="宋体"/>
          <w:color w:val="auto"/>
          <w:kern w:val="0"/>
          <w:sz w:val="24"/>
          <w:szCs w:val="24"/>
          <w:highlight w:val="none"/>
          <w:lang w:val="en-US" w:eastAsia="zh-CN"/>
        </w:rPr>
        <w:t>竞争性</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及</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的修改或者澄清；</w:t>
      </w:r>
    </w:p>
    <w:p w14:paraId="56107B6C">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19</w:t>
      </w:r>
      <w:r>
        <w:rPr>
          <w:rFonts w:hint="eastAsia" w:ascii="宋体" w:hAnsi="宋体" w:eastAsia="宋体" w:cs="宋体"/>
          <w:color w:val="auto"/>
          <w:kern w:val="0"/>
          <w:sz w:val="24"/>
          <w:szCs w:val="24"/>
          <w:highlight w:val="none"/>
        </w:rPr>
        <w:t>.3 相关的法律、法规和规定。</w:t>
      </w:r>
    </w:p>
    <w:p w14:paraId="78290034">
      <w:pPr>
        <w:shd w:val="clear" w:color="auto"/>
        <w:spacing w:line="440" w:lineRule="exact"/>
        <w:ind w:firstLine="482" w:firstLineChars="200"/>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20</w:t>
      </w:r>
      <w:r>
        <w:rPr>
          <w:rFonts w:hint="eastAsia" w:ascii="宋体" w:hAnsi="宋体" w:eastAsia="宋体" w:cs="宋体"/>
          <w:b/>
          <w:color w:val="auto"/>
          <w:kern w:val="0"/>
          <w:sz w:val="24"/>
          <w:szCs w:val="24"/>
          <w:highlight w:val="none"/>
        </w:rPr>
        <w:t>. 响应文件的组成：响应书、资格证明文件、商务部分、技术部分。</w:t>
      </w:r>
    </w:p>
    <w:p w14:paraId="0F92A742">
      <w:pPr>
        <w:shd w:val="clear" w:color="auto"/>
        <w:spacing w:line="440" w:lineRule="exact"/>
        <w:ind w:firstLine="482" w:firstLineChars="200"/>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20</w:t>
      </w:r>
      <w:r>
        <w:rPr>
          <w:rFonts w:hint="eastAsia" w:ascii="宋体" w:hAnsi="宋体" w:eastAsia="宋体" w:cs="宋体"/>
          <w:b/>
          <w:color w:val="auto"/>
          <w:kern w:val="0"/>
          <w:sz w:val="24"/>
          <w:szCs w:val="24"/>
          <w:highlight w:val="none"/>
        </w:rPr>
        <w:t>.1 响应书</w:t>
      </w:r>
    </w:p>
    <w:p w14:paraId="14AC6E1B">
      <w:pPr>
        <w:shd w:val="clear" w:color="auto"/>
        <w:spacing w:line="440" w:lineRule="exact"/>
        <w:ind w:firstLine="482" w:firstLineChars="200"/>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20</w:t>
      </w:r>
      <w:r>
        <w:rPr>
          <w:rFonts w:hint="eastAsia" w:ascii="宋体" w:hAnsi="宋体" w:eastAsia="宋体" w:cs="宋体"/>
          <w:b/>
          <w:color w:val="auto"/>
          <w:kern w:val="0"/>
          <w:sz w:val="24"/>
          <w:szCs w:val="24"/>
          <w:highlight w:val="none"/>
        </w:rPr>
        <w:t>.2 资格证明文件</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以下文件必须在有效期内</w:t>
      </w:r>
      <w:r>
        <w:rPr>
          <w:rFonts w:hint="eastAsia" w:ascii="宋体" w:hAnsi="宋体" w:eastAsia="宋体" w:cs="宋体"/>
          <w:b/>
          <w:color w:val="auto"/>
          <w:kern w:val="0"/>
          <w:sz w:val="24"/>
          <w:szCs w:val="24"/>
          <w:highlight w:val="none"/>
          <w:lang w:eastAsia="zh-CN"/>
        </w:rPr>
        <w:t>）</w:t>
      </w:r>
    </w:p>
    <w:p w14:paraId="5041ACF9">
      <w:pPr>
        <w:keepNext w:val="0"/>
        <w:keepLines w:val="0"/>
        <w:pageBreakBefore w:val="0"/>
        <w:widowControl w:val="0"/>
        <w:numPr>
          <w:ilvl w:val="0"/>
          <w:numId w:val="3"/>
        </w:numPr>
        <w:shd w:val="clear" w:color="auto"/>
        <w:kinsoku/>
        <w:wordWrap/>
        <w:overflowPunct/>
        <w:topLinePunct w:val="0"/>
        <w:autoSpaceDN/>
        <w:bidi w:val="0"/>
        <w:adjustRightInd/>
        <w:snapToGrid/>
        <w:spacing w:line="440" w:lineRule="exact"/>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符合《中华人民共和国政府采购法》第二十二条规定的证明文件（须加盖</w:t>
      </w:r>
      <w:r>
        <w:rPr>
          <w:rFonts w:hint="eastAsia" w:ascii="宋体" w:hAnsi="宋体" w:eastAsia="宋体" w:cs="宋体"/>
          <w:b/>
          <w:color w:val="auto"/>
          <w:kern w:val="0"/>
          <w:sz w:val="24"/>
          <w:szCs w:val="24"/>
          <w:highlight w:val="none"/>
          <w:lang w:val="en-US" w:eastAsia="zh-CN"/>
        </w:rPr>
        <w:t>供应商电子公章</w:t>
      </w:r>
      <w:r>
        <w:rPr>
          <w:rFonts w:hint="eastAsia" w:ascii="宋体" w:hAnsi="宋体" w:eastAsia="宋体" w:cs="宋体"/>
          <w:b/>
          <w:color w:val="auto"/>
          <w:kern w:val="0"/>
          <w:sz w:val="24"/>
          <w:szCs w:val="24"/>
          <w:highlight w:val="none"/>
        </w:rPr>
        <w:t>）；</w:t>
      </w:r>
    </w:p>
    <w:p w14:paraId="396DCE5A">
      <w:pPr>
        <w:keepNext w:val="0"/>
        <w:keepLines w:val="0"/>
        <w:pageBreakBefore w:val="0"/>
        <w:widowControl w:val="0"/>
        <w:numPr>
          <w:ilvl w:val="0"/>
          <w:numId w:val="3"/>
        </w:numPr>
        <w:shd w:val="clear" w:color="auto"/>
        <w:kinsoku/>
        <w:wordWrap/>
        <w:overflowPunct/>
        <w:topLinePunct w:val="0"/>
        <w:autoSpaceDN/>
        <w:bidi w:val="0"/>
        <w:adjustRightInd/>
        <w:snapToGrid/>
        <w:spacing w:line="440" w:lineRule="exact"/>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法定代表人（或负责人）身份证明、授权委托书</w:t>
      </w:r>
      <w:r>
        <w:rPr>
          <w:rFonts w:hint="eastAsia" w:ascii="宋体" w:hAnsi="宋体" w:eastAsia="宋体" w:cs="宋体"/>
          <w:b/>
          <w:bCs/>
          <w:color w:val="auto"/>
          <w:sz w:val="24"/>
          <w:szCs w:val="24"/>
          <w:highlight w:val="none"/>
          <w:lang w:eastAsia="zh-CN"/>
        </w:rPr>
        <w:t>；</w:t>
      </w:r>
    </w:p>
    <w:p w14:paraId="23449E21">
      <w:pPr>
        <w:pStyle w:val="41"/>
        <w:keepNext w:val="0"/>
        <w:keepLines w:val="0"/>
        <w:pageBreakBefore w:val="0"/>
        <w:widowControl w:val="0"/>
        <w:kinsoku/>
        <w:wordWrap/>
        <w:overflowPunct/>
        <w:topLinePunct w:val="0"/>
        <w:autoSpaceDN/>
        <w:bidi w:val="0"/>
        <w:adjustRightInd/>
        <w:snapToGrid/>
        <w:spacing w:line="440" w:lineRule="exact"/>
        <w:ind w:firstLine="482" w:firstLineChars="200"/>
        <w:jc w:val="both"/>
        <w:textAlignment w:val="auto"/>
        <w:rPr>
          <w:rFonts w:hint="eastAsia" w:ascii="宋体" w:hAnsi="宋体" w:eastAsia="宋体" w:cs="宋体"/>
          <w:b/>
          <w:color w:val="auto"/>
          <w:highlight w:val="none"/>
          <w:lang w:eastAsia="zh-CN"/>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highlight w:val="none"/>
        </w:rPr>
        <w:t xml:space="preserve"> </w:t>
      </w:r>
      <w:r>
        <w:rPr>
          <w:rFonts w:hint="eastAsia" w:ascii="宋体" w:hAnsi="宋体" w:eastAsia="宋体" w:cs="宋体"/>
          <w:b/>
          <w:color w:val="auto"/>
          <w:spacing w:val="-6"/>
          <w:sz w:val="24"/>
          <w:highlight w:val="none"/>
          <w:lang w:val="en-US" w:eastAsia="zh-CN"/>
        </w:rPr>
        <w:t>中小企业、残疾人福利性单位、监狱企业声明函；</w:t>
      </w:r>
    </w:p>
    <w:p w14:paraId="3F02CD33">
      <w:pPr>
        <w:pStyle w:val="41"/>
        <w:keepNext w:val="0"/>
        <w:keepLines w:val="0"/>
        <w:pageBreakBefore w:val="0"/>
        <w:widowControl w:val="0"/>
        <w:kinsoku/>
        <w:wordWrap/>
        <w:overflowPunct/>
        <w:topLinePunct w:val="0"/>
        <w:autoSpaceDN/>
        <w:bidi w:val="0"/>
        <w:adjustRightInd/>
        <w:snapToGrid/>
        <w:spacing w:line="440" w:lineRule="exact"/>
        <w:ind w:firstLine="458" w:firstLineChars="200"/>
        <w:jc w:val="both"/>
        <w:textAlignment w:val="auto"/>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lang w:val="en-US" w:eastAsia="zh-CN"/>
        </w:rPr>
        <w:t xml:space="preserve">(4) </w:t>
      </w:r>
      <w:r>
        <w:rPr>
          <w:rFonts w:hint="eastAsia" w:ascii="宋体" w:hAnsi="宋体" w:eastAsia="宋体" w:cs="宋体"/>
          <w:b/>
          <w:color w:val="auto"/>
          <w:sz w:val="24"/>
          <w:szCs w:val="24"/>
          <w:highlight w:val="none"/>
        </w:rPr>
        <w:t>不参与围标串标承诺书；</w:t>
      </w:r>
    </w:p>
    <w:p w14:paraId="7BBB68F7">
      <w:pPr>
        <w:pStyle w:val="44"/>
        <w:keepNext w:val="0"/>
        <w:keepLines w:val="0"/>
        <w:pageBreakBefore w:val="0"/>
        <w:widowControl w:val="0"/>
        <w:kinsoku/>
        <w:wordWrap/>
        <w:overflowPunct/>
        <w:topLinePunct w:val="0"/>
        <w:autoSpaceDN/>
        <w:bidi w:val="0"/>
        <w:adjustRightInd/>
        <w:snapToGrid/>
        <w:spacing w:line="440" w:lineRule="exact"/>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en-US" w:eastAsia="zh-CN"/>
        </w:rPr>
        <w:t>投标</w:t>
      </w:r>
      <w:r>
        <w:rPr>
          <w:rFonts w:hint="eastAsia" w:ascii="宋体" w:hAnsi="宋体" w:eastAsia="宋体" w:cs="宋体"/>
          <w:b/>
          <w:color w:val="auto"/>
          <w:sz w:val="24"/>
          <w:szCs w:val="24"/>
          <w:highlight w:val="none"/>
          <w:lang w:eastAsia="zh-CN"/>
        </w:rPr>
        <w:t>保证金</w:t>
      </w:r>
      <w:r>
        <w:rPr>
          <w:rFonts w:hint="eastAsia" w:ascii="宋体" w:hAnsi="宋体" w:eastAsia="宋体" w:cs="宋体"/>
          <w:b/>
          <w:color w:val="auto"/>
          <w:sz w:val="24"/>
          <w:szCs w:val="24"/>
          <w:highlight w:val="none"/>
        </w:rPr>
        <w:t>（被采购代理机构认可的缴纳凭证）；</w:t>
      </w:r>
    </w:p>
    <w:p w14:paraId="7255B319">
      <w:pPr>
        <w:pStyle w:val="41"/>
        <w:keepNext w:val="0"/>
        <w:keepLines w:val="0"/>
        <w:pageBreakBefore w:val="0"/>
        <w:widowControl w:val="0"/>
        <w:kinsoku/>
        <w:wordWrap/>
        <w:overflowPunct/>
        <w:topLinePunct w:val="0"/>
        <w:autoSpaceDN/>
        <w:bidi w:val="0"/>
        <w:adjustRightInd/>
        <w:snapToGrid/>
        <w:spacing w:line="440" w:lineRule="exact"/>
        <w:ind w:firstLine="472" w:firstLineChars="196"/>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 “信用中国”网站（www.creditchina.gov.cn ）</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中国政府采购网</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（www.ccgp.gov.cn）查询企业信用信息截图或打印件</w:t>
      </w:r>
      <w:r>
        <w:rPr>
          <w:rFonts w:hint="eastAsia" w:ascii="宋体" w:hAnsi="宋体" w:eastAsia="宋体" w:cs="宋体"/>
          <w:b/>
          <w:color w:val="auto"/>
          <w:sz w:val="24"/>
          <w:szCs w:val="24"/>
          <w:highlight w:val="none"/>
        </w:rPr>
        <w:t>；</w:t>
      </w:r>
    </w:p>
    <w:p w14:paraId="4D36FC28">
      <w:pPr>
        <w:shd w:val="clear" w:color="auto"/>
        <w:spacing w:line="440" w:lineRule="exact"/>
        <w:ind w:firstLine="482" w:firstLineChars="200"/>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20</w:t>
      </w:r>
      <w:r>
        <w:rPr>
          <w:rFonts w:hint="eastAsia" w:ascii="宋体" w:hAnsi="宋体" w:eastAsia="宋体" w:cs="宋体"/>
          <w:b/>
          <w:color w:val="auto"/>
          <w:kern w:val="0"/>
          <w:sz w:val="24"/>
          <w:szCs w:val="24"/>
          <w:highlight w:val="none"/>
        </w:rPr>
        <w:t>.3 商务部分：</w:t>
      </w:r>
    </w:p>
    <w:p w14:paraId="12CFBAD1">
      <w:pPr>
        <w:pStyle w:val="44"/>
        <w:ind w:firstLine="470"/>
        <w:rPr>
          <w:rFonts w:ascii="宋体" w:hAnsi="宋体" w:eastAsia="宋体" w:cs="宋体"/>
          <w:b/>
          <w:bCs/>
          <w:color w:val="auto"/>
          <w:spacing w:val="-3"/>
          <w:sz w:val="24"/>
          <w:highlight w:val="none"/>
        </w:rPr>
      </w:pPr>
      <w:r>
        <w:rPr>
          <w:rFonts w:hint="eastAsia" w:ascii="宋体" w:hAnsi="宋体" w:eastAsia="宋体" w:cs="宋体"/>
          <w:b/>
          <w:bCs/>
          <w:color w:val="auto"/>
          <w:spacing w:val="-3"/>
          <w:sz w:val="24"/>
          <w:highlight w:val="none"/>
        </w:rPr>
        <w:t>(1) 响应文件报价一览表</w:t>
      </w:r>
    </w:p>
    <w:p w14:paraId="59C69A37">
      <w:pPr>
        <w:pStyle w:val="44"/>
        <w:ind w:firstLine="470"/>
        <w:rPr>
          <w:rFonts w:ascii="宋体" w:hAnsi="宋体" w:eastAsia="宋体" w:cs="宋体"/>
          <w:b/>
          <w:bCs/>
          <w:color w:val="auto"/>
          <w:spacing w:val="-3"/>
          <w:sz w:val="24"/>
          <w:highlight w:val="none"/>
        </w:rPr>
      </w:pPr>
      <w:r>
        <w:rPr>
          <w:rFonts w:ascii="宋体" w:hAnsi="宋体" w:eastAsia="宋体" w:cs="宋体"/>
          <w:b/>
          <w:bCs/>
          <w:color w:val="auto"/>
          <w:spacing w:val="-3"/>
          <w:sz w:val="24"/>
          <w:highlight w:val="none"/>
        </w:rPr>
        <w:t>(</w:t>
      </w:r>
      <w:r>
        <w:rPr>
          <w:rFonts w:hint="eastAsia" w:ascii="宋体" w:hAnsi="宋体" w:eastAsia="宋体" w:cs="宋体"/>
          <w:b/>
          <w:bCs/>
          <w:color w:val="auto"/>
          <w:spacing w:val="-3"/>
          <w:sz w:val="24"/>
          <w:highlight w:val="none"/>
        </w:rPr>
        <w:t>2</w:t>
      </w:r>
      <w:r>
        <w:rPr>
          <w:rFonts w:ascii="宋体" w:hAnsi="宋体" w:eastAsia="宋体" w:cs="宋体"/>
          <w:b/>
          <w:bCs/>
          <w:color w:val="auto"/>
          <w:spacing w:val="-3"/>
          <w:sz w:val="24"/>
          <w:highlight w:val="none"/>
        </w:rPr>
        <w:t>)</w:t>
      </w:r>
      <w:r>
        <w:rPr>
          <w:rFonts w:hint="eastAsia" w:ascii="宋体" w:hAnsi="宋体" w:eastAsia="宋体" w:cs="宋体"/>
          <w:b/>
          <w:bCs/>
          <w:color w:val="auto"/>
          <w:spacing w:val="-3"/>
          <w:sz w:val="24"/>
          <w:highlight w:val="none"/>
        </w:rPr>
        <w:t xml:space="preserve"> </w:t>
      </w:r>
      <w:r>
        <w:rPr>
          <w:rFonts w:hint="eastAsia" w:ascii="宋体" w:hAnsi="宋体" w:eastAsia="宋体" w:cs="宋体"/>
          <w:b/>
          <w:bCs/>
          <w:color w:val="auto"/>
          <w:spacing w:val="-3"/>
          <w:sz w:val="24"/>
          <w:highlight w:val="none"/>
          <w:lang w:val="en-US" w:eastAsia="zh-CN"/>
        </w:rPr>
        <w:t>分项</w:t>
      </w:r>
      <w:r>
        <w:rPr>
          <w:rFonts w:hint="eastAsia" w:ascii="宋体" w:hAnsi="宋体" w:eastAsia="宋体" w:cs="宋体"/>
          <w:b/>
          <w:bCs/>
          <w:color w:val="auto"/>
          <w:spacing w:val="-3"/>
          <w:sz w:val="24"/>
          <w:highlight w:val="none"/>
        </w:rPr>
        <w:t>报价表</w:t>
      </w:r>
    </w:p>
    <w:p w14:paraId="669CA478">
      <w:pPr>
        <w:pStyle w:val="44"/>
        <w:ind w:firstLine="470"/>
        <w:rPr>
          <w:rFonts w:ascii="宋体" w:hAnsi="宋体" w:eastAsia="宋体" w:cs="宋体"/>
          <w:b/>
          <w:bCs/>
          <w:color w:val="auto"/>
          <w:spacing w:val="-3"/>
          <w:sz w:val="24"/>
          <w:highlight w:val="none"/>
        </w:rPr>
      </w:pPr>
      <w:r>
        <w:rPr>
          <w:rFonts w:hint="eastAsia" w:ascii="宋体" w:hAnsi="宋体" w:eastAsia="宋体" w:cs="宋体"/>
          <w:b/>
          <w:bCs/>
          <w:color w:val="auto"/>
          <w:spacing w:val="-3"/>
          <w:sz w:val="24"/>
          <w:highlight w:val="none"/>
        </w:rPr>
        <w:t>(3) 实质性响应一览表</w:t>
      </w:r>
    </w:p>
    <w:p w14:paraId="099D0169">
      <w:pPr>
        <w:pStyle w:val="41"/>
        <w:spacing w:line="540" w:lineRule="exact"/>
        <w:ind w:firstLine="484"/>
        <w:jc w:val="both"/>
        <w:rPr>
          <w:rFonts w:ascii="宋体" w:hAnsi="宋体" w:eastAsia="宋体" w:cs="宋体;SimSun"/>
          <w:b/>
          <w:bCs/>
          <w:color w:val="auto"/>
          <w:highlight w:val="none"/>
        </w:rPr>
      </w:pPr>
      <w:r>
        <w:rPr>
          <w:rFonts w:ascii="宋体" w:hAnsi="宋体" w:eastAsia="宋体" w:cs="宋体;SimSun"/>
          <w:b/>
          <w:bCs/>
          <w:color w:val="auto"/>
          <w:highlight w:val="none"/>
        </w:rPr>
        <w:t>(</w:t>
      </w:r>
      <w:r>
        <w:rPr>
          <w:rFonts w:hint="eastAsia" w:ascii="宋体" w:hAnsi="宋体" w:eastAsia="宋体" w:cs="宋体;SimSun"/>
          <w:b/>
          <w:bCs/>
          <w:color w:val="auto"/>
          <w:highlight w:val="none"/>
        </w:rPr>
        <w:t>4</w:t>
      </w:r>
      <w:r>
        <w:rPr>
          <w:rFonts w:ascii="宋体" w:hAnsi="宋体" w:eastAsia="宋体" w:cs="宋体;SimSun"/>
          <w:b/>
          <w:bCs/>
          <w:color w:val="auto"/>
          <w:highlight w:val="none"/>
        </w:rPr>
        <w:t xml:space="preserve">) </w:t>
      </w:r>
      <w:r>
        <w:rPr>
          <w:rFonts w:hint="eastAsia" w:ascii="宋体" w:hAnsi="宋体" w:eastAsia="宋体" w:cs="宋体;SimSun"/>
          <w:b/>
          <w:bCs/>
          <w:color w:val="auto"/>
        </w:rPr>
        <w:t>商务</w:t>
      </w:r>
      <w:r>
        <w:rPr>
          <w:rFonts w:hint="eastAsia" w:ascii="宋体" w:hAnsi="宋体" w:eastAsia="宋体" w:cs="宋体;SimSun"/>
          <w:b/>
          <w:bCs/>
          <w:color w:val="auto"/>
          <w:highlight w:val="none"/>
        </w:rPr>
        <w:t>合同条款偏离表</w:t>
      </w:r>
    </w:p>
    <w:p w14:paraId="63168C61">
      <w:pPr>
        <w:pStyle w:val="41"/>
        <w:spacing w:line="540" w:lineRule="exact"/>
        <w:ind w:firstLine="484"/>
        <w:jc w:val="both"/>
        <w:rPr>
          <w:rFonts w:ascii="宋体" w:hAnsi="宋体" w:eastAsia="宋体" w:cs="宋体"/>
          <w:color w:val="auto"/>
          <w:spacing w:val="-3"/>
          <w:highlight w:val="none"/>
        </w:rPr>
      </w:pPr>
      <w:r>
        <w:rPr>
          <w:rFonts w:ascii="宋体" w:hAnsi="宋体" w:eastAsia="宋体" w:cs="宋体"/>
          <w:color w:val="auto"/>
          <w:spacing w:val="-3"/>
          <w:kern w:val="2"/>
          <w:szCs w:val="28"/>
          <w:highlight w:val="none"/>
        </w:rPr>
        <w:t>(</w:t>
      </w:r>
      <w:r>
        <w:rPr>
          <w:rFonts w:hint="eastAsia" w:ascii="宋体" w:hAnsi="宋体" w:eastAsia="宋体" w:cs="宋体"/>
          <w:color w:val="auto"/>
          <w:spacing w:val="-3"/>
          <w:kern w:val="2"/>
          <w:szCs w:val="28"/>
          <w:highlight w:val="none"/>
        </w:rPr>
        <w:t>5</w:t>
      </w:r>
      <w:r>
        <w:rPr>
          <w:rFonts w:ascii="宋体" w:hAnsi="宋体" w:eastAsia="宋体" w:cs="宋体"/>
          <w:color w:val="auto"/>
          <w:spacing w:val="-3"/>
          <w:kern w:val="2"/>
          <w:szCs w:val="28"/>
          <w:highlight w:val="none"/>
        </w:rPr>
        <w:t xml:space="preserve">) </w:t>
      </w:r>
      <w:r>
        <w:rPr>
          <w:rFonts w:hint="eastAsia" w:ascii="宋体" w:hAnsi="宋体" w:eastAsia="宋体" w:cs="宋体"/>
          <w:color w:val="auto"/>
          <w:spacing w:val="-3"/>
          <w:kern w:val="2"/>
          <w:szCs w:val="28"/>
          <w:highlight w:val="none"/>
        </w:rPr>
        <w:t>近三年（</w:t>
      </w:r>
      <w:r>
        <w:rPr>
          <w:rFonts w:ascii="宋体" w:hAnsi="宋体" w:eastAsia="宋体" w:cs="宋体"/>
          <w:color w:val="auto"/>
          <w:spacing w:val="-3"/>
          <w:kern w:val="2"/>
          <w:szCs w:val="28"/>
          <w:highlight w:val="none"/>
        </w:rPr>
        <w:t>20</w:t>
      </w:r>
      <w:r>
        <w:rPr>
          <w:rFonts w:hint="eastAsia" w:ascii="宋体" w:hAnsi="宋体" w:eastAsia="宋体" w:cs="宋体"/>
          <w:color w:val="auto"/>
          <w:spacing w:val="-3"/>
          <w:kern w:val="2"/>
          <w:szCs w:val="28"/>
          <w:highlight w:val="none"/>
          <w:lang w:val="en-US" w:eastAsia="zh-CN"/>
        </w:rPr>
        <w:t>22</w:t>
      </w:r>
      <w:r>
        <w:rPr>
          <w:rFonts w:hint="eastAsia" w:ascii="宋体" w:hAnsi="宋体" w:eastAsia="宋体" w:cs="宋体"/>
          <w:color w:val="auto"/>
          <w:spacing w:val="-3"/>
          <w:kern w:val="2"/>
          <w:szCs w:val="28"/>
          <w:highlight w:val="none"/>
        </w:rPr>
        <w:t>年</w:t>
      </w:r>
      <w:r>
        <w:rPr>
          <w:rFonts w:hint="eastAsia" w:ascii="宋体" w:hAnsi="宋体" w:eastAsia="宋体" w:cs="宋体"/>
          <w:color w:val="auto"/>
          <w:spacing w:val="-3"/>
          <w:kern w:val="2"/>
          <w:szCs w:val="28"/>
          <w:highlight w:val="none"/>
          <w:lang w:val="en-US" w:eastAsia="zh-CN"/>
        </w:rPr>
        <w:t>01</w:t>
      </w:r>
      <w:r>
        <w:rPr>
          <w:rFonts w:hint="eastAsia" w:ascii="宋体" w:hAnsi="宋体" w:eastAsia="宋体" w:cs="宋体"/>
          <w:color w:val="auto"/>
          <w:spacing w:val="-3"/>
          <w:kern w:val="2"/>
          <w:szCs w:val="28"/>
          <w:highlight w:val="none"/>
        </w:rPr>
        <w:t>月01日至今</w:t>
      </w:r>
      <w:r>
        <w:rPr>
          <w:rFonts w:hint="eastAsia" w:ascii="宋体" w:hAnsi="宋体" w:eastAsia="宋体" w:cs="宋体;SimSun"/>
          <w:color w:val="auto"/>
          <w:highlight w:val="none"/>
        </w:rPr>
        <w:t>）类似业绩</w:t>
      </w:r>
    </w:p>
    <w:p w14:paraId="2FF3D4CB">
      <w:pPr>
        <w:pStyle w:val="41"/>
        <w:spacing w:line="440" w:lineRule="exact"/>
        <w:ind w:firstLine="480" w:firstLineChars="200"/>
        <w:jc w:val="both"/>
        <w:rPr>
          <w:rFonts w:ascii="宋体" w:hAnsi="宋体" w:eastAsia="宋体" w:cs="宋体"/>
          <w:color w:val="FF0000"/>
          <w:highlight w:val="none"/>
        </w:rPr>
      </w:pPr>
      <w:r>
        <w:rPr>
          <w:rFonts w:hint="eastAsia" w:ascii="宋体" w:hAnsi="宋体" w:eastAsia="宋体" w:cs="宋体"/>
          <w:color w:val="auto"/>
          <w:highlight w:val="none"/>
        </w:rPr>
        <w:t>(6) 人员配置表及拟派项目负责人简历表</w:t>
      </w:r>
    </w:p>
    <w:p w14:paraId="14B5C714">
      <w:pPr>
        <w:shd w:val="clear" w:color="auto"/>
        <w:spacing w:line="440" w:lineRule="exact"/>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 xml:space="preserve">(7) </w:t>
      </w:r>
      <w:r>
        <w:rPr>
          <w:rFonts w:hint="eastAsia" w:ascii="宋体" w:hAnsi="宋体" w:eastAsia="宋体" w:cs="宋体"/>
          <w:color w:val="auto"/>
          <w:sz w:val="24"/>
          <w:szCs w:val="24"/>
          <w:highlight w:val="none"/>
        </w:rPr>
        <w:t>供应商认为有必要提供的其他商务资料</w:t>
      </w:r>
    </w:p>
    <w:p w14:paraId="7BB3EDA2">
      <w:pPr>
        <w:shd w:val="clear" w:color="auto"/>
        <w:spacing w:line="440" w:lineRule="exact"/>
        <w:ind w:firstLine="482" w:firstLineChars="200"/>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20</w:t>
      </w:r>
      <w:r>
        <w:rPr>
          <w:rFonts w:hint="eastAsia" w:ascii="宋体" w:hAnsi="宋体" w:eastAsia="宋体" w:cs="宋体"/>
          <w:b/>
          <w:color w:val="auto"/>
          <w:kern w:val="0"/>
          <w:sz w:val="24"/>
          <w:szCs w:val="24"/>
          <w:highlight w:val="none"/>
        </w:rPr>
        <w:t>.4 技术部分：</w:t>
      </w:r>
      <w:r>
        <w:rPr>
          <w:rFonts w:hint="eastAsia" w:ascii="宋体" w:hAnsi="宋体" w:eastAsia="宋体" w:cs="宋体"/>
          <w:b/>
          <w:color w:val="auto"/>
          <w:kern w:val="0"/>
          <w:sz w:val="24"/>
          <w:szCs w:val="24"/>
          <w:highlight w:val="none"/>
        </w:rPr>
        <w:tab/>
      </w:r>
    </w:p>
    <w:p w14:paraId="400D6141">
      <w:pPr>
        <w:autoSpaceDE w:val="0"/>
        <w:autoSpaceDN w:val="0"/>
        <w:adjustRightInd w:val="0"/>
        <w:spacing w:line="44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技术条款偏离表</w:t>
      </w:r>
    </w:p>
    <w:p w14:paraId="26B1B178">
      <w:pPr>
        <w:autoSpaceDE w:val="0"/>
        <w:autoSpaceDN w:val="0"/>
        <w:adjustRightInd w:val="0"/>
        <w:spacing w:line="44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项目实施方案</w:t>
      </w:r>
    </w:p>
    <w:p w14:paraId="1AD15B5C">
      <w:pPr>
        <w:autoSpaceDE w:val="0"/>
        <w:autoSpaceDN w:val="0"/>
        <w:adjustRightIn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供应商认为有必要的其他技术资料</w:t>
      </w:r>
    </w:p>
    <w:p w14:paraId="75F4D0CB">
      <w:pPr>
        <w:shd w:val="clear" w:color="auto"/>
        <w:spacing w:line="440" w:lineRule="exac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20</w:t>
      </w:r>
      <w:r>
        <w:rPr>
          <w:rFonts w:hint="eastAsia" w:ascii="宋体" w:hAnsi="宋体" w:eastAsia="宋体" w:cs="宋体"/>
          <w:bCs/>
          <w:color w:val="auto"/>
          <w:kern w:val="0"/>
          <w:sz w:val="24"/>
          <w:szCs w:val="24"/>
          <w:highlight w:val="none"/>
        </w:rPr>
        <w:t>.5其他资料</w:t>
      </w:r>
    </w:p>
    <w:p w14:paraId="70961809">
      <w:pPr>
        <w:spacing w:line="440" w:lineRule="exact"/>
        <w:ind w:firstLine="482" w:firstLineChars="200"/>
        <w:rPr>
          <w:rFonts w:ascii="宋体" w:hAnsi="宋体" w:eastAsia="宋体" w:cs="宋体"/>
          <w:b/>
          <w:bCs/>
          <w:color w:val="auto"/>
          <w:sz w:val="24"/>
          <w:szCs w:val="24"/>
          <w:highlight w:val="none"/>
          <w:lang w:val="zh-CN"/>
        </w:rPr>
      </w:pPr>
      <w:bookmarkStart w:id="92" w:name="_Toc3695"/>
      <w:bookmarkStart w:id="93" w:name="_Toc37090645"/>
      <w:bookmarkStart w:id="94" w:name="_Toc37090981"/>
      <w:r>
        <w:rPr>
          <w:rFonts w:hint="eastAsia" w:ascii="宋体" w:hAnsi="宋体" w:eastAsia="宋体" w:cs="宋体"/>
          <w:b/>
          <w:bCs/>
          <w:color w:val="auto"/>
          <w:sz w:val="24"/>
          <w:szCs w:val="24"/>
          <w:highlight w:val="none"/>
          <w:lang w:val="en-US" w:eastAsia="zh-CN"/>
        </w:rPr>
        <w:t>21</w:t>
      </w:r>
      <w:r>
        <w:rPr>
          <w:rFonts w:hint="eastAsia" w:ascii="宋体" w:hAnsi="宋体" w:eastAsia="宋体" w:cs="宋体"/>
          <w:b/>
          <w:bCs/>
          <w:color w:val="auto"/>
          <w:sz w:val="24"/>
          <w:szCs w:val="24"/>
          <w:highlight w:val="none"/>
          <w:lang w:val="zh-CN"/>
        </w:rPr>
        <w:t>. 响应文件的编制及格式</w:t>
      </w:r>
      <w:bookmarkEnd w:id="92"/>
      <w:bookmarkEnd w:id="93"/>
      <w:bookmarkEnd w:id="94"/>
    </w:p>
    <w:p w14:paraId="39C97ECF">
      <w:pPr>
        <w:shd w:val="clear" w:color="auto"/>
        <w:spacing w:line="440" w:lineRule="exact"/>
        <w:ind w:firstLine="480" w:firstLineChars="200"/>
        <w:rPr>
          <w:rFonts w:ascii="宋体" w:hAnsi="宋体" w:eastAsia="宋体" w:cs="宋体"/>
          <w:b/>
          <w:color w:val="auto"/>
          <w:sz w:val="24"/>
          <w:szCs w:val="24"/>
          <w:highlight w:val="none"/>
        </w:rPr>
      </w:pPr>
      <w:r>
        <w:rPr>
          <w:rFonts w:hint="eastAsia" w:ascii="宋体" w:hAnsi="宋体" w:cs="宋体"/>
          <w:color w:val="auto"/>
          <w:kern w:val="0"/>
          <w:sz w:val="24"/>
          <w:highlight w:val="none"/>
        </w:rPr>
        <w:t>★</w:t>
      </w:r>
      <w:r>
        <w:rPr>
          <w:rFonts w:hint="eastAsia" w:ascii="宋体" w:hAnsi="宋体" w:eastAsia="宋体" w:cs="宋体"/>
          <w:b/>
          <w:color w:val="auto"/>
          <w:sz w:val="24"/>
          <w:szCs w:val="24"/>
          <w:highlight w:val="none"/>
          <w:lang w:val="en-US" w:eastAsia="zh-CN"/>
        </w:rPr>
        <w:t>21</w:t>
      </w:r>
      <w:r>
        <w:rPr>
          <w:rFonts w:hint="eastAsia" w:ascii="宋体" w:hAnsi="宋体" w:eastAsia="宋体" w:cs="宋体"/>
          <w:b/>
          <w:color w:val="auto"/>
          <w:sz w:val="24"/>
          <w:szCs w:val="24"/>
          <w:highlight w:val="none"/>
        </w:rPr>
        <w:t>.1 供应商提供的响应文件应按照本须知第21条规定的内容编制，其中，第2</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.1项、第2</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.2（1）—（</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）、第2</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.3（1）—（4）、第2</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.4（1）</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为必备项，供应商在响应文件中必须提供有关材料，如果缺项，或不符合要求，将导致响应文件无效。</w:t>
      </w:r>
    </w:p>
    <w:p w14:paraId="70DC250A">
      <w:pPr>
        <w:shd w:val="clear" w:color="auto"/>
        <w:spacing w:line="440" w:lineRule="exact"/>
        <w:ind w:firstLine="480" w:firstLineChars="200"/>
        <w:textAlignment w:val="baseline"/>
        <w:rPr>
          <w:rStyle w:val="66"/>
          <w:rFonts w:ascii="宋体" w:hAnsi="宋体" w:eastAsia="宋体"/>
          <w:color w:val="auto"/>
          <w:kern w:val="0"/>
          <w:sz w:val="24"/>
          <w:szCs w:val="24"/>
          <w:highlight w:val="none"/>
        </w:rPr>
      </w:pPr>
      <w:r>
        <w:rPr>
          <w:rStyle w:val="66"/>
          <w:rFonts w:hint="eastAsia" w:ascii="宋体" w:hAnsi="宋体" w:eastAsia="宋体"/>
          <w:color w:val="auto"/>
          <w:sz w:val="24"/>
          <w:szCs w:val="24"/>
          <w:highlight w:val="none"/>
          <w:lang w:val="en-US"/>
        </w:rPr>
        <w:t>21</w:t>
      </w:r>
      <w:r>
        <w:rPr>
          <w:rStyle w:val="66"/>
          <w:rFonts w:ascii="宋体" w:hAnsi="宋体" w:eastAsia="宋体"/>
          <w:color w:val="auto"/>
          <w:sz w:val="24"/>
          <w:szCs w:val="24"/>
          <w:highlight w:val="none"/>
        </w:rPr>
        <w:t>.2</w:t>
      </w:r>
      <w:r>
        <w:rPr>
          <w:rStyle w:val="66"/>
          <w:rFonts w:hint="eastAsia" w:ascii="宋体" w:hAnsi="宋体"/>
          <w:color w:val="auto"/>
          <w:sz w:val="24"/>
          <w:szCs w:val="24"/>
          <w:highlight w:val="none"/>
        </w:rPr>
        <w:t xml:space="preserve"> </w:t>
      </w:r>
      <w:r>
        <w:rPr>
          <w:rStyle w:val="66"/>
          <w:rFonts w:ascii="宋体" w:hAnsi="宋体" w:eastAsia="宋体"/>
          <w:color w:val="auto"/>
          <w:sz w:val="24"/>
          <w:szCs w:val="24"/>
          <w:highlight w:val="none"/>
        </w:rPr>
        <w:t>供应商提供的响应文件应当使用</w:t>
      </w:r>
      <w:r>
        <w:rPr>
          <w:rStyle w:val="66"/>
          <w:rFonts w:hint="eastAsia" w:ascii="宋体" w:hAnsi="宋体" w:eastAsia="宋体"/>
          <w:color w:val="auto"/>
          <w:sz w:val="24"/>
          <w:szCs w:val="24"/>
          <w:highlight w:val="none"/>
          <w:lang w:val="en-US"/>
        </w:rPr>
        <w:t>竞争性</w:t>
      </w:r>
      <w:r>
        <w:rPr>
          <w:rStyle w:val="66"/>
          <w:rFonts w:hint="eastAsia" w:ascii="宋体" w:hAnsi="宋体" w:eastAsia="宋体"/>
          <w:color w:val="auto"/>
          <w:sz w:val="24"/>
          <w:szCs w:val="24"/>
          <w:highlight w:val="none"/>
        </w:rPr>
        <w:t>磋商文件</w:t>
      </w:r>
      <w:r>
        <w:rPr>
          <w:rStyle w:val="66"/>
          <w:rFonts w:ascii="宋体" w:hAnsi="宋体" w:eastAsia="宋体"/>
          <w:color w:val="auto"/>
          <w:sz w:val="24"/>
          <w:szCs w:val="24"/>
          <w:highlight w:val="none"/>
        </w:rPr>
        <w:t>所提供响应文件格式（表格可按照同样格式扩展），并保证所提供的资料的真实性。未提供格式的，供应商可自行编制。</w:t>
      </w:r>
    </w:p>
    <w:p w14:paraId="18E776CC">
      <w:pPr>
        <w:shd w:val="clear" w:color="auto"/>
        <w:spacing w:line="440" w:lineRule="exact"/>
        <w:ind w:firstLine="482" w:firstLineChars="200"/>
        <w:textAlignment w:val="baseline"/>
        <w:rPr>
          <w:rStyle w:val="66"/>
          <w:rFonts w:ascii="宋体" w:hAnsi="宋体" w:eastAsia="宋体"/>
          <w:color w:val="auto"/>
          <w:kern w:val="0"/>
          <w:sz w:val="24"/>
          <w:szCs w:val="24"/>
          <w:highlight w:val="none"/>
        </w:rPr>
      </w:pPr>
      <w:r>
        <w:rPr>
          <w:rStyle w:val="66"/>
          <w:rFonts w:hint="eastAsia" w:ascii="宋体" w:hAnsi="宋体" w:eastAsia="宋体"/>
          <w:b/>
          <w:bCs/>
          <w:color w:val="auto"/>
          <w:kern w:val="0"/>
          <w:sz w:val="24"/>
          <w:szCs w:val="24"/>
          <w:highlight w:val="none"/>
        </w:rPr>
        <w:t>★</w:t>
      </w:r>
      <w:r>
        <w:rPr>
          <w:rStyle w:val="66"/>
          <w:rFonts w:hint="eastAsia" w:ascii="宋体" w:hAnsi="宋体" w:eastAsia="宋体"/>
          <w:b/>
          <w:bCs/>
          <w:color w:val="auto"/>
          <w:kern w:val="0"/>
          <w:sz w:val="24"/>
          <w:szCs w:val="24"/>
          <w:highlight w:val="none"/>
          <w:lang w:val="en-US"/>
        </w:rPr>
        <w:t>21</w:t>
      </w:r>
      <w:r>
        <w:rPr>
          <w:rStyle w:val="66"/>
          <w:rFonts w:hint="eastAsia" w:ascii="宋体" w:hAnsi="宋体" w:eastAsia="宋体"/>
          <w:b/>
          <w:bCs/>
          <w:color w:val="auto"/>
          <w:kern w:val="0"/>
          <w:sz w:val="24"/>
          <w:szCs w:val="24"/>
          <w:highlight w:val="none"/>
        </w:rPr>
        <w:t>.2.1 供应商在投标中违反国家有关法律法规的强制性规定的，其投标按未满足磋商文件实质性要求处理。</w:t>
      </w:r>
    </w:p>
    <w:p w14:paraId="18630F8F">
      <w:pPr>
        <w:shd w:val="clear" w:color="auto"/>
        <w:spacing w:line="440" w:lineRule="exact"/>
        <w:ind w:firstLine="480" w:firstLineChars="200"/>
        <w:textAlignment w:val="baseline"/>
        <w:rPr>
          <w:rStyle w:val="66"/>
          <w:rFonts w:ascii="宋体" w:hAnsi="宋体" w:eastAsia="宋体"/>
          <w:color w:val="auto"/>
          <w:kern w:val="0"/>
          <w:sz w:val="24"/>
          <w:szCs w:val="24"/>
          <w:highlight w:val="none"/>
        </w:rPr>
      </w:pPr>
      <w:r>
        <w:rPr>
          <w:rStyle w:val="66"/>
          <w:rFonts w:hint="eastAsia" w:ascii="宋体" w:hAnsi="宋体" w:eastAsia="宋体"/>
          <w:color w:val="auto"/>
          <w:kern w:val="0"/>
          <w:sz w:val="24"/>
          <w:szCs w:val="24"/>
          <w:highlight w:val="none"/>
          <w:lang w:val="en-US"/>
        </w:rPr>
        <w:t>21</w:t>
      </w:r>
      <w:r>
        <w:rPr>
          <w:rStyle w:val="66"/>
          <w:rFonts w:ascii="宋体" w:hAnsi="宋体" w:eastAsia="宋体"/>
          <w:color w:val="auto"/>
          <w:kern w:val="0"/>
          <w:sz w:val="24"/>
          <w:szCs w:val="24"/>
          <w:highlight w:val="none"/>
        </w:rPr>
        <w:t>.3</w:t>
      </w:r>
      <w:r>
        <w:rPr>
          <w:rStyle w:val="66"/>
          <w:rFonts w:hint="eastAsia" w:ascii="宋体" w:hAnsi="宋体"/>
          <w:color w:val="auto"/>
          <w:kern w:val="0"/>
          <w:sz w:val="24"/>
          <w:szCs w:val="24"/>
          <w:highlight w:val="none"/>
        </w:rPr>
        <w:t xml:space="preserve"> </w:t>
      </w:r>
      <w:r>
        <w:rPr>
          <w:rStyle w:val="66"/>
          <w:rFonts w:ascii="宋体" w:hAnsi="宋体" w:eastAsia="宋体"/>
          <w:color w:val="auto"/>
          <w:sz w:val="24"/>
          <w:szCs w:val="24"/>
          <w:highlight w:val="none"/>
        </w:rPr>
        <w:t>本</w:t>
      </w:r>
      <w:r>
        <w:rPr>
          <w:rStyle w:val="66"/>
          <w:rFonts w:hint="eastAsia" w:ascii="宋体" w:hAnsi="宋体" w:eastAsia="宋体"/>
          <w:color w:val="auto"/>
          <w:sz w:val="24"/>
          <w:szCs w:val="24"/>
          <w:highlight w:val="none"/>
          <w:lang w:val="en-US"/>
        </w:rPr>
        <w:t>竞争性</w:t>
      </w:r>
      <w:r>
        <w:rPr>
          <w:rStyle w:val="66"/>
          <w:rFonts w:hint="eastAsia" w:ascii="宋体" w:hAnsi="宋体" w:eastAsia="宋体"/>
          <w:color w:val="auto"/>
          <w:sz w:val="24"/>
          <w:szCs w:val="24"/>
          <w:highlight w:val="none"/>
        </w:rPr>
        <w:t>磋商文件</w:t>
      </w:r>
      <w:r>
        <w:rPr>
          <w:rStyle w:val="66"/>
          <w:rFonts w:ascii="宋体" w:hAnsi="宋体" w:eastAsia="宋体"/>
          <w:color w:val="auto"/>
          <w:sz w:val="24"/>
          <w:szCs w:val="24"/>
          <w:highlight w:val="none"/>
        </w:rPr>
        <w:t>规定的响应文件编制中所需提交的证明材料须加盖供应商公章，且内容须</w:t>
      </w:r>
      <w:r>
        <w:rPr>
          <w:rStyle w:val="66"/>
          <w:rFonts w:hint="eastAsia" w:ascii="宋体" w:hAnsi="宋体" w:eastAsia="宋体"/>
          <w:color w:val="auto"/>
          <w:sz w:val="24"/>
          <w:szCs w:val="24"/>
          <w:highlight w:val="none"/>
        </w:rPr>
        <w:t>清晰可辨</w:t>
      </w:r>
      <w:r>
        <w:rPr>
          <w:rStyle w:val="66"/>
          <w:rFonts w:ascii="宋体" w:hAnsi="宋体" w:eastAsia="宋体"/>
          <w:b/>
          <w:color w:val="auto"/>
          <w:sz w:val="24"/>
          <w:szCs w:val="24"/>
          <w:highlight w:val="none"/>
        </w:rPr>
        <w:t>。</w:t>
      </w:r>
    </w:p>
    <w:p w14:paraId="703189F3">
      <w:pPr>
        <w:shd w:val="clear" w:color="auto"/>
        <w:spacing w:line="440" w:lineRule="exact"/>
        <w:ind w:firstLine="480" w:firstLineChars="200"/>
        <w:textAlignment w:val="baseline"/>
        <w:rPr>
          <w:rStyle w:val="66"/>
          <w:rFonts w:ascii="宋体" w:hAnsi="宋体" w:eastAsia="宋体"/>
          <w:color w:val="auto"/>
          <w:sz w:val="24"/>
          <w:szCs w:val="24"/>
          <w:highlight w:val="none"/>
        </w:rPr>
      </w:pPr>
      <w:r>
        <w:rPr>
          <w:rStyle w:val="66"/>
          <w:rFonts w:hint="eastAsia" w:ascii="宋体" w:hAnsi="宋体" w:eastAsia="宋体"/>
          <w:color w:val="auto"/>
          <w:kern w:val="0"/>
          <w:sz w:val="24"/>
          <w:szCs w:val="24"/>
          <w:highlight w:val="none"/>
          <w:lang w:val="en-US"/>
        </w:rPr>
        <w:t>21</w:t>
      </w:r>
      <w:r>
        <w:rPr>
          <w:rStyle w:val="66"/>
          <w:rFonts w:ascii="宋体" w:hAnsi="宋体" w:eastAsia="宋体"/>
          <w:color w:val="auto"/>
          <w:kern w:val="0"/>
          <w:sz w:val="24"/>
          <w:szCs w:val="24"/>
          <w:highlight w:val="none"/>
        </w:rPr>
        <w:t>.4 响应文件严禁涂改或行间插字和增删。除非这些修改是根据采购人的指示进行的，或者是供应商造成的必须修改的错误，</w:t>
      </w:r>
      <w:r>
        <w:rPr>
          <w:rStyle w:val="66"/>
          <w:rFonts w:ascii="宋体" w:hAnsi="宋体" w:eastAsia="宋体"/>
          <w:color w:val="auto"/>
          <w:sz w:val="24"/>
          <w:szCs w:val="24"/>
          <w:highlight w:val="none"/>
        </w:rPr>
        <w:t>必要的修改处必须有供应商</w:t>
      </w:r>
      <w:r>
        <w:rPr>
          <w:rStyle w:val="66"/>
          <w:rFonts w:hint="eastAsia" w:ascii="宋体" w:hAnsi="宋体" w:eastAsia="宋体"/>
          <w:color w:val="auto"/>
          <w:sz w:val="24"/>
          <w:szCs w:val="24"/>
          <w:highlight w:val="none"/>
        </w:rPr>
        <w:t>法定代表人</w:t>
      </w:r>
      <w:r>
        <w:rPr>
          <w:rStyle w:val="66"/>
          <w:rFonts w:ascii="宋体" w:hAnsi="宋体" w:eastAsia="宋体"/>
          <w:color w:val="auto"/>
          <w:sz w:val="24"/>
          <w:szCs w:val="24"/>
          <w:highlight w:val="none"/>
        </w:rPr>
        <w:t>或其授权代表人签字。</w:t>
      </w:r>
    </w:p>
    <w:p w14:paraId="434F5D49">
      <w:pPr>
        <w:shd w:val="clear" w:color="auto"/>
        <w:spacing w:line="440" w:lineRule="exact"/>
        <w:ind w:firstLine="480" w:firstLineChars="200"/>
        <w:rPr>
          <w:color w:val="auto"/>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21</w:t>
      </w:r>
      <w:r>
        <w:rPr>
          <w:rFonts w:ascii="宋体" w:hAnsi="宋体"/>
          <w:color w:val="auto"/>
          <w:kern w:val="0"/>
          <w:sz w:val="24"/>
          <w:highlight w:val="none"/>
        </w:rPr>
        <w:t>.</w:t>
      </w:r>
      <w:r>
        <w:rPr>
          <w:rFonts w:hint="eastAsia" w:ascii="宋体" w:hAnsi="宋体"/>
          <w:color w:val="auto"/>
          <w:kern w:val="0"/>
          <w:sz w:val="24"/>
          <w:highlight w:val="none"/>
        </w:rPr>
        <w:t>5 响应</w:t>
      </w:r>
      <w:r>
        <w:rPr>
          <w:rFonts w:ascii="宋体" w:hAnsi="宋体"/>
          <w:color w:val="auto"/>
          <w:kern w:val="0"/>
          <w:sz w:val="24"/>
          <w:highlight w:val="none"/>
        </w:rPr>
        <w:t>文件要求提供的所有证书、合同等招标要求的证明资料，均使用复印件，特别说明为原件的除外。</w:t>
      </w:r>
      <w:r>
        <w:rPr>
          <w:rFonts w:ascii="宋体" w:hAnsi="宋体"/>
          <w:color w:val="auto"/>
          <w:sz w:val="24"/>
          <w:highlight w:val="none"/>
        </w:rPr>
        <w:t>本</w:t>
      </w:r>
      <w:r>
        <w:rPr>
          <w:rFonts w:hint="eastAsia" w:ascii="宋体" w:hAnsi="宋体"/>
          <w:color w:val="auto"/>
          <w:sz w:val="24"/>
          <w:highlight w:val="none"/>
          <w:lang w:val="en-US" w:eastAsia="zh-CN"/>
        </w:rPr>
        <w:t>竞争性</w:t>
      </w:r>
      <w:r>
        <w:rPr>
          <w:rStyle w:val="66"/>
          <w:rFonts w:hint="eastAsia" w:ascii="宋体" w:hAnsi="宋体" w:eastAsia="宋体"/>
          <w:color w:val="auto"/>
          <w:sz w:val="24"/>
          <w:szCs w:val="24"/>
          <w:highlight w:val="none"/>
        </w:rPr>
        <w:t>磋商文件</w:t>
      </w:r>
      <w:r>
        <w:rPr>
          <w:rFonts w:ascii="宋体" w:hAnsi="宋体"/>
          <w:color w:val="auto"/>
          <w:sz w:val="24"/>
          <w:highlight w:val="none"/>
        </w:rPr>
        <w:t>规定的</w:t>
      </w:r>
      <w:r>
        <w:rPr>
          <w:rFonts w:hint="eastAsia" w:ascii="宋体" w:hAnsi="宋体"/>
          <w:color w:val="auto"/>
          <w:sz w:val="24"/>
          <w:highlight w:val="none"/>
        </w:rPr>
        <w:t>响应</w:t>
      </w:r>
      <w:r>
        <w:rPr>
          <w:rFonts w:ascii="宋体" w:hAnsi="宋体"/>
          <w:color w:val="auto"/>
          <w:sz w:val="24"/>
          <w:highlight w:val="none"/>
        </w:rPr>
        <w:t>文件编制中所需提交的证明材料复印件须加盖供应商公章，且内容须</w:t>
      </w:r>
      <w:r>
        <w:rPr>
          <w:rFonts w:hint="eastAsia" w:ascii="宋体" w:hAnsi="宋体"/>
          <w:color w:val="auto"/>
          <w:sz w:val="24"/>
          <w:highlight w:val="none"/>
          <w:lang w:eastAsia="zh-CN"/>
        </w:rPr>
        <w:t>清晰可辨</w:t>
      </w:r>
      <w:r>
        <w:rPr>
          <w:rFonts w:ascii="宋体" w:hAnsi="宋体"/>
          <w:color w:val="auto"/>
          <w:sz w:val="24"/>
          <w:highlight w:val="none"/>
        </w:rPr>
        <w:t>，</w:t>
      </w:r>
      <w:r>
        <w:rPr>
          <w:rFonts w:ascii="宋体" w:hAnsi="宋体"/>
          <w:b/>
          <w:color w:val="auto"/>
          <w:kern w:val="0"/>
          <w:sz w:val="24"/>
          <w:highlight w:val="none"/>
        </w:rPr>
        <w:t>否则视为非实质响应</w:t>
      </w:r>
      <w:r>
        <w:rPr>
          <w:rFonts w:hint="eastAsia" w:ascii="宋体" w:hAnsi="宋体"/>
          <w:b/>
          <w:color w:val="auto"/>
          <w:kern w:val="0"/>
          <w:sz w:val="24"/>
          <w:highlight w:val="none"/>
          <w:lang w:eastAsia="zh-CN"/>
        </w:rPr>
        <w:t>磋商文件</w:t>
      </w:r>
      <w:r>
        <w:rPr>
          <w:rFonts w:ascii="宋体" w:hAnsi="宋体"/>
          <w:b/>
          <w:color w:val="auto"/>
          <w:sz w:val="24"/>
          <w:highlight w:val="none"/>
        </w:rPr>
        <w:t>。</w:t>
      </w:r>
    </w:p>
    <w:p w14:paraId="410D867D">
      <w:pPr>
        <w:shd w:val="clear" w:color="auto"/>
        <w:spacing w:line="440" w:lineRule="exact"/>
        <w:ind w:firstLine="480" w:firstLineChars="200"/>
        <w:rPr>
          <w:rFonts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lang w:val="en-US" w:eastAsia="zh-CN"/>
        </w:rPr>
        <w:t>21</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rPr>
        <w:t>6</w:t>
      </w:r>
      <w:r>
        <w:rPr>
          <w:rFonts w:hint="eastAsia" w:ascii="宋体" w:hAnsi="宋体" w:eastAsia="宋体" w:cs="宋体"/>
          <w:color w:val="auto"/>
          <w:kern w:val="0"/>
          <w:sz w:val="24"/>
          <w:szCs w:val="24"/>
          <w:highlight w:val="none"/>
        </w:rPr>
        <w:t xml:space="preserve"> 供应商应逐条阅读</w:t>
      </w:r>
      <w:r>
        <w:rPr>
          <w:rFonts w:hint="eastAsia" w:ascii="宋体" w:hAnsi="宋体" w:eastAsia="宋体" w:cs="宋体"/>
          <w:color w:val="auto"/>
          <w:kern w:val="0"/>
          <w:sz w:val="24"/>
          <w:szCs w:val="24"/>
          <w:highlight w:val="none"/>
          <w:lang w:val="en-US" w:eastAsia="zh-CN"/>
        </w:rPr>
        <w:t>竞争性</w:t>
      </w:r>
      <w:r>
        <w:rPr>
          <w:rStyle w:val="66"/>
          <w:rFonts w:hint="eastAsia" w:ascii="宋体" w:hAnsi="宋体" w:eastAsia="宋体"/>
          <w:color w:val="auto"/>
          <w:sz w:val="24"/>
          <w:szCs w:val="24"/>
          <w:highlight w:val="none"/>
        </w:rPr>
        <w:t>磋商文件</w:t>
      </w:r>
      <w:r>
        <w:rPr>
          <w:rFonts w:hint="eastAsia" w:ascii="宋体" w:hAnsi="宋体" w:eastAsia="宋体" w:cs="宋体"/>
          <w:color w:val="auto"/>
          <w:kern w:val="0"/>
          <w:sz w:val="24"/>
          <w:szCs w:val="24"/>
          <w:highlight w:val="none"/>
        </w:rPr>
        <w:t>要求的技术要求及商务条款要求，指出自己提供的货物和服务是否对文件做出响应，</w:t>
      </w:r>
      <w:r>
        <w:rPr>
          <w:rFonts w:hint="eastAsia" w:ascii="宋体" w:hAnsi="宋体" w:eastAsia="宋体" w:cs="宋体"/>
          <w:b/>
          <w:bCs/>
          <w:color w:val="auto"/>
          <w:kern w:val="0"/>
          <w:sz w:val="24"/>
          <w:szCs w:val="24"/>
          <w:highlight w:val="none"/>
        </w:rPr>
        <w:t>并将不能响应之处在</w:t>
      </w:r>
      <w:r>
        <w:rPr>
          <w:rStyle w:val="66"/>
          <w:rFonts w:hint="eastAsia" w:ascii="宋体" w:hAnsi="宋体" w:eastAsia="宋体"/>
          <w:b/>
          <w:bCs/>
          <w:color w:val="auto"/>
          <w:sz w:val="24"/>
          <w:szCs w:val="24"/>
          <w:highlight w:val="none"/>
        </w:rPr>
        <w:t>磋商文件</w:t>
      </w:r>
      <w:r>
        <w:rPr>
          <w:rFonts w:hint="eastAsia" w:ascii="宋体" w:hAnsi="宋体" w:eastAsia="宋体" w:cs="宋体"/>
          <w:b/>
          <w:bCs/>
          <w:color w:val="auto"/>
          <w:kern w:val="0"/>
          <w:sz w:val="24"/>
          <w:szCs w:val="24"/>
          <w:highlight w:val="none"/>
        </w:rPr>
        <w:t>所附的</w:t>
      </w:r>
      <w:r>
        <w:rPr>
          <w:rFonts w:hint="eastAsia" w:ascii="宋体" w:hAnsi="宋体" w:cs="宋体"/>
          <w:b/>
          <w:bCs/>
          <w:color w:val="auto"/>
          <w:kern w:val="0"/>
          <w:sz w:val="24"/>
          <w:szCs w:val="24"/>
          <w:highlight w:val="none"/>
        </w:rPr>
        <w:t>“商务合同条款偏离表”</w:t>
      </w:r>
      <w:r>
        <w:rPr>
          <w:rFonts w:hint="eastAsia" w:ascii="宋体" w:hAnsi="宋体" w:eastAsia="宋体" w:cs="宋体"/>
          <w:b/>
          <w:bCs/>
          <w:color w:val="auto"/>
          <w:kern w:val="0"/>
          <w:sz w:val="24"/>
          <w:szCs w:val="24"/>
          <w:highlight w:val="none"/>
        </w:rPr>
        <w:t>中一一列出。</w:t>
      </w:r>
    </w:p>
    <w:p w14:paraId="1A2CDF40">
      <w:pPr>
        <w:shd w:val="clear" w:color="auto"/>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21</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rPr>
        <w:t>7</w:t>
      </w:r>
      <w:r>
        <w:rPr>
          <w:rFonts w:hint="eastAsia" w:ascii="宋体" w:hAnsi="宋体" w:eastAsia="宋体" w:cs="宋体"/>
          <w:color w:val="auto"/>
          <w:kern w:val="0"/>
          <w:sz w:val="24"/>
          <w:szCs w:val="24"/>
          <w:highlight w:val="none"/>
        </w:rPr>
        <w:t xml:space="preserve"> </w:t>
      </w:r>
      <w:r>
        <w:rPr>
          <w:rFonts w:hint="eastAsia" w:ascii="宋体" w:hAnsi="宋体" w:cs="宋体"/>
          <w:color w:val="auto"/>
          <w:kern w:val="0"/>
          <w:sz w:val="24"/>
          <w:szCs w:val="24"/>
          <w:highlight w:val="none"/>
        </w:rPr>
        <w:t>响应</w:t>
      </w:r>
      <w:r>
        <w:rPr>
          <w:rFonts w:hint="eastAsia" w:ascii="宋体" w:hAnsi="宋体" w:eastAsia="宋体" w:cs="宋体"/>
          <w:color w:val="auto"/>
          <w:kern w:val="0"/>
          <w:sz w:val="24"/>
          <w:szCs w:val="24"/>
          <w:highlight w:val="none"/>
        </w:rPr>
        <w:t>文件严禁涂改或行间插字和增删。除非这些修改是根据采购人的指示进行的，或者是供应商造成的必须修改的错误，</w:t>
      </w:r>
      <w:r>
        <w:rPr>
          <w:rFonts w:hint="eastAsia" w:ascii="宋体" w:hAnsi="宋体" w:eastAsia="宋体" w:cs="宋体"/>
          <w:color w:val="auto"/>
          <w:sz w:val="24"/>
          <w:szCs w:val="24"/>
          <w:highlight w:val="none"/>
        </w:rPr>
        <w:t>必要的修改处必须有供应商</w:t>
      </w: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或其授权代表人签字。</w:t>
      </w:r>
    </w:p>
    <w:p w14:paraId="3FE11ADB">
      <w:pPr>
        <w:shd w:val="clear" w:color="auto"/>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rPr>
        <w:t>8</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rPr>
        <w:t>响应</w:t>
      </w:r>
      <w:r>
        <w:rPr>
          <w:rFonts w:hint="eastAsia" w:ascii="宋体" w:hAnsi="宋体" w:eastAsia="宋体" w:cs="宋体"/>
          <w:color w:val="auto"/>
          <w:sz w:val="24"/>
          <w:szCs w:val="24"/>
          <w:highlight w:val="none"/>
        </w:rPr>
        <w:t>文件中分标项的，</w:t>
      </w:r>
      <w:r>
        <w:rPr>
          <w:rFonts w:hint="eastAsia" w:ascii="宋体" w:hAnsi="宋体" w:eastAsia="宋体" w:cs="宋体"/>
          <w:color w:val="auto"/>
          <w:sz w:val="24"/>
          <w:szCs w:val="24"/>
          <w:highlight w:val="none"/>
          <w:lang w:val="zh-CN"/>
        </w:rPr>
        <w:t>供应商须针对本单位所投标</w:t>
      </w:r>
      <w:r>
        <w:rPr>
          <w:rFonts w:hint="eastAsia" w:ascii="宋体" w:hAnsi="宋体" w:eastAsia="宋体" w:cs="宋体"/>
          <w:color w:val="auto"/>
          <w:sz w:val="24"/>
          <w:szCs w:val="24"/>
          <w:highlight w:val="none"/>
        </w:rPr>
        <w:t>项</w:t>
      </w:r>
      <w:r>
        <w:rPr>
          <w:rFonts w:hint="eastAsia" w:ascii="宋体" w:hAnsi="宋体" w:eastAsia="宋体" w:cs="宋体"/>
          <w:color w:val="auto"/>
          <w:sz w:val="24"/>
          <w:szCs w:val="24"/>
          <w:highlight w:val="none"/>
          <w:lang w:val="zh-CN"/>
        </w:rPr>
        <w:t>分别编制</w:t>
      </w:r>
      <w:r>
        <w:rPr>
          <w:rFonts w:hint="eastAsia" w:ascii="宋体" w:hAnsi="宋体" w:cs="宋体"/>
          <w:color w:val="auto"/>
          <w:sz w:val="24"/>
          <w:szCs w:val="24"/>
          <w:highlight w:val="none"/>
        </w:rPr>
        <w:t>响应</w:t>
      </w:r>
      <w:r>
        <w:rPr>
          <w:rFonts w:hint="eastAsia" w:ascii="宋体" w:hAnsi="宋体" w:eastAsia="宋体" w:cs="宋体"/>
          <w:color w:val="auto"/>
          <w:sz w:val="24"/>
          <w:szCs w:val="24"/>
          <w:highlight w:val="none"/>
          <w:lang w:val="zh-CN"/>
        </w:rPr>
        <w:t>文件并单独提交。</w:t>
      </w:r>
      <w:r>
        <w:rPr>
          <w:rFonts w:hint="eastAsia" w:ascii="宋体" w:hAnsi="宋体" w:eastAsia="宋体" w:cs="宋体"/>
          <w:color w:val="auto"/>
          <w:sz w:val="24"/>
          <w:szCs w:val="24"/>
          <w:highlight w:val="none"/>
        </w:rPr>
        <w:t>供应商应当按照</w:t>
      </w:r>
      <w:r>
        <w:rPr>
          <w:rFonts w:hint="eastAsia" w:ascii="宋体" w:hAnsi="宋体" w:eastAsia="宋体" w:cs="宋体"/>
          <w:color w:val="auto"/>
          <w:sz w:val="24"/>
          <w:szCs w:val="24"/>
          <w:highlight w:val="none"/>
          <w:lang w:val="en-US" w:eastAsia="zh-CN"/>
        </w:rPr>
        <w:t>竞争性</w:t>
      </w:r>
      <w:r>
        <w:rPr>
          <w:rStyle w:val="66"/>
          <w:rFonts w:hint="eastAsia" w:ascii="宋体" w:hAnsi="宋体" w:eastAsia="宋体"/>
          <w:color w:val="auto"/>
          <w:sz w:val="24"/>
          <w:szCs w:val="24"/>
          <w:highlight w:val="none"/>
        </w:rPr>
        <w:t>磋商文件</w:t>
      </w:r>
      <w:r>
        <w:rPr>
          <w:rFonts w:hint="eastAsia" w:ascii="宋体" w:hAnsi="宋体" w:eastAsia="宋体" w:cs="宋体"/>
          <w:color w:val="auto"/>
          <w:sz w:val="24"/>
          <w:szCs w:val="24"/>
          <w:highlight w:val="none"/>
        </w:rPr>
        <w:t>的要求编制</w:t>
      </w:r>
      <w:r>
        <w:rPr>
          <w:rFonts w:hint="eastAsia" w:ascii="宋体" w:hAnsi="宋体" w:cs="宋体"/>
          <w:color w:val="auto"/>
          <w:sz w:val="24"/>
          <w:szCs w:val="24"/>
          <w:highlight w:val="none"/>
        </w:rPr>
        <w:t>响应</w:t>
      </w:r>
      <w:r>
        <w:rPr>
          <w:rFonts w:hint="eastAsia" w:ascii="宋体" w:hAnsi="宋体" w:eastAsia="宋体" w:cs="宋体"/>
          <w:color w:val="auto"/>
          <w:sz w:val="24"/>
          <w:szCs w:val="24"/>
          <w:highlight w:val="none"/>
        </w:rPr>
        <w:t>文件。</w:t>
      </w:r>
      <w:r>
        <w:rPr>
          <w:rFonts w:hint="eastAsia" w:ascii="宋体" w:hAnsi="宋体" w:cs="宋体"/>
          <w:color w:val="auto"/>
          <w:sz w:val="24"/>
          <w:szCs w:val="24"/>
          <w:highlight w:val="none"/>
        </w:rPr>
        <w:t>响应</w:t>
      </w:r>
      <w:r>
        <w:rPr>
          <w:rFonts w:hint="eastAsia" w:ascii="宋体" w:hAnsi="宋体" w:eastAsia="宋体" w:cs="宋体"/>
          <w:color w:val="auto"/>
          <w:sz w:val="24"/>
          <w:szCs w:val="24"/>
          <w:highlight w:val="none"/>
        </w:rPr>
        <w:t>文件应当对</w:t>
      </w:r>
      <w:r>
        <w:rPr>
          <w:rFonts w:hint="eastAsia" w:ascii="宋体" w:hAnsi="宋体" w:eastAsia="宋体" w:cs="宋体"/>
          <w:color w:val="auto"/>
          <w:sz w:val="24"/>
          <w:szCs w:val="24"/>
          <w:highlight w:val="none"/>
          <w:lang w:val="en-US" w:eastAsia="zh-CN"/>
        </w:rPr>
        <w:t>竞争性</w:t>
      </w:r>
      <w:r>
        <w:rPr>
          <w:rStyle w:val="66"/>
          <w:rFonts w:hint="eastAsia" w:ascii="宋体" w:hAnsi="宋体" w:eastAsia="宋体"/>
          <w:color w:val="auto"/>
          <w:sz w:val="24"/>
          <w:szCs w:val="24"/>
          <w:highlight w:val="none"/>
        </w:rPr>
        <w:t>磋商文件</w:t>
      </w:r>
      <w:r>
        <w:rPr>
          <w:rFonts w:hint="eastAsia" w:ascii="宋体" w:hAnsi="宋体" w:eastAsia="宋体" w:cs="宋体"/>
          <w:color w:val="auto"/>
          <w:sz w:val="24"/>
          <w:szCs w:val="24"/>
          <w:highlight w:val="none"/>
        </w:rPr>
        <w:t>提出的要求和条件作出明确响应。</w:t>
      </w:r>
    </w:p>
    <w:p w14:paraId="71AA84F1">
      <w:pPr>
        <w:pStyle w:val="43"/>
        <w:spacing w:beforeLines="50" w:line="440" w:lineRule="exact"/>
        <w:ind w:firstLine="482" w:firstLineChars="200"/>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（四） 响应文件的递交</w:t>
      </w:r>
    </w:p>
    <w:p w14:paraId="4E0B7C8B">
      <w:pPr>
        <w:spacing w:line="440" w:lineRule="exact"/>
        <w:ind w:firstLine="482" w:firstLineChars="200"/>
        <w:rPr>
          <w:rFonts w:hint="eastAsia" w:ascii="宋体" w:hAnsi="宋体" w:eastAsia="宋体" w:cs="宋体"/>
          <w:b/>
          <w:bCs/>
          <w:color w:val="auto"/>
          <w:sz w:val="24"/>
          <w:szCs w:val="24"/>
          <w:highlight w:val="none"/>
          <w:lang w:val="zh-CN" w:eastAsia="zh-CN"/>
        </w:rPr>
      </w:pPr>
      <w:bookmarkStart w:id="95" w:name="_Toc37090646"/>
      <w:bookmarkStart w:id="96" w:name="_Toc37090982"/>
      <w:bookmarkStart w:id="97" w:name="_Toc1377"/>
      <w:r>
        <w:rPr>
          <w:rFonts w:hint="eastAsia" w:ascii="宋体" w:hAnsi="宋体" w:eastAsia="宋体" w:cs="宋体"/>
          <w:b/>
          <w:bCs/>
          <w:color w:val="auto"/>
          <w:sz w:val="24"/>
          <w:szCs w:val="24"/>
          <w:highlight w:val="none"/>
          <w:lang w:val="en-US" w:eastAsia="zh-CN"/>
        </w:rPr>
        <w:t>22</w:t>
      </w:r>
      <w:r>
        <w:rPr>
          <w:rFonts w:hint="eastAsia" w:ascii="宋体" w:hAnsi="宋体" w:eastAsia="宋体" w:cs="宋体"/>
          <w:b/>
          <w:bCs/>
          <w:color w:val="auto"/>
          <w:sz w:val="24"/>
          <w:szCs w:val="24"/>
          <w:highlight w:val="none"/>
          <w:lang w:val="zh-CN"/>
        </w:rPr>
        <w:t>. 响应文件的</w:t>
      </w:r>
      <w:bookmarkEnd w:id="95"/>
      <w:bookmarkEnd w:id="96"/>
      <w:bookmarkEnd w:id="97"/>
      <w:r>
        <w:rPr>
          <w:rFonts w:hint="eastAsia" w:ascii="宋体" w:hAnsi="宋体" w:eastAsia="宋体" w:cs="宋体"/>
          <w:b/>
          <w:bCs/>
          <w:color w:val="auto"/>
          <w:sz w:val="24"/>
          <w:szCs w:val="24"/>
          <w:highlight w:val="none"/>
          <w:lang w:val="en-US" w:eastAsia="zh-CN"/>
        </w:rPr>
        <w:t>提交</w:t>
      </w:r>
    </w:p>
    <w:p w14:paraId="15731087">
      <w:pPr>
        <w:pStyle w:val="43"/>
        <w:spacing w:line="440" w:lineRule="exact"/>
        <w:ind w:firstLine="480" w:firstLineChars="200"/>
        <w:rPr>
          <w:rFonts w:ascii="宋体" w:hAnsi="宋体" w:cs="宋体"/>
          <w:bCs/>
          <w:color w:val="auto"/>
          <w:kern w:val="0"/>
          <w:sz w:val="24"/>
          <w:szCs w:val="24"/>
          <w:highlight w:val="none"/>
        </w:rPr>
      </w:pPr>
      <w:r>
        <w:rPr>
          <w:rFonts w:hint="eastAsia" w:ascii="宋体" w:hAnsi="宋体" w:cs="宋体"/>
          <w:color w:val="auto"/>
          <w:kern w:val="0"/>
          <w:sz w:val="24"/>
          <w:highlight w:val="none"/>
        </w:rPr>
        <w:t>★</w:t>
      </w:r>
      <w:r>
        <w:rPr>
          <w:rFonts w:hint="eastAsia" w:ascii="宋体" w:hAnsi="宋体" w:cs="宋体"/>
          <w:b/>
          <w:color w:val="auto"/>
          <w:kern w:val="0"/>
          <w:sz w:val="24"/>
          <w:szCs w:val="24"/>
          <w:highlight w:val="none"/>
          <w:lang w:val="en-US" w:eastAsia="zh-CN"/>
        </w:rPr>
        <w:t>22</w:t>
      </w:r>
      <w:r>
        <w:rPr>
          <w:rFonts w:hint="eastAsia" w:ascii="宋体" w:hAnsi="宋体" w:cs="宋体"/>
          <w:b/>
          <w:color w:val="auto"/>
          <w:kern w:val="0"/>
          <w:sz w:val="24"/>
          <w:szCs w:val="24"/>
          <w:highlight w:val="none"/>
        </w:rPr>
        <w:t>.1供应商在响应文件递交截至时间前登录政采云平台https://www.zcygov.cn/后，将加密电子响应文件（为.jmbs后缀格式）上传到对应项目的的指定位置。</w:t>
      </w:r>
    </w:p>
    <w:p w14:paraId="3D96F310">
      <w:pPr>
        <w:shd w:val="clear" w:color="auto"/>
        <w:spacing w:line="440" w:lineRule="exact"/>
        <w:ind w:firstLine="480" w:firstLineChars="200"/>
        <w:rPr>
          <w:rFonts w:hint="eastAsia" w:ascii="宋体" w:hAnsi="宋体" w:eastAsia="宋体" w:cs="宋体"/>
          <w:bCs/>
          <w:color w:val="auto"/>
          <w:kern w:val="0"/>
          <w:sz w:val="24"/>
          <w:szCs w:val="24"/>
          <w:highlight w:val="none"/>
        </w:rPr>
      </w:pPr>
      <w:bookmarkStart w:id="98" w:name="_Toc37090649"/>
      <w:bookmarkStart w:id="99" w:name="_Toc37090985"/>
      <w:r>
        <w:rPr>
          <w:rFonts w:hint="eastAsia" w:ascii="宋体" w:hAnsi="宋体" w:eastAsia="宋体" w:cs="宋体"/>
          <w:bCs/>
          <w:color w:val="auto"/>
          <w:kern w:val="0"/>
          <w:sz w:val="24"/>
          <w:szCs w:val="24"/>
          <w:highlight w:val="none"/>
          <w:lang w:val="en-US" w:eastAsia="zh-CN"/>
        </w:rPr>
        <w:t>23</w:t>
      </w:r>
      <w:r>
        <w:rPr>
          <w:rFonts w:hint="eastAsia" w:ascii="宋体" w:hAnsi="宋体" w:eastAsia="宋体" w:cs="宋体"/>
          <w:bCs/>
          <w:color w:val="auto"/>
          <w:kern w:val="0"/>
          <w:sz w:val="24"/>
          <w:szCs w:val="24"/>
          <w:highlight w:val="none"/>
        </w:rPr>
        <w:t>. 响应文件提交的截止时间</w:t>
      </w:r>
    </w:p>
    <w:p w14:paraId="5C666AC0">
      <w:pPr>
        <w:shd w:val="clear" w:color="auto"/>
        <w:spacing w:line="44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23</w:t>
      </w:r>
      <w:r>
        <w:rPr>
          <w:rFonts w:hint="eastAsia" w:ascii="宋体" w:hAnsi="宋体" w:eastAsia="宋体" w:cs="宋体"/>
          <w:bCs/>
          <w:color w:val="auto"/>
          <w:kern w:val="0"/>
          <w:sz w:val="24"/>
          <w:szCs w:val="24"/>
          <w:highlight w:val="none"/>
        </w:rPr>
        <w:t>.1 响应文件提交的截止时间详见本供应商须知前附表规定。</w:t>
      </w:r>
    </w:p>
    <w:p w14:paraId="5BB117D1">
      <w:pPr>
        <w:shd w:val="clear" w:color="auto"/>
        <w:spacing w:line="44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23</w:t>
      </w:r>
      <w:r>
        <w:rPr>
          <w:rFonts w:hint="eastAsia" w:ascii="宋体" w:hAnsi="宋体" w:eastAsia="宋体" w:cs="宋体"/>
          <w:bCs/>
          <w:color w:val="auto"/>
          <w:kern w:val="0"/>
          <w:sz w:val="24"/>
          <w:szCs w:val="24"/>
          <w:highlight w:val="none"/>
        </w:rPr>
        <w:t>.2 采购人可按本须知第 14 条规定以修改补充通知的方式，酌情延长提交投标书的截止时间。在上述情况下，采购人与供应商在原响应文件递交截止时间前的全部权力和义务，将适用于延长后新的响应文件递交截止时间。</w:t>
      </w:r>
    </w:p>
    <w:p w14:paraId="016753D7">
      <w:pPr>
        <w:shd w:val="clear" w:color="auto"/>
        <w:spacing w:line="440" w:lineRule="exac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23</w:t>
      </w:r>
      <w:r>
        <w:rPr>
          <w:rFonts w:hint="eastAsia" w:ascii="宋体" w:hAnsi="宋体" w:eastAsia="宋体" w:cs="宋体"/>
          <w:bCs/>
          <w:color w:val="auto"/>
          <w:kern w:val="0"/>
          <w:sz w:val="24"/>
          <w:szCs w:val="24"/>
          <w:highlight w:val="none"/>
        </w:rPr>
        <w:t>.3 截至响应文件递交截止时间，采购人收到的响应文件少于3个的，采购人将依法重新组织采购活动。评审过程中有效供应商少于3个的，应终止评审，由采购人依法重新组织采购活动，政府购买服务项目（含政府和社会资本合作项目），在采购过程中符合要求的供应商（社会资本）只有2家的，竞争性磋商采购活动可以继续进行。</w:t>
      </w:r>
    </w:p>
    <w:p w14:paraId="03AA27FC">
      <w:pPr>
        <w:spacing w:line="440" w:lineRule="exact"/>
        <w:ind w:firstLine="482" w:firstLineChars="200"/>
        <w:rPr>
          <w:rFonts w:hint="eastAsia" w:ascii="宋体" w:hAnsi="宋体" w:eastAsia="宋体" w:cs="宋体"/>
          <w:b/>
          <w:bCs/>
          <w:color w:val="auto"/>
          <w:sz w:val="24"/>
          <w:szCs w:val="24"/>
          <w:highlight w:val="none"/>
        </w:rPr>
      </w:pPr>
      <w:bookmarkStart w:id="100" w:name="_Toc21786"/>
      <w:r>
        <w:rPr>
          <w:rFonts w:hint="eastAsia" w:ascii="宋体" w:hAnsi="宋体" w:eastAsia="宋体" w:cs="宋体"/>
          <w:b/>
          <w:bCs/>
          <w:color w:val="auto"/>
          <w:sz w:val="24"/>
          <w:szCs w:val="24"/>
          <w:highlight w:val="none"/>
          <w:lang w:val="en-US" w:eastAsia="zh-CN"/>
        </w:rPr>
        <w:t>24</w:t>
      </w:r>
      <w:r>
        <w:rPr>
          <w:rFonts w:hint="eastAsia" w:ascii="宋体" w:hAnsi="宋体" w:eastAsia="宋体" w:cs="宋体"/>
          <w:b/>
          <w:bCs/>
          <w:color w:val="auto"/>
          <w:sz w:val="24"/>
          <w:szCs w:val="24"/>
          <w:highlight w:val="none"/>
        </w:rPr>
        <w:t xml:space="preserve">. </w:t>
      </w:r>
      <w:bookmarkEnd w:id="98"/>
      <w:bookmarkEnd w:id="99"/>
      <w:bookmarkEnd w:id="100"/>
      <w:bookmarkStart w:id="101" w:name="_Toc12863"/>
      <w:bookmarkStart w:id="102" w:name="_Toc37090986"/>
      <w:bookmarkStart w:id="103" w:name="_Toc37090650"/>
      <w:r>
        <w:rPr>
          <w:rFonts w:hint="eastAsia" w:ascii="宋体" w:hAnsi="宋体" w:eastAsia="宋体" w:cs="宋体"/>
          <w:b/>
          <w:bCs/>
          <w:color w:val="auto"/>
          <w:sz w:val="24"/>
          <w:szCs w:val="24"/>
          <w:highlight w:val="none"/>
        </w:rPr>
        <w:t>迟交的</w:t>
      </w:r>
      <w:bookmarkEnd w:id="101"/>
      <w:bookmarkEnd w:id="102"/>
      <w:bookmarkEnd w:id="103"/>
      <w:r>
        <w:rPr>
          <w:rFonts w:hint="eastAsia" w:ascii="宋体" w:hAnsi="宋体" w:eastAsia="宋体" w:cs="宋体"/>
          <w:b/>
          <w:bCs/>
          <w:color w:val="auto"/>
          <w:sz w:val="24"/>
          <w:szCs w:val="24"/>
          <w:highlight w:val="none"/>
        </w:rPr>
        <w:t>响应文件</w:t>
      </w:r>
      <w:bookmarkStart w:id="104" w:name="_Toc30465"/>
    </w:p>
    <w:p w14:paraId="508569FF">
      <w:pPr>
        <w:spacing w:line="4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供应商在本供应商须知前附表规定的响应文件递交截止时间以后送达的响应文件，“政采云平台”将拒绝接受，采购人对于逾期未上传到指定位置的响应文件不予受理。</w:t>
      </w:r>
    </w:p>
    <w:p w14:paraId="16FE0ABE">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25</w:t>
      </w:r>
      <w:r>
        <w:rPr>
          <w:rFonts w:hint="eastAsia" w:ascii="宋体" w:hAnsi="宋体" w:eastAsia="宋体" w:cs="宋体"/>
          <w:b/>
          <w:bCs/>
          <w:color w:val="auto"/>
          <w:sz w:val="24"/>
          <w:szCs w:val="24"/>
          <w:highlight w:val="none"/>
        </w:rPr>
        <w:t>. 响应文件的补充、修改与撤回</w:t>
      </w:r>
      <w:bookmarkEnd w:id="104"/>
    </w:p>
    <w:p w14:paraId="60C815AA">
      <w:pPr>
        <w:pStyle w:val="44"/>
        <w:spacing w:line="44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25</w:t>
      </w:r>
      <w:r>
        <w:rPr>
          <w:rFonts w:hint="eastAsia" w:ascii="宋体" w:hAnsi="宋体" w:eastAsia="宋体" w:cs="宋体"/>
          <w:color w:val="auto"/>
          <w:kern w:val="0"/>
          <w:sz w:val="24"/>
          <w:szCs w:val="24"/>
          <w:highlight w:val="none"/>
        </w:rPr>
        <w:t>.1 供应商在供应商须知前附表规定的响应文件递交截止时间之前，可在政采云平台上随时撤回已上传的电子响应文件，将修改好的电子响应文件在响应文件递交截止时间前重新上传到政采云平台的制定位置。</w:t>
      </w:r>
    </w:p>
    <w:p w14:paraId="6110EEF0">
      <w:pPr>
        <w:pStyle w:val="44"/>
        <w:spacing w:line="440" w:lineRule="exact"/>
        <w:ind w:firstLine="480"/>
        <w:jc w:val="center"/>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shd w:val="clear"/>
        </w:rPr>
        <w:t xml:space="preserve">（五） </w:t>
      </w:r>
      <w:r>
        <w:rPr>
          <w:rFonts w:hint="eastAsia" w:ascii="宋体" w:hAnsi="宋体" w:eastAsia="宋体" w:cs="宋体"/>
          <w:b/>
          <w:color w:val="auto"/>
          <w:kern w:val="0"/>
          <w:sz w:val="24"/>
          <w:szCs w:val="24"/>
          <w:highlight w:val="none"/>
        </w:rPr>
        <w:t>开标/磋商</w:t>
      </w:r>
    </w:p>
    <w:p w14:paraId="7BFD2EBF">
      <w:pPr>
        <w:spacing w:line="440" w:lineRule="exact"/>
        <w:ind w:firstLine="482" w:firstLineChars="200"/>
        <w:rPr>
          <w:rFonts w:ascii="宋体" w:hAnsi="宋体" w:eastAsia="宋体" w:cs="宋体"/>
          <w:b/>
          <w:bCs/>
          <w:color w:val="auto"/>
          <w:sz w:val="24"/>
          <w:szCs w:val="24"/>
          <w:highlight w:val="none"/>
        </w:rPr>
      </w:pPr>
      <w:bookmarkStart w:id="105" w:name="_Toc28893"/>
      <w:bookmarkStart w:id="106" w:name="_Toc37090988"/>
      <w:bookmarkStart w:id="107" w:name="_Toc37090652"/>
      <w:r>
        <w:rPr>
          <w:rFonts w:hint="eastAsia" w:ascii="宋体" w:hAnsi="宋体" w:eastAsia="宋体" w:cs="宋体"/>
          <w:b/>
          <w:bCs/>
          <w:color w:val="auto"/>
          <w:sz w:val="24"/>
          <w:szCs w:val="24"/>
          <w:highlight w:val="none"/>
          <w:lang w:val="en-US" w:eastAsia="zh-CN"/>
        </w:rPr>
        <w:t>26</w:t>
      </w:r>
      <w:r>
        <w:rPr>
          <w:rFonts w:hint="eastAsia" w:ascii="宋体" w:hAnsi="宋体" w:eastAsia="宋体" w:cs="宋体"/>
          <w:b/>
          <w:bCs/>
          <w:color w:val="auto"/>
          <w:sz w:val="24"/>
          <w:szCs w:val="24"/>
          <w:highlight w:val="none"/>
        </w:rPr>
        <w:t>.</w:t>
      </w:r>
      <w:bookmarkEnd w:id="105"/>
      <w:r>
        <w:rPr>
          <w:rFonts w:hint="eastAsia" w:ascii="宋体" w:hAnsi="宋体" w:eastAsia="宋体" w:cs="宋体"/>
          <w:b/>
          <w:bCs/>
          <w:color w:val="auto"/>
          <w:sz w:val="24"/>
          <w:szCs w:val="24"/>
          <w:highlight w:val="none"/>
        </w:rPr>
        <w:t>开标/磋商</w:t>
      </w:r>
    </w:p>
    <w:bookmarkEnd w:id="106"/>
    <w:bookmarkEnd w:id="107"/>
    <w:p w14:paraId="77759B61">
      <w:pPr>
        <w:shd w:val="clear" w:color="auto"/>
        <w:spacing w:line="440" w:lineRule="exact"/>
        <w:ind w:firstLine="480" w:firstLineChars="200"/>
        <w:textAlignment w:val="baseline"/>
        <w:rPr>
          <w:rStyle w:val="66"/>
          <w:rFonts w:hint="eastAsia" w:ascii="宋体" w:hAnsi="宋体" w:eastAsia="宋体"/>
          <w:color w:val="auto"/>
          <w:sz w:val="24"/>
          <w:szCs w:val="24"/>
          <w:highlight w:val="none"/>
        </w:rPr>
      </w:pPr>
      <w:r>
        <w:rPr>
          <w:rStyle w:val="66"/>
          <w:rFonts w:hint="eastAsia" w:ascii="宋体" w:hAnsi="宋体" w:eastAsia="宋体"/>
          <w:color w:val="auto"/>
          <w:sz w:val="24"/>
          <w:szCs w:val="24"/>
          <w:highlight w:val="none"/>
          <w:lang w:val="en-US"/>
        </w:rPr>
        <w:t>26</w:t>
      </w:r>
      <w:r>
        <w:rPr>
          <w:rStyle w:val="66"/>
          <w:rFonts w:hint="eastAsia" w:ascii="宋体" w:hAnsi="宋体" w:eastAsia="宋体"/>
          <w:color w:val="auto"/>
          <w:sz w:val="24"/>
          <w:szCs w:val="24"/>
          <w:highlight w:val="none"/>
        </w:rPr>
        <w:t>.1 采购人在规定的响应文件递交截止时间（开标/磋商时间）和供应商须知前附表规定的地点进行不见面远程开标/磋商。供应商的法定代表人或其委托代理人无需到达开标/磋商现场，仅需在任意地点登录政采云平台https://www.zcygov.cn/进入“政采云远程开标大厅”参加开标/磋商会议，并使用CA密钥完成远程解密、提疑澄清、开标/磋商唱标、二次报价、结果公布等交互环节。</w:t>
      </w:r>
    </w:p>
    <w:p w14:paraId="76F5BEDD">
      <w:pPr>
        <w:shd w:val="clear" w:color="auto"/>
        <w:spacing w:line="440" w:lineRule="exact"/>
        <w:ind w:firstLine="480" w:firstLineChars="200"/>
        <w:textAlignment w:val="baseline"/>
        <w:rPr>
          <w:rStyle w:val="66"/>
          <w:rFonts w:ascii="宋体" w:hAnsi="宋体" w:eastAsia="宋体"/>
          <w:color w:val="auto"/>
          <w:sz w:val="24"/>
          <w:szCs w:val="24"/>
          <w:highlight w:val="none"/>
        </w:rPr>
      </w:pPr>
      <w:r>
        <w:rPr>
          <w:rStyle w:val="66"/>
          <w:rFonts w:hint="eastAsia" w:ascii="宋体" w:hAnsi="宋体" w:eastAsia="宋体"/>
          <w:color w:val="auto"/>
          <w:sz w:val="24"/>
          <w:szCs w:val="24"/>
          <w:highlight w:val="none"/>
          <w:lang w:val="en-US"/>
        </w:rPr>
        <w:t>26</w:t>
      </w:r>
      <w:r>
        <w:rPr>
          <w:rStyle w:val="66"/>
          <w:rFonts w:hint="eastAsia" w:ascii="宋体" w:hAnsi="宋体" w:eastAsia="宋体"/>
          <w:color w:val="auto"/>
          <w:sz w:val="24"/>
          <w:szCs w:val="24"/>
          <w:highlight w:val="none"/>
        </w:rPr>
        <w:t>.2 开标/磋商时，各供应商应在规定的解密时间（30分钟）内对本单位加密的电子响应文件进行解密，如在规定的解密时间内仍有供应商未解密，采购代理机构将采取“异常处理”，开启该单位的备份标书。采购代理机构工作人员在监督人员或公证人员监督下开启响应文件。</w:t>
      </w:r>
    </w:p>
    <w:p w14:paraId="39597AEE">
      <w:pPr>
        <w:shd w:val="clear" w:color="auto"/>
        <w:spacing w:beforeLines="50" w:afterLines="50" w:line="440" w:lineRule="exact"/>
        <w:jc w:val="center"/>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（六） 磋商小组与评审</w:t>
      </w:r>
    </w:p>
    <w:p w14:paraId="11B56CCA">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.评审工作由采购人依法组建的磋商小组负责。磋商小组的名单在评审结果公告前应当保密。</w:t>
      </w:r>
    </w:p>
    <w:p w14:paraId="2A0C1627">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.1 本项目磋商小组由</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3 </w:t>
      </w:r>
      <w:r>
        <w:rPr>
          <w:rFonts w:hint="eastAsia" w:ascii="宋体" w:hAnsi="宋体" w:eastAsia="宋体" w:cs="宋体"/>
          <w:color w:val="auto"/>
          <w:kern w:val="0"/>
          <w:sz w:val="24"/>
          <w:szCs w:val="24"/>
          <w:highlight w:val="none"/>
        </w:rPr>
        <w:t>人组成，其中：专家库中随机抽取专家</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3</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采购人代表</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0</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人。</w:t>
      </w:r>
    </w:p>
    <w:p w14:paraId="312544A3">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.2 参与过本项目的论证专家不得作为评审专家参加评审，采购人不得以专家身份参与评审。</w:t>
      </w:r>
    </w:p>
    <w:p w14:paraId="258DC8CC">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.3磋商小组主任由磋商小组成员推举产生，并与磋商小组其他成员有同等的权利和义务。采购人代表不得担任磋商小组组长。</w:t>
      </w:r>
    </w:p>
    <w:p w14:paraId="4DA4E410">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.4 磋商小组成员应当客观、公正地履行职责，遵守职业道德，对所提出的评审意见承担个人责任。</w:t>
      </w:r>
    </w:p>
    <w:p w14:paraId="51B6675A">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.5 磋商小组根据</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确定的评比标准和方法，对响应文件进行系统</w:t>
      </w:r>
      <w:r>
        <w:rPr>
          <w:rFonts w:hint="eastAsia" w:ascii="宋体" w:hAnsi="宋体" w:eastAsia="宋体" w:cs="宋体"/>
          <w:color w:val="auto"/>
          <w:kern w:val="0"/>
          <w:sz w:val="24"/>
          <w:szCs w:val="24"/>
          <w:highlight w:val="none"/>
          <w:lang w:eastAsia="zh-CN"/>
        </w:rPr>
        <w:t>的</w:t>
      </w:r>
      <w:r>
        <w:rPr>
          <w:rFonts w:hint="eastAsia" w:ascii="宋体" w:hAnsi="宋体" w:eastAsia="宋体" w:cs="宋体"/>
          <w:color w:val="auto"/>
          <w:kern w:val="0"/>
          <w:sz w:val="24"/>
          <w:szCs w:val="24"/>
          <w:highlight w:val="none"/>
        </w:rPr>
        <w:t>评审和比较。</w:t>
      </w:r>
      <w:r>
        <w:rPr>
          <w:rFonts w:hint="eastAsia" w:ascii="宋体" w:hAnsi="宋体" w:eastAsia="宋体" w:cs="宋体"/>
          <w:color w:val="auto"/>
          <w:kern w:val="0"/>
          <w:sz w:val="24"/>
          <w:szCs w:val="24"/>
          <w:highlight w:val="none"/>
          <w:lang w:eastAsia="zh-CN"/>
        </w:rPr>
        <w:t>磋商文件中</w:t>
      </w:r>
      <w:r>
        <w:rPr>
          <w:rFonts w:hint="eastAsia" w:ascii="宋体" w:hAnsi="宋体" w:eastAsia="宋体" w:cs="宋体"/>
          <w:color w:val="auto"/>
          <w:kern w:val="0"/>
          <w:sz w:val="24"/>
          <w:szCs w:val="24"/>
          <w:highlight w:val="none"/>
        </w:rPr>
        <w:t>没有规定的标准和方法不得作为评审的依据。</w:t>
      </w:r>
    </w:p>
    <w:p w14:paraId="725035B0">
      <w:pPr>
        <w:shd w:val="clear" w:color="auto"/>
        <w:spacing w:line="440" w:lineRule="exact"/>
        <w:ind w:firstLine="480" w:firstLineChars="200"/>
        <w:rPr>
          <w:rFonts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.6 在评审过程中，磋商小组发现有证据表明供应商以他人的名义投标、串通投标、以行贿手段谋取成交或者以其他弄虚作假方式参加磋商的，该供应商的响应文件作无效处理。并在评审报告中说明。</w:t>
      </w:r>
    </w:p>
    <w:p w14:paraId="4F2BDBD2">
      <w:pPr>
        <w:shd w:val="clear" w:color="auto"/>
        <w:spacing w:beforeLines="50" w:afterLines="50" w:line="440" w:lineRule="exact"/>
        <w:jc w:val="center"/>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（七） 授予合同</w:t>
      </w:r>
    </w:p>
    <w:p w14:paraId="1554B3B0">
      <w:pPr>
        <w:spacing w:line="440" w:lineRule="exact"/>
        <w:ind w:firstLine="482" w:firstLineChars="200"/>
        <w:rPr>
          <w:rFonts w:ascii="宋体" w:hAnsi="宋体" w:eastAsia="宋体" w:cs="宋体"/>
          <w:b/>
          <w:bCs/>
          <w:color w:val="auto"/>
          <w:sz w:val="24"/>
          <w:szCs w:val="24"/>
          <w:highlight w:val="none"/>
        </w:rPr>
      </w:pPr>
      <w:bookmarkStart w:id="108" w:name="_Toc30338"/>
      <w:bookmarkStart w:id="109" w:name="_Toc37090661"/>
      <w:bookmarkStart w:id="110" w:name="_Toc37090997"/>
      <w:r>
        <w:rPr>
          <w:rFonts w:hint="eastAsia" w:ascii="宋体" w:hAnsi="宋体" w:eastAsia="宋体" w:cs="宋体"/>
          <w:b/>
          <w:bCs/>
          <w:color w:val="auto"/>
          <w:sz w:val="24"/>
          <w:szCs w:val="24"/>
          <w:highlight w:val="none"/>
          <w:lang w:val="en-US" w:eastAsia="zh-CN"/>
        </w:rPr>
        <w:t>28</w:t>
      </w:r>
      <w:r>
        <w:rPr>
          <w:rFonts w:hint="eastAsia" w:ascii="宋体" w:hAnsi="宋体" w:eastAsia="宋体" w:cs="宋体"/>
          <w:b/>
          <w:bCs/>
          <w:color w:val="auto"/>
          <w:sz w:val="24"/>
          <w:szCs w:val="24"/>
          <w:highlight w:val="none"/>
        </w:rPr>
        <w:t>. 确定</w:t>
      </w:r>
      <w:bookmarkEnd w:id="108"/>
      <w:bookmarkEnd w:id="109"/>
      <w:bookmarkEnd w:id="110"/>
      <w:r>
        <w:rPr>
          <w:rFonts w:hint="eastAsia" w:ascii="宋体" w:hAnsi="宋体" w:eastAsia="宋体" w:cs="宋体"/>
          <w:b/>
          <w:bCs/>
          <w:color w:val="auto"/>
          <w:sz w:val="24"/>
          <w:szCs w:val="24"/>
          <w:highlight w:val="none"/>
        </w:rPr>
        <w:t>成交供应商</w:t>
      </w:r>
    </w:p>
    <w:p w14:paraId="47FF6770">
      <w:pPr>
        <w:shd w:val="clear" w:color="auto"/>
        <w:spacing w:line="440" w:lineRule="exact"/>
        <w:ind w:firstLine="484" w:firstLineChars="202"/>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28</w:t>
      </w:r>
      <w:r>
        <w:rPr>
          <w:rFonts w:hint="eastAsia" w:ascii="宋体" w:hAnsi="宋体" w:eastAsia="宋体" w:cs="宋体"/>
          <w:color w:val="auto"/>
          <w:kern w:val="0"/>
          <w:sz w:val="24"/>
          <w:szCs w:val="24"/>
          <w:highlight w:val="none"/>
        </w:rPr>
        <w:t>.1 成交的标准</w:t>
      </w:r>
    </w:p>
    <w:p w14:paraId="1A711D44">
      <w:pPr>
        <w:shd w:val="clear" w:color="auto"/>
        <w:spacing w:line="440" w:lineRule="exact"/>
        <w:ind w:firstLine="484" w:firstLineChars="202"/>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28</w:t>
      </w:r>
      <w:r>
        <w:rPr>
          <w:rFonts w:hint="eastAsia" w:ascii="宋体" w:hAnsi="宋体" w:eastAsia="宋体" w:cs="宋体"/>
          <w:color w:val="auto"/>
          <w:kern w:val="0"/>
          <w:sz w:val="24"/>
          <w:szCs w:val="24"/>
          <w:highlight w:val="none"/>
        </w:rPr>
        <w:t>.1.1响应文件满足</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全部实质性要求；</w:t>
      </w:r>
    </w:p>
    <w:p w14:paraId="15C2BCC1">
      <w:pPr>
        <w:shd w:val="clear" w:color="auto"/>
        <w:spacing w:line="440" w:lineRule="exact"/>
        <w:ind w:firstLine="484" w:firstLineChars="202"/>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28</w:t>
      </w:r>
      <w:r>
        <w:rPr>
          <w:rFonts w:hint="eastAsia" w:ascii="宋体" w:hAnsi="宋体" w:eastAsia="宋体" w:cs="宋体"/>
          <w:color w:val="auto"/>
          <w:kern w:val="0"/>
          <w:sz w:val="24"/>
          <w:szCs w:val="24"/>
          <w:highlight w:val="none"/>
        </w:rPr>
        <w:t>.1.2 具有良好</w:t>
      </w:r>
      <w:r>
        <w:rPr>
          <w:rFonts w:hint="eastAsia" w:ascii="宋体" w:hAnsi="宋体" w:eastAsia="宋体" w:cs="宋体"/>
          <w:color w:val="auto"/>
          <w:kern w:val="0"/>
          <w:sz w:val="24"/>
          <w:szCs w:val="24"/>
          <w:highlight w:val="none"/>
          <w:lang w:eastAsia="zh-CN"/>
        </w:rPr>
        <w:t>地</w:t>
      </w:r>
      <w:r>
        <w:rPr>
          <w:rFonts w:hint="eastAsia" w:ascii="宋体" w:hAnsi="宋体" w:eastAsia="宋体" w:cs="宋体"/>
          <w:color w:val="auto"/>
          <w:kern w:val="0"/>
          <w:sz w:val="24"/>
          <w:szCs w:val="24"/>
          <w:highlight w:val="none"/>
        </w:rPr>
        <w:t>履行合同的能力和条件；</w:t>
      </w:r>
    </w:p>
    <w:p w14:paraId="674D447E">
      <w:pPr>
        <w:shd w:val="clear" w:color="auto"/>
        <w:spacing w:line="440" w:lineRule="exact"/>
        <w:ind w:firstLine="484" w:firstLineChars="202"/>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28</w:t>
      </w:r>
      <w:r>
        <w:rPr>
          <w:rFonts w:hint="eastAsia" w:ascii="宋体" w:hAnsi="宋体" w:eastAsia="宋体" w:cs="宋体"/>
          <w:color w:val="auto"/>
          <w:kern w:val="0"/>
          <w:sz w:val="24"/>
          <w:szCs w:val="24"/>
          <w:highlight w:val="none"/>
        </w:rPr>
        <w:t>.1.3 能够最大限度满足</w:t>
      </w:r>
      <w:r>
        <w:rPr>
          <w:rFonts w:hint="eastAsia" w:ascii="宋体" w:hAnsi="宋体" w:eastAsia="宋体" w:cs="宋体"/>
          <w:color w:val="auto"/>
          <w:kern w:val="0"/>
          <w:sz w:val="24"/>
          <w:szCs w:val="24"/>
          <w:highlight w:val="none"/>
          <w:lang w:val="en-US" w:eastAsia="zh-CN"/>
        </w:rPr>
        <w:t>竞争性</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的各项要求；</w:t>
      </w:r>
    </w:p>
    <w:p w14:paraId="1CC33A08">
      <w:pPr>
        <w:shd w:val="clear" w:color="auto"/>
        <w:spacing w:line="440" w:lineRule="exact"/>
        <w:ind w:firstLine="484" w:firstLineChars="202"/>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28</w:t>
      </w:r>
      <w:r>
        <w:rPr>
          <w:rFonts w:hint="eastAsia" w:ascii="宋体" w:hAnsi="宋体" w:eastAsia="宋体" w:cs="宋体"/>
          <w:color w:val="auto"/>
          <w:kern w:val="0"/>
          <w:sz w:val="24"/>
          <w:szCs w:val="24"/>
          <w:highlight w:val="none"/>
        </w:rPr>
        <w:t>.2 采购人将确定资格合格的成交候选人为成交供应商。</w:t>
      </w:r>
    </w:p>
    <w:p w14:paraId="504F5CB0">
      <w:pPr>
        <w:shd w:val="clear"/>
        <w:spacing w:line="440" w:lineRule="exact"/>
        <w:ind w:firstLine="482" w:firstLineChars="200"/>
        <w:rPr>
          <w:rFonts w:ascii="宋体" w:hAnsi="宋体" w:eastAsia="宋体" w:cs="宋体"/>
          <w:b/>
          <w:bCs/>
          <w:color w:val="auto"/>
          <w:sz w:val="24"/>
          <w:szCs w:val="24"/>
          <w:highlight w:val="none"/>
        </w:rPr>
      </w:pPr>
      <w:bookmarkStart w:id="111" w:name="_Toc8758"/>
      <w:bookmarkStart w:id="112" w:name="_Toc37090998"/>
      <w:bookmarkStart w:id="113" w:name="_Toc37090662"/>
      <w:r>
        <w:rPr>
          <w:rFonts w:hint="eastAsia" w:ascii="宋体" w:hAnsi="宋体" w:eastAsia="宋体" w:cs="宋体"/>
          <w:b/>
          <w:bCs/>
          <w:color w:val="auto"/>
          <w:sz w:val="24"/>
          <w:szCs w:val="24"/>
          <w:highlight w:val="none"/>
          <w:lang w:val="en-US" w:eastAsia="zh-CN"/>
        </w:rPr>
        <w:t>29</w:t>
      </w:r>
      <w:r>
        <w:rPr>
          <w:rFonts w:hint="eastAsia" w:ascii="宋体" w:hAnsi="宋体" w:eastAsia="宋体" w:cs="宋体"/>
          <w:b/>
          <w:bCs/>
          <w:color w:val="auto"/>
          <w:sz w:val="24"/>
          <w:szCs w:val="24"/>
          <w:highlight w:val="none"/>
        </w:rPr>
        <w:t>. 授予合同的准则</w:t>
      </w:r>
      <w:bookmarkEnd w:id="111"/>
      <w:bookmarkEnd w:id="112"/>
      <w:bookmarkEnd w:id="113"/>
    </w:p>
    <w:p w14:paraId="6F5AA0F0">
      <w:pPr>
        <w:shd w:val="clear" w:color="auto"/>
        <w:spacing w:line="440" w:lineRule="exact"/>
        <w:ind w:firstLine="484" w:firstLineChars="202"/>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29</w:t>
      </w:r>
      <w:r>
        <w:rPr>
          <w:rFonts w:hint="eastAsia" w:ascii="宋体" w:hAnsi="宋体" w:eastAsia="宋体" w:cs="宋体"/>
          <w:color w:val="auto"/>
          <w:kern w:val="0"/>
          <w:sz w:val="24"/>
          <w:szCs w:val="24"/>
          <w:highlight w:val="none"/>
        </w:rPr>
        <w:t>.1 采购人将把合同授予经确认的成交供应商。</w:t>
      </w:r>
    </w:p>
    <w:p w14:paraId="0244DFD7">
      <w:pPr>
        <w:shd w:val="clear" w:color="auto"/>
        <w:spacing w:beforeLines="50" w:afterLines="50" w:line="440" w:lineRule="exact"/>
        <w:jc w:val="center"/>
        <w:rPr>
          <w:rFonts w:ascii="宋体" w:hAnsi="宋体" w:eastAsia="宋体" w:cs="宋体"/>
          <w:b/>
          <w:color w:val="auto"/>
          <w:kern w:val="0"/>
          <w:sz w:val="24"/>
          <w:szCs w:val="24"/>
          <w:highlight w:val="none"/>
        </w:rPr>
      </w:pPr>
      <w:bookmarkStart w:id="114" w:name="_Toc16518"/>
      <w:bookmarkStart w:id="115" w:name="_Toc37090999"/>
      <w:bookmarkStart w:id="116" w:name="_Toc37090663"/>
      <w:r>
        <w:rPr>
          <w:rFonts w:hint="eastAsia" w:ascii="宋体" w:hAnsi="宋体" w:eastAsia="宋体" w:cs="宋体"/>
          <w:b/>
          <w:color w:val="auto"/>
          <w:kern w:val="0"/>
          <w:sz w:val="24"/>
          <w:szCs w:val="24"/>
          <w:highlight w:val="none"/>
        </w:rPr>
        <w:t>（八） 成交通知书</w:t>
      </w:r>
      <w:bookmarkEnd w:id="114"/>
      <w:bookmarkEnd w:id="115"/>
      <w:bookmarkEnd w:id="116"/>
    </w:p>
    <w:p w14:paraId="297B8A52">
      <w:pPr>
        <w:spacing w:line="44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rPr>
        <w:t>.成交通知书</w:t>
      </w:r>
    </w:p>
    <w:p w14:paraId="148B3ADA">
      <w:pPr>
        <w:shd w:val="clear" w:color="auto"/>
        <w:spacing w:line="440" w:lineRule="exact"/>
        <w:ind w:firstLine="484" w:firstLineChars="202"/>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.1采购人依据磋商小组推荐的成交候选人排序确定排名第一的成交候选人为成交供应商后，将在新疆政府采购网（http://www.ccgp-xinjiang.gov.cn/）上发布中标结果公告，公告期限为 1 工作日，同时向成交供应商发出《成交通知书》。</w:t>
      </w:r>
    </w:p>
    <w:p w14:paraId="331451E1">
      <w:pPr>
        <w:shd w:val="clear" w:color="auto"/>
        <w:spacing w:line="440" w:lineRule="exact"/>
        <w:ind w:firstLine="484" w:firstLineChars="202"/>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.2《成交通知书》对成交供应商和成交供应商具有法律约束力。《成交通知书》发出后，采购人不得违法改变成交结果，成交供应商无正当理由不得放弃成交。</w:t>
      </w:r>
    </w:p>
    <w:p w14:paraId="05B0D351">
      <w:pPr>
        <w:numPr>
          <w:ilvl w:val="0"/>
          <w:numId w:val="4"/>
        </w:numPr>
        <w:shd w:val="clear" w:color="auto"/>
        <w:spacing w:beforeLines="50" w:afterLines="50" w:line="440" w:lineRule="exact"/>
        <w:jc w:val="center"/>
        <w:rPr>
          <w:rFonts w:ascii="宋体" w:hAnsi="宋体" w:eastAsia="宋体" w:cs="宋体"/>
          <w:b/>
          <w:color w:val="auto"/>
          <w:kern w:val="0"/>
          <w:sz w:val="24"/>
          <w:szCs w:val="24"/>
          <w:highlight w:val="none"/>
        </w:rPr>
      </w:pPr>
      <w:bookmarkStart w:id="117" w:name="_Toc17984"/>
      <w:bookmarkStart w:id="118" w:name="_Toc37091000"/>
      <w:bookmarkStart w:id="119" w:name="_Toc37090664"/>
      <w:r>
        <w:rPr>
          <w:rFonts w:hint="eastAsia" w:ascii="宋体" w:hAnsi="宋体" w:eastAsia="宋体" w:cs="宋体"/>
          <w:b/>
          <w:color w:val="auto"/>
          <w:kern w:val="0"/>
          <w:sz w:val="24"/>
          <w:szCs w:val="24"/>
          <w:highlight w:val="none"/>
        </w:rPr>
        <w:t>合同的签订</w:t>
      </w:r>
      <w:bookmarkEnd w:id="117"/>
    </w:p>
    <w:p w14:paraId="7CE31FA8">
      <w:pPr>
        <w:shd w:val="clear"/>
        <w:spacing w:line="440" w:lineRule="exact"/>
        <w:ind w:firstLine="482" w:firstLineChars="200"/>
        <w:rPr>
          <w:rFonts w:ascii="宋体" w:hAnsi="宋体" w:eastAsia="宋体" w:cs="宋体"/>
          <w:b/>
          <w:bCs/>
          <w:color w:val="auto"/>
          <w:sz w:val="24"/>
          <w:szCs w:val="24"/>
          <w:highlight w:val="none"/>
        </w:rPr>
      </w:pPr>
      <w:bookmarkStart w:id="120" w:name="_Toc1090"/>
      <w:r>
        <w:rPr>
          <w:rFonts w:hint="eastAsia" w:ascii="宋体" w:hAnsi="宋体" w:eastAsia="宋体" w:cs="宋体"/>
          <w:b/>
          <w:bCs/>
          <w:color w:val="auto"/>
          <w:sz w:val="24"/>
          <w:szCs w:val="24"/>
          <w:highlight w:val="none"/>
          <w:lang w:val="en-US" w:eastAsia="zh-CN"/>
        </w:rPr>
        <w:t>31</w:t>
      </w:r>
      <w:r>
        <w:rPr>
          <w:rFonts w:hint="eastAsia" w:ascii="宋体" w:hAnsi="宋体" w:eastAsia="宋体" w:cs="宋体"/>
          <w:b/>
          <w:bCs/>
          <w:color w:val="auto"/>
          <w:sz w:val="24"/>
          <w:szCs w:val="24"/>
          <w:highlight w:val="none"/>
        </w:rPr>
        <w:t>. 合同的签订</w:t>
      </w:r>
      <w:bookmarkEnd w:id="118"/>
      <w:bookmarkEnd w:id="119"/>
      <w:bookmarkEnd w:id="120"/>
    </w:p>
    <w:p w14:paraId="56457CCC">
      <w:pPr>
        <w:shd w:val="clear" w:color="auto"/>
        <w:spacing w:line="440" w:lineRule="exact"/>
        <w:ind w:firstLine="484" w:firstLineChars="202"/>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31</w:t>
      </w:r>
      <w:r>
        <w:rPr>
          <w:rFonts w:hint="eastAsia" w:ascii="宋体" w:hAnsi="宋体" w:eastAsia="宋体" w:cs="宋体"/>
          <w:color w:val="auto"/>
          <w:kern w:val="0"/>
          <w:sz w:val="24"/>
          <w:szCs w:val="24"/>
          <w:highlight w:val="none"/>
        </w:rPr>
        <w:t>.1采购人应当自《成交通知书》发出之日起30日内，按照</w:t>
      </w:r>
      <w:r>
        <w:rPr>
          <w:rFonts w:hint="eastAsia" w:ascii="宋体" w:hAnsi="宋体" w:eastAsia="宋体" w:cs="宋体"/>
          <w:color w:val="auto"/>
          <w:kern w:val="0"/>
          <w:sz w:val="24"/>
          <w:szCs w:val="24"/>
          <w:highlight w:val="none"/>
          <w:lang w:val="en-US" w:eastAsia="zh-CN"/>
        </w:rPr>
        <w:t>竞争性</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和成交供应商响应文件的规定，与成交供应商签订书面合同。所签订的合同不得对</w:t>
      </w:r>
      <w:r>
        <w:rPr>
          <w:rFonts w:hint="eastAsia" w:ascii="宋体" w:hAnsi="宋体" w:eastAsia="宋体" w:cs="宋体"/>
          <w:color w:val="auto"/>
          <w:kern w:val="0"/>
          <w:sz w:val="24"/>
          <w:szCs w:val="24"/>
          <w:highlight w:val="none"/>
          <w:lang w:val="en-US" w:eastAsia="zh-CN"/>
        </w:rPr>
        <w:t>竞争性</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确定的事项和成交供应商响应文件作实质性修改。</w:t>
      </w:r>
    </w:p>
    <w:p w14:paraId="6E29E42F">
      <w:pPr>
        <w:shd w:val="clear" w:color="auto"/>
        <w:spacing w:line="440" w:lineRule="exact"/>
        <w:ind w:firstLine="484" w:firstLineChars="202"/>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31</w:t>
      </w: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竞争性</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要求成交供应商提交履约保证金或者其他形式履约担保的，成交供应商应当提交；拒绝提交的，视为放弃成交项目。</w:t>
      </w:r>
    </w:p>
    <w:p w14:paraId="302912AF">
      <w:pPr>
        <w:shd w:val="clear" w:color="auto"/>
        <w:spacing w:line="440" w:lineRule="exact"/>
        <w:ind w:firstLine="484" w:firstLineChars="202"/>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31</w:t>
      </w: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竞争性</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和成交供应商的响应文件均是该书面合同的附件。</w:t>
      </w:r>
    </w:p>
    <w:p w14:paraId="14176EBF">
      <w:pPr>
        <w:shd w:val="clear" w:color="auto"/>
        <w:spacing w:line="440" w:lineRule="exact"/>
        <w:ind w:firstLine="484" w:firstLineChars="202"/>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31</w:t>
      </w:r>
      <w:r>
        <w:rPr>
          <w:rFonts w:hint="eastAsia" w:ascii="宋体" w:hAnsi="宋体" w:eastAsia="宋体" w:cs="宋体"/>
          <w:color w:val="auto"/>
          <w:kern w:val="0"/>
          <w:sz w:val="24"/>
          <w:szCs w:val="24"/>
          <w:highlight w:val="none"/>
        </w:rPr>
        <w:t>.4成交供应商因不可抗力或自身原因不能履行采购合同的，采购人可以与排位在成交供应商之后第一位的成交候选人签订采购合同，以此类推。或采购人重新组织采购活动。</w:t>
      </w:r>
    </w:p>
    <w:p w14:paraId="522CA1AB">
      <w:pPr>
        <w:shd w:val="clear" w:color="auto"/>
        <w:spacing w:line="440" w:lineRule="exact"/>
        <w:ind w:firstLine="484" w:firstLineChars="202"/>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31</w:t>
      </w:r>
      <w:r>
        <w:rPr>
          <w:rFonts w:hint="eastAsia" w:ascii="宋体" w:hAnsi="宋体" w:eastAsia="宋体" w:cs="宋体"/>
          <w:color w:val="auto"/>
          <w:kern w:val="0"/>
          <w:sz w:val="24"/>
          <w:szCs w:val="24"/>
          <w:highlight w:val="none"/>
        </w:rPr>
        <w:t>.5 政府采购项目的采购合同自签订之日起七个工作日内，采购人应当将合同副本报同级政府采购监督管理部门和有关部门备案。</w:t>
      </w:r>
    </w:p>
    <w:p w14:paraId="2654A8EE">
      <w:pPr>
        <w:shd w:val="clear" w:color="auto"/>
        <w:spacing w:beforeLines="50" w:afterLines="50" w:line="440" w:lineRule="exact"/>
        <w:jc w:val="center"/>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（十）买方授标时更改采购货物数量的权利</w:t>
      </w:r>
    </w:p>
    <w:p w14:paraId="3559D066">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32</w:t>
      </w:r>
      <w:r>
        <w:rPr>
          <w:rFonts w:hint="eastAsia" w:ascii="宋体" w:hAnsi="宋体" w:eastAsia="宋体" w:cs="宋体"/>
          <w:color w:val="auto"/>
          <w:kern w:val="0"/>
          <w:sz w:val="24"/>
          <w:szCs w:val="24"/>
          <w:highlight w:val="none"/>
        </w:rPr>
        <w:t>.采购人在授予合同时有权按“供应商须知前附表”第17项约定的内容对采购需求中规定物资数量予以局部增加或减少，但不</w:t>
      </w:r>
      <w:r>
        <w:rPr>
          <w:rFonts w:hint="eastAsia" w:ascii="宋体" w:hAnsi="宋体" w:eastAsia="宋体" w:cs="宋体"/>
          <w:color w:val="auto"/>
          <w:kern w:val="0"/>
          <w:sz w:val="24"/>
          <w:szCs w:val="24"/>
          <w:highlight w:val="none"/>
          <w:lang w:eastAsia="zh-CN"/>
        </w:rPr>
        <w:t>得对</w:t>
      </w:r>
      <w:r>
        <w:rPr>
          <w:rFonts w:hint="eastAsia" w:ascii="宋体" w:hAnsi="宋体" w:eastAsia="宋体" w:cs="宋体"/>
          <w:color w:val="auto"/>
          <w:kern w:val="0"/>
          <w:sz w:val="24"/>
          <w:szCs w:val="24"/>
          <w:highlight w:val="none"/>
        </w:rPr>
        <w:t>实质性内容做任何改变，对增减的数量按同类型成交服务价结算。</w:t>
      </w:r>
    </w:p>
    <w:p w14:paraId="7CC9FE28">
      <w:pPr>
        <w:shd w:val="clear" w:color="auto"/>
        <w:spacing w:beforeLines="50" w:afterLines="50" w:line="440" w:lineRule="exact"/>
        <w:jc w:val="center"/>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（十一）质疑与投诉</w:t>
      </w:r>
    </w:p>
    <w:p w14:paraId="2230C46A">
      <w:pPr>
        <w:shd w:val="clear" w:color="auto"/>
        <w:spacing w:line="440" w:lineRule="exact"/>
        <w:ind w:firstLine="472" w:firstLineChars="196"/>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33</w:t>
      </w:r>
      <w:r>
        <w:rPr>
          <w:rFonts w:hint="eastAsia" w:ascii="宋体" w:hAnsi="宋体" w:eastAsia="宋体" w:cs="宋体"/>
          <w:b/>
          <w:color w:val="auto"/>
          <w:sz w:val="24"/>
          <w:szCs w:val="24"/>
          <w:highlight w:val="none"/>
        </w:rPr>
        <w:t>.质疑与投诉</w:t>
      </w:r>
    </w:p>
    <w:p w14:paraId="42B7E5E3">
      <w:pPr>
        <w:shd w:val="clear" w:color="auto"/>
        <w:spacing w:line="440" w:lineRule="exact"/>
        <w:ind w:firstLine="484" w:firstLineChars="20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.1 供应商认为</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采购过程、成交或者成交结果使自己的权益受到损害的，可以在知道或者应知其权益受到损害之日起七个工作日内，向采购人、采购代理机构提出质疑。供应商须在法定质疑期内一次性提出针对同一采购程序环节的质疑。</w:t>
      </w:r>
    </w:p>
    <w:p w14:paraId="351EFC64">
      <w:pPr>
        <w:shd w:val="clear" w:color="auto"/>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.2 质疑函的必备内容</w:t>
      </w:r>
    </w:p>
    <w:p w14:paraId="4B8BB16C">
      <w:pPr>
        <w:shd w:val="clear" w:color="auto"/>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.2.1 供应商提交的质疑函必须注明单位名称、地址、邮编、可供查询的单位和法定代表人的电话号码、联系人电话；</w:t>
      </w:r>
    </w:p>
    <w:p w14:paraId="26242206">
      <w:pPr>
        <w:shd w:val="clear" w:color="auto"/>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.2.2 质疑项目的名称、编号；</w:t>
      </w:r>
    </w:p>
    <w:p w14:paraId="6C466790">
      <w:pPr>
        <w:shd w:val="clear" w:color="auto"/>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.2.3 具体质疑事项和与质疑事项相关的请求；</w:t>
      </w:r>
    </w:p>
    <w:p w14:paraId="28D85C71">
      <w:pPr>
        <w:shd w:val="clear" w:color="auto"/>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.2.4 事实依据；</w:t>
      </w:r>
    </w:p>
    <w:p w14:paraId="3284CB76">
      <w:pPr>
        <w:shd w:val="clear" w:color="auto"/>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.2.5 提起质疑的日期；</w:t>
      </w:r>
    </w:p>
    <w:p w14:paraId="7FCD75A4">
      <w:pPr>
        <w:shd w:val="clear" w:color="auto"/>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.2.6 质疑函须加盖单位电子公章，由法定代表人签章。</w:t>
      </w:r>
    </w:p>
    <w:p w14:paraId="4253FCCB">
      <w:pPr>
        <w:shd w:val="clear" w:color="auto"/>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.2.7 委托代理人递交质疑函的，还须提交委托质疑事项的授权委托书（附法定代表人和被授权人的身份证正反面），加盖单位公章和法定代表人签章和被授权人签字，同时出示被授权人身份证。</w:t>
      </w:r>
    </w:p>
    <w:p w14:paraId="2F86E71D">
      <w:pPr>
        <w:shd w:val="clear" w:color="auto"/>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.3 质疑应符合下列条件：</w:t>
      </w:r>
    </w:p>
    <w:p w14:paraId="27D3E7C7">
      <w:pPr>
        <w:shd w:val="clear" w:color="auto"/>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.3.1 质疑人是参与所质疑项目的采购活动的供应商；</w:t>
      </w:r>
    </w:p>
    <w:p w14:paraId="2B74C64D">
      <w:pPr>
        <w:shd w:val="clear" w:color="auto"/>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.3.2 质疑函内容符合相关的规定；</w:t>
      </w:r>
    </w:p>
    <w:p w14:paraId="7A106B0D">
      <w:pPr>
        <w:shd w:val="clear" w:color="auto"/>
        <w:tabs>
          <w:tab w:val="left" w:pos="929"/>
        </w:tabs>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.3.3 在规定的有效期限内提起质疑；</w:t>
      </w:r>
    </w:p>
    <w:p w14:paraId="5B5318D7">
      <w:pPr>
        <w:shd w:val="clear" w:color="auto"/>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.3.4 招投标监管部门规定的其他条件。</w:t>
      </w:r>
    </w:p>
    <w:p w14:paraId="6BCDAD98">
      <w:pPr>
        <w:shd w:val="clear" w:color="auto"/>
        <w:spacing w:line="440" w:lineRule="exact"/>
        <w:ind w:firstLine="484" w:firstLineChars="20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.4 采购人在收到供应商的书面质疑后七个工作日内作出答复，并以书面形式通知质疑供应商和其他有关供应商，但答复的内容不涉及商业秘密。作出答复前，将暂停招标采购活动。</w:t>
      </w:r>
    </w:p>
    <w:p w14:paraId="3AC6FD29">
      <w:pPr>
        <w:shd w:val="clear" w:color="auto"/>
        <w:adjustRightInd w:val="0"/>
        <w:snapToGrid w:val="0"/>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.5 提出质疑的供应商对答复不满意的，可以在答复期满后十五个工作日内向同级政府招标采购监督管理部门投诉。政府招标采购监督管理部门应当在收到投诉三十个工作日内，对投诉事项作出处理决定，并以书面形式通知投诉人和与投诉事项相关的当事人。</w:t>
      </w:r>
    </w:p>
    <w:p w14:paraId="769056D3">
      <w:pPr>
        <w:shd w:val="clear" w:color="auto"/>
        <w:spacing w:beforeLines="50" w:afterLines="50" w:line="440" w:lineRule="exact"/>
        <w:jc w:val="center"/>
        <w:rPr>
          <w:rFonts w:ascii="宋体" w:hAnsi="宋体" w:eastAsia="宋体" w:cs="宋体"/>
          <w:b/>
          <w:color w:val="auto"/>
          <w:kern w:val="0"/>
          <w:sz w:val="24"/>
          <w:szCs w:val="24"/>
          <w:highlight w:val="none"/>
        </w:rPr>
      </w:pPr>
      <w:bookmarkStart w:id="121" w:name="_Toc37091001"/>
      <w:bookmarkStart w:id="122" w:name="_Toc37090665"/>
      <w:r>
        <w:rPr>
          <w:rFonts w:hint="eastAsia" w:ascii="宋体" w:hAnsi="宋体" w:eastAsia="宋体" w:cs="宋体"/>
          <w:b/>
          <w:color w:val="auto"/>
          <w:kern w:val="0"/>
          <w:sz w:val="24"/>
          <w:szCs w:val="24"/>
          <w:highlight w:val="none"/>
        </w:rPr>
        <w:t>（十二）履约担保（本项目不适用）</w:t>
      </w:r>
    </w:p>
    <w:p w14:paraId="4165A882">
      <w:pPr>
        <w:shd w:val="clear"/>
        <w:spacing w:line="440" w:lineRule="exact"/>
        <w:ind w:firstLine="482" w:firstLineChars="200"/>
        <w:rPr>
          <w:rFonts w:ascii="宋体" w:hAnsi="宋体" w:eastAsia="宋体" w:cs="宋体"/>
          <w:b/>
          <w:bCs/>
          <w:color w:val="auto"/>
          <w:sz w:val="24"/>
          <w:szCs w:val="24"/>
          <w:highlight w:val="none"/>
        </w:rPr>
      </w:pPr>
      <w:bookmarkStart w:id="123" w:name="_Toc18714"/>
      <w:r>
        <w:rPr>
          <w:rFonts w:hint="eastAsia" w:ascii="宋体" w:hAnsi="宋体" w:eastAsia="宋体" w:cs="宋体"/>
          <w:b/>
          <w:bCs/>
          <w:color w:val="auto"/>
          <w:sz w:val="24"/>
          <w:szCs w:val="24"/>
          <w:highlight w:val="none"/>
          <w:lang w:val="en-US" w:eastAsia="zh-CN"/>
        </w:rPr>
        <w:t>34</w:t>
      </w:r>
      <w:r>
        <w:rPr>
          <w:rFonts w:hint="eastAsia" w:ascii="宋体" w:hAnsi="宋体" w:eastAsia="宋体" w:cs="宋体"/>
          <w:b/>
          <w:bCs/>
          <w:color w:val="auto"/>
          <w:sz w:val="24"/>
          <w:szCs w:val="24"/>
          <w:highlight w:val="none"/>
        </w:rPr>
        <w:t>. 履约担保</w:t>
      </w:r>
      <w:bookmarkEnd w:id="121"/>
      <w:bookmarkEnd w:id="122"/>
      <w:bookmarkEnd w:id="123"/>
    </w:p>
    <w:p w14:paraId="553A3A43">
      <w:pPr>
        <w:shd w:val="clear" w:color="auto"/>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34</w:t>
      </w:r>
      <w:r>
        <w:rPr>
          <w:rFonts w:hint="eastAsia" w:ascii="宋体" w:hAnsi="宋体" w:eastAsia="宋体" w:cs="宋体"/>
          <w:color w:val="auto"/>
          <w:sz w:val="24"/>
          <w:szCs w:val="24"/>
          <w:highlight w:val="none"/>
        </w:rPr>
        <w:t>.1成交供应商须在与采购人签署合同前按</w:t>
      </w:r>
      <w:r>
        <w:rPr>
          <w:rFonts w:hint="eastAsia" w:ascii="宋体" w:hAnsi="宋体" w:eastAsia="宋体" w:cs="宋体"/>
          <w:color w:val="auto"/>
          <w:sz w:val="24"/>
          <w:szCs w:val="24"/>
          <w:highlight w:val="none"/>
          <w:lang w:val="en-US" w:eastAsia="zh-CN"/>
        </w:rPr>
        <w:t>竞争性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有关要求提交履约担保。成交供应商应按照下列规定的方式和金额向采购人提交履约担保。</w:t>
      </w:r>
    </w:p>
    <w:p w14:paraId="347462BC">
      <w:pPr>
        <w:shd w:val="clear" w:color="auto"/>
        <w:adjustRightInd w:val="0"/>
        <w:snapToGrid w:val="0"/>
        <w:spacing w:line="440" w:lineRule="exact"/>
        <w:ind w:firstLine="480" w:firstLineChars="200"/>
        <w:rPr>
          <w:rFonts w:ascii="宋体" w:hAnsi="宋体" w:eastAsia="宋体" w:cs="宋体"/>
          <w:color w:val="auto"/>
          <w:sz w:val="24"/>
          <w:szCs w:val="24"/>
          <w:highlight w:val="none"/>
        </w:rPr>
      </w:pPr>
      <w:bookmarkStart w:id="124" w:name="_Toc37090666"/>
      <w:bookmarkStart w:id="125" w:name="_Toc37091002"/>
      <w:bookmarkStart w:id="126" w:name="_Toc30886"/>
      <w:r>
        <w:rPr>
          <w:rFonts w:hint="eastAsia" w:ascii="宋体" w:hAnsi="宋体" w:eastAsia="宋体" w:cs="宋体"/>
          <w:color w:val="auto"/>
          <w:sz w:val="24"/>
          <w:szCs w:val="24"/>
          <w:highlight w:val="none"/>
          <w:lang w:val="en-US" w:eastAsia="zh-CN"/>
        </w:rPr>
        <w:t>34</w:t>
      </w:r>
      <w:r>
        <w:rPr>
          <w:rFonts w:hint="eastAsia" w:ascii="宋体" w:hAnsi="宋体" w:eastAsia="宋体" w:cs="宋体"/>
          <w:color w:val="auto"/>
          <w:sz w:val="24"/>
          <w:szCs w:val="24"/>
          <w:highlight w:val="none"/>
        </w:rPr>
        <w:t>.2 履约担保采用下列</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方式</w:t>
      </w:r>
      <w:bookmarkEnd w:id="124"/>
      <w:bookmarkEnd w:id="125"/>
      <w:bookmarkEnd w:id="126"/>
    </w:p>
    <w:p w14:paraId="7D8039F5">
      <w:pPr>
        <w:shd w:val="clear" w:color="auto"/>
        <w:adjustRightInd w:val="0"/>
        <w:snapToGrid w:val="0"/>
        <w:spacing w:line="440" w:lineRule="exact"/>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34</w:t>
      </w:r>
      <w:r>
        <w:rPr>
          <w:rFonts w:hint="eastAsia" w:ascii="宋体" w:hAnsi="宋体" w:eastAsia="宋体" w:cs="宋体"/>
          <w:color w:val="auto"/>
          <w:sz w:val="24"/>
          <w:szCs w:val="24"/>
          <w:highlight w:val="none"/>
        </w:rPr>
        <w:t>.2.1 履约保证金担保方式：</w:t>
      </w:r>
      <w:r>
        <w:rPr>
          <w:rFonts w:hint="eastAsia" w:ascii="宋体" w:hAnsi="宋体" w:eastAsia="宋体" w:cs="宋体"/>
          <w:color w:val="auto"/>
          <w:sz w:val="24"/>
          <w:szCs w:val="24"/>
          <w:highlight w:val="none"/>
          <w:u w:val="single"/>
        </w:rPr>
        <w:t xml:space="preserve"> / </w:t>
      </w:r>
    </w:p>
    <w:p w14:paraId="128F6527">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 银行汇票；2） 支票；</w:t>
      </w:r>
      <w:r>
        <w:rPr>
          <w:rFonts w:hint="eastAsia" w:ascii="宋体" w:hAnsi="宋体" w:eastAsia="宋体" w:cs="宋体"/>
          <w:color w:val="auto"/>
          <w:kern w:val="0"/>
          <w:sz w:val="24"/>
          <w:szCs w:val="24"/>
          <w:highlight w:val="none"/>
        </w:rPr>
        <w:t>3）银行转账；4）担保公司担保；</w:t>
      </w:r>
      <w:r>
        <w:rPr>
          <w:rFonts w:hint="eastAsia" w:ascii="宋体" w:hAnsi="宋体" w:eastAsia="宋体" w:cs="宋体"/>
          <w:color w:val="auto"/>
          <w:sz w:val="24"/>
          <w:szCs w:val="24"/>
          <w:highlight w:val="none"/>
        </w:rPr>
        <w:t>5）采购人与供应商协商确定的其他担保方式。</w:t>
      </w:r>
    </w:p>
    <w:p w14:paraId="71F02C9C">
      <w:pPr>
        <w:shd w:val="clear" w:color="auto"/>
        <w:spacing w:line="440" w:lineRule="exact"/>
        <w:ind w:firstLine="484" w:firstLineChars="202"/>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34</w:t>
      </w: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 xml:space="preserve"> 如成交供应商不能按照供应商须知第35条的规定执行，采购人将视为成交供应商放弃成交项目；已经订立合同的，采购人有充分理由解除合同，给采购人造成损失的，放弃成交项目的成交供应商应当赔偿。</w:t>
      </w:r>
    </w:p>
    <w:p w14:paraId="3A33A289">
      <w:pPr>
        <w:shd w:val="clear" w:color="auto"/>
        <w:spacing w:beforeLines="50" w:afterLines="50" w:line="440" w:lineRule="exact"/>
        <w:jc w:val="center"/>
        <w:rPr>
          <w:rFonts w:ascii="宋体" w:hAnsi="宋体" w:eastAsia="宋体" w:cs="宋体"/>
          <w:b/>
          <w:color w:val="auto"/>
          <w:kern w:val="0"/>
          <w:sz w:val="24"/>
          <w:szCs w:val="24"/>
          <w:highlight w:val="none"/>
        </w:rPr>
      </w:pPr>
      <w:bookmarkStart w:id="127" w:name="_Toc228180139"/>
      <w:r>
        <w:rPr>
          <w:rFonts w:hint="eastAsia" w:ascii="宋体" w:hAnsi="宋体" w:eastAsia="宋体" w:cs="宋体"/>
          <w:b/>
          <w:color w:val="auto"/>
          <w:kern w:val="0"/>
          <w:sz w:val="24"/>
          <w:szCs w:val="24"/>
          <w:highlight w:val="none"/>
        </w:rPr>
        <w:t>（十三）其他</w:t>
      </w:r>
    </w:p>
    <w:p w14:paraId="7DC42B10">
      <w:pPr>
        <w:shd w:val="clear" w:color="auto"/>
        <w:spacing w:line="440" w:lineRule="exact"/>
        <w:ind w:firstLine="487" w:firstLineChars="202"/>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35</w:t>
      </w:r>
      <w:r>
        <w:rPr>
          <w:rFonts w:hint="eastAsia" w:ascii="宋体" w:hAnsi="宋体" w:eastAsia="宋体" w:cs="宋体"/>
          <w:b/>
          <w:color w:val="auto"/>
          <w:kern w:val="0"/>
          <w:sz w:val="24"/>
          <w:szCs w:val="24"/>
          <w:highlight w:val="none"/>
        </w:rPr>
        <w:t>.</w:t>
      </w:r>
      <w:bookmarkEnd w:id="127"/>
      <w:r>
        <w:rPr>
          <w:rFonts w:hint="eastAsia" w:ascii="宋体" w:hAnsi="宋体" w:eastAsia="宋体" w:cs="宋体"/>
          <w:b/>
          <w:color w:val="auto"/>
          <w:kern w:val="0"/>
          <w:sz w:val="24"/>
          <w:szCs w:val="24"/>
          <w:highlight w:val="none"/>
        </w:rPr>
        <w:t>成交服务费</w:t>
      </w:r>
    </w:p>
    <w:p w14:paraId="62F1B679">
      <w:pPr>
        <w:shd w:val="clear" w:color="auto"/>
        <w:spacing w:line="440" w:lineRule="exact"/>
        <w:ind w:firstLine="484" w:firstLineChars="202"/>
        <w:rPr>
          <w:rFonts w:hint="default" w:ascii="Times New Roman" w:hAnsi="Times New Roman" w:eastAsia="宋体" w:cs="Times New Roman"/>
          <w:color w:val="000000" w:themeColor="text1"/>
          <w:kern w:val="0"/>
          <w:sz w:val="24"/>
          <w:szCs w:val="24"/>
          <w14:textFill>
            <w14:solidFill>
              <w14:schemeClr w14:val="tx1"/>
            </w14:solidFill>
          </w14:textFill>
        </w:rPr>
      </w:pPr>
      <w:bookmarkStart w:id="128" w:name="_Toc37090668"/>
      <w:bookmarkStart w:id="129" w:name="_Toc37091004"/>
      <w:bookmarkStart w:id="130" w:name="_Toc16311"/>
      <w:r>
        <w:rPr>
          <w:rFonts w:hint="eastAsia" w:eastAsia="宋体" w:cs="Times New Roman"/>
          <w:color w:val="000000" w:themeColor="text1"/>
          <w:kern w:val="0"/>
          <w:sz w:val="24"/>
          <w:szCs w:val="24"/>
          <w:lang w:val="en-US" w:eastAsia="zh-CN"/>
          <w14:textFill>
            <w14:solidFill>
              <w14:schemeClr w14:val="tx1"/>
            </w14:solidFill>
          </w14:textFill>
        </w:rPr>
        <w:t>35</w:t>
      </w:r>
      <w:r>
        <w:rPr>
          <w:rFonts w:hint="default" w:ascii="Times New Roman" w:hAnsi="Times New Roman" w:eastAsia="宋体" w:cs="Times New Roman"/>
          <w:color w:val="000000" w:themeColor="text1"/>
          <w:kern w:val="0"/>
          <w:sz w:val="24"/>
          <w:szCs w:val="24"/>
          <w14:textFill>
            <w14:solidFill>
              <w14:schemeClr w14:val="tx1"/>
            </w14:solidFill>
          </w14:textFill>
        </w:rPr>
        <w:t>.1成交供应商应按本</w:t>
      </w:r>
      <w:r>
        <w:rPr>
          <w:rFonts w:hint="default" w:ascii="Times New Roman" w:hAnsi="Times New Roman" w:eastAsia="宋体" w:cs="Times New Roman"/>
          <w:color w:val="000000" w:themeColor="text1"/>
          <w:kern w:val="0"/>
          <w:sz w:val="24"/>
          <w:szCs w:val="24"/>
          <w:lang w:eastAsia="zh-CN"/>
          <w14:textFill>
            <w14:solidFill>
              <w14:schemeClr w14:val="tx1"/>
            </w14:solidFill>
          </w14:textFill>
        </w:rPr>
        <w:t>竞争性磋商文件</w:t>
      </w:r>
      <w:r>
        <w:rPr>
          <w:rFonts w:hint="default" w:ascii="Times New Roman" w:hAnsi="Times New Roman" w:eastAsia="宋体" w:cs="Times New Roman"/>
          <w:color w:val="000000" w:themeColor="text1"/>
          <w:kern w:val="0"/>
          <w:sz w:val="24"/>
          <w:szCs w:val="24"/>
          <w14:textFill>
            <w14:solidFill>
              <w14:schemeClr w14:val="tx1"/>
            </w14:solidFill>
          </w14:textFill>
        </w:rPr>
        <w:t>的规定，在领取《成交通知书》时向采购代理机构一次性支付成交服务费。</w:t>
      </w:r>
      <w:r>
        <w:rPr>
          <w:rFonts w:hint="default" w:ascii="Times New Roman" w:hAnsi="Times New Roman" w:eastAsia="宋体" w:cs="Times New Roman"/>
          <w:bCs/>
          <w:color w:val="000000" w:themeColor="text1"/>
          <w:kern w:val="1"/>
          <w:sz w:val="24"/>
          <w:szCs w:val="24"/>
          <w14:textFill>
            <w14:solidFill>
              <w14:schemeClr w14:val="tx1"/>
            </w14:solidFill>
          </w14:textFill>
        </w:rPr>
        <w:t>其计算标准和方法参照原发改计价[2002]1980号文件规定标准执行。</w:t>
      </w:r>
    </w:p>
    <w:p w14:paraId="2021883B">
      <w:pPr>
        <w:shd w:val="clear" w:color="auto"/>
        <w:spacing w:line="440" w:lineRule="exact"/>
        <w:ind w:firstLine="487" w:firstLineChars="202"/>
        <w:rPr>
          <w:rFonts w:hint="default" w:ascii="Times New Roman" w:hAnsi="Times New Roman" w:eastAsia="宋体" w:cs="Times New Roman"/>
          <w:b/>
          <w:color w:val="000000" w:themeColor="text1"/>
          <w:kern w:val="0"/>
          <w:sz w:val="24"/>
          <w:szCs w:val="24"/>
          <w14:textFill>
            <w14:solidFill>
              <w14:schemeClr w14:val="tx1"/>
            </w14:solidFill>
          </w14:textFill>
        </w:rPr>
      </w:pPr>
      <w:r>
        <w:rPr>
          <w:rFonts w:hint="eastAsia" w:eastAsia="宋体" w:cs="Times New Roman"/>
          <w:b/>
          <w:color w:val="000000" w:themeColor="text1"/>
          <w:kern w:val="0"/>
          <w:sz w:val="24"/>
          <w:szCs w:val="24"/>
          <w:lang w:val="en-US" w:eastAsia="zh-CN"/>
          <w14:textFill>
            <w14:solidFill>
              <w14:schemeClr w14:val="tx1"/>
            </w14:solidFill>
          </w14:textFill>
        </w:rPr>
        <w:t>35</w:t>
      </w:r>
      <w:r>
        <w:rPr>
          <w:rFonts w:hint="default" w:ascii="Times New Roman" w:hAnsi="Times New Roman" w:eastAsia="宋体" w:cs="Times New Roman"/>
          <w:b/>
          <w:color w:val="000000" w:themeColor="text1"/>
          <w:kern w:val="0"/>
          <w:sz w:val="24"/>
          <w:szCs w:val="24"/>
          <w14:textFill>
            <w14:solidFill>
              <w14:schemeClr w14:val="tx1"/>
            </w14:solidFill>
          </w14:textFill>
        </w:rPr>
        <w:t>.2成交服务费的计算基数是成交供应商成交总金额，即成交通知书中载明的成交金额。如需要开具增值税专用发票，供应商请提供增值税专用发票开票信息（需加盖财务专用章）。</w:t>
      </w:r>
    </w:p>
    <w:p w14:paraId="3F35D3DE">
      <w:pPr>
        <w:spacing w:line="44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36</w:t>
      </w:r>
      <w:r>
        <w:rPr>
          <w:rFonts w:hint="eastAsia" w:ascii="宋体" w:hAnsi="宋体" w:eastAsia="宋体" w:cs="宋体"/>
          <w:b/>
          <w:bCs/>
          <w:color w:val="auto"/>
          <w:sz w:val="24"/>
          <w:szCs w:val="24"/>
          <w:highlight w:val="none"/>
        </w:rPr>
        <w:t xml:space="preserve">. </w:t>
      </w:r>
      <w:bookmarkEnd w:id="128"/>
      <w:bookmarkEnd w:id="129"/>
      <w:r>
        <w:rPr>
          <w:rFonts w:hint="eastAsia" w:ascii="宋体" w:hAnsi="宋体" w:eastAsia="宋体" w:cs="宋体"/>
          <w:b/>
          <w:bCs/>
          <w:color w:val="auto"/>
          <w:sz w:val="24"/>
          <w:szCs w:val="24"/>
          <w:highlight w:val="none"/>
          <w:lang w:eastAsia="zh-CN"/>
        </w:rPr>
        <w:t>磋商文件</w:t>
      </w:r>
      <w:r>
        <w:rPr>
          <w:rFonts w:hint="eastAsia" w:ascii="宋体" w:hAnsi="宋体" w:eastAsia="宋体" w:cs="宋体"/>
          <w:b/>
          <w:bCs/>
          <w:color w:val="auto"/>
          <w:sz w:val="24"/>
          <w:szCs w:val="24"/>
          <w:highlight w:val="none"/>
        </w:rPr>
        <w:t>的解释权</w:t>
      </w:r>
      <w:bookmarkEnd w:id="130"/>
    </w:p>
    <w:p w14:paraId="74437576">
      <w:pPr>
        <w:shd w:val="clear" w:color="auto"/>
        <w:spacing w:line="440" w:lineRule="exact"/>
        <w:ind w:firstLine="484" w:firstLineChars="202"/>
        <w:rPr>
          <w:rFonts w:ascii="宋体" w:hAnsi="宋体" w:eastAsia="宋体" w:cs="宋体"/>
          <w:color w:val="auto"/>
          <w:highlight w:val="none"/>
        </w:rPr>
      </w:pPr>
      <w:r>
        <w:rPr>
          <w:rFonts w:hint="eastAsia" w:ascii="宋体" w:hAnsi="宋体" w:eastAsia="宋体" w:cs="宋体"/>
          <w:color w:val="auto"/>
          <w:kern w:val="0"/>
          <w:sz w:val="24"/>
          <w:szCs w:val="24"/>
          <w:highlight w:val="none"/>
        </w:rPr>
        <w:t>本</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是根据《中华人民共和国政府采购法》及其实施条例（658号令）及《关于印发</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政府采购</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采购方式管理暂行办法</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的通知》（财库〔2014〕214号）及《财政部关于政府采购</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采购方式管理暂行办法有关问题的补充通知》（财库〔2015〕124号）的规定编制的，解释权属新疆恒达壹品项目管理咨询有限公司。</w:t>
      </w:r>
    </w:p>
    <w:p w14:paraId="1623364C">
      <w:pPr>
        <w:pStyle w:val="42"/>
        <w:numPr>
          <w:ilvl w:val="0"/>
          <w:numId w:val="0"/>
        </w:numPr>
        <w:spacing w:before="0" w:after="0"/>
        <w:jc w:val="center"/>
        <w:outlineLvl w:val="0"/>
        <w:rPr>
          <w:rFonts w:ascii="宋体" w:hAnsi="宋体" w:eastAsia="宋体" w:cs="宋体"/>
          <w:color w:val="auto"/>
          <w:spacing w:val="6"/>
          <w:sz w:val="44"/>
          <w:szCs w:val="44"/>
          <w:highlight w:val="none"/>
        </w:rPr>
      </w:pPr>
      <w:r>
        <w:rPr>
          <w:rFonts w:hint="eastAsia" w:ascii="宋体" w:hAnsi="宋体" w:eastAsia="宋体" w:cs="宋体"/>
          <w:color w:val="auto"/>
          <w:spacing w:val="6"/>
          <w:sz w:val="32"/>
          <w:szCs w:val="32"/>
          <w:highlight w:val="none"/>
        </w:rPr>
        <w:br w:type="page"/>
      </w:r>
      <w:bookmarkStart w:id="131" w:name="_Toc11619"/>
      <w:bookmarkStart w:id="132" w:name="_Toc14275"/>
      <w:r>
        <w:rPr>
          <w:rFonts w:hint="eastAsia" w:ascii="宋体" w:hAnsi="宋体" w:eastAsia="宋体" w:cs="宋体"/>
          <w:color w:val="auto"/>
          <w:spacing w:val="6"/>
          <w:sz w:val="32"/>
          <w:szCs w:val="32"/>
          <w:highlight w:val="none"/>
          <w:lang w:val="en-US" w:eastAsia="zh-CN"/>
        </w:rPr>
        <w:t xml:space="preserve">第三章 </w:t>
      </w:r>
      <w:r>
        <w:rPr>
          <w:rFonts w:hint="eastAsia" w:ascii="宋体" w:hAnsi="宋体" w:eastAsia="宋体" w:cs="宋体"/>
          <w:color w:val="auto"/>
          <w:spacing w:val="6"/>
          <w:sz w:val="32"/>
          <w:szCs w:val="32"/>
          <w:highlight w:val="none"/>
        </w:rPr>
        <w:t>采购需求</w:t>
      </w:r>
      <w:bookmarkEnd w:id="131"/>
      <w:bookmarkEnd w:id="132"/>
    </w:p>
    <w:p w14:paraId="7BCB353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4"/>
          <w:szCs w:val="20"/>
        </w:rPr>
      </w:pPr>
      <w:r>
        <w:rPr>
          <w:rFonts w:hint="eastAsia" w:ascii="宋体" w:hAnsi="宋体" w:eastAsia="宋体" w:cs="宋体"/>
          <w:b w:val="0"/>
          <w:bCs w:val="0"/>
          <w:color w:val="auto"/>
          <w:sz w:val="24"/>
          <w:szCs w:val="20"/>
        </w:rPr>
        <w:t>1、项目</w:t>
      </w:r>
      <w:r>
        <w:rPr>
          <w:rFonts w:hint="eastAsia" w:ascii="宋体" w:hAnsi="宋体" w:eastAsia="宋体" w:cs="宋体"/>
          <w:b w:val="0"/>
          <w:bCs w:val="0"/>
          <w:color w:val="auto"/>
          <w:sz w:val="24"/>
          <w:szCs w:val="20"/>
          <w:lang w:val="en-US" w:eastAsia="zh-CN"/>
        </w:rPr>
        <w:t>名称</w:t>
      </w:r>
      <w:r>
        <w:rPr>
          <w:rFonts w:hint="eastAsia" w:ascii="宋体" w:hAnsi="宋体" w:eastAsia="宋体" w:cs="宋体"/>
          <w:b w:val="0"/>
          <w:bCs w:val="0"/>
          <w:color w:val="auto"/>
          <w:sz w:val="24"/>
          <w:szCs w:val="20"/>
        </w:rPr>
        <w:t>：</w:t>
      </w:r>
      <w:r>
        <w:rPr>
          <w:rFonts w:hint="eastAsia" w:ascii="宋体" w:hAnsi="宋体" w:eastAsia="宋体" w:cs="宋体"/>
          <w:color w:val="auto"/>
          <w:kern w:val="0"/>
          <w:sz w:val="24"/>
          <w:szCs w:val="24"/>
          <w:highlight w:val="none"/>
        </w:rPr>
        <w:t>2025年达坂城区全面实施预算绩效管理咨询服务</w:t>
      </w:r>
    </w:p>
    <w:p w14:paraId="01DE82A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val="0"/>
          <w:bCs w:val="0"/>
          <w:color w:val="auto"/>
          <w:sz w:val="24"/>
          <w:szCs w:val="20"/>
          <w:lang w:val="en-US" w:eastAsia="zh-CN"/>
        </w:rPr>
      </w:pPr>
      <w:r>
        <w:rPr>
          <w:rFonts w:hint="eastAsia" w:ascii="宋体" w:hAnsi="宋体" w:eastAsia="宋体" w:cs="宋体"/>
          <w:b w:val="0"/>
          <w:bCs w:val="0"/>
          <w:color w:val="auto"/>
          <w:sz w:val="24"/>
          <w:szCs w:val="20"/>
        </w:rPr>
        <w:t>2、合同履约期限：</w:t>
      </w:r>
      <w:r>
        <w:rPr>
          <w:rFonts w:hint="eastAsia" w:ascii="宋体" w:hAnsi="宋体" w:eastAsia="宋体" w:cs="宋体"/>
          <w:b w:val="0"/>
          <w:bCs w:val="0"/>
          <w:color w:val="auto"/>
          <w:sz w:val="24"/>
          <w:szCs w:val="20"/>
          <w:lang w:val="en-US" w:eastAsia="zh-CN"/>
        </w:rPr>
        <w:t>1年</w:t>
      </w:r>
    </w:p>
    <w:p w14:paraId="444674F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4"/>
          <w:szCs w:val="20"/>
        </w:rPr>
      </w:pPr>
      <w:r>
        <w:rPr>
          <w:rFonts w:hint="eastAsia" w:ascii="宋体" w:hAnsi="宋体" w:eastAsia="宋体" w:cs="宋体"/>
          <w:b w:val="0"/>
          <w:bCs w:val="0"/>
          <w:color w:val="auto"/>
          <w:sz w:val="24"/>
          <w:szCs w:val="20"/>
        </w:rPr>
        <w:t>3、质量要求：合格。</w:t>
      </w:r>
    </w:p>
    <w:p w14:paraId="3608064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auto"/>
          <w:sz w:val="24"/>
          <w:szCs w:val="20"/>
          <w:lang w:val="en-US" w:eastAsia="zh-CN"/>
        </w:rPr>
      </w:pPr>
      <w:r>
        <w:rPr>
          <w:rFonts w:hint="eastAsia" w:ascii="宋体" w:hAnsi="宋体" w:eastAsia="宋体" w:cs="宋体"/>
          <w:b w:val="0"/>
          <w:bCs w:val="0"/>
          <w:color w:val="auto"/>
          <w:sz w:val="24"/>
          <w:szCs w:val="20"/>
        </w:rPr>
        <w:t>4、付款方式：</w:t>
      </w:r>
      <w:r>
        <w:rPr>
          <w:rFonts w:hint="eastAsia" w:ascii="宋体" w:hAnsi="宋体" w:eastAsia="宋体" w:cs="宋体"/>
          <w:b w:val="0"/>
          <w:bCs w:val="0"/>
          <w:color w:val="auto"/>
          <w:sz w:val="24"/>
          <w:szCs w:val="20"/>
          <w:lang w:val="en-US" w:eastAsia="zh-CN"/>
        </w:rPr>
        <w:t>具体以实际签订合同为准</w:t>
      </w:r>
    </w:p>
    <w:p w14:paraId="6986028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b w:val="0"/>
          <w:bCs w:val="0"/>
          <w:sz w:val="32"/>
          <w:szCs w:val="22"/>
        </w:rPr>
      </w:pPr>
      <w:r>
        <w:rPr>
          <w:rFonts w:hint="eastAsia" w:ascii="宋体" w:hAnsi="宋体" w:eastAsia="宋体" w:cs="宋体"/>
          <w:b w:val="0"/>
          <w:bCs w:val="0"/>
          <w:color w:val="auto"/>
          <w:sz w:val="24"/>
          <w:szCs w:val="20"/>
          <w:lang w:val="en-US" w:eastAsia="zh-CN"/>
        </w:rPr>
        <w:t>5、</w:t>
      </w:r>
      <w:r>
        <w:rPr>
          <w:rFonts w:hint="eastAsia" w:ascii="宋体" w:hAnsi="宋体" w:eastAsia="宋体" w:cs="宋体"/>
          <w:b w:val="0"/>
          <w:bCs w:val="0"/>
          <w:sz w:val="24"/>
          <w:szCs w:val="20"/>
        </w:rPr>
        <w:t>达坂城区财政局第三方机构服务清单</w:t>
      </w:r>
    </w:p>
    <w:tbl>
      <w:tblPr>
        <w:tblStyle w:val="27"/>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29"/>
        <w:gridCol w:w="7108"/>
      </w:tblGrid>
      <w:tr w14:paraId="3EA3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jc w:val="center"/>
        </w:trPr>
        <w:tc>
          <w:tcPr>
            <w:tcW w:w="1529" w:type="dxa"/>
            <w:shd w:val="clear" w:color="auto" w:fill="auto"/>
            <w:tcMar>
              <w:top w:w="0" w:type="dxa"/>
              <w:left w:w="108" w:type="dxa"/>
              <w:bottom w:w="0" w:type="dxa"/>
              <w:right w:w="108" w:type="dxa"/>
            </w:tcMar>
          </w:tcPr>
          <w:p w14:paraId="2A3A0DBF">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b/>
                <w:bCs/>
                <w:kern w:val="0"/>
                <w:sz w:val="21"/>
                <w:szCs w:val="21"/>
              </w:rPr>
              <w:t>项目名称</w:t>
            </w:r>
          </w:p>
        </w:tc>
        <w:tc>
          <w:tcPr>
            <w:tcW w:w="7108" w:type="dxa"/>
            <w:shd w:val="clear" w:color="auto" w:fill="auto"/>
            <w:tcMar>
              <w:top w:w="0" w:type="dxa"/>
              <w:left w:w="108" w:type="dxa"/>
              <w:bottom w:w="0" w:type="dxa"/>
              <w:right w:w="108" w:type="dxa"/>
            </w:tcMar>
          </w:tcPr>
          <w:p w14:paraId="3200AD79">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b/>
                <w:bCs/>
                <w:kern w:val="0"/>
                <w:sz w:val="21"/>
                <w:szCs w:val="21"/>
              </w:rPr>
              <w:t>服务内容</w:t>
            </w:r>
          </w:p>
        </w:tc>
      </w:tr>
      <w:tr w14:paraId="1229E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1529" w:type="dxa"/>
            <w:vMerge w:val="restart"/>
            <w:shd w:val="clear" w:color="auto" w:fill="auto"/>
            <w:tcMar>
              <w:top w:w="0" w:type="dxa"/>
              <w:left w:w="108" w:type="dxa"/>
              <w:bottom w:w="0" w:type="dxa"/>
              <w:right w:w="108" w:type="dxa"/>
            </w:tcMar>
            <w:vAlign w:val="center"/>
          </w:tcPr>
          <w:p w14:paraId="16908A60">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2025年达坂城区全面实施预算绩效管理咨询服务</w:t>
            </w:r>
          </w:p>
        </w:tc>
        <w:tc>
          <w:tcPr>
            <w:tcW w:w="7108" w:type="dxa"/>
            <w:shd w:val="clear" w:color="auto" w:fill="auto"/>
            <w:tcMar>
              <w:top w:w="0" w:type="dxa"/>
              <w:left w:w="108" w:type="dxa"/>
              <w:bottom w:w="0" w:type="dxa"/>
              <w:right w:w="108" w:type="dxa"/>
            </w:tcMar>
            <w:vAlign w:val="center"/>
          </w:tcPr>
          <w:p w14:paraId="03220CC6">
            <w:pPr>
              <w:widowControl/>
              <w:jc w:val="left"/>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1、预算绩效基础管理工作</w:t>
            </w:r>
          </w:p>
          <w:p w14:paraId="03835978">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（1）制度文件梳理。协助部门（单位）出台预算绩效管理流程等相关文件。</w:t>
            </w:r>
          </w:p>
          <w:p w14:paraId="72DE5834">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（2）绩效管理工作考核。成交人将协助部门（单位）对下级单位预算绩效管理工作实际开展情况，依据相应的考核评分表进行考核打分。</w:t>
            </w:r>
          </w:p>
        </w:tc>
      </w:tr>
      <w:tr w14:paraId="1993A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1529" w:type="dxa"/>
            <w:vMerge w:val="continue"/>
            <w:shd w:val="clear" w:color="auto" w:fill="auto"/>
            <w:tcMar>
              <w:top w:w="0" w:type="dxa"/>
              <w:left w:w="108" w:type="dxa"/>
              <w:bottom w:w="0" w:type="dxa"/>
              <w:right w:w="108" w:type="dxa"/>
            </w:tcMar>
            <w:vAlign w:val="center"/>
          </w:tcPr>
          <w:p w14:paraId="15E0B059">
            <w:pPr>
              <w:widowControl/>
              <w:jc w:val="center"/>
              <w:rPr>
                <w:rFonts w:hint="default" w:ascii="Times New Roman" w:hAnsi="Times New Roman" w:eastAsia="宋体" w:cs="Times New Roman"/>
                <w:color w:val="000000"/>
                <w:kern w:val="0"/>
                <w:sz w:val="21"/>
                <w:szCs w:val="21"/>
              </w:rPr>
            </w:pPr>
          </w:p>
        </w:tc>
        <w:tc>
          <w:tcPr>
            <w:tcW w:w="7108" w:type="dxa"/>
            <w:shd w:val="clear" w:color="auto" w:fill="auto"/>
            <w:tcMar>
              <w:top w:w="0" w:type="dxa"/>
              <w:left w:w="108" w:type="dxa"/>
              <w:bottom w:w="0" w:type="dxa"/>
              <w:right w:w="108" w:type="dxa"/>
            </w:tcMar>
            <w:vAlign w:val="center"/>
          </w:tcPr>
          <w:p w14:paraId="678099E0">
            <w:pPr>
              <w:widowControl/>
              <w:jc w:val="left"/>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2、绩效目标填报及审核辅导</w:t>
            </w:r>
          </w:p>
          <w:p w14:paraId="19B384B9">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（1）建立健全定量和定性相结合、共性和个性相结合的绩效指标框架。</w:t>
            </w:r>
          </w:p>
          <w:p w14:paraId="25A6F935">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（2）帮助部门单位科学合理的制定绩效目标；进行绩效目标填报辅导，协助开展好项目及部门整体绩效目标的审核、把关工作。</w:t>
            </w:r>
          </w:p>
        </w:tc>
      </w:tr>
      <w:tr w14:paraId="02ED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1529" w:type="dxa"/>
            <w:vMerge w:val="continue"/>
            <w:shd w:val="clear" w:color="auto" w:fill="auto"/>
            <w:noWrap/>
            <w:tcMar>
              <w:top w:w="0" w:type="dxa"/>
              <w:left w:w="108" w:type="dxa"/>
              <w:bottom w:w="0" w:type="dxa"/>
              <w:right w:w="108" w:type="dxa"/>
            </w:tcMar>
            <w:vAlign w:val="center"/>
          </w:tcPr>
          <w:p w14:paraId="648FB7DB">
            <w:pPr>
              <w:jc w:val="center"/>
              <w:rPr>
                <w:rFonts w:hint="default" w:ascii="Times New Roman" w:hAnsi="Times New Roman" w:eastAsia="宋体" w:cs="Times New Roman"/>
                <w:color w:val="000000"/>
                <w:kern w:val="0"/>
                <w:sz w:val="21"/>
                <w:szCs w:val="21"/>
              </w:rPr>
            </w:pPr>
          </w:p>
        </w:tc>
        <w:tc>
          <w:tcPr>
            <w:tcW w:w="7108" w:type="dxa"/>
            <w:shd w:val="clear" w:color="auto" w:fill="auto"/>
            <w:noWrap/>
            <w:tcMar>
              <w:top w:w="0" w:type="dxa"/>
              <w:left w:w="108" w:type="dxa"/>
              <w:bottom w:w="0" w:type="dxa"/>
              <w:right w:w="108" w:type="dxa"/>
            </w:tcMar>
            <w:vAlign w:val="center"/>
          </w:tcPr>
          <w:p w14:paraId="48398A4D">
            <w:pPr>
              <w:widowControl/>
              <w:jc w:val="left"/>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3、绩效运行监控填报及审核</w:t>
            </w:r>
          </w:p>
          <w:p w14:paraId="0D6C4A93">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（1）协助部门单位完成整体绩效及项目绩效监控工作。</w:t>
            </w:r>
          </w:p>
          <w:p w14:paraId="604A6956">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以每年六月为节点，指导部门单位整体绩效进行绩效监控，协助区财政局审核各单位整体绩效监控，包含绩效监控执行情况、预算执行情况、绩效目标实现程度、效益产出与绩效目标偏离情况等，发现偏离度较高的单位，提出预算调整意见。</w:t>
            </w:r>
          </w:p>
          <w:p w14:paraId="2B62062A">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（3）每年以5月、8月为节点，开展项目绩效监控，协助区财政局审核项目预算执行情况、绩效目标实现程度、效益产出与绩效目标偏离情况等，发现偏离度较高的单位，提出预算调整意见。</w:t>
            </w:r>
          </w:p>
        </w:tc>
      </w:tr>
      <w:tr w14:paraId="51D53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1529" w:type="dxa"/>
            <w:vMerge w:val="continue"/>
            <w:shd w:val="clear" w:color="auto" w:fill="auto"/>
            <w:noWrap/>
            <w:tcMar>
              <w:top w:w="0" w:type="dxa"/>
              <w:left w:w="108" w:type="dxa"/>
              <w:bottom w:w="0" w:type="dxa"/>
              <w:right w:w="108" w:type="dxa"/>
            </w:tcMar>
            <w:vAlign w:val="center"/>
          </w:tcPr>
          <w:p w14:paraId="56BF8B8A">
            <w:pPr>
              <w:widowControl/>
              <w:jc w:val="center"/>
              <w:rPr>
                <w:rFonts w:hint="default" w:ascii="Times New Roman" w:hAnsi="Times New Roman" w:eastAsia="宋体" w:cs="Times New Roman"/>
                <w:color w:val="000000"/>
                <w:kern w:val="0"/>
                <w:sz w:val="21"/>
                <w:szCs w:val="21"/>
              </w:rPr>
            </w:pPr>
          </w:p>
        </w:tc>
        <w:tc>
          <w:tcPr>
            <w:tcW w:w="7108" w:type="dxa"/>
            <w:shd w:val="clear" w:color="auto" w:fill="auto"/>
            <w:noWrap/>
            <w:tcMar>
              <w:top w:w="0" w:type="dxa"/>
              <w:left w:w="108" w:type="dxa"/>
              <w:bottom w:w="0" w:type="dxa"/>
              <w:right w:w="108" w:type="dxa"/>
            </w:tcMar>
            <w:vAlign w:val="center"/>
          </w:tcPr>
          <w:p w14:paraId="53B20778">
            <w:pPr>
              <w:widowControl/>
              <w:jc w:val="left"/>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4、绩效评价填报及审核</w:t>
            </w:r>
          </w:p>
          <w:p w14:paraId="26B52824">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（1）审核各单位自评表。协助各部门和单位开展自评工作，并对自评表的完整性、准确性、科学性、真实性进行审核。延伸绩效评价结果应用。</w:t>
            </w:r>
          </w:p>
          <w:p w14:paraId="45681AFB">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（2）开展项目绩效评价。完成20%财政资金项目绩效评价工作，并对部门评价报告的完整性、准确性、科学性、真实性进行审核。延伸绩效评价结果应用。</w:t>
            </w:r>
          </w:p>
          <w:p w14:paraId="65EEB724">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（3）开展部门整体绩效评价。完成部门单位整体绩效评价工作，并对部门整体评价报告的完整性、准确性、科学性、真实性进行审核。延伸绩效评价结果应用。</w:t>
            </w:r>
          </w:p>
          <w:p w14:paraId="7B10D3BB">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（4）由财政部门组织、成交人协助，开展重点绩效评价。通过选取有代表性的重点项目，由成交人主导实施。总结项目成效，分析挖掘项目执行过程中的问题不足，形成绩效评价报告。</w:t>
            </w:r>
          </w:p>
        </w:tc>
      </w:tr>
      <w:tr w14:paraId="50B6B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1529" w:type="dxa"/>
            <w:vMerge w:val="continue"/>
            <w:shd w:val="clear" w:color="auto" w:fill="auto"/>
            <w:noWrap/>
            <w:tcMar>
              <w:top w:w="0" w:type="dxa"/>
              <w:left w:w="108" w:type="dxa"/>
              <w:bottom w:w="0" w:type="dxa"/>
              <w:right w:w="108" w:type="dxa"/>
            </w:tcMar>
            <w:vAlign w:val="center"/>
          </w:tcPr>
          <w:p w14:paraId="17DA38A3">
            <w:pPr>
              <w:widowControl/>
              <w:jc w:val="center"/>
              <w:rPr>
                <w:rFonts w:hint="default" w:ascii="Times New Roman" w:hAnsi="Times New Roman" w:eastAsia="宋体" w:cs="Times New Roman"/>
                <w:color w:val="000000"/>
                <w:kern w:val="0"/>
                <w:sz w:val="21"/>
                <w:szCs w:val="21"/>
              </w:rPr>
            </w:pPr>
          </w:p>
        </w:tc>
        <w:tc>
          <w:tcPr>
            <w:tcW w:w="7108" w:type="dxa"/>
            <w:shd w:val="clear" w:color="auto" w:fill="auto"/>
            <w:noWrap/>
            <w:tcMar>
              <w:top w:w="0" w:type="dxa"/>
              <w:left w:w="108" w:type="dxa"/>
              <w:bottom w:w="0" w:type="dxa"/>
              <w:right w:w="108" w:type="dxa"/>
            </w:tcMar>
            <w:vAlign w:val="center"/>
          </w:tcPr>
          <w:p w14:paraId="31843925">
            <w:pPr>
              <w:widowControl/>
              <w:jc w:val="left"/>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5、组织开展绩效管理培训</w:t>
            </w:r>
          </w:p>
          <w:p w14:paraId="5322DBC5">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组织相关人员针对绩效管理知识及流程、操作等相关内容，以及新出台的各项绩效政策，开展绩效管理培训，每年至少组织</w:t>
            </w:r>
            <w:r>
              <w:rPr>
                <w:rFonts w:hint="default" w:ascii="Times New Roman" w:hAnsi="Times New Roman" w:eastAsia="宋体" w:cs="Times New Roman"/>
                <w:color w:val="000000"/>
                <w:kern w:val="0"/>
                <w:sz w:val="21"/>
                <w:szCs w:val="21"/>
                <w:lang w:val="en-US" w:eastAsia="zh-CN"/>
              </w:rPr>
              <w:t>6</w:t>
            </w:r>
            <w:r>
              <w:rPr>
                <w:rFonts w:hint="default" w:ascii="Times New Roman" w:hAnsi="Times New Roman" w:eastAsia="宋体" w:cs="Times New Roman"/>
                <w:color w:val="000000"/>
                <w:kern w:val="0"/>
                <w:sz w:val="21"/>
                <w:szCs w:val="21"/>
              </w:rPr>
              <w:t>次，每次培训课时不少于</w:t>
            </w:r>
            <w:r>
              <w:rPr>
                <w:rFonts w:hint="default" w:ascii="Times New Roman" w:hAnsi="Times New Roman" w:eastAsia="宋体" w:cs="Times New Roman"/>
                <w:color w:val="000000"/>
                <w:kern w:val="0"/>
                <w:sz w:val="21"/>
                <w:szCs w:val="21"/>
                <w:lang w:val="en-US" w:eastAsia="zh-CN"/>
              </w:rPr>
              <w:t>2</w:t>
            </w:r>
            <w:r>
              <w:rPr>
                <w:rFonts w:hint="default" w:ascii="Times New Roman" w:hAnsi="Times New Roman" w:eastAsia="宋体" w:cs="Times New Roman"/>
                <w:color w:val="000000"/>
                <w:kern w:val="0"/>
                <w:sz w:val="21"/>
                <w:szCs w:val="21"/>
              </w:rPr>
              <w:t>个小时。</w:t>
            </w:r>
          </w:p>
        </w:tc>
      </w:tr>
      <w:tr w14:paraId="4AD6A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1529" w:type="dxa"/>
            <w:vMerge w:val="continue"/>
            <w:shd w:val="clear" w:color="auto" w:fill="auto"/>
            <w:noWrap/>
            <w:tcMar>
              <w:top w:w="0" w:type="dxa"/>
              <w:left w:w="108" w:type="dxa"/>
              <w:bottom w:w="0" w:type="dxa"/>
              <w:right w:w="108" w:type="dxa"/>
            </w:tcMar>
            <w:vAlign w:val="center"/>
          </w:tcPr>
          <w:p w14:paraId="55AF4657">
            <w:pPr>
              <w:widowControl/>
              <w:jc w:val="center"/>
              <w:rPr>
                <w:rFonts w:hint="default" w:ascii="Times New Roman" w:hAnsi="Times New Roman" w:eastAsia="宋体" w:cs="Times New Roman"/>
                <w:color w:val="000000"/>
                <w:kern w:val="0"/>
                <w:sz w:val="21"/>
                <w:szCs w:val="21"/>
              </w:rPr>
            </w:pPr>
          </w:p>
        </w:tc>
        <w:tc>
          <w:tcPr>
            <w:tcW w:w="7108" w:type="dxa"/>
            <w:shd w:val="clear" w:color="auto" w:fill="auto"/>
            <w:noWrap/>
            <w:tcMar>
              <w:top w:w="0" w:type="dxa"/>
              <w:left w:w="108" w:type="dxa"/>
              <w:bottom w:w="0" w:type="dxa"/>
              <w:right w:w="108" w:type="dxa"/>
            </w:tcMar>
            <w:vAlign w:val="center"/>
          </w:tcPr>
          <w:p w14:paraId="480FEA4D">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6.保证至少1名稳定人员驻现场服务，完成与各部门单位、人员的工作对接，对绩效管理相关工作的指导；在预算绩效管理重要节点，工作紧迫时能及时增调工作人员完成工作；按要求完成上级及财政部门关于绩效管理工作任务。</w:t>
            </w:r>
          </w:p>
        </w:tc>
      </w:tr>
    </w:tbl>
    <w:p w14:paraId="330B35E3">
      <w:pPr>
        <w:shd w:val="clear" w:color="auto" w:fill="FFFFFF"/>
        <w:spacing w:line="44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14:paraId="69C36EAE">
      <w:pPr>
        <w:widowControl/>
        <w:suppressAutoHyphens w:val="0"/>
        <w:spacing w:line="480" w:lineRule="exact"/>
        <w:jc w:val="center"/>
        <w:outlineLvl w:val="0"/>
        <w:rPr>
          <w:rStyle w:val="36"/>
          <w:rFonts w:ascii="宋体" w:hAnsi="宋体" w:eastAsia="宋体" w:cs="宋体"/>
          <w:color w:val="auto"/>
          <w:highlight w:val="none"/>
        </w:rPr>
      </w:pPr>
      <w:bookmarkStart w:id="133" w:name="_Toc28961"/>
      <w:r>
        <w:rPr>
          <w:rStyle w:val="36"/>
          <w:rFonts w:hint="eastAsia" w:ascii="宋体" w:hAnsi="宋体" w:eastAsia="宋体" w:cs="宋体"/>
          <w:color w:val="auto"/>
          <w:highlight w:val="none"/>
        </w:rPr>
        <w:t>第四章 合同条款</w:t>
      </w:r>
      <w:bookmarkEnd w:id="133"/>
    </w:p>
    <w:p w14:paraId="0CE3C05E">
      <w:pPr>
        <w:spacing w:before="31" w:after="31" w:line="360" w:lineRule="auto"/>
        <w:jc w:val="center"/>
        <w:rPr>
          <w:rFonts w:hint="eastAsia" w:ascii="宋体" w:hAnsi="宋体" w:eastAsia="宋体" w:cs="宋体"/>
          <w:bCs/>
          <w:color w:val="auto"/>
          <w:kern w:val="0"/>
          <w:sz w:val="44"/>
          <w:szCs w:val="44"/>
          <w:highlight w:val="none"/>
          <w:lang w:val="en-US" w:eastAsia="zh-CN"/>
        </w:rPr>
      </w:pPr>
      <w:r>
        <w:rPr>
          <w:rStyle w:val="36"/>
          <w:rFonts w:hint="eastAsia" w:ascii="宋体" w:hAnsi="宋体" w:eastAsia="宋体" w:cs="宋体"/>
          <w:color w:val="auto"/>
          <w:highlight w:val="none"/>
        </w:rPr>
        <w:br w:type="page"/>
      </w:r>
    </w:p>
    <w:p w14:paraId="16283E01">
      <w:pPr>
        <w:snapToGrid w:val="0"/>
        <w:spacing w:line="400" w:lineRule="exact"/>
        <w:jc w:val="center"/>
        <w:rPr>
          <w:rFonts w:ascii="宋体" w:hAnsi="宋体"/>
          <w:b/>
          <w:bCs/>
          <w:color w:val="auto"/>
          <w:sz w:val="28"/>
          <w:szCs w:val="28"/>
          <w:highlight w:val="none"/>
        </w:rPr>
      </w:pPr>
      <w:bookmarkStart w:id="134" w:name="EBe1f6dcc1acc64e30b7a34d7cfa3bf34d"/>
    </w:p>
    <w:bookmarkEnd w:id="134"/>
    <w:p w14:paraId="3416D7BF">
      <w:pPr>
        <w:pStyle w:val="3"/>
        <w:jc w:val="center"/>
        <w:rPr>
          <w:rFonts w:hint="eastAsia" w:ascii="宋体" w:hAnsi="宋体" w:eastAsia="宋体" w:cs="宋体"/>
          <w:color w:val="auto"/>
          <w:highlight w:val="none"/>
          <w:lang w:eastAsia="zh-CN"/>
        </w:rPr>
      </w:pPr>
      <w:bookmarkStart w:id="135" w:name="_Toc420948017"/>
      <w:bookmarkStart w:id="136" w:name="_Toc433187361"/>
      <w:bookmarkStart w:id="137" w:name="_Toc8583"/>
      <w:r>
        <w:rPr>
          <w:rFonts w:hint="eastAsia" w:ascii="宋体" w:hAnsi="宋体" w:cs="宋体"/>
          <w:color w:val="auto"/>
          <w:highlight w:val="none"/>
          <w:lang w:eastAsia="zh-CN"/>
        </w:rPr>
        <w:t>政府采购合同模板</w:t>
      </w:r>
    </w:p>
    <w:bookmarkEnd w:id="135"/>
    <w:bookmarkEnd w:id="136"/>
    <w:p w14:paraId="1FA0F9D5">
      <w:pPr>
        <w:pStyle w:val="11"/>
        <w:spacing w:after="0"/>
        <w:jc w:val="center"/>
        <w:rPr>
          <w:rFonts w:ascii="宋体" w:hAnsi="宋体" w:cs="宋体"/>
          <w:b/>
          <w:bCs/>
          <w:color w:val="auto"/>
          <w:spacing w:val="-20"/>
          <w:kern w:val="44"/>
          <w:sz w:val="48"/>
          <w:szCs w:val="48"/>
          <w:highlight w:val="none"/>
        </w:rPr>
      </w:pPr>
      <w:bookmarkStart w:id="138" w:name="_Toc3995"/>
    </w:p>
    <w:bookmarkEnd w:id="138"/>
    <w:p w14:paraId="4EAA2B14">
      <w:pPr>
        <w:pStyle w:val="23"/>
        <w:spacing w:line="440" w:lineRule="exact"/>
        <w:ind w:firstLine="705"/>
        <w:rPr>
          <w:color w:val="333333"/>
          <w:highlight w:val="none"/>
          <w:u w:val="single"/>
        </w:rPr>
      </w:pPr>
      <w:r>
        <w:rPr>
          <w:rFonts w:hint="eastAsia"/>
          <w:color w:val="333333"/>
          <w:highlight w:val="none"/>
        </w:rPr>
        <w:t>委托方（甲方）：</w:t>
      </w:r>
      <w:r>
        <w:rPr>
          <w:rFonts w:hint="eastAsia"/>
          <w:color w:val="333333"/>
          <w:highlight w:val="none"/>
          <w:u w:val="single"/>
        </w:rPr>
        <w:t xml:space="preserve">              </w:t>
      </w:r>
      <w:r>
        <w:rPr>
          <w:rFonts w:hint="eastAsia"/>
          <w:color w:val="333333"/>
          <w:highlight w:val="none"/>
        </w:rPr>
        <w:br w:type="textWrapping"/>
      </w:r>
      <w:r>
        <w:rPr>
          <w:rFonts w:hint="eastAsia"/>
          <w:color w:val="333333"/>
          <w:highlight w:val="none"/>
        </w:rPr>
        <w:t>   住所地：</w:t>
      </w:r>
      <w:r>
        <w:rPr>
          <w:rFonts w:hint="eastAsia"/>
          <w:color w:val="333333"/>
          <w:highlight w:val="none"/>
          <w:u w:val="single"/>
        </w:rPr>
        <w:t xml:space="preserve">                      </w:t>
      </w:r>
    </w:p>
    <w:p w14:paraId="48CA5731">
      <w:pPr>
        <w:pStyle w:val="23"/>
        <w:spacing w:line="440" w:lineRule="exact"/>
        <w:ind w:firstLine="823" w:firstLineChars="343"/>
        <w:rPr>
          <w:color w:val="333333"/>
          <w:highlight w:val="none"/>
        </w:rPr>
      </w:pPr>
      <w:r>
        <w:rPr>
          <w:rFonts w:hint="eastAsia"/>
          <w:color w:val="333333"/>
          <w:highlight w:val="none"/>
        </w:rPr>
        <w:t>法定代表人：</w:t>
      </w:r>
      <w:r>
        <w:rPr>
          <w:rFonts w:hint="eastAsia"/>
          <w:color w:val="333333"/>
          <w:highlight w:val="none"/>
          <w:u w:val="single"/>
        </w:rPr>
        <w:t xml:space="preserve">             </w:t>
      </w:r>
      <w:r>
        <w:rPr>
          <w:rFonts w:hint="eastAsia"/>
          <w:color w:val="333333"/>
          <w:highlight w:val="none"/>
          <w:u w:val="single"/>
        </w:rPr>
        <w:br w:type="textWrapping"/>
      </w:r>
      <w:r>
        <w:rPr>
          <w:rFonts w:hint="eastAsia"/>
          <w:color w:val="333333"/>
          <w:highlight w:val="none"/>
        </w:rPr>
        <w:t>    项目联系人：</w:t>
      </w:r>
      <w:r>
        <w:rPr>
          <w:rFonts w:hint="eastAsia"/>
          <w:color w:val="333333"/>
          <w:highlight w:val="none"/>
          <w:u w:val="single"/>
        </w:rPr>
        <w:t xml:space="preserve">             </w:t>
      </w:r>
      <w:r>
        <w:rPr>
          <w:rFonts w:hint="eastAsia"/>
          <w:color w:val="333333"/>
          <w:highlight w:val="none"/>
        </w:rPr>
        <w:br w:type="textWrapping"/>
      </w:r>
      <w:r>
        <w:rPr>
          <w:rFonts w:hint="eastAsia"/>
          <w:color w:val="333333"/>
          <w:highlight w:val="none"/>
        </w:rPr>
        <w:t>    通讯地址：</w:t>
      </w:r>
      <w:r>
        <w:rPr>
          <w:rFonts w:hint="eastAsia"/>
          <w:color w:val="333333"/>
          <w:highlight w:val="none"/>
          <w:u w:val="single"/>
        </w:rPr>
        <w:t xml:space="preserve">               </w:t>
      </w:r>
      <w:r>
        <w:rPr>
          <w:rFonts w:hint="eastAsia"/>
          <w:color w:val="333333"/>
          <w:highlight w:val="none"/>
          <w:u w:val="single"/>
        </w:rPr>
        <w:br w:type="textWrapping"/>
      </w:r>
      <w:r>
        <w:rPr>
          <w:rFonts w:hint="eastAsia"/>
          <w:color w:val="333333"/>
          <w:highlight w:val="none"/>
        </w:rPr>
        <w:t>　　   电话：</w:t>
      </w:r>
      <w:r>
        <w:rPr>
          <w:rFonts w:hint="eastAsia"/>
          <w:color w:val="333333"/>
          <w:highlight w:val="none"/>
          <w:u w:val="single"/>
        </w:rPr>
        <w:t xml:space="preserve">                   </w:t>
      </w:r>
      <w:r>
        <w:rPr>
          <w:rFonts w:hint="eastAsia"/>
          <w:color w:val="333333"/>
          <w:highlight w:val="none"/>
        </w:rPr>
        <w:t xml:space="preserve">    </w:t>
      </w:r>
      <w:r>
        <w:rPr>
          <w:rFonts w:hint="eastAsia"/>
          <w:color w:val="333333"/>
          <w:highlight w:val="none"/>
        </w:rPr>
        <w:br w:type="textWrapping"/>
      </w:r>
      <w:r>
        <w:rPr>
          <w:rFonts w:hint="eastAsia"/>
          <w:color w:val="333333"/>
          <w:highlight w:val="none"/>
        </w:rPr>
        <w:t>　　   电子信箱：</w:t>
      </w:r>
      <w:r>
        <w:rPr>
          <w:rFonts w:hint="eastAsia"/>
          <w:color w:val="333333"/>
          <w:highlight w:val="none"/>
          <w:u w:val="single"/>
        </w:rPr>
        <w:t xml:space="preserve">               </w:t>
      </w:r>
    </w:p>
    <w:p w14:paraId="4EA898A0">
      <w:pPr>
        <w:pStyle w:val="23"/>
        <w:spacing w:line="440" w:lineRule="exact"/>
        <w:rPr>
          <w:color w:val="333333"/>
          <w:highlight w:val="none"/>
        </w:rPr>
      </w:pPr>
      <w:r>
        <w:rPr>
          <w:rFonts w:hint="eastAsia"/>
          <w:color w:val="333333"/>
          <w:highlight w:val="none"/>
        </w:rPr>
        <w:t>    受托方（乙方）：</w:t>
      </w:r>
      <w:r>
        <w:rPr>
          <w:rFonts w:hint="eastAsia"/>
          <w:color w:val="333333"/>
          <w:highlight w:val="none"/>
          <w:u w:val="single"/>
        </w:rPr>
        <w:t xml:space="preserve">             </w:t>
      </w:r>
      <w:r>
        <w:rPr>
          <w:rFonts w:hint="eastAsia"/>
          <w:color w:val="333333"/>
          <w:highlight w:val="none"/>
        </w:rPr>
        <w:br w:type="textWrapping"/>
      </w:r>
      <w:r>
        <w:rPr>
          <w:rFonts w:hint="eastAsia"/>
          <w:color w:val="333333"/>
          <w:highlight w:val="none"/>
        </w:rPr>
        <w:t>    住所地：</w:t>
      </w:r>
      <w:r>
        <w:rPr>
          <w:rFonts w:hint="eastAsia"/>
          <w:color w:val="333333"/>
          <w:highlight w:val="none"/>
          <w:u w:val="single"/>
        </w:rPr>
        <w:t xml:space="preserve">                     </w:t>
      </w:r>
      <w:r>
        <w:rPr>
          <w:rFonts w:hint="eastAsia"/>
          <w:color w:val="333333"/>
          <w:highlight w:val="none"/>
        </w:rPr>
        <w:br w:type="textWrapping"/>
      </w:r>
      <w:r>
        <w:rPr>
          <w:rFonts w:hint="eastAsia"/>
          <w:color w:val="333333"/>
          <w:highlight w:val="none"/>
        </w:rPr>
        <w:t>　　   法定代表人：</w:t>
      </w:r>
      <w:r>
        <w:rPr>
          <w:rFonts w:hint="eastAsia"/>
          <w:color w:val="333333"/>
          <w:highlight w:val="none"/>
          <w:u w:val="single"/>
        </w:rPr>
        <w:t xml:space="preserve">                 </w:t>
      </w:r>
      <w:r>
        <w:rPr>
          <w:rFonts w:hint="eastAsia"/>
          <w:color w:val="333333"/>
          <w:highlight w:val="none"/>
        </w:rPr>
        <w:br w:type="textWrapping"/>
      </w:r>
      <w:r>
        <w:rPr>
          <w:rFonts w:hint="eastAsia"/>
          <w:color w:val="333333"/>
          <w:highlight w:val="none"/>
        </w:rPr>
        <w:t>    项目联系人：</w:t>
      </w:r>
      <w:r>
        <w:rPr>
          <w:rFonts w:hint="eastAsia"/>
          <w:color w:val="333333"/>
          <w:highlight w:val="none"/>
          <w:u w:val="single"/>
        </w:rPr>
        <w:t xml:space="preserve">                 </w:t>
      </w:r>
      <w:r>
        <w:rPr>
          <w:rFonts w:hint="eastAsia"/>
          <w:color w:val="333333"/>
          <w:highlight w:val="none"/>
        </w:rPr>
        <w:br w:type="textWrapping"/>
      </w:r>
      <w:r>
        <w:rPr>
          <w:rFonts w:hint="eastAsia"/>
          <w:color w:val="333333"/>
          <w:highlight w:val="none"/>
        </w:rPr>
        <w:t>　　   联系方式：</w:t>
      </w:r>
      <w:r>
        <w:rPr>
          <w:rFonts w:hint="eastAsia"/>
          <w:color w:val="333333"/>
          <w:highlight w:val="none"/>
          <w:u w:val="single"/>
        </w:rPr>
        <w:t xml:space="preserve">                   </w:t>
      </w:r>
      <w:r>
        <w:rPr>
          <w:rFonts w:hint="eastAsia"/>
          <w:color w:val="333333"/>
          <w:highlight w:val="none"/>
        </w:rPr>
        <w:br w:type="textWrapping"/>
      </w:r>
      <w:r>
        <w:rPr>
          <w:rFonts w:hint="eastAsia"/>
          <w:color w:val="333333"/>
          <w:highlight w:val="none"/>
        </w:rPr>
        <w:t>    通讯地址：</w:t>
      </w:r>
      <w:r>
        <w:rPr>
          <w:rFonts w:hint="eastAsia"/>
          <w:color w:val="333333"/>
          <w:highlight w:val="none"/>
          <w:u w:val="single"/>
        </w:rPr>
        <w:t xml:space="preserve">                   </w:t>
      </w:r>
      <w:r>
        <w:rPr>
          <w:rFonts w:hint="eastAsia"/>
          <w:color w:val="333333"/>
          <w:highlight w:val="none"/>
        </w:rPr>
        <w:br w:type="textWrapping"/>
      </w:r>
      <w:r>
        <w:rPr>
          <w:rFonts w:hint="eastAsia"/>
          <w:color w:val="333333"/>
          <w:highlight w:val="none"/>
        </w:rPr>
        <w:t>　　   电话：</w:t>
      </w:r>
      <w:r>
        <w:rPr>
          <w:rFonts w:hint="eastAsia"/>
          <w:color w:val="333333"/>
          <w:highlight w:val="none"/>
          <w:u w:val="single"/>
        </w:rPr>
        <w:t xml:space="preserve">                       </w:t>
      </w:r>
      <w:r>
        <w:rPr>
          <w:rStyle w:val="79"/>
          <w:rFonts w:hint="eastAsia"/>
          <w:color w:val="333333"/>
          <w:highlight w:val="none"/>
        </w:rPr>
        <w:t> </w:t>
      </w:r>
      <w:r>
        <w:rPr>
          <w:rFonts w:hint="eastAsia"/>
          <w:color w:val="333333"/>
          <w:highlight w:val="none"/>
        </w:rPr>
        <w:br w:type="textWrapping"/>
      </w:r>
      <w:r>
        <w:rPr>
          <w:rFonts w:hint="eastAsia"/>
          <w:color w:val="333333"/>
          <w:highlight w:val="none"/>
        </w:rPr>
        <w:t>　　   电子信箱：</w:t>
      </w:r>
      <w:r>
        <w:rPr>
          <w:rFonts w:hint="eastAsia"/>
          <w:color w:val="333333"/>
          <w:highlight w:val="none"/>
          <w:u w:val="single"/>
        </w:rPr>
        <w:t xml:space="preserve">                   </w:t>
      </w:r>
    </w:p>
    <w:p w14:paraId="59FD0E7B">
      <w:pPr>
        <w:pStyle w:val="23"/>
        <w:spacing w:line="440" w:lineRule="exact"/>
        <w:rPr>
          <w:color w:val="333333"/>
          <w:highlight w:val="none"/>
        </w:rPr>
      </w:pPr>
      <w:r>
        <w:rPr>
          <w:rFonts w:hint="eastAsia"/>
          <w:color w:val="333333"/>
          <w:highlight w:val="none"/>
        </w:rPr>
        <w:t>  本合同甲方委托乙方就</w:t>
      </w:r>
      <w:r>
        <w:rPr>
          <w:rFonts w:hint="eastAsia"/>
          <w:color w:val="333333"/>
          <w:highlight w:val="none"/>
          <w:u w:val="single"/>
        </w:rPr>
        <w:t xml:space="preserve">                </w:t>
      </w:r>
      <w:r>
        <w:rPr>
          <w:rFonts w:hint="eastAsia"/>
          <w:color w:val="333333"/>
          <w:highlight w:val="none"/>
        </w:rPr>
        <w:t>项目进行技术服务，并支付服务报酬。双方经过平等协商，在真实、充分地表达各自意愿的基础上，根据《中华人民共和国合同法》的规定，达成如下协议，并由双方共同恪守。</w:t>
      </w:r>
      <w:r>
        <w:rPr>
          <w:rFonts w:hint="eastAsia"/>
          <w:color w:val="333333"/>
          <w:highlight w:val="none"/>
        </w:rPr>
        <w:br w:type="textWrapping"/>
      </w:r>
      <w:r>
        <w:rPr>
          <w:rFonts w:hint="eastAsia"/>
          <w:color w:val="333333"/>
          <w:highlight w:val="none"/>
        </w:rPr>
        <w:t>    第一条  乙方进行技术服务的内容、要求和方式：</w:t>
      </w:r>
      <w:r>
        <w:rPr>
          <w:rStyle w:val="79"/>
          <w:rFonts w:hint="eastAsia"/>
          <w:color w:val="333333"/>
          <w:highlight w:val="none"/>
        </w:rPr>
        <w:t> </w:t>
      </w:r>
      <w:r>
        <w:rPr>
          <w:rFonts w:hint="eastAsia"/>
          <w:color w:val="333333"/>
          <w:highlight w:val="none"/>
        </w:rPr>
        <w:br w:type="textWrapping"/>
      </w:r>
      <w:r>
        <w:rPr>
          <w:rFonts w:hint="eastAsia"/>
          <w:color w:val="333333"/>
          <w:highlight w:val="none"/>
        </w:rPr>
        <w:t>    1．服务内容：</w:t>
      </w:r>
      <w:r>
        <w:rPr>
          <w:rFonts w:hint="eastAsia"/>
          <w:color w:val="333333"/>
          <w:highlight w:val="none"/>
          <w:u w:val="single"/>
        </w:rPr>
        <w:t xml:space="preserve">                   </w:t>
      </w:r>
      <w:r>
        <w:rPr>
          <w:rFonts w:hint="eastAsia"/>
          <w:color w:val="333333"/>
          <w:highlight w:val="none"/>
        </w:rPr>
        <w:br w:type="textWrapping"/>
      </w:r>
      <w:r>
        <w:rPr>
          <w:rFonts w:hint="eastAsia"/>
          <w:color w:val="333333"/>
          <w:highlight w:val="none"/>
        </w:rPr>
        <w:t>    2．服务要求：</w:t>
      </w:r>
      <w:r>
        <w:rPr>
          <w:rFonts w:hint="eastAsia"/>
          <w:color w:val="333333"/>
          <w:highlight w:val="none"/>
          <w:u w:val="single"/>
        </w:rPr>
        <w:t xml:space="preserve">                   </w:t>
      </w:r>
      <w:r>
        <w:rPr>
          <w:rFonts w:hint="eastAsia"/>
          <w:color w:val="333333"/>
          <w:highlight w:val="none"/>
        </w:rPr>
        <w:br w:type="textWrapping"/>
      </w:r>
      <w:r>
        <w:rPr>
          <w:rFonts w:hint="eastAsia"/>
          <w:color w:val="333333"/>
          <w:highlight w:val="none"/>
        </w:rPr>
        <w:t>    3．服务方式：</w:t>
      </w:r>
      <w:r>
        <w:rPr>
          <w:rFonts w:hint="eastAsia"/>
          <w:color w:val="333333"/>
          <w:highlight w:val="none"/>
          <w:u w:val="single"/>
        </w:rPr>
        <w:t xml:space="preserve">                   </w:t>
      </w:r>
    </w:p>
    <w:p w14:paraId="54C9C793">
      <w:pPr>
        <w:pStyle w:val="23"/>
        <w:spacing w:line="440" w:lineRule="exact"/>
        <w:rPr>
          <w:color w:val="333333"/>
          <w:highlight w:val="none"/>
        </w:rPr>
      </w:pPr>
      <w:r>
        <w:rPr>
          <w:rFonts w:hint="eastAsia"/>
          <w:color w:val="333333"/>
          <w:highlight w:val="none"/>
        </w:rPr>
        <w:t>    第二条  乙方应当按照下列进度要求进行本合同项目的工作：</w:t>
      </w:r>
      <w:r>
        <w:rPr>
          <w:rFonts w:hint="eastAsia"/>
          <w:color w:val="333333"/>
          <w:highlight w:val="none"/>
          <w:u w:val="single"/>
        </w:rPr>
        <w:t>按规定时间完成合同规定的工作内容</w:t>
      </w:r>
      <w:r>
        <w:rPr>
          <w:rFonts w:hint="eastAsia"/>
          <w:color w:val="333333"/>
          <w:highlight w:val="none"/>
        </w:rPr>
        <w:t>。</w:t>
      </w:r>
    </w:p>
    <w:p w14:paraId="0F7FA9BD">
      <w:pPr>
        <w:pStyle w:val="23"/>
        <w:spacing w:line="440" w:lineRule="exact"/>
        <w:rPr>
          <w:color w:val="333333"/>
          <w:highlight w:val="none"/>
        </w:rPr>
      </w:pPr>
      <w:r>
        <w:rPr>
          <w:rFonts w:hint="eastAsia"/>
          <w:color w:val="333333"/>
          <w:highlight w:val="none"/>
        </w:rPr>
        <w:t>    第三条  为保证乙方有效进行技术服务工作，甲方应当向乙方提供下列协作事项：</w:t>
      </w:r>
      <w:r>
        <w:rPr>
          <w:rStyle w:val="79"/>
          <w:rFonts w:hint="eastAsia"/>
          <w:color w:val="333333"/>
          <w:highlight w:val="none"/>
        </w:rPr>
        <w:t> </w:t>
      </w:r>
      <w:r>
        <w:rPr>
          <w:rFonts w:hint="eastAsia"/>
          <w:color w:val="333333"/>
          <w:highlight w:val="none"/>
        </w:rPr>
        <w:br w:type="textWrapping"/>
      </w:r>
      <w:r>
        <w:rPr>
          <w:rFonts w:hint="eastAsia"/>
          <w:color w:val="333333"/>
          <w:highlight w:val="none"/>
        </w:rPr>
        <w:t>    1．提供技术资料：</w:t>
      </w:r>
      <w:r>
        <w:rPr>
          <w:rFonts w:hint="eastAsia"/>
          <w:color w:val="333333"/>
          <w:highlight w:val="none"/>
          <w:u w:val="single"/>
        </w:rPr>
        <w:t>项目服务技术要求</w:t>
      </w:r>
      <w:r>
        <w:rPr>
          <w:rFonts w:hint="eastAsia"/>
          <w:color w:val="333333"/>
          <w:highlight w:val="none"/>
        </w:rPr>
        <w:t>。</w:t>
      </w:r>
      <w:r>
        <w:rPr>
          <w:rStyle w:val="79"/>
          <w:rFonts w:hint="eastAsia"/>
          <w:color w:val="333333"/>
          <w:highlight w:val="none"/>
        </w:rPr>
        <w:t> </w:t>
      </w:r>
      <w:r>
        <w:rPr>
          <w:rFonts w:hint="eastAsia"/>
          <w:color w:val="333333"/>
          <w:highlight w:val="none"/>
        </w:rPr>
        <w:br w:type="textWrapping"/>
      </w:r>
      <w:r>
        <w:rPr>
          <w:rFonts w:hint="eastAsia"/>
          <w:color w:val="333333"/>
          <w:highlight w:val="none"/>
        </w:rPr>
        <w:t>    甲方提供上述协作事项的时间及方式：</w:t>
      </w:r>
      <w:r>
        <w:rPr>
          <w:rFonts w:hint="eastAsia"/>
          <w:color w:val="333333"/>
          <w:highlight w:val="none"/>
          <w:u w:val="single"/>
        </w:rPr>
        <w:t xml:space="preserve">                   </w:t>
      </w:r>
    </w:p>
    <w:p w14:paraId="7318F89A">
      <w:pPr>
        <w:autoSpaceDE w:val="0"/>
        <w:autoSpaceDN w:val="0"/>
        <w:adjustRightInd w:val="0"/>
        <w:spacing w:line="360" w:lineRule="auto"/>
        <w:ind w:firstLine="480" w:firstLineChars="200"/>
        <w:jc w:val="left"/>
        <w:rPr>
          <w:rFonts w:ascii="宋体" w:hAnsi="宋体" w:eastAsia="宋体" w:cs="宋体"/>
          <w:color w:val="333333"/>
          <w:kern w:val="0"/>
          <w:sz w:val="24"/>
          <w:szCs w:val="24"/>
          <w:highlight w:val="none"/>
        </w:rPr>
      </w:pPr>
      <w:r>
        <w:rPr>
          <w:rFonts w:hint="eastAsia" w:ascii="宋体" w:hAnsi="宋体" w:eastAsia="宋体" w:cs="宋体"/>
          <w:color w:val="333333"/>
          <w:kern w:val="0"/>
          <w:sz w:val="24"/>
          <w:szCs w:val="24"/>
          <w:highlight w:val="none"/>
        </w:rPr>
        <w:t>第四条 技术服务报酬及支付方式为： </w:t>
      </w:r>
      <w:r>
        <w:rPr>
          <w:rFonts w:hint="eastAsia" w:ascii="宋体" w:hAnsi="宋体" w:eastAsia="宋体" w:cs="宋体"/>
          <w:color w:val="333333"/>
          <w:kern w:val="0"/>
          <w:sz w:val="24"/>
          <w:szCs w:val="24"/>
          <w:highlight w:val="none"/>
        </w:rPr>
        <w:br w:type="textWrapping"/>
      </w:r>
      <w:r>
        <w:rPr>
          <w:rFonts w:hint="eastAsia" w:ascii="宋体" w:hAnsi="宋体" w:eastAsia="宋体" w:cs="宋体"/>
          <w:color w:val="333333"/>
          <w:kern w:val="0"/>
          <w:sz w:val="24"/>
          <w:szCs w:val="24"/>
          <w:highlight w:val="none"/>
        </w:rPr>
        <w:t>　　合同款支付：</w:t>
      </w:r>
    </w:p>
    <w:p w14:paraId="3C3D6A9E">
      <w:pPr>
        <w:pStyle w:val="23"/>
        <w:spacing w:line="440" w:lineRule="exact"/>
        <w:rPr>
          <w:color w:val="333333"/>
          <w:highlight w:val="none"/>
        </w:rPr>
      </w:pPr>
      <w:r>
        <w:rPr>
          <w:rFonts w:hint="eastAsia"/>
          <w:color w:val="FF0000"/>
          <w:highlight w:val="none"/>
        </w:rPr>
        <w:t xml:space="preserve">    </w:t>
      </w:r>
      <w:r>
        <w:rPr>
          <w:rFonts w:hint="eastAsia"/>
          <w:color w:val="333333"/>
          <w:highlight w:val="none"/>
        </w:rPr>
        <w:t xml:space="preserve">第五条   乙方开户银行名称、地址和账号为： </w:t>
      </w:r>
      <w:r>
        <w:rPr>
          <w:rFonts w:hint="eastAsia"/>
          <w:color w:val="333333"/>
          <w:highlight w:val="none"/>
        </w:rPr>
        <w:br w:type="textWrapping"/>
      </w:r>
      <w:r>
        <w:rPr>
          <w:rFonts w:hint="eastAsia"/>
          <w:color w:val="333333"/>
          <w:highlight w:val="none"/>
        </w:rPr>
        <w:t>    开户银行：</w:t>
      </w:r>
      <w:r>
        <w:rPr>
          <w:rFonts w:hint="eastAsia"/>
          <w:color w:val="333333"/>
          <w:highlight w:val="none"/>
          <w:u w:val="single"/>
        </w:rPr>
        <w:t xml:space="preserve">                </w:t>
      </w:r>
      <w:r>
        <w:rPr>
          <w:rStyle w:val="79"/>
          <w:rFonts w:hint="eastAsia"/>
          <w:color w:val="333333"/>
          <w:highlight w:val="none"/>
        </w:rPr>
        <w:t> </w:t>
      </w:r>
      <w:r>
        <w:rPr>
          <w:rFonts w:hint="eastAsia"/>
          <w:color w:val="333333"/>
          <w:highlight w:val="none"/>
        </w:rPr>
        <w:br w:type="textWrapping"/>
      </w:r>
      <w:r>
        <w:rPr>
          <w:rFonts w:hint="eastAsia"/>
          <w:color w:val="333333"/>
          <w:highlight w:val="none"/>
        </w:rPr>
        <w:t>    账号：</w:t>
      </w:r>
      <w:r>
        <w:rPr>
          <w:rFonts w:hint="eastAsia"/>
          <w:color w:val="333333"/>
          <w:highlight w:val="none"/>
          <w:u w:val="single"/>
        </w:rPr>
        <w:t xml:space="preserve">                </w:t>
      </w:r>
    </w:p>
    <w:p w14:paraId="1BB1C909">
      <w:pPr>
        <w:pStyle w:val="23"/>
        <w:spacing w:line="440" w:lineRule="exact"/>
        <w:rPr>
          <w:color w:val="333333"/>
          <w:highlight w:val="none"/>
        </w:rPr>
      </w:pPr>
      <w:r>
        <w:rPr>
          <w:rFonts w:hint="eastAsia"/>
          <w:color w:val="333333"/>
          <w:highlight w:val="none"/>
        </w:rPr>
        <w:t>  第六条  本合同的变更必须由双方协商一致，并以书面形式确定。但有下列情形之一的，一方可以向另一方提出变更合同权利与义务的请求，另一方应当在——日内予以答复；逾期未予答复的，视为同意：</w:t>
      </w:r>
      <w:r>
        <w:rPr>
          <w:rStyle w:val="79"/>
          <w:rFonts w:hint="eastAsia"/>
          <w:color w:val="333333"/>
          <w:highlight w:val="none"/>
        </w:rPr>
        <w:t> </w:t>
      </w:r>
      <w:r>
        <w:rPr>
          <w:rFonts w:hint="eastAsia"/>
          <w:color w:val="333333"/>
          <w:highlight w:val="none"/>
        </w:rPr>
        <w:br w:type="textWrapping"/>
      </w:r>
      <w:r>
        <w:rPr>
          <w:rFonts w:hint="eastAsia"/>
          <w:color w:val="333333"/>
          <w:highlight w:val="none"/>
        </w:rPr>
        <w:t>    1．</w:t>
      </w:r>
      <w:r>
        <w:rPr>
          <w:rFonts w:hint="eastAsia"/>
          <w:color w:val="333333"/>
          <w:highlight w:val="none"/>
          <w:u w:val="single"/>
        </w:rPr>
        <w:t xml:space="preserve">                无                </w:t>
      </w:r>
      <w:r>
        <w:rPr>
          <w:rFonts w:hint="eastAsia"/>
          <w:color w:val="333333"/>
          <w:highlight w:val="none"/>
        </w:rPr>
        <w:t>；</w:t>
      </w:r>
      <w:r>
        <w:rPr>
          <w:rStyle w:val="79"/>
          <w:rFonts w:hint="eastAsia"/>
          <w:color w:val="333333"/>
          <w:highlight w:val="none"/>
        </w:rPr>
        <w:t> </w:t>
      </w:r>
      <w:r>
        <w:rPr>
          <w:rFonts w:hint="eastAsia"/>
          <w:color w:val="333333"/>
          <w:highlight w:val="none"/>
        </w:rPr>
        <w:br w:type="textWrapping"/>
      </w:r>
      <w:r>
        <w:rPr>
          <w:rFonts w:hint="eastAsia"/>
          <w:color w:val="333333"/>
          <w:highlight w:val="none"/>
        </w:rPr>
        <w:t>    2．</w:t>
      </w:r>
      <w:r>
        <w:rPr>
          <w:rFonts w:hint="eastAsia"/>
          <w:color w:val="333333"/>
          <w:highlight w:val="none"/>
          <w:u w:val="single"/>
        </w:rPr>
        <w:t xml:space="preserve">                无                </w:t>
      </w:r>
      <w:r>
        <w:rPr>
          <w:rFonts w:hint="eastAsia"/>
          <w:color w:val="333333"/>
          <w:highlight w:val="none"/>
        </w:rPr>
        <w:t>；</w:t>
      </w:r>
      <w:r>
        <w:rPr>
          <w:rStyle w:val="79"/>
          <w:rFonts w:hint="eastAsia"/>
          <w:color w:val="333333"/>
          <w:highlight w:val="none"/>
        </w:rPr>
        <w:t> </w:t>
      </w:r>
      <w:r>
        <w:rPr>
          <w:rFonts w:hint="eastAsia"/>
          <w:color w:val="333333"/>
          <w:highlight w:val="none"/>
        </w:rPr>
        <w:br w:type="textWrapping"/>
      </w:r>
      <w:r>
        <w:rPr>
          <w:rFonts w:hint="eastAsia"/>
          <w:color w:val="333333"/>
          <w:highlight w:val="none"/>
        </w:rPr>
        <w:t>    3．</w:t>
      </w:r>
      <w:r>
        <w:rPr>
          <w:rFonts w:hint="eastAsia"/>
          <w:color w:val="333333"/>
          <w:highlight w:val="none"/>
          <w:u w:val="single"/>
        </w:rPr>
        <w:t xml:space="preserve">                无                </w:t>
      </w:r>
      <w:r>
        <w:rPr>
          <w:rFonts w:hint="eastAsia"/>
          <w:color w:val="333333"/>
          <w:highlight w:val="none"/>
        </w:rPr>
        <w:t>；</w:t>
      </w:r>
      <w:r>
        <w:rPr>
          <w:rStyle w:val="79"/>
          <w:rFonts w:hint="eastAsia"/>
          <w:color w:val="333333"/>
          <w:highlight w:val="none"/>
        </w:rPr>
        <w:t> </w:t>
      </w:r>
      <w:r>
        <w:rPr>
          <w:rFonts w:hint="eastAsia"/>
          <w:color w:val="333333"/>
          <w:highlight w:val="none"/>
        </w:rPr>
        <w:br w:type="textWrapping"/>
      </w:r>
      <w:r>
        <w:rPr>
          <w:rFonts w:hint="eastAsia"/>
          <w:color w:val="333333"/>
          <w:highlight w:val="none"/>
        </w:rPr>
        <w:t>    4．</w:t>
      </w:r>
      <w:r>
        <w:rPr>
          <w:rFonts w:hint="eastAsia"/>
          <w:color w:val="333333"/>
          <w:highlight w:val="none"/>
          <w:u w:val="single"/>
        </w:rPr>
        <w:t xml:space="preserve">                无                </w:t>
      </w:r>
      <w:r>
        <w:rPr>
          <w:rFonts w:hint="eastAsia"/>
          <w:color w:val="333333"/>
          <w:highlight w:val="none"/>
        </w:rPr>
        <w:t>。</w:t>
      </w:r>
      <w:r>
        <w:rPr>
          <w:rFonts w:hint="eastAsia"/>
          <w:color w:val="333333"/>
          <w:highlight w:val="none"/>
        </w:rPr>
        <w:br w:type="textWrapping"/>
      </w:r>
      <w:r>
        <w:rPr>
          <w:rFonts w:hint="eastAsia"/>
          <w:color w:val="333333"/>
          <w:highlight w:val="none"/>
        </w:rPr>
        <w:t>   第七条  双方确定，按以下标准和方式对乙方提交的工作成果进行验收：</w:t>
      </w:r>
      <w:r>
        <w:rPr>
          <w:rStyle w:val="79"/>
          <w:rFonts w:hint="eastAsia"/>
          <w:color w:val="333333"/>
          <w:highlight w:val="none"/>
        </w:rPr>
        <w:t> </w:t>
      </w:r>
      <w:r>
        <w:rPr>
          <w:rFonts w:hint="eastAsia"/>
          <w:color w:val="333333"/>
          <w:highlight w:val="none"/>
        </w:rPr>
        <w:br w:type="textWrapping"/>
      </w:r>
      <w:r>
        <w:rPr>
          <w:rFonts w:hint="eastAsia"/>
          <w:color w:val="333333"/>
          <w:highlight w:val="none"/>
        </w:rPr>
        <w:t>    1．乙方提交技工作成果的形式：</w:t>
      </w:r>
      <w:r>
        <w:rPr>
          <w:rFonts w:hint="eastAsia"/>
          <w:color w:val="333333"/>
          <w:highlight w:val="none"/>
          <w:u w:val="single"/>
        </w:rPr>
        <w:t xml:space="preserve">         </w:t>
      </w:r>
      <w:r>
        <w:rPr>
          <w:rFonts w:hint="eastAsia"/>
          <w:color w:val="333333"/>
          <w:highlight w:val="none"/>
        </w:rPr>
        <w:t>。</w:t>
      </w:r>
      <w:r>
        <w:rPr>
          <w:rFonts w:hint="eastAsia"/>
          <w:color w:val="333333"/>
          <w:highlight w:val="none"/>
        </w:rPr>
        <w:br w:type="textWrapping"/>
      </w:r>
      <w:r>
        <w:rPr>
          <w:rFonts w:hint="eastAsia"/>
          <w:color w:val="333333"/>
          <w:highlight w:val="none"/>
        </w:rPr>
        <w:t>    2．工作成果的验收标准：</w:t>
      </w:r>
      <w:r>
        <w:rPr>
          <w:rFonts w:hint="eastAsia"/>
          <w:color w:val="333333"/>
          <w:highlight w:val="none"/>
          <w:u w:val="single"/>
        </w:rPr>
        <w:t>现行相关规范及验收标准</w:t>
      </w:r>
      <w:r>
        <w:rPr>
          <w:rFonts w:hint="eastAsia"/>
          <w:color w:val="333333"/>
          <w:highlight w:val="none"/>
        </w:rPr>
        <w:t>。</w:t>
      </w:r>
      <w:r>
        <w:rPr>
          <w:rStyle w:val="79"/>
          <w:rFonts w:hint="eastAsia"/>
          <w:color w:val="333333"/>
          <w:highlight w:val="none"/>
        </w:rPr>
        <w:t> </w:t>
      </w:r>
      <w:r>
        <w:rPr>
          <w:rFonts w:hint="eastAsia"/>
          <w:color w:val="333333"/>
          <w:highlight w:val="none"/>
        </w:rPr>
        <w:br w:type="textWrapping"/>
      </w:r>
      <w:r>
        <w:rPr>
          <w:rFonts w:hint="eastAsia"/>
          <w:color w:val="333333"/>
          <w:highlight w:val="none"/>
        </w:rPr>
        <w:t>    3．工作成果的验收方法：</w:t>
      </w:r>
      <w:r>
        <w:rPr>
          <w:rFonts w:hint="eastAsia"/>
          <w:color w:val="333333"/>
          <w:highlight w:val="none"/>
          <w:u w:val="single"/>
        </w:rPr>
        <w:t>甲方组织考核验收</w:t>
      </w:r>
      <w:r>
        <w:rPr>
          <w:rStyle w:val="79"/>
          <w:rFonts w:hint="eastAsia"/>
          <w:color w:val="333333"/>
          <w:highlight w:val="none"/>
        </w:rPr>
        <w:t> </w:t>
      </w:r>
      <w:r>
        <w:rPr>
          <w:rFonts w:hint="eastAsia"/>
          <w:color w:val="333333"/>
          <w:highlight w:val="none"/>
        </w:rPr>
        <w:br w:type="textWrapping"/>
      </w:r>
      <w:r>
        <w:rPr>
          <w:rFonts w:hint="eastAsia"/>
          <w:color w:val="333333"/>
          <w:highlight w:val="none"/>
        </w:rPr>
        <w:t>    4．验收的时间和地点：</w:t>
      </w:r>
      <w:r>
        <w:rPr>
          <w:rFonts w:hint="eastAsia"/>
          <w:color w:val="333333"/>
          <w:highlight w:val="none"/>
          <w:u w:val="single"/>
        </w:rPr>
        <w:t xml:space="preserve">                </w:t>
      </w:r>
      <w:r>
        <w:rPr>
          <w:rFonts w:hint="eastAsia"/>
          <w:color w:val="333333"/>
          <w:highlight w:val="none"/>
        </w:rPr>
        <w:br w:type="textWrapping"/>
      </w:r>
      <w:r>
        <w:rPr>
          <w:rFonts w:hint="eastAsia"/>
          <w:color w:val="333333"/>
          <w:highlight w:val="none"/>
        </w:rPr>
        <w:t>   第八条  双方确定，按以下约定承担各自的违约责任：</w:t>
      </w:r>
      <w:r>
        <w:rPr>
          <w:rStyle w:val="79"/>
          <w:rFonts w:hint="eastAsia"/>
          <w:color w:val="333333"/>
          <w:highlight w:val="none"/>
        </w:rPr>
        <w:t> </w:t>
      </w:r>
      <w:r>
        <w:rPr>
          <w:rFonts w:hint="eastAsia"/>
          <w:color w:val="333333"/>
          <w:highlight w:val="none"/>
        </w:rPr>
        <w:br w:type="textWrapping"/>
      </w:r>
      <w:r>
        <w:rPr>
          <w:rFonts w:hint="eastAsia"/>
          <w:color w:val="333333"/>
          <w:highlight w:val="none"/>
        </w:rPr>
        <w:t>    1．</w:t>
      </w:r>
      <w:r>
        <w:rPr>
          <w:rFonts w:hint="eastAsia"/>
          <w:color w:val="333333"/>
          <w:highlight w:val="none"/>
          <w:u w:val="single"/>
        </w:rPr>
        <w:t xml:space="preserve">      </w:t>
      </w:r>
      <w:r>
        <w:rPr>
          <w:rFonts w:hint="eastAsia"/>
          <w:color w:val="333333"/>
          <w:highlight w:val="none"/>
        </w:rPr>
        <w:t>方违反本合同第</w:t>
      </w:r>
      <w:r>
        <w:rPr>
          <w:rFonts w:hint="eastAsia"/>
          <w:color w:val="333333"/>
          <w:highlight w:val="none"/>
          <w:u w:val="single"/>
        </w:rPr>
        <w:t xml:space="preserve">     </w:t>
      </w:r>
      <w:r>
        <w:rPr>
          <w:rFonts w:hint="eastAsia"/>
          <w:color w:val="333333"/>
          <w:highlight w:val="none"/>
        </w:rPr>
        <w:t>条约定，应当</w:t>
      </w:r>
      <w:r>
        <w:rPr>
          <w:rFonts w:hint="eastAsia"/>
          <w:color w:val="333333"/>
          <w:highlight w:val="none"/>
          <w:u w:val="single"/>
        </w:rPr>
        <w:t xml:space="preserve">           </w:t>
      </w:r>
      <w:r>
        <w:rPr>
          <w:rFonts w:hint="eastAsia"/>
          <w:color w:val="333333"/>
          <w:highlight w:val="none"/>
        </w:rPr>
        <w:t>（支付违约金或损失赔偿额的计算方法）。</w:t>
      </w:r>
      <w:r>
        <w:rPr>
          <w:rStyle w:val="79"/>
          <w:rFonts w:hint="eastAsia"/>
          <w:color w:val="333333"/>
          <w:highlight w:val="none"/>
        </w:rPr>
        <w:t> </w:t>
      </w:r>
      <w:r>
        <w:rPr>
          <w:rFonts w:hint="eastAsia"/>
          <w:color w:val="333333"/>
          <w:highlight w:val="none"/>
        </w:rPr>
        <w:br w:type="textWrapping"/>
      </w:r>
      <w:r>
        <w:rPr>
          <w:rFonts w:hint="eastAsia"/>
          <w:color w:val="333333"/>
          <w:highlight w:val="none"/>
        </w:rPr>
        <w:t>    2．</w:t>
      </w:r>
      <w:r>
        <w:rPr>
          <w:rFonts w:hint="eastAsia"/>
          <w:color w:val="333333"/>
          <w:highlight w:val="none"/>
          <w:u w:val="single"/>
        </w:rPr>
        <w:t xml:space="preserve">       </w:t>
      </w:r>
      <w:r>
        <w:rPr>
          <w:rFonts w:hint="eastAsia"/>
          <w:color w:val="333333"/>
          <w:highlight w:val="none"/>
        </w:rPr>
        <w:t>方违反本合同第</w:t>
      </w:r>
      <w:r>
        <w:rPr>
          <w:rFonts w:hint="eastAsia"/>
          <w:color w:val="333333"/>
          <w:highlight w:val="none"/>
          <w:u w:val="single"/>
        </w:rPr>
        <w:t xml:space="preserve">           </w:t>
      </w:r>
      <w:r>
        <w:rPr>
          <w:rFonts w:hint="eastAsia"/>
          <w:color w:val="333333"/>
          <w:highlight w:val="none"/>
        </w:rPr>
        <w:t>条约定，应当</w:t>
      </w:r>
      <w:r>
        <w:rPr>
          <w:rFonts w:hint="eastAsia"/>
          <w:color w:val="333333"/>
          <w:highlight w:val="none"/>
          <w:u w:val="single"/>
        </w:rPr>
        <w:t xml:space="preserve">            </w:t>
      </w:r>
      <w:r>
        <w:rPr>
          <w:rFonts w:hint="eastAsia"/>
          <w:color w:val="333333"/>
          <w:highlight w:val="none"/>
        </w:rPr>
        <w:t>（支付违约金或损失赔偿额的计算方法）。</w:t>
      </w:r>
      <w:r>
        <w:rPr>
          <w:rStyle w:val="79"/>
          <w:rFonts w:hint="eastAsia"/>
          <w:color w:val="333333"/>
          <w:highlight w:val="none"/>
        </w:rPr>
        <w:t> </w:t>
      </w:r>
      <w:r>
        <w:rPr>
          <w:rFonts w:hint="eastAsia"/>
          <w:color w:val="333333"/>
          <w:highlight w:val="none"/>
        </w:rPr>
        <w:t>    </w:t>
      </w:r>
      <w:r>
        <w:rPr>
          <w:rFonts w:hint="eastAsia"/>
          <w:color w:val="333333"/>
          <w:highlight w:val="none"/>
        </w:rPr>
        <w:br w:type="textWrapping"/>
      </w:r>
      <w:r>
        <w:rPr>
          <w:rFonts w:hint="eastAsia"/>
          <w:color w:val="333333"/>
          <w:highlight w:val="none"/>
        </w:rPr>
        <w:t>   第九条  双方确定，甲方按照乙方符合本合同约定标准和方式完成的技术咨询工作成果作出决策并予以实施所造成的损失，按以下第</w:t>
      </w:r>
      <w:r>
        <w:rPr>
          <w:rFonts w:hint="eastAsia"/>
          <w:color w:val="333333"/>
          <w:highlight w:val="none"/>
          <w:u w:val="single"/>
        </w:rPr>
        <w:t xml:space="preserve">    1   </w:t>
      </w:r>
      <w:r>
        <w:rPr>
          <w:rFonts w:hint="eastAsia"/>
          <w:color w:val="333333"/>
          <w:highlight w:val="none"/>
        </w:rPr>
        <w:t>种方式处理：</w:t>
      </w:r>
      <w:r>
        <w:rPr>
          <w:rStyle w:val="79"/>
          <w:rFonts w:hint="eastAsia"/>
          <w:color w:val="333333"/>
          <w:highlight w:val="none"/>
        </w:rPr>
        <w:t> </w:t>
      </w:r>
      <w:r>
        <w:rPr>
          <w:rFonts w:hint="eastAsia"/>
          <w:color w:val="333333"/>
          <w:highlight w:val="none"/>
        </w:rPr>
        <w:br w:type="textWrapping"/>
      </w:r>
      <w:r>
        <w:rPr>
          <w:rFonts w:hint="eastAsia"/>
          <w:color w:val="333333"/>
          <w:highlight w:val="none"/>
        </w:rPr>
        <w:t>   1．乙方不承担责任。</w:t>
      </w:r>
      <w:r>
        <w:rPr>
          <w:rStyle w:val="79"/>
          <w:rFonts w:hint="eastAsia"/>
          <w:color w:val="333333"/>
          <w:highlight w:val="none"/>
        </w:rPr>
        <w:t> </w:t>
      </w:r>
      <w:r>
        <w:rPr>
          <w:rFonts w:hint="eastAsia"/>
          <w:color w:val="333333"/>
          <w:highlight w:val="none"/>
        </w:rPr>
        <w:br w:type="textWrapping"/>
      </w:r>
      <w:r>
        <w:rPr>
          <w:rFonts w:hint="eastAsia"/>
          <w:color w:val="333333"/>
          <w:highlight w:val="none"/>
        </w:rPr>
        <w:t>   2．乙方承担部分责任。具体承担方式为</w:t>
      </w:r>
      <w:r>
        <w:rPr>
          <w:rFonts w:hint="eastAsia"/>
          <w:color w:val="333333"/>
          <w:highlight w:val="none"/>
          <w:u w:val="single"/>
        </w:rPr>
        <w:t xml:space="preserve">                </w:t>
      </w:r>
      <w:r>
        <w:rPr>
          <w:rFonts w:hint="eastAsia"/>
          <w:color w:val="333333"/>
          <w:highlight w:val="none"/>
        </w:rPr>
        <w:br w:type="textWrapping"/>
      </w:r>
      <w:r>
        <w:rPr>
          <w:rFonts w:hint="eastAsia"/>
          <w:color w:val="333333"/>
          <w:highlight w:val="none"/>
        </w:rPr>
        <w:t>   3．乙方承担全部责任。</w:t>
      </w:r>
    </w:p>
    <w:p w14:paraId="501C0607">
      <w:pPr>
        <w:pStyle w:val="23"/>
        <w:spacing w:line="440" w:lineRule="exact"/>
        <w:rPr>
          <w:color w:val="333333"/>
          <w:highlight w:val="none"/>
        </w:rPr>
      </w:pPr>
      <w:r>
        <w:rPr>
          <w:rFonts w:hint="eastAsia"/>
          <w:color w:val="333333"/>
          <w:highlight w:val="none"/>
        </w:rPr>
        <w:t>    第十条  双方确定：</w:t>
      </w:r>
      <w:r>
        <w:rPr>
          <w:rStyle w:val="79"/>
          <w:rFonts w:hint="eastAsia"/>
          <w:color w:val="333333"/>
          <w:highlight w:val="none"/>
        </w:rPr>
        <w:t> </w:t>
      </w:r>
      <w:r>
        <w:rPr>
          <w:rFonts w:hint="eastAsia"/>
          <w:color w:val="333333"/>
          <w:highlight w:val="none"/>
        </w:rPr>
        <w:br w:type="textWrapping"/>
      </w:r>
      <w:r>
        <w:rPr>
          <w:rFonts w:hint="eastAsia"/>
          <w:color w:val="333333"/>
          <w:highlight w:val="none"/>
        </w:rPr>
        <w:t>    1．在本合同有效期内，甲方利用乙方提交的技术咨询工作成果所完成的成果，归双方所有。</w:t>
      </w:r>
      <w:r>
        <w:rPr>
          <w:rStyle w:val="79"/>
          <w:rFonts w:hint="eastAsia"/>
          <w:color w:val="333333"/>
          <w:highlight w:val="none"/>
        </w:rPr>
        <w:t> </w:t>
      </w:r>
      <w:r>
        <w:rPr>
          <w:rFonts w:hint="eastAsia"/>
          <w:color w:val="333333"/>
          <w:highlight w:val="none"/>
        </w:rPr>
        <w:br w:type="textWrapping"/>
      </w:r>
      <w:r>
        <w:rPr>
          <w:rFonts w:hint="eastAsia"/>
          <w:color w:val="333333"/>
          <w:highlight w:val="none"/>
        </w:rPr>
        <w:t>    2．在本合同有效期内，乙方利用甲方提供的技术资料和工作条件所完成的新的成果，归双方所有。 </w:t>
      </w:r>
      <w:r>
        <w:rPr>
          <w:rFonts w:hint="eastAsia"/>
          <w:color w:val="333333"/>
          <w:highlight w:val="none"/>
        </w:rPr>
        <w:br w:type="textWrapping"/>
      </w:r>
      <w:r>
        <w:rPr>
          <w:rFonts w:hint="eastAsia"/>
          <w:color w:val="333333"/>
          <w:highlight w:val="none"/>
        </w:rPr>
        <w:t>    第十一条  双方确定，在本合同有效期内，甲方指定</w:t>
      </w:r>
      <w:r>
        <w:rPr>
          <w:rFonts w:hint="eastAsia"/>
          <w:color w:val="333333"/>
          <w:highlight w:val="none"/>
          <w:u w:val="single"/>
        </w:rPr>
        <w:t xml:space="preserve">    </w:t>
      </w:r>
      <w:r>
        <w:rPr>
          <w:rFonts w:hint="eastAsia"/>
          <w:color w:val="333333"/>
          <w:highlight w:val="none"/>
        </w:rPr>
        <w:t>为甲方项目联系人，乙方指定</w:t>
      </w:r>
      <w:r>
        <w:rPr>
          <w:rFonts w:hint="eastAsia"/>
          <w:color w:val="333333"/>
          <w:highlight w:val="none"/>
          <w:u w:val="single"/>
        </w:rPr>
        <w:t xml:space="preserve">                无                     </w:t>
      </w:r>
      <w:r>
        <w:rPr>
          <w:rFonts w:hint="eastAsia"/>
          <w:color w:val="333333"/>
          <w:highlight w:val="none"/>
        </w:rPr>
        <w:t>为乙方项目联系人。项目联系人承担以下责任：</w:t>
      </w:r>
      <w:r>
        <w:rPr>
          <w:rStyle w:val="79"/>
          <w:rFonts w:hint="eastAsia"/>
          <w:color w:val="333333"/>
          <w:highlight w:val="none"/>
        </w:rPr>
        <w:t> </w:t>
      </w:r>
      <w:r>
        <w:rPr>
          <w:rFonts w:hint="eastAsia"/>
          <w:color w:val="333333"/>
          <w:highlight w:val="none"/>
        </w:rPr>
        <w:br w:type="textWrapping"/>
      </w:r>
      <w:r>
        <w:rPr>
          <w:rFonts w:hint="eastAsia"/>
          <w:color w:val="333333"/>
          <w:highlight w:val="none"/>
        </w:rPr>
        <w:t>    1．</w:t>
      </w:r>
      <w:r>
        <w:rPr>
          <w:rFonts w:hint="eastAsia"/>
          <w:color w:val="333333"/>
          <w:highlight w:val="none"/>
          <w:u w:val="single"/>
        </w:rPr>
        <w:t xml:space="preserve">                无                </w:t>
      </w:r>
      <w:r>
        <w:rPr>
          <w:rFonts w:hint="eastAsia"/>
          <w:color w:val="333333"/>
          <w:highlight w:val="none"/>
        </w:rPr>
        <w:t>；</w:t>
      </w:r>
      <w:r>
        <w:rPr>
          <w:rStyle w:val="79"/>
          <w:rFonts w:hint="eastAsia"/>
          <w:color w:val="333333"/>
          <w:highlight w:val="none"/>
        </w:rPr>
        <w:t> </w:t>
      </w:r>
      <w:r>
        <w:rPr>
          <w:rFonts w:hint="eastAsia"/>
          <w:color w:val="333333"/>
          <w:highlight w:val="none"/>
        </w:rPr>
        <w:br w:type="textWrapping"/>
      </w:r>
      <w:r>
        <w:rPr>
          <w:rFonts w:hint="eastAsia"/>
          <w:color w:val="333333"/>
          <w:highlight w:val="none"/>
        </w:rPr>
        <w:t>    2．</w:t>
      </w:r>
      <w:r>
        <w:rPr>
          <w:rFonts w:hint="eastAsia"/>
          <w:color w:val="333333"/>
          <w:highlight w:val="none"/>
          <w:u w:val="single"/>
        </w:rPr>
        <w:t xml:space="preserve">                无                </w:t>
      </w:r>
      <w:r>
        <w:rPr>
          <w:rFonts w:hint="eastAsia"/>
          <w:color w:val="333333"/>
          <w:highlight w:val="none"/>
        </w:rPr>
        <w:t>；</w:t>
      </w:r>
      <w:r>
        <w:rPr>
          <w:rStyle w:val="79"/>
          <w:rFonts w:hint="eastAsia"/>
          <w:color w:val="333333"/>
          <w:highlight w:val="none"/>
        </w:rPr>
        <w:t> </w:t>
      </w:r>
      <w:r>
        <w:rPr>
          <w:rFonts w:hint="eastAsia"/>
          <w:color w:val="333333"/>
          <w:highlight w:val="none"/>
        </w:rPr>
        <w:br w:type="textWrapping"/>
      </w:r>
      <w:r>
        <w:rPr>
          <w:rFonts w:hint="eastAsia"/>
          <w:color w:val="333333"/>
          <w:highlight w:val="none"/>
        </w:rPr>
        <w:t>    3．</w:t>
      </w:r>
      <w:r>
        <w:rPr>
          <w:rFonts w:hint="eastAsia"/>
          <w:color w:val="333333"/>
          <w:highlight w:val="none"/>
          <w:u w:val="single"/>
        </w:rPr>
        <w:t xml:space="preserve">                无                </w:t>
      </w:r>
      <w:r>
        <w:rPr>
          <w:rFonts w:hint="eastAsia"/>
          <w:color w:val="333333"/>
          <w:highlight w:val="none"/>
        </w:rPr>
        <w:t>。</w:t>
      </w:r>
      <w:r>
        <w:rPr>
          <w:rStyle w:val="79"/>
          <w:rFonts w:hint="eastAsia"/>
          <w:color w:val="333333"/>
          <w:highlight w:val="none"/>
        </w:rPr>
        <w:t> </w:t>
      </w:r>
      <w:r>
        <w:rPr>
          <w:rFonts w:hint="eastAsia"/>
          <w:color w:val="333333"/>
          <w:highlight w:val="none"/>
        </w:rPr>
        <w:br w:type="textWrapping"/>
      </w:r>
      <w:r>
        <w:rPr>
          <w:rFonts w:hint="eastAsia"/>
          <w:color w:val="333333"/>
          <w:highlight w:val="none"/>
        </w:rPr>
        <w:t>    一方变更项目联系人的，应当及时以书面形式通知另一方。未及时通知并影响本合同履行或造成损失的，应承担相应的责任。 </w:t>
      </w:r>
      <w:r>
        <w:rPr>
          <w:rFonts w:hint="eastAsia"/>
          <w:color w:val="333333"/>
          <w:highlight w:val="none"/>
        </w:rPr>
        <w:br w:type="textWrapping"/>
      </w:r>
      <w:r>
        <w:rPr>
          <w:rFonts w:hint="eastAsia"/>
          <w:color w:val="333333"/>
          <w:highlight w:val="none"/>
        </w:rPr>
        <w:t>    第十二条  双方确定，出现下列情形，致使本合同的履行成为不必要或不可能的，可以解除本合同：</w:t>
      </w:r>
      <w:r>
        <w:rPr>
          <w:rStyle w:val="79"/>
          <w:rFonts w:hint="eastAsia"/>
          <w:color w:val="333333"/>
          <w:highlight w:val="none"/>
        </w:rPr>
        <w:t> </w:t>
      </w:r>
      <w:r>
        <w:rPr>
          <w:rFonts w:hint="eastAsia"/>
          <w:color w:val="333333"/>
          <w:highlight w:val="none"/>
        </w:rPr>
        <w:br w:type="textWrapping"/>
      </w:r>
      <w:r>
        <w:rPr>
          <w:rFonts w:hint="eastAsia"/>
          <w:color w:val="333333"/>
          <w:highlight w:val="none"/>
        </w:rPr>
        <w:t>    1．发生不可抗力；    </w:t>
      </w:r>
      <w:r>
        <w:rPr>
          <w:rStyle w:val="79"/>
          <w:rFonts w:hint="eastAsia"/>
          <w:color w:val="333333"/>
          <w:highlight w:val="none"/>
        </w:rPr>
        <w:t> </w:t>
      </w:r>
      <w:r>
        <w:rPr>
          <w:rFonts w:hint="eastAsia"/>
          <w:color w:val="333333"/>
          <w:highlight w:val="none"/>
        </w:rPr>
        <w:br w:type="textWrapping"/>
      </w:r>
      <w:r>
        <w:rPr>
          <w:rFonts w:hint="eastAsia"/>
          <w:color w:val="333333"/>
          <w:highlight w:val="none"/>
        </w:rPr>
        <w:t>    2．</w:t>
      </w:r>
      <w:r>
        <w:rPr>
          <w:rFonts w:hint="eastAsia"/>
          <w:color w:val="333333"/>
          <w:highlight w:val="none"/>
          <w:u w:val="single"/>
        </w:rPr>
        <w:t xml:space="preserve">                无                </w:t>
      </w:r>
      <w:r>
        <w:rPr>
          <w:rFonts w:hint="eastAsia"/>
          <w:color w:val="333333"/>
          <w:highlight w:val="none"/>
        </w:rPr>
        <w:t>；  </w:t>
      </w:r>
      <w:r>
        <w:rPr>
          <w:rStyle w:val="79"/>
          <w:rFonts w:hint="eastAsia"/>
          <w:color w:val="333333"/>
          <w:highlight w:val="none"/>
        </w:rPr>
        <w:t> </w:t>
      </w:r>
      <w:r>
        <w:rPr>
          <w:rFonts w:hint="eastAsia"/>
          <w:color w:val="333333"/>
          <w:highlight w:val="none"/>
        </w:rPr>
        <w:br w:type="textWrapping"/>
      </w:r>
      <w:r>
        <w:rPr>
          <w:rFonts w:hint="eastAsia"/>
          <w:color w:val="333333"/>
          <w:highlight w:val="none"/>
        </w:rPr>
        <w:t>    3．</w:t>
      </w:r>
      <w:r>
        <w:rPr>
          <w:rFonts w:hint="eastAsia"/>
          <w:color w:val="333333"/>
          <w:highlight w:val="none"/>
          <w:u w:val="single"/>
        </w:rPr>
        <w:t xml:space="preserve">                无                </w:t>
      </w:r>
      <w:r>
        <w:rPr>
          <w:rFonts w:hint="eastAsia"/>
          <w:color w:val="333333"/>
          <w:highlight w:val="none"/>
        </w:rPr>
        <w:t>。</w:t>
      </w:r>
    </w:p>
    <w:p w14:paraId="2B5F62F0">
      <w:pPr>
        <w:pStyle w:val="23"/>
        <w:spacing w:line="440" w:lineRule="exact"/>
        <w:rPr>
          <w:color w:val="333333"/>
          <w:highlight w:val="none"/>
        </w:rPr>
      </w:pPr>
      <w:r>
        <w:rPr>
          <w:rFonts w:hint="eastAsia"/>
          <w:color w:val="333333"/>
          <w:highlight w:val="none"/>
        </w:rPr>
        <w:t>    第十三条  双方因履行本合同而发生的争议，应协商、调解决。协商，调解不成的，确定按以下第</w:t>
      </w:r>
      <w:r>
        <w:rPr>
          <w:rFonts w:hint="eastAsia"/>
          <w:color w:val="333333"/>
          <w:highlight w:val="none"/>
          <w:u w:val="single"/>
        </w:rPr>
        <w:t xml:space="preserve">    1   </w:t>
      </w:r>
      <w:r>
        <w:rPr>
          <w:rFonts w:hint="eastAsia"/>
          <w:color w:val="333333"/>
          <w:highlight w:val="none"/>
        </w:rPr>
        <w:t>种方式处理：</w:t>
      </w:r>
      <w:r>
        <w:rPr>
          <w:rStyle w:val="79"/>
          <w:rFonts w:hint="eastAsia"/>
          <w:color w:val="333333"/>
          <w:highlight w:val="none"/>
        </w:rPr>
        <w:t> </w:t>
      </w:r>
      <w:r>
        <w:rPr>
          <w:rFonts w:hint="eastAsia"/>
          <w:color w:val="333333"/>
          <w:highlight w:val="none"/>
        </w:rPr>
        <w:br w:type="textWrapping"/>
      </w:r>
      <w:r>
        <w:rPr>
          <w:rFonts w:hint="eastAsia"/>
          <w:color w:val="333333"/>
          <w:highlight w:val="none"/>
        </w:rPr>
        <w:t>    1．提交</w:t>
      </w:r>
      <w:r>
        <w:rPr>
          <w:rFonts w:hint="eastAsia"/>
          <w:color w:val="333333"/>
          <w:highlight w:val="none"/>
          <w:u w:val="single"/>
        </w:rPr>
        <w:t>乌鲁木齐市</w:t>
      </w:r>
      <w:r>
        <w:rPr>
          <w:rFonts w:hint="eastAsia"/>
          <w:color w:val="333333"/>
          <w:highlight w:val="none"/>
        </w:rPr>
        <w:t>仲裁委员会仲裁；</w:t>
      </w:r>
      <w:r>
        <w:rPr>
          <w:rStyle w:val="79"/>
          <w:rFonts w:hint="eastAsia"/>
          <w:color w:val="333333"/>
          <w:highlight w:val="none"/>
        </w:rPr>
        <w:t> </w:t>
      </w:r>
      <w:r>
        <w:rPr>
          <w:rFonts w:hint="eastAsia"/>
          <w:color w:val="333333"/>
          <w:highlight w:val="none"/>
        </w:rPr>
        <w:br w:type="textWrapping"/>
      </w:r>
      <w:r>
        <w:rPr>
          <w:rFonts w:hint="eastAsia"/>
          <w:color w:val="333333"/>
          <w:highlight w:val="none"/>
        </w:rPr>
        <w:t>    2．依法向人民法院起诉。</w:t>
      </w:r>
    </w:p>
    <w:p w14:paraId="0D4EFF63">
      <w:pPr>
        <w:pStyle w:val="23"/>
        <w:spacing w:line="440" w:lineRule="exact"/>
        <w:rPr>
          <w:color w:val="333333"/>
          <w:highlight w:val="none"/>
          <w:u w:val="single"/>
        </w:rPr>
      </w:pPr>
      <w:r>
        <w:rPr>
          <w:rFonts w:hint="eastAsia"/>
          <w:color w:val="333333"/>
          <w:highlight w:val="none"/>
        </w:rPr>
        <w:t>    第十四条  双方确定：本合同及相关附件中所涉及的有关名词和技术术语，其定义和解释如下：   </w:t>
      </w:r>
      <w:r>
        <w:rPr>
          <w:rStyle w:val="79"/>
          <w:rFonts w:hint="eastAsia"/>
          <w:color w:val="333333"/>
          <w:highlight w:val="none"/>
        </w:rPr>
        <w:t> </w:t>
      </w:r>
      <w:r>
        <w:rPr>
          <w:rFonts w:hint="eastAsia"/>
          <w:color w:val="333333"/>
          <w:highlight w:val="none"/>
        </w:rPr>
        <w:br w:type="textWrapping"/>
      </w:r>
      <w:r>
        <w:rPr>
          <w:rFonts w:hint="eastAsia"/>
          <w:color w:val="333333"/>
          <w:highlight w:val="none"/>
        </w:rPr>
        <w:t>    l．</w:t>
      </w:r>
      <w:r>
        <w:rPr>
          <w:rFonts w:hint="eastAsia"/>
          <w:color w:val="333333"/>
          <w:highlight w:val="none"/>
          <w:u w:val="single"/>
        </w:rPr>
        <w:t xml:space="preserve">                无                </w:t>
      </w:r>
      <w:r>
        <w:rPr>
          <w:rFonts w:hint="eastAsia"/>
          <w:color w:val="333333"/>
          <w:highlight w:val="none"/>
        </w:rPr>
        <w:t>；</w:t>
      </w:r>
      <w:r>
        <w:rPr>
          <w:rStyle w:val="79"/>
          <w:rFonts w:hint="eastAsia"/>
          <w:color w:val="333333"/>
          <w:highlight w:val="none"/>
        </w:rPr>
        <w:t> </w:t>
      </w:r>
      <w:r>
        <w:rPr>
          <w:rFonts w:hint="eastAsia"/>
          <w:color w:val="333333"/>
          <w:highlight w:val="none"/>
        </w:rPr>
        <w:br w:type="textWrapping"/>
      </w:r>
      <w:r>
        <w:rPr>
          <w:rFonts w:hint="eastAsia"/>
          <w:color w:val="333333"/>
          <w:highlight w:val="none"/>
        </w:rPr>
        <w:t>    2．</w:t>
      </w:r>
      <w:r>
        <w:rPr>
          <w:rFonts w:hint="eastAsia"/>
          <w:color w:val="333333"/>
          <w:highlight w:val="none"/>
          <w:u w:val="single"/>
        </w:rPr>
        <w:t xml:space="preserve">                无                </w:t>
      </w:r>
      <w:r>
        <w:rPr>
          <w:rFonts w:hint="eastAsia"/>
          <w:color w:val="333333"/>
          <w:highlight w:val="none"/>
        </w:rPr>
        <w:t>；</w:t>
      </w:r>
      <w:r>
        <w:rPr>
          <w:rStyle w:val="79"/>
          <w:rFonts w:hint="eastAsia"/>
          <w:color w:val="333333"/>
          <w:highlight w:val="none"/>
        </w:rPr>
        <w:t> </w:t>
      </w:r>
      <w:r>
        <w:rPr>
          <w:rFonts w:hint="eastAsia"/>
          <w:color w:val="333333"/>
          <w:highlight w:val="none"/>
        </w:rPr>
        <w:br w:type="textWrapping"/>
      </w:r>
      <w:r>
        <w:rPr>
          <w:rFonts w:hint="eastAsia"/>
          <w:color w:val="333333"/>
          <w:highlight w:val="none"/>
        </w:rPr>
        <w:t>    第十五条  与履行本合同有关的下列技术文件，经双方以</w:t>
      </w:r>
      <w:r>
        <w:rPr>
          <w:rFonts w:hint="eastAsia"/>
          <w:color w:val="333333"/>
          <w:highlight w:val="none"/>
          <w:u w:val="single"/>
        </w:rPr>
        <w:t>_书面_</w:t>
      </w:r>
      <w:r>
        <w:rPr>
          <w:rFonts w:hint="eastAsia"/>
          <w:color w:val="333333"/>
          <w:highlight w:val="none"/>
        </w:rPr>
        <w:t>方式确认后，为本合同的组成部分：</w:t>
      </w:r>
      <w:r>
        <w:rPr>
          <w:rStyle w:val="79"/>
          <w:rFonts w:hint="eastAsia"/>
          <w:color w:val="333333"/>
          <w:highlight w:val="none"/>
        </w:rPr>
        <w:t> </w:t>
      </w:r>
      <w:r>
        <w:rPr>
          <w:rFonts w:hint="eastAsia"/>
          <w:color w:val="333333"/>
          <w:highlight w:val="none"/>
        </w:rPr>
        <w:br w:type="textWrapping"/>
      </w:r>
      <w:r>
        <w:rPr>
          <w:rFonts w:hint="eastAsia"/>
          <w:color w:val="333333"/>
          <w:highlight w:val="none"/>
        </w:rPr>
        <w:t>    l．</w:t>
      </w:r>
      <w:r>
        <w:rPr>
          <w:rFonts w:hint="eastAsia"/>
          <w:color w:val="333333"/>
          <w:highlight w:val="none"/>
          <w:u w:val="single"/>
        </w:rPr>
        <w:t xml:space="preserve">                无                </w:t>
      </w:r>
      <w:r>
        <w:rPr>
          <w:rFonts w:hint="eastAsia"/>
          <w:color w:val="333333"/>
          <w:highlight w:val="none"/>
        </w:rPr>
        <w:t>；</w:t>
      </w:r>
      <w:r>
        <w:rPr>
          <w:rStyle w:val="79"/>
          <w:rFonts w:hint="eastAsia"/>
          <w:color w:val="333333"/>
          <w:highlight w:val="none"/>
        </w:rPr>
        <w:t> </w:t>
      </w:r>
      <w:r>
        <w:rPr>
          <w:rFonts w:hint="eastAsia"/>
          <w:color w:val="333333"/>
          <w:highlight w:val="none"/>
        </w:rPr>
        <w:br w:type="textWrapping"/>
      </w:r>
      <w:r>
        <w:rPr>
          <w:rFonts w:hint="eastAsia"/>
          <w:color w:val="333333"/>
          <w:highlight w:val="none"/>
        </w:rPr>
        <w:t>    2．</w:t>
      </w:r>
      <w:r>
        <w:rPr>
          <w:rFonts w:hint="eastAsia"/>
          <w:color w:val="333333"/>
          <w:highlight w:val="none"/>
          <w:u w:val="single"/>
        </w:rPr>
        <w:t xml:space="preserve">                无                </w:t>
      </w:r>
      <w:r>
        <w:rPr>
          <w:rFonts w:hint="eastAsia"/>
          <w:color w:val="333333"/>
          <w:highlight w:val="none"/>
        </w:rPr>
        <w:t>；</w:t>
      </w:r>
      <w:r>
        <w:rPr>
          <w:rStyle w:val="79"/>
          <w:rFonts w:hint="eastAsia"/>
          <w:color w:val="333333"/>
          <w:highlight w:val="none"/>
        </w:rPr>
        <w:t> </w:t>
      </w:r>
      <w:r>
        <w:rPr>
          <w:rFonts w:hint="eastAsia"/>
          <w:color w:val="333333"/>
          <w:highlight w:val="none"/>
        </w:rPr>
        <w:br w:type="textWrapping"/>
      </w:r>
      <w:r>
        <w:rPr>
          <w:rFonts w:hint="eastAsia"/>
          <w:color w:val="333333"/>
          <w:highlight w:val="none"/>
        </w:rPr>
        <w:t>    3．</w:t>
      </w:r>
      <w:r>
        <w:rPr>
          <w:rFonts w:hint="eastAsia"/>
          <w:color w:val="333333"/>
          <w:highlight w:val="none"/>
          <w:u w:val="single"/>
        </w:rPr>
        <w:t xml:space="preserve">                无                </w:t>
      </w:r>
      <w:r>
        <w:rPr>
          <w:rFonts w:hint="eastAsia"/>
          <w:color w:val="333333"/>
          <w:highlight w:val="none"/>
        </w:rPr>
        <w:t>；</w:t>
      </w:r>
      <w:r>
        <w:rPr>
          <w:rStyle w:val="79"/>
          <w:rFonts w:hint="eastAsia"/>
          <w:color w:val="333333"/>
          <w:highlight w:val="none"/>
        </w:rPr>
        <w:t> </w:t>
      </w:r>
      <w:r>
        <w:rPr>
          <w:rFonts w:hint="eastAsia"/>
          <w:color w:val="333333"/>
          <w:highlight w:val="none"/>
        </w:rPr>
        <w:br w:type="textWrapping"/>
      </w:r>
      <w:r>
        <w:rPr>
          <w:rFonts w:hint="eastAsia"/>
          <w:color w:val="333333"/>
          <w:highlight w:val="none"/>
        </w:rPr>
        <w:t>    4．</w:t>
      </w:r>
      <w:r>
        <w:rPr>
          <w:rFonts w:hint="eastAsia"/>
          <w:color w:val="333333"/>
          <w:highlight w:val="none"/>
          <w:u w:val="single"/>
        </w:rPr>
        <w:t xml:space="preserve">                无                </w:t>
      </w:r>
      <w:r>
        <w:rPr>
          <w:rFonts w:hint="eastAsia"/>
          <w:color w:val="333333"/>
          <w:highlight w:val="none"/>
        </w:rPr>
        <w:t>。 </w:t>
      </w:r>
      <w:r>
        <w:rPr>
          <w:rFonts w:hint="eastAsia"/>
          <w:color w:val="333333"/>
          <w:highlight w:val="none"/>
        </w:rPr>
        <w:br w:type="textWrapping"/>
      </w:r>
      <w:r>
        <w:rPr>
          <w:rFonts w:hint="eastAsia"/>
          <w:color w:val="333333"/>
          <w:highlight w:val="none"/>
        </w:rPr>
        <w:t>    第十六条  双方约定本合同其他相关事项为：</w:t>
      </w:r>
      <w:r>
        <w:rPr>
          <w:rFonts w:hint="eastAsia"/>
          <w:color w:val="333333"/>
          <w:highlight w:val="none"/>
          <w:u w:val="single"/>
        </w:rPr>
        <w:t xml:space="preserve">  无  </w:t>
      </w:r>
      <w:r>
        <w:rPr>
          <w:rFonts w:hint="eastAsia"/>
          <w:color w:val="333333"/>
          <w:highlight w:val="none"/>
        </w:rPr>
        <w:t>。</w:t>
      </w:r>
    </w:p>
    <w:p w14:paraId="35E541CE">
      <w:pPr>
        <w:pStyle w:val="23"/>
        <w:spacing w:line="440" w:lineRule="exact"/>
        <w:rPr>
          <w:color w:val="333333"/>
          <w:highlight w:val="none"/>
        </w:rPr>
      </w:pPr>
      <w:r>
        <w:rPr>
          <w:rFonts w:hint="eastAsia"/>
          <w:color w:val="333333"/>
          <w:highlight w:val="none"/>
        </w:rPr>
        <w:t>    第十七条  本合同一式</w:t>
      </w:r>
      <w:r>
        <w:rPr>
          <w:rFonts w:hint="eastAsia"/>
          <w:color w:val="333333"/>
          <w:highlight w:val="none"/>
          <w:u w:val="single"/>
        </w:rPr>
        <w:t>_六_</w:t>
      </w:r>
      <w:r>
        <w:rPr>
          <w:rFonts w:hint="eastAsia"/>
          <w:color w:val="333333"/>
          <w:highlight w:val="none"/>
        </w:rPr>
        <w:t>份，既有同等法律效力。</w:t>
      </w:r>
    </w:p>
    <w:p w14:paraId="7BD47CD2">
      <w:pPr>
        <w:pStyle w:val="23"/>
        <w:spacing w:line="440" w:lineRule="exact"/>
        <w:rPr>
          <w:color w:val="333333"/>
          <w:highlight w:val="none"/>
        </w:rPr>
      </w:pPr>
      <w:r>
        <w:rPr>
          <w:rFonts w:hint="eastAsia"/>
          <w:color w:val="333333"/>
          <w:highlight w:val="none"/>
        </w:rPr>
        <w:t>    第十八条  本合同经双方签字盖章后生效。</w:t>
      </w:r>
    </w:p>
    <w:p w14:paraId="7BDADFFB">
      <w:pPr>
        <w:pStyle w:val="23"/>
        <w:spacing w:line="440" w:lineRule="exact"/>
        <w:rPr>
          <w:color w:val="333333"/>
          <w:highlight w:val="none"/>
        </w:rPr>
      </w:pPr>
      <w:r>
        <w:rPr>
          <w:rFonts w:hint="eastAsia"/>
          <w:color w:val="333333"/>
          <w:highlight w:val="none"/>
        </w:rPr>
        <w:t> </w:t>
      </w:r>
    </w:p>
    <w:p w14:paraId="5A328EA2">
      <w:pPr>
        <w:pStyle w:val="23"/>
        <w:spacing w:line="440" w:lineRule="exact"/>
        <w:jc w:val="center"/>
        <w:rPr>
          <w:color w:val="333333"/>
          <w:highlight w:val="none"/>
        </w:rPr>
      </w:pPr>
      <w:r>
        <w:rPr>
          <w:rFonts w:hint="eastAsia"/>
          <w:color w:val="333333"/>
          <w:highlight w:val="none"/>
        </w:rPr>
        <w:t>甲方：（盖章）</w:t>
      </w:r>
      <w:r>
        <w:rPr>
          <w:rFonts w:hint="eastAsia"/>
          <w:color w:val="333333"/>
          <w:highlight w:val="none"/>
          <w:u w:val="single"/>
        </w:rPr>
        <w:t xml:space="preserve">                </w:t>
      </w:r>
      <w:r>
        <w:rPr>
          <w:rFonts w:hint="eastAsia"/>
          <w:color w:val="333333"/>
          <w:highlight w:val="none"/>
        </w:rPr>
        <w:br w:type="textWrapping"/>
      </w:r>
      <w:r>
        <w:rPr>
          <w:rFonts w:hint="eastAsia"/>
          <w:color w:val="333333"/>
          <w:highlight w:val="none"/>
        </w:rPr>
        <w:t xml:space="preserve">                  法定代表人／委托代理人：（签名）</w:t>
      </w:r>
      <w:r>
        <w:rPr>
          <w:rFonts w:hint="eastAsia"/>
          <w:color w:val="333333"/>
          <w:highlight w:val="none"/>
          <w:u w:val="single"/>
        </w:rPr>
        <w:t xml:space="preserve">                </w:t>
      </w:r>
      <w:r>
        <w:rPr>
          <w:rFonts w:hint="eastAsia"/>
          <w:color w:val="333333"/>
          <w:highlight w:val="none"/>
        </w:rPr>
        <w:br w:type="textWrapping"/>
      </w:r>
      <w:r>
        <w:rPr>
          <w:rFonts w:hint="eastAsia"/>
          <w:color w:val="333333"/>
          <w:highlight w:val="none"/>
        </w:rPr>
        <w:t xml:space="preserve">                                </w:t>
      </w:r>
      <w:r>
        <w:rPr>
          <w:rFonts w:hint="eastAsia"/>
          <w:color w:val="333333"/>
          <w:highlight w:val="none"/>
          <w:u w:val="single"/>
        </w:rPr>
        <w:t xml:space="preserve">        </w:t>
      </w:r>
      <w:r>
        <w:rPr>
          <w:rFonts w:hint="eastAsia"/>
          <w:color w:val="333333"/>
          <w:highlight w:val="none"/>
        </w:rPr>
        <w:t>年</w:t>
      </w:r>
      <w:r>
        <w:rPr>
          <w:rFonts w:hint="eastAsia"/>
          <w:color w:val="333333"/>
          <w:highlight w:val="none"/>
          <w:u w:val="single"/>
        </w:rPr>
        <w:t xml:space="preserve">        </w:t>
      </w:r>
      <w:r>
        <w:rPr>
          <w:rFonts w:hint="eastAsia"/>
          <w:color w:val="333333"/>
          <w:highlight w:val="none"/>
        </w:rPr>
        <w:t>月</w:t>
      </w:r>
      <w:r>
        <w:rPr>
          <w:rFonts w:hint="eastAsia"/>
          <w:color w:val="333333"/>
          <w:highlight w:val="none"/>
          <w:u w:val="single"/>
        </w:rPr>
        <w:t xml:space="preserve">         </w:t>
      </w:r>
      <w:r>
        <w:rPr>
          <w:rFonts w:hint="eastAsia"/>
          <w:color w:val="333333"/>
          <w:highlight w:val="none"/>
        </w:rPr>
        <w:t>日</w:t>
      </w:r>
    </w:p>
    <w:p w14:paraId="55328C40">
      <w:pPr>
        <w:pStyle w:val="23"/>
        <w:spacing w:line="440" w:lineRule="exact"/>
        <w:jc w:val="center"/>
        <w:rPr>
          <w:color w:val="333333"/>
          <w:highlight w:val="none"/>
          <w:u w:val="single"/>
        </w:rPr>
      </w:pPr>
      <w:r>
        <w:rPr>
          <w:rFonts w:hint="eastAsia"/>
          <w:color w:val="333333"/>
          <w:highlight w:val="none"/>
        </w:rPr>
        <w:t xml:space="preserve">              乙方： （盖章）</w:t>
      </w:r>
      <w:r>
        <w:rPr>
          <w:rFonts w:hint="eastAsia"/>
          <w:color w:val="333333"/>
          <w:highlight w:val="none"/>
          <w:u w:val="single"/>
        </w:rPr>
        <w:t>_______________</w:t>
      </w:r>
    </w:p>
    <w:p w14:paraId="3A52B7BC">
      <w:pPr>
        <w:pStyle w:val="23"/>
        <w:spacing w:line="440" w:lineRule="exact"/>
        <w:jc w:val="center"/>
        <w:rPr>
          <w:color w:val="333333"/>
          <w:highlight w:val="none"/>
        </w:rPr>
      </w:pPr>
      <w:r>
        <w:rPr>
          <w:rFonts w:hint="eastAsia"/>
          <w:color w:val="333333"/>
          <w:highlight w:val="none"/>
        </w:rPr>
        <w:t xml:space="preserve">                法定代表人／委托代理人：（签名）</w:t>
      </w:r>
      <w:r>
        <w:rPr>
          <w:rFonts w:hint="eastAsia"/>
          <w:color w:val="333333"/>
          <w:highlight w:val="none"/>
          <w:u w:val="single"/>
        </w:rPr>
        <w:t xml:space="preserve">             </w:t>
      </w:r>
      <w:r>
        <w:rPr>
          <w:rFonts w:hint="eastAsia"/>
          <w:color w:val="333333"/>
          <w:highlight w:val="none"/>
        </w:rPr>
        <w:br w:type="textWrapping"/>
      </w:r>
      <w:r>
        <w:rPr>
          <w:rFonts w:hint="eastAsia"/>
          <w:color w:val="333333"/>
          <w:highlight w:val="none"/>
        </w:rPr>
        <w:t xml:space="preserve">                                   </w:t>
      </w:r>
      <w:r>
        <w:rPr>
          <w:rFonts w:hint="eastAsia"/>
          <w:color w:val="333333"/>
          <w:highlight w:val="none"/>
          <w:u w:val="single"/>
        </w:rPr>
        <w:t xml:space="preserve">        </w:t>
      </w:r>
      <w:r>
        <w:rPr>
          <w:rFonts w:hint="eastAsia"/>
          <w:color w:val="333333"/>
          <w:highlight w:val="none"/>
        </w:rPr>
        <w:t>年</w:t>
      </w:r>
      <w:r>
        <w:rPr>
          <w:rFonts w:hint="eastAsia"/>
          <w:color w:val="333333"/>
          <w:highlight w:val="none"/>
          <w:u w:val="single"/>
        </w:rPr>
        <w:t xml:space="preserve">        </w:t>
      </w:r>
      <w:r>
        <w:rPr>
          <w:rFonts w:hint="eastAsia"/>
          <w:color w:val="333333"/>
          <w:highlight w:val="none"/>
        </w:rPr>
        <w:t>月</w:t>
      </w:r>
      <w:r>
        <w:rPr>
          <w:rFonts w:hint="eastAsia"/>
          <w:color w:val="333333"/>
          <w:highlight w:val="none"/>
          <w:u w:val="single"/>
        </w:rPr>
        <w:t xml:space="preserve">         </w:t>
      </w:r>
      <w:r>
        <w:rPr>
          <w:rFonts w:hint="eastAsia"/>
          <w:color w:val="333333"/>
          <w:highlight w:val="none"/>
        </w:rPr>
        <w:t>日</w:t>
      </w:r>
    </w:p>
    <w:p w14:paraId="1A34AD64">
      <w:pPr>
        <w:adjustRightInd w:val="0"/>
        <w:snapToGrid w:val="0"/>
        <w:spacing w:line="360" w:lineRule="auto"/>
        <w:rPr>
          <w:rFonts w:ascii="宋体" w:hAnsi="宋体" w:eastAsia="宋体"/>
          <w:b/>
          <w:snapToGrid w:val="0"/>
          <w:kern w:val="0"/>
          <w:szCs w:val="21"/>
          <w:highlight w:val="none"/>
        </w:rPr>
      </w:pPr>
    </w:p>
    <w:p w14:paraId="197E3389">
      <w:pPr>
        <w:adjustRightInd w:val="0"/>
        <w:snapToGrid w:val="0"/>
        <w:spacing w:line="360" w:lineRule="auto"/>
        <w:rPr>
          <w:rFonts w:ascii="宋体" w:hAnsi="宋体" w:eastAsia="宋体"/>
          <w:b/>
          <w:snapToGrid w:val="0"/>
          <w:kern w:val="0"/>
          <w:szCs w:val="21"/>
          <w:highlight w:val="none"/>
        </w:rPr>
      </w:pPr>
    </w:p>
    <w:p w14:paraId="02A1C314">
      <w:pPr>
        <w:adjustRightInd w:val="0"/>
        <w:snapToGrid w:val="0"/>
        <w:spacing w:line="360" w:lineRule="auto"/>
        <w:rPr>
          <w:rFonts w:ascii="宋体" w:hAnsi="宋体" w:eastAsia="宋体"/>
          <w:b/>
          <w:snapToGrid w:val="0"/>
          <w:kern w:val="0"/>
          <w:szCs w:val="21"/>
          <w:highlight w:val="none"/>
        </w:rPr>
      </w:pPr>
    </w:p>
    <w:p w14:paraId="2EA9B590">
      <w:pPr>
        <w:adjustRightInd w:val="0"/>
        <w:snapToGrid w:val="0"/>
        <w:spacing w:line="360" w:lineRule="auto"/>
        <w:rPr>
          <w:rFonts w:ascii="宋体" w:hAnsi="宋体" w:eastAsia="宋体"/>
          <w:b/>
          <w:snapToGrid w:val="0"/>
          <w:kern w:val="0"/>
          <w:szCs w:val="21"/>
          <w:highlight w:val="none"/>
        </w:rPr>
      </w:pPr>
    </w:p>
    <w:p w14:paraId="6F44D2EF">
      <w:pPr>
        <w:rPr>
          <w:rFonts w:ascii="宋体" w:hAnsi="宋体" w:eastAsia="宋体" w:cs="宋体"/>
          <w:color w:val="000000"/>
          <w:kern w:val="0"/>
          <w:sz w:val="24"/>
          <w:highlight w:val="none"/>
        </w:rPr>
      </w:pPr>
      <w:r>
        <w:rPr>
          <w:rFonts w:hint="eastAsia" w:ascii="’Times New Roman’" w:hAnsi="’Times New Roman’" w:eastAsia="宋体" w:cs="宋体"/>
          <w:color w:val="000000"/>
          <w:kern w:val="0"/>
          <w:sz w:val="24"/>
          <w:szCs w:val="20"/>
          <w:highlight w:val="none"/>
        </w:rPr>
        <w:t>　</w:t>
      </w:r>
    </w:p>
    <w:p w14:paraId="3A2AC554">
      <w:pPr>
        <w:snapToGrid w:val="0"/>
        <w:spacing w:line="480" w:lineRule="auto"/>
        <w:rPr>
          <w:rFonts w:hint="eastAsia" w:ascii="宋体" w:hAnsi="宋体" w:eastAsia="宋体"/>
          <w:b/>
          <w:sz w:val="24"/>
          <w:szCs w:val="24"/>
          <w:highlight w:val="none"/>
        </w:rPr>
        <w:sectPr>
          <w:footerReference r:id="rId6" w:type="default"/>
          <w:pgSz w:w="11906" w:h="16838"/>
          <w:pgMar w:top="1440" w:right="1106" w:bottom="1440" w:left="1800" w:header="851" w:footer="752" w:gutter="0"/>
          <w:pgNumType w:fmt="decimal" w:start="1"/>
          <w:cols w:space="720" w:num="1"/>
          <w:formProt w:val="0"/>
          <w:docGrid w:type="lines" w:linePitch="312" w:charSpace="0"/>
        </w:sectPr>
      </w:pPr>
      <w:r>
        <w:rPr>
          <w:rFonts w:hint="eastAsia" w:ascii="宋体" w:hAnsi="宋体" w:eastAsia="宋体"/>
          <w:b/>
          <w:sz w:val="24"/>
          <w:szCs w:val="24"/>
          <w:highlight w:val="none"/>
        </w:rPr>
        <w:t>注：本合同为</w:t>
      </w:r>
      <w:r>
        <w:rPr>
          <w:rFonts w:hint="eastAsia" w:ascii="宋体" w:hAnsi="宋体"/>
          <w:b/>
          <w:sz w:val="24"/>
          <w:szCs w:val="24"/>
          <w:highlight w:val="none"/>
          <w:lang w:eastAsia="zh-CN"/>
        </w:rPr>
        <w:t>招标文件</w:t>
      </w:r>
      <w:r>
        <w:rPr>
          <w:rFonts w:hint="eastAsia" w:ascii="宋体" w:hAnsi="宋体" w:eastAsia="宋体"/>
          <w:b/>
          <w:sz w:val="24"/>
          <w:szCs w:val="24"/>
          <w:highlight w:val="none"/>
        </w:rPr>
        <w:t>制式合同版本，最终以</w:t>
      </w:r>
      <w:r>
        <w:rPr>
          <w:rFonts w:hint="eastAsia" w:ascii="宋体" w:hAnsi="宋体" w:eastAsia="宋体"/>
          <w:b/>
          <w:sz w:val="24"/>
          <w:szCs w:val="24"/>
          <w:highlight w:val="none"/>
          <w:lang w:eastAsia="zh-CN"/>
        </w:rPr>
        <w:t>采购人</w:t>
      </w:r>
      <w:r>
        <w:rPr>
          <w:rFonts w:hint="eastAsia" w:ascii="宋体" w:hAnsi="宋体" w:eastAsia="宋体"/>
          <w:b/>
          <w:sz w:val="24"/>
          <w:szCs w:val="24"/>
          <w:highlight w:val="none"/>
        </w:rPr>
        <w:t>与</w:t>
      </w:r>
      <w:r>
        <w:rPr>
          <w:rFonts w:hint="eastAsia" w:ascii="宋体" w:hAnsi="宋体" w:eastAsia="宋体"/>
          <w:b/>
          <w:sz w:val="24"/>
          <w:szCs w:val="24"/>
          <w:highlight w:val="none"/>
          <w:lang w:eastAsia="zh-CN"/>
        </w:rPr>
        <w:t>成交</w:t>
      </w:r>
      <w:r>
        <w:rPr>
          <w:rFonts w:hint="eastAsia" w:ascii="宋体" w:hAnsi="宋体" w:eastAsia="宋体"/>
          <w:b/>
          <w:sz w:val="24"/>
          <w:szCs w:val="24"/>
          <w:highlight w:val="none"/>
        </w:rPr>
        <w:t>单位签订的合同为准。</w:t>
      </w:r>
    </w:p>
    <w:p w14:paraId="4901C38E">
      <w:pPr>
        <w:widowControl/>
        <w:suppressAutoHyphens w:val="0"/>
        <w:spacing w:line="480" w:lineRule="exact"/>
        <w:jc w:val="center"/>
        <w:outlineLvl w:val="0"/>
        <w:rPr>
          <w:rFonts w:ascii="宋体" w:hAnsi="宋体" w:eastAsia="宋体" w:cs="宋体"/>
          <w:color w:val="auto"/>
          <w:highlight w:val="none"/>
        </w:rPr>
      </w:pPr>
      <w:r>
        <w:rPr>
          <w:rStyle w:val="36"/>
          <w:rFonts w:hint="eastAsia" w:ascii="宋体" w:hAnsi="宋体" w:eastAsia="宋体" w:cs="宋体"/>
          <w:color w:val="auto"/>
          <w:highlight w:val="none"/>
        </w:rPr>
        <w:t>第五章 评审办法</w:t>
      </w:r>
      <w:bookmarkEnd w:id="137"/>
    </w:p>
    <w:p w14:paraId="1DC32BA6">
      <w:pPr>
        <w:pStyle w:val="24"/>
        <w:numPr>
          <w:ilvl w:val="0"/>
          <w:numId w:val="5"/>
        </w:numPr>
        <w:snapToGrid w:val="0"/>
        <w:spacing w:after="0" w:line="440" w:lineRule="exact"/>
        <w:ind w:firstLine="480"/>
        <w:rPr>
          <w:rFonts w:ascii="宋体" w:hAnsi="宋体" w:eastAsia="宋体" w:cs="宋体"/>
          <w:b/>
          <w:bCs/>
          <w:color w:val="auto"/>
          <w:sz w:val="24"/>
          <w:szCs w:val="24"/>
          <w:highlight w:val="none"/>
        </w:rPr>
      </w:pPr>
      <w:bookmarkStart w:id="139" w:name="_Toc37090987"/>
      <w:bookmarkStart w:id="140" w:name="_Toc37090992"/>
      <w:bookmarkStart w:id="141" w:name="_Toc37090651"/>
      <w:bookmarkStart w:id="142" w:name="_Toc37090656"/>
      <w:r>
        <w:rPr>
          <w:rFonts w:hint="eastAsia" w:ascii="宋体" w:hAnsi="宋体" w:eastAsia="宋体" w:cs="宋体"/>
          <w:b/>
          <w:bCs/>
          <w:color w:val="auto"/>
          <w:sz w:val="24"/>
          <w:szCs w:val="24"/>
          <w:highlight w:val="none"/>
        </w:rPr>
        <w:t>评审说明</w:t>
      </w:r>
    </w:p>
    <w:p w14:paraId="0DCECCF4">
      <w:pPr>
        <w:pStyle w:val="24"/>
        <w:numPr>
          <w:ilvl w:val="1"/>
          <w:numId w:val="6"/>
        </w:numPr>
        <w:snapToGrid w:val="0"/>
        <w:spacing w:after="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磋商实行两次报价，加密的响应文件中提供的供应商报价为一次报价，在磋商小组对各供应商的响应文件进行初步评审（资格评审、符合性评审）后，由磋商小组开启二次报价，各供应商须在二次报价开启后的30分钟内登录政采云系统进行二次（最后）报价。因供应商自身原因未在系统内及时填报二次报价的，其责任由供应商承担。</w:t>
      </w:r>
    </w:p>
    <w:p w14:paraId="7CA69E32">
      <w:pPr>
        <w:pStyle w:val="24"/>
        <w:numPr>
          <w:ilvl w:val="1"/>
          <w:numId w:val="6"/>
        </w:numPr>
        <w:snapToGrid w:val="0"/>
        <w:spacing w:after="0" w:line="44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在二次报价过程中若提交最后报价的供应商不足三家，根据《政府采购</w:t>
      </w:r>
      <w:r>
        <w:rPr>
          <w:rFonts w:hint="eastAsia" w:ascii="宋体" w:hAnsi="宋体" w:eastAsia="宋体" w:cs="宋体"/>
          <w:b/>
          <w:bCs/>
          <w:color w:val="auto"/>
          <w:sz w:val="24"/>
          <w:szCs w:val="24"/>
          <w:highlight w:val="none"/>
          <w:lang w:eastAsia="zh-CN"/>
        </w:rPr>
        <w:t>磋商文件</w:t>
      </w:r>
      <w:r>
        <w:rPr>
          <w:rFonts w:hint="eastAsia" w:ascii="宋体" w:hAnsi="宋体" w:eastAsia="宋体" w:cs="宋体"/>
          <w:b/>
          <w:bCs/>
          <w:color w:val="auto"/>
          <w:sz w:val="24"/>
          <w:szCs w:val="24"/>
          <w:highlight w:val="none"/>
        </w:rPr>
        <w:t>采购方式管理暂行办法》（财库【2014】214号）第三十四条的规定，采购人或者采购代理机构将委托磋商小组终止本次</w:t>
      </w:r>
      <w:r>
        <w:rPr>
          <w:rFonts w:hint="eastAsia" w:ascii="宋体" w:hAnsi="宋体" w:eastAsia="宋体" w:cs="宋体"/>
          <w:b/>
          <w:bCs/>
          <w:color w:val="auto"/>
          <w:sz w:val="24"/>
          <w:szCs w:val="24"/>
          <w:highlight w:val="none"/>
          <w:lang w:val="en-US" w:eastAsia="zh-CN"/>
        </w:rPr>
        <w:t>竞争性</w:t>
      </w:r>
      <w:r>
        <w:rPr>
          <w:rFonts w:hint="eastAsia" w:ascii="宋体" w:hAnsi="宋体" w:eastAsia="宋体" w:cs="宋体"/>
          <w:b/>
          <w:bCs/>
          <w:color w:val="auto"/>
          <w:sz w:val="24"/>
          <w:szCs w:val="24"/>
          <w:highlight w:val="none"/>
          <w:lang w:eastAsia="zh-CN"/>
        </w:rPr>
        <w:t>磋商</w:t>
      </w:r>
      <w:r>
        <w:rPr>
          <w:rFonts w:hint="eastAsia" w:ascii="宋体" w:hAnsi="宋体" w:eastAsia="宋体" w:cs="宋体"/>
          <w:b/>
          <w:bCs/>
          <w:color w:val="auto"/>
          <w:sz w:val="24"/>
          <w:szCs w:val="24"/>
          <w:highlight w:val="none"/>
        </w:rPr>
        <w:t>采购活动，重新开展采购活动。政府购买服务项目（含政府和社会资本合作项目），在采购过程中符合要求的供应商（社会资本）只有2家的，</w:t>
      </w:r>
      <w:r>
        <w:rPr>
          <w:rFonts w:hint="eastAsia" w:ascii="宋体" w:hAnsi="宋体" w:eastAsia="宋体" w:cs="宋体"/>
          <w:b/>
          <w:bCs/>
          <w:color w:val="auto"/>
          <w:sz w:val="24"/>
          <w:szCs w:val="24"/>
          <w:highlight w:val="none"/>
          <w:lang w:val="en-US" w:eastAsia="zh-CN"/>
        </w:rPr>
        <w:t>竞争性</w:t>
      </w:r>
      <w:r>
        <w:rPr>
          <w:rFonts w:hint="eastAsia" w:ascii="宋体" w:hAnsi="宋体" w:eastAsia="宋体" w:cs="宋体"/>
          <w:b/>
          <w:bCs/>
          <w:color w:val="auto"/>
          <w:sz w:val="24"/>
          <w:szCs w:val="24"/>
          <w:highlight w:val="none"/>
          <w:lang w:eastAsia="zh-CN"/>
        </w:rPr>
        <w:t>磋商</w:t>
      </w:r>
      <w:r>
        <w:rPr>
          <w:rFonts w:hint="eastAsia" w:ascii="宋体" w:hAnsi="宋体" w:eastAsia="宋体" w:cs="宋体"/>
          <w:b/>
          <w:bCs/>
          <w:color w:val="auto"/>
          <w:sz w:val="24"/>
          <w:szCs w:val="24"/>
          <w:highlight w:val="none"/>
        </w:rPr>
        <w:t>采购活动可以继续进行。</w:t>
      </w:r>
    </w:p>
    <w:p w14:paraId="027C0028">
      <w:pPr>
        <w:pStyle w:val="24"/>
        <w:snapToGrid w:val="0"/>
        <w:spacing w:after="0"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 本次磋商采用综合评分法进行评审。综合评分法是指响应文件满足</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全部实质性要求，且按照评审因素的量化指标评审综合得分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即对各供应商响应文件的商务、技术、最后报价进行综合评审。磋商小组将按供应商综合得分顺序由高到低依次排名，得分相同的，按最后报价由低到高顺序排列。综合得分及报价均相同的，按技术指标优劣顺序排列。推荐前三名为成交候选单位。经采购人确认后确定排名第一的供应商为本项目的成交供应商。</w:t>
      </w:r>
      <w:r>
        <w:rPr>
          <w:rFonts w:hint="eastAsia" w:ascii="宋体" w:hAnsi="宋体" w:eastAsia="宋体" w:cs="宋体"/>
          <w:color w:val="auto"/>
          <w:sz w:val="24"/>
          <w:szCs w:val="24"/>
          <w:highlight w:val="none"/>
          <w:lang w:eastAsia="zh-CN"/>
        </w:rPr>
        <w:t>）</w:t>
      </w:r>
    </w:p>
    <w:p w14:paraId="2228AC43">
      <w:pPr>
        <w:pStyle w:val="24"/>
        <w:snapToGrid w:val="0"/>
        <w:spacing w:after="0" w:line="440" w:lineRule="exact"/>
        <w:ind w:firstLine="482" w:firstLineChars="2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评审</w:t>
      </w:r>
    </w:p>
    <w:p w14:paraId="1D5C36F5">
      <w:pPr>
        <w:pStyle w:val="24"/>
        <w:snapToGrid w:val="0"/>
        <w:spacing w:after="0" w:line="420" w:lineRule="exact"/>
        <w:ind w:firstLine="480"/>
        <w:textAlignment w:val="baseline"/>
        <w:rPr>
          <w:rFonts w:ascii="宋体" w:hAnsi="宋体" w:eastAsia="宋体"/>
          <w:color w:val="auto"/>
          <w:highlight w:val="none"/>
        </w:rPr>
      </w:pPr>
      <w:r>
        <w:rPr>
          <w:rFonts w:ascii="宋体" w:hAnsi="宋体" w:eastAsia="宋体" w:cs="宋体;SimSun"/>
          <w:b/>
          <w:bCs/>
          <w:color w:val="auto"/>
          <w:sz w:val="24"/>
          <w:szCs w:val="24"/>
          <w:highlight w:val="none"/>
        </w:rPr>
        <w:t xml:space="preserve">2.1 </w:t>
      </w:r>
      <w:r>
        <w:rPr>
          <w:rFonts w:hint="eastAsia" w:ascii="宋体" w:hAnsi="宋体" w:eastAsia="宋体" w:cs="宋体;SimSun"/>
          <w:b/>
          <w:bCs/>
          <w:color w:val="auto"/>
          <w:sz w:val="24"/>
          <w:szCs w:val="24"/>
          <w:highlight w:val="none"/>
        </w:rPr>
        <w:t>本次磋商采用综合评分法进行评审。评审分初步评审和详细评审两个阶段。初步评审分为资格性检查和符合性检查，只有通过初步评审且递交最后报价</w:t>
      </w:r>
      <w:r>
        <w:rPr>
          <w:rFonts w:hint="eastAsia" w:ascii="宋体" w:hAnsi="宋体" w:eastAsia="宋体" w:cs="宋体;SimSun"/>
          <w:b/>
          <w:bCs/>
          <w:color w:val="auto"/>
          <w:sz w:val="24"/>
          <w:szCs w:val="24"/>
          <w:highlight w:val="none"/>
          <w:lang w:eastAsia="zh-CN"/>
        </w:rPr>
        <w:t>的</w:t>
      </w:r>
      <w:r>
        <w:rPr>
          <w:rFonts w:hint="eastAsia" w:ascii="宋体" w:hAnsi="宋体" w:eastAsia="宋体" w:cs="宋体;SimSun"/>
          <w:b/>
          <w:bCs/>
          <w:color w:val="auto"/>
          <w:sz w:val="24"/>
          <w:szCs w:val="24"/>
          <w:highlight w:val="none"/>
        </w:rPr>
        <w:t>供应商才</w:t>
      </w:r>
      <w:r>
        <w:rPr>
          <w:rFonts w:hint="eastAsia" w:ascii="宋体" w:hAnsi="宋体" w:eastAsia="宋体" w:cs="宋体;SimSun"/>
          <w:b/>
          <w:color w:val="auto"/>
          <w:sz w:val="24"/>
          <w:szCs w:val="24"/>
          <w:highlight w:val="none"/>
        </w:rPr>
        <w:t>可进入详细评审阶段。</w:t>
      </w:r>
    </w:p>
    <w:p w14:paraId="6C47371E">
      <w:pPr>
        <w:pStyle w:val="24"/>
        <w:snapToGrid w:val="0"/>
        <w:spacing w:after="0" w:line="480" w:lineRule="exact"/>
        <w:ind w:firstLine="482"/>
        <w:rPr>
          <w:rFonts w:ascii="宋体" w:hAnsi="宋体" w:eastAsia="宋体"/>
          <w:color w:val="auto"/>
          <w:highlight w:val="none"/>
        </w:rPr>
      </w:pPr>
      <w:r>
        <w:rPr>
          <w:rFonts w:ascii="宋体" w:hAnsi="宋体" w:eastAsia="宋体" w:cs="宋体;SimSun"/>
          <w:b/>
          <w:bCs/>
          <w:color w:val="auto"/>
          <w:sz w:val="24"/>
          <w:szCs w:val="24"/>
          <w:highlight w:val="none"/>
        </w:rPr>
        <w:t>2.</w:t>
      </w:r>
      <w:r>
        <w:rPr>
          <w:rFonts w:hint="eastAsia" w:ascii="宋体" w:hAnsi="宋体" w:eastAsia="宋体" w:cs="宋体;SimSun"/>
          <w:b/>
          <w:bCs/>
          <w:color w:val="auto"/>
          <w:sz w:val="24"/>
          <w:szCs w:val="24"/>
          <w:highlight w:val="none"/>
        </w:rPr>
        <w:t>2评审方法</w:t>
      </w:r>
    </w:p>
    <w:p w14:paraId="5C50B13D">
      <w:pPr>
        <w:pStyle w:val="24"/>
        <w:snapToGrid w:val="0"/>
        <w:spacing w:after="0" w:line="480" w:lineRule="exact"/>
        <w:ind w:firstLine="482"/>
        <w:rPr>
          <w:rFonts w:ascii="宋体" w:hAnsi="宋体" w:eastAsia="宋体"/>
          <w:color w:val="auto"/>
          <w:highlight w:val="none"/>
        </w:rPr>
      </w:pPr>
      <w:r>
        <w:rPr>
          <w:rFonts w:hint="eastAsia" w:ascii="宋体" w:hAnsi="宋体" w:eastAsia="宋体" w:cs="宋体;SimSun"/>
          <w:b/>
          <w:bCs/>
          <w:color w:val="auto"/>
          <w:sz w:val="24"/>
          <w:szCs w:val="24"/>
          <w:highlight w:val="none"/>
        </w:rPr>
        <w:t>磋商小组将对下述评审因素进行量化，并根据磋商小组每个成员对响应文件的评审和理解进行打分，满分为</w:t>
      </w:r>
      <w:r>
        <w:rPr>
          <w:rFonts w:ascii="宋体" w:hAnsi="宋体" w:eastAsia="宋体" w:cs="宋体;SimSun"/>
          <w:b/>
          <w:bCs/>
          <w:color w:val="auto"/>
          <w:sz w:val="24"/>
          <w:szCs w:val="24"/>
          <w:highlight w:val="none"/>
        </w:rPr>
        <w:t>100</w:t>
      </w:r>
      <w:r>
        <w:rPr>
          <w:rFonts w:hint="eastAsia" w:ascii="宋体" w:hAnsi="宋体" w:eastAsia="宋体" w:cs="宋体;SimSun"/>
          <w:b/>
          <w:bCs/>
          <w:color w:val="auto"/>
          <w:sz w:val="24"/>
          <w:szCs w:val="24"/>
          <w:highlight w:val="none"/>
        </w:rPr>
        <w:t>分，其中价格满分</w:t>
      </w:r>
      <w:r>
        <w:rPr>
          <w:rFonts w:hint="eastAsia" w:ascii="宋体" w:hAnsi="宋体" w:eastAsia="宋体" w:cs="宋体;SimSun"/>
          <w:b/>
          <w:bCs/>
          <w:color w:val="auto"/>
          <w:sz w:val="24"/>
          <w:szCs w:val="24"/>
          <w:highlight w:val="none"/>
          <w:lang w:val="en-US" w:eastAsia="zh-CN"/>
        </w:rPr>
        <w:t>10</w:t>
      </w:r>
      <w:r>
        <w:rPr>
          <w:rFonts w:hint="eastAsia" w:ascii="宋体" w:hAnsi="宋体" w:eastAsia="宋体" w:cs="宋体;SimSun"/>
          <w:b/>
          <w:bCs/>
          <w:color w:val="auto"/>
          <w:sz w:val="24"/>
          <w:szCs w:val="24"/>
          <w:highlight w:val="none"/>
        </w:rPr>
        <w:t>分；商务技术部分满分为</w:t>
      </w:r>
      <w:r>
        <w:rPr>
          <w:rFonts w:hint="eastAsia" w:ascii="宋体" w:hAnsi="宋体" w:eastAsia="宋体" w:cs="宋体;SimSun"/>
          <w:b/>
          <w:bCs/>
          <w:color w:val="auto"/>
          <w:sz w:val="24"/>
          <w:szCs w:val="24"/>
          <w:highlight w:val="none"/>
          <w:lang w:val="en-US" w:eastAsia="zh-CN"/>
        </w:rPr>
        <w:t>90</w:t>
      </w:r>
      <w:r>
        <w:rPr>
          <w:rFonts w:hint="eastAsia" w:ascii="宋体" w:hAnsi="宋体" w:eastAsia="宋体" w:cs="宋体;SimSun"/>
          <w:b/>
          <w:bCs/>
          <w:color w:val="auto"/>
          <w:sz w:val="24"/>
          <w:szCs w:val="24"/>
          <w:highlight w:val="none"/>
        </w:rPr>
        <w:t>分，供应商各部分的分值相加，即为该供应商的综合评估分。</w:t>
      </w:r>
    </w:p>
    <w:p w14:paraId="63A54D09">
      <w:pPr>
        <w:pStyle w:val="24"/>
        <w:snapToGrid w:val="0"/>
        <w:spacing w:line="480" w:lineRule="exact"/>
        <w:ind w:firstLine="480"/>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rPr>
        <w:t>3</w:t>
      </w:r>
      <w:r>
        <w:rPr>
          <w:rFonts w:hint="eastAsia" w:ascii="宋体" w:hAnsi="宋体" w:eastAsia="宋体" w:cs="宋体;SimSun"/>
          <w:color w:val="auto"/>
          <w:sz w:val="24"/>
          <w:szCs w:val="24"/>
          <w:highlight w:val="none"/>
        </w:rPr>
        <w:t>评审办法附表</w:t>
      </w:r>
    </w:p>
    <w:tbl>
      <w:tblPr>
        <w:tblStyle w:val="27"/>
        <w:tblW w:w="9919" w:type="dxa"/>
        <w:tblInd w:w="-4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615"/>
        <w:gridCol w:w="978"/>
        <w:gridCol w:w="1697"/>
        <w:gridCol w:w="5350"/>
        <w:gridCol w:w="636"/>
        <w:gridCol w:w="643"/>
      </w:tblGrid>
      <w:tr w14:paraId="55394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1593" w:type="dxa"/>
            <w:gridSpan w:val="2"/>
            <w:vMerge w:val="restart"/>
            <w:tcBorders>
              <w:top w:val="single" w:color="auto" w:sz="4" w:space="0"/>
              <w:left w:val="single" w:color="auto" w:sz="4" w:space="0"/>
              <w:right w:val="single" w:color="auto" w:sz="4" w:space="0"/>
            </w:tcBorders>
            <w:noWrap/>
            <w:vAlign w:val="center"/>
          </w:tcPr>
          <w:p w14:paraId="5BEC5EBB">
            <w:pPr>
              <w:pStyle w:val="45"/>
              <w:spacing w:line="360" w:lineRule="exact"/>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评分因素</w:t>
            </w:r>
          </w:p>
        </w:tc>
        <w:tc>
          <w:tcPr>
            <w:tcW w:w="1697" w:type="dxa"/>
            <w:vMerge w:val="restart"/>
            <w:tcBorders>
              <w:top w:val="single" w:color="auto" w:sz="4" w:space="0"/>
              <w:left w:val="single" w:color="auto" w:sz="4" w:space="0"/>
              <w:bottom w:val="single" w:color="auto" w:sz="4" w:space="0"/>
              <w:right w:val="single" w:color="auto" w:sz="4" w:space="0"/>
            </w:tcBorders>
            <w:noWrap/>
            <w:vAlign w:val="center"/>
          </w:tcPr>
          <w:p w14:paraId="401C63B9">
            <w:pPr>
              <w:pStyle w:val="45"/>
              <w:spacing w:line="360" w:lineRule="exact"/>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评分点</w:t>
            </w:r>
          </w:p>
        </w:tc>
        <w:tc>
          <w:tcPr>
            <w:tcW w:w="5350" w:type="dxa"/>
            <w:vMerge w:val="restart"/>
            <w:tcBorders>
              <w:top w:val="single" w:color="auto" w:sz="4" w:space="0"/>
              <w:left w:val="single" w:color="auto" w:sz="4" w:space="0"/>
              <w:bottom w:val="single" w:color="auto" w:sz="4" w:space="0"/>
              <w:right w:val="single" w:color="auto" w:sz="4" w:space="0"/>
            </w:tcBorders>
            <w:noWrap/>
            <w:vAlign w:val="center"/>
          </w:tcPr>
          <w:p w14:paraId="31562BE3">
            <w:pPr>
              <w:pStyle w:val="45"/>
              <w:spacing w:line="360" w:lineRule="exact"/>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评分标准</w:t>
            </w:r>
          </w:p>
        </w:tc>
        <w:tc>
          <w:tcPr>
            <w:tcW w:w="1279" w:type="dxa"/>
            <w:gridSpan w:val="2"/>
            <w:tcBorders>
              <w:top w:val="single" w:color="auto" w:sz="4" w:space="0"/>
              <w:left w:val="single" w:color="auto" w:sz="4" w:space="0"/>
              <w:bottom w:val="single" w:color="auto" w:sz="4" w:space="0"/>
              <w:right w:val="single" w:color="auto" w:sz="4" w:space="0"/>
            </w:tcBorders>
            <w:noWrap/>
            <w:vAlign w:val="center"/>
          </w:tcPr>
          <w:p w14:paraId="1E91FAD8">
            <w:pPr>
              <w:pStyle w:val="45"/>
              <w:spacing w:line="360" w:lineRule="exact"/>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评审意见</w:t>
            </w:r>
          </w:p>
        </w:tc>
      </w:tr>
      <w:tr w14:paraId="53CD8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1593" w:type="dxa"/>
            <w:gridSpan w:val="2"/>
            <w:vMerge w:val="continue"/>
            <w:tcBorders>
              <w:left w:val="single" w:color="auto" w:sz="4" w:space="0"/>
              <w:bottom w:val="single" w:color="auto" w:sz="4" w:space="0"/>
              <w:right w:val="single" w:color="auto" w:sz="4" w:space="0"/>
            </w:tcBorders>
            <w:noWrap/>
            <w:vAlign w:val="center"/>
          </w:tcPr>
          <w:p w14:paraId="6DCF1DBE">
            <w:pPr>
              <w:pStyle w:val="45"/>
              <w:snapToGrid w:val="0"/>
              <w:spacing w:line="360" w:lineRule="exact"/>
              <w:jc w:val="center"/>
              <w:rPr>
                <w:rFonts w:ascii="宋体" w:hAnsi="宋体" w:cs="宋体"/>
                <w:color w:val="auto"/>
                <w:sz w:val="21"/>
                <w:szCs w:val="21"/>
                <w:highlight w:val="none"/>
              </w:rPr>
            </w:pPr>
          </w:p>
        </w:tc>
        <w:tc>
          <w:tcPr>
            <w:tcW w:w="1697" w:type="dxa"/>
            <w:vMerge w:val="continue"/>
            <w:tcBorders>
              <w:top w:val="single" w:color="auto" w:sz="4" w:space="0"/>
              <w:left w:val="single" w:color="auto" w:sz="4" w:space="0"/>
              <w:bottom w:val="single" w:color="auto" w:sz="4" w:space="0"/>
              <w:right w:val="single" w:color="auto" w:sz="4" w:space="0"/>
            </w:tcBorders>
            <w:noWrap/>
            <w:vAlign w:val="center"/>
          </w:tcPr>
          <w:p w14:paraId="3E7047FF">
            <w:pPr>
              <w:pStyle w:val="45"/>
              <w:snapToGrid w:val="0"/>
              <w:spacing w:line="360" w:lineRule="exact"/>
              <w:jc w:val="center"/>
              <w:rPr>
                <w:rFonts w:ascii="宋体" w:hAnsi="宋体" w:cs="宋体"/>
                <w:color w:val="auto"/>
                <w:sz w:val="21"/>
                <w:szCs w:val="21"/>
                <w:highlight w:val="none"/>
              </w:rPr>
            </w:pPr>
          </w:p>
        </w:tc>
        <w:tc>
          <w:tcPr>
            <w:tcW w:w="5350" w:type="dxa"/>
            <w:vMerge w:val="continue"/>
            <w:tcBorders>
              <w:top w:val="single" w:color="auto" w:sz="4" w:space="0"/>
              <w:left w:val="single" w:color="auto" w:sz="4" w:space="0"/>
              <w:bottom w:val="single" w:color="auto" w:sz="4" w:space="0"/>
              <w:right w:val="single" w:color="auto" w:sz="4" w:space="0"/>
            </w:tcBorders>
            <w:noWrap/>
            <w:vAlign w:val="center"/>
          </w:tcPr>
          <w:p w14:paraId="43CEEF45">
            <w:pPr>
              <w:pStyle w:val="45"/>
              <w:snapToGrid w:val="0"/>
              <w:spacing w:line="360" w:lineRule="exact"/>
              <w:jc w:val="center"/>
              <w:rPr>
                <w:rFonts w:ascii="宋体" w:hAnsi="宋体" w:cs="宋体"/>
                <w:color w:val="auto"/>
                <w:sz w:val="21"/>
                <w:szCs w:val="21"/>
                <w:highlight w:val="none"/>
              </w:rPr>
            </w:pPr>
          </w:p>
        </w:tc>
        <w:tc>
          <w:tcPr>
            <w:tcW w:w="636" w:type="dxa"/>
            <w:tcBorders>
              <w:top w:val="single" w:color="auto" w:sz="4" w:space="0"/>
              <w:left w:val="single" w:color="auto" w:sz="4" w:space="0"/>
              <w:bottom w:val="single" w:color="auto" w:sz="4" w:space="0"/>
              <w:right w:val="single" w:color="auto" w:sz="4" w:space="0"/>
            </w:tcBorders>
            <w:noWrap/>
            <w:vAlign w:val="center"/>
          </w:tcPr>
          <w:p w14:paraId="49A49B76">
            <w:pPr>
              <w:pStyle w:val="45"/>
              <w:spacing w:line="360" w:lineRule="exact"/>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是</w:t>
            </w:r>
          </w:p>
        </w:tc>
        <w:tc>
          <w:tcPr>
            <w:tcW w:w="643" w:type="dxa"/>
            <w:tcBorders>
              <w:top w:val="single" w:color="auto" w:sz="4" w:space="0"/>
              <w:left w:val="single" w:color="auto" w:sz="4" w:space="0"/>
              <w:bottom w:val="single" w:color="auto" w:sz="4" w:space="0"/>
              <w:right w:val="single" w:color="auto" w:sz="4" w:space="0"/>
            </w:tcBorders>
            <w:noWrap/>
            <w:vAlign w:val="center"/>
          </w:tcPr>
          <w:p w14:paraId="7B9E17BB">
            <w:pPr>
              <w:pStyle w:val="45"/>
              <w:spacing w:line="360" w:lineRule="exact"/>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否</w:t>
            </w:r>
          </w:p>
        </w:tc>
      </w:tr>
      <w:tr w14:paraId="6C029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615" w:type="dxa"/>
            <w:vMerge w:val="restart"/>
            <w:tcBorders>
              <w:left w:val="single" w:color="auto" w:sz="4" w:space="0"/>
              <w:right w:val="single" w:color="auto" w:sz="4" w:space="0"/>
            </w:tcBorders>
            <w:noWrap/>
            <w:vAlign w:val="center"/>
          </w:tcPr>
          <w:p w14:paraId="72492D47">
            <w:pPr>
              <w:pStyle w:val="45"/>
              <w:spacing w:line="360" w:lineRule="exact"/>
              <w:jc w:val="center"/>
              <w:rPr>
                <w:rFonts w:ascii="宋体" w:hAnsi="宋体" w:cs="宋体"/>
                <w:color w:val="auto"/>
                <w:sz w:val="21"/>
                <w:szCs w:val="21"/>
                <w:highlight w:val="none"/>
              </w:rPr>
            </w:pPr>
          </w:p>
        </w:tc>
        <w:tc>
          <w:tcPr>
            <w:tcW w:w="978" w:type="dxa"/>
            <w:vMerge w:val="restart"/>
            <w:tcBorders>
              <w:left w:val="single" w:color="auto" w:sz="4" w:space="0"/>
              <w:right w:val="single" w:color="auto" w:sz="4" w:space="0"/>
            </w:tcBorders>
            <w:noWrap/>
            <w:vAlign w:val="center"/>
          </w:tcPr>
          <w:p w14:paraId="3316DF87">
            <w:pPr>
              <w:pStyle w:val="45"/>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资格性检查</w:t>
            </w:r>
          </w:p>
        </w:tc>
        <w:tc>
          <w:tcPr>
            <w:tcW w:w="1697" w:type="dxa"/>
            <w:tcBorders>
              <w:top w:val="single" w:color="auto" w:sz="4" w:space="0"/>
              <w:left w:val="single" w:color="auto" w:sz="4" w:space="0"/>
              <w:bottom w:val="single" w:color="auto" w:sz="4" w:space="0"/>
              <w:right w:val="single" w:color="auto" w:sz="4" w:space="0"/>
            </w:tcBorders>
            <w:noWrap/>
            <w:vAlign w:val="center"/>
          </w:tcPr>
          <w:p w14:paraId="6BB30C68">
            <w:pPr>
              <w:pStyle w:val="15"/>
              <w:spacing w:line="360" w:lineRule="exact"/>
              <w:jc w:val="center"/>
              <w:rPr>
                <w:rFonts w:ascii="宋体" w:hAnsi="宋体" w:cs="宋体"/>
                <w:color w:val="auto"/>
                <w:highlight w:val="none"/>
              </w:rPr>
            </w:pPr>
            <w:r>
              <w:rPr>
                <w:rFonts w:hint="eastAsia" w:hAnsi="宋体" w:cs="宋体"/>
                <w:color w:val="auto"/>
                <w:spacing w:val="-2"/>
                <w:kern w:val="0"/>
                <w:highlight w:val="none"/>
              </w:rPr>
              <w:t>具有独立承担民事责任的能力</w:t>
            </w:r>
          </w:p>
        </w:tc>
        <w:tc>
          <w:tcPr>
            <w:tcW w:w="5350" w:type="dxa"/>
            <w:tcBorders>
              <w:top w:val="single" w:color="auto" w:sz="4" w:space="0"/>
              <w:left w:val="single" w:color="auto" w:sz="4" w:space="0"/>
              <w:bottom w:val="single" w:color="auto" w:sz="4" w:space="0"/>
              <w:right w:val="single" w:color="auto" w:sz="4" w:space="0"/>
            </w:tcBorders>
            <w:noWrap/>
            <w:vAlign w:val="center"/>
          </w:tcPr>
          <w:p w14:paraId="14283758">
            <w:pPr>
              <w:pStyle w:val="15"/>
              <w:spacing w:line="360" w:lineRule="exact"/>
              <w:rPr>
                <w:rFonts w:ascii="宋体" w:hAnsi="宋体" w:cs="宋体"/>
                <w:color w:val="auto"/>
                <w:highlight w:val="none"/>
              </w:rPr>
            </w:pPr>
            <w:r>
              <w:rPr>
                <w:rFonts w:hint="eastAsia" w:hAnsi="宋体" w:cs="宋体"/>
                <w:color w:val="auto"/>
                <w:spacing w:val="-2"/>
                <w:kern w:val="0"/>
                <w:highlight w:val="none"/>
              </w:rPr>
              <w:t>法人或者其他组织的营业执照等证明文件；自然人需提供身份证明</w:t>
            </w:r>
          </w:p>
        </w:tc>
        <w:tc>
          <w:tcPr>
            <w:tcW w:w="636" w:type="dxa"/>
            <w:tcBorders>
              <w:top w:val="single" w:color="auto" w:sz="4" w:space="0"/>
              <w:left w:val="single" w:color="auto" w:sz="4" w:space="0"/>
              <w:bottom w:val="single" w:color="auto" w:sz="4" w:space="0"/>
              <w:right w:val="single" w:color="auto" w:sz="4" w:space="0"/>
            </w:tcBorders>
            <w:noWrap/>
            <w:vAlign w:val="center"/>
          </w:tcPr>
          <w:p w14:paraId="5B0CD1DF">
            <w:pPr>
              <w:pStyle w:val="45"/>
              <w:snapToGrid w:val="0"/>
              <w:spacing w:line="360" w:lineRule="exact"/>
              <w:rPr>
                <w:rFonts w:ascii="宋体" w:hAnsi="宋体" w:cs="宋体"/>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14:paraId="55AC88CA">
            <w:pPr>
              <w:pStyle w:val="45"/>
              <w:snapToGrid w:val="0"/>
              <w:spacing w:line="360" w:lineRule="exact"/>
              <w:rPr>
                <w:rFonts w:ascii="宋体" w:hAnsi="宋体" w:cs="宋体"/>
                <w:color w:val="auto"/>
                <w:sz w:val="21"/>
                <w:szCs w:val="21"/>
                <w:highlight w:val="none"/>
              </w:rPr>
            </w:pPr>
          </w:p>
        </w:tc>
      </w:tr>
      <w:tr w14:paraId="49FE9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615" w:type="dxa"/>
            <w:vMerge w:val="continue"/>
            <w:tcBorders>
              <w:left w:val="single" w:color="auto" w:sz="4" w:space="0"/>
              <w:right w:val="single" w:color="auto" w:sz="4" w:space="0"/>
            </w:tcBorders>
            <w:noWrap/>
            <w:vAlign w:val="center"/>
          </w:tcPr>
          <w:p w14:paraId="693CD804">
            <w:pPr>
              <w:pStyle w:val="45"/>
              <w:spacing w:line="360" w:lineRule="exact"/>
              <w:jc w:val="center"/>
              <w:rPr>
                <w:rFonts w:ascii="宋体" w:hAnsi="宋体" w:cs="宋体"/>
                <w:color w:val="auto"/>
                <w:sz w:val="21"/>
                <w:szCs w:val="21"/>
                <w:highlight w:val="none"/>
              </w:rPr>
            </w:pPr>
          </w:p>
        </w:tc>
        <w:tc>
          <w:tcPr>
            <w:tcW w:w="978" w:type="dxa"/>
            <w:vMerge w:val="continue"/>
            <w:tcBorders>
              <w:left w:val="single" w:color="auto" w:sz="4" w:space="0"/>
              <w:right w:val="single" w:color="auto" w:sz="4" w:space="0"/>
            </w:tcBorders>
            <w:noWrap/>
            <w:vAlign w:val="center"/>
          </w:tcPr>
          <w:p w14:paraId="7AD351E3">
            <w:pPr>
              <w:pStyle w:val="45"/>
              <w:spacing w:line="360" w:lineRule="exact"/>
              <w:jc w:val="center"/>
              <w:rPr>
                <w:rFonts w:ascii="宋体" w:hAnsi="宋体" w:cs="宋体"/>
                <w:color w:val="auto"/>
                <w:sz w:val="21"/>
                <w:szCs w:val="21"/>
                <w:highlight w:val="none"/>
              </w:rPr>
            </w:pPr>
          </w:p>
        </w:tc>
        <w:tc>
          <w:tcPr>
            <w:tcW w:w="1697" w:type="dxa"/>
            <w:tcBorders>
              <w:top w:val="single" w:color="auto" w:sz="4" w:space="0"/>
              <w:left w:val="single" w:color="auto" w:sz="4" w:space="0"/>
              <w:bottom w:val="single" w:color="auto" w:sz="4" w:space="0"/>
              <w:right w:val="single" w:color="auto" w:sz="4" w:space="0"/>
            </w:tcBorders>
            <w:noWrap/>
            <w:vAlign w:val="center"/>
          </w:tcPr>
          <w:p w14:paraId="265DC6EB">
            <w:pPr>
              <w:pStyle w:val="15"/>
              <w:spacing w:line="360" w:lineRule="exact"/>
              <w:jc w:val="center"/>
              <w:rPr>
                <w:rFonts w:ascii="宋体" w:hAnsi="宋体" w:cs="宋体"/>
                <w:color w:val="auto"/>
                <w:highlight w:val="none"/>
              </w:rPr>
            </w:pPr>
            <w:r>
              <w:rPr>
                <w:rFonts w:hint="eastAsia" w:hAnsi="宋体" w:cs="宋体"/>
                <w:color w:val="auto"/>
                <w:spacing w:val="-2"/>
                <w:kern w:val="0"/>
                <w:highlight w:val="none"/>
              </w:rPr>
              <w:t>健全的财务会计制度</w:t>
            </w:r>
          </w:p>
        </w:tc>
        <w:tc>
          <w:tcPr>
            <w:tcW w:w="5350" w:type="dxa"/>
            <w:tcBorders>
              <w:top w:val="single" w:color="auto" w:sz="4" w:space="0"/>
              <w:left w:val="single" w:color="auto" w:sz="4" w:space="0"/>
              <w:bottom w:val="single" w:color="auto" w:sz="4" w:space="0"/>
              <w:right w:val="single" w:color="auto" w:sz="4" w:space="0"/>
            </w:tcBorders>
            <w:noWrap/>
            <w:vAlign w:val="center"/>
          </w:tcPr>
          <w:p w14:paraId="38B72F24">
            <w:pPr>
              <w:spacing w:line="360" w:lineRule="exact"/>
              <w:rPr>
                <w:rFonts w:ascii="宋体" w:hAnsi="宋体" w:cs="宋体"/>
                <w:color w:val="auto"/>
                <w:highlight w:val="none"/>
              </w:rPr>
            </w:pPr>
            <w:r>
              <w:rPr>
                <w:rFonts w:hint="eastAsia" w:ascii="宋体" w:hAnsi="宋体" w:cs="宋体"/>
                <w:color w:val="auto"/>
                <w:highlight w:val="none"/>
              </w:rPr>
              <w:t>提供上年度财务审计报告或半年内任意一个月财务报表（财务报表应至少包括资产负债表、损益表</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利润表</w:t>
            </w:r>
            <w:r>
              <w:rPr>
                <w:rFonts w:hint="eastAsia" w:ascii="宋体" w:hAnsi="宋体" w:cs="宋体"/>
                <w:color w:val="auto"/>
                <w:highlight w:val="none"/>
                <w:lang w:eastAsia="zh-CN"/>
              </w:rPr>
              <w:t>）</w:t>
            </w:r>
            <w:r>
              <w:rPr>
                <w:rFonts w:hint="eastAsia" w:ascii="宋体" w:hAnsi="宋体" w:cs="宋体"/>
                <w:color w:val="auto"/>
                <w:highlight w:val="none"/>
              </w:rPr>
              <w:t>、现金流量表或财务状况变动表），当月新成立公司无需提供</w:t>
            </w:r>
          </w:p>
        </w:tc>
        <w:tc>
          <w:tcPr>
            <w:tcW w:w="636" w:type="dxa"/>
            <w:tcBorders>
              <w:top w:val="single" w:color="auto" w:sz="4" w:space="0"/>
              <w:left w:val="single" w:color="auto" w:sz="4" w:space="0"/>
              <w:bottom w:val="single" w:color="auto" w:sz="4" w:space="0"/>
              <w:right w:val="single" w:color="auto" w:sz="4" w:space="0"/>
            </w:tcBorders>
            <w:noWrap/>
            <w:vAlign w:val="center"/>
          </w:tcPr>
          <w:p w14:paraId="68B1A42D">
            <w:pPr>
              <w:pStyle w:val="45"/>
              <w:snapToGrid w:val="0"/>
              <w:spacing w:line="360" w:lineRule="exact"/>
              <w:rPr>
                <w:rFonts w:ascii="宋体" w:hAnsi="宋体" w:cs="宋体"/>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14:paraId="04947998">
            <w:pPr>
              <w:pStyle w:val="45"/>
              <w:snapToGrid w:val="0"/>
              <w:spacing w:line="360" w:lineRule="exact"/>
              <w:rPr>
                <w:rFonts w:ascii="宋体" w:hAnsi="宋体" w:cs="宋体"/>
                <w:color w:val="auto"/>
                <w:sz w:val="21"/>
                <w:szCs w:val="21"/>
                <w:highlight w:val="none"/>
              </w:rPr>
            </w:pPr>
          </w:p>
        </w:tc>
      </w:tr>
      <w:tr w14:paraId="068A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615" w:type="dxa"/>
            <w:vMerge w:val="continue"/>
            <w:tcBorders>
              <w:left w:val="single" w:color="auto" w:sz="4" w:space="0"/>
              <w:right w:val="single" w:color="auto" w:sz="4" w:space="0"/>
            </w:tcBorders>
            <w:noWrap/>
            <w:vAlign w:val="center"/>
          </w:tcPr>
          <w:p w14:paraId="10A45D0F">
            <w:pPr>
              <w:pStyle w:val="45"/>
              <w:spacing w:line="360" w:lineRule="exact"/>
              <w:jc w:val="center"/>
              <w:rPr>
                <w:rFonts w:ascii="宋体" w:hAnsi="宋体" w:cs="宋体"/>
                <w:color w:val="auto"/>
                <w:sz w:val="21"/>
                <w:szCs w:val="21"/>
                <w:highlight w:val="none"/>
              </w:rPr>
            </w:pPr>
          </w:p>
        </w:tc>
        <w:tc>
          <w:tcPr>
            <w:tcW w:w="978" w:type="dxa"/>
            <w:vMerge w:val="continue"/>
            <w:tcBorders>
              <w:left w:val="single" w:color="auto" w:sz="4" w:space="0"/>
              <w:right w:val="single" w:color="auto" w:sz="4" w:space="0"/>
            </w:tcBorders>
            <w:noWrap/>
            <w:vAlign w:val="center"/>
          </w:tcPr>
          <w:p w14:paraId="4EF70293">
            <w:pPr>
              <w:pStyle w:val="45"/>
              <w:spacing w:line="360" w:lineRule="exact"/>
              <w:jc w:val="center"/>
              <w:rPr>
                <w:rFonts w:ascii="宋体" w:hAnsi="宋体" w:cs="宋体"/>
                <w:color w:val="auto"/>
                <w:sz w:val="21"/>
                <w:szCs w:val="21"/>
                <w:highlight w:val="none"/>
              </w:rPr>
            </w:pPr>
          </w:p>
        </w:tc>
        <w:tc>
          <w:tcPr>
            <w:tcW w:w="1697" w:type="dxa"/>
            <w:tcBorders>
              <w:top w:val="single" w:color="auto" w:sz="4" w:space="0"/>
              <w:left w:val="single" w:color="auto" w:sz="4" w:space="0"/>
              <w:bottom w:val="single" w:color="auto" w:sz="4" w:space="0"/>
              <w:right w:val="single" w:color="auto" w:sz="4" w:space="0"/>
            </w:tcBorders>
            <w:noWrap/>
            <w:vAlign w:val="center"/>
          </w:tcPr>
          <w:p w14:paraId="3BAF8AEF">
            <w:pPr>
              <w:spacing w:line="360" w:lineRule="exact"/>
              <w:jc w:val="center"/>
              <w:rPr>
                <w:rFonts w:ascii="宋体" w:hAnsi="宋体" w:cs="宋体"/>
                <w:color w:val="auto"/>
                <w:highlight w:val="none"/>
              </w:rPr>
            </w:pPr>
            <w:r>
              <w:rPr>
                <w:rFonts w:hint="eastAsia" w:ascii="宋体" w:hAnsi="宋体" w:cs="宋体"/>
                <w:color w:val="auto"/>
                <w:highlight w:val="none"/>
              </w:rPr>
              <w:t>纳税证明</w:t>
            </w:r>
          </w:p>
        </w:tc>
        <w:tc>
          <w:tcPr>
            <w:tcW w:w="5350" w:type="dxa"/>
            <w:tcBorders>
              <w:top w:val="single" w:color="auto" w:sz="4" w:space="0"/>
              <w:left w:val="single" w:color="auto" w:sz="4" w:space="0"/>
              <w:bottom w:val="single" w:color="auto" w:sz="4" w:space="0"/>
              <w:right w:val="single" w:color="auto" w:sz="4" w:space="0"/>
            </w:tcBorders>
            <w:noWrap/>
            <w:vAlign w:val="center"/>
          </w:tcPr>
          <w:p w14:paraId="024A8211">
            <w:pPr>
              <w:spacing w:line="360" w:lineRule="exact"/>
              <w:rPr>
                <w:rFonts w:ascii="宋体" w:hAnsi="宋体" w:cs="宋体"/>
                <w:color w:val="auto"/>
                <w:highlight w:val="none"/>
              </w:rPr>
            </w:pPr>
            <w:r>
              <w:rPr>
                <w:rFonts w:hint="eastAsia" w:ascii="宋体" w:hAnsi="宋体" w:cs="宋体"/>
                <w:color w:val="auto"/>
                <w:highlight w:val="none"/>
              </w:rPr>
              <w:t>提供的近三月内任意一月的依法缴纳税收证明，当月新成立公司不需提供；无需纳税或免税的也需提供相应证明材料</w:t>
            </w:r>
          </w:p>
        </w:tc>
        <w:tc>
          <w:tcPr>
            <w:tcW w:w="636" w:type="dxa"/>
            <w:tcBorders>
              <w:top w:val="single" w:color="auto" w:sz="4" w:space="0"/>
              <w:left w:val="single" w:color="auto" w:sz="4" w:space="0"/>
              <w:bottom w:val="single" w:color="auto" w:sz="4" w:space="0"/>
              <w:right w:val="single" w:color="auto" w:sz="4" w:space="0"/>
            </w:tcBorders>
            <w:noWrap/>
            <w:vAlign w:val="center"/>
          </w:tcPr>
          <w:p w14:paraId="6B99C484">
            <w:pPr>
              <w:pStyle w:val="45"/>
              <w:snapToGrid w:val="0"/>
              <w:spacing w:line="360" w:lineRule="exact"/>
              <w:rPr>
                <w:rFonts w:ascii="宋体" w:hAnsi="宋体" w:cs="宋体"/>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14:paraId="276536FE">
            <w:pPr>
              <w:pStyle w:val="45"/>
              <w:snapToGrid w:val="0"/>
              <w:spacing w:line="360" w:lineRule="exact"/>
              <w:rPr>
                <w:rFonts w:ascii="宋体" w:hAnsi="宋体" w:cs="宋体"/>
                <w:color w:val="auto"/>
                <w:sz w:val="21"/>
                <w:szCs w:val="21"/>
                <w:highlight w:val="none"/>
              </w:rPr>
            </w:pPr>
          </w:p>
        </w:tc>
      </w:tr>
      <w:tr w14:paraId="6AD53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615" w:type="dxa"/>
            <w:vMerge w:val="continue"/>
            <w:tcBorders>
              <w:left w:val="single" w:color="auto" w:sz="4" w:space="0"/>
              <w:right w:val="single" w:color="auto" w:sz="4" w:space="0"/>
            </w:tcBorders>
            <w:noWrap/>
            <w:vAlign w:val="center"/>
          </w:tcPr>
          <w:p w14:paraId="678DC941">
            <w:pPr>
              <w:pStyle w:val="45"/>
              <w:spacing w:line="360" w:lineRule="exact"/>
              <w:jc w:val="center"/>
              <w:rPr>
                <w:rFonts w:ascii="宋体" w:hAnsi="宋体" w:cs="宋体"/>
                <w:color w:val="auto"/>
                <w:sz w:val="21"/>
                <w:szCs w:val="21"/>
                <w:highlight w:val="none"/>
              </w:rPr>
            </w:pPr>
          </w:p>
        </w:tc>
        <w:tc>
          <w:tcPr>
            <w:tcW w:w="978" w:type="dxa"/>
            <w:vMerge w:val="continue"/>
            <w:tcBorders>
              <w:left w:val="single" w:color="auto" w:sz="4" w:space="0"/>
              <w:right w:val="single" w:color="auto" w:sz="4" w:space="0"/>
            </w:tcBorders>
            <w:noWrap/>
            <w:vAlign w:val="center"/>
          </w:tcPr>
          <w:p w14:paraId="71F51D18">
            <w:pPr>
              <w:pStyle w:val="45"/>
              <w:spacing w:line="360" w:lineRule="exact"/>
              <w:jc w:val="center"/>
              <w:rPr>
                <w:rFonts w:ascii="宋体" w:hAnsi="宋体" w:cs="宋体"/>
                <w:color w:val="auto"/>
                <w:sz w:val="21"/>
                <w:szCs w:val="21"/>
                <w:highlight w:val="none"/>
              </w:rPr>
            </w:pPr>
          </w:p>
        </w:tc>
        <w:tc>
          <w:tcPr>
            <w:tcW w:w="1697" w:type="dxa"/>
            <w:tcBorders>
              <w:top w:val="single" w:color="auto" w:sz="4" w:space="0"/>
              <w:left w:val="single" w:color="auto" w:sz="4" w:space="0"/>
              <w:bottom w:val="single" w:color="auto" w:sz="4" w:space="0"/>
              <w:right w:val="single" w:color="auto" w:sz="4" w:space="0"/>
            </w:tcBorders>
            <w:noWrap/>
            <w:vAlign w:val="center"/>
          </w:tcPr>
          <w:p w14:paraId="5E05D9AB">
            <w:pPr>
              <w:spacing w:line="360" w:lineRule="exact"/>
              <w:jc w:val="center"/>
              <w:rPr>
                <w:rFonts w:ascii="宋体" w:hAnsi="宋体" w:cs="宋体"/>
                <w:color w:val="auto"/>
                <w:highlight w:val="none"/>
              </w:rPr>
            </w:pPr>
            <w:r>
              <w:rPr>
                <w:rFonts w:hint="eastAsia" w:ascii="宋体" w:hAnsi="宋体" w:cs="宋体"/>
                <w:color w:val="auto"/>
                <w:spacing w:val="-2"/>
                <w:highlight w:val="none"/>
              </w:rPr>
              <w:t>缴纳社会保障资金证明</w:t>
            </w:r>
          </w:p>
        </w:tc>
        <w:tc>
          <w:tcPr>
            <w:tcW w:w="5350" w:type="dxa"/>
            <w:tcBorders>
              <w:top w:val="single" w:color="auto" w:sz="4" w:space="0"/>
              <w:left w:val="single" w:color="auto" w:sz="4" w:space="0"/>
              <w:bottom w:val="single" w:color="auto" w:sz="4" w:space="0"/>
              <w:right w:val="single" w:color="auto" w:sz="4" w:space="0"/>
            </w:tcBorders>
            <w:noWrap/>
            <w:vAlign w:val="center"/>
          </w:tcPr>
          <w:p w14:paraId="69CFBCDA">
            <w:pPr>
              <w:spacing w:line="360" w:lineRule="exact"/>
              <w:rPr>
                <w:rFonts w:ascii="宋体" w:hAnsi="宋体" w:cs="宋体"/>
                <w:color w:val="auto"/>
                <w:highlight w:val="none"/>
              </w:rPr>
            </w:pPr>
            <w:r>
              <w:rPr>
                <w:rFonts w:hint="eastAsia" w:ascii="宋体" w:hAnsi="宋体" w:eastAsia="宋体" w:cs="宋体"/>
                <w:color w:val="auto"/>
                <w:sz w:val="21"/>
                <w:szCs w:val="21"/>
                <w:highlight w:val="none"/>
              </w:rPr>
              <w:t>提供社保机构出具的近</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内任意一月的</w:t>
            </w:r>
            <w:r>
              <w:rPr>
                <w:rFonts w:hint="eastAsia" w:ascii="宋体" w:hAnsi="宋体" w:eastAsia="宋体" w:cs="宋体"/>
                <w:color w:val="auto"/>
                <w:sz w:val="21"/>
                <w:szCs w:val="21"/>
                <w:highlight w:val="none"/>
              </w:rPr>
              <w:t>社保缴纳证明，当月新成立公司</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需提供</w:t>
            </w:r>
            <w:r>
              <w:rPr>
                <w:rFonts w:hint="eastAsia" w:ascii="宋体" w:hAnsi="宋体" w:eastAsia="宋体" w:cs="宋体"/>
                <w:color w:val="auto"/>
                <w:sz w:val="21"/>
                <w:szCs w:val="21"/>
                <w:highlight w:val="none"/>
                <w:lang w:eastAsia="zh-CN"/>
              </w:rPr>
              <w:t>；</w:t>
            </w:r>
          </w:p>
        </w:tc>
        <w:tc>
          <w:tcPr>
            <w:tcW w:w="636" w:type="dxa"/>
            <w:tcBorders>
              <w:top w:val="single" w:color="auto" w:sz="4" w:space="0"/>
              <w:left w:val="single" w:color="auto" w:sz="4" w:space="0"/>
              <w:bottom w:val="single" w:color="auto" w:sz="4" w:space="0"/>
              <w:right w:val="single" w:color="auto" w:sz="4" w:space="0"/>
            </w:tcBorders>
            <w:noWrap/>
            <w:vAlign w:val="center"/>
          </w:tcPr>
          <w:p w14:paraId="78233533">
            <w:pPr>
              <w:pStyle w:val="45"/>
              <w:snapToGrid w:val="0"/>
              <w:spacing w:line="360" w:lineRule="exact"/>
              <w:rPr>
                <w:rFonts w:ascii="宋体" w:hAnsi="宋体" w:cs="宋体"/>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14:paraId="0851B63C">
            <w:pPr>
              <w:pStyle w:val="45"/>
              <w:snapToGrid w:val="0"/>
              <w:spacing w:line="360" w:lineRule="exact"/>
              <w:rPr>
                <w:rFonts w:ascii="宋体" w:hAnsi="宋体" w:cs="宋体"/>
                <w:color w:val="auto"/>
                <w:sz w:val="21"/>
                <w:szCs w:val="21"/>
                <w:highlight w:val="none"/>
              </w:rPr>
            </w:pPr>
          </w:p>
        </w:tc>
      </w:tr>
      <w:tr w14:paraId="32308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615" w:type="dxa"/>
            <w:vMerge w:val="continue"/>
            <w:tcBorders>
              <w:left w:val="single" w:color="auto" w:sz="4" w:space="0"/>
              <w:right w:val="single" w:color="auto" w:sz="4" w:space="0"/>
            </w:tcBorders>
            <w:noWrap/>
            <w:vAlign w:val="center"/>
          </w:tcPr>
          <w:p w14:paraId="7CBF251F">
            <w:pPr>
              <w:pStyle w:val="45"/>
              <w:spacing w:line="360" w:lineRule="exact"/>
              <w:jc w:val="center"/>
              <w:rPr>
                <w:rFonts w:ascii="宋体" w:hAnsi="宋体" w:cs="宋体"/>
                <w:color w:val="auto"/>
                <w:sz w:val="21"/>
                <w:szCs w:val="21"/>
                <w:highlight w:val="none"/>
              </w:rPr>
            </w:pPr>
          </w:p>
        </w:tc>
        <w:tc>
          <w:tcPr>
            <w:tcW w:w="978" w:type="dxa"/>
            <w:vMerge w:val="continue"/>
            <w:tcBorders>
              <w:left w:val="single" w:color="auto" w:sz="4" w:space="0"/>
              <w:right w:val="single" w:color="auto" w:sz="4" w:space="0"/>
            </w:tcBorders>
            <w:noWrap/>
            <w:vAlign w:val="center"/>
          </w:tcPr>
          <w:p w14:paraId="36AB83E3">
            <w:pPr>
              <w:pStyle w:val="45"/>
              <w:spacing w:line="360" w:lineRule="exact"/>
              <w:jc w:val="center"/>
              <w:rPr>
                <w:rFonts w:ascii="宋体" w:hAnsi="宋体" w:cs="宋体"/>
                <w:color w:val="auto"/>
                <w:sz w:val="21"/>
                <w:szCs w:val="21"/>
                <w:highlight w:val="none"/>
              </w:rPr>
            </w:pPr>
          </w:p>
        </w:tc>
        <w:tc>
          <w:tcPr>
            <w:tcW w:w="1697" w:type="dxa"/>
            <w:tcBorders>
              <w:top w:val="single" w:color="auto" w:sz="4" w:space="0"/>
              <w:left w:val="single" w:color="auto" w:sz="4" w:space="0"/>
              <w:bottom w:val="single" w:color="auto" w:sz="4" w:space="0"/>
              <w:right w:val="single" w:color="auto" w:sz="4" w:space="0"/>
            </w:tcBorders>
            <w:noWrap/>
            <w:vAlign w:val="center"/>
          </w:tcPr>
          <w:p w14:paraId="552F464C">
            <w:pPr>
              <w:spacing w:line="360" w:lineRule="exact"/>
              <w:jc w:val="center"/>
              <w:rPr>
                <w:rFonts w:ascii="宋体" w:hAnsi="宋体" w:cs="宋体"/>
                <w:color w:val="auto"/>
                <w:highlight w:val="none"/>
              </w:rPr>
            </w:pPr>
            <w:r>
              <w:rPr>
                <w:rFonts w:hint="eastAsia" w:ascii="宋体" w:hAnsi="宋体" w:cs="宋体"/>
                <w:color w:val="auto"/>
                <w:spacing w:val="-2"/>
                <w:highlight w:val="none"/>
              </w:rPr>
              <w:t>履行合同所必需的</w:t>
            </w:r>
            <w:r>
              <w:rPr>
                <w:rFonts w:hint="eastAsia" w:ascii="宋体" w:hAnsi="宋体" w:cs="宋体"/>
                <w:color w:val="auto"/>
                <w:spacing w:val="-2"/>
                <w:highlight w:val="none"/>
                <w:lang w:val="en-US" w:eastAsia="zh-CN"/>
              </w:rPr>
              <w:t>服务</w:t>
            </w:r>
            <w:r>
              <w:rPr>
                <w:rFonts w:hint="eastAsia" w:ascii="宋体" w:hAnsi="宋体" w:cs="宋体"/>
                <w:color w:val="auto"/>
                <w:spacing w:val="-2"/>
                <w:highlight w:val="none"/>
              </w:rPr>
              <w:t>和能力</w:t>
            </w:r>
          </w:p>
        </w:tc>
        <w:tc>
          <w:tcPr>
            <w:tcW w:w="5350" w:type="dxa"/>
            <w:tcBorders>
              <w:top w:val="single" w:color="auto" w:sz="4" w:space="0"/>
              <w:left w:val="single" w:color="auto" w:sz="4" w:space="0"/>
              <w:bottom w:val="single" w:color="auto" w:sz="4" w:space="0"/>
              <w:right w:val="single" w:color="auto" w:sz="4" w:space="0"/>
            </w:tcBorders>
            <w:noWrap/>
            <w:vAlign w:val="center"/>
          </w:tcPr>
          <w:p w14:paraId="7C3251EF">
            <w:pPr>
              <w:spacing w:line="360" w:lineRule="exact"/>
              <w:rPr>
                <w:rFonts w:hint="eastAsia" w:ascii="宋体" w:hAnsi="宋体" w:eastAsia="宋体;SimSun" w:cs="宋体"/>
                <w:color w:val="auto"/>
                <w:highlight w:val="none"/>
                <w:lang w:eastAsia="zh-CN"/>
              </w:rPr>
            </w:pPr>
            <w:r>
              <w:rPr>
                <w:rFonts w:hint="eastAsia" w:ascii="宋体" w:hAnsi="宋体" w:cs="宋体"/>
                <w:color w:val="auto"/>
                <w:spacing w:val="-2"/>
                <w:highlight w:val="none"/>
              </w:rPr>
              <w:t>提供具有履行合同所必需的</w:t>
            </w:r>
            <w:r>
              <w:rPr>
                <w:rFonts w:hint="eastAsia" w:ascii="宋体" w:hAnsi="宋体" w:cs="宋体"/>
                <w:color w:val="auto"/>
                <w:spacing w:val="-2"/>
                <w:highlight w:val="none"/>
                <w:lang w:val="en-US" w:eastAsia="zh-CN"/>
              </w:rPr>
              <w:t>服务</w:t>
            </w:r>
            <w:r>
              <w:rPr>
                <w:rFonts w:hint="eastAsia" w:ascii="宋体" w:hAnsi="宋体" w:cs="宋体"/>
                <w:color w:val="auto"/>
                <w:spacing w:val="-2"/>
                <w:highlight w:val="none"/>
              </w:rPr>
              <w:t>和专业技术能力相关证明材料或声明</w:t>
            </w:r>
            <w:r>
              <w:rPr>
                <w:rFonts w:hint="eastAsia" w:ascii="宋体" w:hAnsi="宋体" w:cs="宋体"/>
                <w:color w:val="auto"/>
                <w:spacing w:val="-2"/>
                <w:highlight w:val="none"/>
                <w:lang w:eastAsia="zh-CN"/>
              </w:rPr>
              <w:t>；</w:t>
            </w:r>
          </w:p>
        </w:tc>
        <w:tc>
          <w:tcPr>
            <w:tcW w:w="636" w:type="dxa"/>
            <w:tcBorders>
              <w:top w:val="single" w:color="auto" w:sz="4" w:space="0"/>
              <w:left w:val="single" w:color="auto" w:sz="4" w:space="0"/>
              <w:bottom w:val="single" w:color="auto" w:sz="4" w:space="0"/>
              <w:right w:val="single" w:color="auto" w:sz="4" w:space="0"/>
            </w:tcBorders>
            <w:noWrap/>
            <w:vAlign w:val="center"/>
          </w:tcPr>
          <w:p w14:paraId="3F12CFA4">
            <w:pPr>
              <w:pStyle w:val="45"/>
              <w:snapToGrid w:val="0"/>
              <w:spacing w:line="360" w:lineRule="exact"/>
              <w:rPr>
                <w:rFonts w:ascii="宋体" w:hAnsi="宋体" w:cs="宋体"/>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14:paraId="4F44A09E">
            <w:pPr>
              <w:pStyle w:val="45"/>
              <w:snapToGrid w:val="0"/>
              <w:spacing w:line="360" w:lineRule="exact"/>
              <w:rPr>
                <w:rFonts w:ascii="宋体" w:hAnsi="宋体" w:cs="宋体"/>
                <w:color w:val="auto"/>
                <w:sz w:val="21"/>
                <w:szCs w:val="21"/>
                <w:highlight w:val="none"/>
              </w:rPr>
            </w:pPr>
          </w:p>
        </w:tc>
      </w:tr>
      <w:tr w14:paraId="350C9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615" w:type="dxa"/>
            <w:vMerge w:val="continue"/>
            <w:tcBorders>
              <w:left w:val="single" w:color="auto" w:sz="4" w:space="0"/>
              <w:right w:val="single" w:color="auto" w:sz="4" w:space="0"/>
            </w:tcBorders>
            <w:noWrap/>
            <w:vAlign w:val="center"/>
          </w:tcPr>
          <w:p w14:paraId="0EE37DDF">
            <w:pPr>
              <w:pStyle w:val="45"/>
              <w:spacing w:line="360" w:lineRule="exact"/>
              <w:jc w:val="center"/>
              <w:rPr>
                <w:rFonts w:ascii="宋体" w:hAnsi="宋体" w:cs="宋体"/>
                <w:color w:val="auto"/>
                <w:sz w:val="21"/>
                <w:szCs w:val="21"/>
                <w:highlight w:val="none"/>
              </w:rPr>
            </w:pPr>
          </w:p>
        </w:tc>
        <w:tc>
          <w:tcPr>
            <w:tcW w:w="978" w:type="dxa"/>
            <w:vMerge w:val="continue"/>
            <w:tcBorders>
              <w:left w:val="single" w:color="auto" w:sz="4" w:space="0"/>
              <w:right w:val="single" w:color="auto" w:sz="4" w:space="0"/>
            </w:tcBorders>
            <w:noWrap/>
            <w:vAlign w:val="center"/>
          </w:tcPr>
          <w:p w14:paraId="4580ABDC">
            <w:pPr>
              <w:pStyle w:val="45"/>
              <w:spacing w:line="360" w:lineRule="exact"/>
              <w:jc w:val="center"/>
              <w:rPr>
                <w:rFonts w:ascii="宋体" w:hAnsi="宋体" w:cs="宋体"/>
                <w:color w:val="auto"/>
                <w:sz w:val="21"/>
                <w:szCs w:val="21"/>
                <w:highlight w:val="none"/>
              </w:rPr>
            </w:pPr>
          </w:p>
        </w:tc>
        <w:tc>
          <w:tcPr>
            <w:tcW w:w="1697" w:type="dxa"/>
            <w:tcBorders>
              <w:top w:val="single" w:color="auto" w:sz="4" w:space="0"/>
              <w:left w:val="single" w:color="auto" w:sz="4" w:space="0"/>
              <w:bottom w:val="single" w:color="auto" w:sz="4" w:space="0"/>
              <w:right w:val="single" w:color="auto" w:sz="4" w:space="0"/>
            </w:tcBorders>
            <w:noWrap/>
            <w:vAlign w:val="center"/>
          </w:tcPr>
          <w:p w14:paraId="7081A71E">
            <w:pPr>
              <w:pStyle w:val="45"/>
              <w:spacing w:line="360" w:lineRule="exact"/>
              <w:jc w:val="center"/>
              <w:rPr>
                <w:rFonts w:ascii="宋体" w:hAnsi="宋体" w:cs="宋体"/>
                <w:color w:val="auto"/>
                <w:spacing w:val="-2"/>
                <w:szCs w:val="21"/>
                <w:highlight w:val="none"/>
              </w:rPr>
            </w:pPr>
            <w:r>
              <w:rPr>
                <w:rFonts w:hint="eastAsia" w:ascii="宋体" w:hAnsi="宋体" w:cs="宋体"/>
                <w:color w:val="auto"/>
                <w:sz w:val="21"/>
                <w:szCs w:val="21"/>
                <w:highlight w:val="none"/>
              </w:rPr>
              <w:t>无重大违法记录的书面声明</w:t>
            </w:r>
          </w:p>
        </w:tc>
        <w:tc>
          <w:tcPr>
            <w:tcW w:w="5350" w:type="dxa"/>
            <w:tcBorders>
              <w:top w:val="single" w:color="auto" w:sz="4" w:space="0"/>
              <w:left w:val="single" w:color="auto" w:sz="4" w:space="0"/>
              <w:bottom w:val="single" w:color="auto" w:sz="4" w:space="0"/>
              <w:right w:val="single" w:color="auto" w:sz="4" w:space="0"/>
            </w:tcBorders>
            <w:noWrap/>
            <w:vAlign w:val="center"/>
          </w:tcPr>
          <w:p w14:paraId="533CF78C">
            <w:pPr>
              <w:pStyle w:val="45"/>
              <w:spacing w:line="360" w:lineRule="exact"/>
              <w:rPr>
                <w:rFonts w:ascii="宋体" w:hAnsi="宋体" w:cs="宋体"/>
                <w:color w:val="auto"/>
                <w:spacing w:val="-2"/>
                <w:szCs w:val="21"/>
                <w:highlight w:val="none"/>
              </w:rPr>
            </w:pPr>
            <w:r>
              <w:rPr>
                <w:rFonts w:hint="eastAsia" w:ascii="宋体" w:hAnsi="宋体" w:eastAsia="宋体" w:cs="宋体"/>
                <w:color w:val="auto"/>
                <w:sz w:val="21"/>
                <w:szCs w:val="21"/>
                <w:highlight w:val="none"/>
              </w:rPr>
              <w:t>提供参加采购活动前三年内在经营活动中没有重大违法记录的书面声明</w:t>
            </w:r>
            <w:r>
              <w:rPr>
                <w:rFonts w:hint="eastAsia" w:ascii="宋体" w:hAnsi="宋体" w:eastAsia="宋体" w:cs="宋体"/>
                <w:color w:val="auto"/>
                <w:sz w:val="21"/>
                <w:szCs w:val="21"/>
                <w:highlight w:val="none"/>
                <w:lang w:eastAsia="zh-CN"/>
              </w:rPr>
              <w:t>；</w:t>
            </w:r>
          </w:p>
        </w:tc>
        <w:tc>
          <w:tcPr>
            <w:tcW w:w="636" w:type="dxa"/>
            <w:tcBorders>
              <w:top w:val="single" w:color="auto" w:sz="4" w:space="0"/>
              <w:left w:val="single" w:color="auto" w:sz="4" w:space="0"/>
              <w:bottom w:val="single" w:color="auto" w:sz="4" w:space="0"/>
              <w:right w:val="single" w:color="auto" w:sz="4" w:space="0"/>
            </w:tcBorders>
            <w:noWrap/>
            <w:vAlign w:val="center"/>
          </w:tcPr>
          <w:p w14:paraId="179F01D4">
            <w:pPr>
              <w:pStyle w:val="45"/>
              <w:snapToGrid w:val="0"/>
              <w:spacing w:line="360" w:lineRule="exact"/>
              <w:rPr>
                <w:rFonts w:ascii="宋体" w:hAnsi="宋体" w:cs="宋体"/>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14:paraId="21745020">
            <w:pPr>
              <w:pStyle w:val="45"/>
              <w:snapToGrid w:val="0"/>
              <w:spacing w:line="360" w:lineRule="exact"/>
              <w:rPr>
                <w:rFonts w:ascii="宋体" w:hAnsi="宋体" w:cs="宋体"/>
                <w:color w:val="auto"/>
                <w:sz w:val="21"/>
                <w:szCs w:val="21"/>
                <w:highlight w:val="none"/>
              </w:rPr>
            </w:pPr>
          </w:p>
        </w:tc>
      </w:tr>
      <w:tr w14:paraId="1062E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615" w:type="dxa"/>
            <w:vMerge w:val="continue"/>
            <w:tcBorders>
              <w:top w:val="single" w:color="auto" w:sz="4" w:space="0"/>
              <w:left w:val="single" w:color="auto" w:sz="4" w:space="0"/>
              <w:bottom w:val="single" w:color="auto" w:sz="4" w:space="0"/>
              <w:right w:val="single" w:color="auto" w:sz="4" w:space="0"/>
            </w:tcBorders>
            <w:noWrap/>
            <w:vAlign w:val="center"/>
          </w:tcPr>
          <w:p w14:paraId="5BF159D2">
            <w:pPr>
              <w:pStyle w:val="45"/>
              <w:snapToGrid w:val="0"/>
              <w:spacing w:line="360" w:lineRule="exact"/>
              <w:rPr>
                <w:rFonts w:ascii="宋体" w:hAnsi="宋体" w:cs="宋体"/>
                <w:color w:val="auto"/>
                <w:sz w:val="21"/>
                <w:szCs w:val="21"/>
                <w:highlight w:val="none"/>
              </w:rPr>
            </w:pPr>
          </w:p>
        </w:tc>
        <w:tc>
          <w:tcPr>
            <w:tcW w:w="978" w:type="dxa"/>
            <w:vMerge w:val="continue"/>
            <w:tcBorders>
              <w:top w:val="single" w:color="auto" w:sz="4" w:space="0"/>
              <w:left w:val="single" w:color="auto" w:sz="4" w:space="0"/>
              <w:bottom w:val="single" w:color="auto" w:sz="4" w:space="0"/>
              <w:right w:val="single" w:color="auto" w:sz="4" w:space="0"/>
            </w:tcBorders>
            <w:noWrap/>
            <w:vAlign w:val="center"/>
          </w:tcPr>
          <w:p w14:paraId="34EC66F9">
            <w:pPr>
              <w:pStyle w:val="45"/>
              <w:snapToGrid w:val="0"/>
              <w:spacing w:line="360" w:lineRule="exact"/>
              <w:rPr>
                <w:rFonts w:ascii="宋体" w:hAnsi="宋体" w:cs="宋体"/>
                <w:color w:val="auto"/>
                <w:sz w:val="21"/>
                <w:szCs w:val="21"/>
                <w:highlight w:val="none"/>
              </w:rPr>
            </w:pPr>
          </w:p>
        </w:tc>
        <w:tc>
          <w:tcPr>
            <w:tcW w:w="1697" w:type="dxa"/>
            <w:tcBorders>
              <w:top w:val="single" w:color="auto" w:sz="4" w:space="0"/>
              <w:left w:val="single" w:color="auto" w:sz="4" w:space="0"/>
              <w:bottom w:val="single" w:color="auto" w:sz="4" w:space="0"/>
              <w:right w:val="single" w:color="auto" w:sz="4" w:space="0"/>
            </w:tcBorders>
            <w:noWrap/>
            <w:vAlign w:val="center"/>
          </w:tcPr>
          <w:p w14:paraId="6E329D44">
            <w:pPr>
              <w:pStyle w:val="45"/>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供应商的授权委托书</w:t>
            </w:r>
          </w:p>
        </w:tc>
        <w:tc>
          <w:tcPr>
            <w:tcW w:w="5350" w:type="dxa"/>
            <w:tcBorders>
              <w:top w:val="single" w:color="auto" w:sz="4" w:space="0"/>
              <w:left w:val="single" w:color="auto" w:sz="4" w:space="0"/>
              <w:bottom w:val="single" w:color="auto" w:sz="4" w:space="0"/>
              <w:right w:val="single" w:color="auto" w:sz="4" w:space="0"/>
            </w:tcBorders>
            <w:noWrap/>
            <w:vAlign w:val="center"/>
          </w:tcPr>
          <w:p w14:paraId="401B2791">
            <w:pPr>
              <w:pStyle w:val="45"/>
              <w:spacing w:line="360" w:lineRule="exact"/>
              <w:rPr>
                <w:rFonts w:ascii="宋体" w:hAnsi="宋体" w:cs="宋体"/>
                <w:color w:val="auto"/>
                <w:sz w:val="21"/>
                <w:szCs w:val="21"/>
                <w:highlight w:val="none"/>
              </w:rPr>
            </w:pPr>
            <w:r>
              <w:rPr>
                <w:rStyle w:val="66"/>
                <w:rFonts w:hint="eastAsia" w:ascii="宋体" w:hAnsi="宋体" w:eastAsia="宋体" w:cs="宋体"/>
                <w:b w:val="0"/>
                <w:i w:val="0"/>
                <w:caps w:val="0"/>
                <w:color w:val="auto"/>
                <w:spacing w:val="0"/>
                <w:w w:val="100"/>
                <w:sz w:val="21"/>
                <w:szCs w:val="21"/>
                <w:highlight w:val="none"/>
                <w:lang w:val="en-US" w:eastAsia="zh-CN" w:bidi="ar-SA"/>
              </w:rPr>
              <w:t>具备有效的投标代表的授权委托书，授权委托书应由法定代表人（或负责人）签名或签章并加盖企业电子公章。如为法定代表人（或负责人）参加投标，需提供法定代表人（或负责人）身份证明；</w:t>
            </w:r>
          </w:p>
        </w:tc>
        <w:tc>
          <w:tcPr>
            <w:tcW w:w="636" w:type="dxa"/>
            <w:tcBorders>
              <w:top w:val="single" w:color="auto" w:sz="4" w:space="0"/>
              <w:left w:val="single" w:color="auto" w:sz="4" w:space="0"/>
              <w:bottom w:val="single" w:color="auto" w:sz="4" w:space="0"/>
              <w:right w:val="single" w:color="auto" w:sz="4" w:space="0"/>
            </w:tcBorders>
            <w:noWrap/>
            <w:vAlign w:val="center"/>
          </w:tcPr>
          <w:p w14:paraId="3EEEDAC5">
            <w:pPr>
              <w:pStyle w:val="45"/>
              <w:snapToGrid w:val="0"/>
              <w:spacing w:line="360" w:lineRule="exact"/>
              <w:rPr>
                <w:rFonts w:ascii="宋体" w:hAnsi="宋体" w:cs="宋体"/>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14:paraId="7D086A75">
            <w:pPr>
              <w:pStyle w:val="45"/>
              <w:snapToGrid w:val="0"/>
              <w:spacing w:line="360" w:lineRule="exact"/>
              <w:rPr>
                <w:rFonts w:ascii="宋体" w:hAnsi="宋体" w:cs="宋体"/>
                <w:color w:val="auto"/>
                <w:sz w:val="21"/>
                <w:szCs w:val="21"/>
                <w:highlight w:val="none"/>
              </w:rPr>
            </w:pPr>
          </w:p>
        </w:tc>
      </w:tr>
      <w:tr w14:paraId="08FF1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615" w:type="dxa"/>
            <w:vMerge w:val="continue"/>
            <w:tcBorders>
              <w:top w:val="single" w:color="auto" w:sz="4" w:space="0"/>
              <w:left w:val="single" w:color="auto" w:sz="4" w:space="0"/>
              <w:bottom w:val="single" w:color="auto" w:sz="4" w:space="0"/>
              <w:right w:val="single" w:color="auto" w:sz="4" w:space="0"/>
            </w:tcBorders>
            <w:noWrap/>
            <w:vAlign w:val="center"/>
          </w:tcPr>
          <w:p w14:paraId="65E775F0">
            <w:pPr>
              <w:pStyle w:val="45"/>
              <w:snapToGrid w:val="0"/>
              <w:spacing w:line="360" w:lineRule="exact"/>
              <w:rPr>
                <w:rFonts w:ascii="宋体" w:hAnsi="宋体" w:cs="宋体"/>
                <w:color w:val="auto"/>
                <w:sz w:val="21"/>
                <w:szCs w:val="21"/>
                <w:highlight w:val="none"/>
              </w:rPr>
            </w:pPr>
          </w:p>
        </w:tc>
        <w:tc>
          <w:tcPr>
            <w:tcW w:w="978" w:type="dxa"/>
            <w:vMerge w:val="continue"/>
            <w:tcBorders>
              <w:top w:val="single" w:color="auto" w:sz="4" w:space="0"/>
              <w:left w:val="single" w:color="auto" w:sz="4" w:space="0"/>
              <w:bottom w:val="single" w:color="auto" w:sz="4" w:space="0"/>
              <w:right w:val="single" w:color="auto" w:sz="4" w:space="0"/>
            </w:tcBorders>
            <w:noWrap/>
            <w:vAlign w:val="center"/>
          </w:tcPr>
          <w:p w14:paraId="55C76F52">
            <w:pPr>
              <w:pStyle w:val="45"/>
              <w:snapToGrid w:val="0"/>
              <w:spacing w:line="360" w:lineRule="exact"/>
              <w:rPr>
                <w:rFonts w:ascii="宋体" w:hAnsi="宋体" w:cs="宋体"/>
                <w:color w:val="auto"/>
                <w:sz w:val="21"/>
                <w:szCs w:val="21"/>
                <w:highlight w:val="none"/>
              </w:rPr>
            </w:pPr>
          </w:p>
        </w:tc>
        <w:tc>
          <w:tcPr>
            <w:tcW w:w="1697" w:type="dxa"/>
            <w:tcBorders>
              <w:top w:val="single" w:color="auto" w:sz="4" w:space="0"/>
              <w:left w:val="single" w:color="auto" w:sz="4" w:space="0"/>
              <w:bottom w:val="single" w:color="auto" w:sz="4" w:space="0"/>
              <w:right w:val="single" w:color="auto" w:sz="4" w:space="0"/>
            </w:tcBorders>
            <w:noWrap/>
            <w:vAlign w:val="center"/>
          </w:tcPr>
          <w:p w14:paraId="52FF956C">
            <w:pPr>
              <w:pStyle w:val="45"/>
              <w:spacing w:line="360" w:lineRule="exact"/>
              <w:jc w:val="center"/>
              <w:rPr>
                <w:rFonts w:hint="eastAsia" w:ascii="宋体" w:hAnsi="宋体" w:eastAsia="宋体" w:cs="宋体"/>
                <w:color w:val="auto"/>
                <w:highlight w:val="none"/>
                <w:lang w:eastAsia="zh-CN"/>
              </w:rPr>
            </w:pPr>
            <w:r>
              <w:rPr>
                <w:rFonts w:hint="eastAsia" w:ascii="宋体" w:hAnsi="宋体" w:cs="宋体"/>
                <w:color w:val="auto"/>
                <w:sz w:val="21"/>
                <w:szCs w:val="21"/>
                <w:highlight w:val="none"/>
                <w:lang w:eastAsia="zh-CN"/>
              </w:rPr>
              <w:t>投标保证金</w:t>
            </w:r>
          </w:p>
        </w:tc>
        <w:tc>
          <w:tcPr>
            <w:tcW w:w="5350" w:type="dxa"/>
            <w:tcBorders>
              <w:top w:val="single" w:color="auto" w:sz="4" w:space="0"/>
              <w:left w:val="single" w:color="auto" w:sz="4" w:space="0"/>
              <w:bottom w:val="single" w:color="auto" w:sz="4" w:space="0"/>
              <w:right w:val="single" w:color="auto" w:sz="4" w:space="0"/>
            </w:tcBorders>
            <w:noWrap/>
            <w:vAlign w:val="center"/>
          </w:tcPr>
          <w:p w14:paraId="5CC290A6">
            <w:pPr>
              <w:pStyle w:val="45"/>
              <w:spacing w:line="36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是否按照</w:t>
            </w:r>
            <w:r>
              <w:rPr>
                <w:rFonts w:hint="eastAsia" w:ascii="宋体" w:hAnsi="宋体" w:cs="宋体"/>
                <w:color w:val="auto"/>
                <w:sz w:val="21"/>
                <w:szCs w:val="21"/>
                <w:highlight w:val="none"/>
                <w:lang w:eastAsia="zh-CN"/>
              </w:rPr>
              <w:t>磋商文件</w:t>
            </w:r>
            <w:r>
              <w:rPr>
                <w:rFonts w:hint="eastAsia" w:ascii="宋体" w:hAnsi="宋体" w:cs="宋体"/>
                <w:color w:val="auto"/>
                <w:sz w:val="21"/>
                <w:szCs w:val="21"/>
                <w:highlight w:val="none"/>
              </w:rPr>
              <w:t>要求缴纳</w:t>
            </w:r>
            <w:r>
              <w:rPr>
                <w:rFonts w:hint="eastAsia" w:ascii="宋体" w:hAnsi="宋体" w:cs="宋体"/>
                <w:color w:val="auto"/>
                <w:sz w:val="21"/>
                <w:szCs w:val="21"/>
                <w:highlight w:val="none"/>
                <w:lang w:val="en-US" w:eastAsia="zh-CN"/>
              </w:rPr>
              <w:t>磋商</w:t>
            </w:r>
            <w:r>
              <w:rPr>
                <w:rFonts w:hint="eastAsia" w:ascii="宋体" w:hAnsi="宋体" w:cs="宋体"/>
                <w:color w:val="auto"/>
                <w:sz w:val="21"/>
                <w:szCs w:val="21"/>
                <w:highlight w:val="none"/>
                <w:lang w:eastAsia="zh-CN"/>
              </w:rPr>
              <w:t>保证金</w:t>
            </w:r>
          </w:p>
        </w:tc>
        <w:tc>
          <w:tcPr>
            <w:tcW w:w="636" w:type="dxa"/>
            <w:tcBorders>
              <w:top w:val="single" w:color="auto" w:sz="4" w:space="0"/>
              <w:left w:val="single" w:color="auto" w:sz="4" w:space="0"/>
              <w:bottom w:val="single" w:color="auto" w:sz="4" w:space="0"/>
              <w:right w:val="single" w:color="auto" w:sz="4" w:space="0"/>
            </w:tcBorders>
            <w:noWrap/>
            <w:vAlign w:val="center"/>
          </w:tcPr>
          <w:p w14:paraId="21493137">
            <w:pPr>
              <w:pStyle w:val="45"/>
              <w:snapToGrid w:val="0"/>
              <w:spacing w:line="360" w:lineRule="exact"/>
              <w:rPr>
                <w:rFonts w:ascii="宋体" w:hAnsi="宋体" w:cs="宋体"/>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14:paraId="38816298">
            <w:pPr>
              <w:pStyle w:val="45"/>
              <w:snapToGrid w:val="0"/>
              <w:spacing w:line="360" w:lineRule="exact"/>
              <w:rPr>
                <w:rFonts w:ascii="宋体" w:hAnsi="宋体" w:cs="宋体"/>
                <w:color w:val="auto"/>
                <w:sz w:val="21"/>
                <w:szCs w:val="21"/>
                <w:highlight w:val="none"/>
              </w:rPr>
            </w:pPr>
          </w:p>
        </w:tc>
      </w:tr>
      <w:tr w14:paraId="023CD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254" w:hRule="atLeast"/>
        </w:trPr>
        <w:tc>
          <w:tcPr>
            <w:tcW w:w="615" w:type="dxa"/>
            <w:vMerge w:val="continue"/>
            <w:tcBorders>
              <w:top w:val="single" w:color="auto" w:sz="4" w:space="0"/>
              <w:left w:val="single" w:color="auto" w:sz="4" w:space="0"/>
              <w:bottom w:val="single" w:color="auto" w:sz="4" w:space="0"/>
              <w:right w:val="single" w:color="auto" w:sz="4" w:space="0"/>
            </w:tcBorders>
            <w:noWrap/>
            <w:vAlign w:val="center"/>
          </w:tcPr>
          <w:p w14:paraId="5C2F08C8">
            <w:pPr>
              <w:pStyle w:val="45"/>
              <w:snapToGrid w:val="0"/>
              <w:spacing w:line="360" w:lineRule="exact"/>
              <w:rPr>
                <w:rFonts w:ascii="宋体" w:hAnsi="宋体" w:cs="宋体"/>
                <w:color w:val="auto"/>
                <w:sz w:val="21"/>
                <w:szCs w:val="21"/>
                <w:highlight w:val="none"/>
              </w:rPr>
            </w:pPr>
          </w:p>
        </w:tc>
        <w:tc>
          <w:tcPr>
            <w:tcW w:w="978" w:type="dxa"/>
            <w:vMerge w:val="continue"/>
            <w:tcBorders>
              <w:top w:val="single" w:color="auto" w:sz="4" w:space="0"/>
              <w:left w:val="single" w:color="auto" w:sz="4" w:space="0"/>
              <w:bottom w:val="single" w:color="auto" w:sz="4" w:space="0"/>
              <w:right w:val="single" w:color="auto" w:sz="4" w:space="0"/>
            </w:tcBorders>
            <w:noWrap/>
            <w:vAlign w:val="center"/>
          </w:tcPr>
          <w:p w14:paraId="3B84A2FD">
            <w:pPr>
              <w:pStyle w:val="45"/>
              <w:snapToGrid w:val="0"/>
              <w:spacing w:line="360" w:lineRule="exact"/>
              <w:rPr>
                <w:rFonts w:ascii="宋体" w:hAnsi="宋体" w:cs="宋体"/>
                <w:color w:val="auto"/>
                <w:sz w:val="21"/>
                <w:szCs w:val="21"/>
                <w:highlight w:val="none"/>
              </w:rPr>
            </w:pPr>
          </w:p>
        </w:tc>
        <w:tc>
          <w:tcPr>
            <w:tcW w:w="1697" w:type="dxa"/>
            <w:tcBorders>
              <w:top w:val="single" w:color="auto" w:sz="4" w:space="0"/>
              <w:left w:val="single" w:color="auto" w:sz="4" w:space="0"/>
              <w:bottom w:val="single" w:color="auto" w:sz="4" w:space="0"/>
              <w:right w:val="single" w:color="auto" w:sz="4" w:space="0"/>
            </w:tcBorders>
            <w:noWrap/>
            <w:vAlign w:val="center"/>
          </w:tcPr>
          <w:p w14:paraId="42DDD410">
            <w:pPr>
              <w:pStyle w:val="45"/>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信用查询</w:t>
            </w:r>
          </w:p>
        </w:tc>
        <w:tc>
          <w:tcPr>
            <w:tcW w:w="5350" w:type="dxa"/>
            <w:tcBorders>
              <w:top w:val="single" w:color="auto" w:sz="4" w:space="0"/>
              <w:left w:val="single" w:color="auto" w:sz="4" w:space="0"/>
              <w:bottom w:val="single" w:color="auto" w:sz="4" w:space="0"/>
              <w:right w:val="single" w:color="auto" w:sz="4" w:space="0"/>
            </w:tcBorders>
            <w:noWrap/>
            <w:vAlign w:val="center"/>
          </w:tcPr>
          <w:p w14:paraId="7A72E622">
            <w:pPr>
              <w:pStyle w:val="45"/>
              <w:spacing w:line="360" w:lineRule="exact"/>
              <w:rPr>
                <w:rFonts w:hint="eastAsia" w:ascii="宋体" w:hAnsi="宋体" w:eastAsia="宋体" w:cs="宋体"/>
                <w:color w:val="auto"/>
                <w:highlight w:val="none"/>
                <w:lang w:eastAsia="zh-CN"/>
              </w:rPr>
            </w:pPr>
            <w:r>
              <w:rPr>
                <w:rFonts w:hint="eastAsia" w:ascii="宋体" w:hAnsi="宋体" w:cs="宋体"/>
                <w:color w:val="auto"/>
                <w:sz w:val="21"/>
                <w:szCs w:val="21"/>
                <w:highlight w:val="none"/>
              </w:rPr>
              <w:t>是否附有响应文件附有“信用中国”网站、</w:t>
            </w:r>
            <w:r>
              <w:rPr>
                <w:rFonts w:hint="eastAsia" w:ascii="宋体" w:hAnsi="宋体" w:cs="宋体"/>
                <w:color w:val="auto"/>
                <w:sz w:val="21"/>
                <w:szCs w:val="21"/>
                <w:highlight w:val="none"/>
                <w:lang w:val="zh-CN"/>
              </w:rPr>
              <w:t>中国政府采购网站</w:t>
            </w:r>
            <w:r>
              <w:rPr>
                <w:rFonts w:hint="eastAsia" w:ascii="宋体" w:hAnsi="宋体" w:cs="宋体"/>
                <w:color w:val="auto"/>
                <w:sz w:val="21"/>
                <w:szCs w:val="21"/>
                <w:highlight w:val="none"/>
              </w:rPr>
              <w:t>查询企业信用信息截图或打印件的扫描件，且未被列入“失信被执行人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重大税收违法</w:t>
            </w:r>
            <w:r>
              <w:rPr>
                <w:rFonts w:hint="eastAsia" w:ascii="宋体" w:hAnsi="宋体" w:cs="宋体"/>
                <w:color w:val="auto"/>
                <w:sz w:val="21"/>
                <w:szCs w:val="21"/>
                <w:highlight w:val="none"/>
                <w:lang w:val="en-US" w:eastAsia="zh-CN"/>
              </w:rPr>
              <w:t>失信主体”</w:t>
            </w:r>
          </w:p>
        </w:tc>
        <w:tc>
          <w:tcPr>
            <w:tcW w:w="636" w:type="dxa"/>
            <w:tcBorders>
              <w:top w:val="single" w:color="auto" w:sz="4" w:space="0"/>
              <w:left w:val="single" w:color="auto" w:sz="4" w:space="0"/>
              <w:bottom w:val="single" w:color="auto" w:sz="4" w:space="0"/>
              <w:right w:val="single" w:color="auto" w:sz="4" w:space="0"/>
            </w:tcBorders>
            <w:noWrap/>
            <w:vAlign w:val="center"/>
          </w:tcPr>
          <w:p w14:paraId="6BB967BA">
            <w:pPr>
              <w:pStyle w:val="45"/>
              <w:snapToGrid w:val="0"/>
              <w:spacing w:line="360" w:lineRule="exact"/>
              <w:rPr>
                <w:rFonts w:ascii="宋体" w:hAnsi="宋体" w:cs="宋体"/>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14:paraId="69827E6C">
            <w:pPr>
              <w:pStyle w:val="45"/>
              <w:snapToGrid w:val="0"/>
              <w:spacing w:line="360" w:lineRule="exact"/>
              <w:rPr>
                <w:rFonts w:ascii="宋体" w:hAnsi="宋体" w:cs="宋体"/>
                <w:color w:val="auto"/>
                <w:sz w:val="21"/>
                <w:szCs w:val="21"/>
                <w:highlight w:val="none"/>
              </w:rPr>
            </w:pPr>
          </w:p>
        </w:tc>
      </w:tr>
      <w:tr w14:paraId="1A4D1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615" w:type="dxa"/>
            <w:vMerge w:val="continue"/>
            <w:tcBorders>
              <w:top w:val="single" w:color="auto" w:sz="4" w:space="0"/>
              <w:left w:val="single" w:color="auto" w:sz="4" w:space="0"/>
              <w:bottom w:val="single" w:color="auto" w:sz="4" w:space="0"/>
              <w:right w:val="single" w:color="auto" w:sz="4" w:space="0"/>
            </w:tcBorders>
            <w:noWrap/>
            <w:vAlign w:val="center"/>
          </w:tcPr>
          <w:p w14:paraId="0ECC02C1">
            <w:pPr>
              <w:pStyle w:val="45"/>
              <w:snapToGrid w:val="0"/>
              <w:spacing w:line="360" w:lineRule="exact"/>
              <w:rPr>
                <w:rFonts w:ascii="宋体" w:hAnsi="宋体" w:cs="宋体"/>
                <w:color w:val="auto"/>
                <w:sz w:val="21"/>
                <w:szCs w:val="21"/>
                <w:highlight w:val="none"/>
              </w:rPr>
            </w:pPr>
          </w:p>
        </w:tc>
        <w:tc>
          <w:tcPr>
            <w:tcW w:w="978" w:type="dxa"/>
            <w:vMerge w:val="continue"/>
            <w:tcBorders>
              <w:top w:val="single" w:color="auto" w:sz="4" w:space="0"/>
              <w:left w:val="single" w:color="auto" w:sz="4" w:space="0"/>
              <w:bottom w:val="single" w:color="auto" w:sz="4" w:space="0"/>
              <w:right w:val="single" w:color="auto" w:sz="4" w:space="0"/>
            </w:tcBorders>
            <w:noWrap/>
            <w:vAlign w:val="center"/>
          </w:tcPr>
          <w:p w14:paraId="77168E13">
            <w:pPr>
              <w:pStyle w:val="45"/>
              <w:snapToGrid w:val="0"/>
              <w:spacing w:line="360" w:lineRule="exact"/>
              <w:rPr>
                <w:rFonts w:ascii="宋体" w:hAnsi="宋体" w:cs="宋体"/>
                <w:color w:val="auto"/>
                <w:sz w:val="21"/>
                <w:szCs w:val="21"/>
                <w:highlight w:val="none"/>
              </w:rPr>
            </w:pPr>
          </w:p>
        </w:tc>
        <w:tc>
          <w:tcPr>
            <w:tcW w:w="1697" w:type="dxa"/>
            <w:tcBorders>
              <w:top w:val="single" w:color="auto" w:sz="4" w:space="0"/>
              <w:left w:val="single" w:color="auto" w:sz="4" w:space="0"/>
              <w:bottom w:val="single" w:color="auto" w:sz="4" w:space="0"/>
              <w:right w:val="single" w:color="auto" w:sz="4" w:space="0"/>
            </w:tcBorders>
            <w:noWrap/>
            <w:vAlign w:val="center"/>
          </w:tcPr>
          <w:p w14:paraId="24E733AA">
            <w:pPr>
              <w:pStyle w:val="45"/>
              <w:spacing w:line="2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落实政府采购政策的资格要求</w:t>
            </w:r>
          </w:p>
        </w:tc>
        <w:tc>
          <w:tcPr>
            <w:tcW w:w="5350" w:type="dxa"/>
            <w:tcBorders>
              <w:top w:val="single" w:color="auto" w:sz="4" w:space="0"/>
              <w:left w:val="single" w:color="auto" w:sz="4" w:space="0"/>
              <w:bottom w:val="single" w:color="auto" w:sz="4" w:space="0"/>
              <w:right w:val="single" w:color="auto" w:sz="4" w:space="0"/>
            </w:tcBorders>
            <w:noWrap/>
            <w:vAlign w:val="center"/>
          </w:tcPr>
          <w:p w14:paraId="49E9B78F">
            <w:pPr>
              <w:pStyle w:val="45"/>
              <w:spacing w:line="240" w:lineRule="exact"/>
              <w:rPr>
                <w:rFonts w:ascii="宋体" w:hAnsi="宋体" w:cs="宋体"/>
                <w:color w:val="auto"/>
                <w:sz w:val="21"/>
                <w:szCs w:val="21"/>
                <w:highlight w:val="none"/>
              </w:rPr>
            </w:pPr>
            <w:r>
              <w:rPr>
                <w:rFonts w:hint="eastAsia" w:ascii="宋体" w:hAnsi="宋体" w:cs="Tahoma"/>
                <w:color w:val="auto"/>
                <w:sz w:val="21"/>
                <w:highlight w:val="none"/>
              </w:rPr>
              <w:t>供应商应为小微企业</w:t>
            </w:r>
          </w:p>
        </w:tc>
        <w:tc>
          <w:tcPr>
            <w:tcW w:w="636" w:type="dxa"/>
            <w:tcBorders>
              <w:top w:val="single" w:color="auto" w:sz="4" w:space="0"/>
              <w:left w:val="single" w:color="auto" w:sz="4" w:space="0"/>
              <w:bottom w:val="single" w:color="auto" w:sz="4" w:space="0"/>
              <w:right w:val="single" w:color="auto" w:sz="4" w:space="0"/>
            </w:tcBorders>
            <w:noWrap/>
            <w:vAlign w:val="center"/>
          </w:tcPr>
          <w:p w14:paraId="7475C27A">
            <w:pPr>
              <w:pStyle w:val="45"/>
              <w:snapToGrid w:val="0"/>
              <w:spacing w:line="360" w:lineRule="exact"/>
              <w:rPr>
                <w:rFonts w:ascii="宋体" w:hAnsi="宋体" w:cs="宋体"/>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14:paraId="41172D01">
            <w:pPr>
              <w:pStyle w:val="45"/>
              <w:snapToGrid w:val="0"/>
              <w:spacing w:line="360" w:lineRule="exact"/>
              <w:rPr>
                <w:rFonts w:ascii="宋体" w:hAnsi="宋体" w:cs="宋体"/>
                <w:color w:val="auto"/>
                <w:sz w:val="21"/>
                <w:szCs w:val="21"/>
                <w:highlight w:val="none"/>
              </w:rPr>
            </w:pPr>
          </w:p>
        </w:tc>
      </w:tr>
      <w:tr w14:paraId="23B1D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615" w:type="dxa"/>
            <w:vMerge w:val="continue"/>
            <w:tcBorders>
              <w:top w:val="single" w:color="auto" w:sz="4" w:space="0"/>
              <w:left w:val="single" w:color="auto" w:sz="4" w:space="0"/>
              <w:bottom w:val="single" w:color="auto" w:sz="4" w:space="0"/>
              <w:right w:val="single" w:color="auto" w:sz="4" w:space="0"/>
            </w:tcBorders>
            <w:noWrap/>
            <w:vAlign w:val="center"/>
          </w:tcPr>
          <w:p w14:paraId="2E69E0A1">
            <w:pPr>
              <w:pStyle w:val="45"/>
              <w:snapToGrid w:val="0"/>
              <w:spacing w:line="360" w:lineRule="exact"/>
              <w:rPr>
                <w:rFonts w:ascii="宋体" w:hAnsi="宋体" w:cs="宋体"/>
                <w:color w:val="auto"/>
                <w:sz w:val="21"/>
                <w:szCs w:val="21"/>
                <w:highlight w:val="none"/>
              </w:rPr>
            </w:pPr>
          </w:p>
        </w:tc>
        <w:tc>
          <w:tcPr>
            <w:tcW w:w="978" w:type="dxa"/>
            <w:vMerge w:val="continue"/>
            <w:tcBorders>
              <w:top w:val="single" w:color="auto" w:sz="4" w:space="0"/>
              <w:left w:val="single" w:color="auto" w:sz="4" w:space="0"/>
              <w:bottom w:val="single" w:color="auto" w:sz="4" w:space="0"/>
              <w:right w:val="single" w:color="auto" w:sz="4" w:space="0"/>
            </w:tcBorders>
            <w:noWrap/>
            <w:vAlign w:val="center"/>
          </w:tcPr>
          <w:p w14:paraId="27275233">
            <w:pPr>
              <w:pStyle w:val="45"/>
              <w:snapToGrid w:val="0"/>
              <w:spacing w:line="360" w:lineRule="exact"/>
              <w:rPr>
                <w:rFonts w:ascii="宋体" w:hAnsi="宋体" w:cs="宋体"/>
                <w:color w:val="auto"/>
                <w:sz w:val="21"/>
                <w:szCs w:val="21"/>
                <w:highlight w:val="none"/>
              </w:rPr>
            </w:pPr>
          </w:p>
        </w:tc>
        <w:tc>
          <w:tcPr>
            <w:tcW w:w="1697" w:type="dxa"/>
            <w:tcBorders>
              <w:top w:val="single" w:color="auto" w:sz="4" w:space="0"/>
              <w:left w:val="single" w:color="auto" w:sz="4" w:space="0"/>
              <w:bottom w:val="single" w:color="auto" w:sz="4" w:space="0"/>
              <w:right w:val="single" w:color="auto" w:sz="4" w:space="0"/>
            </w:tcBorders>
            <w:noWrap/>
            <w:vAlign w:val="center"/>
          </w:tcPr>
          <w:p w14:paraId="2E7E2DDF">
            <w:pPr>
              <w:pStyle w:val="45"/>
              <w:spacing w:line="360" w:lineRule="exact"/>
              <w:jc w:val="center"/>
              <w:rPr>
                <w:rFonts w:ascii="宋体" w:hAnsi="宋体" w:cs="宋体"/>
                <w:color w:val="auto"/>
                <w:sz w:val="21"/>
                <w:szCs w:val="21"/>
                <w:highlight w:val="none"/>
              </w:rPr>
            </w:pPr>
            <w:r>
              <w:rPr>
                <w:rFonts w:hint="eastAsia" w:ascii="宋体" w:hAnsi="宋体" w:cs="宋体"/>
                <w:bCs/>
                <w:color w:val="auto"/>
                <w:sz w:val="21"/>
                <w:szCs w:val="21"/>
                <w:highlight w:val="none"/>
              </w:rPr>
              <w:t>不参与围标串标承诺书</w:t>
            </w:r>
          </w:p>
        </w:tc>
        <w:tc>
          <w:tcPr>
            <w:tcW w:w="5350" w:type="dxa"/>
            <w:tcBorders>
              <w:top w:val="single" w:color="auto" w:sz="4" w:space="0"/>
              <w:left w:val="single" w:color="auto" w:sz="4" w:space="0"/>
              <w:bottom w:val="single" w:color="auto" w:sz="4" w:space="0"/>
              <w:right w:val="single" w:color="auto" w:sz="4" w:space="0"/>
            </w:tcBorders>
            <w:noWrap/>
            <w:vAlign w:val="center"/>
          </w:tcPr>
          <w:p w14:paraId="0D385C18">
            <w:pPr>
              <w:pStyle w:val="45"/>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是否附有</w:t>
            </w:r>
            <w:r>
              <w:rPr>
                <w:rFonts w:hint="eastAsia" w:ascii="宋体" w:hAnsi="宋体" w:cs="宋体"/>
                <w:bCs/>
                <w:color w:val="auto"/>
                <w:sz w:val="21"/>
                <w:szCs w:val="21"/>
                <w:highlight w:val="none"/>
              </w:rPr>
              <w:t>不参与围标串标承诺书</w:t>
            </w:r>
          </w:p>
        </w:tc>
        <w:tc>
          <w:tcPr>
            <w:tcW w:w="636" w:type="dxa"/>
            <w:tcBorders>
              <w:top w:val="single" w:color="auto" w:sz="4" w:space="0"/>
              <w:left w:val="single" w:color="auto" w:sz="4" w:space="0"/>
              <w:bottom w:val="single" w:color="auto" w:sz="4" w:space="0"/>
              <w:right w:val="single" w:color="auto" w:sz="4" w:space="0"/>
            </w:tcBorders>
            <w:noWrap/>
            <w:vAlign w:val="center"/>
          </w:tcPr>
          <w:p w14:paraId="0189DBA3">
            <w:pPr>
              <w:pStyle w:val="45"/>
              <w:snapToGrid w:val="0"/>
              <w:spacing w:line="360" w:lineRule="exact"/>
              <w:rPr>
                <w:rFonts w:ascii="宋体" w:hAnsi="宋体" w:cs="宋体"/>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14:paraId="2EF3FD90">
            <w:pPr>
              <w:pStyle w:val="45"/>
              <w:snapToGrid w:val="0"/>
              <w:spacing w:line="360" w:lineRule="exact"/>
              <w:rPr>
                <w:rFonts w:ascii="宋体" w:hAnsi="宋体" w:cs="宋体"/>
                <w:color w:val="auto"/>
                <w:sz w:val="21"/>
                <w:szCs w:val="21"/>
                <w:highlight w:val="none"/>
              </w:rPr>
            </w:pPr>
          </w:p>
        </w:tc>
      </w:tr>
      <w:tr w14:paraId="2ED80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615" w:type="dxa"/>
            <w:vMerge w:val="continue"/>
            <w:tcBorders>
              <w:top w:val="single" w:color="auto" w:sz="4" w:space="0"/>
              <w:left w:val="single" w:color="auto" w:sz="4" w:space="0"/>
              <w:bottom w:val="single" w:color="auto" w:sz="4" w:space="0"/>
              <w:right w:val="single" w:color="auto" w:sz="4" w:space="0"/>
            </w:tcBorders>
            <w:noWrap/>
            <w:vAlign w:val="center"/>
          </w:tcPr>
          <w:p w14:paraId="3C694252">
            <w:pPr>
              <w:pStyle w:val="45"/>
              <w:snapToGrid w:val="0"/>
              <w:spacing w:line="360" w:lineRule="exact"/>
              <w:rPr>
                <w:rFonts w:ascii="宋体" w:hAnsi="宋体" w:cs="宋体"/>
                <w:color w:val="auto"/>
                <w:sz w:val="21"/>
                <w:szCs w:val="21"/>
                <w:highlight w:val="none"/>
              </w:rPr>
            </w:pPr>
          </w:p>
        </w:tc>
        <w:tc>
          <w:tcPr>
            <w:tcW w:w="978" w:type="dxa"/>
            <w:vMerge w:val="restart"/>
            <w:tcBorders>
              <w:top w:val="single" w:color="auto" w:sz="4" w:space="0"/>
              <w:left w:val="single" w:color="auto" w:sz="4" w:space="0"/>
              <w:right w:val="single" w:color="auto" w:sz="4" w:space="0"/>
            </w:tcBorders>
            <w:noWrap/>
            <w:vAlign w:val="center"/>
          </w:tcPr>
          <w:p w14:paraId="05139F6E">
            <w:pPr>
              <w:pStyle w:val="45"/>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符合性检查</w:t>
            </w:r>
          </w:p>
        </w:tc>
        <w:tc>
          <w:tcPr>
            <w:tcW w:w="1697" w:type="dxa"/>
            <w:tcBorders>
              <w:top w:val="single" w:color="auto" w:sz="4" w:space="0"/>
              <w:left w:val="single" w:color="auto" w:sz="4" w:space="0"/>
              <w:bottom w:val="single" w:color="auto" w:sz="4" w:space="0"/>
              <w:right w:val="single" w:color="auto" w:sz="4" w:space="0"/>
            </w:tcBorders>
            <w:noWrap/>
            <w:vAlign w:val="center"/>
          </w:tcPr>
          <w:p w14:paraId="6C2D175A">
            <w:pPr>
              <w:pStyle w:val="45"/>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供应商名称</w:t>
            </w:r>
          </w:p>
        </w:tc>
        <w:tc>
          <w:tcPr>
            <w:tcW w:w="5350" w:type="dxa"/>
            <w:tcBorders>
              <w:top w:val="single" w:color="auto" w:sz="4" w:space="0"/>
              <w:left w:val="single" w:color="auto" w:sz="4" w:space="0"/>
              <w:bottom w:val="single" w:color="auto" w:sz="4" w:space="0"/>
              <w:right w:val="single" w:color="auto" w:sz="4" w:space="0"/>
            </w:tcBorders>
            <w:noWrap/>
            <w:vAlign w:val="center"/>
          </w:tcPr>
          <w:p w14:paraId="2BD4AB9F">
            <w:pPr>
              <w:pStyle w:val="45"/>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与营业执照一致</w:t>
            </w:r>
          </w:p>
        </w:tc>
        <w:tc>
          <w:tcPr>
            <w:tcW w:w="636" w:type="dxa"/>
            <w:tcBorders>
              <w:top w:val="single" w:color="auto" w:sz="4" w:space="0"/>
              <w:left w:val="single" w:color="auto" w:sz="4" w:space="0"/>
              <w:bottom w:val="single" w:color="auto" w:sz="4" w:space="0"/>
              <w:right w:val="single" w:color="auto" w:sz="4" w:space="0"/>
            </w:tcBorders>
            <w:noWrap/>
            <w:vAlign w:val="center"/>
          </w:tcPr>
          <w:p w14:paraId="37E4330D">
            <w:pPr>
              <w:pStyle w:val="45"/>
              <w:snapToGrid w:val="0"/>
              <w:spacing w:line="360" w:lineRule="exact"/>
              <w:rPr>
                <w:rFonts w:ascii="宋体" w:hAnsi="宋体" w:cs="宋体"/>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14:paraId="16345789">
            <w:pPr>
              <w:pStyle w:val="45"/>
              <w:snapToGrid w:val="0"/>
              <w:spacing w:line="360" w:lineRule="exact"/>
              <w:rPr>
                <w:rFonts w:ascii="宋体" w:hAnsi="宋体" w:cs="宋体"/>
                <w:color w:val="auto"/>
                <w:sz w:val="21"/>
                <w:szCs w:val="21"/>
                <w:highlight w:val="none"/>
              </w:rPr>
            </w:pPr>
          </w:p>
        </w:tc>
      </w:tr>
      <w:tr w14:paraId="31A9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615" w:type="dxa"/>
            <w:vMerge w:val="continue"/>
            <w:tcBorders>
              <w:top w:val="single" w:color="auto" w:sz="4" w:space="0"/>
              <w:left w:val="single" w:color="auto" w:sz="4" w:space="0"/>
              <w:bottom w:val="single" w:color="auto" w:sz="4" w:space="0"/>
              <w:right w:val="single" w:color="auto" w:sz="4" w:space="0"/>
            </w:tcBorders>
            <w:noWrap/>
            <w:vAlign w:val="center"/>
          </w:tcPr>
          <w:p w14:paraId="6F6B2BA3">
            <w:pPr>
              <w:pStyle w:val="45"/>
              <w:snapToGrid w:val="0"/>
              <w:spacing w:line="360" w:lineRule="exact"/>
              <w:rPr>
                <w:rFonts w:ascii="宋体" w:hAnsi="宋体" w:cs="宋体"/>
                <w:color w:val="auto"/>
                <w:sz w:val="21"/>
                <w:szCs w:val="21"/>
                <w:highlight w:val="none"/>
              </w:rPr>
            </w:pPr>
          </w:p>
        </w:tc>
        <w:tc>
          <w:tcPr>
            <w:tcW w:w="978" w:type="dxa"/>
            <w:vMerge w:val="continue"/>
            <w:tcBorders>
              <w:left w:val="single" w:color="auto" w:sz="4" w:space="0"/>
              <w:right w:val="single" w:color="auto" w:sz="4" w:space="0"/>
            </w:tcBorders>
            <w:noWrap/>
            <w:vAlign w:val="center"/>
          </w:tcPr>
          <w:p w14:paraId="7D069DAD">
            <w:pPr>
              <w:pStyle w:val="45"/>
              <w:snapToGrid w:val="0"/>
              <w:spacing w:line="360" w:lineRule="exact"/>
              <w:rPr>
                <w:rFonts w:ascii="宋体" w:hAnsi="宋体" w:cs="宋体"/>
                <w:color w:val="auto"/>
                <w:sz w:val="21"/>
                <w:szCs w:val="21"/>
                <w:highlight w:val="none"/>
              </w:rPr>
            </w:pPr>
          </w:p>
        </w:tc>
        <w:tc>
          <w:tcPr>
            <w:tcW w:w="1697" w:type="dxa"/>
            <w:tcBorders>
              <w:top w:val="single" w:color="auto" w:sz="4" w:space="0"/>
              <w:left w:val="single" w:color="auto" w:sz="4" w:space="0"/>
              <w:bottom w:val="single" w:color="auto" w:sz="4" w:space="0"/>
              <w:right w:val="single" w:color="auto" w:sz="4" w:space="0"/>
            </w:tcBorders>
            <w:noWrap/>
            <w:vAlign w:val="center"/>
          </w:tcPr>
          <w:p w14:paraId="072174A9">
            <w:pPr>
              <w:pStyle w:val="45"/>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响应文件签署</w:t>
            </w:r>
          </w:p>
        </w:tc>
        <w:tc>
          <w:tcPr>
            <w:tcW w:w="5350" w:type="dxa"/>
            <w:tcBorders>
              <w:top w:val="single" w:color="auto" w:sz="4" w:space="0"/>
              <w:left w:val="single" w:color="auto" w:sz="4" w:space="0"/>
              <w:bottom w:val="single" w:color="auto" w:sz="4" w:space="0"/>
              <w:right w:val="single" w:color="auto" w:sz="4" w:space="0"/>
            </w:tcBorders>
            <w:noWrap/>
            <w:vAlign w:val="center"/>
          </w:tcPr>
          <w:p w14:paraId="4F040866">
            <w:pPr>
              <w:pStyle w:val="45"/>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响应文件的签章符合</w:t>
            </w:r>
            <w:r>
              <w:rPr>
                <w:rFonts w:hint="eastAsia" w:ascii="宋体" w:hAnsi="宋体" w:cs="宋体"/>
                <w:color w:val="auto"/>
                <w:sz w:val="21"/>
                <w:szCs w:val="21"/>
                <w:highlight w:val="none"/>
                <w:lang w:val="en-US" w:eastAsia="zh-CN"/>
              </w:rPr>
              <w:t>竞争性</w:t>
            </w:r>
            <w:r>
              <w:rPr>
                <w:rFonts w:hint="eastAsia" w:ascii="宋体" w:hAnsi="宋体" w:cs="宋体"/>
                <w:color w:val="auto"/>
                <w:sz w:val="21"/>
                <w:szCs w:val="21"/>
                <w:highlight w:val="none"/>
              </w:rPr>
              <w:t>磋商</w:t>
            </w:r>
            <w:r>
              <w:rPr>
                <w:rFonts w:hint="eastAsia" w:ascii="宋体" w:hAnsi="宋体" w:cs="宋体"/>
                <w:color w:val="auto"/>
                <w:sz w:val="21"/>
                <w:szCs w:val="21"/>
                <w:highlight w:val="none"/>
                <w:lang w:val="en-US" w:eastAsia="zh-CN"/>
              </w:rPr>
              <w:t>文件的</w:t>
            </w:r>
            <w:r>
              <w:rPr>
                <w:rFonts w:hint="eastAsia" w:ascii="宋体" w:hAnsi="宋体" w:cs="宋体"/>
                <w:color w:val="auto"/>
                <w:sz w:val="21"/>
                <w:szCs w:val="21"/>
                <w:highlight w:val="none"/>
              </w:rPr>
              <w:t>规定</w:t>
            </w:r>
          </w:p>
        </w:tc>
        <w:tc>
          <w:tcPr>
            <w:tcW w:w="636" w:type="dxa"/>
            <w:tcBorders>
              <w:top w:val="single" w:color="auto" w:sz="4" w:space="0"/>
              <w:left w:val="single" w:color="auto" w:sz="4" w:space="0"/>
              <w:bottom w:val="single" w:color="auto" w:sz="4" w:space="0"/>
              <w:right w:val="single" w:color="auto" w:sz="4" w:space="0"/>
            </w:tcBorders>
            <w:noWrap/>
            <w:vAlign w:val="center"/>
          </w:tcPr>
          <w:p w14:paraId="5EB59283">
            <w:pPr>
              <w:pStyle w:val="45"/>
              <w:snapToGrid w:val="0"/>
              <w:spacing w:line="360" w:lineRule="exact"/>
              <w:rPr>
                <w:rFonts w:ascii="宋体" w:hAnsi="宋体" w:cs="宋体"/>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14:paraId="5F9BABE6">
            <w:pPr>
              <w:pStyle w:val="45"/>
              <w:snapToGrid w:val="0"/>
              <w:spacing w:line="360" w:lineRule="exact"/>
              <w:rPr>
                <w:rFonts w:ascii="宋体" w:hAnsi="宋体" w:cs="宋体"/>
                <w:color w:val="auto"/>
                <w:sz w:val="21"/>
                <w:szCs w:val="21"/>
                <w:highlight w:val="none"/>
              </w:rPr>
            </w:pPr>
          </w:p>
        </w:tc>
      </w:tr>
      <w:tr w14:paraId="69FC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615" w:type="dxa"/>
            <w:vMerge w:val="continue"/>
            <w:tcBorders>
              <w:top w:val="single" w:color="auto" w:sz="4" w:space="0"/>
              <w:left w:val="single" w:color="auto" w:sz="4" w:space="0"/>
              <w:bottom w:val="single" w:color="auto" w:sz="4" w:space="0"/>
              <w:right w:val="single" w:color="auto" w:sz="4" w:space="0"/>
            </w:tcBorders>
            <w:noWrap/>
            <w:vAlign w:val="center"/>
          </w:tcPr>
          <w:p w14:paraId="135AEA91">
            <w:pPr>
              <w:pStyle w:val="45"/>
              <w:snapToGrid w:val="0"/>
              <w:spacing w:line="360" w:lineRule="exact"/>
              <w:rPr>
                <w:rFonts w:ascii="宋体" w:hAnsi="宋体" w:cs="宋体"/>
                <w:color w:val="auto"/>
                <w:sz w:val="21"/>
                <w:szCs w:val="21"/>
                <w:highlight w:val="none"/>
              </w:rPr>
            </w:pPr>
          </w:p>
        </w:tc>
        <w:tc>
          <w:tcPr>
            <w:tcW w:w="978" w:type="dxa"/>
            <w:vMerge w:val="continue"/>
            <w:tcBorders>
              <w:left w:val="single" w:color="auto" w:sz="4" w:space="0"/>
              <w:right w:val="single" w:color="auto" w:sz="4" w:space="0"/>
            </w:tcBorders>
            <w:noWrap/>
            <w:vAlign w:val="center"/>
          </w:tcPr>
          <w:p w14:paraId="7ADDF446">
            <w:pPr>
              <w:pStyle w:val="45"/>
              <w:snapToGrid w:val="0"/>
              <w:spacing w:line="360" w:lineRule="exact"/>
              <w:rPr>
                <w:rFonts w:ascii="宋体" w:hAnsi="宋体" w:cs="宋体"/>
                <w:color w:val="auto"/>
                <w:sz w:val="21"/>
                <w:szCs w:val="21"/>
                <w:highlight w:val="none"/>
              </w:rPr>
            </w:pPr>
          </w:p>
        </w:tc>
        <w:tc>
          <w:tcPr>
            <w:tcW w:w="1697" w:type="dxa"/>
            <w:tcBorders>
              <w:top w:val="single" w:color="auto" w:sz="4" w:space="0"/>
              <w:left w:val="single" w:color="auto" w:sz="4" w:space="0"/>
              <w:bottom w:val="single" w:color="auto" w:sz="4" w:space="0"/>
              <w:right w:val="single" w:color="auto" w:sz="4" w:space="0"/>
            </w:tcBorders>
            <w:noWrap/>
            <w:vAlign w:val="center"/>
          </w:tcPr>
          <w:p w14:paraId="2452FDDC">
            <w:pPr>
              <w:pStyle w:val="45"/>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磋商报价</w:t>
            </w:r>
          </w:p>
        </w:tc>
        <w:tc>
          <w:tcPr>
            <w:tcW w:w="5350" w:type="dxa"/>
            <w:tcBorders>
              <w:top w:val="single" w:color="auto" w:sz="4" w:space="0"/>
              <w:left w:val="single" w:color="auto" w:sz="4" w:space="0"/>
              <w:bottom w:val="single" w:color="auto" w:sz="4" w:space="0"/>
              <w:right w:val="single" w:color="auto" w:sz="4" w:space="0"/>
            </w:tcBorders>
            <w:noWrap/>
            <w:vAlign w:val="center"/>
          </w:tcPr>
          <w:p w14:paraId="7E77A4C4">
            <w:pPr>
              <w:pStyle w:val="45"/>
              <w:spacing w:line="360" w:lineRule="exact"/>
              <w:rPr>
                <w:rFonts w:ascii="宋体" w:hAnsi="宋体" w:cs="宋体"/>
                <w:color w:val="auto"/>
                <w:highlight w:val="none"/>
              </w:rPr>
            </w:pPr>
            <w:r>
              <w:rPr>
                <w:rFonts w:hint="eastAsia" w:ascii="宋体" w:hAnsi="宋体" w:cs="宋体"/>
                <w:color w:val="auto"/>
                <w:sz w:val="21"/>
                <w:szCs w:val="21"/>
                <w:highlight w:val="none"/>
              </w:rPr>
              <w:t>响应文件针对同一种</w:t>
            </w:r>
            <w:r>
              <w:rPr>
                <w:rFonts w:hint="eastAsia" w:ascii="宋体" w:hAnsi="宋体" w:cs="宋体"/>
                <w:color w:val="auto"/>
                <w:sz w:val="21"/>
                <w:szCs w:val="21"/>
                <w:highlight w:val="none"/>
                <w:lang w:val="en-US" w:eastAsia="zh-CN"/>
              </w:rPr>
              <w:t>服务</w:t>
            </w:r>
            <w:r>
              <w:rPr>
                <w:rFonts w:hint="eastAsia" w:ascii="宋体" w:hAnsi="宋体" w:cs="宋体"/>
                <w:color w:val="auto"/>
                <w:sz w:val="21"/>
                <w:szCs w:val="21"/>
                <w:highlight w:val="none"/>
              </w:rPr>
              <w:t>未出现两个或两个以上的报价；磋商总报价未超过项目预算（最高限价）的</w:t>
            </w:r>
          </w:p>
        </w:tc>
        <w:tc>
          <w:tcPr>
            <w:tcW w:w="636" w:type="dxa"/>
            <w:tcBorders>
              <w:top w:val="single" w:color="auto" w:sz="4" w:space="0"/>
              <w:left w:val="single" w:color="auto" w:sz="4" w:space="0"/>
              <w:bottom w:val="single" w:color="auto" w:sz="4" w:space="0"/>
              <w:right w:val="single" w:color="auto" w:sz="4" w:space="0"/>
            </w:tcBorders>
            <w:noWrap/>
            <w:vAlign w:val="center"/>
          </w:tcPr>
          <w:p w14:paraId="0C5185C6">
            <w:pPr>
              <w:pStyle w:val="45"/>
              <w:snapToGrid w:val="0"/>
              <w:spacing w:line="360" w:lineRule="exact"/>
              <w:rPr>
                <w:rFonts w:ascii="宋体" w:hAnsi="宋体" w:cs="宋体"/>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14:paraId="3D6B5DD8">
            <w:pPr>
              <w:pStyle w:val="45"/>
              <w:snapToGrid w:val="0"/>
              <w:spacing w:line="360" w:lineRule="exact"/>
              <w:rPr>
                <w:rFonts w:ascii="宋体" w:hAnsi="宋体" w:cs="宋体"/>
                <w:color w:val="auto"/>
                <w:sz w:val="21"/>
                <w:szCs w:val="21"/>
                <w:highlight w:val="none"/>
              </w:rPr>
            </w:pPr>
          </w:p>
        </w:tc>
      </w:tr>
      <w:tr w14:paraId="08AE1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615" w:type="dxa"/>
            <w:vMerge w:val="continue"/>
            <w:tcBorders>
              <w:top w:val="single" w:color="auto" w:sz="4" w:space="0"/>
              <w:left w:val="single" w:color="auto" w:sz="4" w:space="0"/>
              <w:bottom w:val="single" w:color="auto" w:sz="4" w:space="0"/>
              <w:right w:val="single" w:color="auto" w:sz="4" w:space="0"/>
            </w:tcBorders>
            <w:noWrap/>
            <w:vAlign w:val="center"/>
          </w:tcPr>
          <w:p w14:paraId="7FF7CA96">
            <w:pPr>
              <w:pStyle w:val="45"/>
              <w:snapToGrid w:val="0"/>
              <w:spacing w:line="360" w:lineRule="exact"/>
              <w:rPr>
                <w:rFonts w:ascii="宋体" w:hAnsi="宋体" w:cs="宋体"/>
                <w:color w:val="auto"/>
                <w:sz w:val="21"/>
                <w:szCs w:val="21"/>
                <w:highlight w:val="none"/>
              </w:rPr>
            </w:pPr>
          </w:p>
        </w:tc>
        <w:tc>
          <w:tcPr>
            <w:tcW w:w="978" w:type="dxa"/>
            <w:vMerge w:val="continue"/>
            <w:tcBorders>
              <w:left w:val="single" w:color="auto" w:sz="4" w:space="0"/>
              <w:right w:val="single" w:color="auto" w:sz="4" w:space="0"/>
            </w:tcBorders>
            <w:noWrap/>
            <w:vAlign w:val="center"/>
          </w:tcPr>
          <w:p w14:paraId="27BDC1F1">
            <w:pPr>
              <w:pStyle w:val="45"/>
              <w:snapToGrid w:val="0"/>
              <w:spacing w:line="360" w:lineRule="exact"/>
              <w:rPr>
                <w:rFonts w:ascii="宋体" w:hAnsi="宋体" w:cs="宋体"/>
                <w:color w:val="auto"/>
                <w:sz w:val="21"/>
                <w:szCs w:val="21"/>
                <w:highlight w:val="none"/>
              </w:rPr>
            </w:pPr>
          </w:p>
        </w:tc>
        <w:tc>
          <w:tcPr>
            <w:tcW w:w="1697" w:type="dxa"/>
            <w:tcBorders>
              <w:top w:val="single" w:color="auto" w:sz="4" w:space="0"/>
              <w:left w:val="single" w:color="auto" w:sz="4" w:space="0"/>
              <w:bottom w:val="single" w:color="auto" w:sz="4" w:space="0"/>
              <w:right w:val="single" w:color="auto" w:sz="4" w:space="0"/>
            </w:tcBorders>
            <w:noWrap/>
            <w:vAlign w:val="center"/>
          </w:tcPr>
          <w:p w14:paraId="6593FD25">
            <w:pPr>
              <w:pStyle w:val="45"/>
              <w:spacing w:line="360" w:lineRule="exact"/>
              <w:jc w:val="center"/>
              <w:rPr>
                <w:rFonts w:ascii="宋体" w:hAnsi="宋体" w:cs="宋体"/>
                <w:color w:val="auto"/>
                <w:highlight w:val="none"/>
              </w:rPr>
            </w:pPr>
            <w:r>
              <w:rPr>
                <w:rFonts w:hint="eastAsia" w:ascii="宋体" w:hAnsi="宋体" w:cs="宋体"/>
                <w:color w:val="auto"/>
                <w:sz w:val="21"/>
                <w:szCs w:val="21"/>
                <w:highlight w:val="none"/>
                <w:lang w:val="en-US" w:eastAsia="zh-CN"/>
              </w:rPr>
              <w:t>服务</w:t>
            </w:r>
            <w:r>
              <w:rPr>
                <w:rFonts w:hint="eastAsia" w:ascii="宋体" w:hAnsi="宋体" w:cs="宋体"/>
                <w:color w:val="auto"/>
                <w:sz w:val="21"/>
                <w:szCs w:val="21"/>
                <w:highlight w:val="none"/>
              </w:rPr>
              <w:t>范围</w:t>
            </w:r>
          </w:p>
        </w:tc>
        <w:tc>
          <w:tcPr>
            <w:tcW w:w="5350" w:type="dxa"/>
            <w:tcBorders>
              <w:top w:val="single" w:color="auto" w:sz="4" w:space="0"/>
              <w:left w:val="single" w:color="auto" w:sz="4" w:space="0"/>
              <w:bottom w:val="single" w:color="auto" w:sz="4" w:space="0"/>
              <w:right w:val="single" w:color="auto" w:sz="4" w:space="0"/>
            </w:tcBorders>
            <w:noWrap/>
            <w:vAlign w:val="center"/>
          </w:tcPr>
          <w:p w14:paraId="69AA5BEE">
            <w:pPr>
              <w:pStyle w:val="45"/>
              <w:spacing w:line="360" w:lineRule="exact"/>
              <w:rPr>
                <w:rFonts w:ascii="宋体" w:hAnsi="宋体" w:cs="宋体"/>
                <w:color w:val="auto"/>
                <w:highlight w:val="none"/>
              </w:rPr>
            </w:pPr>
            <w:r>
              <w:rPr>
                <w:rFonts w:hint="eastAsia" w:ascii="宋体" w:hAnsi="宋体" w:cs="宋体"/>
                <w:color w:val="auto"/>
                <w:sz w:val="21"/>
                <w:szCs w:val="21"/>
                <w:highlight w:val="none"/>
              </w:rPr>
              <w:t>响应文件载明的</w:t>
            </w:r>
            <w:r>
              <w:rPr>
                <w:rFonts w:hint="eastAsia" w:ascii="宋体" w:hAnsi="宋体" w:cs="宋体"/>
                <w:color w:val="auto"/>
                <w:sz w:val="21"/>
                <w:szCs w:val="21"/>
                <w:highlight w:val="none"/>
                <w:lang w:val="en-US" w:eastAsia="zh-CN"/>
              </w:rPr>
              <w:t>服务范围</w:t>
            </w:r>
            <w:r>
              <w:rPr>
                <w:rFonts w:hint="eastAsia" w:ascii="宋体" w:hAnsi="宋体" w:cs="宋体"/>
                <w:color w:val="auto"/>
                <w:sz w:val="21"/>
                <w:szCs w:val="21"/>
                <w:highlight w:val="none"/>
              </w:rPr>
              <w:t>符合</w:t>
            </w:r>
            <w:r>
              <w:rPr>
                <w:rFonts w:hint="eastAsia" w:ascii="宋体" w:hAnsi="宋体" w:cs="宋体"/>
                <w:color w:val="auto"/>
                <w:sz w:val="21"/>
                <w:szCs w:val="21"/>
                <w:highlight w:val="none"/>
                <w:lang w:eastAsia="zh-CN"/>
              </w:rPr>
              <w:t>磋商文件</w:t>
            </w:r>
            <w:r>
              <w:rPr>
                <w:rFonts w:hint="eastAsia" w:ascii="宋体" w:hAnsi="宋体" w:cs="宋体"/>
                <w:color w:val="auto"/>
                <w:sz w:val="21"/>
                <w:szCs w:val="21"/>
                <w:highlight w:val="none"/>
              </w:rPr>
              <w:t>的要求</w:t>
            </w:r>
          </w:p>
        </w:tc>
        <w:tc>
          <w:tcPr>
            <w:tcW w:w="636" w:type="dxa"/>
            <w:tcBorders>
              <w:top w:val="single" w:color="auto" w:sz="4" w:space="0"/>
              <w:left w:val="single" w:color="auto" w:sz="4" w:space="0"/>
              <w:bottom w:val="single" w:color="auto" w:sz="4" w:space="0"/>
              <w:right w:val="single" w:color="auto" w:sz="4" w:space="0"/>
            </w:tcBorders>
            <w:noWrap/>
            <w:vAlign w:val="center"/>
          </w:tcPr>
          <w:p w14:paraId="171A724B">
            <w:pPr>
              <w:pStyle w:val="45"/>
              <w:snapToGrid w:val="0"/>
              <w:spacing w:line="360" w:lineRule="exact"/>
              <w:rPr>
                <w:rFonts w:ascii="宋体" w:hAnsi="宋体" w:cs="宋体"/>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14:paraId="55DC73BF">
            <w:pPr>
              <w:pStyle w:val="45"/>
              <w:snapToGrid w:val="0"/>
              <w:spacing w:line="360" w:lineRule="exact"/>
              <w:rPr>
                <w:rFonts w:ascii="宋体" w:hAnsi="宋体" w:cs="宋体"/>
                <w:color w:val="auto"/>
                <w:sz w:val="21"/>
                <w:szCs w:val="21"/>
                <w:highlight w:val="none"/>
              </w:rPr>
            </w:pPr>
          </w:p>
        </w:tc>
      </w:tr>
      <w:tr w14:paraId="7D4E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5" w:hRule="atLeast"/>
        </w:trPr>
        <w:tc>
          <w:tcPr>
            <w:tcW w:w="615" w:type="dxa"/>
            <w:vMerge w:val="continue"/>
            <w:tcBorders>
              <w:top w:val="single" w:color="auto" w:sz="4" w:space="0"/>
              <w:left w:val="single" w:color="auto" w:sz="4" w:space="0"/>
              <w:bottom w:val="single" w:color="auto" w:sz="4" w:space="0"/>
              <w:right w:val="single" w:color="auto" w:sz="4" w:space="0"/>
            </w:tcBorders>
            <w:noWrap/>
            <w:vAlign w:val="center"/>
          </w:tcPr>
          <w:p w14:paraId="26910D45">
            <w:pPr>
              <w:pStyle w:val="45"/>
              <w:snapToGrid w:val="0"/>
              <w:spacing w:line="360" w:lineRule="exact"/>
              <w:rPr>
                <w:rFonts w:ascii="宋体" w:hAnsi="宋体" w:cs="宋体"/>
                <w:color w:val="auto"/>
                <w:sz w:val="21"/>
                <w:szCs w:val="21"/>
                <w:highlight w:val="none"/>
              </w:rPr>
            </w:pPr>
          </w:p>
        </w:tc>
        <w:tc>
          <w:tcPr>
            <w:tcW w:w="978" w:type="dxa"/>
            <w:vMerge w:val="continue"/>
            <w:tcBorders>
              <w:left w:val="single" w:color="auto" w:sz="4" w:space="0"/>
              <w:right w:val="single" w:color="auto" w:sz="4" w:space="0"/>
            </w:tcBorders>
            <w:noWrap/>
            <w:vAlign w:val="center"/>
          </w:tcPr>
          <w:p w14:paraId="23B7E3E6">
            <w:pPr>
              <w:pStyle w:val="45"/>
              <w:snapToGrid w:val="0"/>
              <w:spacing w:line="360" w:lineRule="exact"/>
              <w:rPr>
                <w:rFonts w:ascii="宋体" w:hAnsi="宋体" w:cs="宋体"/>
                <w:color w:val="auto"/>
                <w:sz w:val="21"/>
                <w:szCs w:val="21"/>
                <w:highlight w:val="none"/>
              </w:rPr>
            </w:pPr>
          </w:p>
        </w:tc>
        <w:tc>
          <w:tcPr>
            <w:tcW w:w="1697" w:type="dxa"/>
            <w:tcBorders>
              <w:top w:val="single" w:color="auto" w:sz="4" w:space="0"/>
              <w:left w:val="single" w:color="auto" w:sz="4" w:space="0"/>
              <w:bottom w:val="single" w:color="auto" w:sz="4" w:space="0"/>
              <w:right w:val="single" w:color="auto" w:sz="4" w:space="0"/>
            </w:tcBorders>
            <w:noWrap/>
            <w:vAlign w:val="center"/>
          </w:tcPr>
          <w:p w14:paraId="236142F0">
            <w:pPr>
              <w:pStyle w:val="45"/>
              <w:spacing w:line="360" w:lineRule="exact"/>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服务</w:t>
            </w:r>
            <w:r>
              <w:rPr>
                <w:rFonts w:hint="eastAsia" w:ascii="宋体" w:hAnsi="宋体" w:cs="宋体"/>
                <w:color w:val="auto"/>
                <w:sz w:val="21"/>
                <w:szCs w:val="21"/>
                <w:highlight w:val="none"/>
              </w:rPr>
              <w:t>期</w:t>
            </w:r>
            <w:r>
              <w:rPr>
                <w:rFonts w:hint="eastAsia" w:ascii="宋体" w:hAnsi="宋体" w:cs="宋体"/>
                <w:color w:val="auto"/>
                <w:sz w:val="21"/>
                <w:szCs w:val="21"/>
                <w:highlight w:val="none"/>
                <w:lang w:val="en-US" w:eastAsia="zh-CN"/>
              </w:rPr>
              <w:t>限</w:t>
            </w:r>
          </w:p>
        </w:tc>
        <w:tc>
          <w:tcPr>
            <w:tcW w:w="5350" w:type="dxa"/>
            <w:tcBorders>
              <w:top w:val="single" w:color="auto" w:sz="4" w:space="0"/>
              <w:left w:val="single" w:color="auto" w:sz="4" w:space="0"/>
              <w:bottom w:val="single" w:color="auto" w:sz="4" w:space="0"/>
              <w:right w:val="single" w:color="auto" w:sz="4" w:space="0"/>
            </w:tcBorders>
            <w:noWrap/>
            <w:vAlign w:val="center"/>
          </w:tcPr>
          <w:p w14:paraId="28C1678F">
            <w:pPr>
              <w:pStyle w:val="45"/>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响应文件载明的</w:t>
            </w:r>
            <w:r>
              <w:rPr>
                <w:rFonts w:hint="eastAsia" w:ascii="宋体" w:hAnsi="宋体" w:cs="宋体"/>
                <w:color w:val="auto"/>
                <w:sz w:val="21"/>
                <w:szCs w:val="21"/>
                <w:highlight w:val="none"/>
                <w:lang w:val="en-US" w:eastAsia="zh-CN"/>
              </w:rPr>
              <w:t>服务</w:t>
            </w:r>
            <w:r>
              <w:rPr>
                <w:rFonts w:hint="eastAsia" w:ascii="宋体" w:hAnsi="宋体" w:cs="宋体"/>
                <w:color w:val="auto"/>
                <w:sz w:val="21"/>
                <w:szCs w:val="21"/>
                <w:highlight w:val="none"/>
              </w:rPr>
              <w:t>期未超过磋商文件规定的期限；</w:t>
            </w:r>
          </w:p>
        </w:tc>
        <w:tc>
          <w:tcPr>
            <w:tcW w:w="636" w:type="dxa"/>
            <w:tcBorders>
              <w:top w:val="single" w:color="auto" w:sz="4" w:space="0"/>
              <w:left w:val="single" w:color="auto" w:sz="4" w:space="0"/>
              <w:bottom w:val="single" w:color="auto" w:sz="4" w:space="0"/>
              <w:right w:val="single" w:color="auto" w:sz="4" w:space="0"/>
            </w:tcBorders>
            <w:noWrap/>
            <w:vAlign w:val="center"/>
          </w:tcPr>
          <w:p w14:paraId="6327754E">
            <w:pPr>
              <w:pStyle w:val="45"/>
              <w:snapToGrid w:val="0"/>
              <w:spacing w:line="360" w:lineRule="exact"/>
              <w:rPr>
                <w:rFonts w:ascii="宋体" w:hAnsi="宋体" w:cs="宋体"/>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14:paraId="2B79F9CF">
            <w:pPr>
              <w:pStyle w:val="45"/>
              <w:snapToGrid w:val="0"/>
              <w:spacing w:line="360" w:lineRule="exact"/>
              <w:rPr>
                <w:rFonts w:ascii="宋体" w:hAnsi="宋体" w:cs="宋体"/>
                <w:color w:val="auto"/>
                <w:sz w:val="21"/>
                <w:szCs w:val="21"/>
                <w:highlight w:val="none"/>
              </w:rPr>
            </w:pPr>
          </w:p>
        </w:tc>
      </w:tr>
      <w:tr w14:paraId="5D905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5" w:hRule="atLeast"/>
        </w:trPr>
        <w:tc>
          <w:tcPr>
            <w:tcW w:w="615" w:type="dxa"/>
            <w:vMerge w:val="continue"/>
            <w:tcBorders>
              <w:top w:val="single" w:color="auto" w:sz="4" w:space="0"/>
              <w:left w:val="single" w:color="auto" w:sz="4" w:space="0"/>
              <w:bottom w:val="single" w:color="auto" w:sz="4" w:space="0"/>
              <w:right w:val="single" w:color="auto" w:sz="4" w:space="0"/>
            </w:tcBorders>
            <w:noWrap/>
            <w:vAlign w:val="center"/>
          </w:tcPr>
          <w:p w14:paraId="3155D79A">
            <w:pPr>
              <w:pStyle w:val="45"/>
              <w:snapToGrid w:val="0"/>
              <w:spacing w:line="360" w:lineRule="exact"/>
              <w:rPr>
                <w:rFonts w:ascii="宋体" w:hAnsi="宋体" w:cs="宋体"/>
                <w:color w:val="auto"/>
                <w:sz w:val="21"/>
                <w:szCs w:val="21"/>
                <w:highlight w:val="none"/>
              </w:rPr>
            </w:pPr>
          </w:p>
        </w:tc>
        <w:tc>
          <w:tcPr>
            <w:tcW w:w="978" w:type="dxa"/>
            <w:vMerge w:val="continue"/>
            <w:tcBorders>
              <w:left w:val="single" w:color="auto" w:sz="4" w:space="0"/>
              <w:right w:val="single" w:color="auto" w:sz="4" w:space="0"/>
            </w:tcBorders>
            <w:noWrap/>
            <w:vAlign w:val="center"/>
          </w:tcPr>
          <w:p w14:paraId="0F8D1EB9">
            <w:pPr>
              <w:pStyle w:val="45"/>
              <w:snapToGrid w:val="0"/>
              <w:spacing w:line="360" w:lineRule="exact"/>
              <w:rPr>
                <w:rFonts w:ascii="宋体" w:hAnsi="宋体" w:cs="宋体"/>
                <w:color w:val="auto"/>
                <w:sz w:val="21"/>
                <w:szCs w:val="21"/>
                <w:highlight w:val="none"/>
              </w:rPr>
            </w:pPr>
          </w:p>
        </w:tc>
        <w:tc>
          <w:tcPr>
            <w:tcW w:w="1697" w:type="dxa"/>
            <w:tcBorders>
              <w:top w:val="single" w:color="auto" w:sz="4" w:space="0"/>
              <w:left w:val="single" w:color="auto" w:sz="4" w:space="0"/>
              <w:bottom w:val="single" w:color="auto" w:sz="4" w:space="0"/>
              <w:right w:val="single" w:color="auto" w:sz="4" w:space="0"/>
            </w:tcBorders>
            <w:noWrap/>
            <w:vAlign w:val="center"/>
          </w:tcPr>
          <w:p w14:paraId="4A1550C3">
            <w:pPr>
              <w:pStyle w:val="45"/>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磋商有效期</w:t>
            </w:r>
          </w:p>
        </w:tc>
        <w:tc>
          <w:tcPr>
            <w:tcW w:w="5350" w:type="dxa"/>
            <w:tcBorders>
              <w:top w:val="single" w:color="auto" w:sz="4" w:space="0"/>
              <w:left w:val="single" w:color="auto" w:sz="4" w:space="0"/>
              <w:bottom w:val="single" w:color="auto" w:sz="4" w:space="0"/>
              <w:right w:val="single" w:color="auto" w:sz="4" w:space="0"/>
            </w:tcBorders>
            <w:noWrap/>
            <w:vAlign w:val="center"/>
          </w:tcPr>
          <w:p w14:paraId="61998FFB">
            <w:pPr>
              <w:pStyle w:val="45"/>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响应文件载明的</w:t>
            </w:r>
            <w:r>
              <w:rPr>
                <w:rFonts w:hint="eastAsia" w:ascii="宋体" w:hAnsi="宋体" w:cs="宋体"/>
                <w:color w:val="auto"/>
                <w:sz w:val="21"/>
                <w:szCs w:val="21"/>
                <w:highlight w:val="none"/>
                <w:lang w:val="en-US" w:eastAsia="zh-CN"/>
              </w:rPr>
              <w:t>磋商</w:t>
            </w:r>
            <w:r>
              <w:rPr>
                <w:rFonts w:hint="eastAsia" w:ascii="宋体" w:hAnsi="宋体" w:cs="宋体"/>
                <w:color w:val="auto"/>
                <w:sz w:val="21"/>
                <w:szCs w:val="21"/>
                <w:highlight w:val="none"/>
              </w:rPr>
              <w:t>有效期满足磋商文件规定；</w:t>
            </w:r>
          </w:p>
        </w:tc>
        <w:tc>
          <w:tcPr>
            <w:tcW w:w="636" w:type="dxa"/>
            <w:tcBorders>
              <w:top w:val="single" w:color="auto" w:sz="4" w:space="0"/>
              <w:left w:val="single" w:color="auto" w:sz="4" w:space="0"/>
              <w:bottom w:val="single" w:color="auto" w:sz="4" w:space="0"/>
              <w:right w:val="single" w:color="auto" w:sz="4" w:space="0"/>
            </w:tcBorders>
            <w:noWrap/>
            <w:vAlign w:val="center"/>
          </w:tcPr>
          <w:p w14:paraId="6DF0B9ED">
            <w:pPr>
              <w:pStyle w:val="45"/>
              <w:snapToGrid w:val="0"/>
              <w:spacing w:line="360" w:lineRule="exact"/>
              <w:rPr>
                <w:rFonts w:ascii="宋体" w:hAnsi="宋体" w:cs="宋体"/>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14:paraId="6DF7766F">
            <w:pPr>
              <w:pStyle w:val="45"/>
              <w:snapToGrid w:val="0"/>
              <w:spacing w:line="360" w:lineRule="exact"/>
              <w:rPr>
                <w:rFonts w:ascii="宋体" w:hAnsi="宋体" w:cs="宋体"/>
                <w:color w:val="auto"/>
                <w:sz w:val="21"/>
                <w:szCs w:val="21"/>
                <w:highlight w:val="none"/>
              </w:rPr>
            </w:pPr>
          </w:p>
        </w:tc>
      </w:tr>
      <w:tr w14:paraId="55701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5" w:hRule="atLeast"/>
        </w:trPr>
        <w:tc>
          <w:tcPr>
            <w:tcW w:w="615" w:type="dxa"/>
            <w:vMerge w:val="continue"/>
            <w:tcBorders>
              <w:top w:val="single" w:color="auto" w:sz="4" w:space="0"/>
              <w:left w:val="single" w:color="auto" w:sz="4" w:space="0"/>
              <w:bottom w:val="single" w:color="auto" w:sz="4" w:space="0"/>
              <w:right w:val="single" w:color="auto" w:sz="4" w:space="0"/>
            </w:tcBorders>
            <w:noWrap/>
            <w:vAlign w:val="center"/>
          </w:tcPr>
          <w:p w14:paraId="425D9A3A">
            <w:pPr>
              <w:pStyle w:val="45"/>
              <w:snapToGrid w:val="0"/>
              <w:spacing w:line="360" w:lineRule="exact"/>
              <w:rPr>
                <w:rFonts w:ascii="宋体" w:hAnsi="宋体" w:cs="宋体"/>
                <w:color w:val="auto"/>
                <w:sz w:val="21"/>
                <w:szCs w:val="21"/>
                <w:highlight w:val="none"/>
              </w:rPr>
            </w:pPr>
          </w:p>
        </w:tc>
        <w:tc>
          <w:tcPr>
            <w:tcW w:w="978" w:type="dxa"/>
            <w:vMerge w:val="continue"/>
            <w:tcBorders>
              <w:left w:val="single" w:color="auto" w:sz="4" w:space="0"/>
              <w:right w:val="single" w:color="auto" w:sz="4" w:space="0"/>
            </w:tcBorders>
            <w:noWrap/>
            <w:vAlign w:val="center"/>
          </w:tcPr>
          <w:p w14:paraId="03AB75C3">
            <w:pPr>
              <w:pStyle w:val="45"/>
              <w:snapToGrid w:val="0"/>
              <w:spacing w:line="360" w:lineRule="exact"/>
              <w:rPr>
                <w:rFonts w:ascii="宋体" w:hAnsi="宋体" w:cs="宋体"/>
                <w:color w:val="auto"/>
                <w:sz w:val="21"/>
                <w:szCs w:val="21"/>
                <w:highlight w:val="none"/>
              </w:rPr>
            </w:pPr>
          </w:p>
        </w:tc>
        <w:tc>
          <w:tcPr>
            <w:tcW w:w="1697" w:type="dxa"/>
            <w:tcBorders>
              <w:top w:val="single" w:color="auto" w:sz="4" w:space="0"/>
              <w:left w:val="single" w:color="auto" w:sz="4" w:space="0"/>
              <w:bottom w:val="single" w:color="auto" w:sz="4" w:space="0"/>
              <w:right w:val="single" w:color="auto" w:sz="4" w:space="0"/>
            </w:tcBorders>
            <w:noWrap/>
            <w:vAlign w:val="center"/>
          </w:tcPr>
          <w:p w14:paraId="5A7B1FA1">
            <w:pPr>
              <w:pStyle w:val="45"/>
              <w:spacing w:line="360" w:lineRule="exact"/>
              <w:jc w:val="center"/>
              <w:rPr>
                <w:rFonts w:ascii="宋体" w:hAnsi="宋体" w:cs="宋体"/>
                <w:color w:val="auto"/>
                <w:sz w:val="21"/>
                <w:szCs w:val="21"/>
                <w:highlight w:val="none"/>
              </w:rPr>
            </w:pPr>
            <w:r>
              <w:rPr>
                <w:rFonts w:hint="eastAsia" w:ascii="宋体" w:hAnsi="宋体" w:cs="宋体"/>
                <w:color w:val="auto"/>
                <w:sz w:val="21"/>
                <w:highlight w:val="none"/>
              </w:rPr>
              <w:t>其他实质性要求</w:t>
            </w:r>
          </w:p>
        </w:tc>
        <w:tc>
          <w:tcPr>
            <w:tcW w:w="5350" w:type="dxa"/>
            <w:tcBorders>
              <w:top w:val="single" w:color="auto" w:sz="4" w:space="0"/>
              <w:left w:val="single" w:color="auto" w:sz="4" w:space="0"/>
              <w:bottom w:val="single" w:color="auto" w:sz="4" w:space="0"/>
              <w:right w:val="single" w:color="auto" w:sz="4" w:space="0"/>
            </w:tcBorders>
            <w:noWrap/>
            <w:vAlign w:val="center"/>
          </w:tcPr>
          <w:p w14:paraId="480D1932">
            <w:pPr>
              <w:pStyle w:val="45"/>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响应文件未出现不满足磋商文件中带"★"号的其他实质</w:t>
            </w:r>
          </w:p>
          <w:p w14:paraId="729E2485">
            <w:pPr>
              <w:pStyle w:val="45"/>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性条款。评审期间，供应商没有按</w:t>
            </w:r>
            <w:r>
              <w:rPr>
                <w:rFonts w:hint="eastAsia" w:ascii="宋体" w:hAnsi="宋体" w:cs="宋体"/>
                <w:color w:val="auto"/>
                <w:sz w:val="21"/>
                <w:szCs w:val="21"/>
                <w:highlight w:val="none"/>
                <w:lang w:val="en-US" w:eastAsia="zh-CN"/>
              </w:rPr>
              <w:t>评审小组</w:t>
            </w:r>
            <w:r>
              <w:rPr>
                <w:rFonts w:hint="eastAsia" w:ascii="宋体" w:hAnsi="宋体" w:cs="宋体"/>
                <w:color w:val="auto"/>
                <w:sz w:val="21"/>
                <w:szCs w:val="21"/>
                <w:highlight w:val="none"/>
              </w:rPr>
              <w:t>的要求提交经授权代表签字的澄清、说明、补正或改变了响应文件的实质性内容；</w:t>
            </w:r>
          </w:p>
        </w:tc>
        <w:tc>
          <w:tcPr>
            <w:tcW w:w="636" w:type="dxa"/>
            <w:tcBorders>
              <w:top w:val="single" w:color="auto" w:sz="4" w:space="0"/>
              <w:left w:val="single" w:color="auto" w:sz="4" w:space="0"/>
              <w:bottom w:val="single" w:color="auto" w:sz="4" w:space="0"/>
              <w:right w:val="single" w:color="auto" w:sz="4" w:space="0"/>
            </w:tcBorders>
            <w:noWrap/>
            <w:vAlign w:val="center"/>
          </w:tcPr>
          <w:p w14:paraId="6B35516A">
            <w:pPr>
              <w:pStyle w:val="45"/>
              <w:snapToGrid w:val="0"/>
              <w:spacing w:line="360" w:lineRule="exact"/>
              <w:rPr>
                <w:rFonts w:ascii="宋体" w:hAnsi="宋体" w:cs="宋体"/>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14:paraId="523F5BEF">
            <w:pPr>
              <w:pStyle w:val="45"/>
              <w:snapToGrid w:val="0"/>
              <w:spacing w:line="360" w:lineRule="exact"/>
              <w:rPr>
                <w:rFonts w:ascii="宋体" w:hAnsi="宋体" w:cs="宋体"/>
                <w:color w:val="auto"/>
                <w:sz w:val="21"/>
                <w:szCs w:val="21"/>
                <w:highlight w:val="none"/>
              </w:rPr>
            </w:pPr>
          </w:p>
        </w:tc>
      </w:tr>
      <w:tr w14:paraId="75DE2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95" w:hRule="atLeast"/>
        </w:trPr>
        <w:tc>
          <w:tcPr>
            <w:tcW w:w="615" w:type="dxa"/>
            <w:vMerge w:val="continue"/>
            <w:tcBorders>
              <w:top w:val="single" w:color="auto" w:sz="4" w:space="0"/>
              <w:left w:val="single" w:color="auto" w:sz="4" w:space="0"/>
              <w:bottom w:val="single" w:color="auto" w:sz="4" w:space="0"/>
              <w:right w:val="single" w:color="auto" w:sz="4" w:space="0"/>
            </w:tcBorders>
            <w:noWrap/>
            <w:vAlign w:val="center"/>
          </w:tcPr>
          <w:p w14:paraId="56729B63">
            <w:pPr>
              <w:pStyle w:val="45"/>
              <w:snapToGrid w:val="0"/>
              <w:spacing w:line="360" w:lineRule="exact"/>
              <w:rPr>
                <w:rFonts w:ascii="宋体" w:hAnsi="宋体" w:cs="宋体"/>
                <w:color w:val="auto"/>
                <w:sz w:val="21"/>
                <w:szCs w:val="21"/>
                <w:highlight w:val="none"/>
              </w:rPr>
            </w:pPr>
          </w:p>
        </w:tc>
        <w:tc>
          <w:tcPr>
            <w:tcW w:w="978" w:type="dxa"/>
            <w:vMerge w:val="continue"/>
            <w:tcBorders>
              <w:left w:val="single" w:color="auto" w:sz="4" w:space="0"/>
              <w:right w:val="single" w:color="auto" w:sz="4" w:space="0"/>
            </w:tcBorders>
            <w:noWrap/>
            <w:vAlign w:val="center"/>
          </w:tcPr>
          <w:p w14:paraId="429CA2D6">
            <w:pPr>
              <w:pStyle w:val="45"/>
              <w:snapToGrid w:val="0"/>
              <w:spacing w:line="360" w:lineRule="exact"/>
              <w:rPr>
                <w:rFonts w:ascii="宋体" w:hAnsi="宋体" w:cs="宋体"/>
                <w:color w:val="auto"/>
                <w:sz w:val="21"/>
                <w:szCs w:val="21"/>
                <w:highlight w:val="none"/>
              </w:rPr>
            </w:pPr>
          </w:p>
        </w:tc>
        <w:tc>
          <w:tcPr>
            <w:tcW w:w="1697" w:type="dxa"/>
            <w:tcBorders>
              <w:top w:val="single" w:color="auto" w:sz="4" w:space="0"/>
              <w:left w:val="single" w:color="auto" w:sz="4" w:space="0"/>
              <w:bottom w:val="single" w:color="auto" w:sz="4" w:space="0"/>
              <w:right w:val="single" w:color="auto" w:sz="4" w:space="0"/>
            </w:tcBorders>
            <w:noWrap/>
            <w:vAlign w:val="center"/>
          </w:tcPr>
          <w:p w14:paraId="2C066E9E">
            <w:pPr>
              <w:pStyle w:val="45"/>
              <w:spacing w:line="360" w:lineRule="exact"/>
              <w:jc w:val="center"/>
              <w:rPr>
                <w:rFonts w:ascii="宋体" w:hAnsi="宋体" w:cs="宋体"/>
                <w:color w:val="auto"/>
                <w:sz w:val="21"/>
                <w:szCs w:val="21"/>
                <w:highlight w:val="none"/>
              </w:rPr>
            </w:pPr>
            <w:r>
              <w:rPr>
                <w:rFonts w:hint="eastAsia" w:ascii="宋体" w:hAnsi="宋体" w:cs="宋体"/>
                <w:color w:val="auto"/>
                <w:sz w:val="21"/>
                <w:highlight w:val="none"/>
              </w:rPr>
              <w:t>其他无效情形</w:t>
            </w:r>
          </w:p>
        </w:tc>
        <w:tc>
          <w:tcPr>
            <w:tcW w:w="5350" w:type="dxa"/>
            <w:tcBorders>
              <w:top w:val="single" w:color="auto" w:sz="4" w:space="0"/>
              <w:left w:val="single" w:color="auto" w:sz="4" w:space="0"/>
              <w:bottom w:val="single" w:color="auto" w:sz="4" w:space="0"/>
              <w:right w:val="single" w:color="auto" w:sz="4" w:space="0"/>
            </w:tcBorders>
            <w:noWrap/>
            <w:vAlign w:val="center"/>
          </w:tcPr>
          <w:p w14:paraId="73425E92">
            <w:pPr>
              <w:pStyle w:val="45"/>
              <w:spacing w:line="360" w:lineRule="exact"/>
              <w:rPr>
                <w:rFonts w:ascii="宋体" w:hAnsi="宋体" w:cs="宋体"/>
                <w:color w:val="auto"/>
                <w:sz w:val="21"/>
                <w:szCs w:val="21"/>
                <w:highlight w:val="none"/>
              </w:rPr>
            </w:pPr>
            <w:r>
              <w:rPr>
                <w:rFonts w:hint="eastAsia" w:ascii="宋体" w:hAnsi="宋体" w:cs="宋体"/>
                <w:color w:val="auto"/>
                <w:sz w:val="21"/>
                <w:highlight w:val="none"/>
                <w:lang w:eastAsia="zh-CN"/>
              </w:rPr>
              <w:t>响应文件</w:t>
            </w:r>
            <w:r>
              <w:rPr>
                <w:rFonts w:hint="eastAsia" w:ascii="宋体" w:hAnsi="宋体" w:cs="宋体"/>
                <w:color w:val="auto"/>
                <w:sz w:val="21"/>
                <w:highlight w:val="none"/>
              </w:rPr>
              <w:t>未附有采购人不能接受的附加条件；未出现供应商对采购人、采购代理机构、磋商小组及其工作人员施加影响</w:t>
            </w:r>
            <w:r>
              <w:rPr>
                <w:rFonts w:hint="eastAsia" w:ascii="宋体" w:hAnsi="宋体" w:cs="宋体"/>
                <w:color w:val="auto"/>
                <w:sz w:val="21"/>
                <w:highlight w:val="none"/>
                <w:lang w:eastAsia="zh-CN"/>
              </w:rPr>
              <w:t>，</w:t>
            </w:r>
            <w:r>
              <w:rPr>
                <w:rFonts w:hint="eastAsia" w:ascii="宋体" w:hAnsi="宋体" w:cs="宋体"/>
                <w:color w:val="auto"/>
                <w:sz w:val="21"/>
                <w:highlight w:val="none"/>
              </w:rPr>
              <w:t>有碍公平、公正的情形；未出现提供虚假材料等法律、法规和</w:t>
            </w:r>
            <w:r>
              <w:rPr>
                <w:rFonts w:hint="eastAsia" w:ascii="宋体" w:hAnsi="宋体" w:cs="宋体"/>
                <w:color w:val="auto"/>
                <w:sz w:val="21"/>
                <w:highlight w:val="none"/>
                <w:lang w:eastAsia="zh-CN"/>
              </w:rPr>
              <w:t>磋商文件</w:t>
            </w:r>
            <w:r>
              <w:rPr>
                <w:rFonts w:hint="eastAsia" w:ascii="宋体" w:hAnsi="宋体" w:cs="宋体"/>
                <w:color w:val="auto"/>
                <w:sz w:val="21"/>
                <w:highlight w:val="none"/>
              </w:rPr>
              <w:t>规定的其他无效情形</w:t>
            </w:r>
          </w:p>
        </w:tc>
        <w:tc>
          <w:tcPr>
            <w:tcW w:w="636" w:type="dxa"/>
            <w:tcBorders>
              <w:top w:val="single" w:color="auto" w:sz="4" w:space="0"/>
              <w:left w:val="single" w:color="auto" w:sz="4" w:space="0"/>
              <w:bottom w:val="single" w:color="auto" w:sz="4" w:space="0"/>
              <w:right w:val="single" w:color="auto" w:sz="4" w:space="0"/>
            </w:tcBorders>
            <w:noWrap/>
            <w:vAlign w:val="center"/>
          </w:tcPr>
          <w:p w14:paraId="09C0B0A6">
            <w:pPr>
              <w:pStyle w:val="45"/>
              <w:snapToGrid w:val="0"/>
              <w:spacing w:line="360" w:lineRule="exact"/>
              <w:rPr>
                <w:rFonts w:ascii="宋体" w:hAnsi="宋体" w:cs="宋体"/>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14:paraId="4DB345CE">
            <w:pPr>
              <w:pStyle w:val="45"/>
              <w:snapToGrid w:val="0"/>
              <w:spacing w:line="360" w:lineRule="exact"/>
              <w:rPr>
                <w:rFonts w:ascii="宋体" w:hAnsi="宋体" w:cs="宋体"/>
                <w:color w:val="auto"/>
                <w:sz w:val="21"/>
                <w:szCs w:val="21"/>
                <w:highlight w:val="none"/>
              </w:rPr>
            </w:pPr>
          </w:p>
        </w:tc>
      </w:tr>
      <w:bookmarkEnd w:id="139"/>
      <w:bookmarkEnd w:id="140"/>
      <w:bookmarkEnd w:id="141"/>
      <w:bookmarkEnd w:id="142"/>
      <w:tr w14:paraId="7DB2C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74" w:hRule="atLeast"/>
          <w:jc w:val="center"/>
        </w:trPr>
        <w:tc>
          <w:tcPr>
            <w:tcW w:w="1593" w:type="dxa"/>
            <w:gridSpan w:val="2"/>
            <w:tcBorders>
              <w:top w:val="single" w:color="auto" w:sz="4" w:space="0"/>
              <w:left w:val="single" w:color="auto" w:sz="4" w:space="0"/>
              <w:bottom w:val="single" w:color="auto" w:sz="4" w:space="0"/>
              <w:right w:val="single" w:color="auto" w:sz="4" w:space="0"/>
            </w:tcBorders>
            <w:noWrap w:val="0"/>
            <w:vAlign w:val="center"/>
          </w:tcPr>
          <w:p w14:paraId="4973EC4B">
            <w:pPr>
              <w:pStyle w:val="45"/>
              <w:spacing w:line="300" w:lineRule="exact"/>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评分因素</w:t>
            </w:r>
          </w:p>
        </w:tc>
        <w:tc>
          <w:tcPr>
            <w:tcW w:w="8326" w:type="dxa"/>
            <w:gridSpan w:val="4"/>
            <w:tcBorders>
              <w:top w:val="single" w:color="auto" w:sz="4" w:space="0"/>
              <w:left w:val="single" w:color="auto" w:sz="4" w:space="0"/>
              <w:bottom w:val="single" w:color="auto" w:sz="4" w:space="0"/>
              <w:right w:val="single" w:color="auto" w:sz="4" w:space="0"/>
            </w:tcBorders>
            <w:noWrap w:val="0"/>
            <w:vAlign w:val="center"/>
          </w:tcPr>
          <w:p w14:paraId="278F2B94">
            <w:pPr>
              <w:pStyle w:val="45"/>
              <w:spacing w:line="300" w:lineRule="exact"/>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评分标准</w:t>
            </w:r>
          </w:p>
        </w:tc>
      </w:tr>
      <w:tr w14:paraId="5F3A8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293" w:hRule="atLeast"/>
          <w:jc w:val="center"/>
        </w:trPr>
        <w:tc>
          <w:tcPr>
            <w:tcW w:w="615" w:type="dxa"/>
            <w:vMerge w:val="restart"/>
            <w:tcBorders>
              <w:top w:val="single" w:color="auto" w:sz="4" w:space="0"/>
              <w:left w:val="single" w:color="auto" w:sz="4" w:space="0"/>
              <w:right w:val="single" w:color="auto" w:sz="4" w:space="0"/>
            </w:tcBorders>
            <w:noWrap w:val="0"/>
            <w:vAlign w:val="center"/>
          </w:tcPr>
          <w:p w14:paraId="04231464">
            <w:pPr>
              <w:pStyle w:val="45"/>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详细评审</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1F36B478">
            <w:pPr>
              <w:pStyle w:val="45"/>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价格评审</w:t>
            </w:r>
          </w:p>
          <w:p w14:paraId="4BB01332">
            <w:pPr>
              <w:pStyle w:val="45"/>
              <w:spacing w:line="300" w:lineRule="exact"/>
              <w:jc w:val="center"/>
              <w:rPr>
                <w:rFonts w:hint="eastAsia" w:ascii="宋体" w:hAnsi="宋体" w:cs="宋体"/>
                <w:bCs/>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分）</w:t>
            </w:r>
          </w:p>
        </w:tc>
        <w:tc>
          <w:tcPr>
            <w:tcW w:w="1697" w:type="dxa"/>
            <w:tcBorders>
              <w:top w:val="single" w:color="auto" w:sz="4" w:space="0"/>
              <w:left w:val="single" w:color="auto" w:sz="4" w:space="0"/>
              <w:bottom w:val="single" w:color="auto" w:sz="4" w:space="0"/>
              <w:right w:val="single" w:color="auto" w:sz="4" w:space="0"/>
            </w:tcBorders>
            <w:noWrap w:val="0"/>
            <w:vAlign w:val="center"/>
          </w:tcPr>
          <w:p w14:paraId="4462DEEE">
            <w:pPr>
              <w:pStyle w:val="45"/>
              <w:spacing w:line="300" w:lineRule="exact"/>
              <w:jc w:val="center"/>
              <w:rPr>
                <w:rFonts w:hint="eastAsia" w:ascii="宋体" w:hAnsi="宋体" w:cs="宋体"/>
                <w:bCs/>
                <w:color w:val="auto"/>
                <w:sz w:val="21"/>
                <w:szCs w:val="21"/>
                <w:highlight w:val="none"/>
              </w:rPr>
            </w:pPr>
            <w:r>
              <w:rPr>
                <w:rFonts w:hint="eastAsia" w:ascii="宋体" w:hAnsi="宋体" w:cs="宋体"/>
                <w:color w:val="auto"/>
                <w:sz w:val="21"/>
                <w:szCs w:val="21"/>
                <w:highlight w:val="none"/>
              </w:rPr>
              <w:t>价格评审</w:t>
            </w:r>
          </w:p>
        </w:tc>
        <w:tc>
          <w:tcPr>
            <w:tcW w:w="6629" w:type="dxa"/>
            <w:gridSpan w:val="3"/>
            <w:tcBorders>
              <w:top w:val="single" w:color="auto" w:sz="4" w:space="0"/>
              <w:left w:val="single" w:color="auto" w:sz="4" w:space="0"/>
              <w:bottom w:val="single" w:color="auto" w:sz="4" w:space="0"/>
              <w:right w:val="single" w:color="auto" w:sz="4" w:space="0"/>
            </w:tcBorders>
            <w:noWrap w:val="0"/>
            <w:vAlign w:val="center"/>
          </w:tcPr>
          <w:p w14:paraId="302526AA">
            <w:pPr>
              <w:pStyle w:val="45"/>
              <w:rPr>
                <w:rFonts w:hint="eastAsia" w:ascii="宋体" w:hAnsi="宋体" w:cs="宋体"/>
                <w:color w:val="auto"/>
                <w:sz w:val="21"/>
                <w:szCs w:val="21"/>
                <w:highlight w:val="none"/>
              </w:rPr>
            </w:pPr>
            <w:r>
              <w:rPr>
                <w:rFonts w:hint="eastAsia" w:ascii="宋体" w:hAnsi="宋体" w:cs="宋体"/>
                <w:color w:val="auto"/>
                <w:sz w:val="21"/>
                <w:szCs w:val="21"/>
                <w:highlight w:val="none"/>
              </w:rPr>
              <w:t>采用低价优先法计算，即满足</w:t>
            </w:r>
            <w:r>
              <w:rPr>
                <w:rFonts w:hint="eastAsia" w:ascii="宋体" w:hAnsi="宋体" w:cs="宋体"/>
                <w:color w:val="auto"/>
                <w:sz w:val="21"/>
                <w:szCs w:val="21"/>
                <w:highlight w:val="none"/>
                <w:lang w:eastAsia="zh-CN"/>
              </w:rPr>
              <w:t>磋商文件</w:t>
            </w:r>
            <w:r>
              <w:rPr>
                <w:rFonts w:hint="eastAsia" w:ascii="宋体" w:hAnsi="宋体" w:cs="宋体"/>
                <w:color w:val="auto"/>
                <w:sz w:val="21"/>
                <w:szCs w:val="21"/>
                <w:highlight w:val="none"/>
              </w:rPr>
              <w:t>要求且投标价格最低的投标报价为评标基准价，其价格分为满分。</w:t>
            </w:r>
          </w:p>
          <w:p w14:paraId="713AA69C">
            <w:pPr>
              <w:pStyle w:val="45"/>
              <w:rPr>
                <w:rFonts w:hint="eastAsia" w:ascii="宋体" w:hAnsi="宋体" w:cs="宋体"/>
                <w:color w:val="auto"/>
                <w:sz w:val="21"/>
                <w:szCs w:val="21"/>
                <w:highlight w:val="none"/>
              </w:rPr>
            </w:pPr>
            <w:r>
              <w:rPr>
                <w:rFonts w:hint="eastAsia" w:ascii="宋体" w:hAnsi="宋体" w:cs="宋体"/>
                <w:color w:val="auto"/>
                <w:sz w:val="21"/>
                <w:szCs w:val="21"/>
                <w:highlight w:val="none"/>
              </w:rPr>
              <w:t>其他供应商的价格分统一按照下列公式计算</w:t>
            </w:r>
            <w:r>
              <w:rPr>
                <w:rFonts w:hint="eastAsia" w:ascii="宋体" w:hAnsi="宋体" w:cs="宋体"/>
                <w:color w:val="auto"/>
                <w:sz w:val="21"/>
                <w:szCs w:val="21"/>
                <w:highlight w:val="none"/>
                <w:lang w:eastAsia="zh-CN"/>
              </w:rPr>
              <w:t>：</w:t>
            </w:r>
          </w:p>
          <w:p w14:paraId="1D9F0F12">
            <w:pPr>
              <w:pStyle w:val="45"/>
              <w:rPr>
                <w:rFonts w:hint="eastAsia" w:ascii="宋体" w:hAnsi="宋体" w:eastAsia="宋体" w:cs="宋体"/>
                <w:bCs/>
                <w:color w:val="auto"/>
                <w:sz w:val="21"/>
                <w:szCs w:val="21"/>
                <w:highlight w:val="none"/>
                <w:lang w:eastAsia="zh-CN"/>
              </w:rPr>
            </w:pPr>
            <w:r>
              <w:rPr>
                <w:rFonts w:hint="eastAsia" w:ascii="宋体" w:hAnsi="宋体" w:cs="宋体"/>
                <w:color w:val="auto"/>
                <w:sz w:val="21"/>
                <w:szCs w:val="21"/>
                <w:highlight w:val="none"/>
              </w:rPr>
              <w:t>投标报价得分=(评标基准价/投标报价)×</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×100%（小数点保留两位）</w:t>
            </w:r>
          </w:p>
        </w:tc>
      </w:tr>
      <w:tr w14:paraId="64FD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85" w:hRule="atLeast"/>
          <w:jc w:val="center"/>
        </w:trPr>
        <w:tc>
          <w:tcPr>
            <w:tcW w:w="615" w:type="dxa"/>
            <w:vMerge w:val="continue"/>
            <w:tcBorders>
              <w:left w:val="single" w:color="auto" w:sz="4" w:space="0"/>
              <w:right w:val="single" w:color="auto" w:sz="4" w:space="0"/>
            </w:tcBorders>
            <w:noWrap w:val="0"/>
            <w:vAlign w:val="center"/>
          </w:tcPr>
          <w:p w14:paraId="3D297667">
            <w:pPr>
              <w:pStyle w:val="45"/>
              <w:spacing w:line="300" w:lineRule="exact"/>
              <w:jc w:val="center"/>
              <w:rPr>
                <w:rFonts w:hint="eastAsia" w:ascii="宋体" w:hAnsi="宋体" w:cs="宋体"/>
                <w:color w:val="auto"/>
                <w:sz w:val="21"/>
                <w:szCs w:val="21"/>
                <w:highlight w:val="none"/>
              </w:rPr>
            </w:pPr>
          </w:p>
        </w:tc>
        <w:tc>
          <w:tcPr>
            <w:tcW w:w="978" w:type="dxa"/>
            <w:vMerge w:val="restart"/>
            <w:tcBorders>
              <w:top w:val="single" w:color="auto" w:sz="4" w:space="0"/>
              <w:left w:val="single" w:color="auto" w:sz="4" w:space="0"/>
              <w:right w:val="single" w:color="auto" w:sz="4" w:space="0"/>
            </w:tcBorders>
            <w:noWrap w:val="0"/>
            <w:vAlign w:val="center"/>
          </w:tcPr>
          <w:p w14:paraId="5472D2E3">
            <w:pPr>
              <w:pStyle w:val="45"/>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商务技术部分（</w:t>
            </w:r>
            <w:r>
              <w:rPr>
                <w:rFonts w:hint="eastAsia" w:ascii="宋体" w:hAnsi="宋体" w:cs="宋体"/>
                <w:color w:val="auto"/>
                <w:sz w:val="21"/>
                <w:szCs w:val="21"/>
                <w:highlight w:val="none"/>
                <w:lang w:val="en-US" w:eastAsia="zh-CN"/>
              </w:rPr>
              <w:t>90</w:t>
            </w:r>
            <w:r>
              <w:rPr>
                <w:rFonts w:hint="eastAsia" w:ascii="宋体" w:hAnsi="宋体" w:cs="宋体"/>
                <w:color w:val="auto"/>
                <w:sz w:val="21"/>
                <w:szCs w:val="21"/>
                <w:highlight w:val="none"/>
              </w:rPr>
              <w:t>分）</w:t>
            </w:r>
          </w:p>
        </w:tc>
        <w:tc>
          <w:tcPr>
            <w:tcW w:w="1697" w:type="dxa"/>
            <w:tcBorders>
              <w:top w:val="single" w:color="auto" w:sz="4" w:space="0"/>
              <w:left w:val="single" w:color="auto" w:sz="4" w:space="0"/>
              <w:bottom w:val="single" w:color="auto" w:sz="4" w:space="0"/>
              <w:right w:val="single" w:color="auto" w:sz="4" w:space="0"/>
            </w:tcBorders>
            <w:noWrap w:val="0"/>
            <w:vAlign w:val="center"/>
          </w:tcPr>
          <w:p w14:paraId="04A64683">
            <w:pPr>
              <w:pStyle w:val="45"/>
              <w:spacing w:line="300" w:lineRule="exact"/>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类似业绩</w:t>
            </w:r>
          </w:p>
          <w:p w14:paraId="30779A9C">
            <w:pPr>
              <w:pStyle w:val="45"/>
              <w:spacing w:line="30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（0-10分）</w:t>
            </w:r>
          </w:p>
        </w:tc>
        <w:tc>
          <w:tcPr>
            <w:tcW w:w="6629" w:type="dxa"/>
            <w:gridSpan w:val="3"/>
            <w:tcBorders>
              <w:top w:val="single" w:color="auto" w:sz="4" w:space="0"/>
              <w:left w:val="single" w:color="auto" w:sz="4" w:space="0"/>
              <w:bottom w:val="single" w:color="auto" w:sz="4" w:space="0"/>
              <w:right w:val="single" w:color="auto" w:sz="4" w:space="0"/>
            </w:tcBorders>
            <w:noWrap w:val="0"/>
            <w:vAlign w:val="center"/>
          </w:tcPr>
          <w:p w14:paraId="2025350D">
            <w:pPr>
              <w:pStyle w:val="45"/>
              <w:spacing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提供2022年1月1日至今类似服务项目业绩，每个业绩得2分，最多得10分。</w:t>
            </w:r>
          </w:p>
          <w:p w14:paraId="3D17EB89">
            <w:pPr>
              <w:pStyle w:val="45"/>
              <w:spacing w:line="3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（【注】业绩证明文件以中标/成交通知书或合同为准，包括但不限于：合同首页、合同盖章页、合同签字页及合同签订日期页。）</w:t>
            </w:r>
          </w:p>
        </w:tc>
      </w:tr>
      <w:tr w14:paraId="28B74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85" w:hRule="atLeast"/>
          <w:jc w:val="center"/>
        </w:trPr>
        <w:tc>
          <w:tcPr>
            <w:tcW w:w="615" w:type="dxa"/>
            <w:vMerge w:val="continue"/>
            <w:tcBorders>
              <w:left w:val="single" w:color="auto" w:sz="4" w:space="0"/>
              <w:right w:val="single" w:color="auto" w:sz="4" w:space="0"/>
            </w:tcBorders>
            <w:noWrap w:val="0"/>
            <w:vAlign w:val="center"/>
          </w:tcPr>
          <w:p w14:paraId="407BA636">
            <w:pPr>
              <w:pStyle w:val="46"/>
              <w:snapToGrid w:val="0"/>
              <w:spacing w:line="300" w:lineRule="exact"/>
              <w:ind w:firstLine="0"/>
              <w:rPr>
                <w:rFonts w:hint="eastAsia" w:ascii="宋体" w:hAnsi="宋体" w:eastAsia="宋体" w:cs="宋体"/>
                <w:color w:val="auto"/>
                <w:sz w:val="21"/>
                <w:szCs w:val="21"/>
                <w:highlight w:val="none"/>
              </w:rPr>
            </w:pPr>
          </w:p>
        </w:tc>
        <w:tc>
          <w:tcPr>
            <w:tcW w:w="978" w:type="dxa"/>
            <w:vMerge w:val="continue"/>
            <w:tcBorders>
              <w:left w:val="single" w:color="auto" w:sz="4" w:space="0"/>
              <w:right w:val="single" w:color="auto" w:sz="4" w:space="0"/>
            </w:tcBorders>
            <w:noWrap w:val="0"/>
            <w:vAlign w:val="center"/>
          </w:tcPr>
          <w:p w14:paraId="1BD69F6A">
            <w:pPr>
              <w:pStyle w:val="46"/>
              <w:snapToGrid w:val="0"/>
              <w:spacing w:line="300" w:lineRule="exact"/>
              <w:ind w:firstLine="0"/>
              <w:rPr>
                <w:rFonts w:hint="eastAsia" w:ascii="宋体" w:hAnsi="宋体" w:eastAsia="宋体" w:cs="宋体"/>
                <w:color w:val="auto"/>
                <w:sz w:val="21"/>
                <w:szCs w:val="21"/>
                <w:highlight w:val="none"/>
              </w:rPr>
            </w:pPr>
          </w:p>
        </w:tc>
        <w:tc>
          <w:tcPr>
            <w:tcW w:w="1697" w:type="dxa"/>
            <w:tcBorders>
              <w:top w:val="single" w:color="auto" w:sz="4" w:space="0"/>
              <w:left w:val="single" w:color="auto" w:sz="4" w:space="0"/>
              <w:bottom w:val="single" w:color="auto" w:sz="4" w:space="0"/>
              <w:right w:val="single" w:color="auto" w:sz="4" w:space="0"/>
            </w:tcBorders>
            <w:noWrap w:val="0"/>
            <w:vAlign w:val="center"/>
          </w:tcPr>
          <w:p w14:paraId="4C05244B">
            <w:pPr>
              <w:pStyle w:val="45"/>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项目组成人员配备</w:t>
            </w:r>
          </w:p>
          <w:p w14:paraId="7721E6DC">
            <w:pPr>
              <w:pStyle w:val="45"/>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（0-</w:t>
            </w:r>
            <w:r>
              <w:rPr>
                <w:rFonts w:hint="eastAsia" w:ascii="宋体" w:hAnsi="宋体" w:cs="宋体"/>
                <w:color w:val="auto"/>
                <w:sz w:val="21"/>
                <w:szCs w:val="21"/>
                <w:highlight w:val="none"/>
                <w:lang w:val="en-US" w:eastAsia="zh-CN"/>
              </w:rPr>
              <w:t>16</w:t>
            </w:r>
            <w:r>
              <w:rPr>
                <w:rFonts w:hint="eastAsia" w:ascii="宋体" w:hAnsi="宋体" w:cs="宋体"/>
                <w:color w:val="auto"/>
                <w:sz w:val="21"/>
                <w:szCs w:val="21"/>
                <w:highlight w:val="none"/>
              </w:rPr>
              <w:t>分）</w:t>
            </w:r>
          </w:p>
        </w:tc>
        <w:tc>
          <w:tcPr>
            <w:tcW w:w="6629" w:type="dxa"/>
            <w:gridSpan w:val="3"/>
            <w:tcBorders>
              <w:top w:val="single" w:color="auto" w:sz="4" w:space="0"/>
              <w:left w:val="single" w:color="auto" w:sz="4" w:space="0"/>
              <w:bottom w:val="single" w:color="auto" w:sz="4" w:space="0"/>
              <w:right w:val="single" w:color="auto" w:sz="4" w:space="0"/>
            </w:tcBorders>
            <w:noWrap w:val="0"/>
            <w:vAlign w:val="center"/>
          </w:tcPr>
          <w:p w14:paraId="130AA05E">
            <w:pPr>
              <w:pStyle w:val="45"/>
              <w:spacing w:line="30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拟投入本项目的项目负责人具有注册会计师证书或高级会计师或高级绩效评价相关专业证书得5分，提供相关证书复印件，未提供证书的不得分。</w:t>
            </w:r>
          </w:p>
          <w:p w14:paraId="789ED311">
            <w:pPr>
              <w:pStyle w:val="45"/>
              <w:spacing w:line="3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（【注】须附证书复印件及本单位近6个月社保缴纳证明材料。）</w:t>
            </w:r>
          </w:p>
          <w:p w14:paraId="6B4D9E54">
            <w:pPr>
              <w:pStyle w:val="45"/>
              <w:spacing w:line="3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提供项目负责人承担的类似项目业绩，每提供一项得1分，最高得5分。</w:t>
            </w:r>
          </w:p>
          <w:p w14:paraId="5C81D04F">
            <w:pPr>
              <w:pStyle w:val="45"/>
              <w:spacing w:line="3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（【注】供应商提供的项目负责人业绩证明材料可以是中标（成交）通知书或审核备案表或合同等证明材料，且能体现业绩项目的项目负责人为本项目项目负责人）</w:t>
            </w:r>
          </w:p>
          <w:p w14:paraId="03BAFF4F">
            <w:pPr>
              <w:pStyle w:val="45"/>
              <w:spacing w:line="3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除项目负责人以外，拟投入本项目驻点的其他人员6人（含6人）以上，得6分；5-4（含5人、4人）得4分。其余不得分。</w:t>
            </w:r>
          </w:p>
          <w:p w14:paraId="435E9F4A">
            <w:pPr>
              <w:pStyle w:val="45"/>
              <w:spacing w:line="300" w:lineRule="exact"/>
              <w:rPr>
                <w:rFonts w:hint="eastAsia" w:ascii="宋体" w:hAnsi="宋体" w:eastAsia="宋体" w:cs="宋体"/>
                <w:color w:val="auto"/>
                <w:sz w:val="21"/>
                <w:szCs w:val="21"/>
                <w:highlight w:val="none"/>
                <w:lang w:val="de-DE"/>
              </w:rPr>
            </w:pPr>
            <w:r>
              <w:rPr>
                <w:rFonts w:hint="eastAsia" w:ascii="宋体" w:hAnsi="宋体" w:eastAsia="宋体" w:cs="宋体"/>
                <w:color w:val="auto"/>
                <w:sz w:val="21"/>
                <w:szCs w:val="21"/>
                <w:highlight w:val="none"/>
                <w:lang w:eastAsia="zh-CN"/>
              </w:rPr>
              <w:t>（【注】拟投入本项目驻点的其他人员须具有会计师或绩效评价相关专业证书、附证书复印件及本单位近6个月社保缴纳证明材料，驻点人员需提供身份证以及当地驻点证明）</w:t>
            </w:r>
          </w:p>
        </w:tc>
      </w:tr>
      <w:tr w14:paraId="6FB85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85" w:hRule="atLeast"/>
          <w:jc w:val="center"/>
        </w:trPr>
        <w:tc>
          <w:tcPr>
            <w:tcW w:w="615" w:type="dxa"/>
            <w:vMerge w:val="continue"/>
            <w:tcBorders>
              <w:left w:val="single" w:color="auto" w:sz="4" w:space="0"/>
              <w:right w:val="single" w:color="auto" w:sz="4" w:space="0"/>
            </w:tcBorders>
            <w:noWrap w:val="0"/>
            <w:vAlign w:val="center"/>
          </w:tcPr>
          <w:p w14:paraId="3CA5C748">
            <w:pPr>
              <w:pStyle w:val="46"/>
              <w:snapToGrid w:val="0"/>
              <w:spacing w:line="300" w:lineRule="exact"/>
              <w:ind w:firstLine="0"/>
              <w:rPr>
                <w:rFonts w:hint="eastAsia" w:ascii="宋体" w:hAnsi="宋体" w:eastAsia="宋体" w:cs="宋体"/>
                <w:color w:val="FF0000"/>
                <w:sz w:val="21"/>
                <w:szCs w:val="21"/>
                <w:highlight w:val="none"/>
              </w:rPr>
            </w:pPr>
          </w:p>
        </w:tc>
        <w:tc>
          <w:tcPr>
            <w:tcW w:w="978" w:type="dxa"/>
            <w:vMerge w:val="continue"/>
            <w:tcBorders>
              <w:left w:val="single" w:color="auto" w:sz="4" w:space="0"/>
              <w:right w:val="single" w:color="auto" w:sz="4" w:space="0"/>
            </w:tcBorders>
            <w:noWrap w:val="0"/>
            <w:vAlign w:val="center"/>
          </w:tcPr>
          <w:p w14:paraId="7249C452">
            <w:pPr>
              <w:pStyle w:val="46"/>
              <w:snapToGrid w:val="0"/>
              <w:spacing w:line="300" w:lineRule="exact"/>
              <w:ind w:firstLine="0"/>
              <w:rPr>
                <w:rFonts w:hint="eastAsia" w:ascii="宋体" w:hAnsi="宋体" w:eastAsia="宋体" w:cs="宋体"/>
                <w:color w:val="FF0000"/>
                <w:sz w:val="21"/>
                <w:szCs w:val="21"/>
                <w:highlight w:val="none"/>
              </w:rPr>
            </w:pPr>
          </w:p>
        </w:tc>
        <w:tc>
          <w:tcPr>
            <w:tcW w:w="1697" w:type="dxa"/>
            <w:tcBorders>
              <w:top w:val="single" w:color="auto" w:sz="4" w:space="0"/>
              <w:left w:val="single" w:color="auto" w:sz="4" w:space="0"/>
              <w:bottom w:val="single" w:color="auto" w:sz="4" w:space="0"/>
              <w:right w:val="single" w:color="auto" w:sz="4" w:space="0"/>
            </w:tcBorders>
            <w:noWrap w:val="0"/>
            <w:vAlign w:val="center"/>
          </w:tcPr>
          <w:p w14:paraId="695FAED2">
            <w:pPr>
              <w:pStyle w:val="45"/>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安全与应急预案</w:t>
            </w:r>
          </w:p>
          <w:p w14:paraId="6CD3298F">
            <w:pPr>
              <w:pStyle w:val="45"/>
              <w:spacing w:line="30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0-6</w:t>
            </w:r>
            <w:r>
              <w:rPr>
                <w:rFonts w:hint="eastAsia" w:ascii="宋体" w:hAnsi="宋体" w:cs="宋体"/>
                <w:color w:val="auto"/>
                <w:sz w:val="21"/>
                <w:szCs w:val="21"/>
                <w:highlight w:val="none"/>
                <w:lang w:eastAsia="zh-CN"/>
              </w:rPr>
              <w:t>）</w:t>
            </w:r>
          </w:p>
        </w:tc>
        <w:tc>
          <w:tcPr>
            <w:tcW w:w="6629" w:type="dxa"/>
            <w:gridSpan w:val="3"/>
            <w:tcBorders>
              <w:top w:val="single" w:color="auto" w:sz="4" w:space="0"/>
              <w:left w:val="single" w:color="auto" w:sz="4" w:space="0"/>
              <w:bottom w:val="single" w:color="auto" w:sz="4" w:space="0"/>
              <w:right w:val="single" w:color="auto" w:sz="4" w:space="0"/>
            </w:tcBorders>
            <w:noWrap w:val="0"/>
            <w:vAlign w:val="center"/>
          </w:tcPr>
          <w:p w14:paraId="6087E1F2">
            <w:pPr>
              <w:pStyle w:val="45"/>
              <w:spacing w:line="3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具有完善健全的安全保证措施及应急预案，应急预案需按照国家、地方及现状和有关规定进行编制，并满足本项目需求</w:t>
            </w:r>
          </w:p>
          <w:p w14:paraId="0DF7CF96">
            <w:pPr>
              <w:pStyle w:val="45"/>
              <w:spacing w:line="3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1、完全满足需求、内容完整合理、针对性强的得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w:t>
            </w:r>
          </w:p>
          <w:p w14:paraId="05E30DF8">
            <w:pPr>
              <w:pStyle w:val="45"/>
              <w:spacing w:line="3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2、基本满足需求、内容较完善合理、针对性较强的得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w:t>
            </w:r>
          </w:p>
          <w:p w14:paraId="31DF4080">
            <w:pPr>
              <w:pStyle w:val="45"/>
              <w:spacing w:line="3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3、不满足需求、内容不完善不合理、针对性不强的得0分</w:t>
            </w:r>
          </w:p>
        </w:tc>
      </w:tr>
      <w:tr w14:paraId="5FF67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624" w:hRule="atLeast"/>
          <w:jc w:val="center"/>
        </w:trPr>
        <w:tc>
          <w:tcPr>
            <w:tcW w:w="615" w:type="dxa"/>
            <w:vMerge w:val="continue"/>
            <w:tcBorders>
              <w:left w:val="single" w:color="auto" w:sz="4" w:space="0"/>
              <w:right w:val="single" w:color="auto" w:sz="4" w:space="0"/>
            </w:tcBorders>
            <w:noWrap w:val="0"/>
            <w:vAlign w:val="center"/>
          </w:tcPr>
          <w:p w14:paraId="4B604ACB">
            <w:pPr>
              <w:pStyle w:val="46"/>
              <w:snapToGrid w:val="0"/>
              <w:spacing w:line="300" w:lineRule="exact"/>
              <w:ind w:firstLine="0"/>
              <w:rPr>
                <w:rFonts w:hint="eastAsia" w:ascii="宋体" w:hAnsi="宋体" w:eastAsia="宋体" w:cs="宋体"/>
                <w:color w:val="FF0000"/>
                <w:sz w:val="21"/>
                <w:szCs w:val="21"/>
                <w:highlight w:val="none"/>
              </w:rPr>
            </w:pPr>
          </w:p>
        </w:tc>
        <w:tc>
          <w:tcPr>
            <w:tcW w:w="978" w:type="dxa"/>
            <w:vMerge w:val="continue"/>
            <w:tcBorders>
              <w:left w:val="single" w:color="auto" w:sz="4" w:space="0"/>
              <w:right w:val="single" w:color="auto" w:sz="4" w:space="0"/>
            </w:tcBorders>
            <w:noWrap w:val="0"/>
            <w:vAlign w:val="center"/>
          </w:tcPr>
          <w:p w14:paraId="57E02C3E">
            <w:pPr>
              <w:pStyle w:val="46"/>
              <w:snapToGrid w:val="0"/>
              <w:spacing w:line="300" w:lineRule="exact"/>
              <w:ind w:firstLine="0"/>
              <w:rPr>
                <w:rFonts w:hint="eastAsia" w:ascii="宋体" w:hAnsi="宋体" w:eastAsia="宋体" w:cs="宋体"/>
                <w:color w:val="FF0000"/>
                <w:sz w:val="21"/>
                <w:szCs w:val="21"/>
                <w:highlight w:val="none"/>
              </w:rPr>
            </w:pPr>
          </w:p>
        </w:tc>
        <w:tc>
          <w:tcPr>
            <w:tcW w:w="1697" w:type="dxa"/>
            <w:tcBorders>
              <w:top w:val="single" w:color="auto" w:sz="4" w:space="0"/>
              <w:left w:val="single" w:color="auto" w:sz="4" w:space="0"/>
              <w:bottom w:val="single" w:color="auto" w:sz="4" w:space="0"/>
              <w:right w:val="single" w:color="auto" w:sz="4" w:space="0"/>
            </w:tcBorders>
            <w:noWrap w:val="0"/>
            <w:vAlign w:val="center"/>
          </w:tcPr>
          <w:p w14:paraId="5F2C72A7">
            <w:pPr>
              <w:pStyle w:val="45"/>
              <w:spacing w:line="300" w:lineRule="exact"/>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项目实施方案</w:t>
            </w:r>
          </w:p>
          <w:p w14:paraId="27BAB631">
            <w:pPr>
              <w:pStyle w:val="45"/>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（0-30分）</w:t>
            </w:r>
          </w:p>
        </w:tc>
        <w:tc>
          <w:tcPr>
            <w:tcW w:w="6629" w:type="dxa"/>
            <w:gridSpan w:val="3"/>
            <w:tcBorders>
              <w:top w:val="single" w:color="auto" w:sz="4" w:space="0"/>
              <w:left w:val="single" w:color="auto" w:sz="4" w:space="0"/>
              <w:bottom w:val="single" w:color="auto" w:sz="4" w:space="0"/>
              <w:right w:val="single" w:color="auto" w:sz="4" w:space="0"/>
            </w:tcBorders>
            <w:noWrap w:val="0"/>
            <w:vAlign w:val="center"/>
          </w:tcPr>
          <w:p w14:paraId="75FF31C1">
            <w:pPr>
              <w:pStyle w:val="45"/>
              <w:spacing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供应商针对本项目提供的项目实施方案，包括但不限于：</w:t>
            </w:r>
          </w:p>
          <w:p w14:paraId="2F0677AB">
            <w:pPr>
              <w:pStyle w:val="45"/>
              <w:spacing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①针对本项目人员工作岗位配置明确合理；</w:t>
            </w:r>
          </w:p>
          <w:p w14:paraId="42741323">
            <w:pPr>
              <w:pStyle w:val="45"/>
              <w:spacing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②明确管理工作组具体工作进度安排及控制；</w:t>
            </w:r>
          </w:p>
          <w:p w14:paraId="3798E5D5">
            <w:pPr>
              <w:pStyle w:val="45"/>
              <w:spacing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③根据本项目对象特点和性质，设定管理重点方向和内容；</w:t>
            </w:r>
          </w:p>
          <w:p w14:paraId="5E0A8D1A">
            <w:pPr>
              <w:pStyle w:val="45"/>
              <w:spacing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④对本项目难点分析及应对对策；</w:t>
            </w:r>
          </w:p>
          <w:p w14:paraId="32C6593C">
            <w:pPr>
              <w:pStyle w:val="45"/>
              <w:spacing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⑤对整体管理工作方法、重点提出建议意见；</w:t>
            </w:r>
          </w:p>
          <w:p w14:paraId="4152730A">
            <w:pPr>
              <w:pStyle w:val="45"/>
              <w:spacing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上方案内容完整清晰、表述明确、可行性高具有针对性并满足采购需求的得30分，每缺少一项内容扣6分；每有一项内容不完整或未能满足采购需求的或每有一处不具有针对性或逻辑性错误且不完整的扣4分；扣完为止。</w:t>
            </w:r>
          </w:p>
        </w:tc>
      </w:tr>
      <w:tr w14:paraId="49E13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423" w:hRule="atLeast"/>
          <w:jc w:val="center"/>
        </w:trPr>
        <w:tc>
          <w:tcPr>
            <w:tcW w:w="615" w:type="dxa"/>
            <w:vMerge w:val="continue"/>
            <w:tcBorders>
              <w:left w:val="single" w:color="auto" w:sz="4" w:space="0"/>
              <w:right w:val="single" w:color="auto" w:sz="4" w:space="0"/>
            </w:tcBorders>
            <w:noWrap w:val="0"/>
            <w:vAlign w:val="center"/>
          </w:tcPr>
          <w:p w14:paraId="71416074">
            <w:pPr>
              <w:pStyle w:val="45"/>
              <w:snapToGrid w:val="0"/>
              <w:spacing w:line="300" w:lineRule="exact"/>
              <w:rPr>
                <w:rFonts w:hint="eastAsia" w:ascii="宋体" w:hAnsi="宋体" w:cs="宋体"/>
                <w:color w:val="FF0000"/>
                <w:sz w:val="21"/>
                <w:szCs w:val="21"/>
                <w:highlight w:val="none"/>
              </w:rPr>
            </w:pPr>
          </w:p>
        </w:tc>
        <w:tc>
          <w:tcPr>
            <w:tcW w:w="978" w:type="dxa"/>
            <w:vMerge w:val="continue"/>
            <w:tcBorders>
              <w:left w:val="single" w:color="auto" w:sz="4" w:space="0"/>
              <w:right w:val="single" w:color="auto" w:sz="4" w:space="0"/>
            </w:tcBorders>
            <w:noWrap w:val="0"/>
            <w:vAlign w:val="center"/>
          </w:tcPr>
          <w:p w14:paraId="4B3E9895">
            <w:pPr>
              <w:pStyle w:val="45"/>
              <w:spacing w:line="300" w:lineRule="exact"/>
              <w:jc w:val="center"/>
              <w:rPr>
                <w:rFonts w:hint="eastAsia" w:ascii="宋体" w:hAnsi="宋体" w:cs="宋体"/>
                <w:color w:val="FF0000"/>
                <w:sz w:val="21"/>
                <w:szCs w:val="21"/>
                <w:highlight w:val="none"/>
              </w:rPr>
            </w:pPr>
          </w:p>
        </w:tc>
        <w:tc>
          <w:tcPr>
            <w:tcW w:w="1697" w:type="dxa"/>
            <w:tcBorders>
              <w:top w:val="single" w:color="auto" w:sz="4" w:space="0"/>
              <w:left w:val="single" w:color="auto" w:sz="4" w:space="0"/>
              <w:bottom w:val="single" w:color="auto" w:sz="4" w:space="0"/>
              <w:right w:val="single" w:color="auto" w:sz="4" w:space="0"/>
            </w:tcBorders>
            <w:noWrap w:val="0"/>
            <w:vAlign w:val="center"/>
          </w:tcPr>
          <w:p w14:paraId="3B67C71D">
            <w:pPr>
              <w:spacing w:line="3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指标体系的科学性</w:t>
            </w:r>
          </w:p>
          <w:p w14:paraId="1EFCACE7">
            <w:pPr>
              <w:spacing w:line="300" w:lineRule="exact"/>
              <w:jc w:val="center"/>
              <w:rPr>
                <w:rFonts w:hint="eastAsia" w:ascii="宋体" w:hAnsi="宋体" w:eastAsia="宋体" w:cs="宋体"/>
                <w:color w:val="FF0000"/>
                <w:sz w:val="21"/>
                <w:szCs w:val="21"/>
                <w:highlight w:val="none"/>
                <w:lang w:eastAsia="zh-CN"/>
              </w:rPr>
            </w:pPr>
            <w:r>
              <w:rPr>
                <w:rFonts w:hint="eastAsia" w:ascii="宋体" w:hAnsi="宋体" w:eastAsia="宋体" w:cs="宋体"/>
                <w:color w:val="auto"/>
                <w:kern w:val="0"/>
                <w:sz w:val="21"/>
                <w:szCs w:val="21"/>
                <w:highlight w:val="none"/>
                <w:lang w:val="en-US" w:eastAsia="zh-CN" w:bidi="ar-SA"/>
              </w:rPr>
              <w:t>（0-10分）</w:t>
            </w:r>
          </w:p>
        </w:tc>
        <w:tc>
          <w:tcPr>
            <w:tcW w:w="6629" w:type="dxa"/>
            <w:gridSpan w:val="3"/>
            <w:tcBorders>
              <w:top w:val="single" w:color="auto" w:sz="4" w:space="0"/>
              <w:left w:val="single" w:color="auto" w:sz="4" w:space="0"/>
              <w:bottom w:val="single" w:color="auto" w:sz="4" w:space="0"/>
              <w:right w:val="single" w:color="auto" w:sz="4" w:space="0"/>
            </w:tcBorders>
            <w:noWrap w:val="0"/>
            <w:vAlign w:val="center"/>
          </w:tcPr>
          <w:p w14:paraId="661175E6">
            <w:pPr>
              <w:spacing w:line="30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指标体系设立严谨科学</w:t>
            </w:r>
          </w:p>
          <w:p w14:paraId="5EC3ED39">
            <w:pPr>
              <w:spacing w:line="30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1、绩效评价指标体系的总体设计符合项目的评价目标得2分；</w:t>
            </w:r>
          </w:p>
          <w:p w14:paraId="284821AD">
            <w:pPr>
              <w:spacing w:line="30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2、绩效评价指标体系覆盖了评价考察所需关注的各个方面得2分；</w:t>
            </w:r>
          </w:p>
          <w:p w14:paraId="3245FB9E">
            <w:pPr>
              <w:spacing w:line="30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3、绩效评价指标体系的各级结构合理得2分；</w:t>
            </w:r>
          </w:p>
          <w:p w14:paraId="3B3B8E42">
            <w:pPr>
              <w:spacing w:line="30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4、各指标的内涵完整（包括指标名称、权重、解释、目标值、计算</w:t>
            </w:r>
          </w:p>
          <w:p w14:paraId="355A6990">
            <w:pPr>
              <w:spacing w:line="30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公式、评分规则、数据来源等）得2分；</w:t>
            </w:r>
          </w:p>
          <w:p w14:paraId="695A89A4">
            <w:pPr>
              <w:spacing w:line="30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5、各指标设置的权重合理（一级指标的权重配比按照项目决策:项目管理:项目绩效=10:25:65，具体指标权重根据重要性原则设置）得1分；</w:t>
            </w:r>
          </w:p>
          <w:p w14:paraId="6A1E19E7">
            <w:pPr>
              <w:spacing w:line="30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6、各指标设置的目标值合理且依据充分得1分；</w:t>
            </w:r>
          </w:p>
          <w:p w14:paraId="53DC6E27">
            <w:pPr>
              <w:spacing w:line="300" w:lineRule="exact"/>
              <w:jc w:val="left"/>
              <w:rPr>
                <w:rFonts w:hint="eastAsia" w:ascii="宋体" w:hAnsi="宋体" w:eastAsia="宋体" w:cs="宋体"/>
                <w:color w:val="FF0000"/>
                <w:sz w:val="21"/>
                <w:szCs w:val="21"/>
                <w:highlight w:val="none"/>
              </w:rPr>
            </w:pPr>
            <w:r>
              <w:rPr>
                <w:rFonts w:hint="eastAsia" w:ascii="宋体" w:hAnsi="宋体" w:eastAsia="宋体" w:cs="宋体"/>
                <w:color w:val="auto"/>
                <w:kern w:val="0"/>
                <w:sz w:val="21"/>
                <w:szCs w:val="21"/>
                <w:highlight w:val="none"/>
                <w:lang w:val="en-US" w:eastAsia="zh-CN" w:bidi="ar-SA"/>
              </w:rPr>
              <w:t>以上内容完全满足的得10分，每缺少一项内容根据上述要求扣分；每有一项内容不完整、不合理或不具有针对性或逻辑性错误且不完整的扣1分；扣完为止。</w:t>
            </w:r>
          </w:p>
        </w:tc>
      </w:tr>
      <w:tr w14:paraId="751FD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85" w:hRule="atLeast"/>
          <w:jc w:val="center"/>
        </w:trPr>
        <w:tc>
          <w:tcPr>
            <w:tcW w:w="615" w:type="dxa"/>
            <w:vMerge w:val="continue"/>
            <w:tcBorders>
              <w:left w:val="single" w:color="auto" w:sz="4" w:space="0"/>
              <w:right w:val="single" w:color="auto" w:sz="4" w:space="0"/>
            </w:tcBorders>
            <w:noWrap w:val="0"/>
            <w:vAlign w:val="center"/>
          </w:tcPr>
          <w:p w14:paraId="304782EB">
            <w:pPr>
              <w:pStyle w:val="45"/>
              <w:snapToGrid w:val="0"/>
              <w:spacing w:line="300" w:lineRule="exact"/>
              <w:rPr>
                <w:rFonts w:hint="eastAsia" w:ascii="宋体" w:hAnsi="宋体" w:cs="宋体"/>
                <w:color w:val="FF0000"/>
                <w:sz w:val="21"/>
                <w:szCs w:val="21"/>
                <w:highlight w:val="none"/>
              </w:rPr>
            </w:pPr>
          </w:p>
        </w:tc>
        <w:tc>
          <w:tcPr>
            <w:tcW w:w="978" w:type="dxa"/>
            <w:vMerge w:val="continue"/>
            <w:tcBorders>
              <w:left w:val="single" w:color="auto" w:sz="4" w:space="0"/>
              <w:right w:val="single" w:color="auto" w:sz="4" w:space="0"/>
            </w:tcBorders>
            <w:noWrap w:val="0"/>
            <w:vAlign w:val="center"/>
          </w:tcPr>
          <w:p w14:paraId="06560C43">
            <w:pPr>
              <w:pStyle w:val="45"/>
              <w:spacing w:line="300" w:lineRule="exact"/>
              <w:jc w:val="center"/>
              <w:rPr>
                <w:rFonts w:hint="eastAsia" w:ascii="宋体" w:hAnsi="宋体" w:cs="宋体"/>
                <w:color w:val="FF0000"/>
                <w:sz w:val="21"/>
                <w:szCs w:val="21"/>
                <w:highlight w:val="none"/>
              </w:rPr>
            </w:pPr>
          </w:p>
        </w:tc>
        <w:tc>
          <w:tcPr>
            <w:tcW w:w="1697" w:type="dxa"/>
            <w:tcBorders>
              <w:top w:val="single" w:color="auto" w:sz="4" w:space="0"/>
              <w:left w:val="single" w:color="auto" w:sz="4" w:space="0"/>
              <w:bottom w:val="single" w:color="auto" w:sz="4" w:space="0"/>
              <w:right w:val="single" w:color="auto" w:sz="4" w:space="0"/>
            </w:tcBorders>
            <w:noWrap w:val="0"/>
            <w:vAlign w:val="center"/>
          </w:tcPr>
          <w:p w14:paraId="722393E5">
            <w:pPr>
              <w:spacing w:line="3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培训服务</w:t>
            </w:r>
          </w:p>
          <w:p w14:paraId="2E2557DE">
            <w:pPr>
              <w:spacing w:line="3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方案</w:t>
            </w:r>
          </w:p>
          <w:p w14:paraId="2E324E8F">
            <w:pPr>
              <w:spacing w:line="300" w:lineRule="exact"/>
              <w:jc w:val="center"/>
              <w:rPr>
                <w:rFonts w:hint="eastAsia" w:ascii="宋体" w:hAnsi="宋体" w:eastAsia="宋体" w:cs="宋体"/>
                <w:color w:val="FF0000"/>
                <w:spacing w:val="0"/>
                <w:kern w:val="2"/>
                <w:sz w:val="21"/>
                <w:szCs w:val="21"/>
                <w:highlight w:val="none"/>
                <w:lang w:eastAsia="zh-CN"/>
              </w:rPr>
            </w:pPr>
            <w:r>
              <w:rPr>
                <w:rFonts w:hint="eastAsia" w:ascii="宋体" w:hAnsi="宋体" w:eastAsia="宋体" w:cs="宋体"/>
                <w:color w:val="auto"/>
                <w:kern w:val="0"/>
                <w:sz w:val="21"/>
                <w:szCs w:val="21"/>
                <w:highlight w:val="none"/>
                <w:lang w:val="en-US" w:eastAsia="zh-CN" w:bidi="ar-SA"/>
              </w:rPr>
              <w:t>（0-8分）</w:t>
            </w:r>
          </w:p>
        </w:tc>
        <w:tc>
          <w:tcPr>
            <w:tcW w:w="6629" w:type="dxa"/>
            <w:gridSpan w:val="3"/>
            <w:tcBorders>
              <w:top w:val="single" w:color="auto" w:sz="4" w:space="0"/>
              <w:left w:val="single" w:color="auto" w:sz="4" w:space="0"/>
              <w:bottom w:val="single" w:color="auto" w:sz="4" w:space="0"/>
              <w:right w:val="single" w:color="auto" w:sz="4" w:space="0"/>
            </w:tcBorders>
            <w:noWrap w:val="0"/>
            <w:vAlign w:val="center"/>
          </w:tcPr>
          <w:p w14:paraId="02591F7A">
            <w:pPr>
              <w:spacing w:line="30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投标人针对本项目提供预算绩效培训服务方案，须制定详细的培训计划，对项目培训时间安排、培训地点、培训内容、培训所要达到的目标等有详细描述；评审小组根据培训方案的完整性进行综合评分。</w:t>
            </w:r>
          </w:p>
          <w:p w14:paraId="1A485BDC">
            <w:pPr>
              <w:spacing w:line="300" w:lineRule="exact"/>
              <w:jc w:val="left"/>
              <w:rPr>
                <w:rFonts w:ascii="宋体" w:hAnsi="宋体" w:cs="宋体"/>
                <w:color w:val="FF0000"/>
                <w:sz w:val="21"/>
                <w:szCs w:val="21"/>
                <w:highlight w:val="none"/>
              </w:rPr>
            </w:pPr>
            <w:r>
              <w:rPr>
                <w:rFonts w:hint="eastAsia" w:ascii="宋体" w:hAnsi="宋体" w:eastAsia="宋体" w:cs="宋体"/>
                <w:color w:val="auto"/>
                <w:kern w:val="0"/>
                <w:sz w:val="21"/>
                <w:szCs w:val="21"/>
                <w:highlight w:val="none"/>
                <w:lang w:val="en-US" w:eastAsia="zh-CN" w:bidi="ar-SA"/>
              </w:rPr>
              <w:t>以上内容每缺少一项内容扣2分，每有一项内容不完善或不符合实际需求缺乏可执行性的扣1分，未提供不得分，此项满分8分。</w:t>
            </w:r>
          </w:p>
        </w:tc>
      </w:tr>
      <w:tr w14:paraId="63E6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85" w:hRule="atLeast"/>
          <w:jc w:val="center"/>
        </w:trPr>
        <w:tc>
          <w:tcPr>
            <w:tcW w:w="615" w:type="dxa"/>
            <w:vMerge w:val="continue"/>
            <w:tcBorders>
              <w:left w:val="single" w:color="auto" w:sz="4" w:space="0"/>
              <w:right w:val="single" w:color="auto" w:sz="4" w:space="0"/>
            </w:tcBorders>
            <w:noWrap w:val="0"/>
            <w:vAlign w:val="center"/>
          </w:tcPr>
          <w:p w14:paraId="3A6B318C">
            <w:pPr>
              <w:pStyle w:val="45"/>
              <w:snapToGrid w:val="0"/>
              <w:spacing w:line="300" w:lineRule="exact"/>
              <w:rPr>
                <w:rFonts w:hint="eastAsia" w:ascii="宋体" w:hAnsi="宋体" w:cs="宋体"/>
                <w:color w:val="FF0000"/>
                <w:sz w:val="21"/>
                <w:szCs w:val="21"/>
                <w:highlight w:val="none"/>
              </w:rPr>
            </w:pPr>
          </w:p>
        </w:tc>
        <w:tc>
          <w:tcPr>
            <w:tcW w:w="978" w:type="dxa"/>
            <w:vMerge w:val="continue"/>
            <w:tcBorders>
              <w:left w:val="single" w:color="auto" w:sz="4" w:space="0"/>
              <w:right w:val="single" w:color="auto" w:sz="4" w:space="0"/>
            </w:tcBorders>
            <w:noWrap w:val="0"/>
            <w:vAlign w:val="center"/>
          </w:tcPr>
          <w:p w14:paraId="6E9AB57A">
            <w:pPr>
              <w:pStyle w:val="45"/>
              <w:spacing w:line="300" w:lineRule="exact"/>
              <w:jc w:val="center"/>
              <w:rPr>
                <w:rFonts w:hint="eastAsia" w:ascii="宋体" w:hAnsi="宋体" w:cs="宋体"/>
                <w:color w:val="FF0000"/>
                <w:sz w:val="21"/>
                <w:szCs w:val="21"/>
                <w:highlight w:val="none"/>
              </w:rPr>
            </w:pPr>
          </w:p>
        </w:tc>
        <w:tc>
          <w:tcPr>
            <w:tcW w:w="1697" w:type="dxa"/>
            <w:tcBorders>
              <w:top w:val="single" w:color="auto" w:sz="4" w:space="0"/>
              <w:left w:val="single" w:color="auto" w:sz="4" w:space="0"/>
              <w:bottom w:val="single" w:color="auto" w:sz="4" w:space="0"/>
              <w:right w:val="single" w:color="auto" w:sz="4" w:space="0"/>
            </w:tcBorders>
            <w:noWrap w:val="0"/>
            <w:vAlign w:val="center"/>
          </w:tcPr>
          <w:p w14:paraId="5C1AA22C">
            <w:pPr>
              <w:spacing w:line="3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服务承诺</w:t>
            </w:r>
          </w:p>
          <w:p w14:paraId="74F257DF">
            <w:pPr>
              <w:spacing w:line="3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及优惠措</w:t>
            </w:r>
          </w:p>
          <w:p w14:paraId="1D5DEFB0">
            <w:pPr>
              <w:spacing w:line="3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施</w:t>
            </w:r>
          </w:p>
          <w:p w14:paraId="7C17D95B">
            <w:pPr>
              <w:spacing w:line="300" w:lineRule="exact"/>
              <w:jc w:val="center"/>
              <w:rPr>
                <w:rFonts w:hint="eastAsia"/>
                <w:lang w:val="en-US" w:eastAsia="zh-CN"/>
              </w:rPr>
            </w:pPr>
            <w:r>
              <w:rPr>
                <w:rFonts w:hint="eastAsia" w:ascii="宋体" w:hAnsi="宋体" w:eastAsia="宋体" w:cs="宋体"/>
                <w:color w:val="auto"/>
                <w:kern w:val="0"/>
                <w:sz w:val="21"/>
                <w:szCs w:val="21"/>
                <w:highlight w:val="none"/>
                <w:lang w:val="en-US" w:eastAsia="zh-CN" w:bidi="ar-SA"/>
              </w:rPr>
              <w:t>（0-5分）</w:t>
            </w:r>
          </w:p>
        </w:tc>
        <w:tc>
          <w:tcPr>
            <w:tcW w:w="6629" w:type="dxa"/>
            <w:gridSpan w:val="3"/>
            <w:tcBorders>
              <w:top w:val="single" w:color="auto" w:sz="4" w:space="0"/>
              <w:left w:val="single" w:color="auto" w:sz="4" w:space="0"/>
              <w:bottom w:val="single" w:color="auto" w:sz="4" w:space="0"/>
              <w:right w:val="single" w:color="auto" w:sz="4" w:space="0"/>
            </w:tcBorders>
            <w:noWrap w:val="0"/>
            <w:vAlign w:val="top"/>
          </w:tcPr>
          <w:p w14:paraId="30A3A3BA">
            <w:pPr>
              <w:spacing w:line="30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根据供应商提供的服务承诺及优惠措施，由磋商小组横向比较打分。</w:t>
            </w:r>
          </w:p>
          <w:p w14:paraId="3A69E1A4">
            <w:pPr>
              <w:spacing w:line="30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服务承诺和优惠力度贴合项目需求得5分；</w:t>
            </w:r>
          </w:p>
          <w:p w14:paraId="6983B5BF">
            <w:pPr>
              <w:spacing w:line="30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服务承诺和优惠力度基本满足需求得2分；</w:t>
            </w:r>
          </w:p>
          <w:p w14:paraId="45FFAB45">
            <w:pPr>
              <w:spacing w:line="30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服务承诺不清晰且优惠力度有限得1分；</w:t>
            </w:r>
          </w:p>
          <w:p w14:paraId="09B04AF0">
            <w:pPr>
              <w:spacing w:line="30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不提供得0分。</w:t>
            </w:r>
          </w:p>
        </w:tc>
      </w:tr>
      <w:tr w14:paraId="0E8D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85" w:hRule="atLeast"/>
          <w:jc w:val="center"/>
        </w:trPr>
        <w:tc>
          <w:tcPr>
            <w:tcW w:w="615" w:type="dxa"/>
            <w:vMerge w:val="continue"/>
            <w:tcBorders>
              <w:left w:val="single" w:color="auto" w:sz="4" w:space="0"/>
              <w:bottom w:val="single" w:color="auto" w:sz="4" w:space="0"/>
              <w:right w:val="single" w:color="auto" w:sz="4" w:space="0"/>
            </w:tcBorders>
            <w:noWrap w:val="0"/>
            <w:vAlign w:val="center"/>
          </w:tcPr>
          <w:p w14:paraId="24DA3095">
            <w:pPr>
              <w:pStyle w:val="45"/>
              <w:snapToGrid w:val="0"/>
              <w:spacing w:line="300" w:lineRule="exact"/>
              <w:rPr>
                <w:rFonts w:hint="eastAsia" w:ascii="宋体" w:hAnsi="宋体" w:cs="宋体"/>
                <w:color w:val="FF0000"/>
                <w:sz w:val="21"/>
                <w:szCs w:val="21"/>
                <w:highlight w:val="none"/>
              </w:rPr>
            </w:pPr>
          </w:p>
        </w:tc>
        <w:tc>
          <w:tcPr>
            <w:tcW w:w="978" w:type="dxa"/>
            <w:vMerge w:val="continue"/>
            <w:tcBorders>
              <w:left w:val="single" w:color="auto" w:sz="4" w:space="0"/>
              <w:right w:val="single" w:color="auto" w:sz="4" w:space="0"/>
            </w:tcBorders>
            <w:noWrap w:val="0"/>
            <w:vAlign w:val="center"/>
          </w:tcPr>
          <w:p w14:paraId="55647F08">
            <w:pPr>
              <w:pStyle w:val="45"/>
              <w:spacing w:line="300" w:lineRule="exact"/>
              <w:jc w:val="center"/>
              <w:rPr>
                <w:rFonts w:hint="eastAsia" w:ascii="宋体" w:hAnsi="宋体" w:cs="宋体"/>
                <w:color w:val="FF0000"/>
                <w:sz w:val="21"/>
                <w:szCs w:val="21"/>
                <w:highlight w:val="none"/>
              </w:rPr>
            </w:pPr>
          </w:p>
        </w:tc>
        <w:tc>
          <w:tcPr>
            <w:tcW w:w="1697" w:type="dxa"/>
            <w:tcBorders>
              <w:top w:val="single" w:color="auto" w:sz="4" w:space="0"/>
              <w:left w:val="single" w:color="auto" w:sz="4" w:space="0"/>
              <w:bottom w:val="single" w:color="auto" w:sz="4" w:space="0"/>
              <w:right w:val="single" w:color="auto" w:sz="4" w:space="0"/>
            </w:tcBorders>
            <w:noWrap w:val="0"/>
            <w:vAlign w:val="center"/>
          </w:tcPr>
          <w:p w14:paraId="0FFFC1EA">
            <w:pPr>
              <w:spacing w:line="3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保密相关措施</w:t>
            </w:r>
          </w:p>
          <w:p w14:paraId="5EA5F886">
            <w:pPr>
              <w:spacing w:line="3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（0-5分）</w:t>
            </w:r>
          </w:p>
        </w:tc>
        <w:tc>
          <w:tcPr>
            <w:tcW w:w="6629" w:type="dxa"/>
            <w:gridSpan w:val="3"/>
            <w:tcBorders>
              <w:top w:val="single" w:color="auto" w:sz="4" w:space="0"/>
              <w:left w:val="single" w:color="auto" w:sz="4" w:space="0"/>
              <w:bottom w:val="single" w:color="auto" w:sz="4" w:space="0"/>
              <w:right w:val="single" w:color="auto" w:sz="4" w:space="0"/>
            </w:tcBorders>
            <w:noWrap w:val="0"/>
            <w:vAlign w:val="top"/>
          </w:tcPr>
          <w:p w14:paraId="3522899C">
            <w:pPr>
              <w:spacing w:line="30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提供保密方案，保密方案详细、方案合理。</w:t>
            </w:r>
          </w:p>
          <w:p w14:paraId="3ACD5339">
            <w:pPr>
              <w:spacing w:line="30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保密方案详细、方案合理得5分；</w:t>
            </w:r>
          </w:p>
          <w:p w14:paraId="7D3DA916">
            <w:pPr>
              <w:spacing w:line="30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保密方案较为详细、方案较为合理得2分；</w:t>
            </w:r>
          </w:p>
          <w:p w14:paraId="2F175F60">
            <w:pPr>
              <w:spacing w:line="30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保密方案不详细详细、方案不合理得1分；</w:t>
            </w:r>
          </w:p>
          <w:p w14:paraId="4C96940C">
            <w:pPr>
              <w:spacing w:line="30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不提供得0分。</w:t>
            </w:r>
          </w:p>
        </w:tc>
      </w:tr>
    </w:tbl>
    <w:p w14:paraId="5974BAFB">
      <w:pPr>
        <w:pStyle w:val="24"/>
        <w:spacing w:after="0" w:line="420" w:lineRule="exact"/>
        <w:ind w:firstLine="600" w:firstLineChars="250"/>
        <w:textAlignment w:val="baseline"/>
        <w:rPr>
          <w:rFonts w:ascii="宋体" w:hAnsi="宋体" w:eastAsia="宋体" w:cs="宋体;SimSun"/>
          <w:color w:val="auto"/>
          <w:sz w:val="24"/>
          <w:szCs w:val="24"/>
          <w:highlight w:val="none"/>
        </w:rPr>
      </w:pPr>
      <w:r>
        <w:rPr>
          <w:rFonts w:ascii="宋体" w:hAnsi="宋体" w:eastAsia="宋体" w:cs="宋体;SimSun"/>
          <w:color w:val="auto"/>
          <w:sz w:val="24"/>
          <w:szCs w:val="24"/>
          <w:highlight w:val="none"/>
        </w:rPr>
        <w:t>2.</w:t>
      </w:r>
      <w:r>
        <w:rPr>
          <w:rFonts w:hint="eastAsia" w:ascii="宋体" w:hAnsi="宋体" w:eastAsia="宋体" w:cs="宋体;SimSun"/>
          <w:color w:val="auto"/>
          <w:sz w:val="24"/>
          <w:szCs w:val="24"/>
          <w:highlight w:val="none"/>
        </w:rPr>
        <w:t>4 算数性修正</w:t>
      </w:r>
    </w:p>
    <w:p w14:paraId="2C5B1789">
      <w:pPr>
        <w:pStyle w:val="24"/>
        <w:spacing w:after="0" w:line="420" w:lineRule="exact"/>
        <w:ind w:firstLine="600" w:firstLineChars="250"/>
        <w:textAlignment w:val="baseline"/>
        <w:rPr>
          <w:rFonts w:ascii="宋体" w:hAnsi="宋体" w:eastAsia="宋体" w:cs="宋体;SimSun"/>
          <w:color w:val="auto"/>
          <w:sz w:val="24"/>
          <w:szCs w:val="24"/>
          <w:highlight w:val="none"/>
        </w:rPr>
      </w:pPr>
      <w:r>
        <w:rPr>
          <w:rFonts w:hint="eastAsia" w:ascii="宋体" w:hAnsi="宋体" w:eastAsia="宋体" w:cs="宋体;SimSun"/>
          <w:color w:val="auto"/>
          <w:sz w:val="24"/>
          <w:szCs w:val="24"/>
          <w:highlight w:val="none"/>
        </w:rPr>
        <w:t>最后报价有算术错误及其他错误的，磋商小组会按以下原则要求供应商对磋商报价进行修正，并要求供应商书面澄清确认。供应商拒不澄清确认的，视为未实质响应</w:t>
      </w:r>
      <w:r>
        <w:rPr>
          <w:rFonts w:hint="eastAsia" w:ascii="宋体" w:hAnsi="宋体" w:eastAsia="宋体" w:cs="宋体;SimSun"/>
          <w:color w:val="auto"/>
          <w:sz w:val="24"/>
          <w:szCs w:val="24"/>
          <w:highlight w:val="none"/>
          <w:lang w:eastAsia="zh-CN"/>
        </w:rPr>
        <w:t>磋商文件</w:t>
      </w:r>
      <w:r>
        <w:rPr>
          <w:rFonts w:hint="eastAsia" w:ascii="宋体" w:hAnsi="宋体" w:eastAsia="宋体" w:cs="宋体;SimSun"/>
          <w:color w:val="auto"/>
          <w:sz w:val="24"/>
          <w:szCs w:val="24"/>
          <w:highlight w:val="none"/>
        </w:rPr>
        <w:t>要求，其响应文件做无效处理：</w:t>
      </w:r>
    </w:p>
    <w:p w14:paraId="2378D961">
      <w:pPr>
        <w:pStyle w:val="24"/>
        <w:spacing w:after="0" w:line="420" w:lineRule="exact"/>
        <w:ind w:firstLine="600" w:firstLineChars="250"/>
        <w:textAlignment w:val="baseline"/>
        <w:rPr>
          <w:rFonts w:ascii="宋体" w:hAnsi="宋体" w:eastAsia="宋体" w:cs="宋体;SimSun"/>
          <w:color w:val="auto"/>
          <w:sz w:val="24"/>
          <w:szCs w:val="24"/>
          <w:highlight w:val="none"/>
        </w:rPr>
      </w:pPr>
      <w:r>
        <w:rPr>
          <w:rFonts w:hint="eastAsia" w:ascii="宋体" w:hAnsi="宋体" w:eastAsia="宋体" w:cs="宋体;SimSun"/>
          <w:color w:val="auto"/>
          <w:sz w:val="24"/>
          <w:szCs w:val="24"/>
          <w:highlight w:val="none"/>
        </w:rPr>
        <w:t>（</w:t>
      </w:r>
      <w:r>
        <w:rPr>
          <w:rFonts w:ascii="宋体" w:hAnsi="宋体" w:eastAsia="宋体" w:cs="宋体;SimSun"/>
          <w:color w:val="auto"/>
          <w:sz w:val="24"/>
          <w:szCs w:val="24"/>
          <w:highlight w:val="none"/>
        </w:rPr>
        <w:t>1</w:t>
      </w:r>
      <w:r>
        <w:rPr>
          <w:rFonts w:hint="eastAsia" w:ascii="宋体" w:hAnsi="宋体" w:eastAsia="宋体" w:cs="宋体;SimSun"/>
          <w:color w:val="auto"/>
          <w:sz w:val="24"/>
          <w:szCs w:val="24"/>
          <w:highlight w:val="none"/>
        </w:rPr>
        <w:t>）响应文件中的大写金额与小写金额不一致的，以大写金额为准；</w:t>
      </w:r>
    </w:p>
    <w:p w14:paraId="2C8F7F74">
      <w:pPr>
        <w:pStyle w:val="24"/>
        <w:spacing w:after="0" w:line="420" w:lineRule="exact"/>
        <w:ind w:firstLine="600" w:firstLineChars="250"/>
        <w:textAlignment w:val="baseline"/>
        <w:rPr>
          <w:rFonts w:ascii="宋体" w:hAnsi="宋体" w:eastAsia="宋体" w:cs="宋体;SimSun"/>
          <w:color w:val="auto"/>
          <w:sz w:val="24"/>
          <w:szCs w:val="24"/>
          <w:highlight w:val="none"/>
        </w:rPr>
      </w:pPr>
      <w:r>
        <w:rPr>
          <w:rFonts w:hint="eastAsia" w:ascii="宋体" w:hAnsi="宋体" w:eastAsia="宋体" w:cs="宋体;SimSun"/>
          <w:color w:val="auto"/>
          <w:sz w:val="24"/>
          <w:szCs w:val="24"/>
          <w:highlight w:val="none"/>
        </w:rPr>
        <w:t>（</w:t>
      </w:r>
      <w:r>
        <w:rPr>
          <w:rFonts w:ascii="宋体" w:hAnsi="宋体" w:eastAsia="宋体" w:cs="宋体;SimSun"/>
          <w:color w:val="auto"/>
          <w:sz w:val="24"/>
          <w:szCs w:val="24"/>
          <w:highlight w:val="none"/>
        </w:rPr>
        <w:t>2</w:t>
      </w:r>
      <w:r>
        <w:rPr>
          <w:rFonts w:hint="eastAsia" w:ascii="宋体" w:hAnsi="宋体" w:eastAsia="宋体" w:cs="宋体;SimSun"/>
          <w:color w:val="auto"/>
          <w:sz w:val="24"/>
          <w:szCs w:val="24"/>
          <w:highlight w:val="none"/>
        </w:rPr>
        <w:t>）项目单价金额与总价金额不一致的，以单价金额为准，但单价金额小数点有明显错误的除外；</w:t>
      </w:r>
    </w:p>
    <w:p w14:paraId="3B5056F8">
      <w:pPr>
        <w:pStyle w:val="24"/>
        <w:spacing w:after="0" w:line="420" w:lineRule="exact"/>
        <w:ind w:firstLine="600" w:firstLineChars="250"/>
        <w:textAlignment w:val="baseline"/>
        <w:rPr>
          <w:rFonts w:ascii="宋体" w:hAnsi="宋体" w:eastAsia="宋体" w:cs="宋体;SimSun"/>
          <w:color w:val="auto"/>
          <w:sz w:val="24"/>
          <w:szCs w:val="24"/>
          <w:highlight w:val="none"/>
        </w:rPr>
      </w:pPr>
      <w:r>
        <w:rPr>
          <w:rFonts w:hint="eastAsia" w:ascii="宋体" w:hAnsi="宋体" w:eastAsia="宋体" w:cs="宋体;SimSun"/>
          <w:color w:val="auto"/>
          <w:sz w:val="24"/>
          <w:szCs w:val="24"/>
          <w:highlight w:val="none"/>
        </w:rPr>
        <w:t>（</w:t>
      </w:r>
      <w:r>
        <w:rPr>
          <w:rFonts w:ascii="宋体" w:hAnsi="宋体" w:eastAsia="宋体" w:cs="宋体;SimSun"/>
          <w:color w:val="auto"/>
          <w:sz w:val="24"/>
          <w:szCs w:val="24"/>
          <w:highlight w:val="none"/>
        </w:rPr>
        <w:t>3</w:t>
      </w:r>
      <w:r>
        <w:rPr>
          <w:rFonts w:hint="eastAsia" w:ascii="宋体" w:hAnsi="宋体" w:eastAsia="宋体" w:cs="宋体;SimSun"/>
          <w:color w:val="auto"/>
          <w:sz w:val="24"/>
          <w:szCs w:val="24"/>
          <w:highlight w:val="none"/>
        </w:rPr>
        <w:t>）如果</w:t>
      </w:r>
      <w:r>
        <w:rPr>
          <w:rFonts w:hint="eastAsia" w:ascii="宋体" w:hAnsi="宋体" w:eastAsia="宋体" w:cs="宋体;SimSun"/>
          <w:color w:val="auto"/>
          <w:sz w:val="24"/>
          <w:szCs w:val="24"/>
          <w:highlight w:val="none"/>
          <w:lang w:eastAsia="zh-CN"/>
        </w:rPr>
        <w:t>明细</w:t>
      </w:r>
      <w:r>
        <w:rPr>
          <w:rFonts w:hint="eastAsia" w:ascii="宋体" w:hAnsi="宋体" w:eastAsia="宋体" w:cs="宋体;SimSun"/>
          <w:color w:val="auto"/>
          <w:sz w:val="24"/>
          <w:szCs w:val="24"/>
          <w:highlight w:val="none"/>
        </w:rPr>
        <w:t>报价中存在缺漏项，则视为缺漏项价格已包含在其他</w:t>
      </w:r>
      <w:r>
        <w:rPr>
          <w:rFonts w:hint="eastAsia" w:ascii="宋体" w:hAnsi="宋体" w:eastAsia="宋体" w:cs="宋体;SimSun"/>
          <w:color w:val="auto"/>
          <w:sz w:val="24"/>
          <w:szCs w:val="24"/>
          <w:highlight w:val="none"/>
          <w:lang w:eastAsia="zh-CN"/>
        </w:rPr>
        <w:t>明细</w:t>
      </w:r>
      <w:r>
        <w:rPr>
          <w:rFonts w:hint="eastAsia" w:ascii="宋体" w:hAnsi="宋体" w:eastAsia="宋体" w:cs="宋体;SimSun"/>
          <w:color w:val="auto"/>
          <w:sz w:val="24"/>
          <w:szCs w:val="24"/>
          <w:highlight w:val="none"/>
        </w:rPr>
        <w:t>报价。</w:t>
      </w:r>
    </w:p>
    <w:p w14:paraId="64984A7C">
      <w:pPr>
        <w:pStyle w:val="24"/>
        <w:spacing w:after="0" w:line="420" w:lineRule="exact"/>
        <w:ind w:firstLine="600" w:firstLineChars="250"/>
        <w:textAlignment w:val="baseline"/>
        <w:rPr>
          <w:rFonts w:ascii="宋体" w:hAnsi="宋体" w:eastAsia="宋体" w:cs="宋体;SimSun"/>
          <w:color w:val="auto"/>
          <w:sz w:val="24"/>
          <w:szCs w:val="24"/>
          <w:highlight w:val="none"/>
        </w:rPr>
      </w:pPr>
      <w:r>
        <w:rPr>
          <w:rFonts w:hint="eastAsia" w:ascii="宋体" w:hAnsi="宋体" w:eastAsia="宋体" w:cs="宋体;SimSun"/>
          <w:color w:val="auto"/>
          <w:sz w:val="24"/>
          <w:szCs w:val="24"/>
          <w:highlight w:val="none"/>
        </w:rPr>
        <w:t>（4）响应报价出现明显填报错误，经磋商小组同意允许修正的情形。</w:t>
      </w:r>
    </w:p>
    <w:p w14:paraId="7120DD4E">
      <w:pPr>
        <w:shd w:val="clear" w:color="auto"/>
        <w:adjustRightInd w:val="0"/>
        <w:snapToGrid w:val="0"/>
        <w:spacing w:line="42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同时出现两种以上不一致的，按照前款规定的顺序修正。</w:t>
      </w:r>
    </w:p>
    <w:p w14:paraId="69B27872">
      <w:pPr>
        <w:shd w:val="clear" w:color="auto"/>
        <w:adjustRightInd w:val="0"/>
        <w:snapToGrid w:val="0"/>
        <w:spacing w:line="42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修正后的报价遵照如下规定处理：磋商小组在政采云系统中发出澄清、答疑，供应商在规定时间（30分钟）内系统内回复，修正后的报价经供应商确认后产生约束力，供应商不确认的，其响应文件无效。</w:t>
      </w:r>
    </w:p>
    <w:p w14:paraId="5CC979A8">
      <w:pPr>
        <w:shd w:val="clear" w:color="auto"/>
        <w:spacing w:line="440" w:lineRule="exact"/>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3.磋商小组的权利</w:t>
      </w:r>
    </w:p>
    <w:p w14:paraId="269BEDD7">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 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响应处理。</w:t>
      </w:r>
    </w:p>
    <w:p w14:paraId="538C7310">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 磋商小组发现</w:t>
      </w:r>
      <w:r>
        <w:rPr>
          <w:rFonts w:hint="eastAsia" w:ascii="宋体" w:hAnsi="宋体" w:eastAsia="宋体" w:cs="宋体"/>
          <w:color w:val="auto"/>
          <w:kern w:val="0"/>
          <w:sz w:val="24"/>
          <w:szCs w:val="24"/>
          <w:highlight w:val="none"/>
          <w:lang w:val="en-US" w:eastAsia="zh-CN"/>
        </w:rPr>
        <w:t>竞争性</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存在歧义、重大缺陷导致评审工作无法进行，或者</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内容违反国家有关强制性规定的，应当停止评审工作，与采购人或者采购代理机构沟通并作书面记录。采购人或者采购代理机构确认后，应当修改</w:t>
      </w:r>
      <w:r>
        <w:rPr>
          <w:rFonts w:hint="eastAsia" w:ascii="宋体" w:hAnsi="宋体" w:eastAsia="宋体" w:cs="宋体"/>
          <w:color w:val="auto"/>
          <w:kern w:val="0"/>
          <w:sz w:val="24"/>
          <w:szCs w:val="24"/>
          <w:highlight w:val="none"/>
          <w:lang w:val="en-US" w:eastAsia="zh-CN"/>
        </w:rPr>
        <w:t>竞争性</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，重新组织采购活动。</w:t>
      </w:r>
    </w:p>
    <w:p w14:paraId="4F6A44DA">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 评审报告由磋商小组全体成员签字。磋商小组成员对需要共同认定的事项存在争议的，应当按照少数服从多数的原则作出结论。持不同意见的磋商小组成员应当在评审报告上签署不同意见及理由，否则视为同意评审报告。</w:t>
      </w:r>
    </w:p>
    <w:p w14:paraId="65EFAE56">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3.3.1评审结果汇总完成后，除下列情形外，任何人不得修改评审结果：</w:t>
      </w:r>
    </w:p>
    <w:p w14:paraId="3AF81F80">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3.3.1.1 分值汇总计算错误的；</w:t>
      </w:r>
    </w:p>
    <w:p w14:paraId="16D8609E">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3.3.1.2 </w:t>
      </w:r>
      <w:r>
        <w:rPr>
          <w:rFonts w:hint="eastAsia" w:ascii="宋体" w:hAnsi="宋体" w:eastAsia="宋体" w:cs="宋体"/>
          <w:color w:val="auto"/>
          <w:kern w:val="0"/>
          <w:sz w:val="24"/>
          <w:szCs w:val="24"/>
          <w:highlight w:val="none"/>
          <w:lang w:eastAsia="zh-CN"/>
        </w:rPr>
        <w:t>明细</w:t>
      </w:r>
      <w:r>
        <w:rPr>
          <w:rFonts w:hint="eastAsia" w:ascii="宋体" w:hAnsi="宋体" w:eastAsia="宋体" w:cs="宋体"/>
          <w:color w:val="auto"/>
          <w:kern w:val="0"/>
          <w:sz w:val="24"/>
          <w:szCs w:val="24"/>
          <w:highlight w:val="none"/>
        </w:rPr>
        <w:t>评分超出评分标准范围的；</w:t>
      </w:r>
    </w:p>
    <w:p w14:paraId="70375459">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3.3.1.3 磋商小组成员对客观评审因素评分不一致的；</w:t>
      </w:r>
    </w:p>
    <w:p w14:paraId="5143FDF0">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3.3.1.4 经磋商小组认定评分畸高、畸低的。</w:t>
      </w:r>
    </w:p>
    <w:p w14:paraId="315D2F01">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报告签署前，经复核发现存在以上情形之一的，磋商小组应当当场修改评审结果，并在评审报告中记载；评审报告签署后，采购人或者采购代理机构发现存在以上情形之一的，应当组织原磋商小组进行重新评审，重新评审改变评审结果的，书面报告本级财政部门。</w:t>
      </w:r>
    </w:p>
    <w:p w14:paraId="128991FC">
      <w:pPr>
        <w:shd w:val="clear" w:color="auto"/>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 磋商小组依据供应商须知前附表规定的评审方法，对供应商的响应文件进行评审和比较，供应商最终得分等于商务部分、技术部分、报价部分得分之和。磋商小组确定供应商最终得分和排名向采购人提出书面报告，并推荐合格的成交候选人。</w:t>
      </w:r>
    </w:p>
    <w:p w14:paraId="7FCE2800">
      <w:pPr>
        <w:shd w:val="clear" w:color="auto"/>
        <w:spacing w:line="440" w:lineRule="exact"/>
        <w:ind w:firstLine="482" w:firstLineChars="200"/>
        <w:rPr>
          <w:rFonts w:ascii="宋体" w:hAnsi="宋体" w:eastAsia="宋体" w:cs="宋体"/>
          <w:b/>
          <w:bCs/>
          <w:color w:val="auto"/>
          <w:kern w:val="0"/>
          <w:sz w:val="24"/>
          <w:szCs w:val="24"/>
          <w:highlight w:val="none"/>
        </w:rPr>
      </w:pPr>
      <w:bookmarkStart w:id="143" w:name="_Toc31479"/>
      <w:bookmarkStart w:id="144" w:name="_Toc37090996"/>
      <w:bookmarkStart w:id="145" w:name="_Toc37090660"/>
      <w:bookmarkStart w:id="146" w:name="_Toc37090659"/>
      <w:bookmarkStart w:id="147" w:name="_Toc37090995"/>
      <w:r>
        <w:rPr>
          <w:rFonts w:hint="eastAsia" w:ascii="宋体" w:hAnsi="宋体" w:eastAsia="宋体" w:cs="宋体"/>
          <w:b/>
          <w:bCs/>
          <w:color w:val="auto"/>
          <w:kern w:val="0"/>
          <w:sz w:val="24"/>
          <w:szCs w:val="24"/>
          <w:highlight w:val="none"/>
        </w:rPr>
        <w:t>4. 评审过程的保密</w:t>
      </w:r>
      <w:bookmarkEnd w:id="143"/>
      <w:bookmarkEnd w:id="144"/>
      <w:bookmarkEnd w:id="145"/>
    </w:p>
    <w:p w14:paraId="2A265A11">
      <w:pPr>
        <w:shd w:val="clear" w:color="auto"/>
        <w:spacing w:line="440" w:lineRule="exact"/>
        <w:ind w:firstLine="484" w:firstLineChars="202"/>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 凡属于对响应文件的审查、澄清、评价和比较有关的资料、成交候选人的推荐情况以及与评审有关的其他任何情况，磋商小组成员和与评审活动有关的工作人员不得对任何单位和个人透露。</w:t>
      </w:r>
    </w:p>
    <w:p w14:paraId="4EF1ADD3">
      <w:pPr>
        <w:shd w:val="clear" w:color="auto"/>
        <w:spacing w:line="440" w:lineRule="exact"/>
        <w:ind w:firstLine="484" w:firstLineChars="202"/>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 在响应文件的评审和比较、成交候选人推荐以及授予合同的过程中，供应商向采购人或者磋商小组施加影响的任何行为，都将会导致其响应文件被拒绝。</w:t>
      </w:r>
    </w:p>
    <w:p w14:paraId="4E68B54A">
      <w:pPr>
        <w:shd w:val="clear" w:color="auto"/>
        <w:spacing w:line="440" w:lineRule="exact"/>
        <w:ind w:firstLine="484" w:firstLineChars="202"/>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 成交供应商确定后，采购人不对未成交供应商就评审过程以及未能成交原因</w:t>
      </w:r>
      <w:r>
        <w:rPr>
          <w:rFonts w:hint="eastAsia" w:ascii="宋体" w:hAnsi="宋体" w:eastAsia="宋体" w:cs="宋体"/>
          <w:color w:val="auto"/>
          <w:kern w:val="0"/>
          <w:sz w:val="24"/>
          <w:szCs w:val="24"/>
          <w:highlight w:val="none"/>
          <w:lang w:eastAsia="zh-CN"/>
        </w:rPr>
        <w:t>作出</w:t>
      </w:r>
      <w:r>
        <w:rPr>
          <w:rFonts w:hint="eastAsia" w:ascii="宋体" w:hAnsi="宋体" w:eastAsia="宋体" w:cs="宋体"/>
          <w:color w:val="auto"/>
          <w:kern w:val="0"/>
          <w:sz w:val="24"/>
          <w:szCs w:val="24"/>
          <w:highlight w:val="none"/>
        </w:rPr>
        <w:t>任何解释。未成交供应商不得向磋商小组组成人员或者其他有关人员</w:t>
      </w:r>
      <w:r>
        <w:rPr>
          <w:rFonts w:hint="eastAsia" w:ascii="宋体" w:hAnsi="宋体" w:eastAsia="宋体" w:cs="宋体"/>
          <w:color w:val="auto"/>
          <w:kern w:val="0"/>
          <w:sz w:val="24"/>
          <w:szCs w:val="24"/>
          <w:highlight w:val="none"/>
          <w:lang w:eastAsia="zh-CN"/>
        </w:rPr>
        <w:t>询问</w:t>
      </w:r>
      <w:r>
        <w:rPr>
          <w:rFonts w:hint="eastAsia" w:ascii="宋体" w:hAnsi="宋体" w:eastAsia="宋体" w:cs="宋体"/>
          <w:color w:val="auto"/>
          <w:kern w:val="0"/>
          <w:sz w:val="24"/>
          <w:szCs w:val="24"/>
          <w:highlight w:val="none"/>
        </w:rPr>
        <w:t>评审过程的情况和材料。</w:t>
      </w:r>
    </w:p>
    <w:p w14:paraId="1DD09966">
      <w:pPr>
        <w:shd w:val="clear" w:color="auto"/>
        <w:spacing w:line="440" w:lineRule="exact"/>
        <w:ind w:firstLine="482" w:firstLineChars="200"/>
        <w:rPr>
          <w:rFonts w:ascii="宋体" w:hAnsi="宋体" w:eastAsia="宋体" w:cs="宋体"/>
          <w:b/>
          <w:bCs/>
          <w:color w:val="auto"/>
          <w:kern w:val="0"/>
          <w:sz w:val="24"/>
          <w:szCs w:val="24"/>
          <w:highlight w:val="none"/>
        </w:rPr>
      </w:pPr>
      <w:bookmarkStart w:id="148" w:name="_Toc24415"/>
      <w:r>
        <w:rPr>
          <w:rFonts w:hint="eastAsia" w:ascii="宋体" w:hAnsi="宋体" w:eastAsia="宋体" w:cs="宋体"/>
          <w:b/>
          <w:bCs/>
          <w:color w:val="auto"/>
          <w:kern w:val="0"/>
          <w:sz w:val="24"/>
          <w:szCs w:val="24"/>
          <w:highlight w:val="none"/>
        </w:rPr>
        <w:t>4. 定标原则</w:t>
      </w:r>
      <w:bookmarkEnd w:id="146"/>
      <w:bookmarkEnd w:id="147"/>
      <w:bookmarkEnd w:id="148"/>
    </w:p>
    <w:p w14:paraId="1B46DAC6">
      <w:pPr>
        <w:shd w:val="clear" w:color="auto"/>
        <w:spacing w:line="440" w:lineRule="exact"/>
        <w:ind w:firstLine="484" w:firstLineChars="202"/>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4.1磋商小组依据供应商须知前附表规定的评审方法和标准，按照得分由高到低的顺序进行排序，最终将前三名作为成交候选人推荐给采购人。</w:t>
      </w:r>
    </w:p>
    <w:p w14:paraId="34070852">
      <w:pPr>
        <w:shd w:val="clear" w:color="auto"/>
        <w:spacing w:line="440" w:lineRule="exact"/>
        <w:ind w:firstLine="484" w:firstLineChars="202"/>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 采购代理机构应当在评审结束后2个工作日内将评审报告送采购人。采购人应当自收到评审报告之日起５个工作日内，在评审报告确定的成交候选人名单中按顺序确定成交供应商。</w:t>
      </w:r>
    </w:p>
    <w:p w14:paraId="5C25DAB1">
      <w:pPr>
        <w:pStyle w:val="24"/>
        <w:snapToGrid w:val="0"/>
        <w:spacing w:after="0" w:line="440" w:lineRule="exact"/>
        <w:ind w:firstLine="482"/>
        <w:rPr>
          <w:rFonts w:ascii="宋体" w:hAnsi="宋体" w:eastAsia="宋体" w:cs="宋体"/>
          <w:color w:val="auto"/>
          <w:highlight w:val="none"/>
        </w:rPr>
      </w:pPr>
      <w:r>
        <w:rPr>
          <w:rFonts w:hint="eastAsia" w:ascii="宋体" w:hAnsi="宋体" w:eastAsia="宋体" w:cs="宋体"/>
          <w:b/>
          <w:bCs/>
          <w:color w:val="auto"/>
          <w:sz w:val="24"/>
          <w:szCs w:val="24"/>
          <w:highlight w:val="none"/>
        </w:rPr>
        <w:t>4.3 成交供应商拒绝与采购人签订合同的，采购人可以按照评审报告推荐的成交供应商名单排序，确定下一候选人为成交供应商，也可以重新开展政府采购活动。</w:t>
      </w:r>
    </w:p>
    <w:p w14:paraId="277A37AD">
      <w:pPr>
        <w:pStyle w:val="24"/>
        <w:snapToGrid w:val="0"/>
        <w:spacing w:after="0" w:line="440" w:lineRule="exact"/>
        <w:ind w:firstLine="482"/>
        <w:rPr>
          <w:rFonts w:ascii="宋体" w:hAnsi="宋体" w:eastAsia="宋体" w:cs="宋体"/>
          <w:color w:val="auto"/>
          <w:highlight w:val="none"/>
        </w:rPr>
      </w:pPr>
      <w:r>
        <w:rPr>
          <w:rFonts w:hint="eastAsia" w:ascii="宋体" w:hAnsi="宋体" w:eastAsia="宋体" w:cs="宋体"/>
          <w:b/>
          <w:bCs/>
          <w:color w:val="auto"/>
          <w:sz w:val="24"/>
          <w:szCs w:val="24"/>
          <w:highlight w:val="none"/>
        </w:rPr>
        <w:t>4.4出现下列情形之一的，本项目予以废标，重新开展采购活动。</w:t>
      </w:r>
    </w:p>
    <w:p w14:paraId="647544A9">
      <w:pPr>
        <w:pStyle w:val="24"/>
        <w:snapToGrid w:val="0"/>
        <w:spacing w:after="0" w:line="440" w:lineRule="exact"/>
        <w:ind w:firstLine="482"/>
        <w:rPr>
          <w:rFonts w:ascii="宋体" w:hAnsi="宋体" w:eastAsia="宋体" w:cs="宋体"/>
          <w:color w:val="auto"/>
          <w:highlight w:val="none"/>
        </w:rPr>
      </w:pPr>
      <w:r>
        <w:rPr>
          <w:rFonts w:hint="eastAsia" w:ascii="宋体" w:hAnsi="宋体" w:eastAsia="宋体" w:cs="宋体"/>
          <w:b/>
          <w:bCs/>
          <w:color w:val="auto"/>
          <w:sz w:val="24"/>
          <w:szCs w:val="24"/>
          <w:highlight w:val="none"/>
        </w:rPr>
        <w:t>4.4.1 符合专业条件的供应商或者对</w:t>
      </w:r>
      <w:r>
        <w:rPr>
          <w:rFonts w:hint="eastAsia" w:ascii="宋体" w:hAnsi="宋体" w:eastAsia="宋体" w:cs="宋体"/>
          <w:b/>
          <w:bCs/>
          <w:color w:val="auto"/>
          <w:sz w:val="24"/>
          <w:szCs w:val="24"/>
          <w:highlight w:val="none"/>
          <w:lang w:eastAsia="zh-CN"/>
        </w:rPr>
        <w:t>磋商文件做</w:t>
      </w:r>
      <w:r>
        <w:rPr>
          <w:rFonts w:hint="eastAsia" w:ascii="宋体" w:hAnsi="宋体" w:eastAsia="宋体" w:cs="宋体"/>
          <w:b/>
          <w:bCs/>
          <w:color w:val="auto"/>
          <w:sz w:val="24"/>
          <w:szCs w:val="24"/>
          <w:highlight w:val="none"/>
        </w:rPr>
        <w:t>实质响应的供应商不足三家的；</w:t>
      </w:r>
    </w:p>
    <w:p w14:paraId="79533178">
      <w:pPr>
        <w:pStyle w:val="24"/>
        <w:snapToGrid w:val="0"/>
        <w:spacing w:after="0" w:line="440" w:lineRule="exact"/>
        <w:ind w:firstLine="482"/>
        <w:rPr>
          <w:rFonts w:ascii="宋体" w:hAnsi="宋体" w:eastAsia="宋体" w:cs="宋体"/>
          <w:color w:val="auto"/>
          <w:highlight w:val="none"/>
        </w:rPr>
      </w:pPr>
      <w:r>
        <w:rPr>
          <w:rFonts w:hint="eastAsia" w:ascii="宋体" w:hAnsi="宋体" w:eastAsia="宋体" w:cs="宋体"/>
          <w:b/>
          <w:bCs/>
          <w:color w:val="auto"/>
          <w:sz w:val="24"/>
          <w:szCs w:val="24"/>
          <w:highlight w:val="none"/>
        </w:rPr>
        <w:t>4.4.2 出现影响采购公正的违法、违规行为的；</w:t>
      </w:r>
    </w:p>
    <w:p w14:paraId="6F12C1D5">
      <w:pPr>
        <w:pStyle w:val="24"/>
        <w:snapToGrid w:val="0"/>
        <w:spacing w:after="0" w:line="440" w:lineRule="exact"/>
        <w:ind w:firstLine="482"/>
        <w:rPr>
          <w:rFonts w:ascii="宋体" w:hAnsi="宋体" w:eastAsia="宋体" w:cs="宋体"/>
          <w:color w:val="auto"/>
          <w:highlight w:val="none"/>
        </w:rPr>
      </w:pPr>
      <w:r>
        <w:rPr>
          <w:rFonts w:hint="eastAsia" w:ascii="宋体" w:hAnsi="宋体" w:eastAsia="宋体" w:cs="宋体"/>
          <w:b/>
          <w:bCs/>
          <w:color w:val="auto"/>
          <w:sz w:val="24"/>
          <w:szCs w:val="24"/>
          <w:highlight w:val="none"/>
        </w:rPr>
        <w:t>4.4.3 因重大变故，采购任务取消的。</w:t>
      </w:r>
    </w:p>
    <w:p w14:paraId="197E607A">
      <w:pPr>
        <w:pStyle w:val="42"/>
        <w:jc w:val="center"/>
        <w:outlineLvl w:val="0"/>
        <w:rPr>
          <w:rFonts w:ascii="宋体" w:hAnsi="宋体" w:eastAsia="宋体" w:cs="宋体"/>
          <w:color w:val="auto"/>
          <w:spacing w:val="6"/>
          <w:sz w:val="32"/>
          <w:szCs w:val="32"/>
          <w:highlight w:val="none"/>
        </w:rPr>
      </w:pPr>
      <w:r>
        <w:rPr>
          <w:rFonts w:hint="eastAsia" w:ascii="宋体" w:hAnsi="宋体" w:eastAsia="宋体" w:cs="宋体"/>
          <w:color w:val="auto"/>
          <w:spacing w:val="6"/>
          <w:sz w:val="32"/>
          <w:szCs w:val="32"/>
          <w:highlight w:val="none"/>
        </w:rPr>
        <w:br w:type="page"/>
      </w:r>
      <w:bookmarkStart w:id="149" w:name="_Toc10434"/>
      <w:r>
        <w:rPr>
          <w:rFonts w:hint="eastAsia" w:ascii="宋体" w:hAnsi="宋体" w:eastAsia="宋体" w:cs="宋体"/>
          <w:color w:val="auto"/>
          <w:spacing w:val="6"/>
          <w:sz w:val="32"/>
          <w:szCs w:val="32"/>
          <w:highlight w:val="none"/>
        </w:rPr>
        <w:t>第六章 响应文件格式</w:t>
      </w:r>
      <w:bookmarkEnd w:id="149"/>
    </w:p>
    <w:p w14:paraId="27EB674C">
      <w:pPr>
        <w:rPr>
          <w:rFonts w:ascii="宋体" w:hAnsi="宋体" w:eastAsia="宋体" w:cs="宋体"/>
          <w:color w:val="auto"/>
          <w:spacing w:val="6"/>
          <w:sz w:val="32"/>
          <w:szCs w:val="32"/>
          <w:highlight w:val="none"/>
        </w:rPr>
      </w:pPr>
    </w:p>
    <w:p w14:paraId="236E2E6F">
      <w:pPr>
        <w:pStyle w:val="32"/>
        <w:rPr>
          <w:rFonts w:ascii="宋体" w:hAnsi="宋体" w:eastAsia="宋体" w:cs="宋体"/>
          <w:color w:val="auto"/>
          <w:spacing w:val="6"/>
          <w:sz w:val="32"/>
          <w:szCs w:val="32"/>
          <w:highlight w:val="none"/>
        </w:rPr>
      </w:pPr>
    </w:p>
    <w:p w14:paraId="5C65CE33">
      <w:pPr>
        <w:pStyle w:val="32"/>
        <w:rPr>
          <w:rFonts w:ascii="宋体" w:hAnsi="宋体" w:eastAsia="宋体" w:cs="宋体"/>
          <w:color w:val="auto"/>
          <w:spacing w:val="6"/>
          <w:sz w:val="32"/>
          <w:szCs w:val="32"/>
          <w:highlight w:val="none"/>
        </w:rPr>
      </w:pPr>
    </w:p>
    <w:p w14:paraId="5FE7A5F5">
      <w:pPr>
        <w:pStyle w:val="32"/>
        <w:rPr>
          <w:rFonts w:ascii="宋体" w:hAnsi="宋体" w:eastAsia="宋体" w:cs="宋体"/>
          <w:color w:val="auto"/>
          <w:spacing w:val="6"/>
          <w:sz w:val="32"/>
          <w:szCs w:val="32"/>
          <w:highlight w:val="none"/>
        </w:rPr>
      </w:pPr>
    </w:p>
    <w:p w14:paraId="72843CB6">
      <w:pPr>
        <w:pStyle w:val="32"/>
        <w:rPr>
          <w:rFonts w:ascii="宋体" w:hAnsi="宋体" w:eastAsia="宋体" w:cs="宋体"/>
          <w:color w:val="auto"/>
          <w:spacing w:val="6"/>
          <w:sz w:val="32"/>
          <w:szCs w:val="32"/>
          <w:highlight w:val="none"/>
        </w:rPr>
      </w:pPr>
    </w:p>
    <w:p w14:paraId="330B25A5">
      <w:pPr>
        <w:rPr>
          <w:color w:val="auto"/>
          <w:highlight w:val="none"/>
        </w:rPr>
      </w:pPr>
    </w:p>
    <w:p w14:paraId="0311BAC7">
      <w:pPr>
        <w:tabs>
          <w:tab w:val="left" w:pos="8280"/>
        </w:tabs>
        <w:spacing w:line="360" w:lineRule="auto"/>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3F029BB2">
      <w:pPr>
        <w:tabs>
          <w:tab w:val="left" w:pos="8280"/>
        </w:tabs>
        <w:spacing w:line="360" w:lineRule="auto"/>
        <w:outlineLvl w:val="0"/>
        <w:rPr>
          <w:rFonts w:ascii="宋体" w:hAnsi="宋体" w:eastAsia="宋体" w:cs="宋体"/>
          <w:b/>
          <w:bCs/>
          <w:color w:val="auto"/>
          <w:sz w:val="28"/>
          <w:szCs w:val="28"/>
          <w:highlight w:val="none"/>
        </w:rPr>
      </w:pPr>
      <w:bookmarkStart w:id="150" w:name="_Toc8140"/>
      <w:bookmarkStart w:id="151" w:name="_Toc23734"/>
      <w:r>
        <w:rPr>
          <w:rFonts w:hint="eastAsia" w:ascii="宋体" w:hAnsi="宋体" w:eastAsia="宋体" w:cs="宋体"/>
          <w:b/>
          <w:bCs/>
          <w:color w:val="auto"/>
          <w:sz w:val="28"/>
          <w:szCs w:val="28"/>
          <w:highlight w:val="none"/>
        </w:rPr>
        <w:t>封    面：</w:t>
      </w:r>
      <w:bookmarkEnd w:id="150"/>
      <w:bookmarkEnd w:id="151"/>
    </w:p>
    <w:p w14:paraId="1F261B28">
      <w:pPr>
        <w:tabs>
          <w:tab w:val="left" w:pos="8280"/>
        </w:tabs>
        <w:spacing w:line="360" w:lineRule="auto"/>
        <w:rPr>
          <w:rFonts w:ascii="宋体" w:hAnsi="宋体" w:eastAsia="宋体" w:cs="宋体"/>
          <w:b/>
          <w:bCs/>
          <w:color w:val="auto"/>
          <w:sz w:val="28"/>
          <w:szCs w:val="28"/>
          <w:highlight w:val="none"/>
        </w:rPr>
      </w:pPr>
      <w:r>
        <w:rPr>
          <w:color w:val="auto"/>
          <w:sz w:val="28"/>
          <w:highlight w:val="none"/>
        </w:rPr>
        <mc:AlternateContent>
          <mc:Choice Requires="wps">
            <w:drawing>
              <wp:anchor distT="0" distB="0" distL="114300" distR="114300" simplePos="0" relativeHeight="251659264" behindDoc="0" locked="0" layoutInCell="1" allowOverlap="1">
                <wp:simplePos x="0" y="0"/>
                <wp:positionH relativeFrom="column">
                  <wp:posOffset>4379595</wp:posOffset>
                </wp:positionH>
                <wp:positionV relativeFrom="paragraph">
                  <wp:posOffset>55245</wp:posOffset>
                </wp:positionV>
                <wp:extent cx="917575" cy="338455"/>
                <wp:effectExtent l="4445" t="4445" r="11430" b="19050"/>
                <wp:wrapNone/>
                <wp:docPr id="1066926452" name="Rectangle 6"/>
                <wp:cNvGraphicFramePr/>
                <a:graphic xmlns:a="http://schemas.openxmlformats.org/drawingml/2006/main">
                  <a:graphicData uri="http://schemas.microsoft.com/office/word/2010/wordprocessingShape">
                    <wps:wsp>
                      <wps:cNvSpPr>
                        <a:spLocks noChangeArrowheads="1"/>
                      </wps:cNvSpPr>
                      <wps:spPr bwMode="auto">
                        <a:xfrm>
                          <a:off x="0" y="0"/>
                          <a:ext cx="917575" cy="338455"/>
                        </a:xfrm>
                        <a:prstGeom prst="rect">
                          <a:avLst/>
                        </a:prstGeom>
                        <a:solidFill>
                          <a:srgbClr val="FFFFFF"/>
                        </a:solidFill>
                        <a:ln w="9525">
                          <a:solidFill>
                            <a:srgbClr val="000000"/>
                          </a:solidFill>
                          <a:miter lim="800000"/>
                        </a:ln>
                        <a:effectLst/>
                      </wps:spPr>
                      <wps:txbx>
                        <w:txbxContent>
                          <w:p w14:paraId="362EBC8E">
                            <w:pPr>
                              <w:jc w:val="right"/>
                              <w:rPr>
                                <w:b/>
                                <w:bCs/>
                                <w:sz w:val="24"/>
                                <w:szCs w:val="24"/>
                              </w:rPr>
                            </w:pPr>
                            <w:r>
                              <w:rPr>
                                <w:rFonts w:hint="eastAsia"/>
                                <w:b/>
                                <w:bCs/>
                                <w:sz w:val="24"/>
                                <w:szCs w:val="24"/>
                              </w:rPr>
                              <w:t>正本/副本</w:t>
                            </w:r>
                          </w:p>
                        </w:txbxContent>
                      </wps:txbx>
                      <wps:bodyPr rot="0" vert="horz" wrap="square" lIns="91440" tIns="45720" rIns="91440" bIns="45720" anchor="t" anchorCtr="0" upright="1">
                        <a:noAutofit/>
                      </wps:bodyPr>
                    </wps:wsp>
                  </a:graphicData>
                </a:graphic>
              </wp:anchor>
            </w:drawing>
          </mc:Choice>
          <mc:Fallback>
            <w:pict>
              <v:rect id="Rectangle 6" o:spid="_x0000_s1026" o:spt="1" style="position:absolute;left:0pt;margin-left:344.85pt;margin-top:4.35pt;height:26.65pt;width:72.25pt;z-index:251659264;mso-width-relative:page;mso-height-relative:page;" fillcolor="#FFFFFF" filled="t" stroked="t" coordsize="21600,21600" o:gfxdata="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nqdQm1wAAAAgBAAAPAAAAAAAAAAEAIAAAACIAAABkcnMvZG93&#10;bnJldi54bWxQSwECFAAUAAAACACHTuJASJ40LDoCAACTBAAADgAAAAAAAAABACAAAAAmAQAAZHJz&#10;L2Uyb0RvYy54bWxQSwUGAAAAAAYABgBZAQAA0gUAAAAA&#10;">
                <v:fill on="t" focussize="0,0"/>
                <v:stroke color="#000000" miterlimit="8" joinstyle="miter"/>
                <v:imagedata o:title=""/>
                <o:lock v:ext="edit" aspectratio="f"/>
                <v:textbox>
                  <w:txbxContent>
                    <w:p w14:paraId="362EBC8E">
                      <w:pPr>
                        <w:jc w:val="right"/>
                        <w:rPr>
                          <w:b/>
                          <w:bCs/>
                          <w:sz w:val="24"/>
                          <w:szCs w:val="24"/>
                        </w:rPr>
                      </w:pPr>
                      <w:r>
                        <w:rPr>
                          <w:rFonts w:hint="eastAsia"/>
                          <w:b/>
                          <w:bCs/>
                          <w:sz w:val="24"/>
                          <w:szCs w:val="24"/>
                        </w:rPr>
                        <w:t>正本/副本</w:t>
                      </w:r>
                    </w:p>
                  </w:txbxContent>
                </v:textbox>
              </v:rect>
            </w:pict>
          </mc:Fallback>
        </mc:AlternateContent>
      </w:r>
    </w:p>
    <w:p w14:paraId="378ABEBF">
      <w:pPr>
        <w:tabs>
          <w:tab w:val="left" w:pos="450"/>
          <w:tab w:val="left" w:pos="8280"/>
        </w:tabs>
        <w:spacing w:line="720" w:lineRule="exact"/>
        <w:ind w:firstLine="1446" w:firstLineChars="400"/>
        <w:jc w:val="left"/>
        <w:rPr>
          <w:rFonts w:ascii="宋体" w:hAnsi="宋体" w:eastAsia="宋体" w:cs="宋体"/>
          <w:b/>
          <w:bCs/>
          <w:color w:val="auto"/>
          <w:sz w:val="36"/>
          <w:szCs w:val="36"/>
          <w:highlight w:val="none"/>
          <w:u w:val="single"/>
        </w:rPr>
      </w:pPr>
    </w:p>
    <w:p w14:paraId="15C2B579">
      <w:pPr>
        <w:pStyle w:val="2"/>
        <w:rPr>
          <w:rFonts w:ascii="宋体" w:hAnsi="宋体" w:eastAsia="宋体" w:cs="宋体"/>
          <w:b/>
          <w:bCs/>
          <w:color w:val="auto"/>
          <w:sz w:val="36"/>
          <w:szCs w:val="36"/>
          <w:highlight w:val="none"/>
          <w:u w:val="single"/>
        </w:rPr>
      </w:pPr>
    </w:p>
    <w:p w14:paraId="7D5962C0">
      <w:pPr>
        <w:rPr>
          <w:rFonts w:ascii="宋体" w:hAnsi="宋体" w:eastAsia="宋体" w:cs="宋体"/>
          <w:b/>
          <w:bCs/>
          <w:color w:val="auto"/>
          <w:sz w:val="36"/>
          <w:szCs w:val="36"/>
          <w:highlight w:val="none"/>
          <w:u w:val="single"/>
        </w:rPr>
      </w:pPr>
    </w:p>
    <w:p w14:paraId="3C34E94A">
      <w:pPr>
        <w:tabs>
          <w:tab w:val="left" w:pos="450"/>
          <w:tab w:val="left" w:pos="8280"/>
        </w:tabs>
        <w:spacing w:line="720" w:lineRule="exact"/>
        <w:ind w:firstLine="1446" w:firstLineChars="400"/>
        <w:jc w:val="left"/>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u w:val="single"/>
        </w:rPr>
        <w:t xml:space="preserve">                              </w:t>
      </w:r>
      <w:r>
        <w:rPr>
          <w:rFonts w:hint="eastAsia" w:ascii="宋体" w:hAnsi="宋体" w:eastAsia="宋体" w:cs="宋体"/>
          <w:b/>
          <w:bCs/>
          <w:color w:val="auto"/>
          <w:sz w:val="36"/>
          <w:szCs w:val="36"/>
          <w:highlight w:val="none"/>
        </w:rPr>
        <w:t>项目</w:t>
      </w:r>
    </w:p>
    <w:p w14:paraId="40C9022E">
      <w:pPr>
        <w:tabs>
          <w:tab w:val="left" w:pos="450"/>
          <w:tab w:val="left" w:pos="8280"/>
        </w:tabs>
        <w:spacing w:line="720" w:lineRule="exact"/>
        <w:rPr>
          <w:rFonts w:ascii="宋体" w:hAnsi="宋体" w:eastAsia="宋体" w:cs="宋体"/>
          <w:b/>
          <w:bCs/>
          <w:color w:val="auto"/>
          <w:sz w:val="36"/>
          <w:szCs w:val="36"/>
          <w:highlight w:val="none"/>
          <w:u w:val="single"/>
        </w:rPr>
      </w:pPr>
    </w:p>
    <w:p w14:paraId="05402E8C">
      <w:pPr>
        <w:tabs>
          <w:tab w:val="left" w:pos="8280"/>
        </w:tabs>
        <w:spacing w:line="720" w:lineRule="exac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响应文件</w:t>
      </w:r>
    </w:p>
    <w:p w14:paraId="4C692241">
      <w:pPr>
        <w:tabs>
          <w:tab w:val="left" w:pos="275"/>
          <w:tab w:val="left" w:pos="8280"/>
        </w:tabs>
        <w:spacing w:line="36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ab/>
      </w:r>
    </w:p>
    <w:p w14:paraId="66F53639">
      <w:pPr>
        <w:tabs>
          <w:tab w:val="left" w:pos="275"/>
          <w:tab w:val="left" w:pos="8280"/>
        </w:tabs>
        <w:spacing w:line="360" w:lineRule="auto"/>
        <w:rPr>
          <w:rFonts w:ascii="宋体" w:hAnsi="宋体" w:eastAsia="宋体" w:cs="宋体"/>
          <w:b/>
          <w:bCs/>
          <w:color w:val="auto"/>
          <w:sz w:val="28"/>
          <w:szCs w:val="28"/>
          <w:highlight w:val="none"/>
        </w:rPr>
      </w:pPr>
    </w:p>
    <w:p w14:paraId="6B3FB5D6">
      <w:pPr>
        <w:tabs>
          <w:tab w:val="left" w:pos="275"/>
          <w:tab w:val="left" w:pos="8280"/>
        </w:tabs>
        <w:spacing w:line="360" w:lineRule="auto"/>
        <w:rPr>
          <w:rFonts w:ascii="宋体" w:hAnsi="宋体" w:eastAsia="宋体" w:cs="宋体"/>
          <w:b/>
          <w:bCs/>
          <w:color w:val="auto"/>
          <w:sz w:val="28"/>
          <w:szCs w:val="28"/>
          <w:highlight w:val="none"/>
        </w:rPr>
      </w:pPr>
    </w:p>
    <w:p w14:paraId="5B27AE79">
      <w:pPr>
        <w:tabs>
          <w:tab w:val="left" w:pos="275"/>
          <w:tab w:val="left" w:pos="8280"/>
        </w:tabs>
        <w:spacing w:line="360" w:lineRule="auto"/>
        <w:rPr>
          <w:rFonts w:ascii="宋体" w:hAnsi="宋体" w:eastAsia="宋体" w:cs="宋体"/>
          <w:b/>
          <w:bCs/>
          <w:color w:val="auto"/>
          <w:sz w:val="28"/>
          <w:szCs w:val="28"/>
          <w:highlight w:val="none"/>
        </w:rPr>
      </w:pPr>
    </w:p>
    <w:p w14:paraId="5114EBED">
      <w:pPr>
        <w:tabs>
          <w:tab w:val="left" w:pos="275"/>
          <w:tab w:val="left" w:pos="8280"/>
        </w:tabs>
        <w:spacing w:line="360" w:lineRule="auto"/>
        <w:outlineLvl w:val="0"/>
        <w:rPr>
          <w:rFonts w:ascii="宋体" w:hAnsi="宋体" w:eastAsia="宋体" w:cs="宋体"/>
          <w:b/>
          <w:bCs/>
          <w:color w:val="auto"/>
          <w:sz w:val="28"/>
          <w:szCs w:val="28"/>
          <w:highlight w:val="none"/>
          <w:u w:val="single"/>
        </w:rPr>
      </w:pPr>
      <w:bookmarkStart w:id="152" w:name="_Toc10502"/>
      <w:bookmarkStart w:id="153" w:name="_Toc1518"/>
      <w:r>
        <w:rPr>
          <w:rFonts w:hint="eastAsia" w:ascii="宋体" w:hAnsi="宋体" w:eastAsia="宋体" w:cs="宋体"/>
          <w:b/>
          <w:bCs/>
          <w:color w:val="auto"/>
          <w:sz w:val="28"/>
          <w:szCs w:val="28"/>
          <w:highlight w:val="none"/>
        </w:rPr>
        <w:t>项目编号：</w:t>
      </w:r>
      <w:bookmarkEnd w:id="152"/>
      <w:bookmarkEnd w:id="153"/>
      <w:r>
        <w:rPr>
          <w:rFonts w:hint="eastAsia" w:ascii="宋体" w:hAnsi="宋体" w:eastAsia="宋体" w:cs="宋体"/>
          <w:b/>
          <w:bCs/>
          <w:color w:val="auto"/>
          <w:sz w:val="28"/>
          <w:szCs w:val="28"/>
          <w:highlight w:val="none"/>
          <w:u w:val="single"/>
        </w:rPr>
        <w:t xml:space="preserve">                                               </w:t>
      </w:r>
    </w:p>
    <w:p w14:paraId="358C1096">
      <w:pPr>
        <w:tabs>
          <w:tab w:val="left" w:pos="765"/>
          <w:tab w:val="left" w:pos="8280"/>
        </w:tabs>
        <w:spacing w:line="360" w:lineRule="auto"/>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ab/>
      </w:r>
    </w:p>
    <w:p w14:paraId="100D8DE3">
      <w:pPr>
        <w:tabs>
          <w:tab w:val="left" w:pos="765"/>
          <w:tab w:val="left" w:pos="8280"/>
        </w:tabs>
        <w:spacing w:line="360" w:lineRule="auto"/>
        <w:outlineLvl w:val="0"/>
        <w:rPr>
          <w:rFonts w:ascii="宋体" w:hAnsi="宋体" w:eastAsia="宋体" w:cs="宋体"/>
          <w:b/>
          <w:bCs/>
          <w:color w:val="auto"/>
          <w:sz w:val="28"/>
          <w:szCs w:val="28"/>
          <w:highlight w:val="none"/>
        </w:rPr>
      </w:pPr>
      <w:bookmarkStart w:id="154" w:name="_Toc7486"/>
      <w:bookmarkStart w:id="155" w:name="_Toc20930"/>
      <w:r>
        <w:rPr>
          <w:rFonts w:hint="eastAsia" w:ascii="宋体" w:hAnsi="宋体" w:eastAsia="宋体" w:cs="宋体"/>
          <w:b/>
          <w:bCs/>
          <w:color w:val="auto"/>
          <w:sz w:val="28"/>
          <w:szCs w:val="28"/>
          <w:highlight w:val="none"/>
        </w:rPr>
        <w:t>响应文件递交人（</w:t>
      </w:r>
      <w:r>
        <w:rPr>
          <w:rFonts w:hint="eastAsia" w:ascii="宋体" w:hAnsi="宋体" w:eastAsia="宋体" w:cs="宋体"/>
          <w:b/>
          <w:bCs/>
          <w:color w:val="auto"/>
          <w:sz w:val="28"/>
          <w:szCs w:val="28"/>
          <w:highlight w:val="none"/>
          <w:lang w:val="en-US" w:eastAsia="zh-CN"/>
        </w:rPr>
        <w:t>电子</w:t>
      </w:r>
      <w:r>
        <w:rPr>
          <w:rFonts w:hint="eastAsia" w:ascii="宋体" w:hAnsi="宋体" w:eastAsia="宋体" w:cs="宋体"/>
          <w:b/>
          <w:bCs/>
          <w:color w:val="auto"/>
          <w:sz w:val="28"/>
          <w:szCs w:val="28"/>
          <w:highlight w:val="none"/>
        </w:rPr>
        <w:t>公章）：</w:t>
      </w:r>
      <w:bookmarkEnd w:id="154"/>
      <w:bookmarkEnd w:id="155"/>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 xml:space="preserve">     </w:t>
      </w:r>
    </w:p>
    <w:p w14:paraId="45DFD6A9">
      <w:pPr>
        <w:tabs>
          <w:tab w:val="left" w:pos="8280"/>
        </w:tabs>
        <w:spacing w:line="360" w:lineRule="auto"/>
        <w:jc w:val="center"/>
        <w:rPr>
          <w:rFonts w:ascii="宋体" w:hAnsi="宋体" w:eastAsia="宋体" w:cs="宋体"/>
          <w:b/>
          <w:bCs/>
          <w:color w:val="auto"/>
          <w:sz w:val="28"/>
          <w:szCs w:val="28"/>
          <w:highlight w:val="none"/>
        </w:rPr>
      </w:pPr>
    </w:p>
    <w:p w14:paraId="43832CBF">
      <w:pPr>
        <w:tabs>
          <w:tab w:val="left" w:pos="350"/>
          <w:tab w:val="left" w:pos="8280"/>
        </w:tabs>
        <w:spacing w:line="360" w:lineRule="auto"/>
        <w:outlineLvl w:val="0"/>
        <w:rPr>
          <w:rFonts w:ascii="宋体" w:hAnsi="宋体" w:eastAsia="宋体" w:cs="宋体"/>
          <w:b/>
          <w:bCs/>
          <w:color w:val="auto"/>
          <w:sz w:val="28"/>
          <w:szCs w:val="28"/>
          <w:highlight w:val="none"/>
        </w:rPr>
      </w:pPr>
      <w:bookmarkStart w:id="156" w:name="_Toc6206"/>
      <w:bookmarkStart w:id="157" w:name="_Toc14294"/>
      <w:r>
        <w:rPr>
          <w:rFonts w:hint="eastAsia" w:ascii="宋体" w:hAnsi="宋体" w:eastAsia="宋体" w:cs="宋体"/>
          <w:b/>
          <w:bCs/>
          <w:color w:val="auto"/>
          <w:sz w:val="28"/>
          <w:szCs w:val="28"/>
          <w:highlight w:val="none"/>
        </w:rPr>
        <w:t>供应商法定代表人</w:t>
      </w:r>
      <w:bookmarkEnd w:id="156"/>
      <w:r>
        <w:rPr>
          <w:rFonts w:hint="eastAsia" w:ascii="宋体" w:hAnsi="宋体" w:eastAsia="宋体" w:cs="宋体"/>
          <w:b/>
          <w:bCs/>
          <w:color w:val="auto"/>
          <w:sz w:val="28"/>
          <w:szCs w:val="28"/>
          <w:highlight w:val="none"/>
        </w:rPr>
        <w:t>或负责人</w:t>
      </w:r>
      <w:bookmarkEnd w:id="157"/>
    </w:p>
    <w:p w14:paraId="107E41C1">
      <w:pPr>
        <w:tabs>
          <w:tab w:val="left" w:pos="840"/>
          <w:tab w:val="left" w:pos="8280"/>
        </w:tabs>
        <w:spacing w:line="360" w:lineRule="auto"/>
        <w:outlineLvl w:val="0"/>
        <w:rPr>
          <w:rFonts w:ascii="宋体" w:hAnsi="宋体" w:eastAsia="宋体" w:cs="宋体"/>
          <w:b/>
          <w:bCs/>
          <w:color w:val="auto"/>
          <w:sz w:val="28"/>
          <w:szCs w:val="28"/>
          <w:highlight w:val="none"/>
        </w:rPr>
      </w:pPr>
      <w:bookmarkStart w:id="158" w:name="_Toc14882"/>
      <w:bookmarkStart w:id="159" w:name="_Toc6379"/>
      <w:r>
        <w:rPr>
          <w:rFonts w:hint="eastAsia" w:ascii="宋体" w:hAnsi="宋体" w:eastAsia="宋体" w:cs="宋体"/>
          <w:b/>
          <w:bCs/>
          <w:color w:val="auto"/>
          <w:sz w:val="28"/>
          <w:szCs w:val="28"/>
          <w:highlight w:val="none"/>
        </w:rPr>
        <w:t>或其委托人（签章）：</w:t>
      </w:r>
      <w:bookmarkEnd w:id="158"/>
      <w:bookmarkEnd w:id="159"/>
      <w:r>
        <w:rPr>
          <w:rFonts w:hint="eastAsia" w:ascii="宋体" w:hAnsi="宋体" w:eastAsia="宋体" w:cs="宋体"/>
          <w:b/>
          <w:bCs/>
          <w:color w:val="auto"/>
          <w:sz w:val="28"/>
          <w:szCs w:val="28"/>
          <w:highlight w:val="none"/>
          <w:u w:val="single"/>
        </w:rPr>
        <w:t xml:space="preserve">                                     </w:t>
      </w:r>
    </w:p>
    <w:p w14:paraId="17A16447">
      <w:pPr>
        <w:rPr>
          <w:rFonts w:ascii="宋体" w:hAnsi="宋体" w:eastAsia="宋体" w:cs="宋体"/>
          <w:color w:val="auto"/>
          <w:highlight w:val="none"/>
        </w:rPr>
      </w:pPr>
    </w:p>
    <w:p w14:paraId="0E11C65A">
      <w:pPr>
        <w:pStyle w:val="32"/>
        <w:rPr>
          <w:rFonts w:ascii="宋体" w:hAnsi="宋体" w:eastAsia="宋体" w:cs="宋体"/>
          <w:color w:val="auto"/>
          <w:highlight w:val="none"/>
        </w:rPr>
      </w:pPr>
    </w:p>
    <w:p w14:paraId="6F83EE4E">
      <w:pPr>
        <w:pStyle w:val="32"/>
        <w:rPr>
          <w:rFonts w:ascii="宋体" w:hAnsi="宋体" w:eastAsia="宋体" w:cs="宋体"/>
          <w:color w:val="auto"/>
          <w:highlight w:val="none"/>
        </w:rPr>
      </w:pPr>
    </w:p>
    <w:p w14:paraId="1DA7340C">
      <w:pPr>
        <w:pStyle w:val="32"/>
        <w:jc w:val="center"/>
        <w:outlineLvl w:val="0"/>
        <w:rPr>
          <w:rFonts w:ascii="宋体" w:hAnsi="宋体" w:eastAsia="宋体" w:cs="宋体"/>
          <w:b/>
          <w:bCs/>
          <w:color w:val="auto"/>
          <w:sz w:val="28"/>
          <w:szCs w:val="28"/>
          <w:highlight w:val="none"/>
        </w:rPr>
      </w:pPr>
      <w:bookmarkStart w:id="160" w:name="_Toc8689"/>
      <w:bookmarkStart w:id="161" w:name="_Toc6131"/>
      <w:r>
        <w:rPr>
          <w:rFonts w:hint="eastAsia" w:ascii="宋体" w:hAnsi="宋体" w:eastAsia="宋体" w:cs="宋体"/>
          <w:b/>
          <w:bCs/>
          <w:color w:val="auto"/>
          <w:sz w:val="28"/>
          <w:szCs w:val="28"/>
          <w:highlight w:val="none"/>
        </w:rPr>
        <w:t>年     月     日</w:t>
      </w:r>
      <w:bookmarkEnd w:id="160"/>
      <w:bookmarkEnd w:id="161"/>
    </w:p>
    <w:p w14:paraId="70C539BF">
      <w:pPr>
        <w:pStyle w:val="32"/>
        <w:jc w:val="center"/>
        <w:rPr>
          <w:rFonts w:ascii="宋体" w:hAnsi="宋体" w:eastAsia="宋体" w:cs="宋体"/>
          <w:color w:val="auto"/>
          <w:highlight w:val="none"/>
        </w:rPr>
      </w:pPr>
      <w:r>
        <w:rPr>
          <w:rFonts w:hint="eastAsia" w:ascii="宋体" w:hAnsi="宋体" w:eastAsia="宋体" w:cs="宋体"/>
          <w:b/>
          <w:bCs/>
          <w:color w:val="auto"/>
          <w:sz w:val="28"/>
          <w:szCs w:val="28"/>
          <w:highlight w:val="none"/>
        </w:rPr>
        <w:br w:type="page"/>
      </w:r>
    </w:p>
    <w:p w14:paraId="68EE990D">
      <w:pPr>
        <w:autoSpaceDE w:val="0"/>
        <w:autoSpaceDN w:val="0"/>
        <w:adjustRightInd w:val="0"/>
        <w:spacing w:line="427" w:lineRule="exact"/>
        <w:ind w:left="20" w:right="-40" w:hanging="20" w:hangingChars="7"/>
        <w:jc w:val="center"/>
        <w:rPr>
          <w:rFonts w:hint="eastAsia" w:ascii="宋体" w:hAnsi="宋体" w:eastAsia="宋体" w:cs="宋体"/>
          <w:b/>
          <w:bCs/>
          <w:color w:val="auto"/>
          <w:highlight w:val="none"/>
        </w:rPr>
      </w:pPr>
      <w:r>
        <w:rPr>
          <w:rFonts w:hint="eastAsia" w:ascii="宋体" w:hAnsi="宋体" w:eastAsia="宋体" w:cs="宋体"/>
          <w:b/>
          <w:bCs/>
          <w:color w:val="auto"/>
          <w:sz w:val="28"/>
          <w:szCs w:val="28"/>
          <w:highlight w:val="none"/>
        </w:rPr>
        <w:t>目  录</w:t>
      </w:r>
    </w:p>
    <w:p w14:paraId="403C85D8">
      <w:pPr>
        <w:pStyle w:val="11"/>
        <w:numPr>
          <w:ilvl w:val="0"/>
          <w:numId w:val="7"/>
        </w:numP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响应书</w:t>
      </w:r>
    </w:p>
    <w:p w14:paraId="6AA762D5">
      <w:pPr>
        <w:pStyle w:val="11"/>
        <w:numPr>
          <w:ilvl w:val="0"/>
          <w:numId w:val="7"/>
        </w:numP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资格证明文件</w:t>
      </w:r>
    </w:p>
    <w:p w14:paraId="1E6E3FAC">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一） 符合《中华人民共和国政府采购法》第二十二条规定的证明文件</w:t>
      </w:r>
    </w:p>
    <w:p w14:paraId="4A4B5345">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二）</w:t>
      </w:r>
      <w:r>
        <w:rPr>
          <w:rFonts w:hint="default" w:ascii="宋体" w:hAnsi="宋体" w:eastAsia="宋体" w:cs="宋体"/>
          <w:color w:val="auto"/>
          <w:sz w:val="24"/>
          <w:highlight w:val="none"/>
        </w:rPr>
        <w:t xml:space="preserve"> 法定代表人（或负责人）身份证明、授权委托书</w:t>
      </w:r>
      <w:r>
        <w:rPr>
          <w:rFonts w:hint="eastAsia" w:ascii="宋体" w:hAnsi="宋体" w:eastAsia="宋体" w:cs="宋体"/>
          <w:color w:val="auto"/>
          <w:sz w:val="24"/>
          <w:highlight w:val="none"/>
          <w:lang w:val="en-US" w:eastAsia="zh-CN"/>
        </w:rPr>
        <w:t>；</w:t>
      </w:r>
    </w:p>
    <w:p w14:paraId="544E84AB">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（三） 中小企业、残疾人福利性单位、监狱企业声明函；</w:t>
      </w:r>
    </w:p>
    <w:p w14:paraId="32FF5494">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（四） 不参与围标串标承诺书；</w:t>
      </w:r>
    </w:p>
    <w:p w14:paraId="54DCF7A6">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五） 投标</w:t>
      </w:r>
      <w:r>
        <w:rPr>
          <w:rFonts w:hint="eastAsia" w:ascii="宋体" w:hAnsi="宋体" w:eastAsia="宋体" w:cs="宋体"/>
          <w:color w:val="auto"/>
          <w:sz w:val="24"/>
          <w:highlight w:val="none"/>
        </w:rPr>
        <w:t>保证金</w:t>
      </w:r>
      <w:r>
        <w:rPr>
          <w:rFonts w:hint="eastAsia" w:ascii="宋体" w:hAnsi="宋体" w:eastAsia="宋体" w:cs="宋体"/>
          <w:color w:val="auto"/>
          <w:sz w:val="24"/>
          <w:highlight w:val="none"/>
          <w:lang w:eastAsia="zh-CN"/>
        </w:rPr>
        <w:t>；</w:t>
      </w:r>
    </w:p>
    <w:p w14:paraId="5BA1610B">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六）</w:t>
      </w:r>
      <w:r>
        <w:rPr>
          <w:rFonts w:hint="eastAsia" w:ascii="宋体" w:hAnsi="宋体" w:eastAsia="宋体" w:cs="宋体"/>
          <w:color w:val="auto"/>
          <w:sz w:val="24"/>
          <w:highlight w:val="none"/>
        </w:rPr>
        <w:t>“信用中国”网站（www.creditchina.gov.cn）</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中国政府采购网（www.ccgp.gov.cn）</w:t>
      </w:r>
      <w:r>
        <w:rPr>
          <w:rFonts w:hint="eastAsia" w:ascii="宋体" w:hAnsi="宋体" w:eastAsia="宋体" w:cs="宋体"/>
          <w:color w:val="auto"/>
          <w:sz w:val="24"/>
          <w:highlight w:val="none"/>
          <w:lang w:val="en-US" w:eastAsia="zh-CN"/>
        </w:rPr>
        <w:t>查询企业信用信息截图或打印扫描件。</w:t>
      </w:r>
    </w:p>
    <w:p w14:paraId="7F7D601C">
      <w:pPr>
        <w:pStyle w:val="11"/>
        <w:numPr>
          <w:ilvl w:val="0"/>
          <w:numId w:val="7"/>
        </w:numP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商务文件</w:t>
      </w:r>
    </w:p>
    <w:p w14:paraId="2851A48D">
      <w:pPr>
        <w:autoSpaceDE w:val="0"/>
        <w:autoSpaceDN w:val="0"/>
        <w:adjustRightInd w:val="0"/>
        <w:spacing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 xml:space="preserve"> 响应文件报价一览表</w:t>
      </w:r>
    </w:p>
    <w:p w14:paraId="250B7553">
      <w:pPr>
        <w:autoSpaceDE w:val="0"/>
        <w:autoSpaceDN w:val="0"/>
        <w:adjustRightInd w:val="0"/>
        <w:spacing w:line="312"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分项报价表</w:t>
      </w:r>
    </w:p>
    <w:p w14:paraId="116F7EBA">
      <w:pPr>
        <w:autoSpaceDE w:val="0"/>
        <w:autoSpaceDN w:val="0"/>
        <w:adjustRightInd w:val="0"/>
        <w:spacing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b w:val="0"/>
          <w:color w:val="auto"/>
          <w:sz w:val="24"/>
          <w:szCs w:val="24"/>
          <w:highlight w:val="none"/>
          <w:lang w:val="en-US" w:eastAsia="zh-CN" w:bidi="ar-SA"/>
        </w:rPr>
        <w:t xml:space="preserve">（三） </w:t>
      </w:r>
      <w:r>
        <w:rPr>
          <w:rFonts w:hint="eastAsia" w:ascii="宋体" w:hAnsi="宋体" w:eastAsia="宋体" w:cs="宋体"/>
          <w:color w:val="auto"/>
          <w:sz w:val="24"/>
          <w:highlight w:val="none"/>
          <w:lang w:val="en-US" w:eastAsia="zh-CN"/>
        </w:rPr>
        <w:t>实质性响应一览表</w:t>
      </w:r>
    </w:p>
    <w:p w14:paraId="4BAA007C">
      <w:pPr>
        <w:autoSpaceDE w:val="0"/>
        <w:autoSpaceDN w:val="0"/>
        <w:adjustRightInd w:val="0"/>
        <w:spacing w:line="312" w:lineRule="auto"/>
        <w:ind w:firstLine="480" w:firstLineChars="200"/>
        <w:rPr>
          <w:rFonts w:hint="eastAsia" w:ascii="宋体" w:hAnsi="宋体" w:eastAsia="宋体" w:cs="宋体"/>
          <w:b w:val="0"/>
          <w:color w:val="auto"/>
          <w:sz w:val="24"/>
          <w:szCs w:val="24"/>
          <w:highlight w:val="none"/>
          <w:lang w:val="en-US" w:eastAsia="zh-CN" w:bidi="ar-SA"/>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商务合同</w:t>
      </w:r>
      <w:r>
        <w:rPr>
          <w:rFonts w:hint="eastAsia" w:ascii="宋体" w:hAnsi="宋体" w:eastAsia="宋体" w:cs="宋体"/>
          <w:color w:val="auto"/>
          <w:sz w:val="24"/>
          <w:highlight w:val="none"/>
        </w:rPr>
        <w:t>条款偏离表</w:t>
      </w:r>
    </w:p>
    <w:p w14:paraId="1FF85C23">
      <w:pPr>
        <w:autoSpaceDE w:val="0"/>
        <w:autoSpaceDN w:val="0"/>
        <w:adjustRightInd w:val="0"/>
        <w:spacing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 xml:space="preserve"> 近三年（20</w:t>
      </w: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01</w:t>
      </w:r>
      <w:r>
        <w:rPr>
          <w:rFonts w:hint="eastAsia" w:ascii="宋体" w:hAnsi="宋体" w:eastAsia="宋体" w:cs="宋体"/>
          <w:color w:val="auto"/>
          <w:sz w:val="24"/>
          <w:highlight w:val="none"/>
        </w:rPr>
        <w:t>月01日至今）完成同类项目业绩</w:t>
      </w:r>
    </w:p>
    <w:p w14:paraId="1620B5E1">
      <w:pPr>
        <w:autoSpaceDE w:val="0"/>
        <w:autoSpaceDN w:val="0"/>
        <w:adjustRightInd w:val="0"/>
        <w:spacing w:line="312"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（六） 人员配置表及拟派项目负责人简历表</w:t>
      </w:r>
    </w:p>
    <w:p w14:paraId="2F46A76B">
      <w:pPr>
        <w:autoSpaceDE w:val="0"/>
        <w:autoSpaceDN w:val="0"/>
        <w:adjustRightInd w:val="0"/>
        <w:spacing w:line="312"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七）</w:t>
      </w: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4"/>
          <w:highlight w:val="none"/>
        </w:rPr>
        <w:t>供应商认为有必要提供的其他商务资料</w:t>
      </w:r>
    </w:p>
    <w:p w14:paraId="40204DE3">
      <w:pPr>
        <w:autoSpaceDE w:val="0"/>
        <w:autoSpaceDN w:val="0"/>
        <w:adjustRightInd w:val="0"/>
        <w:spacing w:line="440" w:lineRule="exact"/>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四、技术文件</w:t>
      </w:r>
    </w:p>
    <w:p w14:paraId="1B9FAF7B">
      <w:pPr>
        <w:autoSpaceDE w:val="0"/>
        <w:autoSpaceDN w:val="0"/>
        <w:adjustRightIn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技术条款偏离表</w:t>
      </w:r>
    </w:p>
    <w:p w14:paraId="2AF3E08A">
      <w:pPr>
        <w:autoSpaceDE w:val="0"/>
        <w:autoSpaceDN w:val="0"/>
        <w:adjustRightInd w:val="0"/>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项目实施方案</w:t>
      </w:r>
    </w:p>
    <w:p w14:paraId="71CBFAC4">
      <w:pPr>
        <w:autoSpaceDE w:val="0"/>
        <w:autoSpaceDN w:val="0"/>
        <w:adjustRightIn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供应商认为有必要的其他技术资料</w:t>
      </w:r>
    </w:p>
    <w:p w14:paraId="44B8CD20">
      <w:pPr>
        <w:pStyle w:val="49"/>
        <w:spacing w:line="440" w:lineRule="exact"/>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五、其他资料</w:t>
      </w:r>
    </w:p>
    <w:p w14:paraId="150023C0">
      <w:pPr>
        <w:spacing w:line="480" w:lineRule="exact"/>
        <w:jc w:val="center"/>
        <w:rPr>
          <w:rFonts w:hint="eastAsia" w:ascii="宋体" w:hAnsi="宋体" w:cs="宋体"/>
          <w:color w:val="auto"/>
          <w:sz w:val="28"/>
          <w:szCs w:val="28"/>
          <w:highlight w:val="none"/>
        </w:rPr>
      </w:pPr>
      <w:bookmarkStart w:id="162" w:name="_Toc12814"/>
      <w:bookmarkStart w:id="163" w:name="_Toc53602922"/>
      <w:bookmarkStart w:id="164" w:name="_Toc73974715"/>
      <w:r>
        <w:rPr>
          <w:rFonts w:hint="eastAsia" w:ascii="宋体" w:hAnsi="宋体" w:cs="宋体"/>
          <w:color w:val="auto"/>
          <w:sz w:val="28"/>
          <w:szCs w:val="28"/>
          <w:highlight w:val="none"/>
        </w:rPr>
        <w:br w:type="page"/>
      </w:r>
    </w:p>
    <w:p w14:paraId="772EA0DA">
      <w:pPr>
        <w:spacing w:line="480" w:lineRule="exact"/>
        <w:jc w:val="center"/>
        <w:rPr>
          <w:rFonts w:hint="eastAsia" w:eastAsia="宋体;SimSun"/>
          <w:b/>
          <w:bCs/>
          <w:color w:val="auto"/>
          <w:sz w:val="28"/>
          <w:szCs w:val="28"/>
          <w:highlight w:val="none"/>
          <w:lang w:eastAsia="zh-CN"/>
        </w:rPr>
      </w:pPr>
      <w:r>
        <w:rPr>
          <w:rFonts w:hint="eastAsia"/>
          <w:b/>
          <w:bCs/>
          <w:color w:val="auto"/>
          <w:sz w:val="28"/>
          <w:szCs w:val="28"/>
          <w:highlight w:val="none"/>
        </w:rPr>
        <w:t>一、</w:t>
      </w:r>
      <w:r>
        <w:rPr>
          <w:rFonts w:hint="eastAsia"/>
          <w:b/>
          <w:bCs/>
          <w:color w:val="auto"/>
          <w:sz w:val="28"/>
          <w:szCs w:val="28"/>
          <w:highlight w:val="none"/>
          <w:lang w:val="en-US" w:eastAsia="zh-CN"/>
        </w:rPr>
        <w:t>响应书</w:t>
      </w:r>
    </w:p>
    <w:p w14:paraId="20FCA901">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w:t>
      </w:r>
    </w:p>
    <w:p w14:paraId="4DB844BC">
      <w:pPr>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我们收到你们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号</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，经认真研究，我们决定参加</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rPr>
        <w:t>。愿意按照</w:t>
      </w:r>
      <w:r>
        <w:rPr>
          <w:rFonts w:hint="eastAsia" w:ascii="宋体" w:hAnsi="宋体" w:eastAsia="宋体" w:cs="宋体"/>
          <w:color w:val="auto"/>
          <w:sz w:val="24"/>
          <w:highlight w:val="none"/>
          <w:lang w:val="en-US" w:eastAsia="zh-CN"/>
        </w:rPr>
        <w:t>竞争性</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规定的内容承担该项目的投标任务，严格执行我方所承诺的责任和义务。为此，我方郑重声明以下诸点，并负法律责任。</w:t>
      </w:r>
    </w:p>
    <w:p w14:paraId="1AB817CA">
      <w:pPr>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⒈按照</w:t>
      </w:r>
      <w:r>
        <w:rPr>
          <w:rFonts w:hint="eastAsia" w:ascii="宋体" w:hAnsi="宋体" w:eastAsia="宋体" w:cs="宋体"/>
          <w:color w:val="auto"/>
          <w:sz w:val="24"/>
          <w:highlight w:val="none"/>
          <w:lang w:val="en-US" w:eastAsia="zh-CN"/>
        </w:rPr>
        <w:t>竞争性</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中的一切要求，提供</w:t>
      </w:r>
      <w:r>
        <w:rPr>
          <w:rFonts w:hint="eastAsia" w:ascii="宋体" w:hAnsi="宋体" w:eastAsia="宋体" w:cs="宋体"/>
          <w:color w:val="auto"/>
          <w:sz w:val="24"/>
          <w:highlight w:val="none"/>
          <w:lang w:val="en-US" w:eastAsia="zh-CN"/>
        </w:rPr>
        <w:t>采购服务</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rPr>
        <w:t>总价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元（用阿拉伯数字书写）人民币，明细见</w:t>
      </w:r>
      <w:r>
        <w:rPr>
          <w:rFonts w:hint="eastAsia" w:ascii="宋体" w:hAnsi="宋体" w:eastAsia="宋体" w:cs="宋体"/>
          <w:color w:val="auto"/>
          <w:sz w:val="24"/>
          <w:highlight w:val="none"/>
          <w:lang w:eastAsia="zh-CN"/>
        </w:rPr>
        <w:t>分项报价表</w:t>
      </w:r>
      <w:r>
        <w:rPr>
          <w:rFonts w:hint="eastAsia" w:ascii="宋体" w:hAnsi="宋体" w:eastAsia="宋体" w:cs="宋体"/>
          <w:color w:val="auto"/>
          <w:sz w:val="24"/>
          <w:highlight w:val="none"/>
        </w:rPr>
        <w:t>。</w:t>
      </w:r>
    </w:p>
    <w:p w14:paraId="03F922F1">
      <w:pPr>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⒉如果我们的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被接受，我们将履行</w:t>
      </w:r>
      <w:r>
        <w:rPr>
          <w:rFonts w:hint="eastAsia" w:ascii="宋体" w:hAnsi="宋体" w:eastAsia="宋体" w:cs="宋体"/>
          <w:color w:val="auto"/>
          <w:sz w:val="24"/>
          <w:highlight w:val="none"/>
          <w:lang w:val="en-US" w:eastAsia="zh-CN"/>
        </w:rPr>
        <w:t>竞争性</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中规定的每一项要求，按期、按质、按量完成本次招标项目。</w:t>
      </w:r>
    </w:p>
    <w:p w14:paraId="48C16EE9">
      <w:pPr>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3.我方承诺提供</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的质保期为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p>
    <w:p w14:paraId="1C5AF01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4.我方承诺</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期按照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执行。</w:t>
      </w:r>
    </w:p>
    <w:p w14:paraId="73321C64">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5.我方承诺付款方式按照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执行。</w:t>
      </w:r>
    </w:p>
    <w:p w14:paraId="618D04D0">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6.我方承诺具备</w:t>
      </w:r>
      <w:r>
        <w:rPr>
          <w:rFonts w:hint="eastAsia" w:ascii="宋体" w:hAnsi="宋体" w:eastAsia="宋体" w:cs="宋体"/>
          <w:color w:val="auto"/>
          <w:kern w:val="0"/>
          <w:sz w:val="24"/>
          <w:szCs w:val="24"/>
          <w:highlight w:val="none"/>
        </w:rPr>
        <w:t>《中华人民共和国政府采购法》</w:t>
      </w:r>
      <w:r>
        <w:rPr>
          <w:rFonts w:hint="eastAsia" w:ascii="宋体" w:hAnsi="宋体" w:eastAsia="宋体" w:cs="宋体"/>
          <w:color w:val="auto"/>
          <w:kern w:val="0"/>
          <w:sz w:val="24"/>
          <w:szCs w:val="24"/>
          <w:highlight w:val="none"/>
          <w:lang w:eastAsia="zh-CN"/>
        </w:rPr>
        <w:t>第二十二条</w:t>
      </w:r>
      <w:r>
        <w:rPr>
          <w:rFonts w:hint="eastAsia" w:ascii="宋体" w:hAnsi="宋体" w:eastAsia="宋体" w:cs="宋体"/>
          <w:color w:val="auto"/>
          <w:kern w:val="0"/>
          <w:sz w:val="24"/>
          <w:szCs w:val="24"/>
          <w:highlight w:val="none"/>
          <w:lang w:val="en-US" w:eastAsia="zh-CN"/>
        </w:rPr>
        <w:t>规定的资格要求，同时符合竞争性磋商文件规定的特定资格要求。</w:t>
      </w:r>
    </w:p>
    <w:p w14:paraId="6B9B5913">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7.我方承诺在本项目的采购活动中，不存在</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rPr>
        <w:t>单位负责人为同一人或者存在直接控股、管理关系的不同投标人，参加同一包号投标或者未划分包号的同一招标项目投标</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的情形</w:t>
      </w:r>
      <w:r>
        <w:rPr>
          <w:rFonts w:hint="eastAsia" w:ascii="宋体" w:hAnsi="宋体" w:eastAsia="宋体" w:cs="宋体"/>
          <w:color w:val="auto"/>
          <w:sz w:val="24"/>
          <w:highlight w:val="none"/>
        </w:rPr>
        <w:t>。</w:t>
      </w:r>
    </w:p>
    <w:p w14:paraId="40A75221">
      <w:pPr>
        <w:spacing w:line="440" w:lineRule="exact"/>
        <w:ind w:firstLine="480" w:firstLineChars="200"/>
        <w:rPr>
          <w:rFonts w:hint="eastAsia"/>
          <w:color w:val="auto"/>
          <w:highlight w:val="none"/>
        </w:rPr>
      </w:pPr>
      <w:r>
        <w:rPr>
          <w:rFonts w:hint="eastAsia" w:ascii="宋体" w:hAnsi="宋体" w:eastAsia="宋体" w:cs="宋体"/>
          <w:color w:val="auto"/>
          <w:sz w:val="24"/>
          <w:highlight w:val="none"/>
          <w:lang w:val="en-US" w:eastAsia="zh-CN"/>
        </w:rPr>
        <w:t>8.我方承诺我公司不属于为本次采购项目提供整体设计、规范编制或者项目管理、监理、检测等服务的供应商。</w:t>
      </w:r>
    </w:p>
    <w:p w14:paraId="7964BA82">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.如果我方中标，我方将在</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规定的时间内签订委托合同并按招标要求提供履约担保。如果我方违约，除投标保证金不予退还外，贵方有权终止我方中标并选择</w:t>
      </w:r>
      <w:r>
        <w:rPr>
          <w:rFonts w:hint="eastAsia" w:ascii="宋体" w:hAnsi="宋体" w:eastAsia="宋体" w:cs="宋体"/>
          <w:color w:val="auto"/>
          <w:sz w:val="24"/>
          <w:highlight w:val="none"/>
          <w:lang w:eastAsia="zh-CN"/>
        </w:rPr>
        <w:t>其他</w:t>
      </w:r>
      <w:r>
        <w:rPr>
          <w:rFonts w:hint="eastAsia" w:ascii="宋体" w:hAnsi="宋体" w:eastAsia="宋体" w:cs="宋体"/>
          <w:color w:val="auto"/>
          <w:sz w:val="24"/>
          <w:highlight w:val="none"/>
        </w:rPr>
        <w:t>中标人。</w:t>
      </w:r>
    </w:p>
    <w:p w14:paraId="2473747F">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.如果我方中标，我方将在</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规定的时间内签订服务合同。如果我方违约，借故拒签合同或拖延签订的，则采购人将废除授标，投标保证金不予退还，给采购人造成的损失超过投保证金保数额的，还应当对超过部分予以赔偿，同时依法承担相应法律责任，采购人可另行选择</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单位。</w:t>
      </w:r>
    </w:p>
    <w:p w14:paraId="207BC759">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.我方同意在投标有效期内遵守本</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，在此期限期满前的任何时间，本</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一直对我们具有约束力，本项目投标有效期为开标后</w:t>
      </w:r>
      <w:r>
        <w:rPr>
          <w:rFonts w:hint="eastAsia" w:ascii="宋体" w:hAnsi="宋体" w:eastAsia="宋体" w:cs="宋体"/>
          <w:color w:val="auto"/>
          <w:sz w:val="24"/>
          <w:highlight w:val="none"/>
          <w:u w:val="single"/>
        </w:rPr>
        <w:t xml:space="preserve"> 90 </w:t>
      </w:r>
      <w:r>
        <w:rPr>
          <w:rFonts w:hint="eastAsia" w:ascii="宋体" w:hAnsi="宋体" w:eastAsia="宋体" w:cs="宋体"/>
          <w:color w:val="auto"/>
          <w:sz w:val="24"/>
          <w:highlight w:val="none"/>
        </w:rPr>
        <w:t>天。</w:t>
      </w:r>
    </w:p>
    <w:p w14:paraId="76CD380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rPr>
        <w:t>.我们愿意提供采购人在</w:t>
      </w:r>
      <w:r>
        <w:rPr>
          <w:rFonts w:hint="eastAsia" w:ascii="宋体" w:hAnsi="宋体" w:eastAsia="宋体" w:cs="宋体"/>
          <w:color w:val="auto"/>
          <w:sz w:val="24"/>
          <w:highlight w:val="none"/>
          <w:lang w:val="en-US" w:eastAsia="zh-CN"/>
        </w:rPr>
        <w:t>竞争性</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中要求的所有资料。</w:t>
      </w:r>
    </w:p>
    <w:p w14:paraId="3C0EB645">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13</w:t>
      </w:r>
      <w:r>
        <w:rPr>
          <w:rFonts w:hint="eastAsia" w:ascii="宋体" w:hAnsi="宋体" w:eastAsia="宋体" w:cs="宋体"/>
          <w:color w:val="auto"/>
          <w:sz w:val="24"/>
          <w:highlight w:val="none"/>
        </w:rPr>
        <w:t>.我们认为采购人有选择或拒绝任何参与投标者中标的权力。我们理解，最低报价不是中标的唯一条件。</w:t>
      </w:r>
    </w:p>
    <w:p w14:paraId="21E86150">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.我们愿按合同法履行自己的全部责任。</w:t>
      </w:r>
    </w:p>
    <w:p w14:paraId="6B855C92">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.我方愿意按照</w:t>
      </w:r>
      <w:r>
        <w:rPr>
          <w:rFonts w:hint="eastAsia" w:ascii="宋体" w:hAnsi="宋体" w:eastAsia="宋体" w:cs="宋体"/>
          <w:color w:val="auto"/>
          <w:sz w:val="24"/>
          <w:highlight w:val="none"/>
          <w:lang w:val="en-US" w:eastAsia="zh-CN"/>
        </w:rPr>
        <w:t>竞争性</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中规定的收费标准，承付中标服务费。</w:t>
      </w:r>
    </w:p>
    <w:p w14:paraId="7D55D74B">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.该投标函在开标后的全过程中保持有效，不作任何更改和变动。</w:t>
      </w:r>
    </w:p>
    <w:p w14:paraId="779A29BB">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.我们同意按</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规定，交纳</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元的</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rPr>
        <w:t>保证金。并同意在确定最终</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、发出《</w:t>
      </w:r>
      <w:r>
        <w:rPr>
          <w:rFonts w:hint="eastAsia" w:ascii="宋体" w:hAnsi="宋体" w:eastAsia="宋体" w:cs="宋体"/>
          <w:color w:val="auto"/>
          <w:sz w:val="24"/>
          <w:highlight w:val="none"/>
          <w:lang w:eastAsia="zh-CN"/>
        </w:rPr>
        <w:t>成交通知书</w:t>
      </w:r>
      <w:r>
        <w:rPr>
          <w:rFonts w:hint="eastAsia" w:ascii="宋体" w:hAnsi="宋体" w:eastAsia="宋体" w:cs="宋体"/>
          <w:color w:val="auto"/>
          <w:sz w:val="24"/>
          <w:highlight w:val="none"/>
        </w:rPr>
        <w:t>》之后5个工作日内退还我公司的投标保证金。（如因特殊原因，在投标有效期之后确定</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，本承诺依然有效。）</w:t>
      </w:r>
    </w:p>
    <w:p w14:paraId="53A77B1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.综合说明：</w:t>
      </w:r>
    </w:p>
    <w:p w14:paraId="70D84E8F">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货物</w:t>
      </w:r>
      <w:r>
        <w:rPr>
          <w:rFonts w:hint="eastAsia" w:ascii="宋体" w:hAnsi="宋体" w:eastAsia="宋体" w:cs="宋体"/>
          <w:color w:val="auto"/>
          <w:sz w:val="24"/>
          <w:highlight w:val="none"/>
        </w:rPr>
        <w:t>的详细技术参数、技术条件、技术标准、拟达到的质量标准和保险期限。</w:t>
      </w:r>
    </w:p>
    <w:p w14:paraId="43C6447A">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（2）易损件、配件及供应方式。</w:t>
      </w:r>
    </w:p>
    <w:p w14:paraId="06DFFBC3">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（3）工程安装计划、组织机构及人员安排。</w:t>
      </w:r>
    </w:p>
    <w:p w14:paraId="5E06336C">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（5）技术服务。</w:t>
      </w:r>
    </w:p>
    <w:p w14:paraId="7043722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（6）运输方式。</w:t>
      </w:r>
    </w:p>
    <w:p w14:paraId="62494A04">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（7）要求项目单位提供的配合。</w:t>
      </w:r>
    </w:p>
    <w:p w14:paraId="497694B1">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（8）对</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内容有不同意见的偏离说明。</w:t>
      </w:r>
    </w:p>
    <w:p w14:paraId="46373811">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（9）其它。</w:t>
      </w:r>
    </w:p>
    <w:p w14:paraId="60B651D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.所有有关本投标函的函电，请按下列地址联系：</w:t>
      </w:r>
    </w:p>
    <w:p w14:paraId="48CE44CC">
      <w:pPr>
        <w:spacing w:line="440" w:lineRule="exact"/>
        <w:ind w:firstLine="480" w:firstLineChars="200"/>
        <w:rPr>
          <w:rFonts w:hint="eastAsia" w:ascii="宋体" w:hAnsi="宋体" w:eastAsia="宋体" w:cs="宋体"/>
          <w:color w:val="auto"/>
          <w:sz w:val="24"/>
          <w:highlight w:val="none"/>
        </w:rPr>
      </w:pPr>
    </w:p>
    <w:p w14:paraId="77F0735E">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单       位：</w:t>
      </w:r>
    </w:p>
    <w:p w14:paraId="53B6C203">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p>
    <w:p w14:paraId="78826A6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w:t>
      </w:r>
    </w:p>
    <w:p w14:paraId="1069B3C9">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p>
    <w:p w14:paraId="2354F8B5">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邮 政 编 码：</w:t>
      </w:r>
    </w:p>
    <w:p w14:paraId="2B23A32D">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  系  人：</w:t>
      </w:r>
    </w:p>
    <w:p w14:paraId="3CCD9E4E">
      <w:pPr>
        <w:spacing w:line="440" w:lineRule="exact"/>
        <w:ind w:firstLine="480" w:firstLineChars="200"/>
        <w:rPr>
          <w:rFonts w:hint="eastAsia" w:ascii="宋体" w:hAnsi="宋体" w:eastAsia="宋体" w:cs="宋体"/>
          <w:color w:val="auto"/>
          <w:sz w:val="24"/>
          <w:highlight w:val="none"/>
        </w:rPr>
      </w:pPr>
    </w:p>
    <w:p w14:paraId="401FF87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lang w:val="en-US" w:eastAsia="zh-CN"/>
        </w:rPr>
        <w:t>电子公章</w:t>
      </w:r>
      <w:r>
        <w:rPr>
          <w:rFonts w:hint="eastAsia" w:ascii="宋体" w:hAnsi="宋体" w:eastAsia="宋体" w:cs="宋体"/>
          <w:color w:val="auto"/>
          <w:sz w:val="24"/>
          <w:highlight w:val="none"/>
        </w:rPr>
        <w:t>）</w:t>
      </w:r>
    </w:p>
    <w:p w14:paraId="6FB7BFC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法定代表人或负责人或</w:t>
      </w:r>
      <w:r>
        <w:rPr>
          <w:rFonts w:hint="eastAsia" w:ascii="宋体" w:hAnsi="宋体" w:eastAsia="宋体" w:cs="宋体"/>
          <w:color w:val="auto"/>
          <w:sz w:val="24"/>
          <w:highlight w:val="none"/>
        </w:rPr>
        <w:t>授权代表（</w:t>
      </w:r>
      <w:r>
        <w:rPr>
          <w:rFonts w:hint="eastAsia" w:ascii="宋体" w:hAnsi="宋体"/>
          <w:color w:val="auto"/>
          <w:sz w:val="24"/>
          <w:highlight w:val="none"/>
          <w:lang w:val="en-US" w:eastAsia="zh-CN"/>
        </w:rPr>
        <w:t>签字或签章</w:t>
      </w:r>
      <w:r>
        <w:rPr>
          <w:rFonts w:hint="eastAsia" w:ascii="宋体" w:hAnsi="宋体" w:eastAsia="宋体" w:cs="宋体"/>
          <w:color w:val="auto"/>
          <w:sz w:val="24"/>
          <w:highlight w:val="none"/>
        </w:rPr>
        <w:t>）：</w:t>
      </w:r>
    </w:p>
    <w:p w14:paraId="71D24E4A">
      <w:pPr>
        <w:spacing w:line="440" w:lineRule="exact"/>
        <w:ind w:firstLine="480" w:firstLineChars="200"/>
        <w:rPr>
          <w:rFonts w:hint="eastAsia" w:ascii="宋体" w:hAnsi="宋体" w:eastAsia="宋体" w:cs="宋体"/>
          <w:color w:val="auto"/>
          <w:sz w:val="24"/>
          <w:highlight w:val="none"/>
        </w:rPr>
      </w:pPr>
    </w:p>
    <w:p w14:paraId="3F1DC717">
      <w:pPr>
        <w:spacing w:line="440" w:lineRule="exact"/>
        <w:ind w:firstLine="1200" w:firstLineChars="5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二○二</w:t>
      </w: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年   月    日</w:t>
      </w:r>
    </w:p>
    <w:p w14:paraId="69ABBF0C">
      <w:pPr>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br w:type="page"/>
      </w:r>
    </w:p>
    <w:p w14:paraId="37F9332E">
      <w:pPr>
        <w:pStyle w:val="3"/>
        <w:spacing w:line="44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二</w:t>
      </w:r>
      <w:r>
        <w:rPr>
          <w:rFonts w:hint="eastAsia" w:ascii="宋体" w:hAnsi="宋体" w:cs="宋体"/>
          <w:color w:val="auto"/>
          <w:sz w:val="28"/>
          <w:szCs w:val="28"/>
          <w:highlight w:val="none"/>
        </w:rPr>
        <w:t>、资格证明文件</w:t>
      </w:r>
      <w:bookmarkEnd w:id="162"/>
      <w:bookmarkEnd w:id="163"/>
      <w:bookmarkEnd w:id="164"/>
    </w:p>
    <w:p w14:paraId="5307C792">
      <w:pPr>
        <w:tabs>
          <w:tab w:val="left" w:pos="8280"/>
        </w:tabs>
        <w:spacing w:line="480" w:lineRule="exact"/>
        <w:ind w:left="1"/>
        <w:rPr>
          <w:rFonts w:ascii="宋体" w:hAnsi="宋体" w:eastAsia="宋体" w:cs="宋体"/>
          <w:color w:val="auto"/>
          <w:kern w:val="0"/>
          <w:sz w:val="24"/>
          <w:szCs w:val="24"/>
          <w:highlight w:val="none"/>
        </w:rPr>
      </w:pPr>
      <w:r>
        <w:rPr>
          <w:rFonts w:hint="eastAsia" w:ascii="宋体" w:hAnsi="宋体" w:eastAsia="宋体" w:cs="宋体"/>
          <w:color w:val="auto"/>
          <w:kern w:val="0"/>
          <w:sz w:val="24"/>
          <w:highlight w:val="none"/>
        </w:rPr>
        <w:t>（一）</w:t>
      </w:r>
      <w:r>
        <w:rPr>
          <w:rFonts w:hint="eastAsia" w:ascii="宋体" w:hAnsi="宋体" w:eastAsia="宋体" w:cs="宋体"/>
          <w:snapToGrid w:val="0"/>
          <w:color w:val="auto"/>
          <w:sz w:val="24"/>
          <w:highlight w:val="none"/>
        </w:rPr>
        <w:t>符合</w:t>
      </w:r>
      <w:r>
        <w:rPr>
          <w:rFonts w:hint="eastAsia" w:ascii="宋体" w:hAnsi="宋体" w:eastAsia="宋体" w:cs="宋体"/>
          <w:snapToGrid w:val="0"/>
          <w:color w:val="auto"/>
          <w:kern w:val="0"/>
          <w:sz w:val="24"/>
          <w:szCs w:val="24"/>
          <w:highlight w:val="none"/>
        </w:rPr>
        <w:t>《中华人民共和国政府采购法》第二十二条规定的证明文件</w:t>
      </w:r>
    </w:p>
    <w:p w14:paraId="33B71276">
      <w:pPr>
        <w:tabs>
          <w:tab w:val="left" w:pos="8280"/>
        </w:tabs>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1、具有独立承担民事责任的能力</w:t>
      </w:r>
      <w:r>
        <w:rPr>
          <w:rFonts w:hint="eastAsia" w:ascii="宋体" w:hAnsi="宋体" w:eastAsia="宋体" w:cs="宋体"/>
          <w:snapToGrid w:val="0"/>
          <w:color w:val="auto"/>
          <w:spacing w:val="-11"/>
          <w:kern w:val="0"/>
          <w:sz w:val="24"/>
          <w:szCs w:val="24"/>
          <w:highlight w:val="none"/>
        </w:rPr>
        <w:t>（须加盖</w:t>
      </w:r>
      <w:r>
        <w:rPr>
          <w:rFonts w:hint="eastAsia" w:ascii="宋体" w:hAnsi="宋体" w:eastAsia="宋体" w:cs="宋体"/>
          <w:snapToGrid w:val="0"/>
          <w:color w:val="auto"/>
          <w:spacing w:val="-11"/>
          <w:kern w:val="0"/>
          <w:sz w:val="24"/>
          <w:szCs w:val="24"/>
          <w:highlight w:val="none"/>
          <w:lang w:val="en-US" w:eastAsia="zh-CN"/>
        </w:rPr>
        <w:t>电子</w:t>
      </w:r>
      <w:r>
        <w:rPr>
          <w:rFonts w:hint="eastAsia" w:ascii="宋体" w:hAnsi="宋体" w:eastAsia="宋体" w:cs="宋体"/>
          <w:snapToGrid w:val="0"/>
          <w:color w:val="auto"/>
          <w:spacing w:val="-11"/>
          <w:kern w:val="0"/>
          <w:sz w:val="24"/>
          <w:szCs w:val="24"/>
          <w:highlight w:val="none"/>
        </w:rPr>
        <w:t>公章）</w:t>
      </w:r>
    </w:p>
    <w:p w14:paraId="3B9A8BA8">
      <w:pPr>
        <w:tabs>
          <w:tab w:val="left" w:pos="8280"/>
        </w:tabs>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提供法人或者其他组织的营业执照等证明文件；自然人需提供身份证明；</w:t>
      </w:r>
    </w:p>
    <w:p w14:paraId="180962AE">
      <w:pPr>
        <w:pStyle w:val="11"/>
        <w:rPr>
          <w:rFonts w:hint="eastAsia" w:ascii="宋体" w:hAnsi="宋体" w:eastAsia="宋体" w:cs="宋体"/>
          <w:color w:val="auto"/>
          <w:kern w:val="0"/>
          <w:sz w:val="24"/>
          <w:szCs w:val="24"/>
          <w:highlight w:val="none"/>
        </w:rPr>
      </w:pPr>
    </w:p>
    <w:p w14:paraId="182CC2FE">
      <w:pPr>
        <w:keepNext w:val="0"/>
        <w:keepLines w:val="0"/>
        <w:pageBreakBefore w:val="0"/>
        <w:widowControl w:val="0"/>
        <w:tabs>
          <w:tab w:val="left" w:pos="8280"/>
        </w:tabs>
        <w:kinsoku/>
        <w:wordWrap/>
        <w:overflowPunct/>
        <w:topLinePunct w:val="0"/>
        <w:autoSpaceDE/>
        <w:autoSpaceDN/>
        <w:bidi w:val="0"/>
        <w:adjustRightInd/>
        <w:snapToGrid/>
        <w:spacing w:line="480" w:lineRule="exact"/>
        <w:ind w:left="0"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说明：</w:t>
      </w:r>
    </w:p>
    <w:p w14:paraId="2DA61397">
      <w:pPr>
        <w:tabs>
          <w:tab w:val="left" w:pos="8280"/>
        </w:tabs>
        <w:spacing w:line="480" w:lineRule="exact"/>
        <w:ind w:firstLine="420" w:firstLineChars="200"/>
        <w:rPr>
          <w:rFonts w:hint="eastAsia" w:ascii="宋体" w:hAnsi="宋体" w:eastAsia="宋体" w:cs="Tahoma"/>
          <w:color w:val="auto"/>
          <w:highlight w:val="none"/>
        </w:rPr>
      </w:pPr>
      <w:r>
        <w:rPr>
          <w:rFonts w:hint="eastAsia" w:ascii="宋体" w:hAnsi="宋体" w:eastAsia="宋体" w:cs="Tahoma"/>
          <w:color w:val="auto"/>
          <w:highlight w:val="none"/>
        </w:rPr>
        <w:t>供应商是企业（包括合伙企业）的，应提供其在工商部门注册的有效“企业法人营业执照”或“营业执照”的复印件；</w:t>
      </w:r>
    </w:p>
    <w:p w14:paraId="12033F51">
      <w:pPr>
        <w:tabs>
          <w:tab w:val="left" w:pos="8280"/>
        </w:tabs>
        <w:spacing w:line="480" w:lineRule="exact"/>
        <w:ind w:firstLine="420" w:firstLineChars="200"/>
        <w:rPr>
          <w:rFonts w:hint="eastAsia" w:ascii="宋体" w:hAnsi="宋体" w:eastAsia="宋体" w:cs="Tahoma"/>
          <w:color w:val="auto"/>
          <w:highlight w:val="none"/>
        </w:rPr>
      </w:pPr>
      <w:r>
        <w:rPr>
          <w:rFonts w:hint="eastAsia" w:ascii="宋体" w:hAnsi="宋体" w:eastAsia="宋体" w:cs="Tahoma"/>
          <w:color w:val="auto"/>
          <w:highlight w:val="none"/>
        </w:rPr>
        <w:t>供应商是事业单位的，应提供其有效的“事业单位法人证书”复印件；</w:t>
      </w:r>
    </w:p>
    <w:p w14:paraId="095890F0">
      <w:pPr>
        <w:tabs>
          <w:tab w:val="left" w:pos="8280"/>
        </w:tabs>
        <w:spacing w:line="480" w:lineRule="exact"/>
        <w:ind w:firstLine="420" w:firstLineChars="200"/>
        <w:rPr>
          <w:rFonts w:hint="eastAsia" w:ascii="宋体" w:hAnsi="宋体" w:eastAsia="宋体" w:cs="Tahoma"/>
          <w:color w:val="auto"/>
          <w:highlight w:val="none"/>
        </w:rPr>
      </w:pPr>
      <w:r>
        <w:rPr>
          <w:rFonts w:hint="eastAsia" w:ascii="宋体" w:hAnsi="宋体" w:eastAsia="宋体" w:cs="Tahoma"/>
          <w:color w:val="auto"/>
          <w:highlight w:val="none"/>
        </w:rPr>
        <w:t>供应商是非企业专业服务机构的，应提供其有效的“执业许可证”复印件；</w:t>
      </w:r>
    </w:p>
    <w:p w14:paraId="1884D7D7">
      <w:pPr>
        <w:tabs>
          <w:tab w:val="left" w:pos="8280"/>
        </w:tabs>
        <w:spacing w:line="480" w:lineRule="exact"/>
        <w:ind w:firstLine="420" w:firstLineChars="200"/>
        <w:rPr>
          <w:rFonts w:hint="eastAsia" w:ascii="宋体" w:hAnsi="宋体" w:eastAsia="宋体" w:cs="Tahoma"/>
          <w:color w:val="auto"/>
          <w:highlight w:val="none"/>
        </w:rPr>
      </w:pPr>
      <w:r>
        <w:rPr>
          <w:rFonts w:hint="eastAsia" w:ascii="宋体" w:hAnsi="宋体" w:eastAsia="宋体" w:cs="Tahoma"/>
          <w:color w:val="auto"/>
          <w:highlight w:val="none"/>
        </w:rPr>
        <w:t>供应商是个体工商户的，应提供其有效的“个体工商户营业执照”复印件；</w:t>
      </w:r>
    </w:p>
    <w:p w14:paraId="0A2A408C">
      <w:pPr>
        <w:tabs>
          <w:tab w:val="left" w:pos="8280"/>
        </w:tabs>
        <w:spacing w:line="480" w:lineRule="exact"/>
        <w:ind w:firstLine="420" w:firstLineChars="200"/>
        <w:rPr>
          <w:rFonts w:hint="eastAsia" w:ascii="宋体" w:hAnsi="宋体" w:eastAsia="宋体" w:cs="Tahoma"/>
          <w:color w:val="auto"/>
          <w:highlight w:val="none"/>
        </w:rPr>
      </w:pPr>
      <w:r>
        <w:rPr>
          <w:rFonts w:hint="eastAsia" w:ascii="宋体" w:hAnsi="宋体" w:eastAsia="宋体" w:cs="Tahoma"/>
          <w:color w:val="auto"/>
          <w:highlight w:val="none"/>
        </w:rPr>
        <w:t>供应商是自然人的，应提供其有效的自然人身份证明复印件。</w:t>
      </w:r>
    </w:p>
    <w:p w14:paraId="649F286E">
      <w:pPr>
        <w:pStyle w:val="11"/>
        <w:rPr>
          <w:rFonts w:hint="eastAsia" w:ascii="宋体" w:hAnsi="宋体" w:eastAsia="宋体" w:cs="宋体"/>
          <w:color w:val="auto"/>
          <w:kern w:val="0"/>
          <w:sz w:val="24"/>
          <w:szCs w:val="24"/>
          <w:highlight w:val="none"/>
        </w:rPr>
      </w:pPr>
    </w:p>
    <w:p w14:paraId="4FE4B817">
      <w:pPr>
        <w:tabs>
          <w:tab w:val="left" w:pos="8280"/>
        </w:tabs>
        <w:spacing w:line="480" w:lineRule="exact"/>
        <w:ind w:firstLine="562" w:firstLineChars="200"/>
        <w:rPr>
          <w:rFonts w:hint="eastAsia" w:ascii="宋体" w:hAnsi="宋体" w:eastAsia="宋体" w:cs="宋体"/>
          <w:b/>
          <w:bCs/>
          <w:color w:val="auto"/>
          <w:sz w:val="28"/>
          <w:szCs w:val="28"/>
          <w:highlight w:val="none"/>
        </w:rPr>
      </w:pPr>
    </w:p>
    <w:p w14:paraId="384590B0">
      <w:pPr>
        <w:bidi w:val="0"/>
        <w:rPr>
          <w:rFonts w:hint="eastAsia" w:ascii="宋体" w:hAnsi="宋体" w:eastAsia="宋体" w:cs="宋体"/>
          <w:b/>
          <w:bCs/>
          <w:color w:val="auto"/>
          <w:sz w:val="28"/>
          <w:szCs w:val="28"/>
          <w:highlight w:val="none"/>
        </w:rPr>
      </w:pPr>
    </w:p>
    <w:p w14:paraId="1BB2FE9B">
      <w:pPr>
        <w:bidi w:val="0"/>
        <w:rPr>
          <w:rFonts w:hint="eastAsia" w:ascii="宋体" w:hAnsi="宋体" w:eastAsia="宋体" w:cs="宋体"/>
          <w:b/>
          <w:bCs/>
          <w:color w:val="auto"/>
          <w:sz w:val="28"/>
          <w:szCs w:val="28"/>
          <w:highlight w:val="none"/>
        </w:rPr>
      </w:pPr>
    </w:p>
    <w:p w14:paraId="31A6238F">
      <w:pPr>
        <w:bidi w:val="0"/>
        <w:rPr>
          <w:rFonts w:hint="eastAsia" w:ascii="宋体" w:hAnsi="宋体" w:eastAsia="宋体" w:cs="宋体"/>
          <w:b/>
          <w:bCs/>
          <w:color w:val="auto"/>
          <w:sz w:val="28"/>
          <w:szCs w:val="28"/>
          <w:highlight w:val="none"/>
        </w:rPr>
      </w:pPr>
    </w:p>
    <w:p w14:paraId="7B3C1565">
      <w:pPr>
        <w:bidi w:val="0"/>
        <w:rPr>
          <w:rFonts w:hint="eastAsia" w:ascii="宋体" w:hAnsi="宋体" w:eastAsia="宋体" w:cs="宋体"/>
          <w:b/>
          <w:bCs/>
          <w:color w:val="auto"/>
          <w:sz w:val="28"/>
          <w:szCs w:val="28"/>
          <w:highlight w:val="none"/>
        </w:rPr>
      </w:pPr>
    </w:p>
    <w:p w14:paraId="7F4FC963">
      <w:pPr>
        <w:bidi w:val="0"/>
        <w:rPr>
          <w:rFonts w:hint="eastAsia" w:ascii="宋体" w:hAnsi="宋体" w:eastAsia="宋体" w:cs="宋体"/>
          <w:b/>
          <w:bCs/>
          <w:color w:val="auto"/>
          <w:sz w:val="28"/>
          <w:szCs w:val="28"/>
          <w:highlight w:val="none"/>
        </w:rPr>
      </w:pPr>
    </w:p>
    <w:p w14:paraId="1F48B11D">
      <w:pPr>
        <w:bidi w:val="0"/>
        <w:rPr>
          <w:rFonts w:hint="eastAsia" w:ascii="宋体" w:hAnsi="宋体" w:eastAsia="宋体" w:cs="宋体"/>
          <w:b/>
          <w:bCs/>
          <w:color w:val="auto"/>
          <w:sz w:val="28"/>
          <w:szCs w:val="28"/>
          <w:highlight w:val="none"/>
        </w:rPr>
      </w:pPr>
    </w:p>
    <w:p w14:paraId="6A3E734E">
      <w:pPr>
        <w:bidi w:val="0"/>
        <w:rPr>
          <w:rFonts w:hint="eastAsia" w:ascii="宋体" w:hAnsi="宋体" w:eastAsia="宋体" w:cs="宋体"/>
          <w:b/>
          <w:bCs/>
          <w:color w:val="auto"/>
          <w:sz w:val="28"/>
          <w:szCs w:val="28"/>
          <w:highlight w:val="none"/>
        </w:rPr>
      </w:pPr>
    </w:p>
    <w:p w14:paraId="55D53488">
      <w:pPr>
        <w:bidi w:val="0"/>
        <w:rPr>
          <w:rFonts w:hint="eastAsia" w:ascii="宋体" w:hAnsi="宋体" w:eastAsia="宋体" w:cs="宋体"/>
          <w:b/>
          <w:bCs/>
          <w:color w:val="auto"/>
          <w:sz w:val="28"/>
          <w:szCs w:val="28"/>
          <w:highlight w:val="none"/>
        </w:rPr>
      </w:pPr>
    </w:p>
    <w:p w14:paraId="186D99C0">
      <w:pPr>
        <w:bidi w:val="0"/>
        <w:rPr>
          <w:rFonts w:hint="eastAsia" w:ascii="宋体" w:hAnsi="宋体" w:eastAsia="宋体" w:cs="宋体"/>
          <w:b/>
          <w:bCs/>
          <w:color w:val="auto"/>
          <w:sz w:val="28"/>
          <w:szCs w:val="28"/>
          <w:highlight w:val="none"/>
        </w:rPr>
      </w:pPr>
    </w:p>
    <w:p w14:paraId="48804299">
      <w:pPr>
        <w:bidi w:val="0"/>
        <w:rPr>
          <w:rFonts w:hint="eastAsia" w:ascii="宋体" w:hAnsi="宋体" w:eastAsia="宋体" w:cs="宋体"/>
          <w:b/>
          <w:bCs/>
          <w:color w:val="auto"/>
          <w:sz w:val="28"/>
          <w:szCs w:val="28"/>
          <w:highlight w:val="none"/>
        </w:rPr>
      </w:pPr>
    </w:p>
    <w:p w14:paraId="258EF1AC">
      <w:pPr>
        <w:tabs>
          <w:tab w:val="left" w:pos="8280"/>
        </w:tabs>
        <w:spacing w:line="4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r>
        <w:rPr>
          <w:rFonts w:hint="eastAsia" w:ascii="宋体" w:hAnsi="宋体" w:eastAsia="宋体" w:cs="宋体"/>
          <w:color w:val="auto"/>
          <w:kern w:val="0"/>
          <w:sz w:val="24"/>
          <w:szCs w:val="24"/>
          <w:highlight w:val="none"/>
        </w:rPr>
        <w:t>2、具有良</w:t>
      </w:r>
      <w:r>
        <w:rPr>
          <w:rFonts w:hint="eastAsia" w:ascii="宋体" w:hAnsi="宋体" w:eastAsia="宋体" w:cs="宋体"/>
          <w:color w:val="auto"/>
          <w:kern w:val="0"/>
          <w:sz w:val="24"/>
          <w:szCs w:val="24"/>
          <w:highlight w:val="none"/>
          <w:lang w:val="en-US" w:eastAsia="zh-CN"/>
        </w:rPr>
        <w:t>好</w:t>
      </w:r>
      <w:r>
        <w:rPr>
          <w:rFonts w:hint="eastAsia" w:ascii="宋体" w:hAnsi="宋体" w:eastAsia="宋体" w:cs="宋体"/>
          <w:color w:val="auto"/>
          <w:kern w:val="0"/>
          <w:sz w:val="24"/>
          <w:szCs w:val="24"/>
          <w:highlight w:val="none"/>
        </w:rPr>
        <w:t>健全的财务会计制度</w:t>
      </w:r>
      <w:r>
        <w:rPr>
          <w:rFonts w:hint="eastAsia" w:ascii="宋体" w:hAnsi="宋体" w:eastAsia="宋体" w:cs="宋体"/>
          <w:snapToGrid w:val="0"/>
          <w:color w:val="auto"/>
          <w:spacing w:val="-11"/>
          <w:kern w:val="0"/>
          <w:sz w:val="24"/>
          <w:szCs w:val="24"/>
          <w:highlight w:val="none"/>
        </w:rPr>
        <w:t>（须加盖公章）</w:t>
      </w:r>
    </w:p>
    <w:p w14:paraId="524DCA01">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color w:val="auto"/>
          <w:kern w:val="0"/>
          <w:sz w:val="24"/>
          <w:szCs w:val="24"/>
          <w:highlight w:val="none"/>
        </w:rPr>
        <w:t>须提供上年度财务审计报告或半年内任意一个月财务报表（财务报表应至少包括资产负债表、损益表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利润表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、现金流量表或财务状况变动表），当月新成立公司无需提供。</w:t>
      </w:r>
    </w:p>
    <w:p w14:paraId="7F6512B8">
      <w:pPr>
        <w:bidi w:val="0"/>
        <w:rPr>
          <w:rFonts w:hint="eastAsia" w:ascii="宋体" w:hAnsi="宋体" w:eastAsia="宋体" w:cs="宋体"/>
          <w:b/>
          <w:bCs/>
          <w:color w:val="auto"/>
          <w:sz w:val="28"/>
          <w:szCs w:val="28"/>
          <w:highlight w:val="none"/>
        </w:rPr>
      </w:pPr>
    </w:p>
    <w:p w14:paraId="717F7675">
      <w:pPr>
        <w:bidi w:val="0"/>
        <w:rPr>
          <w:rFonts w:hint="eastAsia" w:ascii="宋体" w:hAnsi="宋体" w:eastAsia="宋体" w:cs="宋体"/>
          <w:b/>
          <w:bCs/>
          <w:color w:val="auto"/>
          <w:sz w:val="28"/>
          <w:szCs w:val="28"/>
          <w:highlight w:val="none"/>
        </w:rPr>
      </w:pPr>
    </w:p>
    <w:p w14:paraId="78920C98">
      <w:pPr>
        <w:bidi w:val="0"/>
        <w:rPr>
          <w:rFonts w:hint="eastAsia" w:ascii="宋体" w:hAnsi="宋体" w:eastAsia="宋体" w:cs="宋体"/>
          <w:b/>
          <w:bCs/>
          <w:color w:val="auto"/>
          <w:sz w:val="28"/>
          <w:szCs w:val="28"/>
          <w:highlight w:val="none"/>
        </w:rPr>
      </w:pPr>
    </w:p>
    <w:p w14:paraId="3B6E53D5">
      <w:pPr>
        <w:bidi w:val="0"/>
        <w:rPr>
          <w:rFonts w:hint="eastAsia" w:ascii="宋体" w:hAnsi="宋体" w:eastAsia="宋体" w:cs="宋体"/>
          <w:b/>
          <w:bCs/>
          <w:color w:val="auto"/>
          <w:sz w:val="28"/>
          <w:szCs w:val="28"/>
          <w:highlight w:val="none"/>
        </w:rPr>
      </w:pPr>
    </w:p>
    <w:p w14:paraId="493390DA">
      <w:pPr>
        <w:bidi w:val="0"/>
        <w:rPr>
          <w:rFonts w:hint="eastAsia" w:ascii="宋体" w:hAnsi="宋体" w:eastAsia="宋体" w:cs="宋体"/>
          <w:b/>
          <w:bCs/>
          <w:color w:val="auto"/>
          <w:sz w:val="28"/>
          <w:szCs w:val="28"/>
          <w:highlight w:val="none"/>
        </w:rPr>
      </w:pPr>
    </w:p>
    <w:p w14:paraId="5456A2B6">
      <w:pPr>
        <w:bidi w:val="0"/>
        <w:rPr>
          <w:rFonts w:hint="eastAsia" w:ascii="宋体" w:hAnsi="宋体" w:eastAsia="宋体" w:cs="宋体"/>
          <w:b/>
          <w:bCs/>
          <w:color w:val="auto"/>
          <w:sz w:val="28"/>
          <w:szCs w:val="28"/>
          <w:highlight w:val="none"/>
        </w:rPr>
      </w:pPr>
    </w:p>
    <w:p w14:paraId="6A7F3AFE">
      <w:pPr>
        <w:bidi w:val="0"/>
        <w:rPr>
          <w:rFonts w:hint="eastAsia" w:ascii="宋体" w:hAnsi="宋体" w:eastAsia="宋体" w:cs="宋体"/>
          <w:b/>
          <w:bCs/>
          <w:color w:val="auto"/>
          <w:sz w:val="28"/>
          <w:szCs w:val="28"/>
          <w:highlight w:val="none"/>
        </w:rPr>
      </w:pPr>
    </w:p>
    <w:p w14:paraId="314DE5F0">
      <w:pPr>
        <w:bidi w:val="0"/>
        <w:rPr>
          <w:rFonts w:hint="eastAsia" w:ascii="宋体" w:hAnsi="宋体" w:eastAsia="宋体" w:cs="宋体"/>
          <w:b/>
          <w:bCs/>
          <w:color w:val="auto"/>
          <w:sz w:val="28"/>
          <w:szCs w:val="28"/>
          <w:highlight w:val="none"/>
        </w:rPr>
      </w:pPr>
    </w:p>
    <w:p w14:paraId="14996E34">
      <w:pPr>
        <w:bidi w:val="0"/>
        <w:rPr>
          <w:rFonts w:hint="eastAsia" w:ascii="宋体" w:hAnsi="宋体" w:eastAsia="宋体" w:cs="宋体"/>
          <w:b/>
          <w:bCs/>
          <w:color w:val="auto"/>
          <w:sz w:val="28"/>
          <w:szCs w:val="28"/>
          <w:highlight w:val="none"/>
        </w:rPr>
      </w:pPr>
    </w:p>
    <w:p w14:paraId="2BA7916A">
      <w:pPr>
        <w:bidi w:val="0"/>
        <w:rPr>
          <w:rFonts w:hint="eastAsia" w:ascii="宋体" w:hAnsi="宋体" w:eastAsia="宋体" w:cs="宋体"/>
          <w:b/>
          <w:bCs/>
          <w:color w:val="auto"/>
          <w:sz w:val="28"/>
          <w:szCs w:val="28"/>
          <w:highlight w:val="none"/>
        </w:rPr>
      </w:pPr>
    </w:p>
    <w:p w14:paraId="3CCCF5C6">
      <w:pPr>
        <w:bidi w:val="0"/>
        <w:rPr>
          <w:rFonts w:hint="eastAsia" w:ascii="宋体" w:hAnsi="宋体" w:eastAsia="宋体" w:cs="宋体"/>
          <w:b/>
          <w:bCs/>
          <w:color w:val="auto"/>
          <w:sz w:val="28"/>
          <w:szCs w:val="28"/>
          <w:highlight w:val="none"/>
        </w:rPr>
      </w:pPr>
    </w:p>
    <w:p w14:paraId="5AC26395">
      <w:pPr>
        <w:bidi w:val="0"/>
        <w:rPr>
          <w:rFonts w:hint="eastAsia" w:ascii="宋体" w:hAnsi="宋体" w:eastAsia="宋体" w:cs="宋体"/>
          <w:b/>
          <w:bCs/>
          <w:color w:val="auto"/>
          <w:sz w:val="28"/>
          <w:szCs w:val="28"/>
          <w:highlight w:val="none"/>
        </w:rPr>
      </w:pPr>
    </w:p>
    <w:p w14:paraId="61BA8831">
      <w:pPr>
        <w:bidi w:val="0"/>
        <w:rPr>
          <w:rFonts w:hint="eastAsia" w:ascii="宋体" w:hAnsi="宋体" w:eastAsia="宋体" w:cs="宋体"/>
          <w:b/>
          <w:bCs/>
          <w:color w:val="auto"/>
          <w:sz w:val="28"/>
          <w:szCs w:val="28"/>
          <w:highlight w:val="none"/>
        </w:rPr>
      </w:pPr>
    </w:p>
    <w:p w14:paraId="3C22F66C">
      <w:pPr>
        <w:bidi w:val="0"/>
        <w:rPr>
          <w:rFonts w:hint="eastAsia" w:ascii="宋体" w:hAnsi="宋体" w:eastAsia="宋体" w:cs="宋体"/>
          <w:b/>
          <w:bCs/>
          <w:color w:val="auto"/>
          <w:sz w:val="28"/>
          <w:szCs w:val="28"/>
          <w:highlight w:val="none"/>
        </w:rPr>
      </w:pPr>
    </w:p>
    <w:p w14:paraId="57EB611A">
      <w:pPr>
        <w:bidi w:val="0"/>
        <w:rPr>
          <w:rFonts w:hint="eastAsia" w:ascii="宋体" w:hAnsi="宋体" w:eastAsia="宋体" w:cs="宋体"/>
          <w:b/>
          <w:bCs/>
          <w:color w:val="auto"/>
          <w:sz w:val="28"/>
          <w:szCs w:val="28"/>
          <w:highlight w:val="none"/>
        </w:rPr>
      </w:pPr>
    </w:p>
    <w:p w14:paraId="0B6BD32E">
      <w:pPr>
        <w:bidi w:val="0"/>
        <w:rPr>
          <w:rFonts w:hint="eastAsia" w:ascii="宋体" w:hAnsi="宋体" w:eastAsia="宋体" w:cs="宋体"/>
          <w:b/>
          <w:bCs/>
          <w:color w:val="auto"/>
          <w:sz w:val="28"/>
          <w:szCs w:val="28"/>
          <w:highlight w:val="none"/>
        </w:rPr>
      </w:pPr>
    </w:p>
    <w:p w14:paraId="6A5F4F98">
      <w:pPr>
        <w:bidi w:val="0"/>
        <w:rPr>
          <w:rFonts w:hint="eastAsia" w:ascii="宋体" w:hAnsi="宋体" w:eastAsia="宋体" w:cs="宋体"/>
          <w:b/>
          <w:bCs/>
          <w:color w:val="auto"/>
          <w:sz w:val="28"/>
          <w:szCs w:val="28"/>
          <w:highlight w:val="none"/>
        </w:rPr>
      </w:pPr>
    </w:p>
    <w:p w14:paraId="1CD0E581">
      <w:pPr>
        <w:bidi w:val="0"/>
        <w:rPr>
          <w:rFonts w:hint="eastAsia" w:ascii="宋体" w:hAnsi="宋体" w:eastAsia="宋体" w:cs="宋体"/>
          <w:b/>
          <w:bCs/>
          <w:color w:val="auto"/>
          <w:sz w:val="28"/>
          <w:szCs w:val="28"/>
          <w:highlight w:val="none"/>
        </w:rPr>
      </w:pPr>
    </w:p>
    <w:p w14:paraId="27B1CAEB">
      <w:pPr>
        <w:bidi w:val="0"/>
        <w:jc w:val="left"/>
        <w:rPr>
          <w:rFonts w:hint="eastAsia" w:ascii="宋体" w:hAnsi="宋体" w:eastAsia="宋体" w:cs="宋体"/>
          <w:b/>
          <w:bCs/>
          <w:color w:val="auto"/>
          <w:sz w:val="28"/>
          <w:szCs w:val="28"/>
          <w:highlight w:val="none"/>
        </w:rPr>
      </w:pPr>
    </w:p>
    <w:p w14:paraId="373563F0">
      <w:pPr>
        <w:rPr>
          <w:rFonts w:ascii="宋体" w:hAnsi="宋体" w:eastAsia="宋体" w:cs="Tahoma"/>
          <w:color w:val="auto"/>
          <w:highlight w:val="none"/>
        </w:rPr>
      </w:pPr>
      <w:r>
        <w:rPr>
          <w:rFonts w:hint="eastAsia" w:ascii="宋体" w:hAnsi="宋体" w:eastAsia="宋体" w:cs="宋体"/>
          <w:color w:val="auto"/>
          <w:kern w:val="0"/>
          <w:sz w:val="24"/>
          <w:szCs w:val="24"/>
          <w:highlight w:val="none"/>
          <w:lang w:val="en-US" w:eastAsia="zh-CN"/>
        </w:rPr>
        <w:br w:type="page"/>
      </w:r>
      <w:r>
        <w:rPr>
          <w:rFonts w:hint="eastAsia" w:ascii="宋体" w:hAnsi="宋体" w:eastAsia="宋体" w:cs="宋体"/>
          <w:color w:val="auto"/>
          <w:kern w:val="0"/>
          <w:sz w:val="24"/>
          <w:szCs w:val="24"/>
          <w:highlight w:val="none"/>
          <w:lang w:val="en-US" w:eastAsia="zh-CN"/>
        </w:rPr>
        <w:t>3、具备履行合同所必需的专业技术能力</w:t>
      </w:r>
    </w:p>
    <w:p w14:paraId="5D3413DE">
      <w:pPr>
        <w:tabs>
          <w:tab w:val="left" w:pos="8280"/>
        </w:tabs>
        <w:spacing w:line="480" w:lineRule="exact"/>
        <w:jc w:val="center"/>
        <w:rPr>
          <w:rFonts w:hint="eastAsia" w:ascii="宋体" w:hAnsi="宋体" w:eastAsia="宋体" w:cs="Tahoma"/>
          <w:b/>
          <w:bCs/>
          <w:color w:val="auto"/>
          <w:highlight w:val="none"/>
        </w:rPr>
      </w:pPr>
    </w:p>
    <w:p w14:paraId="413A4E1B">
      <w:pPr>
        <w:tabs>
          <w:tab w:val="left" w:pos="8280"/>
        </w:tabs>
        <w:spacing w:line="480" w:lineRule="exact"/>
        <w:jc w:val="center"/>
        <w:rPr>
          <w:rFonts w:ascii="宋体" w:hAnsi="宋体" w:eastAsia="宋体" w:cs="Tahoma"/>
          <w:b/>
          <w:bCs/>
          <w:color w:val="auto"/>
          <w:highlight w:val="none"/>
        </w:rPr>
      </w:pPr>
      <w:r>
        <w:rPr>
          <w:rFonts w:hint="eastAsia" w:ascii="宋体" w:hAnsi="宋体" w:eastAsia="宋体" w:cs="Tahoma"/>
          <w:b/>
          <w:bCs/>
          <w:color w:val="auto"/>
          <w:highlight w:val="none"/>
        </w:rPr>
        <w:t>具备履行合同所必需的专业技术能力声明函</w:t>
      </w:r>
    </w:p>
    <w:p w14:paraId="69D8AB77">
      <w:pPr>
        <w:ind w:firstLine="480"/>
        <w:rPr>
          <w:rFonts w:ascii="宋体" w:hAnsi="宋体" w:eastAsia="宋体" w:cs="Tahoma"/>
          <w:color w:val="auto"/>
          <w:highlight w:val="none"/>
        </w:rPr>
      </w:pPr>
    </w:p>
    <w:p w14:paraId="46231DDF">
      <w:pPr>
        <w:spacing w:line="480" w:lineRule="exact"/>
        <w:rPr>
          <w:rFonts w:ascii="宋体" w:hAnsi="宋体" w:eastAsia="宋体" w:cs="Tahoma"/>
          <w:color w:val="auto"/>
          <w:highlight w:val="none"/>
          <w:u w:val="single"/>
        </w:rPr>
      </w:pPr>
      <w:r>
        <w:rPr>
          <w:rFonts w:hint="eastAsia" w:ascii="宋体" w:hAnsi="宋体" w:eastAsia="宋体" w:cs="Tahoma"/>
          <w:color w:val="auto"/>
          <w:highlight w:val="none"/>
          <w:u w:val="single"/>
          <w:lang w:eastAsia="zh-CN"/>
        </w:rPr>
        <w:t>（</w:t>
      </w:r>
      <w:r>
        <w:rPr>
          <w:rFonts w:hint="eastAsia" w:ascii="宋体" w:hAnsi="宋体" w:eastAsia="宋体" w:cs="Tahoma"/>
          <w:color w:val="auto"/>
          <w:highlight w:val="none"/>
          <w:u w:val="single"/>
        </w:rPr>
        <w:t>采购人名称</w:t>
      </w:r>
      <w:r>
        <w:rPr>
          <w:rFonts w:hint="eastAsia" w:ascii="宋体" w:hAnsi="宋体" w:eastAsia="宋体" w:cs="Tahoma"/>
          <w:color w:val="auto"/>
          <w:highlight w:val="none"/>
          <w:u w:val="single"/>
          <w:lang w:eastAsia="zh-CN"/>
        </w:rPr>
        <w:t>）</w:t>
      </w:r>
      <w:r>
        <w:rPr>
          <w:rFonts w:hint="eastAsia" w:ascii="宋体" w:hAnsi="宋体" w:eastAsia="宋体" w:cs="Tahoma"/>
          <w:color w:val="auto"/>
          <w:highlight w:val="none"/>
          <w:u w:val="single"/>
        </w:rPr>
        <w:t xml:space="preserve">      </w:t>
      </w:r>
      <w:r>
        <w:rPr>
          <w:rFonts w:hint="eastAsia" w:ascii="宋体" w:hAnsi="宋体" w:eastAsia="宋体" w:cs="Tahoma"/>
          <w:color w:val="auto"/>
          <w:highlight w:val="none"/>
        </w:rPr>
        <w:t>：</w:t>
      </w:r>
    </w:p>
    <w:p w14:paraId="2F6AEC66">
      <w:pPr>
        <w:spacing w:line="480" w:lineRule="exact"/>
        <w:ind w:firstLine="480"/>
        <w:rPr>
          <w:rFonts w:ascii="宋体" w:hAnsi="宋体" w:eastAsia="宋体" w:cs="Tahoma"/>
          <w:color w:val="auto"/>
          <w:highlight w:val="none"/>
        </w:rPr>
      </w:pPr>
    </w:p>
    <w:p w14:paraId="4149E78A">
      <w:pPr>
        <w:tabs>
          <w:tab w:val="left" w:pos="5580"/>
        </w:tabs>
        <w:spacing w:before="120" w:line="480" w:lineRule="exact"/>
        <w:ind w:left="210" w:leftChars="100" w:firstLine="210" w:firstLineChars="100"/>
        <w:rPr>
          <w:rFonts w:ascii="宋体" w:hAnsi="宋体" w:eastAsia="宋体"/>
          <w:color w:val="auto"/>
          <w:highlight w:val="none"/>
        </w:rPr>
      </w:pPr>
      <w:r>
        <w:rPr>
          <w:rFonts w:hint="eastAsia" w:ascii="宋体" w:hAnsi="宋体" w:eastAsia="宋体" w:cs="Tahoma"/>
          <w:color w:val="auto"/>
          <w:highlight w:val="none"/>
        </w:rPr>
        <w:t>对于贵单位的</w:t>
      </w:r>
      <w:r>
        <w:rPr>
          <w:rFonts w:hint="eastAsia" w:ascii="宋体" w:hAnsi="宋体" w:eastAsia="宋体" w:cs="Tahoma"/>
          <w:color w:val="auto"/>
          <w:highlight w:val="none"/>
          <w:u w:val="single"/>
        </w:rPr>
        <w:t xml:space="preserve">      （项目名称）      </w:t>
      </w:r>
      <w:r>
        <w:rPr>
          <w:rFonts w:hint="eastAsia" w:ascii="宋体" w:hAnsi="宋体" w:eastAsia="宋体" w:cs="Tahoma"/>
          <w:color w:val="auto"/>
          <w:highlight w:val="none"/>
        </w:rPr>
        <w:t>采购项目，我公司承诺</w:t>
      </w:r>
      <w:r>
        <w:rPr>
          <w:rFonts w:ascii="宋体" w:hAnsi="宋体" w:eastAsia="宋体"/>
          <w:color w:val="auto"/>
          <w:highlight w:val="none"/>
        </w:rPr>
        <w:t>具</w:t>
      </w:r>
      <w:r>
        <w:rPr>
          <w:rFonts w:hint="eastAsia" w:ascii="宋体" w:hAnsi="宋体" w:eastAsia="宋体"/>
          <w:color w:val="auto"/>
          <w:highlight w:val="none"/>
        </w:rPr>
        <w:t>备</w:t>
      </w:r>
      <w:r>
        <w:rPr>
          <w:rFonts w:ascii="宋体" w:hAnsi="宋体" w:eastAsia="宋体"/>
          <w:color w:val="auto"/>
          <w:highlight w:val="none"/>
        </w:rPr>
        <w:t>履行合同所必需的</w:t>
      </w:r>
      <w:r>
        <w:rPr>
          <w:rFonts w:hint="eastAsia" w:ascii="宋体" w:hAnsi="宋体" w:eastAsia="宋体"/>
          <w:color w:val="auto"/>
          <w:highlight w:val="none"/>
          <w:lang w:val="en-US" w:eastAsia="zh-CN"/>
        </w:rPr>
        <w:t>设备和</w:t>
      </w:r>
      <w:r>
        <w:rPr>
          <w:rFonts w:ascii="宋体" w:hAnsi="宋体" w:eastAsia="宋体"/>
          <w:color w:val="auto"/>
          <w:highlight w:val="none"/>
        </w:rPr>
        <w:t>专业技术能力</w:t>
      </w:r>
      <w:r>
        <w:rPr>
          <w:rFonts w:hint="eastAsia" w:ascii="宋体" w:hAnsi="宋体" w:eastAsia="宋体" w:cs="Tahoma"/>
          <w:color w:val="auto"/>
          <w:highlight w:val="none"/>
        </w:rPr>
        <w:t>。如我单位中标，在项目</w:t>
      </w:r>
      <w:r>
        <w:rPr>
          <w:rFonts w:hint="eastAsia" w:ascii="宋体" w:hAnsi="宋体" w:eastAsia="宋体" w:cs="Tahoma"/>
          <w:color w:val="auto"/>
          <w:highlight w:val="none"/>
          <w:lang w:eastAsia="zh-CN"/>
        </w:rPr>
        <w:t>实施过程</w:t>
      </w:r>
      <w:r>
        <w:rPr>
          <w:rFonts w:hint="eastAsia" w:ascii="宋体" w:hAnsi="宋体" w:eastAsia="宋体" w:cs="Tahoma"/>
          <w:color w:val="auto"/>
          <w:highlight w:val="none"/>
        </w:rPr>
        <w:t>中发现声明不实，我单位愿意放弃本次项目的中标资格，</w:t>
      </w:r>
      <w:r>
        <w:rPr>
          <w:rFonts w:hint="eastAsia" w:ascii="宋体" w:hAnsi="宋体" w:eastAsia="宋体"/>
          <w:color w:val="auto"/>
          <w:highlight w:val="none"/>
        </w:rPr>
        <w:t>并按照《中华人民共和国政府采购法》有关提供虚假材料的规定，接受处罚。</w:t>
      </w:r>
    </w:p>
    <w:p w14:paraId="4402678A">
      <w:pPr>
        <w:tabs>
          <w:tab w:val="left" w:pos="5580"/>
        </w:tabs>
        <w:spacing w:before="120" w:line="480" w:lineRule="exact"/>
        <w:ind w:firstLine="420" w:firstLineChars="200"/>
        <w:rPr>
          <w:rFonts w:hint="eastAsia" w:ascii="宋体" w:hAnsi="宋体" w:eastAsia="宋体"/>
          <w:color w:val="auto"/>
          <w:highlight w:val="none"/>
        </w:rPr>
      </w:pPr>
      <w:r>
        <w:rPr>
          <w:rFonts w:hint="eastAsia" w:ascii="宋体" w:hAnsi="宋体" w:eastAsia="宋体"/>
          <w:color w:val="auto"/>
          <w:highlight w:val="none"/>
        </w:rPr>
        <w:t>特此声明！</w:t>
      </w:r>
    </w:p>
    <w:p w14:paraId="4EFEB390">
      <w:pPr>
        <w:ind w:firstLine="480"/>
        <w:rPr>
          <w:rFonts w:ascii="宋体" w:hAnsi="宋体" w:eastAsia="宋体"/>
          <w:b/>
          <w:color w:val="auto"/>
          <w:highlight w:val="none"/>
        </w:rPr>
      </w:pPr>
    </w:p>
    <w:p w14:paraId="2F6B42EB">
      <w:pPr>
        <w:ind w:firstLine="480"/>
        <w:rPr>
          <w:rFonts w:ascii="宋体" w:hAnsi="宋体" w:eastAsia="宋体"/>
          <w:b/>
          <w:color w:val="auto"/>
          <w:highlight w:val="none"/>
        </w:rPr>
      </w:pPr>
    </w:p>
    <w:p w14:paraId="5BDD9D21">
      <w:pPr>
        <w:spacing w:before="156" w:beforeLines="50" w:line="440" w:lineRule="exact"/>
        <w:ind w:left="-103" w:leftChars="-49" w:firstLine="455" w:firstLineChars="217"/>
        <w:rPr>
          <w:rFonts w:ascii="宋体" w:hAnsi="宋体" w:eastAsia="宋体"/>
          <w:color w:val="auto"/>
          <w:highlight w:val="none"/>
        </w:rPr>
      </w:pPr>
      <w:r>
        <w:rPr>
          <w:rFonts w:hint="eastAsia" w:ascii="宋体" w:hAnsi="宋体" w:eastAsia="宋体"/>
          <w:color w:val="auto"/>
          <w:highlight w:val="none"/>
        </w:rPr>
        <w:t>供应商：（</w:t>
      </w:r>
      <w:r>
        <w:rPr>
          <w:rFonts w:hint="eastAsia" w:ascii="宋体" w:hAnsi="宋体" w:eastAsia="宋体"/>
          <w:color w:val="auto"/>
          <w:highlight w:val="none"/>
          <w:lang w:val="en-US" w:eastAsia="zh-CN"/>
        </w:rPr>
        <w:t>电子</w:t>
      </w:r>
      <w:r>
        <w:rPr>
          <w:rFonts w:hint="eastAsia" w:ascii="宋体" w:hAnsi="宋体" w:eastAsia="宋体"/>
          <w:color w:val="auto"/>
          <w:highlight w:val="none"/>
        </w:rPr>
        <w:t>公章）</w:t>
      </w:r>
    </w:p>
    <w:p w14:paraId="7BEE10B9">
      <w:pPr>
        <w:spacing w:before="156" w:beforeLines="50" w:line="440" w:lineRule="exact"/>
        <w:ind w:left="-103" w:leftChars="-49" w:firstLine="455" w:firstLineChars="217"/>
        <w:rPr>
          <w:rFonts w:ascii="宋体" w:hAnsi="宋体" w:eastAsia="宋体"/>
          <w:color w:val="auto"/>
          <w:highlight w:val="none"/>
        </w:rPr>
      </w:pPr>
      <w:r>
        <w:rPr>
          <w:rFonts w:ascii="宋体" w:hAnsi="宋体" w:eastAsia="宋体"/>
          <w:color w:val="auto"/>
          <w:highlight w:val="none"/>
        </w:rPr>
        <w:t>法定代表人</w:t>
      </w:r>
      <w:r>
        <w:rPr>
          <w:rFonts w:hint="eastAsia" w:ascii="宋体" w:hAnsi="宋体" w:eastAsia="宋体"/>
          <w:color w:val="auto"/>
          <w:highlight w:val="none"/>
        </w:rPr>
        <w:t>或负责人</w:t>
      </w:r>
      <w:r>
        <w:rPr>
          <w:rFonts w:ascii="宋体" w:hAnsi="宋体" w:eastAsia="宋体"/>
          <w:color w:val="auto"/>
          <w:highlight w:val="none"/>
        </w:rPr>
        <w:t>或其委托代理人：（</w:t>
      </w:r>
      <w:r>
        <w:rPr>
          <w:rFonts w:hint="eastAsia" w:ascii="宋体" w:hAnsi="宋体" w:eastAsia="宋体" w:cs="Tahoma"/>
          <w:color w:val="auto"/>
          <w:highlight w:val="none"/>
        </w:rPr>
        <w:t>签章</w:t>
      </w:r>
      <w:r>
        <w:rPr>
          <w:rFonts w:ascii="宋体" w:hAnsi="宋体" w:eastAsia="宋体"/>
          <w:color w:val="auto"/>
          <w:highlight w:val="none"/>
        </w:rPr>
        <w:t>）</w:t>
      </w:r>
    </w:p>
    <w:p w14:paraId="6635EAF4">
      <w:pPr>
        <w:spacing w:before="156" w:beforeLines="50" w:line="440" w:lineRule="exact"/>
        <w:ind w:left="-103" w:leftChars="-49" w:firstLine="455" w:firstLineChars="217"/>
        <w:rPr>
          <w:rFonts w:ascii="宋体" w:hAnsi="宋体" w:eastAsia="宋体"/>
          <w:color w:val="auto"/>
          <w:highlight w:val="none"/>
        </w:rPr>
      </w:pPr>
      <w:r>
        <w:rPr>
          <w:rFonts w:ascii="宋体" w:hAnsi="宋体" w:eastAsia="宋体"/>
          <w:color w:val="auto"/>
          <w:highlight w:val="none"/>
        </w:rPr>
        <w:t>日</w:t>
      </w:r>
      <w:r>
        <w:rPr>
          <w:rFonts w:hint="eastAsia" w:ascii="宋体" w:hAnsi="宋体" w:eastAsia="宋体"/>
          <w:color w:val="auto"/>
          <w:highlight w:val="none"/>
        </w:rPr>
        <w:t xml:space="preserve">  </w:t>
      </w:r>
      <w:r>
        <w:rPr>
          <w:rFonts w:ascii="宋体" w:hAnsi="宋体" w:eastAsia="宋体"/>
          <w:color w:val="auto"/>
          <w:highlight w:val="none"/>
        </w:rPr>
        <w:t>期：</w:t>
      </w:r>
    </w:p>
    <w:p w14:paraId="484226D6">
      <w:pP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br w:type="page"/>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、具有依法缴纳税收和社会保障资金的良好记录</w:t>
      </w:r>
      <w:r>
        <w:rPr>
          <w:rFonts w:hint="eastAsia" w:ascii="宋体" w:hAnsi="宋体" w:eastAsia="宋体" w:cs="宋体"/>
          <w:snapToGrid w:val="0"/>
          <w:color w:val="auto"/>
          <w:spacing w:val="-11"/>
          <w:kern w:val="0"/>
          <w:sz w:val="24"/>
          <w:szCs w:val="24"/>
          <w:highlight w:val="none"/>
        </w:rPr>
        <w:t>（须加盖</w:t>
      </w:r>
      <w:r>
        <w:rPr>
          <w:rFonts w:hint="eastAsia" w:ascii="宋体" w:hAnsi="宋体" w:eastAsia="宋体" w:cs="宋体"/>
          <w:snapToGrid w:val="0"/>
          <w:color w:val="auto"/>
          <w:spacing w:val="-11"/>
          <w:kern w:val="0"/>
          <w:sz w:val="24"/>
          <w:szCs w:val="24"/>
          <w:highlight w:val="none"/>
          <w:lang w:val="en-US" w:eastAsia="zh-CN"/>
        </w:rPr>
        <w:t>电子</w:t>
      </w:r>
      <w:r>
        <w:rPr>
          <w:rFonts w:hint="eastAsia" w:ascii="宋体" w:hAnsi="宋体" w:eastAsia="宋体" w:cs="宋体"/>
          <w:snapToGrid w:val="0"/>
          <w:color w:val="auto"/>
          <w:spacing w:val="-11"/>
          <w:kern w:val="0"/>
          <w:sz w:val="24"/>
          <w:szCs w:val="24"/>
          <w:highlight w:val="none"/>
        </w:rPr>
        <w:t>公章）</w:t>
      </w:r>
    </w:p>
    <w:p w14:paraId="4F35A347">
      <w:pPr>
        <w:tabs>
          <w:tab w:val="left" w:pos="993"/>
          <w:tab w:val="left" w:pos="1030"/>
          <w:tab w:val="left" w:pos="8364"/>
        </w:tabs>
        <w:snapToGrid w:val="0"/>
        <w:spacing w:after="156" w:afterLines="50" w:line="480" w:lineRule="exact"/>
        <w:ind w:right="-57" w:rightChars="-27" w:firstLine="480" w:firstLineChars="200"/>
        <w:jc w:val="left"/>
        <w:rPr>
          <w:rFonts w:ascii="宋体" w:hAnsi="宋体"/>
          <w:color w:val="auto"/>
          <w:sz w:val="24"/>
          <w:highlight w:val="none"/>
        </w:rPr>
      </w:pPr>
      <w:r>
        <w:rPr>
          <w:rFonts w:hint="eastAsia" w:ascii="宋体" w:hAnsi="宋体" w:cs="宋体"/>
          <w:color w:val="auto"/>
          <w:sz w:val="24"/>
          <w:highlight w:val="none"/>
        </w:rPr>
        <w:t>须提供的近三个月</w:t>
      </w:r>
      <w:r>
        <w:rPr>
          <w:rFonts w:hint="eastAsia" w:ascii="宋体" w:hAnsi="宋体" w:cs="宋体"/>
          <w:color w:val="auto"/>
          <w:sz w:val="24"/>
          <w:highlight w:val="none"/>
          <w:lang w:eastAsia="zh-CN"/>
        </w:rPr>
        <w:t>内</w:t>
      </w:r>
      <w:r>
        <w:rPr>
          <w:rFonts w:hint="eastAsia" w:ascii="宋体" w:hAnsi="宋体" w:cs="宋体"/>
          <w:color w:val="auto"/>
          <w:sz w:val="24"/>
          <w:highlight w:val="none"/>
        </w:rPr>
        <w:t>任意一月依法缴纳税收证明，当月新成立公司</w:t>
      </w:r>
      <w:r>
        <w:rPr>
          <w:rFonts w:hint="eastAsia" w:ascii="宋体" w:hAnsi="宋体" w:eastAsia="宋体" w:cs="宋体"/>
          <w:color w:val="auto"/>
          <w:sz w:val="24"/>
          <w:highlight w:val="none"/>
          <w:lang w:val="en-US" w:eastAsia="zh-CN"/>
        </w:rPr>
        <w:t>无</w:t>
      </w:r>
      <w:r>
        <w:rPr>
          <w:rFonts w:hint="eastAsia" w:ascii="宋体" w:hAnsi="宋体" w:cs="宋体"/>
          <w:color w:val="auto"/>
          <w:sz w:val="24"/>
          <w:highlight w:val="none"/>
        </w:rPr>
        <w:t>需提供；无需纳税或免税的也需提供相应证明材料。</w:t>
      </w:r>
    </w:p>
    <w:p w14:paraId="56556094">
      <w:pPr>
        <w:pStyle w:val="6"/>
        <w:rPr>
          <w:rFonts w:hint="eastAsia"/>
          <w:color w:val="auto"/>
          <w:highlight w:val="none"/>
        </w:rPr>
      </w:pPr>
    </w:p>
    <w:p w14:paraId="4788585B">
      <w:pPr>
        <w:bidi w:val="0"/>
        <w:jc w:val="left"/>
        <w:rPr>
          <w:rFonts w:hint="eastAsia" w:ascii="宋体" w:hAnsi="宋体" w:eastAsia="宋体" w:cs="宋体"/>
          <w:b/>
          <w:bCs/>
          <w:color w:val="auto"/>
          <w:sz w:val="28"/>
          <w:szCs w:val="28"/>
          <w:highlight w:val="none"/>
        </w:rPr>
      </w:pPr>
    </w:p>
    <w:p w14:paraId="74F496A9">
      <w:pPr>
        <w:bidi w:val="0"/>
        <w:rPr>
          <w:rFonts w:hint="eastAsia" w:ascii="宋体" w:hAnsi="宋体" w:eastAsia="宋体" w:cs="宋体"/>
          <w:b/>
          <w:bCs/>
          <w:color w:val="auto"/>
          <w:sz w:val="28"/>
          <w:szCs w:val="28"/>
          <w:highlight w:val="none"/>
        </w:rPr>
      </w:pPr>
    </w:p>
    <w:p w14:paraId="75A8CCCA">
      <w:pPr>
        <w:bidi w:val="0"/>
        <w:rPr>
          <w:rFonts w:hint="eastAsia" w:ascii="宋体" w:hAnsi="宋体" w:eastAsia="宋体" w:cs="宋体"/>
          <w:b/>
          <w:bCs/>
          <w:color w:val="auto"/>
          <w:sz w:val="28"/>
          <w:szCs w:val="28"/>
          <w:highlight w:val="none"/>
        </w:rPr>
      </w:pPr>
    </w:p>
    <w:p w14:paraId="075CB78F">
      <w:pPr>
        <w:bidi w:val="0"/>
        <w:rPr>
          <w:rFonts w:hint="eastAsia" w:ascii="宋体" w:hAnsi="宋体" w:eastAsia="宋体" w:cs="宋体"/>
          <w:b/>
          <w:bCs/>
          <w:color w:val="auto"/>
          <w:sz w:val="28"/>
          <w:szCs w:val="28"/>
          <w:highlight w:val="none"/>
        </w:rPr>
      </w:pPr>
    </w:p>
    <w:p w14:paraId="7340AF42">
      <w:pPr>
        <w:bidi w:val="0"/>
        <w:rPr>
          <w:rFonts w:hint="eastAsia" w:ascii="宋体" w:hAnsi="宋体" w:eastAsia="宋体" w:cs="宋体"/>
          <w:b/>
          <w:bCs/>
          <w:color w:val="auto"/>
          <w:sz w:val="28"/>
          <w:szCs w:val="28"/>
          <w:highlight w:val="none"/>
        </w:rPr>
      </w:pPr>
    </w:p>
    <w:p w14:paraId="57532AF3">
      <w:pPr>
        <w:bidi w:val="0"/>
        <w:rPr>
          <w:rFonts w:hint="eastAsia" w:ascii="宋体" w:hAnsi="宋体" w:eastAsia="宋体" w:cs="宋体"/>
          <w:b/>
          <w:bCs/>
          <w:color w:val="auto"/>
          <w:sz w:val="28"/>
          <w:szCs w:val="28"/>
          <w:highlight w:val="none"/>
        </w:rPr>
      </w:pPr>
    </w:p>
    <w:p w14:paraId="21928D04">
      <w:pPr>
        <w:bidi w:val="0"/>
        <w:rPr>
          <w:rFonts w:hint="eastAsia" w:ascii="宋体" w:hAnsi="宋体" w:eastAsia="宋体" w:cs="宋体"/>
          <w:b/>
          <w:bCs/>
          <w:color w:val="auto"/>
          <w:sz w:val="28"/>
          <w:szCs w:val="28"/>
          <w:highlight w:val="none"/>
        </w:rPr>
      </w:pPr>
    </w:p>
    <w:p w14:paraId="66477A72">
      <w:pPr>
        <w:bidi w:val="0"/>
        <w:rPr>
          <w:rFonts w:hint="eastAsia" w:ascii="宋体" w:hAnsi="宋体" w:eastAsia="宋体" w:cs="宋体"/>
          <w:b/>
          <w:bCs/>
          <w:color w:val="auto"/>
          <w:sz w:val="28"/>
          <w:szCs w:val="28"/>
          <w:highlight w:val="none"/>
        </w:rPr>
      </w:pPr>
    </w:p>
    <w:p w14:paraId="33AECAD0">
      <w:pPr>
        <w:bidi w:val="0"/>
        <w:rPr>
          <w:rFonts w:hint="eastAsia" w:ascii="宋体" w:hAnsi="宋体" w:eastAsia="宋体" w:cs="宋体"/>
          <w:b/>
          <w:bCs/>
          <w:color w:val="auto"/>
          <w:sz w:val="28"/>
          <w:szCs w:val="28"/>
          <w:highlight w:val="none"/>
        </w:rPr>
      </w:pPr>
    </w:p>
    <w:p w14:paraId="0A1D3FF0">
      <w:pPr>
        <w:bidi w:val="0"/>
        <w:rPr>
          <w:rFonts w:hint="eastAsia" w:ascii="宋体" w:hAnsi="宋体" w:eastAsia="宋体" w:cs="宋体"/>
          <w:b/>
          <w:bCs/>
          <w:color w:val="auto"/>
          <w:sz w:val="28"/>
          <w:szCs w:val="28"/>
          <w:highlight w:val="none"/>
        </w:rPr>
      </w:pPr>
    </w:p>
    <w:p w14:paraId="54671427">
      <w:pPr>
        <w:bidi w:val="0"/>
        <w:rPr>
          <w:rFonts w:hint="eastAsia" w:ascii="宋体" w:hAnsi="宋体" w:eastAsia="宋体" w:cs="宋体"/>
          <w:b/>
          <w:bCs/>
          <w:color w:val="auto"/>
          <w:sz w:val="28"/>
          <w:szCs w:val="28"/>
          <w:highlight w:val="none"/>
        </w:rPr>
      </w:pPr>
    </w:p>
    <w:p w14:paraId="269E7579">
      <w:pPr>
        <w:bidi w:val="0"/>
        <w:rPr>
          <w:rFonts w:hint="eastAsia" w:ascii="宋体" w:hAnsi="宋体" w:eastAsia="宋体" w:cs="宋体"/>
          <w:b/>
          <w:bCs/>
          <w:color w:val="auto"/>
          <w:sz w:val="28"/>
          <w:szCs w:val="28"/>
          <w:highlight w:val="none"/>
        </w:rPr>
      </w:pPr>
    </w:p>
    <w:p w14:paraId="19D4E39A">
      <w:pPr>
        <w:bidi w:val="0"/>
        <w:rPr>
          <w:rFonts w:hint="eastAsia" w:ascii="宋体" w:hAnsi="宋体" w:eastAsia="宋体" w:cs="宋体"/>
          <w:b/>
          <w:bCs/>
          <w:color w:val="auto"/>
          <w:sz w:val="28"/>
          <w:szCs w:val="28"/>
          <w:highlight w:val="none"/>
        </w:rPr>
      </w:pPr>
    </w:p>
    <w:p w14:paraId="4406DCA9">
      <w:pPr>
        <w:bidi w:val="0"/>
        <w:rPr>
          <w:rFonts w:hint="eastAsia" w:ascii="宋体" w:hAnsi="宋体" w:eastAsia="宋体" w:cs="宋体"/>
          <w:b/>
          <w:bCs/>
          <w:color w:val="auto"/>
          <w:sz w:val="28"/>
          <w:szCs w:val="28"/>
          <w:highlight w:val="none"/>
        </w:rPr>
      </w:pPr>
    </w:p>
    <w:p w14:paraId="2CA65E39">
      <w:pPr>
        <w:bidi w:val="0"/>
        <w:rPr>
          <w:rFonts w:hint="eastAsia" w:ascii="宋体" w:hAnsi="宋体" w:eastAsia="宋体" w:cs="宋体"/>
          <w:b/>
          <w:bCs/>
          <w:color w:val="auto"/>
          <w:sz w:val="28"/>
          <w:szCs w:val="28"/>
          <w:highlight w:val="none"/>
        </w:rPr>
      </w:pPr>
    </w:p>
    <w:p w14:paraId="0A0F141E">
      <w:pPr>
        <w:bidi w:val="0"/>
        <w:rPr>
          <w:rFonts w:hint="eastAsia" w:ascii="宋体" w:hAnsi="宋体" w:eastAsia="宋体" w:cs="宋体"/>
          <w:b/>
          <w:bCs/>
          <w:color w:val="auto"/>
          <w:sz w:val="28"/>
          <w:szCs w:val="28"/>
          <w:highlight w:val="none"/>
        </w:rPr>
      </w:pPr>
    </w:p>
    <w:p w14:paraId="0C2D1448">
      <w:pPr>
        <w:bidi w:val="0"/>
        <w:rPr>
          <w:rFonts w:hint="eastAsia" w:ascii="宋体" w:hAnsi="宋体" w:eastAsia="宋体" w:cs="宋体"/>
          <w:b/>
          <w:bCs/>
          <w:color w:val="auto"/>
          <w:sz w:val="28"/>
          <w:szCs w:val="28"/>
          <w:highlight w:val="none"/>
        </w:rPr>
      </w:pPr>
    </w:p>
    <w:p w14:paraId="20144158">
      <w:pPr>
        <w:bidi w:val="0"/>
        <w:jc w:val="left"/>
        <w:rPr>
          <w:rFonts w:hint="eastAsia" w:ascii="宋体" w:hAnsi="宋体" w:eastAsia="宋体" w:cs="宋体"/>
          <w:b/>
          <w:bCs/>
          <w:color w:val="auto"/>
          <w:sz w:val="28"/>
          <w:szCs w:val="28"/>
          <w:highlight w:val="none"/>
        </w:rPr>
      </w:pPr>
    </w:p>
    <w:p w14:paraId="7D09CD50">
      <w:pP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br w:type="page"/>
      </w:r>
    </w:p>
    <w:p w14:paraId="40D7B9C1">
      <w:pP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、参加政府采购活动近三年内在经营活动中没有重大违法记录</w:t>
      </w:r>
    </w:p>
    <w:p w14:paraId="4B265DAE">
      <w:pPr>
        <w:shd w:val="clear" w:color="auto" w:fill="FFFFFF"/>
        <w:spacing w:line="480" w:lineRule="exact"/>
        <w:ind w:firstLine="420" w:firstLineChars="200"/>
        <w:jc w:val="left"/>
        <w:rPr>
          <w:rFonts w:ascii="宋体" w:hAnsi="宋体" w:eastAsia="宋体" w:cs="宋体"/>
          <w:color w:val="auto"/>
          <w:highlight w:val="none"/>
        </w:rPr>
      </w:pPr>
    </w:p>
    <w:p w14:paraId="6E2971CA">
      <w:pPr>
        <w:jc w:val="center"/>
        <w:rPr>
          <w:rFonts w:ascii="宋体" w:hAnsi="宋体" w:eastAsia="宋体" w:cs="宋体"/>
          <w:b/>
          <w:bCs/>
          <w:color w:val="auto"/>
          <w:sz w:val="28"/>
          <w:szCs w:val="28"/>
          <w:highlight w:val="none"/>
        </w:rPr>
      </w:pPr>
      <w:bookmarkStart w:id="165" w:name="_Toc12673"/>
      <w:r>
        <w:rPr>
          <w:rFonts w:hint="eastAsia" w:ascii="宋体" w:hAnsi="宋体" w:eastAsia="宋体" w:cs="宋体"/>
          <w:b/>
          <w:bCs/>
          <w:color w:val="auto"/>
          <w:sz w:val="28"/>
          <w:szCs w:val="28"/>
          <w:highlight w:val="none"/>
        </w:rPr>
        <w:t>近三年内在经营活动中没有重大违法记录的书面声明</w:t>
      </w:r>
      <w:bookmarkEnd w:id="165"/>
    </w:p>
    <w:p w14:paraId="163B7E99">
      <w:pPr>
        <w:pStyle w:val="51"/>
        <w:spacing w:line="480" w:lineRule="exact"/>
        <w:jc w:val="center"/>
        <w:rPr>
          <w:rFonts w:ascii="宋体" w:hAnsi="宋体" w:cs="宋体"/>
          <w:color w:val="auto"/>
          <w:sz w:val="24"/>
          <w:szCs w:val="24"/>
          <w:highlight w:val="none"/>
        </w:rPr>
      </w:pPr>
    </w:p>
    <w:p w14:paraId="1D307981">
      <w:pPr>
        <w:tabs>
          <w:tab w:val="left" w:pos="5580"/>
        </w:tabs>
        <w:spacing w:before="120" w:line="480" w:lineRule="exact"/>
        <w:rPr>
          <w:rFonts w:ascii="宋体" w:hAnsi="宋体"/>
          <w:color w:val="auto"/>
          <w:sz w:val="24"/>
          <w:highlight w:val="none"/>
        </w:rPr>
      </w:pPr>
      <w:r>
        <w:rPr>
          <w:rFonts w:hint="eastAsia" w:ascii="宋体" w:hAnsi="宋体"/>
          <w:color w:val="auto"/>
          <w:sz w:val="24"/>
          <w:highlight w:val="none"/>
          <w:u w:val="single"/>
        </w:rPr>
        <w:t>（采购人）</w:t>
      </w:r>
      <w:r>
        <w:rPr>
          <w:rFonts w:hint="eastAsia" w:ascii="宋体" w:hAnsi="宋体"/>
          <w:color w:val="auto"/>
          <w:sz w:val="24"/>
          <w:highlight w:val="none"/>
        </w:rPr>
        <w:t>：</w:t>
      </w:r>
    </w:p>
    <w:p w14:paraId="1C5C0489">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在本项目</w:t>
      </w:r>
      <w:r>
        <w:rPr>
          <w:rFonts w:hint="eastAsia" w:ascii="宋体" w:hAnsi="宋体" w:eastAsia="宋体" w:cs="宋体"/>
          <w:color w:val="auto"/>
          <w:sz w:val="24"/>
          <w:szCs w:val="24"/>
          <w:highlight w:val="none"/>
          <w:lang w:eastAsia="zh-CN"/>
        </w:rPr>
        <w:t>响应文件</w:t>
      </w:r>
      <w:r>
        <w:rPr>
          <w:rFonts w:ascii="宋体" w:hAnsi="宋体" w:eastAsia="宋体" w:cs="宋体"/>
          <w:color w:val="auto"/>
          <w:sz w:val="24"/>
          <w:szCs w:val="24"/>
          <w:highlight w:val="none"/>
        </w:rPr>
        <w:t>递交截止时间前，我公司郑重承诺在参加本项目政府采购活动前三年内，在经营活动中无重大违法记录。公司未受到刑事处罚或责令停业、吊销许可证（或执照）、较大数额罚款（较大数额罚款认定为200万元以上的罚款，法律、行政法规以及国务院有关部门明确规定相关领域“较大数额罚款”标准高于200万元的，从其规定。）等行政处罚；未处于财产被接管、冻结、破产状况。</w:t>
      </w:r>
    </w:p>
    <w:p w14:paraId="4F52FAD6">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color w:val="auto"/>
          <w:sz w:val="24"/>
          <w:highlight w:val="none"/>
        </w:rPr>
        <w:t>如发现我单位提供的声明函不实时，</w:t>
      </w:r>
      <w:r>
        <w:rPr>
          <w:rFonts w:hint="eastAsia" w:ascii="宋体" w:hAnsi="宋体" w:eastAsia="宋体" w:cs="宋体"/>
          <w:color w:val="auto"/>
          <w:sz w:val="24"/>
          <w:highlight w:val="none"/>
        </w:rPr>
        <w:t>我公司愿意承担一切法律责任并认可采购人或采购代理机构作出的取消</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rPr>
        <w:t>资格、罚没保证金等决定。</w:t>
      </w:r>
    </w:p>
    <w:p w14:paraId="6E326A75">
      <w:pPr>
        <w:tabs>
          <w:tab w:val="left" w:pos="5580"/>
        </w:tabs>
        <w:spacing w:line="480" w:lineRule="exact"/>
        <w:ind w:firstLine="480" w:firstLineChars="200"/>
        <w:rPr>
          <w:rFonts w:ascii="宋体" w:hAnsi="宋体"/>
          <w:color w:val="auto"/>
          <w:sz w:val="24"/>
          <w:highlight w:val="none"/>
        </w:rPr>
      </w:pPr>
      <w:r>
        <w:rPr>
          <w:rFonts w:hint="eastAsia" w:ascii="宋体" w:hAnsi="宋体"/>
          <w:color w:val="auto"/>
          <w:sz w:val="24"/>
          <w:highlight w:val="none"/>
        </w:rPr>
        <w:t>特此声明！</w:t>
      </w:r>
    </w:p>
    <w:p w14:paraId="3A17586D">
      <w:pPr>
        <w:tabs>
          <w:tab w:val="left" w:pos="5580"/>
        </w:tabs>
        <w:spacing w:before="120" w:line="360" w:lineRule="auto"/>
        <w:ind w:firstLine="480" w:firstLineChars="200"/>
        <w:rPr>
          <w:rFonts w:ascii="宋体" w:hAnsi="宋体"/>
          <w:color w:val="auto"/>
          <w:sz w:val="24"/>
          <w:highlight w:val="none"/>
        </w:rPr>
      </w:pPr>
    </w:p>
    <w:p w14:paraId="4BCC1FCC">
      <w:pPr>
        <w:spacing w:before="156" w:beforeLines="50" w:line="440" w:lineRule="exact"/>
        <w:ind w:left="-103" w:leftChars="-49" w:firstLine="520" w:firstLineChars="217"/>
        <w:rPr>
          <w:rFonts w:ascii="宋体" w:hAnsi="宋体"/>
          <w:color w:val="auto"/>
          <w:sz w:val="24"/>
          <w:highlight w:val="none"/>
        </w:rPr>
      </w:pPr>
      <w:r>
        <w:rPr>
          <w:rFonts w:hint="eastAsia" w:ascii="宋体" w:hAnsi="宋体"/>
          <w:color w:val="auto"/>
          <w:sz w:val="24"/>
          <w:highlight w:val="none"/>
        </w:rPr>
        <w:t>供应商：（</w:t>
      </w:r>
      <w:r>
        <w:rPr>
          <w:rFonts w:hint="eastAsia" w:ascii="宋体" w:hAnsi="宋体"/>
          <w:color w:val="auto"/>
          <w:sz w:val="24"/>
          <w:highlight w:val="none"/>
          <w:lang w:val="en-US" w:eastAsia="zh-CN"/>
        </w:rPr>
        <w:t>电子</w:t>
      </w:r>
      <w:r>
        <w:rPr>
          <w:rFonts w:hint="eastAsia" w:ascii="宋体" w:hAnsi="宋体"/>
          <w:color w:val="auto"/>
          <w:sz w:val="24"/>
          <w:highlight w:val="none"/>
        </w:rPr>
        <w:t>公章）</w:t>
      </w:r>
    </w:p>
    <w:p w14:paraId="5A0CCEDD">
      <w:pPr>
        <w:spacing w:before="156" w:beforeLines="50" w:line="440" w:lineRule="exact"/>
        <w:ind w:left="-103" w:leftChars="-49" w:firstLine="520" w:firstLineChars="217"/>
        <w:rPr>
          <w:rFonts w:ascii="宋体" w:hAnsi="宋体"/>
          <w:color w:val="auto"/>
          <w:sz w:val="24"/>
          <w:highlight w:val="none"/>
        </w:rPr>
      </w:pPr>
      <w:r>
        <w:rPr>
          <w:rFonts w:ascii="宋体" w:hAnsi="宋体"/>
          <w:color w:val="auto"/>
          <w:sz w:val="24"/>
          <w:highlight w:val="none"/>
        </w:rPr>
        <w:t>法定代表人</w:t>
      </w:r>
      <w:r>
        <w:rPr>
          <w:rFonts w:hint="eastAsia" w:ascii="宋体" w:hAnsi="宋体" w:eastAsia="宋体"/>
          <w:color w:val="auto"/>
          <w:sz w:val="24"/>
          <w:highlight w:val="none"/>
          <w:lang w:eastAsia="zh-CN"/>
        </w:rPr>
        <w:t>或负责人</w:t>
      </w:r>
      <w:r>
        <w:rPr>
          <w:rFonts w:ascii="宋体" w:hAnsi="宋体"/>
          <w:color w:val="auto"/>
          <w:sz w:val="24"/>
          <w:highlight w:val="none"/>
        </w:rPr>
        <w:t>或其委托代理人：（</w:t>
      </w:r>
      <w:r>
        <w:rPr>
          <w:rFonts w:hint="eastAsia" w:ascii="宋体" w:hAnsi="宋体"/>
          <w:color w:val="auto"/>
          <w:sz w:val="24"/>
          <w:highlight w:val="none"/>
        </w:rPr>
        <w:t>签章</w:t>
      </w:r>
      <w:r>
        <w:rPr>
          <w:rFonts w:ascii="宋体" w:hAnsi="宋体"/>
          <w:color w:val="auto"/>
          <w:sz w:val="24"/>
          <w:highlight w:val="none"/>
        </w:rPr>
        <w:t>）</w:t>
      </w:r>
    </w:p>
    <w:p w14:paraId="4ADB91FD">
      <w:pPr>
        <w:spacing w:before="156" w:beforeLines="50" w:line="440" w:lineRule="exact"/>
        <w:ind w:left="-103" w:leftChars="-49" w:firstLine="520" w:firstLineChars="217"/>
        <w:rPr>
          <w:rFonts w:ascii="宋体" w:hAnsi="宋体"/>
          <w:color w:val="auto"/>
          <w:sz w:val="24"/>
          <w:highlight w:val="none"/>
        </w:rPr>
      </w:pPr>
      <w:r>
        <w:rPr>
          <w:rFonts w:ascii="宋体" w:hAnsi="宋体"/>
          <w:color w:val="auto"/>
          <w:sz w:val="24"/>
          <w:highlight w:val="none"/>
        </w:rPr>
        <w:t>日</w:t>
      </w:r>
      <w:r>
        <w:rPr>
          <w:rFonts w:hint="eastAsia" w:ascii="宋体" w:hAnsi="宋体"/>
          <w:color w:val="auto"/>
          <w:sz w:val="24"/>
          <w:highlight w:val="none"/>
        </w:rPr>
        <w:t xml:space="preserve">  </w:t>
      </w:r>
      <w:r>
        <w:rPr>
          <w:rFonts w:ascii="宋体" w:hAnsi="宋体"/>
          <w:color w:val="auto"/>
          <w:sz w:val="24"/>
          <w:highlight w:val="none"/>
        </w:rPr>
        <w:t>期：</w:t>
      </w:r>
    </w:p>
    <w:p w14:paraId="16DDBE66">
      <w:pPr>
        <w:bidi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rPr>
        <w:br w:type="page"/>
      </w:r>
      <w:r>
        <w:rPr>
          <w:rFonts w:hint="eastAsia" w:ascii="宋体" w:hAnsi="宋体" w:eastAsia="宋体" w:cs="宋体"/>
          <w:b w:val="0"/>
          <w:bCs w:val="0"/>
          <w:color w:val="auto"/>
          <w:kern w:val="0"/>
          <w:sz w:val="24"/>
          <w:highlight w:val="none"/>
        </w:rPr>
        <w:t>（二）</w:t>
      </w:r>
      <w:r>
        <w:rPr>
          <w:rFonts w:hint="eastAsia" w:ascii="宋体" w:hAnsi="宋体" w:eastAsia="宋体" w:cs="宋体"/>
          <w:color w:val="auto"/>
          <w:kern w:val="0"/>
          <w:sz w:val="24"/>
          <w:highlight w:val="none"/>
        </w:rPr>
        <w:t>法定代表人</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或负责人</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身份证明及授权委托书</w:t>
      </w:r>
    </w:p>
    <w:p w14:paraId="20A78160">
      <w:pPr>
        <w:shd w:val="clear" w:color="auto" w:fill="FFFFFF"/>
        <w:spacing w:line="480" w:lineRule="exact"/>
        <w:jc w:val="left"/>
        <w:rPr>
          <w:rFonts w:hint="eastAsia" w:ascii="宋体" w:hAnsi="宋体" w:eastAsia="宋体" w:cs="宋体"/>
          <w:bCs/>
          <w:color w:val="auto"/>
          <w:sz w:val="24"/>
          <w:highlight w:val="none"/>
        </w:rPr>
      </w:pPr>
    </w:p>
    <w:p w14:paraId="4EFA056F">
      <w:pPr>
        <w:shd w:val="clear" w:color="auto" w:fill="FFFFFF"/>
        <w:spacing w:line="480" w:lineRule="exact"/>
        <w:jc w:val="center"/>
        <w:rPr>
          <w:rFonts w:hint="eastAsia" w:ascii="宋体" w:hAnsi="宋体" w:eastAsia="宋体" w:cs="宋体"/>
          <w:color w:val="auto"/>
          <w:sz w:val="28"/>
          <w:szCs w:val="28"/>
          <w:highlight w:val="none"/>
        </w:rPr>
      </w:pPr>
      <w:r>
        <w:rPr>
          <w:rFonts w:hint="eastAsia" w:ascii="宋体" w:hAnsi="宋体" w:eastAsia="宋体" w:cs="宋体"/>
          <w:b/>
          <w:bCs/>
          <w:color w:val="auto"/>
          <w:kern w:val="0"/>
          <w:sz w:val="24"/>
          <w:highlight w:val="none"/>
        </w:rPr>
        <w:t xml:space="preserve">  </w:t>
      </w:r>
      <w:r>
        <w:rPr>
          <w:rFonts w:hint="eastAsia" w:ascii="宋体" w:hAnsi="宋体" w:eastAsia="宋体" w:cs="宋体"/>
          <w:b/>
          <w:bCs/>
          <w:color w:val="auto"/>
          <w:sz w:val="28"/>
          <w:szCs w:val="28"/>
          <w:highlight w:val="none"/>
        </w:rPr>
        <w:t>法定代表人</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或负责人</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资格证明书</w:t>
      </w:r>
    </w:p>
    <w:p w14:paraId="74A1CFAB">
      <w:pPr>
        <w:shd w:val="clear" w:color="auto" w:fill="FFFFFF"/>
        <w:spacing w:line="480" w:lineRule="exact"/>
        <w:rPr>
          <w:rFonts w:hint="eastAsia" w:ascii="宋体" w:hAnsi="宋体" w:eastAsia="宋体" w:cs="宋体"/>
          <w:color w:val="auto"/>
          <w:sz w:val="24"/>
          <w:highlight w:val="none"/>
        </w:rPr>
      </w:pPr>
    </w:p>
    <w:p w14:paraId="5A1DC61D">
      <w:pPr>
        <w:shd w:val="clear" w:color="auto" w:fill="FFFFFF"/>
        <w:spacing w:line="44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单位名称：</w:t>
      </w:r>
    </w:p>
    <w:p w14:paraId="246709E8">
      <w:pPr>
        <w:shd w:val="clear" w:color="auto" w:fill="FFFFFF"/>
        <w:spacing w:line="44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所属行业：</w:t>
      </w:r>
    </w:p>
    <w:p w14:paraId="4E5D7E11">
      <w:pPr>
        <w:shd w:val="clear" w:color="auto" w:fill="FFFFFF"/>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p w14:paraId="0D1D0F3A">
      <w:pPr>
        <w:shd w:val="clear" w:color="auto" w:fill="FFFFFF"/>
        <w:spacing w:line="44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营业期限：</w:t>
      </w:r>
    </w:p>
    <w:p w14:paraId="6D1C08FB">
      <w:pPr>
        <w:shd w:val="clear" w:color="auto" w:fill="FFFFFF"/>
        <w:spacing w:line="44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成立时间：</w:t>
      </w:r>
    </w:p>
    <w:p w14:paraId="431D54A6">
      <w:pPr>
        <w:shd w:val="clear" w:color="auto" w:fill="FFFFFF"/>
        <w:spacing w:line="44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经营范围：</w:t>
      </w:r>
    </w:p>
    <w:p w14:paraId="25A1231F">
      <w:pPr>
        <w:shd w:val="clear" w:color="auto" w:fill="FFFFFF"/>
        <w:spacing w:line="440" w:lineRule="exact"/>
        <w:rPr>
          <w:rFonts w:hint="eastAsia" w:ascii="宋体" w:hAnsi="宋体" w:eastAsia="宋体" w:cs="宋体"/>
          <w:color w:val="auto"/>
          <w:sz w:val="24"/>
          <w:highlight w:val="none"/>
        </w:rPr>
      </w:pPr>
    </w:p>
    <w:p w14:paraId="00907513">
      <w:pPr>
        <w:shd w:val="clear" w:color="auto" w:fill="FFFFFF"/>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姓名：    性别：   年龄：     职务：</w:t>
      </w:r>
    </w:p>
    <w:p w14:paraId="7782830E">
      <w:pPr>
        <w:shd w:val="clear" w:color="auto" w:fill="FFFFFF"/>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的法定代表人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或负责人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6690A6AC">
      <w:pPr>
        <w:shd w:val="clear" w:color="auto" w:fill="FFFFFF"/>
        <w:spacing w:line="440" w:lineRule="exact"/>
        <w:rPr>
          <w:rFonts w:hint="eastAsia" w:ascii="宋体" w:hAnsi="宋体" w:eastAsia="宋体" w:cs="宋体"/>
          <w:color w:val="auto"/>
          <w:highlight w:val="none"/>
        </w:rPr>
      </w:pPr>
    </w:p>
    <w:p w14:paraId="59061738">
      <w:pPr>
        <w:shd w:val="clear" w:color="auto" w:fill="FFFFFF"/>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162560</wp:posOffset>
                </wp:positionV>
                <wp:extent cx="2971800" cy="1895475"/>
                <wp:effectExtent l="4445" t="4445" r="14605" b="5080"/>
                <wp:wrapNone/>
                <wp:docPr id="8" name="文本框 8"/>
                <wp:cNvGraphicFramePr/>
                <a:graphic xmlns:a="http://schemas.openxmlformats.org/drawingml/2006/main">
                  <a:graphicData uri="http://schemas.microsoft.com/office/word/2010/wordprocessingShape">
                    <wps:wsp>
                      <wps:cNvSpPr txBox="1"/>
                      <wps:spPr>
                        <a:xfrm>
                          <a:off x="0" y="0"/>
                          <a:ext cx="2971800" cy="18954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D097AB"/>
                          <w:p w14:paraId="2792F9A5"/>
                          <w:p w14:paraId="7389AD5A"/>
                          <w:p w14:paraId="16E14E85">
                            <w:pPr>
                              <w:jc w:val="center"/>
                              <w:rPr>
                                <w:rFonts w:ascii="宋体" w:hAnsi="宋体"/>
                                <w:sz w:val="32"/>
                                <w:szCs w:val="32"/>
                              </w:rPr>
                            </w:pPr>
                            <w:r>
                              <w:rPr>
                                <w:rFonts w:hint="eastAsia" w:ascii="宋体" w:hAnsi="宋体"/>
                                <w:sz w:val="32"/>
                                <w:szCs w:val="32"/>
                              </w:rPr>
                              <w:t>法定代表人身份证复印件</w:t>
                            </w:r>
                          </w:p>
                          <w:p w14:paraId="62C18B47">
                            <w:pPr>
                              <w:jc w:val="center"/>
                              <w:rPr>
                                <w:rFonts w:ascii="宋体" w:hAnsi="宋体"/>
                                <w:sz w:val="32"/>
                                <w:szCs w:val="32"/>
                              </w:rPr>
                            </w:pPr>
                            <w:r>
                              <w:rPr>
                                <w:rFonts w:hint="eastAsia" w:ascii="宋体" w:hAnsi="宋体"/>
                                <w:sz w:val="32"/>
                                <w:szCs w:val="32"/>
                              </w:rPr>
                              <w:t>（正面</w:t>
                            </w:r>
                            <w:r>
                              <w:rPr>
                                <w:rFonts w:hint="eastAsia" w:ascii="宋体" w:hAnsi="宋体" w:eastAsia="宋体"/>
                                <w:sz w:val="32"/>
                                <w:szCs w:val="32"/>
                                <w:lang w:eastAsia="zh-CN"/>
                              </w:rPr>
                              <w:t>国徽面</w:t>
                            </w:r>
                            <w:r>
                              <w:rPr>
                                <w:rFonts w:hint="eastAsia" w:ascii="宋体" w:hAnsi="宋体"/>
                                <w:sz w:val="32"/>
                                <w:szCs w:val="32"/>
                              </w:rPr>
                              <w:t>）</w:t>
                            </w:r>
                          </w:p>
                          <w:p w14:paraId="3E2BBE6F"/>
                          <w:p w14:paraId="12C365F9"/>
                          <w:p w14:paraId="5CA52C7D"/>
                          <w:p w14:paraId="52960A8C"/>
                          <w:p w14:paraId="5EB12083"/>
                          <w:p w14:paraId="6022DD26"/>
                          <w:p w14:paraId="0502DE95">
                            <w:pPr>
                              <w:rPr>
                                <w:sz w:val="32"/>
                                <w:szCs w:val="32"/>
                              </w:rPr>
                            </w:pPr>
                          </w:p>
                        </w:txbxContent>
                      </wps:txbx>
                      <wps:bodyPr upright="1"/>
                    </wps:wsp>
                  </a:graphicData>
                </a:graphic>
              </wp:anchor>
            </w:drawing>
          </mc:Choice>
          <mc:Fallback>
            <w:pict>
              <v:shape id="_x0000_s1026" o:spid="_x0000_s1026" o:spt="202" type="#_x0000_t202" style="position:absolute;left:0pt;margin-left:-1.5pt;margin-top:12.8pt;height:149.25pt;width:234pt;z-index:251662336;mso-width-relative:page;mso-height-relative:page;" fillcolor="#FFFFFF" filled="t" stroked="t" coordsize="21600,21600" o:gfxdata="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f9CSB2QAAAAkBAAAPAAAAAAAAAAEAIAAA&#10;ACIAAABkcnMvZG93bnJldi54bWxQSwECFAAUAAAACACHTuJAkVjmZgsCAAA3BAAADgAAAAAAAAAB&#10;ACAAAAAoAQAAZHJzL2Uyb0RvYy54bWxQSwUGAAAAAAYABgBZAQAApQUAAAAA&#10;">
                <v:fill on="t" focussize="0,0"/>
                <v:stroke color="#000000" joinstyle="miter"/>
                <v:imagedata o:title=""/>
                <o:lock v:ext="edit" aspectratio="f"/>
                <v:textbox>
                  <w:txbxContent>
                    <w:p w14:paraId="13D097AB"/>
                    <w:p w14:paraId="2792F9A5"/>
                    <w:p w14:paraId="7389AD5A"/>
                    <w:p w14:paraId="16E14E85">
                      <w:pPr>
                        <w:jc w:val="center"/>
                        <w:rPr>
                          <w:rFonts w:ascii="宋体" w:hAnsi="宋体"/>
                          <w:sz w:val="32"/>
                          <w:szCs w:val="32"/>
                        </w:rPr>
                      </w:pPr>
                      <w:r>
                        <w:rPr>
                          <w:rFonts w:hint="eastAsia" w:ascii="宋体" w:hAnsi="宋体"/>
                          <w:sz w:val="32"/>
                          <w:szCs w:val="32"/>
                        </w:rPr>
                        <w:t>法定代表人身份证复印件</w:t>
                      </w:r>
                    </w:p>
                    <w:p w14:paraId="62C18B47">
                      <w:pPr>
                        <w:jc w:val="center"/>
                        <w:rPr>
                          <w:rFonts w:ascii="宋体" w:hAnsi="宋体"/>
                          <w:sz w:val="32"/>
                          <w:szCs w:val="32"/>
                        </w:rPr>
                      </w:pPr>
                      <w:r>
                        <w:rPr>
                          <w:rFonts w:hint="eastAsia" w:ascii="宋体" w:hAnsi="宋体"/>
                          <w:sz w:val="32"/>
                          <w:szCs w:val="32"/>
                        </w:rPr>
                        <w:t>（正面</w:t>
                      </w:r>
                      <w:r>
                        <w:rPr>
                          <w:rFonts w:hint="eastAsia" w:ascii="宋体" w:hAnsi="宋体" w:eastAsia="宋体"/>
                          <w:sz w:val="32"/>
                          <w:szCs w:val="32"/>
                          <w:lang w:eastAsia="zh-CN"/>
                        </w:rPr>
                        <w:t>国徽面</w:t>
                      </w:r>
                      <w:r>
                        <w:rPr>
                          <w:rFonts w:hint="eastAsia" w:ascii="宋体" w:hAnsi="宋体"/>
                          <w:sz w:val="32"/>
                          <w:szCs w:val="32"/>
                        </w:rPr>
                        <w:t>）</w:t>
                      </w:r>
                    </w:p>
                    <w:p w14:paraId="3E2BBE6F"/>
                    <w:p w14:paraId="12C365F9"/>
                    <w:p w14:paraId="5CA52C7D"/>
                    <w:p w14:paraId="52960A8C"/>
                    <w:p w14:paraId="5EB12083"/>
                    <w:p w14:paraId="6022DD26"/>
                    <w:p w14:paraId="0502DE95">
                      <w:pPr>
                        <w:rPr>
                          <w:sz w:val="32"/>
                          <w:szCs w:val="32"/>
                        </w:rPr>
                      </w:pPr>
                    </w:p>
                  </w:txbxContent>
                </v:textbox>
              </v:shap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3162300</wp:posOffset>
                </wp:positionH>
                <wp:positionV relativeFrom="paragraph">
                  <wp:posOffset>162560</wp:posOffset>
                </wp:positionV>
                <wp:extent cx="2971800" cy="1895475"/>
                <wp:effectExtent l="4445" t="4445" r="14605" b="5080"/>
                <wp:wrapNone/>
                <wp:docPr id="9" name="文本框 9"/>
                <wp:cNvGraphicFramePr/>
                <a:graphic xmlns:a="http://schemas.openxmlformats.org/drawingml/2006/main">
                  <a:graphicData uri="http://schemas.microsoft.com/office/word/2010/wordprocessingShape">
                    <wps:wsp>
                      <wps:cNvSpPr txBox="1"/>
                      <wps:spPr>
                        <a:xfrm>
                          <a:off x="0" y="0"/>
                          <a:ext cx="2971800" cy="18954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D791C42"/>
                          <w:p w14:paraId="7D177950"/>
                          <w:p w14:paraId="371AB5FD"/>
                          <w:p w14:paraId="23E723E8">
                            <w:pPr>
                              <w:jc w:val="center"/>
                              <w:rPr>
                                <w:rFonts w:ascii="宋体" w:hAnsi="宋体"/>
                                <w:sz w:val="32"/>
                                <w:szCs w:val="32"/>
                              </w:rPr>
                            </w:pPr>
                            <w:r>
                              <w:rPr>
                                <w:rFonts w:hint="eastAsia" w:ascii="宋体" w:hAnsi="宋体"/>
                                <w:sz w:val="32"/>
                                <w:szCs w:val="32"/>
                              </w:rPr>
                              <w:t>法定代表人身份证复印件</w:t>
                            </w:r>
                          </w:p>
                          <w:p w14:paraId="7329D620">
                            <w:pPr>
                              <w:jc w:val="center"/>
                              <w:rPr>
                                <w:rFonts w:ascii="宋体" w:hAnsi="宋体"/>
                                <w:sz w:val="32"/>
                                <w:szCs w:val="32"/>
                              </w:rPr>
                            </w:pPr>
                            <w:r>
                              <w:rPr>
                                <w:rFonts w:hint="eastAsia" w:ascii="宋体" w:hAnsi="宋体"/>
                                <w:sz w:val="32"/>
                                <w:szCs w:val="32"/>
                              </w:rPr>
                              <w:t>（反面</w:t>
                            </w:r>
                            <w:r>
                              <w:rPr>
                                <w:rFonts w:hint="eastAsia" w:ascii="宋体" w:hAnsi="宋体" w:eastAsia="宋体"/>
                                <w:sz w:val="32"/>
                                <w:szCs w:val="32"/>
                                <w:lang w:eastAsia="zh-CN"/>
                              </w:rPr>
                              <w:t>头像面</w:t>
                            </w:r>
                            <w:r>
                              <w:rPr>
                                <w:rFonts w:hint="eastAsia" w:ascii="宋体" w:hAnsi="宋体"/>
                                <w:sz w:val="32"/>
                                <w:szCs w:val="32"/>
                              </w:rPr>
                              <w:t>）</w:t>
                            </w:r>
                          </w:p>
                          <w:p w14:paraId="5FFE7B0A"/>
                          <w:p w14:paraId="47F807C2"/>
                          <w:p w14:paraId="59998C74"/>
                          <w:p w14:paraId="4CD8A3FF"/>
                          <w:p w14:paraId="1592E107"/>
                          <w:p w14:paraId="35D96539"/>
                          <w:p w14:paraId="03B6FDA5">
                            <w:pPr>
                              <w:rPr>
                                <w:sz w:val="32"/>
                                <w:szCs w:val="32"/>
                              </w:rPr>
                            </w:pPr>
                          </w:p>
                        </w:txbxContent>
                      </wps:txbx>
                      <wps:bodyPr upright="1"/>
                    </wps:wsp>
                  </a:graphicData>
                </a:graphic>
              </wp:anchor>
            </w:drawing>
          </mc:Choice>
          <mc:Fallback>
            <w:pict>
              <v:shape id="_x0000_s1026" o:spid="_x0000_s1026" o:spt="202" type="#_x0000_t202" style="position:absolute;left:0pt;margin-left:249pt;margin-top:12.8pt;height:149.25pt;width:234pt;z-index:251663360;mso-width-relative:page;mso-height-relative:page;" fillcolor="#FFFFFF" filled="t" stroked="t" coordsize="21600,21600" o:gfxdata="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6ZOPN9oAAAAKAQAADwAAAAAAAAABACAA&#10;AAAiAAAAZHJzL2Rvd25yZXYueG1sUEsBAhQAFAAAAAgAh07iQC36R40LAgAANwQAAA4AAAAAAAAA&#10;AQAgAAAAKQEAAGRycy9lMm9Eb2MueG1sUEsFBgAAAAAGAAYAWQEAAKYFAAAAAA==&#10;">
                <v:fill on="t" focussize="0,0"/>
                <v:stroke color="#000000" joinstyle="miter"/>
                <v:imagedata o:title=""/>
                <o:lock v:ext="edit" aspectratio="f"/>
                <v:textbox>
                  <w:txbxContent>
                    <w:p w14:paraId="0D791C42"/>
                    <w:p w14:paraId="7D177950"/>
                    <w:p w14:paraId="371AB5FD"/>
                    <w:p w14:paraId="23E723E8">
                      <w:pPr>
                        <w:jc w:val="center"/>
                        <w:rPr>
                          <w:rFonts w:ascii="宋体" w:hAnsi="宋体"/>
                          <w:sz w:val="32"/>
                          <w:szCs w:val="32"/>
                        </w:rPr>
                      </w:pPr>
                      <w:r>
                        <w:rPr>
                          <w:rFonts w:hint="eastAsia" w:ascii="宋体" w:hAnsi="宋体"/>
                          <w:sz w:val="32"/>
                          <w:szCs w:val="32"/>
                        </w:rPr>
                        <w:t>法定代表人身份证复印件</w:t>
                      </w:r>
                    </w:p>
                    <w:p w14:paraId="7329D620">
                      <w:pPr>
                        <w:jc w:val="center"/>
                        <w:rPr>
                          <w:rFonts w:ascii="宋体" w:hAnsi="宋体"/>
                          <w:sz w:val="32"/>
                          <w:szCs w:val="32"/>
                        </w:rPr>
                      </w:pPr>
                      <w:r>
                        <w:rPr>
                          <w:rFonts w:hint="eastAsia" w:ascii="宋体" w:hAnsi="宋体"/>
                          <w:sz w:val="32"/>
                          <w:szCs w:val="32"/>
                        </w:rPr>
                        <w:t>（反面</w:t>
                      </w:r>
                      <w:r>
                        <w:rPr>
                          <w:rFonts w:hint="eastAsia" w:ascii="宋体" w:hAnsi="宋体" w:eastAsia="宋体"/>
                          <w:sz w:val="32"/>
                          <w:szCs w:val="32"/>
                          <w:lang w:eastAsia="zh-CN"/>
                        </w:rPr>
                        <w:t>头像面</w:t>
                      </w:r>
                      <w:r>
                        <w:rPr>
                          <w:rFonts w:hint="eastAsia" w:ascii="宋体" w:hAnsi="宋体"/>
                          <w:sz w:val="32"/>
                          <w:szCs w:val="32"/>
                        </w:rPr>
                        <w:t>）</w:t>
                      </w:r>
                    </w:p>
                    <w:p w14:paraId="5FFE7B0A"/>
                    <w:p w14:paraId="47F807C2"/>
                    <w:p w14:paraId="59998C74"/>
                    <w:p w14:paraId="4CD8A3FF"/>
                    <w:p w14:paraId="1592E107"/>
                    <w:p w14:paraId="35D96539"/>
                    <w:p w14:paraId="03B6FDA5">
                      <w:pPr>
                        <w:rPr>
                          <w:sz w:val="32"/>
                          <w:szCs w:val="32"/>
                        </w:rPr>
                      </w:pPr>
                    </w:p>
                  </w:txbxContent>
                </v:textbox>
              </v:shape>
            </w:pict>
          </mc:Fallback>
        </mc:AlternateContent>
      </w:r>
    </w:p>
    <w:p w14:paraId="3E903FFE">
      <w:pPr>
        <w:shd w:val="clear" w:color="auto" w:fill="FFFFFF"/>
        <w:spacing w:line="480" w:lineRule="exact"/>
        <w:rPr>
          <w:rFonts w:hint="eastAsia" w:ascii="宋体" w:hAnsi="宋体" w:eastAsia="宋体" w:cs="宋体"/>
          <w:color w:val="auto"/>
          <w:highlight w:val="none"/>
        </w:rPr>
      </w:pPr>
    </w:p>
    <w:p w14:paraId="7686C6A4">
      <w:pPr>
        <w:shd w:val="clear" w:color="auto" w:fill="FFFFFF"/>
        <w:spacing w:line="480" w:lineRule="exact"/>
        <w:rPr>
          <w:rFonts w:hint="eastAsia" w:ascii="宋体" w:hAnsi="宋体" w:eastAsia="宋体" w:cs="宋体"/>
          <w:color w:val="auto"/>
          <w:highlight w:val="none"/>
        </w:rPr>
      </w:pPr>
    </w:p>
    <w:p w14:paraId="3A3A9468">
      <w:pPr>
        <w:shd w:val="clear" w:color="auto" w:fill="FFFFFF"/>
        <w:spacing w:line="480" w:lineRule="exact"/>
        <w:rPr>
          <w:rFonts w:hint="eastAsia" w:ascii="宋体" w:hAnsi="宋体" w:eastAsia="宋体" w:cs="宋体"/>
          <w:color w:val="auto"/>
          <w:highlight w:val="none"/>
        </w:rPr>
      </w:pPr>
    </w:p>
    <w:p w14:paraId="4669659F">
      <w:pPr>
        <w:shd w:val="clear" w:color="auto" w:fill="FFFFFF"/>
        <w:spacing w:line="480" w:lineRule="exact"/>
        <w:rPr>
          <w:rFonts w:hint="eastAsia" w:ascii="宋体" w:hAnsi="宋体" w:eastAsia="宋体" w:cs="宋体"/>
          <w:color w:val="auto"/>
          <w:highlight w:val="none"/>
        </w:rPr>
      </w:pPr>
    </w:p>
    <w:p w14:paraId="2BF621CE">
      <w:pPr>
        <w:shd w:val="clear" w:color="auto" w:fill="FFFFFF"/>
        <w:spacing w:line="480" w:lineRule="exact"/>
        <w:rPr>
          <w:rFonts w:hint="eastAsia" w:ascii="宋体" w:hAnsi="宋体" w:eastAsia="宋体" w:cs="宋体"/>
          <w:color w:val="auto"/>
          <w:highlight w:val="none"/>
        </w:rPr>
      </w:pPr>
    </w:p>
    <w:p w14:paraId="504137C6">
      <w:pPr>
        <w:shd w:val="clear" w:color="auto" w:fill="FFFFFF"/>
        <w:spacing w:line="480" w:lineRule="exact"/>
        <w:rPr>
          <w:rFonts w:hint="eastAsia" w:ascii="宋体" w:hAnsi="宋体" w:eastAsia="宋体" w:cs="宋体"/>
          <w:color w:val="auto"/>
          <w:highlight w:val="none"/>
        </w:rPr>
      </w:pPr>
    </w:p>
    <w:p w14:paraId="50C59510">
      <w:pPr>
        <w:shd w:val="clear" w:color="auto" w:fill="FFFFFF"/>
        <w:spacing w:line="480" w:lineRule="exact"/>
        <w:rPr>
          <w:rFonts w:hint="eastAsia" w:ascii="宋体" w:hAnsi="宋体" w:eastAsia="宋体" w:cs="宋体"/>
          <w:color w:val="auto"/>
          <w:highlight w:val="none"/>
        </w:rPr>
      </w:pPr>
    </w:p>
    <w:p w14:paraId="14435F1E">
      <w:pPr>
        <w:shd w:val="clear" w:color="auto" w:fill="FFFFFF"/>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7EBE1178">
      <w:pPr>
        <w:shd w:val="clear" w:color="auto" w:fill="FFFFFF"/>
        <w:spacing w:line="480" w:lineRule="exact"/>
        <w:rPr>
          <w:rFonts w:hint="eastAsia" w:ascii="宋体" w:hAnsi="宋体" w:eastAsia="宋体" w:cs="宋体"/>
          <w:color w:val="auto"/>
          <w:sz w:val="24"/>
          <w:highlight w:val="none"/>
        </w:rPr>
      </w:pPr>
    </w:p>
    <w:p w14:paraId="36EE10D3">
      <w:pPr>
        <w:widowControl/>
        <w:spacing w:line="480" w:lineRule="exact"/>
        <w:ind w:left="424" w:left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lang w:val="en-US" w:eastAsia="zh-CN"/>
        </w:rPr>
        <w:t>电子</w:t>
      </w:r>
      <w:r>
        <w:rPr>
          <w:rFonts w:hint="eastAsia" w:ascii="宋体" w:hAnsi="宋体" w:eastAsia="宋体" w:cs="宋体"/>
          <w:color w:val="auto"/>
          <w:sz w:val="24"/>
          <w:highlight w:val="none"/>
        </w:rPr>
        <w:t>公章）：</w:t>
      </w:r>
    </w:p>
    <w:p w14:paraId="25DC171D">
      <w:pPr>
        <w:shd w:val="clear" w:color="auto" w:fill="FFFFFF"/>
        <w:tabs>
          <w:tab w:val="left" w:pos="3780"/>
        </w:tabs>
        <w:spacing w:line="480" w:lineRule="exact"/>
        <w:ind w:left="424" w:left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color w:val="auto"/>
          <w:sz w:val="24"/>
          <w:highlight w:val="none"/>
          <w:lang w:val="en-US" w:eastAsia="zh-CN"/>
        </w:rPr>
        <w:t>签章</w:t>
      </w:r>
      <w:r>
        <w:rPr>
          <w:rFonts w:hint="eastAsia" w:ascii="宋体" w:hAnsi="宋体" w:eastAsia="宋体" w:cs="宋体"/>
          <w:color w:val="auto"/>
          <w:sz w:val="24"/>
          <w:highlight w:val="none"/>
        </w:rPr>
        <w:t>）：</w:t>
      </w:r>
    </w:p>
    <w:p w14:paraId="6A75C25F">
      <w:pPr>
        <w:widowControl/>
        <w:spacing w:line="480" w:lineRule="exact"/>
        <w:ind w:firstLine="480" w:firstLineChars="200"/>
        <w:jc w:val="left"/>
        <w:rPr>
          <w:rFonts w:hint="eastAsia" w:ascii="宋体" w:hAnsi="宋体" w:eastAsia="宋体" w:cs="宋体"/>
          <w:color w:val="auto"/>
          <w:sz w:val="24"/>
          <w:highlight w:val="none"/>
        </w:rPr>
      </w:pPr>
    </w:p>
    <w:p w14:paraId="108CF40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427E6C27">
      <w:pPr>
        <w:keepNext w:val="0"/>
        <w:keepLines w:val="0"/>
        <w:widowControl/>
        <w:suppressLineNumbers w:val="0"/>
        <w:spacing w:line="360" w:lineRule="auto"/>
        <w:jc w:val="left"/>
      </w:pPr>
      <w:r>
        <w:rPr>
          <w:rFonts w:ascii="Undefined" w:hAnsi="Undefined" w:eastAsia="Undefined" w:cs="Undefined"/>
          <w:b/>
          <w:bCs/>
          <w:color w:val="000000"/>
          <w:kern w:val="0"/>
          <w:sz w:val="24"/>
          <w:szCs w:val="24"/>
          <w:lang w:val="en-US" w:eastAsia="zh-CN" w:bidi="ar"/>
        </w:rPr>
        <w:t>注： 如为法定代表人或负责人参加投标只须提供法定代表人或负责人身份证明。</w:t>
      </w:r>
    </w:p>
    <w:p w14:paraId="395DED84">
      <w:pPr>
        <w:shd w:val="clear" w:color="auto" w:fill="FFFFFF"/>
        <w:spacing w:line="480" w:lineRule="exact"/>
        <w:rPr>
          <w:rFonts w:hint="eastAsia" w:ascii="宋体" w:hAnsi="宋体" w:eastAsia="宋体" w:cs="宋体"/>
          <w:b/>
          <w:color w:val="auto"/>
          <w:sz w:val="32"/>
          <w:szCs w:val="32"/>
          <w:highlight w:val="none"/>
        </w:rPr>
      </w:pPr>
      <w:r>
        <w:rPr>
          <w:rFonts w:hint="eastAsia" w:ascii="宋体" w:hAnsi="宋体" w:eastAsia="宋体" w:cs="宋体"/>
          <w:b/>
          <w:bCs/>
          <w:color w:val="auto"/>
          <w:sz w:val="18"/>
          <w:szCs w:val="18"/>
          <w:highlight w:val="none"/>
        </w:rPr>
        <w:br w:type="page"/>
      </w:r>
    </w:p>
    <w:p w14:paraId="47F7C0D2">
      <w:pPr>
        <w:shd w:val="clear" w:color="auto" w:fill="FFFFFF"/>
        <w:spacing w:line="48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授权委托书</w:t>
      </w:r>
    </w:p>
    <w:p w14:paraId="4EEFE674">
      <w:pPr>
        <w:shd w:val="clear" w:color="auto" w:fill="FFFFFF"/>
        <w:spacing w:line="480" w:lineRule="exact"/>
        <w:jc w:val="center"/>
        <w:rPr>
          <w:rFonts w:hint="eastAsia" w:ascii="宋体" w:hAnsi="宋体" w:eastAsia="宋体" w:cs="宋体"/>
          <w:b/>
          <w:bCs/>
          <w:color w:val="auto"/>
          <w:sz w:val="24"/>
          <w:highlight w:val="none"/>
        </w:rPr>
      </w:pPr>
    </w:p>
    <w:p w14:paraId="348B50AE">
      <w:pPr>
        <w:pStyle w:val="50"/>
        <w:shd w:val="clear" w:color="auto" w:fill="FFFFFF"/>
        <w:snapToGrid w:val="0"/>
        <w:spacing w:line="440" w:lineRule="exact"/>
        <w:ind w:firstLine="480" w:firstLineChars="200"/>
        <w:rPr>
          <w:rFonts w:hint="eastAsia" w:ascii="宋体" w:hAnsi="宋体" w:cs="宋体"/>
          <w:color w:val="auto"/>
          <w:kern w:val="2"/>
          <w:sz w:val="24"/>
          <w:highlight w:val="none"/>
        </w:rPr>
      </w:pPr>
      <w:r>
        <w:rPr>
          <w:rFonts w:hint="eastAsia" w:ascii="宋体" w:hAnsi="宋体" w:cs="宋体"/>
          <w:color w:val="auto"/>
          <w:kern w:val="2"/>
          <w:sz w:val="24"/>
          <w:highlight w:val="none"/>
        </w:rPr>
        <w:t>本授权委托书声明：我系</w:t>
      </w:r>
      <w:r>
        <w:rPr>
          <w:rFonts w:hint="eastAsia" w:ascii="宋体" w:hAnsi="宋体" w:cs="宋体"/>
          <w:color w:val="auto"/>
          <w:kern w:val="2"/>
          <w:sz w:val="24"/>
          <w:highlight w:val="none"/>
          <w:u w:val="single"/>
        </w:rPr>
        <w:t xml:space="preserve"> （供应商名称） </w:t>
      </w:r>
      <w:r>
        <w:rPr>
          <w:rFonts w:hint="eastAsia" w:ascii="宋体" w:hAnsi="宋体" w:cs="宋体"/>
          <w:color w:val="auto"/>
          <w:kern w:val="2"/>
          <w:sz w:val="24"/>
          <w:highlight w:val="none"/>
        </w:rPr>
        <w:t>的法定代表人，现授权委托</w:t>
      </w:r>
      <w:r>
        <w:rPr>
          <w:rFonts w:hint="eastAsia" w:ascii="宋体" w:hAnsi="宋体" w:cs="宋体"/>
          <w:color w:val="auto"/>
          <w:kern w:val="2"/>
          <w:sz w:val="24"/>
          <w:highlight w:val="none"/>
          <w:u w:val="single"/>
        </w:rPr>
        <w:t>（供应商名称）</w:t>
      </w:r>
      <w:r>
        <w:rPr>
          <w:rFonts w:hint="eastAsia" w:ascii="宋体" w:hAnsi="宋体" w:cs="宋体"/>
          <w:color w:val="auto"/>
          <w:kern w:val="2"/>
          <w:sz w:val="24"/>
          <w:highlight w:val="none"/>
        </w:rPr>
        <w:t>的</w:t>
      </w:r>
      <w:r>
        <w:rPr>
          <w:rFonts w:hint="eastAsia" w:ascii="宋体" w:hAnsi="宋体" w:cs="宋体"/>
          <w:color w:val="auto"/>
          <w:kern w:val="2"/>
          <w:sz w:val="24"/>
          <w:highlight w:val="none"/>
          <w:u w:val="single"/>
          <w:lang w:val="en-US" w:eastAsia="zh-CN"/>
        </w:rPr>
        <w:t xml:space="preserve"> （授权代表名称） </w:t>
      </w:r>
      <w:r>
        <w:rPr>
          <w:rFonts w:hint="eastAsia" w:ascii="宋体" w:hAnsi="宋体" w:cs="宋体"/>
          <w:color w:val="auto"/>
          <w:kern w:val="2"/>
          <w:sz w:val="24"/>
          <w:highlight w:val="none"/>
        </w:rPr>
        <w:t>为我的代理人，以</w:t>
      </w:r>
      <w:r>
        <w:rPr>
          <w:rFonts w:hint="eastAsia" w:ascii="宋体" w:hAnsi="宋体" w:cs="宋体"/>
          <w:color w:val="auto"/>
          <w:kern w:val="2"/>
          <w:sz w:val="24"/>
          <w:highlight w:val="none"/>
          <w:u w:val="single"/>
        </w:rPr>
        <w:t>（供应商名称）</w:t>
      </w:r>
      <w:r>
        <w:rPr>
          <w:rFonts w:hint="eastAsia" w:ascii="宋体" w:hAnsi="宋体" w:cs="宋体"/>
          <w:color w:val="auto"/>
          <w:kern w:val="2"/>
          <w:sz w:val="24"/>
          <w:highlight w:val="none"/>
        </w:rPr>
        <w:t>的名义参加</w:t>
      </w:r>
      <w:r>
        <w:rPr>
          <w:rFonts w:hint="eastAsia" w:ascii="宋体" w:hAnsi="宋体" w:cs="宋体"/>
          <w:color w:val="auto"/>
          <w:kern w:val="2"/>
          <w:sz w:val="24"/>
          <w:highlight w:val="none"/>
          <w:u w:val="single"/>
        </w:rPr>
        <w:t>（项目名称和项目编号）</w:t>
      </w:r>
      <w:r>
        <w:rPr>
          <w:rFonts w:hint="eastAsia" w:ascii="宋体" w:hAnsi="宋体" w:cs="宋体"/>
          <w:color w:val="auto"/>
          <w:kern w:val="2"/>
          <w:sz w:val="24"/>
          <w:highlight w:val="none"/>
        </w:rPr>
        <w:t>招标项目的投标活动。代理人在参加整个招标投标活动所签署的一切文件和处理与之相关的一切</w:t>
      </w:r>
      <w:r>
        <w:rPr>
          <w:rFonts w:hint="eastAsia" w:ascii="宋体" w:hAnsi="宋体" w:cs="宋体"/>
          <w:color w:val="auto"/>
          <w:kern w:val="2"/>
          <w:sz w:val="24"/>
          <w:highlight w:val="none"/>
          <w:lang w:eastAsia="zh-CN"/>
        </w:rPr>
        <w:t>事务</w:t>
      </w:r>
      <w:r>
        <w:rPr>
          <w:rFonts w:hint="eastAsia" w:ascii="宋体" w:hAnsi="宋体" w:cs="宋体"/>
          <w:color w:val="auto"/>
          <w:kern w:val="2"/>
          <w:sz w:val="24"/>
          <w:highlight w:val="none"/>
        </w:rPr>
        <w:t>，我均予承认。</w:t>
      </w:r>
    </w:p>
    <w:p w14:paraId="4B06799B">
      <w:pPr>
        <w:pStyle w:val="50"/>
        <w:shd w:val="clear" w:color="auto" w:fill="FFFFFF"/>
        <w:snapToGrid w:val="0"/>
        <w:spacing w:line="440" w:lineRule="exact"/>
        <w:ind w:firstLine="480" w:firstLineChars="200"/>
        <w:rPr>
          <w:rFonts w:hint="eastAsia" w:ascii="宋体" w:hAnsi="宋体" w:cs="宋体"/>
          <w:color w:val="auto"/>
          <w:kern w:val="2"/>
          <w:sz w:val="24"/>
          <w:highlight w:val="none"/>
        </w:rPr>
      </w:pPr>
      <w:r>
        <w:rPr>
          <w:rFonts w:hint="eastAsia" w:ascii="宋体" w:hAnsi="宋体" w:cs="宋体"/>
          <w:color w:val="auto"/>
          <w:kern w:val="2"/>
          <w:sz w:val="24"/>
          <w:highlight w:val="none"/>
        </w:rPr>
        <w:t>代理人：   性别：  年龄：</w:t>
      </w:r>
    </w:p>
    <w:p w14:paraId="79C299AF">
      <w:pPr>
        <w:pStyle w:val="50"/>
        <w:shd w:val="clear" w:color="auto" w:fill="FFFFFF"/>
        <w:snapToGrid w:val="0"/>
        <w:spacing w:line="440" w:lineRule="exact"/>
        <w:ind w:firstLine="480" w:firstLineChars="200"/>
        <w:rPr>
          <w:rFonts w:hint="eastAsia" w:ascii="宋体" w:hAnsi="宋体" w:cs="宋体"/>
          <w:color w:val="auto"/>
          <w:kern w:val="2"/>
          <w:sz w:val="24"/>
          <w:highlight w:val="none"/>
        </w:rPr>
      </w:pPr>
      <w:r>
        <w:rPr>
          <w:rFonts w:hint="eastAsia" w:ascii="宋体" w:hAnsi="宋体" w:cs="宋体"/>
          <w:color w:val="auto"/>
          <w:kern w:val="2"/>
          <w:sz w:val="24"/>
          <w:highlight w:val="none"/>
        </w:rPr>
        <w:t>部  门：   职务：</w:t>
      </w:r>
    </w:p>
    <w:p w14:paraId="127CFCE4">
      <w:pPr>
        <w:shd w:val="clear" w:color="auto" w:fill="FFFFFF"/>
        <w:spacing w:line="480" w:lineRule="exact"/>
        <w:rPr>
          <w:rFonts w:hint="eastAsia" w:ascii="宋体" w:hAnsi="宋体" w:eastAsia="宋体" w:cs="宋体"/>
          <w:bCs/>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122555</wp:posOffset>
                </wp:positionV>
                <wp:extent cx="3022600" cy="1609725"/>
                <wp:effectExtent l="4445" t="4445" r="20955" b="5080"/>
                <wp:wrapNone/>
                <wp:docPr id="10" name="文本框 10"/>
                <wp:cNvGraphicFramePr/>
                <a:graphic xmlns:a="http://schemas.openxmlformats.org/drawingml/2006/main">
                  <a:graphicData uri="http://schemas.microsoft.com/office/word/2010/wordprocessingShape">
                    <wps:wsp>
                      <wps:cNvSpPr txBox="1"/>
                      <wps:spPr>
                        <a:xfrm>
                          <a:off x="0" y="0"/>
                          <a:ext cx="3022600" cy="16097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E4FE42"/>
                          <w:p w14:paraId="0C6EE466"/>
                          <w:p w14:paraId="7DA5D8D1">
                            <w:pPr>
                              <w:jc w:val="center"/>
                              <w:rPr>
                                <w:rFonts w:ascii="宋体" w:hAnsi="宋体"/>
                                <w:color w:val="000000"/>
                                <w:sz w:val="32"/>
                                <w:szCs w:val="32"/>
                              </w:rPr>
                            </w:pPr>
                            <w:r>
                              <w:rPr>
                                <w:rFonts w:hint="eastAsia" w:ascii="宋体" w:hAnsi="宋体"/>
                                <w:color w:val="000000"/>
                                <w:sz w:val="32"/>
                                <w:szCs w:val="32"/>
                              </w:rPr>
                              <w:t>代理人身份证复印件</w:t>
                            </w:r>
                          </w:p>
                          <w:p w14:paraId="23831C1B">
                            <w:pPr>
                              <w:jc w:val="center"/>
                              <w:rPr>
                                <w:rFonts w:ascii="宋体" w:hAnsi="宋体"/>
                                <w:color w:val="000000"/>
                                <w:sz w:val="32"/>
                                <w:szCs w:val="32"/>
                              </w:rPr>
                            </w:pPr>
                            <w:r>
                              <w:rPr>
                                <w:rFonts w:hint="eastAsia" w:ascii="宋体" w:hAnsi="宋体"/>
                                <w:color w:val="000000"/>
                                <w:sz w:val="32"/>
                                <w:szCs w:val="32"/>
                              </w:rPr>
                              <w:t>（正面</w:t>
                            </w:r>
                            <w:r>
                              <w:rPr>
                                <w:rFonts w:hint="eastAsia" w:ascii="宋体" w:hAnsi="宋体" w:eastAsia="宋体"/>
                                <w:color w:val="000000"/>
                                <w:sz w:val="32"/>
                                <w:szCs w:val="32"/>
                                <w:lang w:eastAsia="zh-CN"/>
                              </w:rPr>
                              <w:t>国徽面</w:t>
                            </w:r>
                            <w:r>
                              <w:rPr>
                                <w:rFonts w:hint="eastAsia" w:ascii="宋体" w:hAnsi="宋体"/>
                                <w:color w:val="000000"/>
                                <w:sz w:val="32"/>
                                <w:szCs w:val="32"/>
                              </w:rPr>
                              <w:t>）</w:t>
                            </w:r>
                          </w:p>
                          <w:p w14:paraId="09D2AF1C"/>
                          <w:p w14:paraId="02001543"/>
                          <w:p w14:paraId="40ED28F3"/>
                          <w:p w14:paraId="064D8B44"/>
                          <w:p w14:paraId="056001F8"/>
                          <w:p w14:paraId="220CC7B0"/>
                          <w:p w14:paraId="5A48B7D5">
                            <w:pPr>
                              <w:rPr>
                                <w:sz w:val="32"/>
                                <w:szCs w:val="32"/>
                              </w:rPr>
                            </w:pPr>
                          </w:p>
                        </w:txbxContent>
                      </wps:txbx>
                      <wps:bodyPr upright="1"/>
                    </wps:wsp>
                  </a:graphicData>
                </a:graphic>
              </wp:anchor>
            </w:drawing>
          </mc:Choice>
          <mc:Fallback>
            <w:pict>
              <v:shape id="_x0000_s1026" o:spid="_x0000_s1026" o:spt="202" type="#_x0000_t202" style="position:absolute;left:0pt;margin-left:-0.1pt;margin-top:9.65pt;height:126.75pt;width:238pt;z-index:251660288;mso-width-relative:page;mso-height-relative:page;" fillcolor="#FFFFFF" filled="t" stroked="t" coordsize="21600,21600" o:gfxdata="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NBTJtgAAAAIAQAADwAAAAAAAAABACAAAAAi&#10;AAAAZHJzL2Rvd25yZXYueG1sUEsBAhQAFAAAAAgAh07iQEv4U1gKAgAAOQQAAA4AAAAAAAAAAQAg&#10;AAAAJwEAAGRycy9lMm9Eb2MueG1sUEsFBgAAAAAGAAYAWQEAAKMFAAAAAA==&#10;">
                <v:fill on="t" focussize="0,0"/>
                <v:stroke color="#000000" joinstyle="miter"/>
                <v:imagedata o:title=""/>
                <o:lock v:ext="edit" aspectratio="f"/>
                <v:textbox>
                  <w:txbxContent>
                    <w:p w14:paraId="2BE4FE42"/>
                    <w:p w14:paraId="0C6EE466"/>
                    <w:p w14:paraId="7DA5D8D1">
                      <w:pPr>
                        <w:jc w:val="center"/>
                        <w:rPr>
                          <w:rFonts w:ascii="宋体" w:hAnsi="宋体"/>
                          <w:color w:val="000000"/>
                          <w:sz w:val="32"/>
                          <w:szCs w:val="32"/>
                        </w:rPr>
                      </w:pPr>
                      <w:r>
                        <w:rPr>
                          <w:rFonts w:hint="eastAsia" w:ascii="宋体" w:hAnsi="宋体"/>
                          <w:color w:val="000000"/>
                          <w:sz w:val="32"/>
                          <w:szCs w:val="32"/>
                        </w:rPr>
                        <w:t>代理人身份证复印件</w:t>
                      </w:r>
                    </w:p>
                    <w:p w14:paraId="23831C1B">
                      <w:pPr>
                        <w:jc w:val="center"/>
                        <w:rPr>
                          <w:rFonts w:ascii="宋体" w:hAnsi="宋体"/>
                          <w:color w:val="000000"/>
                          <w:sz w:val="32"/>
                          <w:szCs w:val="32"/>
                        </w:rPr>
                      </w:pPr>
                      <w:r>
                        <w:rPr>
                          <w:rFonts w:hint="eastAsia" w:ascii="宋体" w:hAnsi="宋体"/>
                          <w:color w:val="000000"/>
                          <w:sz w:val="32"/>
                          <w:szCs w:val="32"/>
                        </w:rPr>
                        <w:t>（正面</w:t>
                      </w:r>
                      <w:r>
                        <w:rPr>
                          <w:rFonts w:hint="eastAsia" w:ascii="宋体" w:hAnsi="宋体" w:eastAsia="宋体"/>
                          <w:color w:val="000000"/>
                          <w:sz w:val="32"/>
                          <w:szCs w:val="32"/>
                          <w:lang w:eastAsia="zh-CN"/>
                        </w:rPr>
                        <w:t>国徽面</w:t>
                      </w:r>
                      <w:r>
                        <w:rPr>
                          <w:rFonts w:hint="eastAsia" w:ascii="宋体" w:hAnsi="宋体"/>
                          <w:color w:val="000000"/>
                          <w:sz w:val="32"/>
                          <w:szCs w:val="32"/>
                        </w:rPr>
                        <w:t>）</w:t>
                      </w:r>
                    </w:p>
                    <w:p w14:paraId="09D2AF1C"/>
                    <w:p w14:paraId="02001543"/>
                    <w:p w14:paraId="40ED28F3"/>
                    <w:p w14:paraId="064D8B44"/>
                    <w:p w14:paraId="056001F8"/>
                    <w:p w14:paraId="220CC7B0"/>
                    <w:p w14:paraId="5A48B7D5">
                      <w:pPr>
                        <w:rPr>
                          <w:sz w:val="32"/>
                          <w:szCs w:val="32"/>
                        </w:rPr>
                      </w:pPr>
                    </w:p>
                  </w:txbxContent>
                </v:textbox>
              </v:shape>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3161030</wp:posOffset>
                </wp:positionH>
                <wp:positionV relativeFrom="paragraph">
                  <wp:posOffset>122555</wp:posOffset>
                </wp:positionV>
                <wp:extent cx="2851150" cy="1609725"/>
                <wp:effectExtent l="4445" t="4445" r="20955" b="5080"/>
                <wp:wrapNone/>
                <wp:docPr id="7" name="文本框 7"/>
                <wp:cNvGraphicFramePr/>
                <a:graphic xmlns:a="http://schemas.openxmlformats.org/drawingml/2006/main">
                  <a:graphicData uri="http://schemas.microsoft.com/office/word/2010/wordprocessingShape">
                    <wps:wsp>
                      <wps:cNvSpPr txBox="1"/>
                      <wps:spPr>
                        <a:xfrm>
                          <a:off x="0" y="0"/>
                          <a:ext cx="2851150" cy="16097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858163"/>
                          <w:p w14:paraId="16760EE5"/>
                          <w:p w14:paraId="18DCA757">
                            <w:pPr>
                              <w:jc w:val="center"/>
                              <w:rPr>
                                <w:rFonts w:ascii="宋体" w:hAnsi="宋体"/>
                                <w:color w:val="000000"/>
                                <w:sz w:val="32"/>
                                <w:szCs w:val="32"/>
                              </w:rPr>
                            </w:pPr>
                            <w:r>
                              <w:rPr>
                                <w:rFonts w:hint="eastAsia" w:ascii="宋体" w:hAnsi="宋体"/>
                                <w:color w:val="000000"/>
                                <w:sz w:val="32"/>
                                <w:szCs w:val="32"/>
                              </w:rPr>
                              <w:t>代理人身份证复印件</w:t>
                            </w:r>
                          </w:p>
                          <w:p w14:paraId="7FB984D2">
                            <w:pPr>
                              <w:jc w:val="center"/>
                              <w:rPr>
                                <w:rFonts w:ascii="宋体" w:hAnsi="宋体"/>
                                <w:color w:val="000000"/>
                                <w:sz w:val="32"/>
                                <w:szCs w:val="32"/>
                              </w:rPr>
                            </w:pPr>
                            <w:r>
                              <w:rPr>
                                <w:rFonts w:hint="eastAsia" w:ascii="宋体" w:hAnsi="宋体"/>
                                <w:color w:val="000000"/>
                                <w:sz w:val="32"/>
                                <w:szCs w:val="32"/>
                              </w:rPr>
                              <w:t>（反面</w:t>
                            </w:r>
                            <w:r>
                              <w:rPr>
                                <w:rFonts w:hint="eastAsia" w:ascii="宋体" w:hAnsi="宋体" w:eastAsia="宋体"/>
                                <w:color w:val="000000"/>
                                <w:sz w:val="32"/>
                                <w:szCs w:val="32"/>
                                <w:lang w:eastAsia="zh-CN"/>
                              </w:rPr>
                              <w:t>头像面</w:t>
                            </w:r>
                            <w:r>
                              <w:rPr>
                                <w:rFonts w:hint="eastAsia" w:ascii="宋体" w:hAnsi="宋体"/>
                                <w:color w:val="000000"/>
                                <w:sz w:val="32"/>
                                <w:szCs w:val="32"/>
                              </w:rPr>
                              <w:t>）</w:t>
                            </w:r>
                          </w:p>
                          <w:p w14:paraId="25D3FCAD"/>
                          <w:p w14:paraId="1E3C81A0"/>
                          <w:p w14:paraId="33257013"/>
                          <w:p w14:paraId="2D5412E9"/>
                          <w:p w14:paraId="27C4C017"/>
                          <w:p w14:paraId="3AA3C94D"/>
                          <w:p w14:paraId="1C935529">
                            <w:pPr>
                              <w:rPr>
                                <w:sz w:val="32"/>
                                <w:szCs w:val="32"/>
                              </w:rPr>
                            </w:pPr>
                          </w:p>
                        </w:txbxContent>
                      </wps:txbx>
                      <wps:bodyPr upright="1"/>
                    </wps:wsp>
                  </a:graphicData>
                </a:graphic>
              </wp:anchor>
            </w:drawing>
          </mc:Choice>
          <mc:Fallback>
            <w:pict>
              <v:shape id="_x0000_s1026" o:spid="_x0000_s1026" o:spt="202" type="#_x0000_t202" style="position:absolute;left:0pt;margin-left:248.9pt;margin-top:9.65pt;height:126.75pt;width:224.5pt;z-index:251661312;mso-width-relative:page;mso-height-relative:page;" fillcolor="#FFFFFF" filled="t" stroked="t" coordsize="21600,21600" o:gfxdata="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QSaj2QAAAAoBAAAPAAAAAAAAAAEAIAAA&#10;ACIAAABkcnMvZG93bnJldi54bWxQSwECFAAUAAAACACHTuJAHzoFUAsCAAA3BAAADgAAAAAAAAAB&#10;ACAAAAAoAQAAZHJzL2Uyb0RvYy54bWxQSwUGAAAAAAYABgBZAQAApQUAAAAA&#10;">
                <v:fill on="t" focussize="0,0"/>
                <v:stroke color="#000000" joinstyle="miter"/>
                <v:imagedata o:title=""/>
                <o:lock v:ext="edit" aspectratio="f"/>
                <v:textbox>
                  <w:txbxContent>
                    <w:p w14:paraId="52858163"/>
                    <w:p w14:paraId="16760EE5"/>
                    <w:p w14:paraId="18DCA757">
                      <w:pPr>
                        <w:jc w:val="center"/>
                        <w:rPr>
                          <w:rFonts w:ascii="宋体" w:hAnsi="宋体"/>
                          <w:color w:val="000000"/>
                          <w:sz w:val="32"/>
                          <w:szCs w:val="32"/>
                        </w:rPr>
                      </w:pPr>
                      <w:r>
                        <w:rPr>
                          <w:rFonts w:hint="eastAsia" w:ascii="宋体" w:hAnsi="宋体"/>
                          <w:color w:val="000000"/>
                          <w:sz w:val="32"/>
                          <w:szCs w:val="32"/>
                        </w:rPr>
                        <w:t>代理人身份证复印件</w:t>
                      </w:r>
                    </w:p>
                    <w:p w14:paraId="7FB984D2">
                      <w:pPr>
                        <w:jc w:val="center"/>
                        <w:rPr>
                          <w:rFonts w:ascii="宋体" w:hAnsi="宋体"/>
                          <w:color w:val="000000"/>
                          <w:sz w:val="32"/>
                          <w:szCs w:val="32"/>
                        </w:rPr>
                      </w:pPr>
                      <w:r>
                        <w:rPr>
                          <w:rFonts w:hint="eastAsia" w:ascii="宋体" w:hAnsi="宋体"/>
                          <w:color w:val="000000"/>
                          <w:sz w:val="32"/>
                          <w:szCs w:val="32"/>
                        </w:rPr>
                        <w:t>（反面</w:t>
                      </w:r>
                      <w:r>
                        <w:rPr>
                          <w:rFonts w:hint="eastAsia" w:ascii="宋体" w:hAnsi="宋体" w:eastAsia="宋体"/>
                          <w:color w:val="000000"/>
                          <w:sz w:val="32"/>
                          <w:szCs w:val="32"/>
                          <w:lang w:eastAsia="zh-CN"/>
                        </w:rPr>
                        <w:t>头像面</w:t>
                      </w:r>
                      <w:r>
                        <w:rPr>
                          <w:rFonts w:hint="eastAsia" w:ascii="宋体" w:hAnsi="宋体"/>
                          <w:color w:val="000000"/>
                          <w:sz w:val="32"/>
                          <w:szCs w:val="32"/>
                        </w:rPr>
                        <w:t>）</w:t>
                      </w:r>
                    </w:p>
                    <w:p w14:paraId="25D3FCAD"/>
                    <w:p w14:paraId="1E3C81A0"/>
                    <w:p w14:paraId="33257013"/>
                    <w:p w14:paraId="2D5412E9"/>
                    <w:p w14:paraId="27C4C017"/>
                    <w:p w14:paraId="3AA3C94D"/>
                    <w:p w14:paraId="1C935529">
                      <w:pPr>
                        <w:rPr>
                          <w:sz w:val="32"/>
                          <w:szCs w:val="32"/>
                        </w:rPr>
                      </w:pPr>
                    </w:p>
                  </w:txbxContent>
                </v:textbox>
              </v:shape>
            </w:pict>
          </mc:Fallback>
        </mc:AlternateContent>
      </w:r>
    </w:p>
    <w:p w14:paraId="7F179696">
      <w:pPr>
        <w:shd w:val="clear" w:color="auto" w:fill="FFFFFF"/>
        <w:spacing w:line="480" w:lineRule="exact"/>
        <w:rPr>
          <w:rFonts w:hint="eastAsia" w:ascii="宋体" w:hAnsi="宋体" w:eastAsia="宋体" w:cs="宋体"/>
          <w:bCs/>
          <w:color w:val="auto"/>
          <w:sz w:val="24"/>
          <w:highlight w:val="none"/>
        </w:rPr>
      </w:pPr>
    </w:p>
    <w:p w14:paraId="338E9493">
      <w:pPr>
        <w:shd w:val="clear" w:color="auto" w:fill="FFFFFF"/>
        <w:spacing w:line="480" w:lineRule="exact"/>
        <w:rPr>
          <w:rFonts w:hint="eastAsia" w:ascii="宋体" w:hAnsi="宋体" w:eastAsia="宋体" w:cs="宋体"/>
          <w:bCs/>
          <w:color w:val="auto"/>
          <w:sz w:val="24"/>
          <w:highlight w:val="none"/>
        </w:rPr>
      </w:pPr>
    </w:p>
    <w:p w14:paraId="7279782D">
      <w:pPr>
        <w:shd w:val="clear" w:color="auto" w:fill="FFFFFF"/>
        <w:spacing w:line="480" w:lineRule="exact"/>
        <w:rPr>
          <w:rFonts w:hint="eastAsia" w:ascii="宋体" w:hAnsi="宋体" w:eastAsia="宋体" w:cs="宋体"/>
          <w:bCs/>
          <w:color w:val="auto"/>
          <w:sz w:val="24"/>
          <w:highlight w:val="none"/>
        </w:rPr>
      </w:pPr>
    </w:p>
    <w:p w14:paraId="19DFF6CC">
      <w:pPr>
        <w:shd w:val="clear" w:color="auto" w:fill="FFFFFF"/>
        <w:spacing w:line="480" w:lineRule="exact"/>
        <w:rPr>
          <w:rFonts w:hint="eastAsia" w:ascii="宋体" w:hAnsi="宋体" w:eastAsia="宋体" w:cs="宋体"/>
          <w:bCs/>
          <w:color w:val="auto"/>
          <w:sz w:val="24"/>
          <w:highlight w:val="none"/>
        </w:rPr>
      </w:pPr>
    </w:p>
    <w:p w14:paraId="51ED11B4">
      <w:pPr>
        <w:shd w:val="clear" w:color="auto" w:fill="FFFFFF"/>
        <w:spacing w:line="480" w:lineRule="exact"/>
        <w:rPr>
          <w:rFonts w:hint="eastAsia" w:ascii="宋体" w:hAnsi="宋体" w:eastAsia="宋体" w:cs="宋体"/>
          <w:bCs/>
          <w:color w:val="auto"/>
          <w:sz w:val="24"/>
          <w:highlight w:val="none"/>
        </w:rPr>
      </w:pPr>
    </w:p>
    <w:p w14:paraId="730E1AB8">
      <w:pPr>
        <w:shd w:val="clear" w:color="auto" w:fill="FFFFFF"/>
        <w:spacing w:line="480" w:lineRule="exact"/>
        <w:rPr>
          <w:rFonts w:hint="eastAsia" w:ascii="宋体" w:hAnsi="宋体" w:eastAsia="宋体" w:cs="宋体"/>
          <w:bCs/>
          <w:color w:val="auto"/>
          <w:sz w:val="24"/>
          <w:highlight w:val="none"/>
        </w:rPr>
      </w:pPr>
    </w:p>
    <w:p w14:paraId="247DCCD5">
      <w:pPr>
        <w:pStyle w:val="50"/>
        <w:shd w:val="clear" w:color="auto" w:fill="FFFFFF"/>
        <w:snapToGrid w:val="0"/>
        <w:spacing w:line="480" w:lineRule="exact"/>
        <w:ind w:firstLine="210"/>
        <w:rPr>
          <w:rFonts w:hint="eastAsia" w:ascii="宋体" w:hAnsi="宋体" w:cs="宋体"/>
          <w:color w:val="auto"/>
          <w:sz w:val="24"/>
          <w:highlight w:val="none"/>
        </w:rPr>
      </w:pPr>
    </w:p>
    <w:p w14:paraId="634038E7">
      <w:pPr>
        <w:pStyle w:val="50"/>
        <w:shd w:val="clear" w:color="auto" w:fill="FFFFFF"/>
        <w:snapToGrid w:val="0"/>
        <w:spacing w:line="480" w:lineRule="exact"/>
        <w:ind w:firstLine="210"/>
        <w:rPr>
          <w:rFonts w:hint="eastAsia" w:ascii="宋体" w:hAnsi="宋体" w:cs="宋体"/>
          <w:color w:val="auto"/>
          <w:sz w:val="24"/>
          <w:highlight w:val="none"/>
        </w:rPr>
      </w:pPr>
    </w:p>
    <w:p w14:paraId="5B26FAED">
      <w:pPr>
        <w:pStyle w:val="50"/>
        <w:shd w:val="clear" w:color="auto" w:fill="FFFFFF"/>
        <w:snapToGrid w:val="0"/>
        <w:spacing w:line="480" w:lineRule="exact"/>
        <w:ind w:firstLine="210"/>
        <w:rPr>
          <w:rFonts w:hint="eastAsia" w:ascii="宋体" w:hAnsi="宋体" w:cs="宋体"/>
          <w:color w:val="auto"/>
          <w:kern w:val="2"/>
          <w:sz w:val="24"/>
          <w:highlight w:val="none"/>
        </w:rPr>
      </w:pPr>
    </w:p>
    <w:p w14:paraId="41432D33">
      <w:pPr>
        <w:widowControl/>
        <w:spacing w:line="480" w:lineRule="exact"/>
        <w:ind w:left="424" w:left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lang w:val="en-US" w:eastAsia="zh-CN"/>
        </w:rPr>
        <w:t>电子</w:t>
      </w:r>
      <w:r>
        <w:rPr>
          <w:rFonts w:hint="eastAsia" w:ascii="宋体" w:hAnsi="宋体" w:eastAsia="宋体" w:cs="宋体"/>
          <w:color w:val="auto"/>
          <w:sz w:val="24"/>
          <w:highlight w:val="none"/>
        </w:rPr>
        <w:t>公章）：</w:t>
      </w:r>
    </w:p>
    <w:p w14:paraId="77720E6A">
      <w:pPr>
        <w:widowControl/>
        <w:spacing w:line="480" w:lineRule="exact"/>
        <w:ind w:left="424" w:left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color w:val="auto"/>
          <w:sz w:val="24"/>
          <w:highlight w:val="none"/>
          <w:lang w:val="en-US" w:eastAsia="zh-CN"/>
        </w:rPr>
        <w:t>签章</w:t>
      </w:r>
      <w:r>
        <w:rPr>
          <w:rFonts w:hint="eastAsia" w:ascii="宋体" w:hAnsi="宋体" w:eastAsia="宋体" w:cs="宋体"/>
          <w:color w:val="auto"/>
          <w:sz w:val="24"/>
          <w:highlight w:val="none"/>
        </w:rPr>
        <w:t>）：</w:t>
      </w:r>
    </w:p>
    <w:p w14:paraId="35D4895C">
      <w:pPr>
        <w:widowControl/>
        <w:spacing w:line="480" w:lineRule="exact"/>
        <w:ind w:left="424" w:leftChars="202"/>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授权代表人</w:t>
      </w:r>
      <w:r>
        <w:rPr>
          <w:rFonts w:hint="eastAsia" w:ascii="宋体" w:hAnsi="宋体" w:eastAsia="宋体" w:cs="宋体"/>
          <w:color w:val="auto"/>
          <w:sz w:val="24"/>
          <w:highlight w:val="none"/>
        </w:rPr>
        <w:t>（</w:t>
      </w:r>
      <w:r>
        <w:rPr>
          <w:rFonts w:hint="eastAsia" w:ascii="宋体" w:hAnsi="宋体"/>
          <w:color w:val="auto"/>
          <w:sz w:val="24"/>
          <w:highlight w:val="none"/>
          <w:lang w:val="en-US" w:eastAsia="zh-CN"/>
        </w:rPr>
        <w:t>签字</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w:t>
      </w:r>
    </w:p>
    <w:p w14:paraId="38D37988">
      <w:pPr>
        <w:widowControl/>
        <w:spacing w:line="480" w:lineRule="exact"/>
        <w:ind w:left="424" w:left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13CA3CC7">
      <w:pPr>
        <w:keepNext w:val="0"/>
        <w:keepLines w:val="0"/>
        <w:widowControl/>
        <w:suppressLineNumbers w:val="0"/>
        <w:spacing w:line="360" w:lineRule="auto"/>
        <w:jc w:val="left"/>
        <w:rPr>
          <w:color w:val="auto"/>
        </w:rPr>
      </w:pPr>
      <w:r>
        <w:rPr>
          <w:rFonts w:hint="eastAsia" w:ascii="宋体" w:hAnsi="宋体" w:eastAsia="宋体" w:cs="宋体"/>
          <w:color w:val="auto"/>
          <w:sz w:val="24"/>
          <w:highlight w:val="none"/>
        </w:rPr>
        <w:br w:type="page"/>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rPr>
        <w:t>）中小企业声明函及其他资料</w:t>
      </w:r>
    </w:p>
    <w:p w14:paraId="2A40BF34">
      <w:pPr>
        <w:shd w:val="clear" w:color="auto" w:fill="FFFFFF"/>
        <w:spacing w:line="440" w:lineRule="exact"/>
        <w:rPr>
          <w:rFonts w:hint="eastAsia" w:ascii="宋体" w:hAnsi="宋体" w:eastAsia="宋体" w:cs="宋体"/>
          <w:b/>
          <w:bCs/>
          <w:color w:val="auto"/>
          <w:sz w:val="24"/>
          <w:szCs w:val="24"/>
          <w:highlight w:val="none"/>
        </w:rPr>
      </w:pPr>
    </w:p>
    <w:p w14:paraId="45673600">
      <w:pPr>
        <w:shd w:val="clear" w:color="auto" w:fill="FFFFFF"/>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中小企业声明函（</w:t>
      </w:r>
      <w:r>
        <w:rPr>
          <w:rFonts w:hint="eastAsia" w:ascii="宋体" w:hAnsi="宋体" w:eastAsia="宋体" w:cs="宋体"/>
          <w:b/>
          <w:bCs/>
          <w:color w:val="auto"/>
          <w:sz w:val="24"/>
          <w:szCs w:val="24"/>
          <w:highlight w:val="none"/>
          <w:lang w:val="en-US" w:eastAsia="zh-CN"/>
        </w:rPr>
        <w:t>服务</w:t>
      </w:r>
      <w:r>
        <w:rPr>
          <w:rFonts w:hint="eastAsia" w:ascii="宋体" w:hAnsi="宋体" w:eastAsia="宋体" w:cs="宋体"/>
          <w:b/>
          <w:bCs/>
          <w:color w:val="auto"/>
          <w:sz w:val="24"/>
          <w:szCs w:val="24"/>
          <w:highlight w:val="none"/>
        </w:rPr>
        <w:t>）</w:t>
      </w:r>
    </w:p>
    <w:p w14:paraId="6168CEBF">
      <w:pPr>
        <w:widowControl/>
        <w:jc w:val="left"/>
        <w:rPr>
          <w:rFonts w:hint="eastAsia" w:ascii="宋体" w:hAnsi="宋体" w:eastAsia="宋体" w:cs="宋体"/>
          <w:color w:val="auto"/>
          <w:sz w:val="24"/>
          <w:szCs w:val="24"/>
          <w:highlight w:val="none"/>
        </w:rPr>
      </w:pPr>
    </w:p>
    <w:p w14:paraId="099B5FEA">
      <w:pPr>
        <w:pStyle w:val="11"/>
        <w:keepNext w:val="0"/>
        <w:keepLines w:val="0"/>
        <w:pageBreakBefore w:val="0"/>
        <w:widowControl w:val="0"/>
        <w:kinsoku/>
        <w:wordWrap/>
        <w:overflowPunct/>
        <w:topLinePunct w:val="0"/>
        <w:autoSpaceDE/>
        <w:autoSpaceDN/>
        <w:bidi w:val="0"/>
        <w:adjustRightInd/>
        <w:snapToGrid/>
        <w:spacing w:before="78" w:line="360" w:lineRule="auto"/>
        <w:ind w:left="44" w:right="37" w:firstLine="480"/>
        <w:textAlignment w:val="auto"/>
        <w:rPr>
          <w:rFonts w:hint="eastAsia" w:ascii="宋体" w:hAnsi="宋体" w:eastAsia="宋体" w:cs="宋体"/>
          <w:sz w:val="24"/>
          <w:szCs w:val="24"/>
        </w:rPr>
      </w:pPr>
      <w:r>
        <w:rPr>
          <w:rFonts w:hint="eastAsia" w:ascii="宋体" w:hAnsi="宋体" w:eastAsia="宋体" w:cs="宋体"/>
          <w:spacing w:val="-4"/>
          <w:sz w:val="24"/>
          <w:szCs w:val="24"/>
        </w:rPr>
        <w:t>本公司（联合体）郑重声明，根据《政府采购促进中小企业发展管理办法》</w:t>
      </w:r>
      <w:r>
        <w:rPr>
          <w:rFonts w:hint="eastAsia" w:ascii="宋体" w:hAnsi="宋体" w:eastAsia="宋体" w:cs="宋体"/>
          <w:spacing w:val="18"/>
          <w:sz w:val="24"/>
          <w:szCs w:val="24"/>
        </w:rPr>
        <w:t xml:space="preserve"> </w:t>
      </w:r>
      <w:r>
        <w:rPr>
          <w:rFonts w:hint="eastAsia" w:ascii="宋体" w:hAnsi="宋体" w:eastAsia="宋体" w:cs="宋体"/>
          <w:spacing w:val="-3"/>
          <w:sz w:val="24"/>
          <w:szCs w:val="24"/>
        </w:rPr>
        <w:t>（财库[2020]46</w:t>
      </w:r>
      <w:r>
        <w:rPr>
          <w:rFonts w:hint="eastAsia" w:ascii="宋体" w:hAnsi="宋体" w:eastAsia="宋体" w:cs="宋体"/>
          <w:spacing w:val="-31"/>
          <w:sz w:val="24"/>
          <w:szCs w:val="24"/>
        </w:rPr>
        <w:t xml:space="preserve"> </w:t>
      </w:r>
      <w:r>
        <w:rPr>
          <w:rFonts w:hint="eastAsia" w:ascii="宋体" w:hAnsi="宋体" w:eastAsia="宋体" w:cs="宋体"/>
          <w:spacing w:val="-3"/>
          <w:sz w:val="24"/>
          <w:szCs w:val="24"/>
        </w:rPr>
        <w:t>号）的规定，本公司（联合体）参加</w:t>
      </w:r>
      <w:r>
        <w:rPr>
          <w:rFonts w:hint="eastAsia" w:ascii="宋体" w:hAnsi="宋体" w:eastAsia="宋体" w:cs="宋体"/>
          <w:spacing w:val="-3"/>
          <w:sz w:val="24"/>
          <w:szCs w:val="24"/>
          <w:u w:val="single" w:color="auto"/>
        </w:rPr>
        <w:t>（单位名称）</w:t>
      </w:r>
      <w:r>
        <w:rPr>
          <w:rFonts w:hint="eastAsia" w:ascii="宋体" w:hAnsi="宋体" w:eastAsia="宋体" w:cs="宋体"/>
          <w:spacing w:val="-3"/>
          <w:sz w:val="24"/>
          <w:szCs w:val="24"/>
        </w:rPr>
        <w:t>的</w:t>
      </w:r>
      <w:r>
        <w:rPr>
          <w:rFonts w:hint="eastAsia" w:ascii="宋体" w:hAnsi="宋体" w:eastAsia="宋体" w:cs="宋体"/>
          <w:spacing w:val="-3"/>
          <w:sz w:val="24"/>
          <w:szCs w:val="24"/>
          <w:u w:val="single" w:color="auto"/>
        </w:rPr>
        <w:t>（项目名</w:t>
      </w:r>
      <w:r>
        <w:rPr>
          <w:rFonts w:hint="eastAsia" w:ascii="宋体" w:hAnsi="宋体" w:eastAsia="宋体" w:cs="宋体"/>
          <w:sz w:val="24"/>
          <w:szCs w:val="24"/>
          <w:u w:val="single" w:color="auto"/>
        </w:rPr>
        <w:t>称）</w:t>
      </w:r>
      <w:r>
        <w:rPr>
          <w:rFonts w:hint="eastAsia" w:ascii="宋体" w:hAnsi="宋体" w:eastAsia="宋体" w:cs="宋体"/>
          <w:sz w:val="24"/>
          <w:szCs w:val="24"/>
        </w:rPr>
        <w:t>采购活动，工程的施工单位全部为符合政策要求的中小企业（或者：服务</w:t>
      </w:r>
      <w:r>
        <w:rPr>
          <w:rFonts w:hint="eastAsia" w:ascii="宋体" w:hAnsi="宋体" w:eastAsia="宋体" w:cs="宋体"/>
          <w:spacing w:val="4"/>
          <w:sz w:val="24"/>
          <w:szCs w:val="24"/>
        </w:rPr>
        <w:t xml:space="preserve">  </w:t>
      </w:r>
      <w:r>
        <w:rPr>
          <w:rFonts w:hint="eastAsia" w:ascii="宋体" w:hAnsi="宋体" w:eastAsia="宋体" w:cs="宋体"/>
          <w:sz w:val="24"/>
          <w:szCs w:val="24"/>
        </w:rPr>
        <w:t>全部由符合政策要求的中小企业承接）。相关企业（含联合体中的中小企业、</w:t>
      </w:r>
      <w:r>
        <w:rPr>
          <w:rFonts w:hint="eastAsia" w:ascii="宋体" w:hAnsi="宋体" w:eastAsia="宋体" w:cs="宋体"/>
          <w:spacing w:val="3"/>
          <w:sz w:val="24"/>
          <w:szCs w:val="24"/>
        </w:rPr>
        <w:t xml:space="preserve">  </w:t>
      </w:r>
      <w:r>
        <w:rPr>
          <w:rFonts w:hint="eastAsia" w:ascii="宋体" w:hAnsi="宋体" w:eastAsia="宋体" w:cs="宋体"/>
          <w:spacing w:val="-3"/>
          <w:sz w:val="24"/>
          <w:szCs w:val="24"/>
        </w:rPr>
        <w:t>签订分包意向协议的中小企业）的具体情况如</w:t>
      </w:r>
      <w:r>
        <w:rPr>
          <w:rFonts w:hint="eastAsia" w:ascii="宋体" w:hAnsi="宋体" w:eastAsia="宋体" w:cs="宋体"/>
          <w:spacing w:val="-4"/>
          <w:sz w:val="24"/>
          <w:szCs w:val="24"/>
        </w:rPr>
        <w:t>下：</w:t>
      </w:r>
    </w:p>
    <w:p w14:paraId="48AFE1C7">
      <w:pPr>
        <w:pStyle w:val="11"/>
        <w:keepNext w:val="0"/>
        <w:keepLines w:val="0"/>
        <w:pageBreakBefore w:val="0"/>
        <w:widowControl w:val="0"/>
        <w:kinsoku/>
        <w:wordWrap/>
        <w:overflowPunct/>
        <w:topLinePunct w:val="0"/>
        <w:autoSpaceDE/>
        <w:autoSpaceDN/>
        <w:bidi w:val="0"/>
        <w:adjustRightInd/>
        <w:snapToGrid/>
        <w:spacing w:before="33" w:line="360" w:lineRule="auto"/>
        <w:ind w:left="44" w:right="146" w:firstLine="490"/>
        <w:textAlignment w:val="auto"/>
        <w:rPr>
          <w:rFonts w:hint="eastAsia"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pacing w:val="-2"/>
          <w:sz w:val="24"/>
          <w:szCs w:val="24"/>
          <w:u w:val="single" w:color="auto"/>
        </w:rPr>
        <w:t>（标的名称</w:t>
      </w:r>
      <w:r>
        <w:rPr>
          <w:rFonts w:hint="eastAsia" w:ascii="宋体" w:hAnsi="宋体" w:eastAsia="宋体" w:cs="宋体"/>
          <w:spacing w:val="10"/>
          <w:sz w:val="24"/>
          <w:szCs w:val="24"/>
          <w:u w:val="single" w:color="auto"/>
        </w:rPr>
        <w:t>）</w:t>
      </w:r>
      <w:r>
        <w:rPr>
          <w:rFonts w:hint="eastAsia" w:ascii="宋体" w:hAnsi="宋体" w:eastAsia="宋体" w:cs="宋体"/>
          <w:spacing w:val="10"/>
          <w:sz w:val="24"/>
          <w:szCs w:val="24"/>
        </w:rPr>
        <w:t>，</w:t>
      </w:r>
      <w:r>
        <w:rPr>
          <w:rFonts w:hint="eastAsia" w:ascii="宋体" w:hAnsi="宋体" w:eastAsia="宋体" w:cs="宋体"/>
          <w:spacing w:val="-2"/>
          <w:sz w:val="24"/>
          <w:szCs w:val="24"/>
        </w:rPr>
        <w:t>属于</w:t>
      </w:r>
      <w:r>
        <w:rPr>
          <w:rFonts w:hint="eastAsia" w:ascii="宋体" w:hAnsi="宋体" w:eastAsia="宋体" w:cs="宋体"/>
          <w:spacing w:val="-2"/>
          <w:sz w:val="24"/>
          <w:szCs w:val="24"/>
          <w:u w:val="single" w:color="auto"/>
        </w:rPr>
        <w:t>（采购文件中明确的所属行业</w:t>
      </w:r>
      <w:r>
        <w:rPr>
          <w:rFonts w:hint="eastAsia" w:ascii="宋体" w:hAnsi="宋体" w:eastAsia="宋体" w:cs="宋体"/>
          <w:spacing w:val="10"/>
          <w:sz w:val="24"/>
          <w:szCs w:val="24"/>
          <w:u w:val="single" w:color="auto"/>
        </w:rPr>
        <w:t>）</w:t>
      </w:r>
      <w:r>
        <w:rPr>
          <w:rFonts w:hint="eastAsia" w:ascii="宋体" w:hAnsi="宋体" w:eastAsia="宋体" w:cs="宋体"/>
          <w:spacing w:val="10"/>
          <w:sz w:val="24"/>
          <w:szCs w:val="24"/>
        </w:rPr>
        <w:t>；</w:t>
      </w:r>
      <w:r>
        <w:rPr>
          <w:rFonts w:hint="eastAsia" w:ascii="宋体" w:hAnsi="宋体" w:eastAsia="宋体" w:cs="宋体"/>
          <w:spacing w:val="-2"/>
          <w:sz w:val="24"/>
          <w:szCs w:val="24"/>
        </w:rPr>
        <w:t>承建（承接）企</w:t>
      </w:r>
      <w:r>
        <w:rPr>
          <w:rFonts w:hint="eastAsia" w:ascii="宋体" w:hAnsi="宋体" w:eastAsia="宋体" w:cs="宋体"/>
          <w:spacing w:val="3"/>
          <w:sz w:val="24"/>
          <w:szCs w:val="24"/>
        </w:rPr>
        <w:t xml:space="preserve"> </w:t>
      </w:r>
      <w:r>
        <w:rPr>
          <w:rFonts w:hint="eastAsia" w:ascii="宋体" w:hAnsi="宋体" w:eastAsia="宋体" w:cs="宋体"/>
          <w:spacing w:val="-8"/>
          <w:sz w:val="24"/>
          <w:szCs w:val="24"/>
        </w:rPr>
        <w:t>业为</w:t>
      </w:r>
      <w:r>
        <w:rPr>
          <w:rFonts w:hint="eastAsia" w:ascii="宋体" w:hAnsi="宋体" w:eastAsia="宋体" w:cs="宋体"/>
          <w:spacing w:val="-8"/>
          <w:sz w:val="24"/>
          <w:szCs w:val="24"/>
          <w:u w:val="single" w:color="auto"/>
        </w:rPr>
        <w:t>（企业名称</w:t>
      </w:r>
      <w:r>
        <w:rPr>
          <w:rFonts w:hint="eastAsia" w:ascii="宋体" w:hAnsi="宋体" w:eastAsia="宋体" w:cs="宋体"/>
          <w:spacing w:val="-32"/>
          <w:sz w:val="24"/>
          <w:szCs w:val="24"/>
          <w:u w:val="single" w:color="auto"/>
        </w:rPr>
        <w:t>）</w:t>
      </w:r>
      <w:r>
        <w:rPr>
          <w:rFonts w:hint="eastAsia" w:ascii="宋体" w:hAnsi="宋体" w:eastAsia="宋体" w:cs="宋体"/>
          <w:spacing w:val="-32"/>
          <w:sz w:val="24"/>
          <w:szCs w:val="24"/>
        </w:rPr>
        <w:t>，</w:t>
      </w:r>
      <w:r>
        <w:rPr>
          <w:rFonts w:hint="eastAsia" w:ascii="宋体" w:hAnsi="宋体" w:eastAsia="宋体" w:cs="宋体"/>
          <w:spacing w:val="-8"/>
          <w:sz w:val="24"/>
          <w:szCs w:val="24"/>
        </w:rPr>
        <w:t>从业人员</w:t>
      </w:r>
      <w:r>
        <w:rPr>
          <w:rFonts w:hint="eastAsia" w:ascii="宋体" w:hAnsi="宋体" w:eastAsia="宋体" w:cs="宋体"/>
          <w:spacing w:val="-118"/>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01"/>
          <w:sz w:val="24"/>
          <w:szCs w:val="24"/>
        </w:rPr>
        <w:t xml:space="preserve"> </w:t>
      </w:r>
      <w:r>
        <w:rPr>
          <w:rFonts w:hint="eastAsia" w:ascii="宋体" w:hAnsi="宋体" w:eastAsia="宋体" w:cs="宋体"/>
          <w:spacing w:val="-8"/>
          <w:sz w:val="24"/>
          <w:szCs w:val="24"/>
        </w:rPr>
        <w:t>人，营业收入为</w:t>
      </w:r>
      <w:r>
        <w:rPr>
          <w:rFonts w:hint="eastAsia" w:ascii="宋体" w:hAnsi="宋体" w:eastAsia="宋体" w:cs="宋体"/>
          <w:spacing w:val="-119"/>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03"/>
          <w:sz w:val="24"/>
          <w:szCs w:val="24"/>
        </w:rPr>
        <w:t xml:space="preserve"> </w:t>
      </w:r>
      <w:r>
        <w:rPr>
          <w:rFonts w:hint="eastAsia" w:ascii="宋体" w:hAnsi="宋体" w:eastAsia="宋体" w:cs="宋体"/>
          <w:spacing w:val="-8"/>
          <w:sz w:val="24"/>
          <w:szCs w:val="24"/>
        </w:rPr>
        <w:t>万元，资产总额为</w:t>
      </w:r>
      <w:r>
        <w:rPr>
          <w:rFonts w:hint="eastAsia" w:ascii="宋体" w:hAnsi="宋体" w:eastAsia="宋体" w:cs="宋体"/>
          <w:spacing w:val="-119"/>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02"/>
          <w:sz w:val="24"/>
          <w:szCs w:val="24"/>
        </w:rPr>
        <w:t xml:space="preserve"> </w:t>
      </w:r>
      <w:r>
        <w:rPr>
          <w:rFonts w:hint="eastAsia" w:ascii="宋体" w:hAnsi="宋体" w:eastAsia="宋体" w:cs="宋体"/>
          <w:spacing w:val="-8"/>
          <w:sz w:val="24"/>
          <w:szCs w:val="24"/>
        </w:rPr>
        <w:t>万</w:t>
      </w:r>
      <w:r>
        <w:rPr>
          <w:rFonts w:hint="eastAsia" w:ascii="宋体" w:hAnsi="宋体" w:eastAsia="宋体" w:cs="宋体"/>
          <w:sz w:val="24"/>
          <w:szCs w:val="24"/>
        </w:rPr>
        <w:t xml:space="preserve"> </w:t>
      </w:r>
      <w:r>
        <w:rPr>
          <w:rFonts w:hint="eastAsia" w:ascii="宋体" w:hAnsi="宋体" w:eastAsia="宋体" w:cs="宋体"/>
          <w:spacing w:val="-2"/>
          <w:sz w:val="24"/>
          <w:szCs w:val="24"/>
        </w:rPr>
        <w:t>元 ，属于</w:t>
      </w:r>
      <w:r>
        <w:rPr>
          <w:rFonts w:hint="eastAsia" w:ascii="宋体" w:hAnsi="宋体" w:eastAsia="宋体" w:cs="宋体"/>
          <w:spacing w:val="-2"/>
          <w:sz w:val="24"/>
          <w:szCs w:val="24"/>
          <w:u w:val="single" w:color="auto"/>
        </w:rPr>
        <w:t>（中型企业、小型企业、微型企业</w:t>
      </w:r>
      <w:r>
        <w:rPr>
          <w:rFonts w:hint="eastAsia" w:ascii="宋体" w:hAnsi="宋体" w:eastAsia="宋体" w:cs="宋体"/>
          <w:spacing w:val="12"/>
          <w:sz w:val="24"/>
          <w:szCs w:val="24"/>
          <w:u w:val="single" w:color="auto"/>
        </w:rPr>
        <w:t>）</w:t>
      </w:r>
      <w:r>
        <w:rPr>
          <w:rFonts w:hint="eastAsia" w:ascii="宋体" w:hAnsi="宋体" w:eastAsia="宋体" w:cs="宋体"/>
          <w:spacing w:val="12"/>
          <w:sz w:val="24"/>
          <w:szCs w:val="24"/>
        </w:rPr>
        <w:t>；</w:t>
      </w:r>
    </w:p>
    <w:p w14:paraId="33258A7A">
      <w:pPr>
        <w:pStyle w:val="11"/>
        <w:keepNext w:val="0"/>
        <w:keepLines w:val="0"/>
        <w:pageBreakBefore w:val="0"/>
        <w:widowControl w:val="0"/>
        <w:kinsoku/>
        <w:wordWrap/>
        <w:overflowPunct/>
        <w:topLinePunct w:val="0"/>
        <w:autoSpaceDE/>
        <w:autoSpaceDN/>
        <w:bidi w:val="0"/>
        <w:adjustRightInd/>
        <w:snapToGrid/>
        <w:spacing w:before="33" w:line="360" w:lineRule="auto"/>
        <w:ind w:left="44" w:right="146" w:firstLine="475"/>
        <w:textAlignment w:val="auto"/>
        <w:rPr>
          <w:rFonts w:hint="eastAsia" w:ascii="宋体" w:hAnsi="宋体" w:eastAsia="宋体" w:cs="宋体"/>
          <w:sz w:val="24"/>
          <w:szCs w:val="24"/>
        </w:rPr>
      </w:pPr>
      <w:r>
        <w:rPr>
          <w:rFonts w:hint="eastAsia" w:ascii="宋体" w:hAnsi="宋体" w:eastAsia="宋体" w:cs="宋体"/>
          <w:spacing w:val="-3"/>
          <w:sz w:val="24"/>
          <w:szCs w:val="24"/>
        </w:rPr>
        <w:t xml:space="preserve">2. </w:t>
      </w:r>
      <w:r>
        <w:rPr>
          <w:rFonts w:hint="eastAsia" w:ascii="宋体" w:hAnsi="宋体" w:eastAsia="宋体" w:cs="宋体"/>
          <w:spacing w:val="-3"/>
          <w:sz w:val="24"/>
          <w:szCs w:val="24"/>
          <w:u w:val="single" w:color="auto"/>
        </w:rPr>
        <w:t>（标的名称</w:t>
      </w:r>
      <w:r>
        <w:rPr>
          <w:rFonts w:hint="eastAsia" w:ascii="宋体" w:hAnsi="宋体" w:eastAsia="宋体" w:cs="宋体"/>
          <w:spacing w:val="-4"/>
          <w:sz w:val="24"/>
          <w:szCs w:val="24"/>
          <w:u w:val="single" w:color="auto"/>
        </w:rPr>
        <w:t>）</w:t>
      </w:r>
      <w:r>
        <w:rPr>
          <w:rFonts w:hint="eastAsia" w:ascii="宋体" w:hAnsi="宋体" w:eastAsia="宋体" w:cs="宋体"/>
          <w:spacing w:val="-4"/>
          <w:sz w:val="24"/>
          <w:szCs w:val="24"/>
        </w:rPr>
        <w:t>，</w:t>
      </w:r>
      <w:r>
        <w:rPr>
          <w:rFonts w:hint="eastAsia" w:ascii="宋体" w:hAnsi="宋体" w:eastAsia="宋体" w:cs="宋体"/>
          <w:spacing w:val="-3"/>
          <w:sz w:val="24"/>
          <w:szCs w:val="24"/>
        </w:rPr>
        <w:t>属于</w:t>
      </w:r>
      <w:r>
        <w:rPr>
          <w:rFonts w:hint="eastAsia" w:ascii="宋体" w:hAnsi="宋体" w:eastAsia="宋体" w:cs="宋体"/>
          <w:spacing w:val="-3"/>
          <w:sz w:val="24"/>
          <w:szCs w:val="24"/>
          <w:u w:val="single" w:color="auto"/>
        </w:rPr>
        <w:t>（采购文件中明确的所属行业</w:t>
      </w:r>
      <w:r>
        <w:rPr>
          <w:rFonts w:hint="eastAsia" w:ascii="宋体" w:hAnsi="宋体" w:eastAsia="宋体" w:cs="宋体"/>
          <w:spacing w:val="-4"/>
          <w:sz w:val="24"/>
          <w:szCs w:val="24"/>
          <w:u w:val="single" w:color="auto"/>
        </w:rPr>
        <w:t>）</w:t>
      </w:r>
      <w:r>
        <w:rPr>
          <w:rFonts w:hint="eastAsia" w:ascii="宋体" w:hAnsi="宋体" w:eastAsia="宋体" w:cs="宋体"/>
          <w:spacing w:val="-4"/>
          <w:sz w:val="24"/>
          <w:szCs w:val="24"/>
        </w:rPr>
        <w:t>；</w:t>
      </w:r>
      <w:r>
        <w:rPr>
          <w:rFonts w:hint="eastAsia" w:ascii="宋体" w:hAnsi="宋体" w:eastAsia="宋体" w:cs="宋体"/>
          <w:spacing w:val="-3"/>
          <w:sz w:val="24"/>
          <w:szCs w:val="24"/>
        </w:rPr>
        <w:t>承建（承接）企</w:t>
      </w:r>
      <w:r>
        <w:rPr>
          <w:rFonts w:hint="eastAsia" w:ascii="宋体" w:hAnsi="宋体" w:eastAsia="宋体" w:cs="宋体"/>
          <w:spacing w:val="3"/>
          <w:sz w:val="24"/>
          <w:szCs w:val="24"/>
        </w:rPr>
        <w:t xml:space="preserve"> </w:t>
      </w:r>
      <w:r>
        <w:rPr>
          <w:rFonts w:hint="eastAsia" w:ascii="宋体" w:hAnsi="宋体" w:eastAsia="宋体" w:cs="宋体"/>
          <w:spacing w:val="-8"/>
          <w:sz w:val="24"/>
          <w:szCs w:val="24"/>
        </w:rPr>
        <w:t>业为</w:t>
      </w:r>
      <w:r>
        <w:rPr>
          <w:rFonts w:hint="eastAsia" w:ascii="宋体" w:hAnsi="宋体" w:eastAsia="宋体" w:cs="宋体"/>
          <w:spacing w:val="-8"/>
          <w:sz w:val="24"/>
          <w:szCs w:val="24"/>
          <w:u w:val="single" w:color="auto"/>
        </w:rPr>
        <w:t>（企业名称</w:t>
      </w:r>
      <w:r>
        <w:rPr>
          <w:rFonts w:hint="eastAsia" w:ascii="宋体" w:hAnsi="宋体" w:eastAsia="宋体" w:cs="宋体"/>
          <w:spacing w:val="-32"/>
          <w:sz w:val="24"/>
          <w:szCs w:val="24"/>
          <w:u w:val="single" w:color="auto"/>
        </w:rPr>
        <w:t>）</w:t>
      </w:r>
      <w:r>
        <w:rPr>
          <w:rFonts w:hint="eastAsia" w:ascii="宋体" w:hAnsi="宋体" w:eastAsia="宋体" w:cs="宋体"/>
          <w:spacing w:val="-32"/>
          <w:sz w:val="24"/>
          <w:szCs w:val="24"/>
        </w:rPr>
        <w:t>，</w:t>
      </w:r>
      <w:r>
        <w:rPr>
          <w:rFonts w:hint="eastAsia" w:ascii="宋体" w:hAnsi="宋体" w:eastAsia="宋体" w:cs="宋体"/>
          <w:spacing w:val="-8"/>
          <w:sz w:val="24"/>
          <w:szCs w:val="24"/>
        </w:rPr>
        <w:t>从业人员</w:t>
      </w:r>
      <w:r>
        <w:rPr>
          <w:rFonts w:hint="eastAsia" w:ascii="宋体" w:hAnsi="宋体" w:eastAsia="宋体" w:cs="宋体"/>
          <w:spacing w:val="-118"/>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01"/>
          <w:sz w:val="24"/>
          <w:szCs w:val="24"/>
        </w:rPr>
        <w:t xml:space="preserve"> </w:t>
      </w:r>
      <w:r>
        <w:rPr>
          <w:rFonts w:hint="eastAsia" w:ascii="宋体" w:hAnsi="宋体" w:eastAsia="宋体" w:cs="宋体"/>
          <w:spacing w:val="-8"/>
          <w:sz w:val="24"/>
          <w:szCs w:val="24"/>
        </w:rPr>
        <w:t>人，营业收入为</w:t>
      </w:r>
      <w:r>
        <w:rPr>
          <w:rFonts w:hint="eastAsia" w:ascii="宋体" w:hAnsi="宋体" w:eastAsia="宋体" w:cs="宋体"/>
          <w:spacing w:val="-119"/>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03"/>
          <w:sz w:val="24"/>
          <w:szCs w:val="24"/>
        </w:rPr>
        <w:t xml:space="preserve"> </w:t>
      </w:r>
      <w:r>
        <w:rPr>
          <w:rFonts w:hint="eastAsia" w:ascii="宋体" w:hAnsi="宋体" w:eastAsia="宋体" w:cs="宋体"/>
          <w:spacing w:val="-8"/>
          <w:sz w:val="24"/>
          <w:szCs w:val="24"/>
        </w:rPr>
        <w:t>万元，资产总额为</w:t>
      </w:r>
      <w:r>
        <w:rPr>
          <w:rFonts w:hint="eastAsia" w:ascii="宋体" w:hAnsi="宋体" w:eastAsia="宋体" w:cs="宋体"/>
          <w:spacing w:val="-119"/>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02"/>
          <w:sz w:val="24"/>
          <w:szCs w:val="24"/>
        </w:rPr>
        <w:t xml:space="preserve"> </w:t>
      </w:r>
      <w:r>
        <w:rPr>
          <w:rFonts w:hint="eastAsia" w:ascii="宋体" w:hAnsi="宋体" w:eastAsia="宋体" w:cs="宋体"/>
          <w:spacing w:val="-8"/>
          <w:sz w:val="24"/>
          <w:szCs w:val="24"/>
        </w:rPr>
        <w:t>万</w:t>
      </w:r>
      <w:r>
        <w:rPr>
          <w:rFonts w:hint="eastAsia" w:ascii="宋体" w:hAnsi="宋体" w:eastAsia="宋体" w:cs="宋体"/>
          <w:sz w:val="24"/>
          <w:szCs w:val="24"/>
        </w:rPr>
        <w:t xml:space="preserve"> </w:t>
      </w:r>
      <w:r>
        <w:rPr>
          <w:rFonts w:hint="eastAsia" w:ascii="宋体" w:hAnsi="宋体" w:eastAsia="宋体" w:cs="宋体"/>
          <w:spacing w:val="-2"/>
          <w:sz w:val="24"/>
          <w:szCs w:val="24"/>
        </w:rPr>
        <w:t>元 ，属于</w:t>
      </w:r>
      <w:r>
        <w:rPr>
          <w:rFonts w:hint="eastAsia" w:ascii="宋体" w:hAnsi="宋体" w:eastAsia="宋体" w:cs="宋体"/>
          <w:spacing w:val="-2"/>
          <w:sz w:val="24"/>
          <w:szCs w:val="24"/>
          <w:u w:val="single" w:color="auto"/>
        </w:rPr>
        <w:t>（中型企业、小型企业、微型企业</w:t>
      </w:r>
      <w:r>
        <w:rPr>
          <w:rFonts w:hint="eastAsia" w:ascii="宋体" w:hAnsi="宋体" w:eastAsia="宋体" w:cs="宋体"/>
          <w:spacing w:val="12"/>
          <w:sz w:val="24"/>
          <w:szCs w:val="24"/>
          <w:u w:val="single" w:color="auto"/>
        </w:rPr>
        <w:t>）</w:t>
      </w:r>
      <w:r>
        <w:rPr>
          <w:rFonts w:hint="eastAsia" w:ascii="宋体" w:hAnsi="宋体" w:eastAsia="宋体" w:cs="宋体"/>
          <w:spacing w:val="12"/>
          <w:sz w:val="24"/>
          <w:szCs w:val="24"/>
        </w:rPr>
        <w:t>；</w:t>
      </w:r>
    </w:p>
    <w:p w14:paraId="3321848E">
      <w:pPr>
        <w:pStyle w:val="11"/>
        <w:keepNext w:val="0"/>
        <w:keepLines w:val="0"/>
        <w:pageBreakBefore w:val="0"/>
        <w:widowControl w:val="0"/>
        <w:kinsoku/>
        <w:wordWrap/>
        <w:overflowPunct/>
        <w:topLinePunct w:val="0"/>
        <w:autoSpaceDE/>
        <w:autoSpaceDN/>
        <w:bidi w:val="0"/>
        <w:adjustRightInd/>
        <w:snapToGrid/>
        <w:spacing w:before="37" w:line="360" w:lineRule="auto"/>
        <w:ind w:left="533"/>
        <w:textAlignment w:val="auto"/>
        <w:rPr>
          <w:rFonts w:hint="eastAsia" w:ascii="宋体" w:hAnsi="宋体" w:eastAsia="宋体" w:cs="宋体"/>
          <w:sz w:val="24"/>
          <w:szCs w:val="24"/>
        </w:rPr>
      </w:pPr>
      <w:r>
        <w:rPr>
          <w:rFonts w:hint="eastAsia" w:ascii="宋体" w:hAnsi="宋体" w:eastAsia="宋体" w:cs="宋体"/>
          <w:spacing w:val="-7"/>
          <w:position w:val="3"/>
          <w:sz w:val="24"/>
          <w:szCs w:val="24"/>
        </w:rPr>
        <w:t>……</w:t>
      </w:r>
    </w:p>
    <w:p w14:paraId="4DA56A53">
      <w:pPr>
        <w:pStyle w:val="11"/>
        <w:keepNext w:val="0"/>
        <w:keepLines w:val="0"/>
        <w:pageBreakBefore w:val="0"/>
        <w:widowControl w:val="0"/>
        <w:kinsoku/>
        <w:wordWrap/>
        <w:overflowPunct/>
        <w:topLinePunct w:val="0"/>
        <w:autoSpaceDE/>
        <w:autoSpaceDN/>
        <w:bidi w:val="0"/>
        <w:adjustRightInd/>
        <w:snapToGrid/>
        <w:spacing w:before="55" w:line="360" w:lineRule="auto"/>
        <w:ind w:left="52" w:right="205" w:firstLine="496"/>
        <w:textAlignment w:val="auto"/>
        <w:rPr>
          <w:rFonts w:hint="eastAsia" w:ascii="宋体" w:hAnsi="宋体" w:eastAsia="宋体" w:cs="宋体"/>
          <w:sz w:val="24"/>
          <w:szCs w:val="24"/>
        </w:rPr>
      </w:pPr>
      <w:r>
        <w:rPr>
          <w:rFonts w:hint="eastAsia" w:ascii="宋体" w:hAnsi="宋体" w:eastAsia="宋体" w:cs="宋体"/>
          <w:spacing w:val="-2"/>
          <w:sz w:val="24"/>
          <w:szCs w:val="24"/>
        </w:rPr>
        <w:t>以上企业，不属于大企业的分支机构，不存在控股股东为大企业的情</w:t>
      </w:r>
      <w:r>
        <w:rPr>
          <w:rFonts w:hint="eastAsia" w:ascii="宋体" w:hAnsi="宋体" w:eastAsia="宋体" w:cs="宋体"/>
          <w:spacing w:val="-3"/>
          <w:sz w:val="24"/>
          <w:szCs w:val="24"/>
        </w:rPr>
        <w:t>形，</w:t>
      </w:r>
      <w:r>
        <w:rPr>
          <w:rFonts w:hint="eastAsia" w:ascii="宋体" w:hAnsi="宋体" w:eastAsia="宋体" w:cs="宋体"/>
          <w:sz w:val="24"/>
          <w:szCs w:val="24"/>
        </w:rPr>
        <w:t xml:space="preserve"> </w:t>
      </w:r>
      <w:r>
        <w:rPr>
          <w:rFonts w:hint="eastAsia" w:ascii="宋体" w:hAnsi="宋体" w:eastAsia="宋体" w:cs="宋体"/>
          <w:spacing w:val="-3"/>
          <w:sz w:val="24"/>
          <w:szCs w:val="24"/>
        </w:rPr>
        <w:t>也不存在与大企业的负责人为同一人的情形。</w:t>
      </w:r>
    </w:p>
    <w:p w14:paraId="33135433">
      <w:pPr>
        <w:pStyle w:val="11"/>
        <w:keepNext w:val="0"/>
        <w:keepLines w:val="0"/>
        <w:pageBreakBefore w:val="0"/>
        <w:widowControl w:val="0"/>
        <w:kinsoku/>
        <w:wordWrap/>
        <w:overflowPunct/>
        <w:topLinePunct w:val="0"/>
        <w:autoSpaceDE/>
        <w:autoSpaceDN/>
        <w:bidi w:val="0"/>
        <w:adjustRightInd/>
        <w:snapToGrid/>
        <w:spacing w:before="38" w:line="360" w:lineRule="auto"/>
        <w:ind w:left="525"/>
        <w:textAlignment w:val="auto"/>
        <w:rPr>
          <w:rFonts w:hint="eastAsia" w:ascii="宋体" w:hAnsi="宋体" w:eastAsia="宋体" w:cs="宋体"/>
          <w:sz w:val="24"/>
          <w:szCs w:val="24"/>
        </w:rPr>
      </w:pPr>
      <w:r>
        <w:rPr>
          <w:rFonts w:hint="eastAsia" w:ascii="宋体" w:hAnsi="宋体" w:eastAsia="宋体" w:cs="宋体"/>
          <w:spacing w:val="-2"/>
          <w:sz w:val="24"/>
          <w:szCs w:val="24"/>
        </w:rPr>
        <w:t>本企业对上述声明内容的真实性负责。如有虚假，将依法承担相应责任。</w:t>
      </w:r>
    </w:p>
    <w:p w14:paraId="5625A92E">
      <w:pPr>
        <w:pStyle w:val="11"/>
        <w:keepNext w:val="0"/>
        <w:keepLines w:val="0"/>
        <w:pageBreakBefore w:val="0"/>
        <w:widowControl w:val="0"/>
        <w:kinsoku/>
        <w:wordWrap/>
        <w:overflowPunct/>
        <w:topLinePunct w:val="0"/>
        <w:autoSpaceDE/>
        <w:autoSpaceDN/>
        <w:bidi w:val="0"/>
        <w:adjustRightInd/>
        <w:snapToGrid/>
        <w:spacing w:before="79" w:line="360" w:lineRule="auto"/>
        <w:ind w:left="3335" w:right="2994" w:hanging="49"/>
        <w:jc w:val="right"/>
        <w:textAlignment w:val="auto"/>
        <w:rPr>
          <w:rFonts w:hint="eastAsia" w:ascii="宋体" w:hAnsi="宋体" w:eastAsia="宋体" w:cs="宋体"/>
          <w:spacing w:val="-8"/>
          <w:sz w:val="24"/>
          <w:szCs w:val="24"/>
        </w:rPr>
      </w:pPr>
      <w:r>
        <w:rPr>
          <w:rFonts w:hint="eastAsia" w:ascii="宋体" w:hAnsi="宋体" w:eastAsia="宋体" w:cs="宋体"/>
          <w:spacing w:val="-8"/>
          <w:sz w:val="24"/>
          <w:szCs w:val="24"/>
        </w:rPr>
        <w:t>企业名称（盖章）：</w:t>
      </w:r>
    </w:p>
    <w:p w14:paraId="3C49B08D">
      <w:pPr>
        <w:pStyle w:val="11"/>
        <w:keepNext w:val="0"/>
        <w:keepLines w:val="0"/>
        <w:pageBreakBefore w:val="0"/>
        <w:widowControl w:val="0"/>
        <w:kinsoku/>
        <w:wordWrap/>
        <w:overflowPunct/>
        <w:topLinePunct w:val="0"/>
        <w:autoSpaceDE/>
        <w:autoSpaceDN/>
        <w:bidi w:val="0"/>
        <w:adjustRightInd/>
        <w:snapToGrid/>
        <w:spacing w:before="79" w:line="360" w:lineRule="auto"/>
        <w:ind w:right="2994" w:firstLine="2880" w:firstLineChars="1200"/>
        <w:textAlignment w:val="auto"/>
        <w:rPr>
          <w:rFonts w:ascii="Arial"/>
          <w:sz w:val="21"/>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pacing w:val="-34"/>
          <w:sz w:val="24"/>
          <w:szCs w:val="24"/>
        </w:rPr>
        <w:t>日</w:t>
      </w:r>
      <w:r>
        <w:rPr>
          <w:rFonts w:hint="eastAsia" w:ascii="宋体" w:hAnsi="宋体" w:eastAsia="宋体" w:cs="宋体"/>
          <w:spacing w:val="3"/>
          <w:sz w:val="24"/>
          <w:szCs w:val="24"/>
        </w:rPr>
        <w:t xml:space="preserve">     </w:t>
      </w:r>
      <w:r>
        <w:rPr>
          <w:rFonts w:hint="eastAsia" w:ascii="宋体" w:hAnsi="宋体" w:eastAsia="宋体" w:cs="宋体"/>
          <w:spacing w:val="-34"/>
          <w:sz w:val="24"/>
          <w:szCs w:val="24"/>
        </w:rPr>
        <w:t>期</w:t>
      </w:r>
      <w:r>
        <w:rPr>
          <w:rFonts w:hint="eastAsia" w:ascii="宋体" w:hAnsi="宋体" w:eastAsia="宋体" w:cs="宋体"/>
          <w:spacing w:val="-34"/>
          <w:sz w:val="24"/>
          <w:szCs w:val="24"/>
          <w:lang w:val="en-US" w:eastAsia="zh-CN"/>
        </w:rPr>
        <w:t xml:space="preserve"> ：</w:t>
      </w:r>
    </w:p>
    <w:p w14:paraId="7DE4D529">
      <w:pPr>
        <w:pStyle w:val="11"/>
        <w:keepNext w:val="0"/>
        <w:keepLines w:val="0"/>
        <w:pageBreakBefore w:val="0"/>
        <w:widowControl w:val="0"/>
        <w:kinsoku/>
        <w:wordWrap/>
        <w:overflowPunct/>
        <w:topLinePunct w:val="0"/>
        <w:autoSpaceDE/>
        <w:autoSpaceDN/>
        <w:bidi w:val="0"/>
        <w:adjustRightInd/>
        <w:snapToGrid/>
        <w:spacing w:before="34" w:line="280" w:lineRule="exact"/>
        <w:ind w:left="44" w:right="146" w:firstLine="639"/>
        <w:jc w:val="both"/>
        <w:textAlignment w:val="auto"/>
        <w:rPr>
          <w:rFonts w:hint="eastAsia" w:ascii="宋体" w:hAnsi="宋体" w:eastAsia="宋体" w:cs="宋体"/>
          <w:sz w:val="21"/>
          <w:szCs w:val="21"/>
        </w:rPr>
      </w:pPr>
    </w:p>
    <w:p w14:paraId="3613A35D">
      <w:pPr>
        <w:spacing w:line="266" w:lineRule="auto"/>
        <w:rPr>
          <w:sz w:val="21"/>
          <w:szCs w:val="21"/>
        </w:rPr>
        <w:sectPr>
          <w:footerReference r:id="rId7" w:type="default"/>
          <w:pgSz w:w="11907" w:h="16839"/>
          <w:pgMar w:top="1159" w:right="1766" w:bottom="1401" w:left="1769" w:header="752" w:footer="1225" w:gutter="0"/>
          <w:pgNumType w:fmt="decimal"/>
          <w:cols w:space="720" w:num="1"/>
        </w:sectPr>
      </w:pPr>
    </w:p>
    <w:p w14:paraId="196FDEEF">
      <w:pPr>
        <w:pStyle w:val="11"/>
        <w:spacing w:before="314" w:line="322" w:lineRule="auto"/>
        <w:ind w:left="2849" w:right="1958" w:hanging="510"/>
      </w:pPr>
      <w:r>
        <w:rPr>
          <w:b/>
          <w:bCs/>
          <w:spacing w:val="-3"/>
        </w:rPr>
        <w:t>关于印发中小企业划型标准规定的通知</w:t>
      </w:r>
      <w:r>
        <w:t xml:space="preserve"> </w:t>
      </w:r>
      <w:r>
        <w:rPr>
          <w:b/>
          <w:bCs/>
          <w:spacing w:val="-3"/>
        </w:rPr>
        <w:t>工信部联企业〔2011〕300</w:t>
      </w:r>
      <w:r>
        <w:rPr>
          <w:spacing w:val="-36"/>
        </w:rPr>
        <w:t xml:space="preserve"> </w:t>
      </w:r>
      <w:r>
        <w:rPr>
          <w:b/>
          <w:bCs/>
          <w:spacing w:val="-3"/>
        </w:rPr>
        <w:t>号</w:t>
      </w:r>
    </w:p>
    <w:p w14:paraId="5279E5E9">
      <w:pPr>
        <w:pStyle w:val="11"/>
        <w:keepNext w:val="0"/>
        <w:keepLines w:val="0"/>
        <w:pageBreakBefore w:val="0"/>
        <w:widowControl w:val="0"/>
        <w:kinsoku/>
        <w:wordWrap/>
        <w:overflowPunct/>
        <w:topLinePunct w:val="0"/>
        <w:autoSpaceDE/>
        <w:autoSpaceDN/>
        <w:bidi w:val="0"/>
        <w:adjustRightInd/>
        <w:snapToGrid/>
        <w:spacing w:before="36" w:line="240" w:lineRule="auto"/>
        <w:ind w:left="525"/>
        <w:textAlignment w:val="auto"/>
        <w:rPr>
          <w:rFonts w:hint="eastAsia" w:ascii="宋体" w:hAnsi="宋体" w:eastAsia="宋体" w:cs="宋体"/>
        </w:rPr>
      </w:pPr>
      <w:r>
        <w:rPr>
          <w:rFonts w:hint="eastAsia" w:ascii="宋体" w:hAnsi="宋体" w:eastAsia="宋体" w:cs="宋体"/>
          <w:spacing w:val="-9"/>
        </w:rPr>
        <w:t>各省、自治区、直辖市人民政府，国务院各部委、各直属机构及有关单位：</w:t>
      </w:r>
    </w:p>
    <w:p w14:paraId="0C1F4E76">
      <w:pPr>
        <w:pStyle w:val="11"/>
        <w:keepNext w:val="0"/>
        <w:keepLines w:val="0"/>
        <w:pageBreakBefore w:val="0"/>
        <w:widowControl w:val="0"/>
        <w:kinsoku/>
        <w:wordWrap/>
        <w:overflowPunct/>
        <w:topLinePunct w:val="0"/>
        <w:autoSpaceDE/>
        <w:autoSpaceDN/>
        <w:bidi w:val="0"/>
        <w:adjustRightInd/>
        <w:snapToGrid/>
        <w:spacing w:before="76" w:line="240" w:lineRule="auto"/>
        <w:ind w:left="46" w:right="149" w:firstLine="486"/>
        <w:textAlignment w:val="auto"/>
        <w:rPr>
          <w:rFonts w:hint="eastAsia" w:ascii="宋体" w:hAnsi="宋体" w:eastAsia="宋体" w:cs="宋体"/>
        </w:rPr>
      </w:pPr>
      <w:r>
        <w:rPr>
          <w:rFonts w:hint="eastAsia" w:ascii="宋体" w:hAnsi="宋体" w:eastAsia="宋体" w:cs="宋体"/>
        </w:rPr>
        <w:t xml:space="preserve">为贯彻落实《中华人民共和国中小企业促进法》和《国务院关于进一步促 </w:t>
      </w:r>
      <w:r>
        <w:rPr>
          <w:rFonts w:hint="eastAsia" w:ascii="宋体" w:hAnsi="宋体" w:eastAsia="宋体" w:cs="宋体"/>
          <w:spacing w:val="-2"/>
        </w:rPr>
        <w:t>进中小企业发展的若干意见》（国发〔2009〕36</w:t>
      </w:r>
      <w:r>
        <w:rPr>
          <w:rFonts w:hint="eastAsia" w:ascii="宋体" w:hAnsi="宋体" w:eastAsia="宋体" w:cs="宋体"/>
          <w:spacing w:val="-37"/>
        </w:rPr>
        <w:t xml:space="preserve"> </w:t>
      </w:r>
      <w:r>
        <w:rPr>
          <w:rFonts w:hint="eastAsia" w:ascii="宋体" w:hAnsi="宋体" w:eastAsia="宋体" w:cs="宋体"/>
          <w:spacing w:val="-2"/>
        </w:rPr>
        <w:t>号</w:t>
      </w:r>
      <w:r>
        <w:rPr>
          <w:rFonts w:hint="eastAsia" w:ascii="宋体" w:hAnsi="宋体" w:eastAsia="宋体" w:cs="宋体"/>
        </w:rPr>
        <w:t>），</w:t>
      </w:r>
      <w:r>
        <w:rPr>
          <w:rFonts w:hint="eastAsia" w:ascii="宋体" w:hAnsi="宋体" w:eastAsia="宋体" w:cs="宋体"/>
          <w:spacing w:val="-2"/>
        </w:rPr>
        <w:t>工业和信息化部、国家</w:t>
      </w:r>
      <w:r>
        <w:rPr>
          <w:rFonts w:hint="eastAsia" w:ascii="宋体" w:hAnsi="宋体" w:eastAsia="宋体" w:cs="宋体"/>
        </w:rPr>
        <w:t xml:space="preserve"> 统计局、发展改革委、财政部研究制定了《中小企业划型标准规定</w:t>
      </w:r>
      <w:r>
        <w:rPr>
          <w:rFonts w:hint="eastAsia" w:ascii="宋体" w:hAnsi="宋体" w:eastAsia="宋体" w:cs="宋体"/>
          <w:spacing w:val="-1"/>
        </w:rPr>
        <w:t>》。经国务</w:t>
      </w:r>
      <w:r>
        <w:rPr>
          <w:rFonts w:hint="eastAsia" w:ascii="宋体" w:hAnsi="宋体" w:eastAsia="宋体" w:cs="宋体"/>
        </w:rPr>
        <w:t xml:space="preserve"> </w:t>
      </w:r>
      <w:r>
        <w:rPr>
          <w:rFonts w:hint="eastAsia" w:ascii="宋体" w:hAnsi="宋体" w:eastAsia="宋体" w:cs="宋体"/>
          <w:spacing w:val="-3"/>
        </w:rPr>
        <w:t>院同意，现印发给你们，请遵照执行。</w:t>
      </w:r>
    </w:p>
    <w:p w14:paraId="0718F5BE">
      <w:pPr>
        <w:pStyle w:val="11"/>
        <w:keepNext w:val="0"/>
        <w:keepLines w:val="0"/>
        <w:pageBreakBefore w:val="0"/>
        <w:widowControl w:val="0"/>
        <w:kinsoku/>
        <w:wordWrap/>
        <w:overflowPunct/>
        <w:topLinePunct w:val="0"/>
        <w:autoSpaceDE/>
        <w:autoSpaceDN/>
        <w:bidi w:val="0"/>
        <w:adjustRightInd/>
        <w:snapToGrid/>
        <w:spacing w:before="38" w:line="240" w:lineRule="auto"/>
        <w:ind w:left="4851"/>
        <w:textAlignment w:val="auto"/>
        <w:rPr>
          <w:rFonts w:hint="eastAsia" w:ascii="宋体" w:hAnsi="宋体" w:eastAsia="宋体" w:cs="宋体"/>
        </w:rPr>
      </w:pPr>
      <w:r>
        <w:rPr>
          <w:rFonts w:hint="eastAsia" w:ascii="宋体" w:hAnsi="宋体" w:eastAsia="宋体" w:cs="宋体"/>
          <w:spacing w:val="-5"/>
        </w:rPr>
        <w:t>工业和信息化部</w:t>
      </w:r>
      <w:r>
        <w:rPr>
          <w:rFonts w:hint="eastAsia" w:ascii="宋体" w:hAnsi="宋体" w:eastAsia="宋体" w:cs="宋体"/>
          <w:spacing w:val="23"/>
        </w:rPr>
        <w:t xml:space="preserve">  </w:t>
      </w:r>
      <w:r>
        <w:rPr>
          <w:rFonts w:hint="eastAsia" w:ascii="宋体" w:hAnsi="宋体" w:eastAsia="宋体" w:cs="宋体"/>
          <w:spacing w:val="-5"/>
        </w:rPr>
        <w:t>国家统计局</w:t>
      </w:r>
    </w:p>
    <w:p w14:paraId="6A70BE78">
      <w:pPr>
        <w:pStyle w:val="11"/>
        <w:keepNext w:val="0"/>
        <w:keepLines w:val="0"/>
        <w:pageBreakBefore w:val="0"/>
        <w:widowControl w:val="0"/>
        <w:kinsoku/>
        <w:wordWrap/>
        <w:overflowPunct/>
        <w:topLinePunct w:val="0"/>
        <w:autoSpaceDE/>
        <w:autoSpaceDN/>
        <w:bidi w:val="0"/>
        <w:adjustRightInd/>
        <w:snapToGrid/>
        <w:spacing w:before="75" w:line="240" w:lineRule="auto"/>
        <w:ind w:left="4872"/>
        <w:textAlignment w:val="auto"/>
        <w:rPr>
          <w:rFonts w:hint="eastAsia" w:ascii="宋体" w:hAnsi="宋体" w:eastAsia="宋体" w:cs="宋体"/>
        </w:rPr>
      </w:pPr>
      <w:r>
        <w:rPr>
          <w:rFonts w:hint="eastAsia" w:ascii="宋体" w:hAnsi="宋体" w:eastAsia="宋体" w:cs="宋体"/>
          <w:spacing w:val="-3"/>
        </w:rPr>
        <w:t>国家发展和改革委员会  财政部</w:t>
      </w:r>
    </w:p>
    <w:p w14:paraId="56A3277D">
      <w:pPr>
        <w:pStyle w:val="11"/>
        <w:keepNext w:val="0"/>
        <w:keepLines w:val="0"/>
        <w:pageBreakBefore w:val="0"/>
        <w:widowControl w:val="0"/>
        <w:kinsoku/>
        <w:wordWrap/>
        <w:overflowPunct/>
        <w:topLinePunct w:val="0"/>
        <w:autoSpaceDE/>
        <w:autoSpaceDN/>
        <w:bidi w:val="0"/>
        <w:adjustRightInd/>
        <w:snapToGrid/>
        <w:spacing w:before="74" w:line="240" w:lineRule="auto"/>
        <w:ind w:left="0" w:right="0" w:firstLine="0"/>
        <w:jc w:val="center"/>
        <w:textAlignment w:val="auto"/>
        <w:rPr>
          <w:rFonts w:hint="eastAsia" w:ascii="宋体" w:hAnsi="宋体" w:eastAsia="宋体" w:cs="宋体"/>
          <w:spacing w:val="5"/>
        </w:rPr>
      </w:pPr>
      <w:r>
        <w:rPr>
          <w:rFonts w:hint="eastAsia" w:ascii="宋体" w:hAnsi="宋体" w:eastAsia="宋体" w:cs="宋体"/>
          <w:spacing w:val="-3"/>
          <w:lang w:val="en-US" w:eastAsia="zh-CN"/>
        </w:rPr>
        <w:t xml:space="preserve">                             </w:t>
      </w:r>
      <w:r>
        <w:rPr>
          <w:rFonts w:hint="eastAsia" w:ascii="宋体" w:hAnsi="宋体" w:eastAsia="宋体" w:cs="宋体"/>
          <w:spacing w:val="-3"/>
        </w:rPr>
        <w:t>二○一一年六月十八日</w:t>
      </w:r>
    </w:p>
    <w:p w14:paraId="45763DE8">
      <w:pPr>
        <w:pStyle w:val="11"/>
        <w:keepNext w:val="0"/>
        <w:keepLines w:val="0"/>
        <w:pageBreakBefore w:val="0"/>
        <w:widowControl w:val="0"/>
        <w:kinsoku/>
        <w:wordWrap/>
        <w:overflowPunct/>
        <w:topLinePunct w:val="0"/>
        <w:autoSpaceDE/>
        <w:autoSpaceDN/>
        <w:bidi w:val="0"/>
        <w:adjustRightInd/>
        <w:snapToGrid/>
        <w:spacing w:before="74" w:line="240" w:lineRule="auto"/>
        <w:ind w:left="0" w:right="0" w:firstLine="0"/>
        <w:jc w:val="center"/>
        <w:textAlignment w:val="auto"/>
        <w:rPr>
          <w:rFonts w:hint="eastAsia" w:ascii="宋体" w:hAnsi="宋体" w:eastAsia="宋体" w:cs="宋体"/>
        </w:rPr>
      </w:pPr>
      <w:r>
        <w:rPr>
          <w:rFonts w:hint="eastAsia" w:ascii="宋体" w:hAnsi="宋体" w:eastAsia="宋体" w:cs="宋体"/>
          <w:spacing w:val="-5"/>
        </w:rPr>
        <w:t>中小企业划型标准规定</w:t>
      </w:r>
    </w:p>
    <w:p w14:paraId="52347E1D">
      <w:pPr>
        <w:pStyle w:val="11"/>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rPr>
      </w:pPr>
      <w:r>
        <w:rPr>
          <w:rFonts w:hint="eastAsia" w:ascii="宋体" w:hAnsi="宋体" w:eastAsia="宋体" w:cs="宋体"/>
        </w:rPr>
        <w:t>一、根据《中华人民共和国中小企业促进法》和《国务院关于进一步促进</w:t>
      </w:r>
      <w:r>
        <w:rPr>
          <w:rFonts w:hint="eastAsia" w:ascii="宋体" w:hAnsi="宋体" w:eastAsia="宋体" w:cs="宋体"/>
          <w:spacing w:val="5"/>
        </w:rPr>
        <w:t xml:space="preserve"> </w:t>
      </w:r>
      <w:r>
        <w:rPr>
          <w:rFonts w:hint="eastAsia" w:ascii="宋体" w:hAnsi="宋体" w:eastAsia="宋体" w:cs="宋体"/>
          <w:spacing w:val="-5"/>
        </w:rPr>
        <w:t>中小企业发展的若干意见》</w:t>
      </w:r>
      <w:r>
        <w:rPr>
          <w:rFonts w:hint="eastAsia" w:ascii="宋体" w:hAnsi="宋体" w:eastAsia="宋体" w:cs="宋体"/>
          <w:spacing w:val="-57"/>
        </w:rPr>
        <w:t xml:space="preserve"> </w:t>
      </w:r>
      <w:r>
        <w:rPr>
          <w:rFonts w:hint="eastAsia" w:ascii="宋体" w:hAnsi="宋体" w:eastAsia="宋体" w:cs="宋体"/>
          <w:spacing w:val="-5"/>
        </w:rPr>
        <w:t>(国发〔2009〕36</w:t>
      </w:r>
      <w:r>
        <w:rPr>
          <w:rFonts w:hint="eastAsia" w:ascii="宋体" w:hAnsi="宋体" w:eastAsia="宋体" w:cs="宋体"/>
          <w:spacing w:val="-38"/>
        </w:rPr>
        <w:t xml:space="preserve"> </w:t>
      </w:r>
      <w:r>
        <w:rPr>
          <w:rFonts w:hint="eastAsia" w:ascii="宋体" w:hAnsi="宋体" w:eastAsia="宋体" w:cs="宋体"/>
          <w:spacing w:val="-5"/>
        </w:rPr>
        <w:t>号)，制定本规定。</w:t>
      </w:r>
    </w:p>
    <w:p w14:paraId="131F03AE">
      <w:pPr>
        <w:pStyle w:val="11"/>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rPr>
      </w:pPr>
      <w:r>
        <w:rPr>
          <w:rFonts w:hint="eastAsia" w:ascii="宋体" w:hAnsi="宋体" w:eastAsia="宋体" w:cs="宋体"/>
        </w:rPr>
        <w:t>二、中小企业划分为中型、小型、微型三种类型，具体标准根据企业从业</w:t>
      </w:r>
      <w:r>
        <w:rPr>
          <w:rFonts w:hint="eastAsia" w:ascii="宋体" w:hAnsi="宋体" w:eastAsia="宋体" w:cs="宋体"/>
          <w:spacing w:val="1"/>
        </w:rPr>
        <w:t xml:space="preserve"> </w:t>
      </w:r>
      <w:r>
        <w:rPr>
          <w:rFonts w:hint="eastAsia" w:ascii="宋体" w:hAnsi="宋体" w:eastAsia="宋体" w:cs="宋体"/>
          <w:spacing w:val="-2"/>
        </w:rPr>
        <w:t>人员、营业收入、资产总额等指标，结合行业特点制定。</w:t>
      </w:r>
    </w:p>
    <w:p w14:paraId="73A5A93B">
      <w:pPr>
        <w:pStyle w:val="11"/>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jc w:val="left"/>
        <w:textAlignment w:val="auto"/>
        <w:rPr>
          <w:rFonts w:hint="eastAsia" w:ascii="宋体" w:hAnsi="宋体" w:eastAsia="宋体" w:cs="宋体"/>
        </w:rPr>
      </w:pPr>
      <w:r>
        <w:rPr>
          <w:rFonts w:hint="eastAsia" w:ascii="宋体" w:hAnsi="宋体" w:eastAsia="宋体" w:cs="宋体"/>
          <w:spacing w:val="-1"/>
        </w:rPr>
        <w:t>三、本规定适用的行业包括：农、林、牧、渔业，工业（包括采矿业，制</w:t>
      </w:r>
      <w:r>
        <w:rPr>
          <w:rFonts w:hint="eastAsia" w:ascii="宋体" w:hAnsi="宋体" w:eastAsia="宋体" w:cs="宋体"/>
          <w:spacing w:val="4"/>
        </w:rPr>
        <w:t xml:space="preserve"> </w:t>
      </w:r>
      <w:r>
        <w:rPr>
          <w:rFonts w:hint="eastAsia" w:ascii="宋体" w:hAnsi="宋体" w:eastAsia="宋体" w:cs="宋体"/>
        </w:rPr>
        <w:t>造业，电力、热力、燃气及水生产和供应业</w:t>
      </w:r>
      <w:r>
        <w:rPr>
          <w:rFonts w:hint="eastAsia" w:ascii="宋体" w:hAnsi="宋体" w:eastAsia="宋体" w:cs="宋体"/>
          <w:spacing w:val="4"/>
        </w:rPr>
        <w:t>），</w:t>
      </w:r>
      <w:r>
        <w:rPr>
          <w:rFonts w:hint="eastAsia" w:ascii="宋体" w:hAnsi="宋体" w:eastAsia="宋体" w:cs="宋体"/>
        </w:rPr>
        <w:t>建筑业，批发业，零售业，交</w:t>
      </w:r>
      <w:r>
        <w:rPr>
          <w:rFonts w:hint="eastAsia" w:ascii="宋体" w:hAnsi="宋体" w:eastAsia="宋体" w:cs="宋体"/>
          <w:spacing w:val="1"/>
        </w:rPr>
        <w:t xml:space="preserve"> </w:t>
      </w:r>
      <w:r>
        <w:rPr>
          <w:rFonts w:hint="eastAsia" w:ascii="宋体" w:hAnsi="宋体" w:eastAsia="宋体" w:cs="宋体"/>
          <w:spacing w:val="-1"/>
        </w:rPr>
        <w:t>通运输业（不含铁路运输业</w:t>
      </w:r>
      <w:r>
        <w:rPr>
          <w:rFonts w:hint="eastAsia" w:ascii="宋体" w:hAnsi="宋体" w:eastAsia="宋体" w:cs="宋体"/>
          <w:spacing w:val="-2"/>
        </w:rPr>
        <w:t>），</w:t>
      </w:r>
      <w:r>
        <w:rPr>
          <w:rFonts w:hint="eastAsia" w:ascii="宋体" w:hAnsi="宋体" w:eastAsia="宋体" w:cs="宋体"/>
          <w:spacing w:val="-1"/>
        </w:rPr>
        <w:t>仓储业，</w:t>
      </w:r>
      <w:r>
        <w:rPr>
          <w:rFonts w:hint="eastAsia" w:ascii="宋体" w:hAnsi="宋体" w:eastAsia="宋体" w:cs="宋体"/>
          <w:spacing w:val="-66"/>
        </w:rPr>
        <w:t xml:space="preserve"> </w:t>
      </w:r>
      <w:r>
        <w:rPr>
          <w:rFonts w:hint="eastAsia" w:ascii="宋体" w:hAnsi="宋体" w:eastAsia="宋体" w:cs="宋体"/>
          <w:spacing w:val="-1"/>
        </w:rPr>
        <w:t>邮政业，住宿业</w:t>
      </w:r>
      <w:r>
        <w:rPr>
          <w:rFonts w:hint="eastAsia" w:ascii="宋体" w:hAnsi="宋体" w:eastAsia="宋体" w:cs="宋体"/>
          <w:spacing w:val="-2"/>
        </w:rPr>
        <w:t>，餐饮业，信息传输</w:t>
      </w:r>
      <w:r>
        <w:rPr>
          <w:rFonts w:hint="eastAsia" w:ascii="宋体" w:hAnsi="宋体" w:eastAsia="宋体" w:cs="宋体"/>
        </w:rPr>
        <w:t xml:space="preserve"> 业（包括电信、互联网和相关服务</w:t>
      </w:r>
      <w:r>
        <w:rPr>
          <w:rFonts w:hint="eastAsia" w:ascii="宋体" w:hAnsi="宋体" w:eastAsia="宋体" w:cs="宋体"/>
          <w:spacing w:val="4"/>
        </w:rPr>
        <w:t>），</w:t>
      </w:r>
      <w:r>
        <w:rPr>
          <w:rFonts w:hint="eastAsia" w:ascii="宋体" w:hAnsi="宋体" w:eastAsia="宋体" w:cs="宋体"/>
        </w:rPr>
        <w:t>软件和信息技术服务业，房地产开发经</w:t>
      </w:r>
      <w:r>
        <w:rPr>
          <w:rFonts w:hint="eastAsia" w:ascii="宋体" w:hAnsi="宋体" w:eastAsia="宋体" w:cs="宋体"/>
          <w:spacing w:val="1"/>
        </w:rPr>
        <w:t xml:space="preserve"> </w:t>
      </w:r>
      <w:r>
        <w:rPr>
          <w:rFonts w:hint="eastAsia" w:ascii="宋体" w:hAnsi="宋体" w:eastAsia="宋体" w:cs="宋体"/>
        </w:rPr>
        <w:t>营，物业管理，租赁和商务服务业，其他未列明行业（包括科学研究和技术服</w:t>
      </w:r>
      <w:r>
        <w:rPr>
          <w:rFonts w:hint="eastAsia" w:ascii="宋体" w:hAnsi="宋体" w:eastAsia="宋体" w:cs="宋体"/>
          <w:spacing w:val="9"/>
        </w:rPr>
        <w:t xml:space="preserve"> </w:t>
      </w:r>
      <w:r>
        <w:rPr>
          <w:rFonts w:hint="eastAsia" w:ascii="宋体" w:hAnsi="宋体" w:eastAsia="宋体" w:cs="宋体"/>
        </w:rPr>
        <w:t>务业，水利、环境和公共设施管理业，居民服务、修理和其他服务业，社</w:t>
      </w:r>
      <w:r>
        <w:rPr>
          <w:rFonts w:hint="eastAsia" w:ascii="宋体" w:hAnsi="宋体" w:eastAsia="宋体" w:cs="宋体"/>
          <w:spacing w:val="-1"/>
        </w:rPr>
        <w:t>会工</w:t>
      </w:r>
      <w:r>
        <w:rPr>
          <w:rFonts w:hint="eastAsia" w:ascii="宋体" w:hAnsi="宋体" w:eastAsia="宋体" w:cs="宋体"/>
        </w:rPr>
        <w:t xml:space="preserve"> </w:t>
      </w:r>
      <w:r>
        <w:rPr>
          <w:rFonts w:hint="eastAsia" w:ascii="宋体" w:hAnsi="宋体" w:eastAsia="宋体" w:cs="宋体"/>
          <w:spacing w:val="-4"/>
        </w:rPr>
        <w:t>作，文化、体育和娱乐业等）。</w:t>
      </w:r>
    </w:p>
    <w:p w14:paraId="4BC47B0C">
      <w:pPr>
        <w:pStyle w:val="11"/>
        <w:keepNext w:val="0"/>
        <w:keepLines w:val="0"/>
        <w:pageBreakBefore w:val="0"/>
        <w:widowControl w:val="0"/>
        <w:kinsoku/>
        <w:wordWrap/>
        <w:overflowPunct/>
        <w:topLinePunct w:val="0"/>
        <w:autoSpaceDE/>
        <w:autoSpaceDN/>
        <w:bidi w:val="0"/>
        <w:adjustRightInd/>
        <w:snapToGrid/>
        <w:spacing w:line="360" w:lineRule="auto"/>
        <w:ind w:left="0" w:right="0" w:firstLine="384" w:firstLineChars="200"/>
        <w:jc w:val="left"/>
        <w:textAlignment w:val="auto"/>
        <w:rPr>
          <w:rFonts w:hint="eastAsia" w:ascii="宋体" w:hAnsi="宋体" w:eastAsia="宋体" w:cs="宋体"/>
        </w:rPr>
      </w:pPr>
      <w:r>
        <w:rPr>
          <w:rFonts w:hint="eastAsia" w:ascii="宋体" w:hAnsi="宋体" w:eastAsia="宋体" w:cs="宋体"/>
          <w:spacing w:val="-9"/>
        </w:rPr>
        <w:t>四、各行业划型标准为：</w:t>
      </w:r>
    </w:p>
    <w:p w14:paraId="2909ECB5">
      <w:pPr>
        <w:pStyle w:val="11"/>
        <w:keepNext w:val="0"/>
        <w:keepLines w:val="0"/>
        <w:pageBreakBefore w:val="0"/>
        <w:widowControl w:val="0"/>
        <w:kinsoku/>
        <w:wordWrap/>
        <w:overflowPunct/>
        <w:topLinePunct w:val="0"/>
        <w:autoSpaceDE/>
        <w:autoSpaceDN/>
        <w:bidi w:val="0"/>
        <w:adjustRightInd/>
        <w:snapToGrid/>
        <w:spacing w:line="360" w:lineRule="auto"/>
        <w:ind w:left="0" w:right="0" w:firstLine="408" w:firstLineChars="200"/>
        <w:jc w:val="left"/>
        <w:textAlignment w:val="auto"/>
        <w:rPr>
          <w:rFonts w:hint="eastAsia" w:ascii="宋体" w:hAnsi="宋体" w:eastAsia="宋体" w:cs="宋体"/>
        </w:rPr>
      </w:pPr>
      <w:r>
        <w:rPr>
          <w:rFonts w:hint="eastAsia" w:ascii="宋体" w:hAnsi="宋体" w:eastAsia="宋体" w:cs="宋体"/>
          <w:spacing w:val="-3"/>
        </w:rPr>
        <w:t>（一）农、林、牧、渔业。营业收入 20000</w:t>
      </w:r>
      <w:r>
        <w:rPr>
          <w:rFonts w:hint="eastAsia" w:ascii="宋体" w:hAnsi="宋体" w:eastAsia="宋体" w:cs="宋体"/>
          <w:spacing w:val="-27"/>
        </w:rPr>
        <w:t xml:space="preserve"> </w:t>
      </w:r>
      <w:r>
        <w:rPr>
          <w:rFonts w:hint="eastAsia" w:ascii="宋体" w:hAnsi="宋体" w:eastAsia="宋体" w:cs="宋体"/>
          <w:spacing w:val="-3"/>
        </w:rPr>
        <w:t>万元以下的为中小</w:t>
      </w:r>
      <w:r>
        <w:rPr>
          <w:rFonts w:hint="eastAsia" w:ascii="宋体" w:hAnsi="宋体" w:eastAsia="宋体" w:cs="宋体"/>
          <w:spacing w:val="-4"/>
        </w:rPr>
        <w:t>微型企业。</w:t>
      </w:r>
      <w:r>
        <w:rPr>
          <w:rFonts w:hint="eastAsia" w:ascii="宋体" w:hAnsi="宋体" w:eastAsia="宋体" w:cs="宋体"/>
        </w:rPr>
        <w:t xml:space="preserve"> </w:t>
      </w:r>
      <w:r>
        <w:rPr>
          <w:rFonts w:hint="eastAsia" w:ascii="宋体" w:hAnsi="宋体" w:eastAsia="宋体" w:cs="宋体"/>
          <w:spacing w:val="-5"/>
        </w:rPr>
        <w:t>其中，营业收入</w:t>
      </w:r>
      <w:r>
        <w:rPr>
          <w:rFonts w:hint="eastAsia" w:ascii="宋体" w:hAnsi="宋体" w:eastAsia="宋体" w:cs="宋体"/>
          <w:spacing w:val="-35"/>
        </w:rPr>
        <w:t xml:space="preserve"> </w:t>
      </w:r>
      <w:r>
        <w:rPr>
          <w:rFonts w:hint="eastAsia" w:ascii="宋体" w:hAnsi="宋体" w:eastAsia="宋体" w:cs="宋体"/>
          <w:spacing w:val="-5"/>
        </w:rPr>
        <w:t>500</w:t>
      </w:r>
      <w:r>
        <w:rPr>
          <w:rFonts w:hint="eastAsia" w:ascii="宋体" w:hAnsi="宋体" w:eastAsia="宋体" w:cs="宋体"/>
          <w:spacing w:val="-42"/>
        </w:rPr>
        <w:t xml:space="preserve"> </w:t>
      </w:r>
      <w:r>
        <w:rPr>
          <w:rFonts w:hint="eastAsia" w:ascii="宋体" w:hAnsi="宋体" w:eastAsia="宋体" w:cs="宋体"/>
          <w:spacing w:val="-5"/>
        </w:rPr>
        <w:t>万元及以上的为中型企业，营业收入</w:t>
      </w:r>
      <w:r>
        <w:rPr>
          <w:rFonts w:hint="eastAsia" w:ascii="宋体" w:hAnsi="宋体" w:eastAsia="宋体" w:cs="宋体"/>
          <w:spacing w:val="-46"/>
        </w:rPr>
        <w:t xml:space="preserve"> </w:t>
      </w:r>
      <w:r>
        <w:rPr>
          <w:rFonts w:hint="eastAsia" w:ascii="宋体" w:hAnsi="宋体" w:eastAsia="宋体" w:cs="宋体"/>
          <w:spacing w:val="-5"/>
        </w:rPr>
        <w:t>50</w:t>
      </w:r>
      <w:r>
        <w:rPr>
          <w:rFonts w:hint="eastAsia" w:ascii="宋体" w:hAnsi="宋体" w:eastAsia="宋体" w:cs="宋体"/>
          <w:spacing w:val="-42"/>
        </w:rPr>
        <w:t xml:space="preserve"> </w:t>
      </w:r>
      <w:r>
        <w:rPr>
          <w:rFonts w:hint="eastAsia" w:ascii="宋体" w:hAnsi="宋体" w:eastAsia="宋体" w:cs="宋体"/>
          <w:spacing w:val="-5"/>
        </w:rPr>
        <w:t>万元及以上的为小</w:t>
      </w:r>
      <w:r>
        <w:rPr>
          <w:rFonts w:hint="eastAsia" w:ascii="宋体" w:hAnsi="宋体" w:eastAsia="宋体" w:cs="宋体"/>
        </w:rPr>
        <w:t xml:space="preserve"> </w:t>
      </w:r>
      <w:r>
        <w:rPr>
          <w:rFonts w:hint="eastAsia" w:ascii="宋体" w:hAnsi="宋体" w:eastAsia="宋体" w:cs="宋体"/>
          <w:spacing w:val="-4"/>
        </w:rPr>
        <w:t>型企业，营业收入</w:t>
      </w:r>
      <w:r>
        <w:rPr>
          <w:rFonts w:hint="eastAsia" w:ascii="宋体" w:hAnsi="宋体" w:eastAsia="宋体" w:cs="宋体"/>
          <w:spacing w:val="-41"/>
        </w:rPr>
        <w:t xml:space="preserve"> </w:t>
      </w:r>
      <w:r>
        <w:rPr>
          <w:rFonts w:hint="eastAsia" w:ascii="宋体" w:hAnsi="宋体" w:eastAsia="宋体" w:cs="宋体"/>
          <w:spacing w:val="-4"/>
        </w:rPr>
        <w:t>50</w:t>
      </w:r>
      <w:r>
        <w:rPr>
          <w:rFonts w:hint="eastAsia" w:ascii="宋体" w:hAnsi="宋体" w:eastAsia="宋体" w:cs="宋体"/>
          <w:spacing w:val="-41"/>
        </w:rPr>
        <w:t xml:space="preserve"> </w:t>
      </w:r>
      <w:r>
        <w:rPr>
          <w:rFonts w:hint="eastAsia" w:ascii="宋体" w:hAnsi="宋体" w:eastAsia="宋体" w:cs="宋体"/>
          <w:spacing w:val="-4"/>
        </w:rPr>
        <w:t>万元以下的为微型企业。</w:t>
      </w:r>
    </w:p>
    <w:p w14:paraId="50D4BB51">
      <w:pPr>
        <w:pStyle w:val="11"/>
        <w:keepNext w:val="0"/>
        <w:keepLines w:val="0"/>
        <w:pageBreakBefore w:val="0"/>
        <w:widowControl w:val="0"/>
        <w:kinsoku/>
        <w:wordWrap/>
        <w:overflowPunct/>
        <w:topLinePunct w:val="0"/>
        <w:autoSpaceDE/>
        <w:autoSpaceDN/>
        <w:bidi w:val="0"/>
        <w:adjustRightInd/>
        <w:snapToGrid/>
        <w:spacing w:line="360" w:lineRule="auto"/>
        <w:ind w:left="0" w:right="0" w:firstLine="400" w:firstLineChars="200"/>
        <w:jc w:val="left"/>
        <w:textAlignment w:val="auto"/>
        <w:rPr>
          <w:rFonts w:hint="eastAsia" w:ascii="宋体" w:hAnsi="宋体" w:eastAsia="宋体" w:cs="宋体"/>
        </w:rPr>
      </w:pPr>
      <w:r>
        <w:rPr>
          <w:rFonts w:hint="eastAsia" w:ascii="宋体" w:hAnsi="宋体" w:eastAsia="宋体" w:cs="宋体"/>
          <w:spacing w:val="-5"/>
        </w:rPr>
        <w:t>（二）工业。从业人员</w:t>
      </w:r>
      <w:r>
        <w:rPr>
          <w:rFonts w:hint="eastAsia" w:ascii="宋体" w:hAnsi="宋体" w:eastAsia="宋体" w:cs="宋体"/>
          <w:spacing w:val="-30"/>
        </w:rPr>
        <w:t xml:space="preserve"> </w:t>
      </w:r>
      <w:r>
        <w:rPr>
          <w:rFonts w:hint="eastAsia" w:ascii="宋体" w:hAnsi="宋体" w:eastAsia="宋体" w:cs="宋体"/>
          <w:spacing w:val="-5"/>
        </w:rPr>
        <w:t>1000</w:t>
      </w:r>
      <w:r>
        <w:rPr>
          <w:rFonts w:hint="eastAsia" w:ascii="宋体" w:hAnsi="宋体" w:eastAsia="宋体" w:cs="宋体"/>
          <w:spacing w:val="-41"/>
        </w:rPr>
        <w:t xml:space="preserve"> </w:t>
      </w:r>
      <w:r>
        <w:rPr>
          <w:rFonts w:hint="eastAsia" w:ascii="宋体" w:hAnsi="宋体" w:eastAsia="宋体" w:cs="宋体"/>
          <w:spacing w:val="-5"/>
        </w:rPr>
        <w:t>人以下或营业收入</w:t>
      </w:r>
      <w:r>
        <w:rPr>
          <w:rFonts w:hint="eastAsia" w:ascii="宋体" w:hAnsi="宋体" w:eastAsia="宋体" w:cs="宋体"/>
          <w:spacing w:val="-52"/>
        </w:rPr>
        <w:t xml:space="preserve"> </w:t>
      </w:r>
      <w:r>
        <w:rPr>
          <w:rFonts w:hint="eastAsia" w:ascii="宋体" w:hAnsi="宋体" w:eastAsia="宋体" w:cs="宋体"/>
          <w:spacing w:val="-5"/>
        </w:rPr>
        <w:t>40000</w:t>
      </w:r>
      <w:r>
        <w:rPr>
          <w:rFonts w:hint="eastAsia" w:ascii="宋体" w:hAnsi="宋体" w:eastAsia="宋体" w:cs="宋体"/>
          <w:spacing w:val="-42"/>
        </w:rPr>
        <w:t xml:space="preserve"> </w:t>
      </w:r>
      <w:r>
        <w:rPr>
          <w:rFonts w:hint="eastAsia" w:ascii="宋体" w:hAnsi="宋体" w:eastAsia="宋体" w:cs="宋体"/>
          <w:spacing w:val="-5"/>
        </w:rPr>
        <w:t>万元以下的为中小微</w:t>
      </w:r>
      <w:r>
        <w:rPr>
          <w:rFonts w:hint="eastAsia" w:ascii="宋体" w:hAnsi="宋体" w:eastAsia="宋体" w:cs="宋体"/>
        </w:rPr>
        <w:t xml:space="preserve"> </w:t>
      </w:r>
      <w:r>
        <w:rPr>
          <w:rFonts w:hint="eastAsia" w:ascii="宋体" w:hAnsi="宋体" w:eastAsia="宋体" w:cs="宋体"/>
          <w:spacing w:val="-8"/>
        </w:rPr>
        <w:t>型企业。其中， 从业人员</w:t>
      </w:r>
      <w:r>
        <w:rPr>
          <w:rFonts w:hint="eastAsia" w:ascii="宋体" w:hAnsi="宋体" w:eastAsia="宋体" w:cs="宋体"/>
          <w:spacing w:val="-31"/>
        </w:rPr>
        <w:t xml:space="preserve"> </w:t>
      </w:r>
      <w:r>
        <w:rPr>
          <w:rFonts w:hint="eastAsia" w:ascii="宋体" w:hAnsi="宋体" w:eastAsia="宋体" w:cs="宋体"/>
          <w:spacing w:val="-8"/>
        </w:rPr>
        <w:t>300</w:t>
      </w:r>
      <w:r>
        <w:rPr>
          <w:rFonts w:hint="eastAsia" w:ascii="宋体" w:hAnsi="宋体" w:eastAsia="宋体" w:cs="宋体"/>
          <w:spacing w:val="-41"/>
        </w:rPr>
        <w:t xml:space="preserve"> </w:t>
      </w:r>
      <w:r>
        <w:rPr>
          <w:rFonts w:hint="eastAsia" w:ascii="宋体" w:hAnsi="宋体" w:eastAsia="宋体" w:cs="宋体"/>
          <w:spacing w:val="-8"/>
        </w:rPr>
        <w:t>人及以上，且营业收入</w:t>
      </w:r>
      <w:r>
        <w:rPr>
          <w:rFonts w:hint="eastAsia" w:ascii="宋体" w:hAnsi="宋体" w:eastAsia="宋体" w:cs="宋体"/>
          <w:spacing w:val="-48"/>
        </w:rPr>
        <w:t xml:space="preserve"> </w:t>
      </w:r>
      <w:r>
        <w:rPr>
          <w:rFonts w:hint="eastAsia" w:ascii="宋体" w:hAnsi="宋体" w:eastAsia="宋体" w:cs="宋体"/>
          <w:spacing w:val="-8"/>
        </w:rPr>
        <w:t>2000</w:t>
      </w:r>
      <w:r>
        <w:rPr>
          <w:rFonts w:hint="eastAsia" w:ascii="宋体" w:hAnsi="宋体" w:eastAsia="宋体" w:cs="宋体"/>
          <w:spacing w:val="-42"/>
        </w:rPr>
        <w:t xml:space="preserve"> </w:t>
      </w:r>
      <w:r>
        <w:rPr>
          <w:rFonts w:hint="eastAsia" w:ascii="宋体" w:hAnsi="宋体" w:eastAsia="宋体" w:cs="宋体"/>
          <w:spacing w:val="-8"/>
        </w:rPr>
        <w:t>万元及以上的为中型</w:t>
      </w:r>
      <w:r>
        <w:rPr>
          <w:rFonts w:hint="eastAsia" w:ascii="宋体" w:hAnsi="宋体" w:eastAsia="宋体" w:cs="宋体"/>
        </w:rPr>
        <w:t xml:space="preserve"> </w:t>
      </w:r>
      <w:r>
        <w:rPr>
          <w:rFonts w:hint="eastAsia" w:ascii="宋体" w:hAnsi="宋体" w:eastAsia="宋体" w:cs="宋体"/>
          <w:spacing w:val="-5"/>
        </w:rPr>
        <w:t>企业；从业人员</w:t>
      </w:r>
      <w:r>
        <w:rPr>
          <w:rFonts w:hint="eastAsia" w:ascii="宋体" w:hAnsi="宋体" w:eastAsia="宋体" w:cs="宋体"/>
          <w:spacing w:val="-35"/>
        </w:rPr>
        <w:t xml:space="preserve"> </w:t>
      </w:r>
      <w:r>
        <w:rPr>
          <w:rFonts w:hint="eastAsia" w:ascii="宋体" w:hAnsi="宋体" w:eastAsia="宋体" w:cs="宋体"/>
          <w:spacing w:val="-5"/>
        </w:rPr>
        <w:t>20</w:t>
      </w:r>
      <w:r>
        <w:rPr>
          <w:rFonts w:hint="eastAsia" w:ascii="宋体" w:hAnsi="宋体" w:eastAsia="宋体" w:cs="宋体"/>
          <w:spacing w:val="-40"/>
        </w:rPr>
        <w:t xml:space="preserve"> </w:t>
      </w:r>
      <w:r>
        <w:rPr>
          <w:rFonts w:hint="eastAsia" w:ascii="宋体" w:hAnsi="宋体" w:eastAsia="宋体" w:cs="宋体"/>
          <w:spacing w:val="-5"/>
        </w:rPr>
        <w:t>人及以上，且营业收入</w:t>
      </w:r>
      <w:r>
        <w:rPr>
          <w:rFonts w:hint="eastAsia" w:ascii="宋体" w:hAnsi="宋体" w:eastAsia="宋体" w:cs="宋体"/>
          <w:spacing w:val="-47"/>
        </w:rPr>
        <w:t xml:space="preserve"> </w:t>
      </w:r>
      <w:r>
        <w:rPr>
          <w:rFonts w:hint="eastAsia" w:ascii="宋体" w:hAnsi="宋体" w:eastAsia="宋体" w:cs="宋体"/>
          <w:spacing w:val="-5"/>
        </w:rPr>
        <w:t>300</w:t>
      </w:r>
      <w:r>
        <w:rPr>
          <w:rFonts w:hint="eastAsia" w:ascii="宋体" w:hAnsi="宋体" w:eastAsia="宋体" w:cs="宋体"/>
          <w:spacing w:val="-42"/>
        </w:rPr>
        <w:t xml:space="preserve"> </w:t>
      </w:r>
      <w:r>
        <w:rPr>
          <w:rFonts w:hint="eastAsia" w:ascii="宋体" w:hAnsi="宋体" w:eastAsia="宋体" w:cs="宋体"/>
          <w:spacing w:val="-5"/>
        </w:rPr>
        <w:t>万元及以上的为小型企业；从业</w:t>
      </w:r>
      <w:r>
        <w:rPr>
          <w:rFonts w:hint="eastAsia" w:ascii="宋体" w:hAnsi="宋体" w:eastAsia="宋体" w:cs="宋体"/>
        </w:rPr>
        <w:t xml:space="preserve"> </w:t>
      </w:r>
      <w:r>
        <w:rPr>
          <w:rFonts w:hint="eastAsia" w:ascii="宋体" w:hAnsi="宋体" w:eastAsia="宋体" w:cs="宋体"/>
          <w:spacing w:val="-4"/>
        </w:rPr>
        <w:t>人员</w:t>
      </w:r>
      <w:r>
        <w:rPr>
          <w:rFonts w:hint="eastAsia" w:ascii="宋体" w:hAnsi="宋体" w:eastAsia="宋体" w:cs="宋体"/>
          <w:spacing w:val="-41"/>
        </w:rPr>
        <w:t xml:space="preserve"> </w:t>
      </w:r>
      <w:r>
        <w:rPr>
          <w:rFonts w:hint="eastAsia" w:ascii="宋体" w:hAnsi="宋体" w:eastAsia="宋体" w:cs="宋体"/>
          <w:spacing w:val="-4"/>
        </w:rPr>
        <w:t>20</w:t>
      </w:r>
      <w:r>
        <w:rPr>
          <w:rFonts w:hint="eastAsia" w:ascii="宋体" w:hAnsi="宋体" w:eastAsia="宋体" w:cs="宋体"/>
          <w:spacing w:val="-40"/>
        </w:rPr>
        <w:t xml:space="preserve"> </w:t>
      </w:r>
      <w:r>
        <w:rPr>
          <w:rFonts w:hint="eastAsia" w:ascii="宋体" w:hAnsi="宋体" w:eastAsia="宋体" w:cs="宋体"/>
          <w:spacing w:val="-4"/>
        </w:rPr>
        <w:t>人以下或营业收入</w:t>
      </w:r>
      <w:r>
        <w:rPr>
          <w:rFonts w:hint="eastAsia" w:ascii="宋体" w:hAnsi="宋体" w:eastAsia="宋体" w:cs="宋体"/>
          <w:spacing w:val="-46"/>
        </w:rPr>
        <w:t xml:space="preserve"> </w:t>
      </w:r>
      <w:r>
        <w:rPr>
          <w:rFonts w:hint="eastAsia" w:ascii="宋体" w:hAnsi="宋体" w:eastAsia="宋体" w:cs="宋体"/>
          <w:spacing w:val="-4"/>
        </w:rPr>
        <w:t>300</w:t>
      </w:r>
      <w:r>
        <w:rPr>
          <w:rFonts w:hint="eastAsia" w:ascii="宋体" w:hAnsi="宋体" w:eastAsia="宋体" w:cs="宋体"/>
          <w:spacing w:val="-43"/>
        </w:rPr>
        <w:t xml:space="preserve"> </w:t>
      </w:r>
      <w:r>
        <w:rPr>
          <w:rFonts w:hint="eastAsia" w:ascii="宋体" w:hAnsi="宋体" w:eastAsia="宋体" w:cs="宋体"/>
          <w:spacing w:val="-4"/>
        </w:rPr>
        <w:t>万元以下的为微型企业。</w:t>
      </w:r>
    </w:p>
    <w:p w14:paraId="24AE3E74">
      <w:pPr>
        <w:pStyle w:val="11"/>
        <w:keepNext w:val="0"/>
        <w:keepLines w:val="0"/>
        <w:pageBreakBefore w:val="0"/>
        <w:widowControl w:val="0"/>
        <w:kinsoku/>
        <w:wordWrap/>
        <w:overflowPunct/>
        <w:topLinePunct w:val="0"/>
        <w:autoSpaceDE/>
        <w:autoSpaceDN/>
        <w:bidi w:val="0"/>
        <w:adjustRightInd/>
        <w:snapToGrid/>
        <w:spacing w:line="360" w:lineRule="auto"/>
        <w:ind w:left="0" w:right="0" w:firstLine="412" w:firstLineChars="200"/>
        <w:jc w:val="left"/>
        <w:textAlignment w:val="auto"/>
        <w:rPr>
          <w:rFonts w:hint="eastAsia" w:ascii="宋体" w:hAnsi="宋体" w:eastAsia="宋体" w:cs="宋体"/>
        </w:rPr>
      </w:pPr>
      <w:r>
        <w:rPr>
          <w:rFonts w:hint="eastAsia" w:ascii="宋体" w:hAnsi="宋体" w:eastAsia="宋体" w:cs="宋体"/>
          <w:spacing w:val="-2"/>
        </w:rPr>
        <w:t>（三）建筑业。营业收入</w:t>
      </w:r>
      <w:r>
        <w:rPr>
          <w:rFonts w:hint="eastAsia" w:ascii="宋体" w:hAnsi="宋体" w:eastAsia="宋体" w:cs="宋体"/>
          <w:spacing w:val="-28"/>
        </w:rPr>
        <w:t xml:space="preserve"> </w:t>
      </w:r>
      <w:r>
        <w:rPr>
          <w:rFonts w:hint="eastAsia" w:ascii="宋体" w:hAnsi="宋体" w:eastAsia="宋体" w:cs="宋体"/>
          <w:spacing w:val="-2"/>
        </w:rPr>
        <w:t>80000</w:t>
      </w:r>
      <w:r>
        <w:rPr>
          <w:rFonts w:hint="eastAsia" w:ascii="宋体" w:hAnsi="宋体" w:eastAsia="宋体" w:cs="宋体"/>
          <w:spacing w:val="-35"/>
        </w:rPr>
        <w:t xml:space="preserve"> </w:t>
      </w:r>
      <w:r>
        <w:rPr>
          <w:rFonts w:hint="eastAsia" w:ascii="宋体" w:hAnsi="宋体" w:eastAsia="宋体" w:cs="宋体"/>
          <w:spacing w:val="-2"/>
        </w:rPr>
        <w:t>万元以下或资产总额</w:t>
      </w:r>
      <w:r>
        <w:rPr>
          <w:rFonts w:hint="eastAsia" w:ascii="宋体" w:hAnsi="宋体" w:eastAsia="宋体" w:cs="宋体"/>
          <w:spacing w:val="-43"/>
        </w:rPr>
        <w:t xml:space="preserve"> </w:t>
      </w:r>
      <w:r>
        <w:rPr>
          <w:rFonts w:hint="eastAsia" w:ascii="宋体" w:hAnsi="宋体" w:eastAsia="宋体" w:cs="宋体"/>
          <w:spacing w:val="-2"/>
        </w:rPr>
        <w:t>8</w:t>
      </w:r>
      <w:r>
        <w:rPr>
          <w:rFonts w:hint="eastAsia" w:ascii="宋体" w:hAnsi="宋体" w:eastAsia="宋体" w:cs="宋体"/>
          <w:spacing w:val="-3"/>
        </w:rPr>
        <w:t>0000</w:t>
      </w:r>
      <w:r>
        <w:rPr>
          <w:rFonts w:hint="eastAsia" w:ascii="宋体" w:hAnsi="宋体" w:eastAsia="宋体" w:cs="宋体"/>
          <w:spacing w:val="-35"/>
        </w:rPr>
        <w:t xml:space="preserve"> </w:t>
      </w:r>
      <w:r>
        <w:rPr>
          <w:rFonts w:hint="eastAsia" w:ascii="宋体" w:hAnsi="宋体" w:eastAsia="宋体" w:cs="宋体"/>
          <w:spacing w:val="-3"/>
        </w:rPr>
        <w:t>万元以下的为</w:t>
      </w:r>
      <w:r>
        <w:rPr>
          <w:rFonts w:hint="eastAsia" w:ascii="宋体" w:hAnsi="宋体" w:eastAsia="宋体" w:cs="宋体"/>
        </w:rPr>
        <w:t xml:space="preserve"> </w:t>
      </w:r>
      <w:r>
        <w:rPr>
          <w:rFonts w:hint="eastAsia" w:ascii="宋体" w:hAnsi="宋体" w:eastAsia="宋体" w:cs="宋体"/>
          <w:spacing w:val="-2"/>
        </w:rPr>
        <w:t>中小微型企业。其中，营业收入</w:t>
      </w:r>
      <w:r>
        <w:rPr>
          <w:rFonts w:hint="eastAsia" w:ascii="宋体" w:hAnsi="宋体" w:eastAsia="宋体" w:cs="宋体"/>
          <w:spacing w:val="-42"/>
        </w:rPr>
        <w:t xml:space="preserve"> </w:t>
      </w:r>
      <w:r>
        <w:rPr>
          <w:rFonts w:hint="eastAsia" w:ascii="宋体" w:hAnsi="宋体" w:eastAsia="宋体" w:cs="宋体"/>
          <w:spacing w:val="-2"/>
        </w:rPr>
        <w:t>6000</w:t>
      </w:r>
      <w:r>
        <w:rPr>
          <w:rFonts w:hint="eastAsia" w:ascii="宋体" w:hAnsi="宋体" w:eastAsia="宋体" w:cs="宋体"/>
          <w:spacing w:val="-35"/>
        </w:rPr>
        <w:t xml:space="preserve"> </w:t>
      </w:r>
      <w:r>
        <w:rPr>
          <w:rFonts w:hint="eastAsia" w:ascii="宋体" w:hAnsi="宋体" w:eastAsia="宋体" w:cs="宋体"/>
          <w:spacing w:val="-2"/>
        </w:rPr>
        <w:t>万元及以上，且资产总额</w:t>
      </w:r>
      <w:r>
        <w:rPr>
          <w:rFonts w:hint="eastAsia" w:ascii="宋体" w:hAnsi="宋体" w:eastAsia="宋体" w:cs="宋体"/>
          <w:spacing w:val="-39"/>
        </w:rPr>
        <w:t xml:space="preserve"> </w:t>
      </w:r>
      <w:r>
        <w:rPr>
          <w:rFonts w:hint="eastAsia" w:ascii="宋体" w:hAnsi="宋体" w:eastAsia="宋体" w:cs="宋体"/>
          <w:spacing w:val="-2"/>
        </w:rPr>
        <w:t>5000</w:t>
      </w:r>
      <w:r>
        <w:rPr>
          <w:rFonts w:hint="eastAsia" w:ascii="宋体" w:hAnsi="宋体" w:eastAsia="宋体" w:cs="宋体"/>
          <w:spacing w:val="-35"/>
        </w:rPr>
        <w:t xml:space="preserve"> </w:t>
      </w:r>
      <w:r>
        <w:rPr>
          <w:rFonts w:hint="eastAsia" w:ascii="宋体" w:hAnsi="宋体" w:eastAsia="宋体" w:cs="宋体"/>
          <w:spacing w:val="-2"/>
        </w:rPr>
        <w:t>万元及以</w:t>
      </w:r>
      <w:r>
        <w:rPr>
          <w:rFonts w:hint="eastAsia" w:ascii="宋体" w:hAnsi="宋体" w:eastAsia="宋体" w:cs="宋体"/>
        </w:rPr>
        <w:t xml:space="preserve"> </w:t>
      </w:r>
      <w:r>
        <w:rPr>
          <w:rFonts w:hint="eastAsia" w:ascii="宋体" w:hAnsi="宋体" w:eastAsia="宋体" w:cs="宋体"/>
          <w:spacing w:val="-2"/>
        </w:rPr>
        <w:t>上的为中型企业；营业收入</w:t>
      </w:r>
      <w:r>
        <w:rPr>
          <w:rFonts w:hint="eastAsia" w:ascii="宋体" w:hAnsi="宋体" w:eastAsia="宋体" w:cs="宋体"/>
          <w:spacing w:val="-39"/>
        </w:rPr>
        <w:t xml:space="preserve"> </w:t>
      </w:r>
      <w:r>
        <w:rPr>
          <w:rFonts w:hint="eastAsia" w:ascii="宋体" w:hAnsi="宋体" w:eastAsia="宋体" w:cs="宋体"/>
          <w:spacing w:val="-2"/>
        </w:rPr>
        <w:t>300</w:t>
      </w:r>
      <w:r>
        <w:rPr>
          <w:rFonts w:hint="eastAsia" w:ascii="宋体" w:hAnsi="宋体" w:eastAsia="宋体" w:cs="宋体"/>
          <w:spacing w:val="-35"/>
        </w:rPr>
        <w:t xml:space="preserve"> </w:t>
      </w:r>
      <w:r>
        <w:rPr>
          <w:rFonts w:hint="eastAsia" w:ascii="宋体" w:hAnsi="宋体" w:eastAsia="宋体" w:cs="宋体"/>
          <w:spacing w:val="-2"/>
        </w:rPr>
        <w:t>万元及以上，且资产总额</w:t>
      </w:r>
      <w:r>
        <w:rPr>
          <w:rFonts w:hint="eastAsia" w:ascii="宋体" w:hAnsi="宋体" w:eastAsia="宋体" w:cs="宋体"/>
          <w:spacing w:val="-39"/>
        </w:rPr>
        <w:t xml:space="preserve"> </w:t>
      </w:r>
      <w:r>
        <w:rPr>
          <w:rFonts w:hint="eastAsia" w:ascii="宋体" w:hAnsi="宋体" w:eastAsia="宋体" w:cs="宋体"/>
          <w:spacing w:val="-2"/>
        </w:rPr>
        <w:t>300</w:t>
      </w:r>
      <w:r>
        <w:rPr>
          <w:rFonts w:hint="eastAsia" w:ascii="宋体" w:hAnsi="宋体" w:eastAsia="宋体" w:cs="宋体"/>
          <w:spacing w:val="-35"/>
        </w:rPr>
        <w:t xml:space="preserve"> </w:t>
      </w:r>
      <w:r>
        <w:rPr>
          <w:rFonts w:hint="eastAsia" w:ascii="宋体" w:hAnsi="宋体" w:eastAsia="宋体" w:cs="宋体"/>
          <w:spacing w:val="-2"/>
        </w:rPr>
        <w:t>万元及以</w:t>
      </w:r>
      <w:r>
        <w:rPr>
          <w:rFonts w:hint="eastAsia" w:ascii="宋体" w:hAnsi="宋体" w:eastAsia="宋体" w:cs="宋体"/>
          <w:spacing w:val="-3"/>
        </w:rPr>
        <w:t>上的为</w:t>
      </w:r>
      <w:r>
        <w:rPr>
          <w:rFonts w:hint="eastAsia" w:ascii="宋体" w:hAnsi="宋体" w:eastAsia="宋体" w:cs="宋体"/>
        </w:rPr>
        <w:t xml:space="preserve"> </w:t>
      </w:r>
      <w:r>
        <w:rPr>
          <w:rFonts w:hint="eastAsia" w:ascii="宋体" w:hAnsi="宋体" w:eastAsia="宋体" w:cs="宋体"/>
          <w:spacing w:val="-3"/>
        </w:rPr>
        <w:t>小型企业；营业收入</w:t>
      </w:r>
      <w:r>
        <w:rPr>
          <w:rFonts w:hint="eastAsia" w:ascii="宋体" w:hAnsi="宋体" w:eastAsia="宋体" w:cs="宋体"/>
          <w:spacing w:val="-46"/>
        </w:rPr>
        <w:t xml:space="preserve"> </w:t>
      </w:r>
      <w:r>
        <w:rPr>
          <w:rFonts w:hint="eastAsia" w:ascii="宋体" w:hAnsi="宋体" w:eastAsia="宋体" w:cs="宋体"/>
          <w:spacing w:val="-3"/>
        </w:rPr>
        <w:t>300</w:t>
      </w:r>
      <w:r>
        <w:rPr>
          <w:rFonts w:hint="eastAsia" w:ascii="宋体" w:hAnsi="宋体" w:eastAsia="宋体" w:cs="宋体"/>
          <w:spacing w:val="-42"/>
        </w:rPr>
        <w:t xml:space="preserve"> </w:t>
      </w:r>
      <w:r>
        <w:rPr>
          <w:rFonts w:hint="eastAsia" w:ascii="宋体" w:hAnsi="宋体" w:eastAsia="宋体" w:cs="宋体"/>
          <w:spacing w:val="-3"/>
        </w:rPr>
        <w:t>万元以下或资产总额</w:t>
      </w:r>
      <w:r>
        <w:rPr>
          <w:rFonts w:hint="eastAsia" w:ascii="宋体" w:hAnsi="宋体" w:eastAsia="宋体" w:cs="宋体"/>
          <w:spacing w:val="-47"/>
        </w:rPr>
        <w:t xml:space="preserve"> </w:t>
      </w:r>
      <w:r>
        <w:rPr>
          <w:rFonts w:hint="eastAsia" w:ascii="宋体" w:hAnsi="宋体" w:eastAsia="宋体" w:cs="宋体"/>
          <w:spacing w:val="-3"/>
        </w:rPr>
        <w:t>300</w:t>
      </w:r>
      <w:r>
        <w:rPr>
          <w:rFonts w:hint="eastAsia" w:ascii="宋体" w:hAnsi="宋体" w:eastAsia="宋体" w:cs="宋体"/>
          <w:spacing w:val="-42"/>
        </w:rPr>
        <w:t xml:space="preserve"> </w:t>
      </w:r>
      <w:r>
        <w:rPr>
          <w:rFonts w:hint="eastAsia" w:ascii="宋体" w:hAnsi="宋体" w:eastAsia="宋体" w:cs="宋体"/>
          <w:spacing w:val="-3"/>
        </w:rPr>
        <w:t>万元以下的为微型企</w:t>
      </w:r>
      <w:r>
        <w:rPr>
          <w:rFonts w:hint="eastAsia" w:ascii="宋体" w:hAnsi="宋体" w:eastAsia="宋体" w:cs="宋体"/>
          <w:spacing w:val="-4"/>
        </w:rPr>
        <w:t>业。</w:t>
      </w:r>
    </w:p>
    <w:p w14:paraId="2472E400">
      <w:pPr>
        <w:pStyle w:val="11"/>
        <w:keepNext w:val="0"/>
        <w:keepLines w:val="0"/>
        <w:pageBreakBefore w:val="0"/>
        <w:widowControl w:val="0"/>
        <w:kinsoku/>
        <w:wordWrap/>
        <w:overflowPunct/>
        <w:topLinePunct w:val="0"/>
        <w:autoSpaceDE/>
        <w:autoSpaceDN/>
        <w:bidi w:val="0"/>
        <w:adjustRightInd/>
        <w:snapToGrid/>
        <w:spacing w:line="360" w:lineRule="auto"/>
        <w:ind w:left="0" w:right="0" w:firstLine="408" w:firstLineChars="200"/>
        <w:jc w:val="left"/>
        <w:textAlignment w:val="auto"/>
        <w:rPr>
          <w:rFonts w:hint="eastAsia" w:ascii="宋体" w:hAnsi="宋体" w:eastAsia="宋体" w:cs="宋体"/>
          <w:spacing w:val="-5"/>
        </w:rPr>
      </w:pPr>
      <w:r>
        <w:rPr>
          <w:rFonts w:hint="eastAsia" w:ascii="宋体" w:hAnsi="宋体" w:eastAsia="宋体" w:cs="宋体"/>
          <w:spacing w:val="-3"/>
        </w:rPr>
        <w:t>（四）批发业。从业人员 200</w:t>
      </w:r>
      <w:r>
        <w:rPr>
          <w:rFonts w:hint="eastAsia" w:ascii="宋体" w:hAnsi="宋体" w:eastAsia="宋体" w:cs="宋体"/>
          <w:spacing w:val="-33"/>
        </w:rPr>
        <w:t xml:space="preserve"> </w:t>
      </w:r>
      <w:r>
        <w:rPr>
          <w:rFonts w:hint="eastAsia" w:ascii="宋体" w:hAnsi="宋体" w:eastAsia="宋体" w:cs="宋体"/>
          <w:spacing w:val="-3"/>
        </w:rPr>
        <w:t>人以下或营业收入</w:t>
      </w:r>
      <w:r>
        <w:rPr>
          <w:rFonts w:hint="eastAsia" w:ascii="宋体" w:hAnsi="宋体" w:eastAsia="宋体" w:cs="宋体"/>
          <w:spacing w:val="-45"/>
        </w:rPr>
        <w:t xml:space="preserve"> </w:t>
      </w:r>
      <w:r>
        <w:rPr>
          <w:rFonts w:hint="eastAsia" w:ascii="宋体" w:hAnsi="宋体" w:eastAsia="宋体" w:cs="宋体"/>
          <w:spacing w:val="-3"/>
        </w:rPr>
        <w:t>40000</w:t>
      </w:r>
      <w:r>
        <w:rPr>
          <w:rFonts w:hint="eastAsia" w:ascii="宋体" w:hAnsi="宋体" w:eastAsia="宋体" w:cs="宋体"/>
          <w:spacing w:val="-35"/>
        </w:rPr>
        <w:t xml:space="preserve"> </w:t>
      </w:r>
      <w:r>
        <w:rPr>
          <w:rFonts w:hint="eastAsia" w:ascii="宋体" w:hAnsi="宋体" w:eastAsia="宋体" w:cs="宋体"/>
          <w:spacing w:val="-3"/>
        </w:rPr>
        <w:t>万元以下的为</w:t>
      </w:r>
      <w:r>
        <w:rPr>
          <w:rFonts w:hint="eastAsia" w:ascii="宋体" w:hAnsi="宋体" w:eastAsia="宋体" w:cs="宋体"/>
          <w:spacing w:val="-4"/>
        </w:rPr>
        <w:t>中小</w:t>
      </w:r>
      <w:r>
        <w:rPr>
          <w:rFonts w:hint="eastAsia" w:ascii="宋体" w:hAnsi="宋体" w:eastAsia="宋体" w:cs="宋体"/>
        </w:rPr>
        <w:t xml:space="preserve"> </w:t>
      </w:r>
      <w:r>
        <w:rPr>
          <w:rFonts w:hint="eastAsia" w:ascii="宋体" w:hAnsi="宋体" w:eastAsia="宋体" w:cs="宋体"/>
          <w:spacing w:val="-2"/>
        </w:rPr>
        <w:t>微型企业。其中，从业人员</w:t>
      </w:r>
      <w:r>
        <w:rPr>
          <w:rFonts w:hint="eastAsia" w:ascii="宋体" w:hAnsi="宋体" w:eastAsia="宋体" w:cs="宋体"/>
          <w:spacing w:val="-41"/>
        </w:rPr>
        <w:t xml:space="preserve"> </w:t>
      </w:r>
      <w:r>
        <w:rPr>
          <w:rFonts w:hint="eastAsia" w:ascii="宋体" w:hAnsi="宋体" w:eastAsia="宋体" w:cs="宋体"/>
          <w:spacing w:val="-2"/>
        </w:rPr>
        <w:t>20</w:t>
      </w:r>
      <w:r>
        <w:rPr>
          <w:rFonts w:hint="eastAsia" w:ascii="宋体" w:hAnsi="宋体" w:eastAsia="宋体" w:cs="宋体"/>
          <w:spacing w:val="-33"/>
        </w:rPr>
        <w:t xml:space="preserve"> </w:t>
      </w:r>
      <w:r>
        <w:rPr>
          <w:rFonts w:hint="eastAsia" w:ascii="宋体" w:hAnsi="宋体" w:eastAsia="宋体" w:cs="宋体"/>
          <w:spacing w:val="-2"/>
        </w:rPr>
        <w:t>人及以上，且营业收入</w:t>
      </w:r>
      <w:r>
        <w:rPr>
          <w:rFonts w:hint="eastAsia" w:ascii="宋体" w:hAnsi="宋体" w:eastAsia="宋体" w:cs="宋体"/>
          <w:spacing w:val="-39"/>
        </w:rPr>
        <w:t xml:space="preserve"> </w:t>
      </w:r>
      <w:r>
        <w:rPr>
          <w:rFonts w:hint="eastAsia" w:ascii="宋体" w:hAnsi="宋体" w:eastAsia="宋体" w:cs="宋体"/>
          <w:spacing w:val="-2"/>
        </w:rPr>
        <w:t>5000</w:t>
      </w:r>
      <w:r>
        <w:rPr>
          <w:rFonts w:hint="eastAsia" w:ascii="宋体" w:hAnsi="宋体" w:eastAsia="宋体" w:cs="宋体"/>
          <w:spacing w:val="-35"/>
        </w:rPr>
        <w:t xml:space="preserve"> </w:t>
      </w:r>
      <w:r>
        <w:rPr>
          <w:rFonts w:hint="eastAsia" w:ascii="宋体" w:hAnsi="宋体" w:eastAsia="宋体" w:cs="宋体"/>
          <w:spacing w:val="-2"/>
        </w:rPr>
        <w:t>万元及以上的</w:t>
      </w:r>
      <w:r>
        <w:rPr>
          <w:rFonts w:hint="eastAsia" w:ascii="宋体" w:hAnsi="宋体" w:eastAsia="宋体" w:cs="宋体"/>
          <w:spacing w:val="-3"/>
        </w:rPr>
        <w:t>为中</w:t>
      </w:r>
      <w:r>
        <w:rPr>
          <w:rFonts w:hint="eastAsia" w:ascii="宋体" w:hAnsi="宋体" w:eastAsia="宋体" w:cs="宋体"/>
        </w:rPr>
        <w:t xml:space="preserve"> </w:t>
      </w:r>
      <w:r>
        <w:rPr>
          <w:rFonts w:hint="eastAsia" w:ascii="宋体" w:hAnsi="宋体" w:eastAsia="宋体" w:cs="宋体"/>
          <w:spacing w:val="-5"/>
        </w:rPr>
        <w:t>型企业；从业人员</w:t>
      </w:r>
      <w:r>
        <w:rPr>
          <w:rFonts w:hint="eastAsia" w:ascii="宋体" w:hAnsi="宋体" w:eastAsia="宋体" w:cs="宋体"/>
          <w:spacing w:val="-47"/>
        </w:rPr>
        <w:t xml:space="preserve"> </w:t>
      </w:r>
      <w:r>
        <w:rPr>
          <w:rFonts w:hint="eastAsia" w:ascii="宋体" w:hAnsi="宋体" w:eastAsia="宋体" w:cs="宋体"/>
          <w:spacing w:val="-5"/>
        </w:rPr>
        <w:t>5</w:t>
      </w:r>
      <w:r>
        <w:rPr>
          <w:rFonts w:hint="eastAsia" w:ascii="宋体" w:hAnsi="宋体" w:eastAsia="宋体" w:cs="宋体"/>
          <w:spacing w:val="-39"/>
        </w:rPr>
        <w:t xml:space="preserve"> </w:t>
      </w:r>
      <w:r>
        <w:rPr>
          <w:rFonts w:hint="eastAsia" w:ascii="宋体" w:hAnsi="宋体" w:eastAsia="宋体" w:cs="宋体"/>
          <w:spacing w:val="-5"/>
        </w:rPr>
        <w:t>人及以上，且营业收入</w:t>
      </w:r>
      <w:r>
        <w:rPr>
          <w:rFonts w:hint="eastAsia" w:ascii="宋体" w:hAnsi="宋体" w:eastAsia="宋体" w:cs="宋体"/>
          <w:spacing w:val="-34"/>
        </w:rPr>
        <w:t xml:space="preserve"> </w:t>
      </w:r>
      <w:r>
        <w:rPr>
          <w:rFonts w:hint="eastAsia" w:ascii="宋体" w:hAnsi="宋体" w:eastAsia="宋体" w:cs="宋体"/>
          <w:spacing w:val="-5"/>
        </w:rPr>
        <w:t>1000</w:t>
      </w:r>
      <w:r>
        <w:rPr>
          <w:rFonts w:hint="eastAsia" w:ascii="宋体" w:hAnsi="宋体" w:eastAsia="宋体" w:cs="宋体"/>
          <w:spacing w:val="-42"/>
        </w:rPr>
        <w:t xml:space="preserve"> </w:t>
      </w:r>
      <w:r>
        <w:rPr>
          <w:rFonts w:hint="eastAsia" w:ascii="宋体" w:hAnsi="宋体" w:eastAsia="宋体" w:cs="宋体"/>
          <w:spacing w:val="-5"/>
        </w:rPr>
        <w:t>万元及以上的为小型企业；从</w:t>
      </w:r>
      <w:r>
        <w:rPr>
          <w:rFonts w:hint="eastAsia" w:ascii="宋体" w:hAnsi="宋体" w:eastAsia="宋体" w:cs="宋体"/>
        </w:rPr>
        <w:t xml:space="preserve"> </w:t>
      </w:r>
      <w:r>
        <w:rPr>
          <w:rFonts w:hint="eastAsia" w:ascii="宋体" w:hAnsi="宋体" w:eastAsia="宋体" w:cs="宋体"/>
          <w:spacing w:val="-5"/>
        </w:rPr>
        <w:t>业人员</w:t>
      </w:r>
      <w:r>
        <w:rPr>
          <w:rFonts w:hint="eastAsia" w:ascii="宋体" w:hAnsi="宋体" w:eastAsia="宋体" w:cs="宋体"/>
          <w:spacing w:val="-33"/>
        </w:rPr>
        <w:t xml:space="preserve"> </w:t>
      </w:r>
      <w:r>
        <w:rPr>
          <w:rFonts w:hint="eastAsia" w:ascii="宋体" w:hAnsi="宋体" w:eastAsia="宋体" w:cs="宋体"/>
          <w:spacing w:val="-5"/>
        </w:rPr>
        <w:t>5</w:t>
      </w:r>
      <w:r>
        <w:rPr>
          <w:rFonts w:hint="eastAsia" w:ascii="宋体" w:hAnsi="宋体" w:eastAsia="宋体" w:cs="宋体"/>
          <w:spacing w:val="-40"/>
        </w:rPr>
        <w:t xml:space="preserve"> </w:t>
      </w:r>
      <w:r>
        <w:rPr>
          <w:rFonts w:hint="eastAsia" w:ascii="宋体" w:hAnsi="宋体" w:eastAsia="宋体" w:cs="宋体"/>
          <w:spacing w:val="-5"/>
        </w:rPr>
        <w:t>人以下或营业收入</w:t>
      </w:r>
      <w:r>
        <w:rPr>
          <w:rFonts w:hint="eastAsia" w:ascii="宋体" w:hAnsi="宋体" w:eastAsia="宋体" w:cs="宋体"/>
          <w:spacing w:val="-33"/>
        </w:rPr>
        <w:t xml:space="preserve"> </w:t>
      </w:r>
      <w:r>
        <w:rPr>
          <w:rFonts w:hint="eastAsia" w:ascii="宋体" w:hAnsi="宋体" w:eastAsia="宋体" w:cs="宋体"/>
          <w:spacing w:val="-5"/>
        </w:rPr>
        <w:t>1000</w:t>
      </w:r>
      <w:r>
        <w:rPr>
          <w:rFonts w:hint="eastAsia" w:ascii="宋体" w:hAnsi="宋体" w:eastAsia="宋体" w:cs="宋体"/>
          <w:spacing w:val="-43"/>
        </w:rPr>
        <w:t xml:space="preserve"> </w:t>
      </w:r>
      <w:r>
        <w:rPr>
          <w:rFonts w:hint="eastAsia" w:ascii="宋体" w:hAnsi="宋体" w:eastAsia="宋体" w:cs="宋体"/>
          <w:spacing w:val="-5"/>
        </w:rPr>
        <w:t>万元以下的为微型企业。</w:t>
      </w:r>
    </w:p>
    <w:p w14:paraId="6F10C86B">
      <w:pPr>
        <w:pStyle w:val="11"/>
        <w:keepNext w:val="0"/>
        <w:keepLines w:val="0"/>
        <w:pageBreakBefore w:val="0"/>
        <w:widowControl w:val="0"/>
        <w:kinsoku/>
        <w:wordWrap/>
        <w:overflowPunct/>
        <w:topLinePunct w:val="0"/>
        <w:autoSpaceDE/>
        <w:autoSpaceDN/>
        <w:bidi w:val="0"/>
        <w:adjustRightInd/>
        <w:snapToGrid/>
        <w:spacing w:line="360" w:lineRule="auto"/>
        <w:ind w:left="0" w:right="0" w:firstLine="408" w:firstLineChars="200"/>
        <w:jc w:val="left"/>
        <w:textAlignment w:val="auto"/>
      </w:pPr>
      <w:r>
        <w:rPr>
          <w:spacing w:val="-3"/>
        </w:rPr>
        <w:t>（五）零售业。从业人员 300</w:t>
      </w:r>
      <w:r>
        <w:rPr>
          <w:spacing w:val="-33"/>
        </w:rPr>
        <w:t xml:space="preserve"> </w:t>
      </w:r>
      <w:r>
        <w:rPr>
          <w:spacing w:val="-3"/>
        </w:rPr>
        <w:t>人以下或营业收入</w:t>
      </w:r>
      <w:r>
        <w:rPr>
          <w:spacing w:val="-41"/>
        </w:rPr>
        <w:t xml:space="preserve"> </w:t>
      </w:r>
      <w:r>
        <w:rPr>
          <w:spacing w:val="-3"/>
        </w:rPr>
        <w:t>20000</w:t>
      </w:r>
      <w:r>
        <w:rPr>
          <w:spacing w:val="-35"/>
        </w:rPr>
        <w:t xml:space="preserve"> </w:t>
      </w:r>
      <w:r>
        <w:rPr>
          <w:spacing w:val="-3"/>
        </w:rPr>
        <w:t>万元</w:t>
      </w:r>
      <w:r>
        <w:rPr>
          <w:spacing w:val="-4"/>
        </w:rPr>
        <w:t>以下的为中小</w:t>
      </w:r>
      <w:r>
        <w:t xml:space="preserve"> </w:t>
      </w:r>
      <w:r>
        <w:rPr>
          <w:spacing w:val="-8"/>
        </w:rPr>
        <w:t>微型企业。其中， 从业人员</w:t>
      </w:r>
      <w:r>
        <w:rPr>
          <w:spacing w:val="-40"/>
        </w:rPr>
        <w:t xml:space="preserve"> </w:t>
      </w:r>
      <w:r>
        <w:rPr>
          <w:spacing w:val="-8"/>
        </w:rPr>
        <w:t>50</w:t>
      </w:r>
      <w:r>
        <w:rPr>
          <w:spacing w:val="-40"/>
        </w:rPr>
        <w:t xml:space="preserve"> </w:t>
      </w:r>
      <w:r>
        <w:rPr>
          <w:spacing w:val="-8"/>
        </w:rPr>
        <w:t>人及以上，且营业收入</w:t>
      </w:r>
      <w:r>
        <w:rPr>
          <w:spacing w:val="-46"/>
        </w:rPr>
        <w:t xml:space="preserve"> </w:t>
      </w:r>
      <w:r>
        <w:rPr>
          <w:spacing w:val="-8"/>
        </w:rPr>
        <w:t>500</w:t>
      </w:r>
      <w:r>
        <w:rPr>
          <w:spacing w:val="-42"/>
        </w:rPr>
        <w:t xml:space="preserve"> </w:t>
      </w:r>
      <w:r>
        <w:rPr>
          <w:spacing w:val="-8"/>
        </w:rPr>
        <w:t>万元及以上的为中型</w:t>
      </w:r>
      <w:r>
        <w:t xml:space="preserve"> </w:t>
      </w:r>
      <w:r>
        <w:rPr>
          <w:spacing w:val="-5"/>
        </w:rPr>
        <w:t>企业；从业人员</w:t>
      </w:r>
      <w:r>
        <w:rPr>
          <w:spacing w:val="-34"/>
        </w:rPr>
        <w:t xml:space="preserve"> </w:t>
      </w:r>
      <w:r>
        <w:rPr>
          <w:spacing w:val="-5"/>
        </w:rPr>
        <w:t>10</w:t>
      </w:r>
      <w:r>
        <w:rPr>
          <w:spacing w:val="-39"/>
        </w:rPr>
        <w:t xml:space="preserve"> </w:t>
      </w:r>
      <w:r>
        <w:rPr>
          <w:spacing w:val="-5"/>
        </w:rPr>
        <w:t>人及以上，且营业收入</w:t>
      </w:r>
      <w:r>
        <w:rPr>
          <w:spacing w:val="-34"/>
        </w:rPr>
        <w:t xml:space="preserve"> </w:t>
      </w:r>
      <w:r>
        <w:rPr>
          <w:spacing w:val="-5"/>
        </w:rPr>
        <w:t>100</w:t>
      </w:r>
      <w:r>
        <w:rPr>
          <w:spacing w:val="-42"/>
        </w:rPr>
        <w:t xml:space="preserve"> </w:t>
      </w:r>
      <w:r>
        <w:rPr>
          <w:spacing w:val="-5"/>
        </w:rPr>
        <w:t>万</w:t>
      </w:r>
      <w:r>
        <w:rPr>
          <w:spacing w:val="-6"/>
        </w:rPr>
        <w:t>元及以上的为小型企业；从业</w:t>
      </w:r>
      <w:r>
        <w:t xml:space="preserve"> </w:t>
      </w:r>
      <w:r>
        <w:rPr>
          <w:spacing w:val="-5"/>
        </w:rPr>
        <w:t>人员</w:t>
      </w:r>
      <w:r>
        <w:rPr>
          <w:spacing w:val="-34"/>
        </w:rPr>
        <w:t xml:space="preserve"> </w:t>
      </w:r>
      <w:r>
        <w:rPr>
          <w:spacing w:val="-5"/>
        </w:rPr>
        <w:t>10</w:t>
      </w:r>
      <w:r>
        <w:rPr>
          <w:spacing w:val="-40"/>
        </w:rPr>
        <w:t xml:space="preserve"> </w:t>
      </w:r>
      <w:r>
        <w:rPr>
          <w:spacing w:val="-5"/>
        </w:rPr>
        <w:t>人以下或营业收入</w:t>
      </w:r>
      <w:r>
        <w:rPr>
          <w:spacing w:val="-33"/>
        </w:rPr>
        <w:t xml:space="preserve"> </w:t>
      </w:r>
      <w:r>
        <w:rPr>
          <w:spacing w:val="-5"/>
        </w:rPr>
        <w:t>100</w:t>
      </w:r>
      <w:r>
        <w:rPr>
          <w:spacing w:val="-43"/>
        </w:rPr>
        <w:t xml:space="preserve"> </w:t>
      </w:r>
      <w:r>
        <w:rPr>
          <w:spacing w:val="-5"/>
        </w:rPr>
        <w:t>万元以下的为微</w:t>
      </w:r>
      <w:r>
        <w:rPr>
          <w:spacing w:val="-6"/>
        </w:rPr>
        <w:t>型企业。</w:t>
      </w:r>
    </w:p>
    <w:p w14:paraId="0B3E911D">
      <w:pPr>
        <w:pStyle w:val="11"/>
        <w:keepNext w:val="0"/>
        <w:keepLines w:val="0"/>
        <w:pageBreakBefore w:val="0"/>
        <w:widowControl w:val="0"/>
        <w:kinsoku/>
        <w:wordWrap/>
        <w:overflowPunct/>
        <w:topLinePunct w:val="0"/>
        <w:autoSpaceDE/>
        <w:autoSpaceDN/>
        <w:bidi w:val="0"/>
        <w:adjustRightInd/>
        <w:snapToGrid/>
        <w:spacing w:line="360" w:lineRule="auto"/>
        <w:ind w:left="0" w:right="0" w:firstLine="400" w:firstLineChars="200"/>
        <w:jc w:val="left"/>
        <w:textAlignment w:val="auto"/>
      </w:pPr>
      <w:r>
        <w:rPr>
          <w:spacing w:val="-5"/>
        </w:rPr>
        <w:t>（六）交通运输业。从业人员</w:t>
      </w:r>
      <w:r>
        <w:rPr>
          <w:spacing w:val="-33"/>
        </w:rPr>
        <w:t xml:space="preserve"> </w:t>
      </w:r>
      <w:r>
        <w:rPr>
          <w:spacing w:val="-5"/>
        </w:rPr>
        <w:t>1000</w:t>
      </w:r>
      <w:r>
        <w:rPr>
          <w:spacing w:val="-40"/>
        </w:rPr>
        <w:t xml:space="preserve"> </w:t>
      </w:r>
      <w:r>
        <w:rPr>
          <w:spacing w:val="-5"/>
        </w:rPr>
        <w:t>人以下或营业收入</w:t>
      </w:r>
      <w:r>
        <w:rPr>
          <w:spacing w:val="-47"/>
        </w:rPr>
        <w:t xml:space="preserve"> </w:t>
      </w:r>
      <w:r>
        <w:rPr>
          <w:spacing w:val="-5"/>
        </w:rPr>
        <w:t>30000</w:t>
      </w:r>
      <w:r>
        <w:rPr>
          <w:spacing w:val="-42"/>
        </w:rPr>
        <w:t xml:space="preserve"> </w:t>
      </w:r>
      <w:r>
        <w:rPr>
          <w:spacing w:val="-5"/>
        </w:rPr>
        <w:t>万元以</w:t>
      </w:r>
      <w:r>
        <w:rPr>
          <w:spacing w:val="-6"/>
        </w:rPr>
        <w:t>下的为</w:t>
      </w:r>
      <w:r>
        <w:t xml:space="preserve"> </w:t>
      </w:r>
      <w:r>
        <w:rPr>
          <w:spacing w:val="-8"/>
        </w:rPr>
        <w:t>中小微型企业。其中， 从业人员</w:t>
      </w:r>
      <w:r>
        <w:rPr>
          <w:spacing w:val="-32"/>
        </w:rPr>
        <w:t xml:space="preserve"> </w:t>
      </w:r>
      <w:r>
        <w:rPr>
          <w:spacing w:val="-8"/>
        </w:rPr>
        <w:t>300</w:t>
      </w:r>
      <w:r>
        <w:rPr>
          <w:spacing w:val="-40"/>
        </w:rPr>
        <w:t xml:space="preserve"> </w:t>
      </w:r>
      <w:r>
        <w:rPr>
          <w:spacing w:val="-8"/>
        </w:rPr>
        <w:t>人及以上，且营业收入</w:t>
      </w:r>
      <w:r>
        <w:rPr>
          <w:spacing w:val="-46"/>
        </w:rPr>
        <w:t xml:space="preserve"> </w:t>
      </w:r>
      <w:r>
        <w:rPr>
          <w:spacing w:val="-8"/>
        </w:rPr>
        <w:t>3000</w:t>
      </w:r>
      <w:r>
        <w:rPr>
          <w:spacing w:val="-43"/>
        </w:rPr>
        <w:t xml:space="preserve"> </w:t>
      </w:r>
      <w:r>
        <w:rPr>
          <w:spacing w:val="-8"/>
        </w:rPr>
        <w:t>万元及以上的</w:t>
      </w:r>
      <w:r>
        <w:t xml:space="preserve"> </w:t>
      </w:r>
      <w:r>
        <w:rPr>
          <w:spacing w:val="-9"/>
        </w:rPr>
        <w:t>为中型企业；从业人员</w:t>
      </w:r>
      <w:r>
        <w:rPr>
          <w:spacing w:val="-56"/>
        </w:rPr>
        <w:t xml:space="preserve"> </w:t>
      </w:r>
      <w:r>
        <w:rPr>
          <w:spacing w:val="-9"/>
        </w:rPr>
        <w:t>20</w:t>
      </w:r>
      <w:r>
        <w:rPr>
          <w:spacing w:val="-62"/>
        </w:rPr>
        <w:t xml:space="preserve"> </w:t>
      </w:r>
      <w:r>
        <w:rPr>
          <w:spacing w:val="-9"/>
        </w:rPr>
        <w:t>人及以上，且营业收入</w:t>
      </w:r>
      <w:r>
        <w:rPr>
          <w:spacing w:val="-70"/>
        </w:rPr>
        <w:t xml:space="preserve"> </w:t>
      </w:r>
      <w:r>
        <w:rPr>
          <w:spacing w:val="-9"/>
        </w:rPr>
        <w:t>200</w:t>
      </w:r>
      <w:r>
        <w:rPr>
          <w:spacing w:val="-63"/>
        </w:rPr>
        <w:t xml:space="preserve"> </w:t>
      </w:r>
      <w:r>
        <w:rPr>
          <w:spacing w:val="-9"/>
        </w:rPr>
        <w:t>万元及以上的为小型企业；</w:t>
      </w:r>
      <w:r>
        <w:t xml:space="preserve"> </w:t>
      </w:r>
      <w:r>
        <w:rPr>
          <w:spacing w:val="-4"/>
        </w:rPr>
        <w:t>从业人员</w:t>
      </w:r>
      <w:r>
        <w:rPr>
          <w:spacing w:val="-41"/>
        </w:rPr>
        <w:t xml:space="preserve"> </w:t>
      </w:r>
      <w:r>
        <w:rPr>
          <w:spacing w:val="-4"/>
        </w:rPr>
        <w:t>20</w:t>
      </w:r>
      <w:r>
        <w:rPr>
          <w:spacing w:val="-40"/>
        </w:rPr>
        <w:t xml:space="preserve"> </w:t>
      </w:r>
      <w:r>
        <w:rPr>
          <w:spacing w:val="-4"/>
        </w:rPr>
        <w:t>人以下或营业收入</w:t>
      </w:r>
      <w:r>
        <w:rPr>
          <w:spacing w:val="-48"/>
        </w:rPr>
        <w:t xml:space="preserve"> </w:t>
      </w:r>
      <w:r>
        <w:rPr>
          <w:spacing w:val="-4"/>
        </w:rPr>
        <w:t>200</w:t>
      </w:r>
      <w:r>
        <w:rPr>
          <w:spacing w:val="-43"/>
        </w:rPr>
        <w:t xml:space="preserve"> </w:t>
      </w:r>
      <w:r>
        <w:rPr>
          <w:spacing w:val="-4"/>
        </w:rPr>
        <w:t>万元以下的为微型企业。</w:t>
      </w:r>
    </w:p>
    <w:p w14:paraId="1CED9C17">
      <w:pPr>
        <w:pStyle w:val="11"/>
        <w:keepNext w:val="0"/>
        <w:keepLines w:val="0"/>
        <w:pageBreakBefore w:val="0"/>
        <w:widowControl w:val="0"/>
        <w:kinsoku/>
        <w:wordWrap/>
        <w:overflowPunct/>
        <w:topLinePunct w:val="0"/>
        <w:autoSpaceDE/>
        <w:autoSpaceDN/>
        <w:bidi w:val="0"/>
        <w:adjustRightInd/>
        <w:snapToGrid/>
        <w:spacing w:line="360" w:lineRule="auto"/>
        <w:ind w:left="0" w:right="0" w:firstLine="408" w:firstLineChars="200"/>
        <w:jc w:val="left"/>
        <w:textAlignment w:val="auto"/>
      </w:pPr>
      <w:r>
        <w:rPr>
          <w:spacing w:val="-3"/>
        </w:rPr>
        <w:t>（七）仓储业。从业人员 200</w:t>
      </w:r>
      <w:r>
        <w:rPr>
          <w:spacing w:val="-33"/>
        </w:rPr>
        <w:t xml:space="preserve"> </w:t>
      </w:r>
      <w:r>
        <w:rPr>
          <w:spacing w:val="-3"/>
        </w:rPr>
        <w:t>人以下或营业收入</w:t>
      </w:r>
      <w:r>
        <w:rPr>
          <w:spacing w:val="-39"/>
        </w:rPr>
        <w:t xml:space="preserve"> </w:t>
      </w:r>
      <w:r>
        <w:rPr>
          <w:spacing w:val="-3"/>
        </w:rPr>
        <w:t>30000</w:t>
      </w:r>
      <w:r>
        <w:rPr>
          <w:spacing w:val="-35"/>
        </w:rPr>
        <w:t xml:space="preserve"> </w:t>
      </w:r>
      <w:r>
        <w:rPr>
          <w:spacing w:val="-4"/>
        </w:rPr>
        <w:t>万元以下的为中小</w:t>
      </w:r>
      <w:r>
        <w:t xml:space="preserve"> </w:t>
      </w:r>
      <w:r>
        <w:rPr>
          <w:spacing w:val="-8"/>
        </w:rPr>
        <w:t>微型企业。其中， 从业人员</w:t>
      </w:r>
      <w:r>
        <w:rPr>
          <w:spacing w:val="-34"/>
        </w:rPr>
        <w:t xml:space="preserve"> </w:t>
      </w:r>
      <w:r>
        <w:rPr>
          <w:spacing w:val="-8"/>
        </w:rPr>
        <w:t>100</w:t>
      </w:r>
      <w:r>
        <w:rPr>
          <w:spacing w:val="-40"/>
        </w:rPr>
        <w:t xml:space="preserve"> </w:t>
      </w:r>
      <w:r>
        <w:rPr>
          <w:spacing w:val="-8"/>
        </w:rPr>
        <w:t>人及以上，且营业收入</w:t>
      </w:r>
      <w:r>
        <w:rPr>
          <w:spacing w:val="-33"/>
        </w:rPr>
        <w:t xml:space="preserve"> </w:t>
      </w:r>
      <w:r>
        <w:rPr>
          <w:spacing w:val="-8"/>
        </w:rPr>
        <w:t>1</w:t>
      </w:r>
      <w:r>
        <w:rPr>
          <w:spacing w:val="-9"/>
        </w:rPr>
        <w:t>000</w:t>
      </w:r>
      <w:r>
        <w:rPr>
          <w:spacing w:val="-42"/>
        </w:rPr>
        <w:t xml:space="preserve"> </w:t>
      </w:r>
      <w:r>
        <w:rPr>
          <w:spacing w:val="-9"/>
        </w:rPr>
        <w:t>万元及以上的为中</w:t>
      </w:r>
      <w:r>
        <w:t xml:space="preserve"> </w:t>
      </w:r>
      <w:r>
        <w:rPr>
          <w:spacing w:val="-5"/>
        </w:rPr>
        <w:t>型企业；从业人员</w:t>
      </w:r>
      <w:r>
        <w:rPr>
          <w:spacing w:val="-47"/>
        </w:rPr>
        <w:t xml:space="preserve"> </w:t>
      </w:r>
      <w:r>
        <w:rPr>
          <w:spacing w:val="-5"/>
        </w:rPr>
        <w:t>20</w:t>
      </w:r>
      <w:r>
        <w:rPr>
          <w:spacing w:val="-39"/>
        </w:rPr>
        <w:t xml:space="preserve"> </w:t>
      </w:r>
      <w:r>
        <w:rPr>
          <w:spacing w:val="-5"/>
        </w:rPr>
        <w:t>人及以上，且营业收入</w:t>
      </w:r>
      <w:r>
        <w:rPr>
          <w:spacing w:val="-34"/>
        </w:rPr>
        <w:t xml:space="preserve"> </w:t>
      </w:r>
      <w:r>
        <w:rPr>
          <w:spacing w:val="-5"/>
        </w:rPr>
        <w:t>100</w:t>
      </w:r>
      <w:r>
        <w:rPr>
          <w:spacing w:val="-42"/>
        </w:rPr>
        <w:t xml:space="preserve"> </w:t>
      </w:r>
      <w:r>
        <w:rPr>
          <w:spacing w:val="-5"/>
        </w:rPr>
        <w:t>万元及以上的为小型企业；从</w:t>
      </w:r>
      <w:r>
        <w:t xml:space="preserve"> </w:t>
      </w:r>
      <w:r>
        <w:rPr>
          <w:spacing w:val="-5"/>
        </w:rPr>
        <w:t>业人员</w:t>
      </w:r>
      <w:r>
        <w:rPr>
          <w:spacing w:val="-33"/>
        </w:rPr>
        <w:t xml:space="preserve"> </w:t>
      </w:r>
      <w:r>
        <w:rPr>
          <w:spacing w:val="-5"/>
        </w:rPr>
        <w:t>20</w:t>
      </w:r>
      <w:r>
        <w:rPr>
          <w:spacing w:val="-40"/>
        </w:rPr>
        <w:t xml:space="preserve"> </w:t>
      </w:r>
      <w:r>
        <w:rPr>
          <w:spacing w:val="-5"/>
        </w:rPr>
        <w:t>人以下或营业收入</w:t>
      </w:r>
      <w:r>
        <w:rPr>
          <w:spacing w:val="-33"/>
        </w:rPr>
        <w:t xml:space="preserve"> </w:t>
      </w:r>
      <w:r>
        <w:rPr>
          <w:spacing w:val="-5"/>
        </w:rPr>
        <w:t>100</w:t>
      </w:r>
      <w:r>
        <w:rPr>
          <w:spacing w:val="-43"/>
        </w:rPr>
        <w:t xml:space="preserve"> </w:t>
      </w:r>
      <w:r>
        <w:rPr>
          <w:spacing w:val="-5"/>
        </w:rPr>
        <w:t>万元以下的为微型企业。</w:t>
      </w:r>
    </w:p>
    <w:p w14:paraId="0F0772DC">
      <w:pPr>
        <w:pStyle w:val="11"/>
        <w:keepNext w:val="0"/>
        <w:keepLines w:val="0"/>
        <w:pageBreakBefore w:val="0"/>
        <w:widowControl w:val="0"/>
        <w:kinsoku/>
        <w:wordWrap/>
        <w:overflowPunct/>
        <w:topLinePunct w:val="0"/>
        <w:autoSpaceDE/>
        <w:autoSpaceDN/>
        <w:bidi w:val="0"/>
        <w:adjustRightInd/>
        <w:snapToGrid/>
        <w:spacing w:line="360" w:lineRule="auto"/>
        <w:ind w:left="0" w:right="0" w:firstLine="400" w:firstLineChars="200"/>
        <w:jc w:val="left"/>
        <w:textAlignment w:val="auto"/>
      </w:pPr>
      <w:r>
        <w:rPr>
          <w:spacing w:val="-5"/>
        </w:rPr>
        <w:t>（八）邮政业。从业人员</w:t>
      </w:r>
      <w:r>
        <w:rPr>
          <w:spacing w:val="-33"/>
        </w:rPr>
        <w:t xml:space="preserve"> </w:t>
      </w:r>
      <w:r>
        <w:rPr>
          <w:spacing w:val="-5"/>
        </w:rPr>
        <w:t>1000</w:t>
      </w:r>
      <w:r>
        <w:rPr>
          <w:spacing w:val="-40"/>
        </w:rPr>
        <w:t xml:space="preserve"> </w:t>
      </w:r>
      <w:r>
        <w:rPr>
          <w:spacing w:val="-5"/>
        </w:rPr>
        <w:t>人以下或营业收入</w:t>
      </w:r>
      <w:r>
        <w:rPr>
          <w:spacing w:val="-47"/>
        </w:rPr>
        <w:t xml:space="preserve"> </w:t>
      </w:r>
      <w:r>
        <w:rPr>
          <w:spacing w:val="-5"/>
        </w:rPr>
        <w:t>30000</w:t>
      </w:r>
      <w:r>
        <w:rPr>
          <w:spacing w:val="-42"/>
        </w:rPr>
        <w:t xml:space="preserve"> </w:t>
      </w:r>
      <w:r>
        <w:rPr>
          <w:spacing w:val="-5"/>
        </w:rPr>
        <w:t>万元以下的</w:t>
      </w:r>
      <w:r>
        <w:rPr>
          <w:spacing w:val="-6"/>
        </w:rPr>
        <w:t>为中小</w:t>
      </w:r>
      <w:r>
        <w:t xml:space="preserve"> </w:t>
      </w:r>
      <w:r>
        <w:rPr>
          <w:spacing w:val="-8"/>
        </w:rPr>
        <w:t>微型企业。其中， 从业人员</w:t>
      </w:r>
      <w:r>
        <w:rPr>
          <w:spacing w:val="-30"/>
        </w:rPr>
        <w:t xml:space="preserve"> </w:t>
      </w:r>
      <w:r>
        <w:rPr>
          <w:spacing w:val="-8"/>
        </w:rPr>
        <w:t>300</w:t>
      </w:r>
      <w:r>
        <w:rPr>
          <w:spacing w:val="-40"/>
        </w:rPr>
        <w:t xml:space="preserve"> </w:t>
      </w:r>
      <w:r>
        <w:rPr>
          <w:spacing w:val="-8"/>
        </w:rPr>
        <w:t>人及以上，且营业收入</w:t>
      </w:r>
      <w:r>
        <w:rPr>
          <w:spacing w:val="-48"/>
        </w:rPr>
        <w:t xml:space="preserve"> </w:t>
      </w:r>
      <w:r>
        <w:rPr>
          <w:spacing w:val="-8"/>
        </w:rPr>
        <w:t>2000</w:t>
      </w:r>
      <w:r>
        <w:rPr>
          <w:spacing w:val="-42"/>
        </w:rPr>
        <w:t xml:space="preserve"> </w:t>
      </w:r>
      <w:r>
        <w:rPr>
          <w:spacing w:val="-8"/>
        </w:rPr>
        <w:t>万元及以上的为中</w:t>
      </w:r>
      <w:r>
        <w:t xml:space="preserve"> </w:t>
      </w:r>
      <w:r>
        <w:rPr>
          <w:spacing w:val="-5"/>
        </w:rPr>
        <w:t>型企业；从业人员</w:t>
      </w:r>
      <w:r>
        <w:rPr>
          <w:spacing w:val="-47"/>
        </w:rPr>
        <w:t xml:space="preserve"> </w:t>
      </w:r>
      <w:r>
        <w:rPr>
          <w:spacing w:val="-5"/>
        </w:rPr>
        <w:t>20</w:t>
      </w:r>
      <w:r>
        <w:rPr>
          <w:spacing w:val="-39"/>
        </w:rPr>
        <w:t xml:space="preserve"> </w:t>
      </w:r>
      <w:r>
        <w:rPr>
          <w:spacing w:val="-5"/>
        </w:rPr>
        <w:t>人及以上，且营业收入</w:t>
      </w:r>
      <w:r>
        <w:rPr>
          <w:spacing w:val="-34"/>
        </w:rPr>
        <w:t xml:space="preserve"> </w:t>
      </w:r>
      <w:r>
        <w:rPr>
          <w:spacing w:val="-5"/>
        </w:rPr>
        <w:t>100</w:t>
      </w:r>
      <w:r>
        <w:rPr>
          <w:spacing w:val="-42"/>
        </w:rPr>
        <w:t xml:space="preserve"> </w:t>
      </w:r>
      <w:r>
        <w:rPr>
          <w:spacing w:val="-5"/>
        </w:rPr>
        <w:t>万元及以上的为小型企业；从</w:t>
      </w:r>
      <w:r>
        <w:t xml:space="preserve"> </w:t>
      </w:r>
      <w:r>
        <w:rPr>
          <w:spacing w:val="-5"/>
        </w:rPr>
        <w:t>业人员</w:t>
      </w:r>
      <w:r>
        <w:rPr>
          <w:spacing w:val="-33"/>
        </w:rPr>
        <w:t xml:space="preserve"> </w:t>
      </w:r>
      <w:r>
        <w:rPr>
          <w:spacing w:val="-5"/>
        </w:rPr>
        <w:t>20</w:t>
      </w:r>
      <w:r>
        <w:rPr>
          <w:spacing w:val="-40"/>
        </w:rPr>
        <w:t xml:space="preserve"> </w:t>
      </w:r>
      <w:r>
        <w:rPr>
          <w:spacing w:val="-5"/>
        </w:rPr>
        <w:t>人以下或营业收入</w:t>
      </w:r>
      <w:r>
        <w:rPr>
          <w:spacing w:val="-33"/>
        </w:rPr>
        <w:t xml:space="preserve"> </w:t>
      </w:r>
      <w:r>
        <w:rPr>
          <w:spacing w:val="-5"/>
        </w:rPr>
        <w:t>100</w:t>
      </w:r>
      <w:r>
        <w:rPr>
          <w:spacing w:val="-43"/>
        </w:rPr>
        <w:t xml:space="preserve"> </w:t>
      </w:r>
      <w:r>
        <w:rPr>
          <w:spacing w:val="-5"/>
        </w:rPr>
        <w:t>万元以下的为微型企业。</w:t>
      </w:r>
    </w:p>
    <w:p w14:paraId="4BA4876F">
      <w:pPr>
        <w:pStyle w:val="11"/>
        <w:keepNext w:val="0"/>
        <w:keepLines w:val="0"/>
        <w:pageBreakBefore w:val="0"/>
        <w:widowControl w:val="0"/>
        <w:kinsoku/>
        <w:wordWrap/>
        <w:overflowPunct/>
        <w:topLinePunct w:val="0"/>
        <w:autoSpaceDE/>
        <w:autoSpaceDN/>
        <w:bidi w:val="0"/>
        <w:adjustRightInd/>
        <w:snapToGrid/>
        <w:spacing w:line="360" w:lineRule="auto"/>
        <w:ind w:left="0" w:right="0" w:firstLine="404" w:firstLineChars="200"/>
        <w:jc w:val="left"/>
        <w:textAlignment w:val="auto"/>
      </w:pPr>
      <w:r>
        <w:rPr>
          <w:spacing w:val="-4"/>
        </w:rPr>
        <w:t>（九）住宿业。从业人员 300</w:t>
      </w:r>
      <w:r>
        <w:rPr>
          <w:spacing w:val="-18"/>
        </w:rPr>
        <w:t xml:space="preserve"> </w:t>
      </w:r>
      <w:r>
        <w:rPr>
          <w:spacing w:val="-4"/>
        </w:rPr>
        <w:t>人以下或营业收入</w:t>
      </w:r>
      <w:r>
        <w:rPr>
          <w:spacing w:val="-26"/>
        </w:rPr>
        <w:t xml:space="preserve"> </w:t>
      </w:r>
      <w:r>
        <w:rPr>
          <w:spacing w:val="-4"/>
        </w:rPr>
        <w:t>10000</w:t>
      </w:r>
      <w:r>
        <w:rPr>
          <w:spacing w:val="-35"/>
        </w:rPr>
        <w:t xml:space="preserve"> </w:t>
      </w:r>
      <w:r>
        <w:rPr>
          <w:spacing w:val="-4"/>
        </w:rPr>
        <w:t>万元以下的为中小</w:t>
      </w:r>
      <w:r>
        <w:t xml:space="preserve"> </w:t>
      </w:r>
      <w:r>
        <w:rPr>
          <w:spacing w:val="-8"/>
        </w:rPr>
        <w:t>微型企业。其中， 从业人员</w:t>
      </w:r>
      <w:r>
        <w:rPr>
          <w:spacing w:val="-30"/>
        </w:rPr>
        <w:t xml:space="preserve"> </w:t>
      </w:r>
      <w:r>
        <w:rPr>
          <w:spacing w:val="-8"/>
        </w:rPr>
        <w:t>100</w:t>
      </w:r>
      <w:r>
        <w:rPr>
          <w:spacing w:val="-40"/>
        </w:rPr>
        <w:t xml:space="preserve"> </w:t>
      </w:r>
      <w:r>
        <w:rPr>
          <w:spacing w:val="-8"/>
        </w:rPr>
        <w:t>人及以上，且营业收入</w:t>
      </w:r>
      <w:r>
        <w:rPr>
          <w:spacing w:val="-48"/>
        </w:rPr>
        <w:t xml:space="preserve"> </w:t>
      </w:r>
      <w:r>
        <w:rPr>
          <w:spacing w:val="-8"/>
        </w:rPr>
        <w:t>2000</w:t>
      </w:r>
      <w:r>
        <w:rPr>
          <w:spacing w:val="-43"/>
        </w:rPr>
        <w:t xml:space="preserve"> </w:t>
      </w:r>
      <w:r>
        <w:rPr>
          <w:spacing w:val="-8"/>
        </w:rPr>
        <w:t>万元及以上的为中</w:t>
      </w:r>
      <w:r>
        <w:t xml:space="preserve"> </w:t>
      </w:r>
      <w:r>
        <w:rPr>
          <w:spacing w:val="-5"/>
        </w:rPr>
        <w:t>型企业；从业人员</w:t>
      </w:r>
      <w:r>
        <w:rPr>
          <w:spacing w:val="-34"/>
        </w:rPr>
        <w:t xml:space="preserve"> </w:t>
      </w:r>
      <w:r>
        <w:rPr>
          <w:spacing w:val="-5"/>
        </w:rPr>
        <w:t>10</w:t>
      </w:r>
      <w:r>
        <w:rPr>
          <w:spacing w:val="-39"/>
        </w:rPr>
        <w:t xml:space="preserve"> </w:t>
      </w:r>
      <w:r>
        <w:rPr>
          <w:spacing w:val="-5"/>
        </w:rPr>
        <w:t>人及以上，且营业收入</w:t>
      </w:r>
      <w:r>
        <w:rPr>
          <w:spacing w:val="-34"/>
        </w:rPr>
        <w:t xml:space="preserve"> </w:t>
      </w:r>
      <w:r>
        <w:rPr>
          <w:spacing w:val="-5"/>
        </w:rPr>
        <w:t>100</w:t>
      </w:r>
      <w:r>
        <w:rPr>
          <w:spacing w:val="-42"/>
        </w:rPr>
        <w:t xml:space="preserve"> </w:t>
      </w:r>
      <w:r>
        <w:rPr>
          <w:spacing w:val="-6"/>
        </w:rPr>
        <w:t>万元及以上的为小型企业；从</w:t>
      </w:r>
      <w:r>
        <w:t xml:space="preserve"> </w:t>
      </w:r>
      <w:r>
        <w:rPr>
          <w:spacing w:val="-5"/>
        </w:rPr>
        <w:t>业人员</w:t>
      </w:r>
      <w:r>
        <w:rPr>
          <w:spacing w:val="-33"/>
        </w:rPr>
        <w:t xml:space="preserve"> </w:t>
      </w:r>
      <w:r>
        <w:rPr>
          <w:spacing w:val="-5"/>
        </w:rPr>
        <w:t>10</w:t>
      </w:r>
      <w:r>
        <w:rPr>
          <w:spacing w:val="-40"/>
        </w:rPr>
        <w:t xml:space="preserve"> </w:t>
      </w:r>
      <w:r>
        <w:rPr>
          <w:spacing w:val="-5"/>
        </w:rPr>
        <w:t>人以下或营业收入</w:t>
      </w:r>
      <w:r>
        <w:rPr>
          <w:spacing w:val="-33"/>
        </w:rPr>
        <w:t xml:space="preserve"> </w:t>
      </w:r>
      <w:r>
        <w:rPr>
          <w:spacing w:val="-5"/>
        </w:rPr>
        <w:t>100</w:t>
      </w:r>
      <w:r>
        <w:rPr>
          <w:spacing w:val="-43"/>
        </w:rPr>
        <w:t xml:space="preserve"> </w:t>
      </w:r>
      <w:r>
        <w:rPr>
          <w:spacing w:val="-5"/>
        </w:rPr>
        <w:t>万元以下的为微型企业。</w:t>
      </w:r>
    </w:p>
    <w:p w14:paraId="034FD244">
      <w:pPr>
        <w:pStyle w:val="11"/>
        <w:keepNext w:val="0"/>
        <w:keepLines w:val="0"/>
        <w:pageBreakBefore w:val="0"/>
        <w:widowControl w:val="0"/>
        <w:kinsoku/>
        <w:wordWrap/>
        <w:overflowPunct/>
        <w:topLinePunct w:val="0"/>
        <w:autoSpaceDE/>
        <w:autoSpaceDN/>
        <w:bidi w:val="0"/>
        <w:adjustRightInd/>
        <w:snapToGrid/>
        <w:spacing w:line="360" w:lineRule="auto"/>
        <w:ind w:left="0" w:right="0" w:firstLine="404" w:firstLineChars="200"/>
        <w:jc w:val="left"/>
        <w:textAlignment w:val="auto"/>
      </w:pPr>
      <w:r>
        <w:rPr>
          <w:spacing w:val="-4"/>
        </w:rPr>
        <w:t>（十）餐饮业。从业人员 300</w:t>
      </w:r>
      <w:r>
        <w:rPr>
          <w:spacing w:val="-18"/>
        </w:rPr>
        <w:t xml:space="preserve"> </w:t>
      </w:r>
      <w:r>
        <w:rPr>
          <w:spacing w:val="-4"/>
        </w:rPr>
        <w:t>人以下或营业收入</w:t>
      </w:r>
      <w:r>
        <w:rPr>
          <w:spacing w:val="-26"/>
        </w:rPr>
        <w:t xml:space="preserve"> </w:t>
      </w:r>
      <w:r>
        <w:rPr>
          <w:spacing w:val="-4"/>
        </w:rPr>
        <w:t>10000</w:t>
      </w:r>
      <w:r>
        <w:rPr>
          <w:spacing w:val="-35"/>
        </w:rPr>
        <w:t xml:space="preserve"> </w:t>
      </w:r>
      <w:r>
        <w:rPr>
          <w:spacing w:val="-4"/>
        </w:rPr>
        <w:t>万元以下的为中小</w:t>
      </w:r>
      <w:r>
        <w:t xml:space="preserve"> </w:t>
      </w:r>
      <w:r>
        <w:rPr>
          <w:spacing w:val="-8"/>
        </w:rPr>
        <w:t>微型企业。其中， 从业人员</w:t>
      </w:r>
      <w:r>
        <w:rPr>
          <w:spacing w:val="-29"/>
        </w:rPr>
        <w:t xml:space="preserve"> </w:t>
      </w:r>
      <w:r>
        <w:rPr>
          <w:spacing w:val="-8"/>
        </w:rPr>
        <w:t>100</w:t>
      </w:r>
      <w:r>
        <w:rPr>
          <w:spacing w:val="-41"/>
        </w:rPr>
        <w:t xml:space="preserve"> </w:t>
      </w:r>
      <w:r>
        <w:rPr>
          <w:spacing w:val="-8"/>
        </w:rPr>
        <w:t>人及以上，且营业收入</w:t>
      </w:r>
      <w:r>
        <w:rPr>
          <w:spacing w:val="-48"/>
        </w:rPr>
        <w:t xml:space="preserve"> </w:t>
      </w:r>
      <w:r>
        <w:rPr>
          <w:spacing w:val="-8"/>
        </w:rPr>
        <w:t>2000</w:t>
      </w:r>
      <w:r>
        <w:rPr>
          <w:spacing w:val="-43"/>
        </w:rPr>
        <w:t xml:space="preserve"> </w:t>
      </w:r>
      <w:r>
        <w:rPr>
          <w:spacing w:val="-8"/>
        </w:rPr>
        <w:t>万元及以上的为中</w:t>
      </w:r>
      <w:r>
        <w:t xml:space="preserve"> </w:t>
      </w:r>
      <w:r>
        <w:rPr>
          <w:spacing w:val="-5"/>
        </w:rPr>
        <w:t>型企业；从业人员</w:t>
      </w:r>
      <w:r>
        <w:rPr>
          <w:spacing w:val="-34"/>
        </w:rPr>
        <w:t xml:space="preserve"> </w:t>
      </w:r>
      <w:r>
        <w:rPr>
          <w:spacing w:val="-5"/>
        </w:rPr>
        <w:t>10</w:t>
      </w:r>
      <w:r>
        <w:rPr>
          <w:spacing w:val="-39"/>
        </w:rPr>
        <w:t xml:space="preserve"> </w:t>
      </w:r>
      <w:r>
        <w:rPr>
          <w:spacing w:val="-5"/>
        </w:rPr>
        <w:t>人及以上，且营业收入</w:t>
      </w:r>
      <w:r>
        <w:rPr>
          <w:spacing w:val="-34"/>
        </w:rPr>
        <w:t xml:space="preserve"> </w:t>
      </w:r>
      <w:r>
        <w:rPr>
          <w:spacing w:val="-5"/>
        </w:rPr>
        <w:t>100</w:t>
      </w:r>
      <w:r>
        <w:rPr>
          <w:spacing w:val="-42"/>
        </w:rPr>
        <w:t xml:space="preserve"> </w:t>
      </w:r>
      <w:r>
        <w:rPr>
          <w:spacing w:val="-6"/>
        </w:rPr>
        <w:t>万元及以上的为小型企业；从</w:t>
      </w:r>
      <w:r>
        <w:t xml:space="preserve"> </w:t>
      </w:r>
      <w:r>
        <w:rPr>
          <w:spacing w:val="-5"/>
        </w:rPr>
        <w:t>业人员</w:t>
      </w:r>
      <w:r>
        <w:rPr>
          <w:spacing w:val="-33"/>
        </w:rPr>
        <w:t xml:space="preserve"> </w:t>
      </w:r>
      <w:r>
        <w:rPr>
          <w:spacing w:val="-5"/>
        </w:rPr>
        <w:t>10</w:t>
      </w:r>
      <w:r>
        <w:rPr>
          <w:spacing w:val="-40"/>
        </w:rPr>
        <w:t xml:space="preserve"> </w:t>
      </w:r>
      <w:r>
        <w:rPr>
          <w:spacing w:val="-5"/>
        </w:rPr>
        <w:t>人以下或营业收入</w:t>
      </w:r>
      <w:r>
        <w:rPr>
          <w:spacing w:val="-33"/>
        </w:rPr>
        <w:t xml:space="preserve"> </w:t>
      </w:r>
      <w:r>
        <w:rPr>
          <w:spacing w:val="-5"/>
        </w:rPr>
        <w:t>100</w:t>
      </w:r>
      <w:r>
        <w:rPr>
          <w:spacing w:val="-43"/>
        </w:rPr>
        <w:t xml:space="preserve"> </w:t>
      </w:r>
      <w:r>
        <w:rPr>
          <w:spacing w:val="-5"/>
        </w:rPr>
        <w:t>万元以下的为微型企业。</w:t>
      </w:r>
    </w:p>
    <w:p w14:paraId="044359F0">
      <w:pPr>
        <w:pStyle w:val="11"/>
        <w:keepNext w:val="0"/>
        <w:keepLines w:val="0"/>
        <w:pageBreakBefore w:val="0"/>
        <w:widowControl w:val="0"/>
        <w:kinsoku/>
        <w:wordWrap/>
        <w:overflowPunct/>
        <w:topLinePunct w:val="0"/>
        <w:autoSpaceDE/>
        <w:autoSpaceDN/>
        <w:bidi w:val="0"/>
        <w:adjustRightInd/>
        <w:snapToGrid/>
        <w:spacing w:line="360" w:lineRule="auto"/>
        <w:ind w:left="0" w:right="0" w:firstLine="408" w:firstLineChars="200"/>
        <w:jc w:val="left"/>
        <w:textAlignment w:val="auto"/>
      </w:pPr>
      <w:r>
        <w:rPr>
          <w:spacing w:val="-3"/>
        </w:rPr>
        <w:t>（十一）信息传输业。从业人员 2000</w:t>
      </w:r>
      <w:r>
        <w:rPr>
          <w:spacing w:val="-33"/>
        </w:rPr>
        <w:t xml:space="preserve"> </w:t>
      </w:r>
      <w:r>
        <w:rPr>
          <w:spacing w:val="-4"/>
        </w:rPr>
        <w:t>人以下或营业收入</w:t>
      </w:r>
      <w:r>
        <w:rPr>
          <w:spacing w:val="-26"/>
        </w:rPr>
        <w:t xml:space="preserve"> </w:t>
      </w:r>
      <w:r>
        <w:rPr>
          <w:spacing w:val="-4"/>
        </w:rPr>
        <w:t>100000</w:t>
      </w:r>
      <w:r>
        <w:rPr>
          <w:spacing w:val="-34"/>
        </w:rPr>
        <w:t xml:space="preserve"> </w:t>
      </w:r>
      <w:r>
        <w:rPr>
          <w:spacing w:val="-4"/>
        </w:rPr>
        <w:t>万元以下</w:t>
      </w:r>
      <w:r>
        <w:t xml:space="preserve"> </w:t>
      </w:r>
      <w:r>
        <w:rPr>
          <w:spacing w:val="-8"/>
        </w:rPr>
        <w:t>的为中小微型企业。其中， 从业人员</w:t>
      </w:r>
      <w:r>
        <w:rPr>
          <w:spacing w:val="-34"/>
        </w:rPr>
        <w:t xml:space="preserve"> </w:t>
      </w:r>
      <w:r>
        <w:rPr>
          <w:spacing w:val="-8"/>
        </w:rPr>
        <w:t>100</w:t>
      </w:r>
      <w:r>
        <w:rPr>
          <w:spacing w:val="-40"/>
        </w:rPr>
        <w:t xml:space="preserve"> </w:t>
      </w:r>
      <w:r>
        <w:rPr>
          <w:spacing w:val="-8"/>
        </w:rPr>
        <w:t>人及以上，且营业</w:t>
      </w:r>
      <w:r>
        <w:rPr>
          <w:spacing w:val="-9"/>
        </w:rPr>
        <w:t>收入</w:t>
      </w:r>
      <w:r>
        <w:rPr>
          <w:spacing w:val="-34"/>
        </w:rPr>
        <w:t xml:space="preserve"> </w:t>
      </w:r>
      <w:r>
        <w:rPr>
          <w:spacing w:val="-9"/>
        </w:rPr>
        <w:t>1000</w:t>
      </w:r>
      <w:r>
        <w:rPr>
          <w:spacing w:val="-41"/>
        </w:rPr>
        <w:t xml:space="preserve"> </w:t>
      </w:r>
      <w:r>
        <w:rPr>
          <w:spacing w:val="-9"/>
        </w:rPr>
        <w:t>万元及以</w:t>
      </w:r>
      <w:r>
        <w:t xml:space="preserve"> </w:t>
      </w:r>
      <w:r>
        <w:rPr>
          <w:spacing w:val="-5"/>
        </w:rPr>
        <w:t>上的为中型企业；从业人员</w:t>
      </w:r>
      <w:r>
        <w:rPr>
          <w:spacing w:val="-33"/>
        </w:rPr>
        <w:t xml:space="preserve"> </w:t>
      </w:r>
      <w:r>
        <w:rPr>
          <w:spacing w:val="-5"/>
        </w:rPr>
        <w:t>10</w:t>
      </w:r>
      <w:r>
        <w:rPr>
          <w:spacing w:val="-40"/>
        </w:rPr>
        <w:t xml:space="preserve"> </w:t>
      </w:r>
      <w:r>
        <w:rPr>
          <w:spacing w:val="-5"/>
        </w:rPr>
        <w:t>人及以上，且营</w:t>
      </w:r>
      <w:r>
        <w:rPr>
          <w:spacing w:val="-6"/>
        </w:rPr>
        <w:t>业收入</w:t>
      </w:r>
      <w:r>
        <w:rPr>
          <w:spacing w:val="-34"/>
        </w:rPr>
        <w:t xml:space="preserve"> </w:t>
      </w:r>
      <w:r>
        <w:rPr>
          <w:spacing w:val="-6"/>
        </w:rPr>
        <w:t>100</w:t>
      </w:r>
      <w:r>
        <w:rPr>
          <w:spacing w:val="-42"/>
        </w:rPr>
        <w:t xml:space="preserve"> </w:t>
      </w:r>
      <w:r>
        <w:rPr>
          <w:spacing w:val="-6"/>
        </w:rPr>
        <w:t>万元及以上的为小型</w:t>
      </w:r>
      <w:r>
        <w:t xml:space="preserve"> </w:t>
      </w:r>
      <w:r>
        <w:rPr>
          <w:spacing w:val="-4"/>
        </w:rPr>
        <w:t>企业；从业人员</w:t>
      </w:r>
      <w:r>
        <w:rPr>
          <w:spacing w:val="-34"/>
        </w:rPr>
        <w:t xml:space="preserve"> </w:t>
      </w:r>
      <w:r>
        <w:rPr>
          <w:spacing w:val="-4"/>
        </w:rPr>
        <w:t>10</w:t>
      </w:r>
      <w:r>
        <w:rPr>
          <w:spacing w:val="-40"/>
        </w:rPr>
        <w:t xml:space="preserve"> </w:t>
      </w:r>
      <w:r>
        <w:rPr>
          <w:spacing w:val="-4"/>
        </w:rPr>
        <w:t>人以下或营业收入</w:t>
      </w:r>
      <w:r>
        <w:rPr>
          <w:spacing w:val="-34"/>
        </w:rPr>
        <w:t xml:space="preserve"> </w:t>
      </w:r>
      <w:r>
        <w:rPr>
          <w:spacing w:val="-4"/>
        </w:rPr>
        <w:t>100</w:t>
      </w:r>
      <w:r>
        <w:rPr>
          <w:spacing w:val="-42"/>
        </w:rPr>
        <w:t xml:space="preserve"> </w:t>
      </w:r>
      <w:r>
        <w:rPr>
          <w:spacing w:val="-5"/>
        </w:rPr>
        <w:t>万元以下的为微型企业。</w:t>
      </w:r>
    </w:p>
    <w:p w14:paraId="6E4F1FA0">
      <w:pPr>
        <w:pStyle w:val="11"/>
        <w:keepNext w:val="0"/>
        <w:keepLines w:val="0"/>
        <w:pageBreakBefore w:val="0"/>
        <w:widowControl w:val="0"/>
        <w:kinsoku/>
        <w:wordWrap/>
        <w:overflowPunct/>
        <w:topLinePunct w:val="0"/>
        <w:autoSpaceDE/>
        <w:autoSpaceDN/>
        <w:bidi w:val="0"/>
        <w:adjustRightInd/>
        <w:snapToGrid/>
        <w:spacing w:line="360" w:lineRule="auto"/>
        <w:ind w:left="0" w:right="0" w:firstLine="408" w:firstLineChars="200"/>
        <w:jc w:val="left"/>
        <w:textAlignment w:val="auto"/>
      </w:pPr>
      <w:r>
        <w:rPr>
          <w:spacing w:val="-3"/>
        </w:rPr>
        <w:t>（十二）软件和信息技术服务业。从业人员 300 人以下或营业收入 10000</w:t>
      </w:r>
      <w:r>
        <w:rPr>
          <w:spacing w:val="9"/>
        </w:rPr>
        <w:t xml:space="preserve"> </w:t>
      </w:r>
      <w:r>
        <w:rPr>
          <w:spacing w:val="-8"/>
        </w:rPr>
        <w:t>万元以下的为中小微型企业。其中，</w:t>
      </w:r>
      <w:r>
        <w:rPr>
          <w:spacing w:val="56"/>
        </w:rPr>
        <w:t xml:space="preserve"> </w:t>
      </w:r>
      <w:r>
        <w:rPr>
          <w:spacing w:val="-8"/>
        </w:rPr>
        <w:t>从业人员</w:t>
      </w:r>
      <w:r>
        <w:rPr>
          <w:spacing w:val="-33"/>
        </w:rPr>
        <w:t xml:space="preserve"> </w:t>
      </w:r>
      <w:r>
        <w:rPr>
          <w:spacing w:val="-8"/>
        </w:rPr>
        <w:t>100</w:t>
      </w:r>
      <w:r>
        <w:rPr>
          <w:spacing w:val="-40"/>
        </w:rPr>
        <w:t xml:space="preserve"> </w:t>
      </w:r>
      <w:r>
        <w:rPr>
          <w:spacing w:val="-8"/>
        </w:rPr>
        <w:t>人及以上，且营业收入</w:t>
      </w:r>
      <w:r>
        <w:rPr>
          <w:spacing w:val="-34"/>
        </w:rPr>
        <w:t xml:space="preserve"> </w:t>
      </w:r>
      <w:r>
        <w:rPr>
          <w:spacing w:val="-8"/>
        </w:rPr>
        <w:t>1000</w:t>
      </w:r>
      <w:r>
        <w:t xml:space="preserve"> </w:t>
      </w:r>
      <w:r>
        <w:rPr>
          <w:spacing w:val="-3"/>
        </w:rPr>
        <w:t>万元及以上的为中型企业；从业人员</w:t>
      </w:r>
      <w:r>
        <w:rPr>
          <w:spacing w:val="-15"/>
        </w:rPr>
        <w:t xml:space="preserve"> </w:t>
      </w:r>
      <w:r>
        <w:rPr>
          <w:spacing w:val="-3"/>
        </w:rPr>
        <w:t>10</w:t>
      </w:r>
      <w:r>
        <w:rPr>
          <w:spacing w:val="-33"/>
        </w:rPr>
        <w:t xml:space="preserve"> </w:t>
      </w:r>
      <w:r>
        <w:rPr>
          <w:spacing w:val="-3"/>
        </w:rPr>
        <w:t>人及以上，且营业收入</w:t>
      </w:r>
      <w:r>
        <w:rPr>
          <w:spacing w:val="-39"/>
        </w:rPr>
        <w:t xml:space="preserve"> </w:t>
      </w:r>
      <w:r>
        <w:rPr>
          <w:spacing w:val="-3"/>
        </w:rPr>
        <w:t>50</w:t>
      </w:r>
      <w:r>
        <w:rPr>
          <w:spacing w:val="-33"/>
        </w:rPr>
        <w:t xml:space="preserve"> </w:t>
      </w:r>
      <w:r>
        <w:rPr>
          <w:spacing w:val="-3"/>
        </w:rPr>
        <w:t>万元及以上</w:t>
      </w:r>
      <w:r>
        <w:t xml:space="preserve"> </w:t>
      </w:r>
      <w:r>
        <w:rPr>
          <w:spacing w:val="-4"/>
        </w:rPr>
        <w:t>的为小型企业；从业人员</w:t>
      </w:r>
      <w:r>
        <w:rPr>
          <w:spacing w:val="-21"/>
        </w:rPr>
        <w:t xml:space="preserve"> </w:t>
      </w:r>
      <w:r>
        <w:rPr>
          <w:spacing w:val="-4"/>
        </w:rPr>
        <w:t>10</w:t>
      </w:r>
      <w:r>
        <w:rPr>
          <w:spacing w:val="-40"/>
        </w:rPr>
        <w:t xml:space="preserve"> </w:t>
      </w:r>
      <w:r>
        <w:rPr>
          <w:spacing w:val="-4"/>
        </w:rPr>
        <w:t>人以下或营业收入</w:t>
      </w:r>
      <w:r>
        <w:rPr>
          <w:spacing w:val="-47"/>
        </w:rPr>
        <w:t xml:space="preserve"> </w:t>
      </w:r>
      <w:r>
        <w:rPr>
          <w:spacing w:val="-4"/>
        </w:rPr>
        <w:t>50</w:t>
      </w:r>
      <w:r>
        <w:rPr>
          <w:spacing w:val="-42"/>
        </w:rPr>
        <w:t xml:space="preserve"> </w:t>
      </w:r>
      <w:r>
        <w:rPr>
          <w:spacing w:val="-4"/>
        </w:rPr>
        <w:t>万元以下的为微型企业。</w:t>
      </w:r>
    </w:p>
    <w:p w14:paraId="4231A16C">
      <w:pPr>
        <w:pStyle w:val="11"/>
        <w:keepNext w:val="0"/>
        <w:keepLines w:val="0"/>
        <w:pageBreakBefore w:val="0"/>
        <w:widowControl w:val="0"/>
        <w:kinsoku/>
        <w:wordWrap/>
        <w:overflowPunct/>
        <w:topLinePunct w:val="0"/>
        <w:autoSpaceDE/>
        <w:autoSpaceDN/>
        <w:bidi w:val="0"/>
        <w:adjustRightInd/>
        <w:snapToGrid/>
        <w:spacing w:line="360" w:lineRule="auto"/>
        <w:ind w:left="0" w:right="0" w:firstLine="400" w:firstLineChars="200"/>
        <w:jc w:val="left"/>
        <w:textAlignment w:val="auto"/>
      </w:pPr>
      <w:r>
        <w:rPr>
          <w:spacing w:val="-5"/>
        </w:rPr>
        <w:t>（十三）房地产开发经营。营业收入</w:t>
      </w:r>
      <w:r>
        <w:rPr>
          <w:spacing w:val="-42"/>
        </w:rPr>
        <w:t xml:space="preserve"> </w:t>
      </w:r>
      <w:r>
        <w:rPr>
          <w:spacing w:val="-5"/>
        </w:rPr>
        <w:t>200000</w:t>
      </w:r>
      <w:r>
        <w:rPr>
          <w:spacing w:val="-40"/>
        </w:rPr>
        <w:t xml:space="preserve"> </w:t>
      </w:r>
      <w:r>
        <w:rPr>
          <w:spacing w:val="-5"/>
        </w:rPr>
        <w:t>万元以下或资产总额</w:t>
      </w:r>
      <w:r>
        <w:rPr>
          <w:spacing w:val="-33"/>
        </w:rPr>
        <w:t xml:space="preserve"> </w:t>
      </w:r>
      <w:r>
        <w:rPr>
          <w:spacing w:val="-5"/>
        </w:rPr>
        <w:t>10000</w:t>
      </w:r>
      <w:r>
        <w:rPr>
          <w:spacing w:val="-42"/>
        </w:rPr>
        <w:t xml:space="preserve"> </w:t>
      </w:r>
      <w:r>
        <w:rPr>
          <w:spacing w:val="-5"/>
        </w:rPr>
        <w:t>万</w:t>
      </w:r>
      <w:r>
        <w:t xml:space="preserve"> </w:t>
      </w:r>
      <w:r>
        <w:rPr>
          <w:spacing w:val="-8"/>
        </w:rPr>
        <w:t>元以下的为中小微型企业。其中，</w:t>
      </w:r>
      <w:r>
        <w:rPr>
          <w:spacing w:val="-40"/>
        </w:rPr>
        <w:t xml:space="preserve"> </w:t>
      </w:r>
      <w:r>
        <w:rPr>
          <w:spacing w:val="-8"/>
        </w:rPr>
        <w:t>营业收入</w:t>
      </w:r>
      <w:r>
        <w:rPr>
          <w:spacing w:val="-34"/>
        </w:rPr>
        <w:t xml:space="preserve"> </w:t>
      </w:r>
      <w:r>
        <w:rPr>
          <w:spacing w:val="-8"/>
        </w:rPr>
        <w:t>1000</w:t>
      </w:r>
      <w:r>
        <w:rPr>
          <w:spacing w:val="-41"/>
        </w:rPr>
        <w:t xml:space="preserve"> </w:t>
      </w:r>
      <w:r>
        <w:rPr>
          <w:spacing w:val="-8"/>
        </w:rPr>
        <w:t>万元及以上，且资产总额</w:t>
      </w:r>
      <w:r>
        <w:rPr>
          <w:spacing w:val="-47"/>
        </w:rPr>
        <w:t xml:space="preserve"> </w:t>
      </w:r>
      <w:r>
        <w:rPr>
          <w:spacing w:val="-8"/>
        </w:rPr>
        <w:t>5000</w:t>
      </w:r>
      <w:r>
        <w:t xml:space="preserve"> </w:t>
      </w:r>
      <w:r>
        <w:rPr>
          <w:spacing w:val="-5"/>
        </w:rPr>
        <w:t>万元及以上的为中型企业；营业收入</w:t>
      </w:r>
      <w:r>
        <w:rPr>
          <w:spacing w:val="-26"/>
        </w:rPr>
        <w:t xml:space="preserve"> </w:t>
      </w:r>
      <w:r>
        <w:rPr>
          <w:spacing w:val="-5"/>
        </w:rPr>
        <w:t>100</w:t>
      </w:r>
      <w:r>
        <w:rPr>
          <w:spacing w:val="-43"/>
        </w:rPr>
        <w:t xml:space="preserve"> </w:t>
      </w:r>
      <w:r>
        <w:rPr>
          <w:spacing w:val="-5"/>
        </w:rPr>
        <w:t>万元及以上，且资产总额</w:t>
      </w:r>
      <w:r>
        <w:rPr>
          <w:spacing w:val="-48"/>
        </w:rPr>
        <w:t xml:space="preserve"> </w:t>
      </w:r>
      <w:r>
        <w:rPr>
          <w:spacing w:val="-5"/>
        </w:rPr>
        <w:t>2000</w:t>
      </w:r>
      <w:r>
        <w:rPr>
          <w:spacing w:val="-41"/>
        </w:rPr>
        <w:t xml:space="preserve"> </w:t>
      </w:r>
      <w:r>
        <w:rPr>
          <w:spacing w:val="-5"/>
        </w:rPr>
        <w:t>万元及</w:t>
      </w:r>
      <w:r>
        <w:t xml:space="preserve"> </w:t>
      </w:r>
      <w:r>
        <w:rPr>
          <w:spacing w:val="-5"/>
        </w:rPr>
        <w:t>以上的为小型企业；营业收入</w:t>
      </w:r>
      <w:r>
        <w:rPr>
          <w:spacing w:val="-28"/>
        </w:rPr>
        <w:t xml:space="preserve"> </w:t>
      </w:r>
      <w:r>
        <w:rPr>
          <w:spacing w:val="-5"/>
        </w:rPr>
        <w:t>100</w:t>
      </w:r>
      <w:r>
        <w:rPr>
          <w:spacing w:val="-43"/>
        </w:rPr>
        <w:t xml:space="preserve"> </w:t>
      </w:r>
      <w:r>
        <w:rPr>
          <w:spacing w:val="-5"/>
        </w:rPr>
        <w:t>万元以下或资产总额</w:t>
      </w:r>
      <w:r>
        <w:rPr>
          <w:spacing w:val="-48"/>
        </w:rPr>
        <w:t xml:space="preserve"> </w:t>
      </w:r>
      <w:r>
        <w:rPr>
          <w:spacing w:val="-5"/>
        </w:rPr>
        <w:t>2000</w:t>
      </w:r>
      <w:r>
        <w:rPr>
          <w:spacing w:val="-42"/>
        </w:rPr>
        <w:t xml:space="preserve"> </w:t>
      </w:r>
      <w:r>
        <w:rPr>
          <w:spacing w:val="-5"/>
        </w:rPr>
        <w:t>万元以下的为微型</w:t>
      </w:r>
      <w:r>
        <w:t xml:space="preserve"> </w:t>
      </w:r>
      <w:r>
        <w:rPr>
          <w:spacing w:val="-11"/>
        </w:rPr>
        <w:t>企业。</w:t>
      </w:r>
    </w:p>
    <w:p w14:paraId="1A003B22">
      <w:pPr>
        <w:pStyle w:val="11"/>
        <w:keepNext w:val="0"/>
        <w:keepLines w:val="0"/>
        <w:pageBreakBefore w:val="0"/>
        <w:widowControl w:val="0"/>
        <w:kinsoku/>
        <w:wordWrap/>
        <w:overflowPunct/>
        <w:topLinePunct w:val="0"/>
        <w:autoSpaceDE/>
        <w:autoSpaceDN/>
        <w:bidi w:val="0"/>
        <w:adjustRightInd/>
        <w:snapToGrid/>
        <w:spacing w:line="360" w:lineRule="auto"/>
        <w:ind w:left="0" w:right="0" w:firstLine="408" w:firstLineChars="200"/>
        <w:jc w:val="left"/>
        <w:textAlignment w:val="auto"/>
      </w:pPr>
      <w:r>
        <w:rPr>
          <w:spacing w:val="-3"/>
        </w:rPr>
        <w:t>（十四）物业管理。从业人员 1000</w:t>
      </w:r>
      <w:r>
        <w:rPr>
          <w:spacing w:val="-33"/>
        </w:rPr>
        <w:t xml:space="preserve"> </w:t>
      </w:r>
      <w:r>
        <w:rPr>
          <w:spacing w:val="-3"/>
        </w:rPr>
        <w:t>人以下或营业收入</w:t>
      </w:r>
      <w:r>
        <w:rPr>
          <w:spacing w:val="-39"/>
        </w:rPr>
        <w:t xml:space="preserve"> </w:t>
      </w:r>
      <w:r>
        <w:rPr>
          <w:spacing w:val="-3"/>
        </w:rPr>
        <w:t>50</w:t>
      </w:r>
      <w:r>
        <w:rPr>
          <w:spacing w:val="-4"/>
        </w:rPr>
        <w:t>00</w:t>
      </w:r>
      <w:r>
        <w:rPr>
          <w:spacing w:val="-35"/>
        </w:rPr>
        <w:t xml:space="preserve"> </w:t>
      </w:r>
      <w:r>
        <w:rPr>
          <w:spacing w:val="-4"/>
        </w:rPr>
        <w:t>万元以下的为</w:t>
      </w:r>
      <w:r>
        <w:t xml:space="preserve"> </w:t>
      </w:r>
      <w:r>
        <w:rPr>
          <w:spacing w:val="-9"/>
        </w:rPr>
        <w:t>中小微型企业。其中， 从业人员</w:t>
      </w:r>
      <w:r>
        <w:rPr>
          <w:spacing w:val="-38"/>
        </w:rPr>
        <w:t xml:space="preserve"> </w:t>
      </w:r>
      <w:r>
        <w:rPr>
          <w:spacing w:val="-9"/>
        </w:rPr>
        <w:t>300</w:t>
      </w:r>
      <w:r>
        <w:rPr>
          <w:spacing w:val="-40"/>
        </w:rPr>
        <w:t xml:space="preserve"> </w:t>
      </w:r>
      <w:r>
        <w:rPr>
          <w:spacing w:val="-9"/>
        </w:rPr>
        <w:t>人及以上，且营业收入</w:t>
      </w:r>
      <w:r>
        <w:rPr>
          <w:spacing w:val="-34"/>
        </w:rPr>
        <w:t xml:space="preserve"> </w:t>
      </w:r>
      <w:r>
        <w:rPr>
          <w:spacing w:val="-9"/>
        </w:rPr>
        <w:t>1000</w:t>
      </w:r>
      <w:r>
        <w:rPr>
          <w:spacing w:val="-42"/>
        </w:rPr>
        <w:t xml:space="preserve"> </w:t>
      </w:r>
      <w:r>
        <w:rPr>
          <w:spacing w:val="-9"/>
        </w:rPr>
        <w:t>万元及以上的</w:t>
      </w:r>
      <w:r>
        <w:rPr>
          <w:spacing w:val="-3"/>
        </w:rPr>
        <w:t>为中型企业；从业人员</w:t>
      </w:r>
      <w:r>
        <w:rPr>
          <w:spacing w:val="-17"/>
        </w:rPr>
        <w:t xml:space="preserve"> </w:t>
      </w:r>
      <w:r>
        <w:rPr>
          <w:spacing w:val="-3"/>
        </w:rPr>
        <w:t>100</w:t>
      </w:r>
      <w:r>
        <w:rPr>
          <w:spacing w:val="-33"/>
        </w:rPr>
        <w:t xml:space="preserve"> </w:t>
      </w:r>
      <w:r>
        <w:rPr>
          <w:spacing w:val="-3"/>
        </w:rPr>
        <w:t>人及以上，且营业收入</w:t>
      </w:r>
      <w:r>
        <w:rPr>
          <w:spacing w:val="-39"/>
        </w:rPr>
        <w:t xml:space="preserve"> </w:t>
      </w:r>
      <w:r>
        <w:rPr>
          <w:spacing w:val="-3"/>
        </w:rPr>
        <w:t>500</w:t>
      </w:r>
      <w:r>
        <w:rPr>
          <w:spacing w:val="-35"/>
        </w:rPr>
        <w:t xml:space="preserve"> </w:t>
      </w:r>
      <w:r>
        <w:rPr>
          <w:spacing w:val="-3"/>
        </w:rPr>
        <w:t>万元及以上的为小型企</w:t>
      </w:r>
      <w:r>
        <w:t xml:space="preserve"> </w:t>
      </w:r>
      <w:r>
        <w:rPr>
          <w:spacing w:val="-4"/>
        </w:rPr>
        <w:t>业；从业人员</w:t>
      </w:r>
      <w:r>
        <w:rPr>
          <w:spacing w:val="-31"/>
        </w:rPr>
        <w:t xml:space="preserve"> </w:t>
      </w:r>
      <w:r>
        <w:rPr>
          <w:spacing w:val="-4"/>
        </w:rPr>
        <w:t>100</w:t>
      </w:r>
      <w:r>
        <w:rPr>
          <w:spacing w:val="-41"/>
        </w:rPr>
        <w:t xml:space="preserve"> </w:t>
      </w:r>
      <w:r>
        <w:rPr>
          <w:spacing w:val="-4"/>
        </w:rPr>
        <w:t>人以下或营业收入</w:t>
      </w:r>
      <w:r>
        <w:rPr>
          <w:spacing w:val="-46"/>
        </w:rPr>
        <w:t xml:space="preserve"> </w:t>
      </w:r>
      <w:r>
        <w:rPr>
          <w:spacing w:val="-4"/>
        </w:rPr>
        <w:t>500</w:t>
      </w:r>
      <w:r>
        <w:rPr>
          <w:spacing w:val="-42"/>
        </w:rPr>
        <w:t xml:space="preserve"> </w:t>
      </w:r>
      <w:r>
        <w:rPr>
          <w:spacing w:val="-4"/>
        </w:rPr>
        <w:t>万元以下的为微型企业。</w:t>
      </w:r>
    </w:p>
    <w:p w14:paraId="0C2F91DF">
      <w:pPr>
        <w:pStyle w:val="11"/>
        <w:keepNext w:val="0"/>
        <w:keepLines w:val="0"/>
        <w:pageBreakBefore w:val="0"/>
        <w:widowControl w:val="0"/>
        <w:kinsoku/>
        <w:wordWrap/>
        <w:overflowPunct/>
        <w:topLinePunct w:val="0"/>
        <w:autoSpaceDE/>
        <w:autoSpaceDN/>
        <w:bidi w:val="0"/>
        <w:adjustRightInd/>
        <w:snapToGrid/>
        <w:spacing w:line="360" w:lineRule="auto"/>
        <w:ind w:left="0" w:right="0" w:firstLine="400" w:firstLineChars="200"/>
        <w:jc w:val="left"/>
        <w:textAlignment w:val="auto"/>
      </w:pPr>
      <w:r>
        <w:rPr>
          <w:spacing w:val="-5"/>
        </w:rPr>
        <w:t>（十五）租赁和商务服务业。从业人员</w:t>
      </w:r>
      <w:r>
        <w:rPr>
          <w:spacing w:val="-46"/>
        </w:rPr>
        <w:t xml:space="preserve"> </w:t>
      </w:r>
      <w:r>
        <w:rPr>
          <w:spacing w:val="-5"/>
        </w:rPr>
        <w:t>300</w:t>
      </w:r>
      <w:r>
        <w:rPr>
          <w:spacing w:val="-40"/>
        </w:rPr>
        <w:t xml:space="preserve"> </w:t>
      </w:r>
      <w:r>
        <w:rPr>
          <w:spacing w:val="-5"/>
        </w:rPr>
        <w:t>人以下或资产总额</w:t>
      </w:r>
      <w:r>
        <w:rPr>
          <w:spacing w:val="-34"/>
        </w:rPr>
        <w:t xml:space="preserve"> </w:t>
      </w:r>
      <w:r>
        <w:rPr>
          <w:spacing w:val="-5"/>
        </w:rPr>
        <w:t>120000</w:t>
      </w:r>
      <w:r>
        <w:rPr>
          <w:spacing w:val="-42"/>
        </w:rPr>
        <w:t xml:space="preserve"> </w:t>
      </w:r>
      <w:r>
        <w:rPr>
          <w:spacing w:val="-5"/>
        </w:rPr>
        <w:t>万元</w:t>
      </w:r>
      <w:r>
        <w:t xml:space="preserve"> </w:t>
      </w:r>
      <w:r>
        <w:rPr>
          <w:spacing w:val="-8"/>
        </w:rPr>
        <w:t>以下的为中小微型企业。其中， 从业人员</w:t>
      </w:r>
      <w:r>
        <w:rPr>
          <w:spacing w:val="-26"/>
        </w:rPr>
        <w:t xml:space="preserve"> </w:t>
      </w:r>
      <w:r>
        <w:rPr>
          <w:spacing w:val="-8"/>
        </w:rPr>
        <w:t>100</w:t>
      </w:r>
      <w:r>
        <w:rPr>
          <w:spacing w:val="-42"/>
        </w:rPr>
        <w:t xml:space="preserve"> </w:t>
      </w:r>
      <w:r>
        <w:rPr>
          <w:spacing w:val="-8"/>
        </w:rPr>
        <w:t>人及以上，且资产总额</w:t>
      </w:r>
      <w:r>
        <w:rPr>
          <w:spacing w:val="-50"/>
        </w:rPr>
        <w:t xml:space="preserve"> </w:t>
      </w:r>
      <w:r>
        <w:rPr>
          <w:spacing w:val="-8"/>
        </w:rPr>
        <w:t>8000</w:t>
      </w:r>
      <w:r>
        <w:rPr>
          <w:spacing w:val="-43"/>
        </w:rPr>
        <w:t xml:space="preserve"> </w:t>
      </w:r>
      <w:r>
        <w:rPr>
          <w:spacing w:val="-8"/>
        </w:rPr>
        <w:t>万元</w:t>
      </w:r>
      <w:r>
        <w:t xml:space="preserve"> </w:t>
      </w:r>
      <w:r>
        <w:rPr>
          <w:spacing w:val="-5"/>
        </w:rPr>
        <w:t>及以上的为中型企业；从业人员</w:t>
      </w:r>
      <w:r>
        <w:rPr>
          <w:spacing w:val="-33"/>
        </w:rPr>
        <w:t xml:space="preserve"> </w:t>
      </w:r>
      <w:r>
        <w:rPr>
          <w:spacing w:val="-5"/>
        </w:rPr>
        <w:t>10</w:t>
      </w:r>
      <w:r>
        <w:rPr>
          <w:spacing w:val="-40"/>
        </w:rPr>
        <w:t xml:space="preserve"> </w:t>
      </w:r>
      <w:r>
        <w:rPr>
          <w:spacing w:val="-5"/>
        </w:rPr>
        <w:t>人及以上，且</w:t>
      </w:r>
      <w:r>
        <w:rPr>
          <w:spacing w:val="-6"/>
        </w:rPr>
        <w:t>资产总额</w:t>
      </w:r>
      <w:r>
        <w:rPr>
          <w:spacing w:val="-34"/>
        </w:rPr>
        <w:t xml:space="preserve"> </w:t>
      </w:r>
      <w:r>
        <w:rPr>
          <w:spacing w:val="-6"/>
        </w:rPr>
        <w:t>100</w:t>
      </w:r>
      <w:r>
        <w:rPr>
          <w:spacing w:val="-42"/>
        </w:rPr>
        <w:t xml:space="preserve"> </w:t>
      </w:r>
      <w:r>
        <w:rPr>
          <w:spacing w:val="-6"/>
        </w:rPr>
        <w:t>万元及以上的为</w:t>
      </w:r>
      <w:r>
        <w:t xml:space="preserve"> </w:t>
      </w:r>
      <w:r>
        <w:rPr>
          <w:spacing w:val="-4"/>
        </w:rPr>
        <w:t>小型企业；从业人员</w:t>
      </w:r>
      <w:r>
        <w:rPr>
          <w:spacing w:val="-33"/>
        </w:rPr>
        <w:t xml:space="preserve"> </w:t>
      </w:r>
      <w:r>
        <w:rPr>
          <w:spacing w:val="-4"/>
        </w:rPr>
        <w:t>10</w:t>
      </w:r>
      <w:r>
        <w:rPr>
          <w:spacing w:val="-40"/>
        </w:rPr>
        <w:t xml:space="preserve"> </w:t>
      </w:r>
      <w:r>
        <w:rPr>
          <w:spacing w:val="-4"/>
        </w:rPr>
        <w:t>人以下或资产总额</w:t>
      </w:r>
      <w:r>
        <w:rPr>
          <w:spacing w:val="-34"/>
        </w:rPr>
        <w:t xml:space="preserve"> </w:t>
      </w:r>
      <w:r>
        <w:rPr>
          <w:spacing w:val="-4"/>
        </w:rPr>
        <w:t>100</w:t>
      </w:r>
      <w:r>
        <w:rPr>
          <w:spacing w:val="-42"/>
        </w:rPr>
        <w:t xml:space="preserve"> </w:t>
      </w:r>
      <w:r>
        <w:rPr>
          <w:spacing w:val="-4"/>
        </w:rPr>
        <w:t>万元以下的为微型</w:t>
      </w:r>
      <w:r>
        <w:rPr>
          <w:spacing w:val="-5"/>
        </w:rPr>
        <w:t>企业。</w:t>
      </w:r>
    </w:p>
    <w:p w14:paraId="243AF405">
      <w:pPr>
        <w:pStyle w:val="11"/>
        <w:keepNext w:val="0"/>
        <w:keepLines w:val="0"/>
        <w:pageBreakBefore w:val="0"/>
        <w:widowControl w:val="0"/>
        <w:kinsoku/>
        <w:wordWrap/>
        <w:overflowPunct/>
        <w:topLinePunct w:val="0"/>
        <w:autoSpaceDE/>
        <w:autoSpaceDN/>
        <w:bidi w:val="0"/>
        <w:adjustRightInd/>
        <w:snapToGrid/>
        <w:spacing w:line="360" w:lineRule="auto"/>
        <w:ind w:left="0" w:right="0" w:firstLine="384" w:firstLineChars="200"/>
        <w:jc w:val="left"/>
        <w:textAlignment w:val="auto"/>
      </w:pPr>
      <w:r>
        <w:rPr>
          <w:spacing w:val="-9"/>
        </w:rPr>
        <w:t>（十六）其他未列明行业。从业人员</w:t>
      </w:r>
      <w:r>
        <w:rPr>
          <w:spacing w:val="-46"/>
        </w:rPr>
        <w:t xml:space="preserve"> </w:t>
      </w:r>
      <w:r>
        <w:rPr>
          <w:spacing w:val="-9"/>
        </w:rPr>
        <w:t>300</w:t>
      </w:r>
      <w:r>
        <w:rPr>
          <w:spacing w:val="-40"/>
        </w:rPr>
        <w:t xml:space="preserve"> </w:t>
      </w:r>
      <w:r>
        <w:rPr>
          <w:spacing w:val="-9"/>
        </w:rPr>
        <w:t>人以下的为中小微型企业。</w:t>
      </w:r>
      <w:r>
        <w:rPr>
          <w:spacing w:val="-10"/>
        </w:rPr>
        <w:t>其中，</w:t>
      </w:r>
      <w:r>
        <w:t xml:space="preserve"> </w:t>
      </w:r>
      <w:r>
        <w:rPr>
          <w:spacing w:val="-5"/>
        </w:rPr>
        <w:t>从业人员</w:t>
      </w:r>
      <w:r>
        <w:rPr>
          <w:spacing w:val="-34"/>
        </w:rPr>
        <w:t xml:space="preserve"> </w:t>
      </w:r>
      <w:r>
        <w:rPr>
          <w:spacing w:val="-5"/>
        </w:rPr>
        <w:t>100</w:t>
      </w:r>
      <w:r>
        <w:rPr>
          <w:spacing w:val="-41"/>
        </w:rPr>
        <w:t xml:space="preserve"> </w:t>
      </w:r>
      <w:r>
        <w:rPr>
          <w:spacing w:val="-5"/>
        </w:rPr>
        <w:t>人及以上的为中型企业；从</w:t>
      </w:r>
      <w:r>
        <w:rPr>
          <w:spacing w:val="-6"/>
        </w:rPr>
        <w:t>业人员</w:t>
      </w:r>
      <w:r>
        <w:rPr>
          <w:spacing w:val="-32"/>
        </w:rPr>
        <w:t xml:space="preserve"> </w:t>
      </w:r>
      <w:r>
        <w:rPr>
          <w:spacing w:val="-6"/>
        </w:rPr>
        <w:t>10</w:t>
      </w:r>
      <w:r>
        <w:rPr>
          <w:spacing w:val="-41"/>
        </w:rPr>
        <w:t xml:space="preserve"> </w:t>
      </w:r>
      <w:r>
        <w:rPr>
          <w:spacing w:val="-6"/>
        </w:rPr>
        <w:t>人及以上的为小型企业；从</w:t>
      </w:r>
      <w:r>
        <w:t xml:space="preserve"> </w:t>
      </w:r>
      <w:r>
        <w:rPr>
          <w:spacing w:val="-6"/>
        </w:rPr>
        <w:t>业人员</w:t>
      </w:r>
      <w:r>
        <w:rPr>
          <w:spacing w:val="-33"/>
        </w:rPr>
        <w:t xml:space="preserve"> </w:t>
      </w:r>
      <w:r>
        <w:rPr>
          <w:spacing w:val="-6"/>
        </w:rPr>
        <w:t>10</w:t>
      </w:r>
      <w:r>
        <w:rPr>
          <w:spacing w:val="-40"/>
        </w:rPr>
        <w:t xml:space="preserve"> </w:t>
      </w:r>
      <w:r>
        <w:rPr>
          <w:spacing w:val="-6"/>
        </w:rPr>
        <w:t>人以下的为微型企业。</w:t>
      </w:r>
    </w:p>
    <w:p w14:paraId="0E895630">
      <w:pPr>
        <w:pStyle w:val="11"/>
        <w:keepNext w:val="0"/>
        <w:keepLines w:val="0"/>
        <w:pageBreakBefore w:val="0"/>
        <w:widowControl w:val="0"/>
        <w:kinsoku/>
        <w:wordWrap/>
        <w:overflowPunct/>
        <w:topLinePunct w:val="0"/>
        <w:autoSpaceDE/>
        <w:autoSpaceDN/>
        <w:bidi w:val="0"/>
        <w:adjustRightInd/>
        <w:snapToGrid/>
        <w:spacing w:line="360" w:lineRule="auto"/>
        <w:ind w:left="0" w:right="0" w:firstLine="408" w:firstLineChars="200"/>
        <w:jc w:val="left"/>
        <w:textAlignment w:val="auto"/>
      </w:pPr>
      <w:r>
        <w:rPr>
          <w:spacing w:val="-3"/>
        </w:rPr>
        <w:t>五、企业类型的划分以统计部门的统计数据为依据。</w:t>
      </w:r>
    </w:p>
    <w:p w14:paraId="0BAA2834">
      <w:pPr>
        <w:pStyle w:val="11"/>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pPr>
      <w:r>
        <w:t>六、本规定适用于在中华人民共和国境内依法设立的各类所有制和各种组</w:t>
      </w:r>
      <w:r>
        <w:rPr>
          <w:spacing w:val="7"/>
        </w:rPr>
        <w:t xml:space="preserve"> </w:t>
      </w:r>
      <w:r>
        <w:rPr>
          <w:spacing w:val="-2"/>
        </w:rPr>
        <w:t>织形式的企业。个体工商户和本规定以外的行业，参照本规定进行划型。</w:t>
      </w:r>
    </w:p>
    <w:p w14:paraId="3E2DEB18">
      <w:pPr>
        <w:pStyle w:val="11"/>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pPr>
      <w:r>
        <w:t>七、本规定的中型企业标准上限即为大型企业标准的下限，国家统计部门</w:t>
      </w:r>
      <w:r>
        <w:rPr>
          <w:spacing w:val="4"/>
        </w:rPr>
        <w:t xml:space="preserve"> </w:t>
      </w:r>
      <w:r>
        <w:rPr>
          <w:spacing w:val="-5"/>
        </w:rPr>
        <w:t>据此制定大中小微型企业的统计分类。国务院有关部门据此进行相关数据分析，</w:t>
      </w:r>
      <w:r>
        <w:rPr>
          <w:spacing w:val="18"/>
        </w:rPr>
        <w:t xml:space="preserve"> </w:t>
      </w:r>
      <w:r>
        <w:rPr>
          <w:spacing w:val="-3"/>
        </w:rPr>
        <w:t>不得制定与本规定不一致的企业划型标准。</w:t>
      </w:r>
    </w:p>
    <w:p w14:paraId="254C2A6F">
      <w:pPr>
        <w:pStyle w:val="11"/>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pPr>
      <w:r>
        <w:t>八、本规定由工业和信息化部、国家统计局会同有关部门根据《国民经济</w:t>
      </w:r>
      <w:r>
        <w:rPr>
          <w:spacing w:val="9"/>
        </w:rPr>
        <w:t xml:space="preserve"> </w:t>
      </w:r>
      <w:r>
        <w:rPr>
          <w:spacing w:val="-2"/>
        </w:rPr>
        <w:t>行业分类》修订情况和企业发展变化情况适时</w:t>
      </w:r>
      <w:r>
        <w:rPr>
          <w:spacing w:val="-3"/>
        </w:rPr>
        <w:t>修订。</w:t>
      </w:r>
    </w:p>
    <w:p w14:paraId="2A9A4754">
      <w:pPr>
        <w:pStyle w:val="11"/>
        <w:keepNext w:val="0"/>
        <w:keepLines w:val="0"/>
        <w:pageBreakBefore w:val="0"/>
        <w:widowControl w:val="0"/>
        <w:kinsoku/>
        <w:wordWrap/>
        <w:overflowPunct/>
        <w:topLinePunct w:val="0"/>
        <w:autoSpaceDE/>
        <w:autoSpaceDN/>
        <w:bidi w:val="0"/>
        <w:adjustRightInd/>
        <w:snapToGrid/>
        <w:spacing w:line="360" w:lineRule="auto"/>
        <w:ind w:left="0" w:right="0" w:firstLine="412" w:firstLineChars="200"/>
        <w:jc w:val="left"/>
        <w:textAlignment w:val="auto"/>
      </w:pPr>
      <w:r>
        <w:rPr>
          <w:spacing w:val="-2"/>
        </w:rPr>
        <w:t>九、本规定由工业和信息化部、国家统计局会同有关部门负责解释。</w:t>
      </w:r>
    </w:p>
    <w:p w14:paraId="6F5C11DB">
      <w:pPr>
        <w:pStyle w:val="11"/>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pPr>
      <w:r>
        <w:t>十、本规定自发布之日起执行，原国家经贸委、原国家计委、财政部和国</w:t>
      </w:r>
      <w:r>
        <w:rPr>
          <w:spacing w:val="2"/>
        </w:rPr>
        <w:t xml:space="preserve"> </w:t>
      </w:r>
      <w:r>
        <w:rPr>
          <w:spacing w:val="-3"/>
        </w:rPr>
        <w:t>家统计局</w:t>
      </w:r>
      <w:r>
        <w:rPr>
          <w:spacing w:val="-43"/>
        </w:rPr>
        <w:t xml:space="preserve"> </w:t>
      </w:r>
      <w:r>
        <w:rPr>
          <w:spacing w:val="-3"/>
        </w:rPr>
        <w:t>2003</w:t>
      </w:r>
      <w:r>
        <w:rPr>
          <w:spacing w:val="-40"/>
        </w:rPr>
        <w:t xml:space="preserve"> </w:t>
      </w:r>
      <w:r>
        <w:rPr>
          <w:spacing w:val="-3"/>
        </w:rPr>
        <w:t>年颁布的《中小企业标准暂行规定》同时废止。</w:t>
      </w:r>
    </w:p>
    <w:p w14:paraId="167F7840">
      <w:pPr>
        <w:pStyle w:val="53"/>
        <w:spacing w:line="480" w:lineRule="exact"/>
        <w:jc w:val="left"/>
        <w:rPr>
          <w:rFonts w:hint="eastAsia" w:ascii="宋体" w:hAnsi="宋体" w:eastAsia="宋体" w:cs="宋体"/>
          <w:color w:val="auto"/>
          <w:spacing w:val="0"/>
          <w:highlight w:val="none"/>
        </w:rPr>
      </w:pPr>
      <w:r>
        <w:rPr>
          <w:rFonts w:hint="eastAsia" w:ascii="宋体" w:hAnsi="宋体" w:eastAsia="宋体" w:cs="宋体"/>
          <w:b/>
          <w:bCs/>
        </w:rPr>
        <w:br w:type="page"/>
      </w:r>
      <w:r>
        <w:rPr>
          <w:rFonts w:hint="eastAsia" w:ascii="宋体" w:hAnsi="宋体" w:eastAsia="宋体" w:cs="宋体"/>
          <w:bCs/>
          <w:color w:val="auto"/>
          <w:spacing w:val="0"/>
          <w:sz w:val="24"/>
          <w:szCs w:val="24"/>
          <w:highlight w:val="none"/>
        </w:rPr>
        <w:t>（</w:t>
      </w:r>
      <w:r>
        <w:rPr>
          <w:rFonts w:hint="eastAsia" w:ascii="宋体" w:hAnsi="宋体" w:cs="宋体"/>
          <w:bCs/>
          <w:color w:val="auto"/>
          <w:spacing w:val="0"/>
          <w:sz w:val="24"/>
          <w:szCs w:val="24"/>
          <w:highlight w:val="none"/>
          <w:lang w:val="en-US" w:eastAsia="zh-CN"/>
        </w:rPr>
        <w:t>四</w:t>
      </w:r>
      <w:r>
        <w:rPr>
          <w:rFonts w:hint="eastAsia" w:ascii="宋体" w:hAnsi="宋体" w:eastAsia="宋体" w:cs="宋体"/>
          <w:bCs/>
          <w:color w:val="auto"/>
          <w:spacing w:val="0"/>
          <w:sz w:val="24"/>
          <w:szCs w:val="24"/>
          <w:highlight w:val="none"/>
        </w:rPr>
        <w:t>）不参与围标串标承诺书</w:t>
      </w:r>
    </w:p>
    <w:p w14:paraId="4B1A33F4">
      <w:pPr>
        <w:pStyle w:val="32"/>
        <w:spacing w:line="480" w:lineRule="exact"/>
        <w:jc w:val="center"/>
        <w:rPr>
          <w:rFonts w:hint="eastAsia" w:ascii="宋体" w:hAnsi="宋体" w:eastAsia="宋体" w:cs="宋体"/>
          <w:b/>
          <w:color w:val="auto"/>
          <w:spacing w:val="0"/>
          <w:sz w:val="30"/>
          <w:szCs w:val="30"/>
          <w:highlight w:val="none"/>
        </w:rPr>
      </w:pPr>
    </w:p>
    <w:p w14:paraId="1D82BFDD">
      <w:pPr>
        <w:pStyle w:val="32"/>
        <w:spacing w:line="480" w:lineRule="exact"/>
        <w:jc w:val="center"/>
        <w:rPr>
          <w:rFonts w:hint="eastAsia" w:ascii="宋体" w:hAnsi="宋体" w:eastAsia="宋体" w:cs="宋体"/>
          <w:b/>
          <w:color w:val="auto"/>
          <w:spacing w:val="0"/>
          <w:sz w:val="28"/>
          <w:szCs w:val="28"/>
          <w:highlight w:val="none"/>
        </w:rPr>
      </w:pPr>
      <w:r>
        <w:rPr>
          <w:rFonts w:hint="eastAsia" w:ascii="宋体" w:hAnsi="宋体" w:eastAsia="宋体" w:cs="宋体"/>
          <w:b/>
          <w:color w:val="auto"/>
          <w:spacing w:val="0"/>
          <w:sz w:val="28"/>
          <w:szCs w:val="28"/>
          <w:highlight w:val="none"/>
        </w:rPr>
        <w:t>不参与围标串标承诺书</w:t>
      </w:r>
    </w:p>
    <w:p w14:paraId="4F69E73F">
      <w:pPr>
        <w:pStyle w:val="32"/>
        <w:spacing w:line="480" w:lineRule="exact"/>
        <w:jc w:val="center"/>
        <w:rPr>
          <w:rFonts w:hint="eastAsia" w:ascii="宋体" w:hAnsi="宋体" w:eastAsia="宋体" w:cs="宋体"/>
          <w:b/>
          <w:color w:val="auto"/>
          <w:spacing w:val="0"/>
          <w:sz w:val="30"/>
          <w:szCs w:val="30"/>
          <w:highlight w:val="none"/>
        </w:rPr>
      </w:pPr>
    </w:p>
    <w:p w14:paraId="37FD9C45">
      <w:pPr>
        <w:pStyle w:val="54"/>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本人作为（单位名称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的法定代表人，清楚知晓我公司本项目招标活动，对以下事项作出承诺：</w:t>
      </w:r>
    </w:p>
    <w:p w14:paraId="102848CC">
      <w:pPr>
        <w:pStyle w:val="54"/>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一、我单位遵循公开、公平、公正、诚实守信的原则，依法依规参与本项目竞标。</w:t>
      </w:r>
    </w:p>
    <w:p w14:paraId="229C0CCD">
      <w:pPr>
        <w:pStyle w:val="54"/>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二、我单位在本项目招标投标活动中，未参与围标串标。</w:t>
      </w:r>
    </w:p>
    <w:p w14:paraId="5BE1CA6C">
      <w:pPr>
        <w:pStyle w:val="54"/>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三、我单位如被查实在本项目招标投标活动中存在围标串标的，递交</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行为作为实施串通投标违法行为的关键环节，本人承担直接责任人员法律责任，接受相应行政处罚和失信惩戒。</w:t>
      </w:r>
    </w:p>
    <w:p w14:paraId="115B476C">
      <w:pPr>
        <w:pStyle w:val="54"/>
        <w:spacing w:line="440" w:lineRule="exact"/>
        <w:jc w:val="left"/>
        <w:rPr>
          <w:rFonts w:ascii="宋体" w:hAnsi="宋体" w:cs="宋体"/>
          <w:color w:val="auto"/>
          <w:sz w:val="24"/>
          <w:szCs w:val="24"/>
          <w:highlight w:val="none"/>
        </w:rPr>
      </w:pPr>
    </w:p>
    <w:p w14:paraId="229207FA">
      <w:pPr>
        <w:pStyle w:val="54"/>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p w14:paraId="1BA95DBC">
      <w:pPr>
        <w:pStyle w:val="54"/>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项目编号：</w:t>
      </w:r>
    </w:p>
    <w:p w14:paraId="1C35CFF7">
      <w:pPr>
        <w:pStyle w:val="54"/>
        <w:spacing w:line="440" w:lineRule="exact"/>
        <w:jc w:val="left"/>
        <w:rPr>
          <w:rFonts w:hint="eastAsia" w:ascii="宋体" w:hAnsi="宋体" w:cs="宋体"/>
          <w:color w:val="auto"/>
          <w:sz w:val="24"/>
          <w:szCs w:val="24"/>
          <w:highlight w:val="none"/>
        </w:rPr>
      </w:pPr>
    </w:p>
    <w:p w14:paraId="618297E1">
      <w:pPr>
        <w:pStyle w:val="54"/>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供应商单</w:t>
      </w:r>
      <w:r>
        <w:rPr>
          <w:rFonts w:hint="eastAsia" w:ascii="宋体" w:hAnsi="宋体" w:eastAsia="宋体" w:cs="宋体"/>
          <w:color w:val="auto"/>
          <w:sz w:val="24"/>
          <w:szCs w:val="24"/>
          <w:highlight w:val="none"/>
        </w:rPr>
        <w:t>位名称（</w:t>
      </w:r>
      <w:r>
        <w:rPr>
          <w:rFonts w:hint="eastAsia" w:ascii="宋体" w:hAnsi="宋体" w:cs="宋体"/>
          <w:color w:val="auto"/>
          <w:sz w:val="24"/>
          <w:szCs w:val="24"/>
          <w:highlight w:val="none"/>
          <w:lang w:val="en-US" w:eastAsia="zh-CN"/>
        </w:rPr>
        <w:t>电子</w:t>
      </w:r>
      <w:r>
        <w:rPr>
          <w:rFonts w:hint="eastAsia" w:ascii="宋体" w:hAnsi="宋体" w:eastAsia="宋体" w:cs="宋体"/>
          <w:color w:val="auto"/>
          <w:sz w:val="24"/>
          <w:szCs w:val="24"/>
          <w:highlight w:val="none"/>
        </w:rPr>
        <w:t>公章）：</w:t>
      </w:r>
    </w:p>
    <w:p w14:paraId="02974CD7">
      <w:pPr>
        <w:shd w:val="clear" w:color="auto" w:fill="FFFFFF"/>
        <w:tabs>
          <w:tab w:val="left" w:pos="3780"/>
        </w:tabs>
        <w:spacing w:line="440" w:lineRule="exact"/>
        <w:rPr>
          <w:rFonts w:hint="eastAsia" w:ascii="宋体" w:hAnsi="宋体" w:eastAsia="宋体" w:cs="宋体"/>
          <w:color w:val="auto"/>
          <w:sz w:val="24"/>
          <w:highlight w:val="none"/>
        </w:rPr>
      </w:pPr>
    </w:p>
    <w:p w14:paraId="0053D9BF">
      <w:pPr>
        <w:pStyle w:val="54"/>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法定代表人或负责人（</w:t>
      </w:r>
      <w:r>
        <w:rPr>
          <w:rFonts w:hint="eastAsia" w:ascii="宋体" w:hAnsi="宋体"/>
          <w:color w:val="auto"/>
          <w:sz w:val="24"/>
          <w:highlight w:val="none"/>
          <w:lang w:val="en-US" w:eastAsia="zh-CN"/>
        </w:rPr>
        <w:t>签章</w:t>
      </w:r>
      <w:r>
        <w:rPr>
          <w:rFonts w:hint="eastAsia" w:ascii="宋体" w:hAnsi="宋体" w:cs="宋体"/>
          <w:color w:val="auto"/>
          <w:sz w:val="24"/>
          <w:szCs w:val="24"/>
          <w:highlight w:val="none"/>
        </w:rPr>
        <w:t>）：</w:t>
      </w:r>
    </w:p>
    <w:p w14:paraId="4E7DD9C6">
      <w:pPr>
        <w:pStyle w:val="54"/>
        <w:spacing w:line="440" w:lineRule="exact"/>
        <w:jc w:val="left"/>
        <w:rPr>
          <w:rFonts w:hint="eastAsia" w:ascii="宋体" w:hAnsi="宋体" w:cs="宋体"/>
          <w:color w:val="auto"/>
          <w:sz w:val="24"/>
          <w:szCs w:val="24"/>
          <w:highlight w:val="none"/>
        </w:rPr>
      </w:pPr>
    </w:p>
    <w:p w14:paraId="3B14E311">
      <w:pPr>
        <w:pStyle w:val="54"/>
        <w:spacing w:line="440" w:lineRule="exact"/>
        <w:ind w:firstLine="4320" w:firstLineChars="180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6F3DD7C5">
      <w:pPr>
        <w:pStyle w:val="32"/>
        <w:spacing w:line="440" w:lineRule="exact"/>
        <w:ind w:firstLine="0"/>
        <w:rPr>
          <w:rFonts w:hint="eastAsia" w:ascii="宋体" w:hAnsi="宋体" w:eastAsia="宋体" w:cs="宋体"/>
          <w:color w:val="auto"/>
          <w:spacing w:val="0"/>
          <w:sz w:val="24"/>
          <w:szCs w:val="24"/>
          <w:highlight w:val="none"/>
        </w:rPr>
      </w:pPr>
    </w:p>
    <w:p w14:paraId="073C88F5">
      <w:pPr>
        <w:pStyle w:val="32"/>
        <w:spacing w:line="440" w:lineRule="exact"/>
        <w:ind w:firstLine="0"/>
        <w:rPr>
          <w:rFonts w:hint="eastAsia" w:ascii="宋体" w:hAnsi="宋体" w:eastAsia="宋体" w:cs="宋体"/>
          <w:color w:val="auto"/>
          <w:spacing w:val="0"/>
          <w:sz w:val="24"/>
          <w:szCs w:val="24"/>
          <w:highlight w:val="none"/>
        </w:rPr>
      </w:pPr>
    </w:p>
    <w:p w14:paraId="5DBE4223">
      <w:pPr>
        <w:pStyle w:val="32"/>
        <w:spacing w:line="440" w:lineRule="exact"/>
        <w:ind w:firstLine="0"/>
        <w:rPr>
          <w:rFonts w:hint="eastAsia" w:ascii="宋体" w:hAnsi="宋体" w:eastAsia="宋体" w:cs="宋体"/>
          <w:color w:val="auto"/>
          <w:spacing w:val="0"/>
          <w:sz w:val="24"/>
          <w:szCs w:val="24"/>
          <w:highlight w:val="none"/>
        </w:rPr>
      </w:pPr>
    </w:p>
    <w:p w14:paraId="4DF10577">
      <w:pPr>
        <w:pStyle w:val="32"/>
        <w:spacing w:line="440" w:lineRule="exact"/>
        <w:ind w:firstLine="0"/>
        <w:rPr>
          <w:rFonts w:hint="eastAsia" w:ascii="宋体" w:hAnsi="宋体" w:eastAsia="宋体" w:cs="宋体"/>
          <w:color w:val="auto"/>
          <w:spacing w:val="0"/>
          <w:sz w:val="24"/>
          <w:szCs w:val="24"/>
          <w:highlight w:val="none"/>
        </w:rPr>
      </w:pPr>
    </w:p>
    <w:p w14:paraId="42446C05">
      <w:pPr>
        <w:pStyle w:val="32"/>
        <w:spacing w:line="440" w:lineRule="exact"/>
        <w:ind w:firstLine="0"/>
        <w:rPr>
          <w:rFonts w:hint="eastAsia" w:ascii="宋体" w:hAnsi="宋体" w:eastAsia="宋体" w:cs="宋体"/>
          <w:color w:val="auto"/>
          <w:spacing w:val="0"/>
          <w:sz w:val="24"/>
          <w:szCs w:val="24"/>
          <w:highlight w:val="none"/>
        </w:rPr>
      </w:pPr>
    </w:p>
    <w:p w14:paraId="627ED557">
      <w:pPr>
        <w:pStyle w:val="32"/>
        <w:spacing w:line="440" w:lineRule="exact"/>
        <w:ind w:firstLine="0"/>
        <w:rPr>
          <w:rFonts w:hint="eastAsia" w:ascii="宋体" w:hAnsi="宋体" w:eastAsia="宋体" w:cs="宋体"/>
          <w:color w:val="auto"/>
          <w:spacing w:val="0"/>
          <w:sz w:val="24"/>
          <w:szCs w:val="24"/>
          <w:highlight w:val="none"/>
        </w:rPr>
      </w:pPr>
    </w:p>
    <w:p w14:paraId="2FD9E04C">
      <w:pPr>
        <w:pStyle w:val="32"/>
        <w:spacing w:line="440" w:lineRule="exact"/>
        <w:ind w:firstLine="0"/>
        <w:rPr>
          <w:rFonts w:hint="eastAsia" w:ascii="宋体" w:hAnsi="宋体" w:eastAsia="宋体" w:cs="宋体"/>
          <w:color w:val="auto"/>
          <w:spacing w:val="0"/>
          <w:sz w:val="24"/>
          <w:szCs w:val="24"/>
          <w:highlight w:val="none"/>
        </w:rPr>
      </w:pPr>
    </w:p>
    <w:p w14:paraId="7E91795B">
      <w:pPr>
        <w:pStyle w:val="32"/>
        <w:spacing w:line="440" w:lineRule="exact"/>
        <w:ind w:firstLine="0"/>
        <w:rPr>
          <w:rFonts w:hint="eastAsia" w:ascii="宋体" w:hAnsi="宋体" w:eastAsia="宋体" w:cs="宋体"/>
          <w:color w:val="auto"/>
          <w:spacing w:val="0"/>
          <w:sz w:val="24"/>
          <w:szCs w:val="24"/>
          <w:highlight w:val="none"/>
        </w:rPr>
      </w:pPr>
    </w:p>
    <w:p w14:paraId="6DF04AB0">
      <w:pPr>
        <w:pStyle w:val="32"/>
        <w:spacing w:line="440" w:lineRule="exact"/>
        <w:ind w:firstLine="0"/>
        <w:rPr>
          <w:rFonts w:hint="eastAsia" w:ascii="宋体" w:hAnsi="宋体" w:eastAsia="宋体" w:cs="宋体"/>
          <w:color w:val="auto"/>
          <w:spacing w:val="0"/>
          <w:sz w:val="24"/>
          <w:szCs w:val="24"/>
          <w:highlight w:val="none"/>
        </w:rPr>
      </w:pPr>
    </w:p>
    <w:p w14:paraId="4417F48D">
      <w:pPr>
        <w:pStyle w:val="32"/>
        <w:spacing w:line="440" w:lineRule="exact"/>
        <w:ind w:firstLine="0"/>
        <w:rPr>
          <w:rFonts w:hint="eastAsia" w:ascii="宋体" w:hAnsi="宋体" w:eastAsia="宋体" w:cs="宋体"/>
          <w:color w:val="auto"/>
          <w:spacing w:val="0"/>
          <w:sz w:val="24"/>
          <w:szCs w:val="24"/>
          <w:highlight w:val="none"/>
        </w:rPr>
      </w:pPr>
    </w:p>
    <w:p w14:paraId="523EC476">
      <w:pPr>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）投标保证金</w:t>
      </w:r>
    </w:p>
    <w:p w14:paraId="02B3AE1F">
      <w:pPr>
        <w:spacing w:line="48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提供被采购代理机构认可的缴纳凭证</w:t>
      </w:r>
    </w:p>
    <w:p w14:paraId="204812B8">
      <w:pPr>
        <w:spacing w:line="480" w:lineRule="exact"/>
        <w:ind w:left="141" w:leftChars="67" w:firstLine="480" w:firstLineChars="200"/>
        <w:rPr>
          <w:rFonts w:hint="eastAsia" w:ascii="宋体" w:hAnsi="宋体" w:eastAsia="宋体" w:cs="宋体"/>
          <w:color w:val="auto"/>
          <w:sz w:val="24"/>
          <w:highlight w:val="none"/>
        </w:rPr>
      </w:pPr>
    </w:p>
    <w:p w14:paraId="289C17A1">
      <w:pPr>
        <w:spacing w:line="480" w:lineRule="exact"/>
        <w:ind w:left="141" w:leftChars="67" w:firstLine="480" w:firstLineChars="200"/>
        <w:rPr>
          <w:rFonts w:hint="eastAsia" w:ascii="宋体" w:hAnsi="宋体" w:eastAsia="宋体" w:cs="宋体"/>
          <w:color w:val="auto"/>
          <w:sz w:val="24"/>
          <w:highlight w:val="none"/>
        </w:rPr>
      </w:pPr>
    </w:p>
    <w:p w14:paraId="3525E25A">
      <w:pPr>
        <w:spacing w:line="480" w:lineRule="exact"/>
        <w:rPr>
          <w:rFonts w:hint="eastAsia" w:ascii="宋体" w:hAnsi="宋体" w:eastAsia="宋体" w:cs="宋体"/>
          <w:color w:val="auto"/>
          <w:sz w:val="24"/>
          <w:highlight w:val="none"/>
        </w:rPr>
      </w:pPr>
    </w:p>
    <w:p w14:paraId="2BFF3270">
      <w:pPr>
        <w:spacing w:line="48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六</w:t>
      </w:r>
      <w:r>
        <w:rPr>
          <w:rFonts w:hint="eastAsia" w:ascii="宋体" w:hAnsi="宋体" w:eastAsia="宋体" w:cs="宋体"/>
          <w:color w:val="auto"/>
          <w:sz w:val="24"/>
          <w:highlight w:val="none"/>
        </w:rPr>
        <w:t>）此处附“信用中国”网站（www.creditchina.gov.cn）、中国政府采购网（www.ccgp.gov.cn）查询企业信用信息截图或打印扫描件；</w:t>
      </w:r>
    </w:p>
    <w:p w14:paraId="01646583">
      <w:pPr>
        <w:spacing w:line="480" w:lineRule="exact"/>
        <w:jc w:val="both"/>
        <w:rPr>
          <w:rFonts w:hint="eastAsia" w:ascii="宋体" w:hAnsi="宋体" w:cs="宋体"/>
          <w:color w:val="auto"/>
          <w:sz w:val="28"/>
          <w:szCs w:val="28"/>
          <w:highlight w:val="none"/>
        </w:rPr>
      </w:pP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查询时间：</w:t>
      </w:r>
      <w:r>
        <w:rPr>
          <w:rFonts w:hint="eastAsia" w:ascii="宋体" w:hAnsi="宋体" w:eastAsia="宋体" w:cs="宋体"/>
          <w:color w:val="auto"/>
          <w:sz w:val="24"/>
          <w:highlight w:val="none"/>
        </w:rPr>
        <w:t>须自</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发布之日起至</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递交截止时间内）</w:t>
      </w:r>
      <w:r>
        <w:rPr>
          <w:rFonts w:hint="eastAsia" w:ascii="宋体" w:hAnsi="宋体" w:cs="宋体"/>
          <w:b w:val="0"/>
          <w:color w:val="auto"/>
          <w:kern w:val="0"/>
          <w:sz w:val="24"/>
          <w:highlight w:val="none"/>
        </w:rPr>
        <w:br w:type="page"/>
      </w:r>
    </w:p>
    <w:p w14:paraId="5A757D01">
      <w:pPr>
        <w:spacing w:line="480" w:lineRule="exact"/>
        <w:jc w:val="center"/>
        <w:outlineLvl w:val="9"/>
        <w:rPr>
          <w:rFonts w:ascii="宋体" w:hAnsi="宋体" w:cs="宋体"/>
          <w:color w:val="000000" w:themeColor="text1"/>
          <w:sz w:val="28"/>
          <w:szCs w:val="28"/>
          <w14:textFill>
            <w14:solidFill>
              <w14:schemeClr w14:val="tx1"/>
            </w14:solidFill>
          </w14:textFill>
        </w:rPr>
      </w:pPr>
      <w:bookmarkStart w:id="166" w:name="_Toc53602923"/>
      <w:bookmarkStart w:id="167" w:name="_Toc23743"/>
      <w:bookmarkStart w:id="168" w:name="_Toc31500"/>
      <w:r>
        <w:rPr>
          <w:rFonts w:hint="eastAsia" w:ascii="宋体" w:hAnsi="宋体" w:cs="宋体"/>
          <w:color w:val="000000" w:themeColor="text1"/>
          <w:sz w:val="28"/>
          <w:szCs w:val="28"/>
          <w14:textFill>
            <w14:solidFill>
              <w14:schemeClr w14:val="tx1"/>
            </w14:solidFill>
          </w14:textFill>
        </w:rPr>
        <w:t>三、商务文件</w:t>
      </w:r>
      <w:bookmarkEnd w:id="166"/>
      <w:bookmarkEnd w:id="167"/>
      <w:bookmarkEnd w:id="168"/>
    </w:p>
    <w:p w14:paraId="644F1CC6">
      <w:pPr>
        <w:spacing w:line="48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（一）响应文件报价一览表</w:t>
      </w:r>
    </w:p>
    <w:p w14:paraId="5FF7ED2F">
      <w:pPr>
        <w:tabs>
          <w:tab w:val="center" w:pos="7115"/>
          <w:tab w:val="right" w:pos="14230"/>
        </w:tabs>
        <w:spacing w:line="480" w:lineRule="exact"/>
        <w:jc w:val="center"/>
        <w:rPr>
          <w:rFonts w:hint="eastAsia" w:ascii="宋体" w:hAnsi="宋体"/>
          <w:b/>
          <w:color w:val="000000" w:themeColor="text1"/>
          <w:sz w:val="28"/>
          <w:szCs w:val="28"/>
          <w14:textFill>
            <w14:solidFill>
              <w14:schemeClr w14:val="tx1"/>
            </w14:solidFill>
          </w14:textFill>
        </w:rPr>
      </w:pPr>
      <w:bookmarkStart w:id="169" w:name="_Toc31800"/>
      <w:bookmarkStart w:id="170" w:name="_Toc30163"/>
      <w:r>
        <w:rPr>
          <w:rFonts w:hint="eastAsia" w:ascii="宋体" w:hAnsi="宋体"/>
          <w:b/>
          <w:color w:val="000000" w:themeColor="text1"/>
          <w:sz w:val="28"/>
          <w:szCs w:val="28"/>
          <w14:textFill>
            <w14:solidFill>
              <w14:schemeClr w14:val="tx1"/>
            </w14:solidFill>
          </w14:textFill>
        </w:rPr>
        <w:t>响应文件报价一览表</w:t>
      </w:r>
      <w:bookmarkEnd w:id="169"/>
      <w:bookmarkEnd w:id="170"/>
    </w:p>
    <w:p w14:paraId="5FB04D75">
      <w:pPr>
        <w:tabs>
          <w:tab w:val="center" w:pos="7115"/>
          <w:tab w:val="right" w:pos="14230"/>
        </w:tabs>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                                                      </w:t>
      </w:r>
    </w:p>
    <w:p w14:paraId="1F08E598">
      <w:pPr>
        <w:keepNext w:val="0"/>
        <w:keepLines w:val="0"/>
        <w:pageBreakBefore w:val="0"/>
        <w:widowControl w:val="0"/>
        <w:tabs>
          <w:tab w:val="left" w:pos="220"/>
        </w:tabs>
        <w:kinsoku/>
        <w:wordWrap/>
        <w:overflowPunct/>
        <w:topLinePunct w:val="0"/>
        <w:autoSpaceDE/>
        <w:autoSpaceDN/>
        <w:bidi w:val="0"/>
        <w:adjustRightInd/>
        <w:snapToGrid w:val="0"/>
        <w:spacing w:line="600" w:lineRule="exact"/>
        <w:ind w:right="0"/>
        <w:textAlignment w:val="auto"/>
        <w:rPr>
          <w:rFonts w:hint="eastAsia" w:ascii="宋体" w:hAnsi="宋体" w:eastAsia="宋体" w:cs="宋体"/>
          <w:b/>
          <w:color w:val="auto"/>
          <w:sz w:val="30"/>
          <w:szCs w:val="30"/>
          <w:highlight w:val="none"/>
          <w:lang w:eastAsia="en-US"/>
        </w:rPr>
      </w:pPr>
      <w:r>
        <w:rPr>
          <w:rFonts w:hint="eastAsia" w:ascii="宋体" w:hAnsi="宋体" w:eastAsia="宋体" w:cs="宋体"/>
          <w:color w:val="auto"/>
          <w:sz w:val="24"/>
          <w:highlight w:val="none"/>
        </w:rPr>
        <w:t>项目名称：</w:t>
      </w:r>
    </w:p>
    <w:p w14:paraId="749165F2">
      <w:pPr>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sz w:val="24"/>
          <w:highlight w:val="none"/>
        </w:rPr>
        <w:t>单位：元</w:t>
      </w:r>
    </w:p>
    <w:tbl>
      <w:tblPr>
        <w:tblStyle w:val="27"/>
        <w:tblW w:w="50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15"/>
        <w:gridCol w:w="2977"/>
        <w:gridCol w:w="3177"/>
      </w:tblGrid>
      <w:tr w14:paraId="3E133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3" w:hRule="atLeast"/>
          <w:jc w:val="center"/>
        </w:trPr>
        <w:tc>
          <w:tcPr>
            <w:tcW w:w="1607" w:type="pct"/>
            <w:tcBorders>
              <w:bottom w:val="single" w:color="auto" w:sz="4" w:space="0"/>
            </w:tcBorders>
            <w:noWrap w:val="0"/>
            <w:vAlign w:val="center"/>
          </w:tcPr>
          <w:p w14:paraId="1AE55BA7">
            <w:pPr>
              <w:spacing w:line="30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采购内容</w:t>
            </w:r>
          </w:p>
        </w:tc>
        <w:tc>
          <w:tcPr>
            <w:tcW w:w="1641" w:type="pct"/>
            <w:noWrap w:val="0"/>
            <w:vAlign w:val="center"/>
          </w:tcPr>
          <w:p w14:paraId="1716AC0A">
            <w:pPr>
              <w:spacing w:line="30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服务期限</w:t>
            </w:r>
          </w:p>
        </w:tc>
        <w:tc>
          <w:tcPr>
            <w:tcW w:w="1751" w:type="pct"/>
            <w:noWrap w:val="0"/>
            <w:vAlign w:val="center"/>
          </w:tcPr>
          <w:p w14:paraId="085BA74F">
            <w:pP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0174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0" w:hRule="atLeast"/>
          <w:jc w:val="center"/>
        </w:trPr>
        <w:tc>
          <w:tcPr>
            <w:tcW w:w="1607" w:type="pct"/>
            <w:noWrap w:val="0"/>
            <w:vAlign w:val="center"/>
          </w:tcPr>
          <w:p w14:paraId="51C6E28B">
            <w:pP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2025年达坂城区全面实施预算绩效管理咨询服务</w:t>
            </w:r>
            <w:bookmarkStart w:id="185" w:name="_GoBack"/>
            <w:bookmarkEnd w:id="185"/>
          </w:p>
        </w:tc>
        <w:tc>
          <w:tcPr>
            <w:tcW w:w="1641" w:type="pct"/>
            <w:noWrap w:val="0"/>
            <w:vAlign w:val="center"/>
          </w:tcPr>
          <w:p w14:paraId="48FD686A">
            <w:pPr>
              <w:spacing w:line="300" w:lineRule="exact"/>
              <w:jc w:val="center"/>
              <w:rPr>
                <w:rFonts w:hint="eastAsia" w:ascii="宋体" w:hAnsi="宋体" w:eastAsia="宋体" w:cs="宋体"/>
                <w:color w:val="auto"/>
                <w:highlight w:val="none"/>
              </w:rPr>
            </w:pPr>
          </w:p>
        </w:tc>
        <w:tc>
          <w:tcPr>
            <w:tcW w:w="1751" w:type="pct"/>
            <w:tcBorders>
              <w:right w:val="single" w:color="auto" w:sz="4" w:space="0"/>
            </w:tcBorders>
            <w:noWrap w:val="0"/>
            <w:vAlign w:val="center"/>
          </w:tcPr>
          <w:p w14:paraId="4684C5A5">
            <w:pPr>
              <w:pStyle w:val="32"/>
              <w:spacing w:line="300" w:lineRule="exact"/>
              <w:ind w:left="0" w:leftChars="0" w:firstLine="0" w:firstLineChars="0"/>
              <w:jc w:val="center"/>
              <w:rPr>
                <w:rFonts w:hint="eastAsia" w:ascii="宋体" w:hAnsi="宋体" w:eastAsia="宋体" w:cs="宋体"/>
                <w:color w:val="auto"/>
                <w:spacing w:val="0"/>
                <w:highlight w:val="none"/>
              </w:rPr>
            </w:pPr>
          </w:p>
        </w:tc>
      </w:tr>
      <w:tr w14:paraId="1829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1" w:hRule="atLeast"/>
          <w:jc w:val="center"/>
        </w:trPr>
        <w:tc>
          <w:tcPr>
            <w:tcW w:w="1607" w:type="pct"/>
            <w:noWrap w:val="0"/>
            <w:vAlign w:val="center"/>
          </w:tcPr>
          <w:p w14:paraId="3367F3ED">
            <w:pPr>
              <w:spacing w:line="3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投标总报价</w:t>
            </w:r>
          </w:p>
        </w:tc>
        <w:tc>
          <w:tcPr>
            <w:tcW w:w="3392" w:type="pct"/>
            <w:gridSpan w:val="2"/>
            <w:tcBorders>
              <w:right w:val="single" w:color="auto" w:sz="4" w:space="0"/>
            </w:tcBorders>
            <w:noWrap w:val="0"/>
            <w:vAlign w:val="center"/>
          </w:tcPr>
          <w:p w14:paraId="22F1CC0C">
            <w:pPr>
              <w:pStyle w:val="32"/>
              <w:spacing w:line="300" w:lineRule="exact"/>
              <w:ind w:left="0" w:leftChars="0" w:firstLine="0" w:firstLineChars="0"/>
              <w:jc w:val="left"/>
              <w:rPr>
                <w:rFonts w:hint="eastAsia" w:ascii="宋体" w:hAnsi="宋体" w:eastAsia="宋体" w:cs="宋体"/>
                <w:color w:val="auto"/>
                <w:spacing w:val="0"/>
                <w:highlight w:val="none"/>
                <w:lang w:val="en-US" w:eastAsia="zh-CN"/>
              </w:rPr>
            </w:pPr>
            <w:r>
              <w:rPr>
                <w:rFonts w:hint="eastAsia" w:ascii="宋体" w:hAnsi="宋体" w:eastAsia="宋体" w:cs="宋体"/>
                <w:color w:val="auto"/>
                <w:spacing w:val="0"/>
                <w:highlight w:val="none"/>
                <w:lang w:val="en-US" w:eastAsia="zh-CN"/>
              </w:rPr>
              <w:t>小写：</w:t>
            </w:r>
          </w:p>
          <w:p w14:paraId="0FDBD9ED">
            <w:pPr>
              <w:pStyle w:val="32"/>
              <w:spacing w:line="300" w:lineRule="exact"/>
              <w:ind w:left="0" w:leftChars="0" w:firstLine="0" w:firstLineChars="0"/>
              <w:jc w:val="left"/>
              <w:rPr>
                <w:rFonts w:hint="eastAsia" w:ascii="宋体" w:hAnsi="宋体" w:eastAsia="宋体" w:cs="宋体"/>
                <w:color w:val="auto"/>
                <w:spacing w:val="0"/>
                <w:highlight w:val="none"/>
                <w:lang w:val="en-US" w:eastAsia="zh-CN"/>
              </w:rPr>
            </w:pPr>
            <w:r>
              <w:rPr>
                <w:rFonts w:hint="eastAsia" w:ascii="宋体" w:hAnsi="宋体" w:eastAsia="宋体" w:cs="宋体"/>
                <w:color w:val="auto"/>
                <w:spacing w:val="0"/>
                <w:highlight w:val="none"/>
                <w:lang w:val="en-US" w:eastAsia="zh-CN"/>
              </w:rPr>
              <w:t>大写：</w:t>
            </w:r>
          </w:p>
        </w:tc>
      </w:tr>
    </w:tbl>
    <w:p w14:paraId="12461DA1">
      <w:pPr>
        <w:shd w:val="clear" w:color="auto" w:fill="FFFFFF"/>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w:t>
      </w:r>
      <w:r>
        <w:rPr>
          <w:rFonts w:hint="eastAsia" w:ascii="宋体" w:hAnsi="宋体" w:eastAsia="宋体" w:cs="宋体"/>
          <w:color w:val="auto"/>
          <w:sz w:val="24"/>
          <w:highlight w:val="none"/>
          <w:lang w:val="en-US" w:eastAsia="zh-CN"/>
        </w:rPr>
        <w:t>负责人</w:t>
      </w:r>
      <w:r>
        <w:rPr>
          <w:rFonts w:hint="eastAsia" w:ascii="宋体" w:hAnsi="宋体" w:eastAsia="宋体" w:cs="宋体"/>
          <w:color w:val="auto"/>
          <w:sz w:val="24"/>
          <w:highlight w:val="none"/>
        </w:rPr>
        <w:t xml:space="preserve">（签章）：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供应商（</w:t>
      </w:r>
      <w:r>
        <w:rPr>
          <w:rFonts w:hint="eastAsia" w:ascii="宋体" w:hAnsi="宋体" w:eastAsia="宋体" w:cs="宋体"/>
          <w:color w:val="auto"/>
          <w:sz w:val="24"/>
          <w:highlight w:val="none"/>
          <w:lang w:val="en-US" w:eastAsia="zh-CN"/>
        </w:rPr>
        <w:t>电子</w:t>
      </w:r>
      <w:r>
        <w:rPr>
          <w:rFonts w:hint="eastAsia" w:ascii="宋体" w:hAnsi="宋体" w:eastAsia="宋体" w:cs="宋体"/>
          <w:color w:val="auto"/>
          <w:sz w:val="24"/>
          <w:highlight w:val="none"/>
        </w:rPr>
        <w:t xml:space="preserve">公章）：          </w:t>
      </w:r>
    </w:p>
    <w:p w14:paraId="4E6B1205">
      <w:pPr>
        <w:shd w:val="clear" w:color="auto" w:fill="FFFFFF"/>
        <w:spacing w:line="500" w:lineRule="exact"/>
        <w:ind w:left="424" w:left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FF72575">
      <w:pPr>
        <w:keepNext w:val="0"/>
        <w:keepLines w:val="0"/>
        <w:pageBreakBefore w:val="0"/>
        <w:widowControl/>
        <w:kinsoku/>
        <w:wordWrap/>
        <w:overflowPunct/>
        <w:topLinePunct w:val="0"/>
        <w:autoSpaceDE/>
        <w:autoSpaceDN/>
        <w:bidi w:val="0"/>
        <w:adjustRightInd/>
        <w:snapToGrid/>
        <w:spacing w:line="440" w:lineRule="exact"/>
        <w:ind w:left="843" w:leftChars="0" w:hanging="843" w:hangingChars="350"/>
        <w:jc w:val="left"/>
        <w:textAlignment w:val="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注：1</w:t>
      </w:r>
      <w:r>
        <w:rPr>
          <w:rFonts w:hint="eastAsia" w:ascii="宋体" w:hAnsi="宋体" w:eastAsia="宋体" w:cs="宋体"/>
          <w:b/>
          <w:color w:val="auto"/>
          <w:sz w:val="24"/>
          <w:highlight w:val="none"/>
        </w:rPr>
        <w:t>、在开标一览表中，按第二章投标须知15.3条款的规定不允许出现两种报价，否则其投标将被拒绝。</w:t>
      </w:r>
    </w:p>
    <w:p w14:paraId="7A78F66C">
      <w:pPr>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jc w:val="left"/>
        <w:textAlignment w:val="auto"/>
        <w:rPr>
          <w:rFonts w:hint="eastAsia" w:ascii="宋体" w:hAnsi="宋体" w:eastAsia="宋体;SimSun" w:cs="Times New Roman"/>
          <w:b/>
          <w:bCs/>
          <w:color w:val="auto"/>
          <w:sz w:val="24"/>
          <w:szCs w:val="21"/>
          <w:highlight w:val="none"/>
        </w:rPr>
      </w:pPr>
      <w:r>
        <w:rPr>
          <w:rFonts w:hint="eastAsia" w:ascii="宋体" w:hAnsi="宋体" w:eastAsia="宋体" w:cs="宋体"/>
          <w:b/>
          <w:color w:val="auto"/>
          <w:sz w:val="24"/>
          <w:highlight w:val="none"/>
          <w:lang w:val="en-US" w:eastAsia="zh-CN"/>
        </w:rPr>
        <w:t>2、</w:t>
      </w:r>
      <w:r>
        <w:rPr>
          <w:rFonts w:hint="eastAsia" w:ascii="宋体" w:hAnsi="宋体" w:eastAsia="宋体;SimSun" w:cs="Times New Roman"/>
          <w:b/>
          <w:bCs/>
          <w:color w:val="auto"/>
          <w:sz w:val="24"/>
          <w:szCs w:val="21"/>
          <w:highlight w:val="none"/>
          <w:lang w:val="en-US" w:eastAsia="zh-CN"/>
        </w:rPr>
        <w:t>本表“投标总报价”应与《</w:t>
      </w:r>
      <w:r>
        <w:rPr>
          <w:rFonts w:hint="eastAsia" w:ascii="宋体" w:hAnsi="宋体" w:cs="Times New Roman"/>
          <w:b/>
          <w:bCs/>
          <w:color w:val="auto"/>
          <w:sz w:val="24"/>
          <w:szCs w:val="21"/>
          <w:highlight w:val="none"/>
          <w:lang w:val="en-US" w:eastAsia="zh-CN"/>
        </w:rPr>
        <w:t>分项报价表</w:t>
      </w:r>
      <w:r>
        <w:rPr>
          <w:rFonts w:hint="eastAsia" w:ascii="宋体" w:hAnsi="宋体" w:eastAsia="宋体;SimSun" w:cs="Times New Roman"/>
          <w:b/>
          <w:bCs/>
          <w:color w:val="auto"/>
          <w:sz w:val="24"/>
          <w:szCs w:val="21"/>
          <w:highlight w:val="none"/>
          <w:lang w:val="en-US" w:eastAsia="zh-CN"/>
        </w:rPr>
        <w:t>》单价合计值金额一致。</w:t>
      </w:r>
    </w:p>
    <w:p w14:paraId="6DE57364">
      <w:pPr>
        <w:widowControl/>
        <w:numPr>
          <w:ilvl w:val="0"/>
          <w:numId w:val="0"/>
        </w:numPr>
        <w:ind w:firstLine="481"/>
        <w:jc w:val="left"/>
        <w:rPr>
          <w:rFonts w:hint="eastAsia" w:ascii="宋体" w:hAnsi="宋体" w:eastAsia="宋体" w:cs="宋体"/>
          <w:bCs/>
          <w:color w:val="auto"/>
          <w:sz w:val="24"/>
          <w:highlight w:val="none"/>
          <w:lang w:val="en-US" w:eastAsia="zh-CN"/>
        </w:rPr>
      </w:pPr>
      <w:r>
        <w:rPr>
          <w:rFonts w:hint="eastAsia" w:ascii="宋体" w:hAnsi="宋体" w:eastAsia="宋体;SimSun" w:cs="Times New Roman"/>
          <w:b/>
          <w:bCs/>
          <w:color w:val="auto"/>
          <w:sz w:val="24"/>
          <w:szCs w:val="21"/>
          <w:highlight w:val="none"/>
          <w:lang w:val="en-US" w:eastAsia="zh-CN"/>
        </w:rPr>
        <w:t>3、投标总报价大写金额与小写金额不一致，以大写金额为准。</w:t>
      </w:r>
      <w:r>
        <w:rPr>
          <w:rFonts w:hint="eastAsia" w:ascii="宋体" w:hAnsi="宋体" w:eastAsia="宋体" w:cs="宋体"/>
          <w:b/>
          <w:bCs/>
          <w:color w:val="auto"/>
          <w:sz w:val="24"/>
          <w:szCs w:val="24"/>
          <w:highlight w:val="none"/>
        </w:rPr>
        <w:br w:type="page"/>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二</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分项报价表</w:t>
      </w:r>
    </w:p>
    <w:p w14:paraId="307AD982">
      <w:pPr>
        <w:pStyle w:val="21"/>
        <w:ind w:firstLine="481"/>
        <w:rPr>
          <w:rFonts w:hint="default"/>
          <w:lang w:val="en-US" w:eastAsia="zh-CN"/>
        </w:rPr>
      </w:pPr>
    </w:p>
    <w:p w14:paraId="4550B1C6">
      <w:pPr>
        <w:pStyle w:val="44"/>
        <w:ind w:firstLine="0"/>
        <w:jc w:val="center"/>
        <w:outlineLvl w:val="9"/>
        <w:rPr>
          <w:rFonts w:ascii="宋体" w:hAnsi="宋体" w:eastAsia="宋体" w:cs="宋体"/>
          <w:b/>
          <w:color w:val="000000" w:themeColor="text1"/>
          <w:spacing w:val="-3"/>
          <w14:textFill>
            <w14:solidFill>
              <w14:schemeClr w14:val="tx1"/>
            </w14:solidFill>
          </w14:textFill>
        </w:rPr>
      </w:pPr>
      <w:bookmarkStart w:id="171" w:name="_Toc25450"/>
      <w:bookmarkStart w:id="172" w:name="_Toc9975"/>
      <w:r>
        <w:rPr>
          <w:rFonts w:hint="eastAsia" w:ascii="宋体" w:hAnsi="宋体" w:eastAsia="宋体" w:cs="宋体"/>
          <w:b/>
          <w:color w:val="000000" w:themeColor="text1"/>
          <w:spacing w:val="-3"/>
          <w:lang w:val="en-US" w:eastAsia="zh-CN"/>
          <w14:textFill>
            <w14:solidFill>
              <w14:schemeClr w14:val="tx1"/>
            </w14:solidFill>
          </w14:textFill>
        </w:rPr>
        <w:t>分项</w:t>
      </w:r>
      <w:r>
        <w:rPr>
          <w:rFonts w:hint="eastAsia" w:ascii="宋体" w:hAnsi="宋体" w:eastAsia="宋体" w:cs="宋体"/>
          <w:b/>
          <w:color w:val="000000" w:themeColor="text1"/>
          <w:spacing w:val="-3"/>
          <w14:textFill>
            <w14:solidFill>
              <w14:schemeClr w14:val="tx1"/>
            </w14:solidFill>
          </w14:textFill>
        </w:rPr>
        <w:t>报价表</w:t>
      </w:r>
      <w:bookmarkEnd w:id="171"/>
      <w:bookmarkEnd w:id="172"/>
    </w:p>
    <w:p w14:paraId="493AFF31">
      <w:pPr>
        <w:spacing w:beforeLines="50" w:line="460" w:lineRule="exact"/>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项目名称：</w:t>
      </w:r>
    </w:p>
    <w:p w14:paraId="5506CE35">
      <w:pPr>
        <w:spacing w:beforeLines="50" w:line="460" w:lineRule="exact"/>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 xml:space="preserve">项目编号：                                 </w:t>
      </w:r>
      <w:r>
        <w:rPr>
          <w:rFonts w:hint="eastAsia" w:ascii="宋体" w:hAnsi="宋体" w:eastAsia="宋体" w:cs="宋体"/>
          <w:bCs/>
          <w:color w:val="000000" w:themeColor="text1"/>
          <w:sz w:val="24"/>
          <w:lang w:val="en-US" w:eastAsia="zh-CN"/>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 xml:space="preserve">   单位：元</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43"/>
        <w:gridCol w:w="2504"/>
        <w:gridCol w:w="2421"/>
        <w:gridCol w:w="2638"/>
      </w:tblGrid>
      <w:tr w14:paraId="5B769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7" w:hRule="exact"/>
          <w:jc w:val="center"/>
        </w:trPr>
        <w:tc>
          <w:tcPr>
            <w:tcW w:w="801" w:type="pct"/>
            <w:tcBorders>
              <w:bottom w:val="single" w:color="auto" w:sz="4" w:space="0"/>
            </w:tcBorders>
            <w:noWrap/>
            <w:vAlign w:val="center"/>
          </w:tcPr>
          <w:p w14:paraId="72F2C746">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1389" w:type="pct"/>
            <w:tcBorders>
              <w:bottom w:val="single" w:color="auto" w:sz="4" w:space="0"/>
            </w:tcBorders>
            <w:noWrap/>
            <w:vAlign w:val="center"/>
          </w:tcPr>
          <w:p w14:paraId="466BE51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分项</w:t>
            </w:r>
            <w:r>
              <w:rPr>
                <w:rFonts w:hint="eastAsia" w:ascii="宋体" w:hAnsi="宋体"/>
                <w:color w:val="000000" w:themeColor="text1"/>
                <w:sz w:val="24"/>
                <w14:textFill>
                  <w14:solidFill>
                    <w14:schemeClr w14:val="tx1"/>
                  </w14:solidFill>
                </w14:textFill>
              </w:rPr>
              <w:t>名称</w:t>
            </w:r>
          </w:p>
        </w:tc>
        <w:tc>
          <w:tcPr>
            <w:tcW w:w="1344" w:type="pct"/>
            <w:tcBorders>
              <w:bottom w:val="single" w:color="auto" w:sz="4" w:space="0"/>
            </w:tcBorders>
            <w:noWrap/>
            <w:vAlign w:val="center"/>
          </w:tcPr>
          <w:p w14:paraId="6ACAE622">
            <w:pPr>
              <w:jc w:val="center"/>
              <w:rPr>
                <w:rFonts w:hint="eastAsia" w:ascii="宋体" w:hAnsi="宋体" w:eastAsia="宋体;SimSun"/>
                <w:color w:val="000000" w:themeColor="text1"/>
                <w:sz w:val="24"/>
                <w:lang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分项报价</w:t>
            </w:r>
          </w:p>
        </w:tc>
        <w:tc>
          <w:tcPr>
            <w:tcW w:w="1463" w:type="pct"/>
            <w:tcBorders>
              <w:bottom w:val="single" w:color="auto" w:sz="4" w:space="0"/>
            </w:tcBorders>
            <w:noWrap/>
            <w:vAlign w:val="center"/>
          </w:tcPr>
          <w:p w14:paraId="187A2BE4">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w:t>
            </w:r>
          </w:p>
        </w:tc>
      </w:tr>
      <w:tr w14:paraId="499EF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6" w:hRule="atLeast"/>
          <w:jc w:val="center"/>
        </w:trPr>
        <w:tc>
          <w:tcPr>
            <w:tcW w:w="801" w:type="pct"/>
            <w:tcBorders>
              <w:bottom w:val="single" w:color="auto" w:sz="4" w:space="0"/>
            </w:tcBorders>
            <w:noWrap/>
            <w:vAlign w:val="center"/>
          </w:tcPr>
          <w:p w14:paraId="198AE22D">
            <w:pPr>
              <w:pStyle w:val="44"/>
              <w:spacing w:line="420" w:lineRule="exact"/>
              <w:ind w:firstLine="0"/>
              <w:jc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1</w:t>
            </w:r>
          </w:p>
        </w:tc>
        <w:tc>
          <w:tcPr>
            <w:tcW w:w="1389" w:type="pct"/>
            <w:tcBorders>
              <w:bottom w:val="single" w:color="auto" w:sz="4" w:space="0"/>
            </w:tcBorders>
            <w:noWrap/>
            <w:vAlign w:val="center"/>
          </w:tcPr>
          <w:p w14:paraId="69D43523">
            <w:pPr>
              <w:pStyle w:val="44"/>
              <w:spacing w:line="420" w:lineRule="exact"/>
              <w:ind w:firstLine="0"/>
              <w:jc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w:t>
            </w:r>
          </w:p>
        </w:tc>
        <w:tc>
          <w:tcPr>
            <w:tcW w:w="1344" w:type="pct"/>
            <w:tcBorders>
              <w:bottom w:val="single" w:color="auto" w:sz="4" w:space="0"/>
            </w:tcBorders>
            <w:noWrap/>
            <w:vAlign w:val="center"/>
          </w:tcPr>
          <w:p w14:paraId="4EDFB031">
            <w:pPr>
              <w:pStyle w:val="44"/>
              <w:ind w:firstLine="480"/>
              <w:rPr>
                <w:rFonts w:ascii="宋体" w:hAnsi="宋体" w:eastAsia="宋体"/>
                <w:color w:val="000000" w:themeColor="text1"/>
                <w:sz w:val="24"/>
                <w14:textFill>
                  <w14:solidFill>
                    <w14:schemeClr w14:val="tx1"/>
                  </w14:solidFill>
                </w14:textFill>
              </w:rPr>
            </w:pPr>
          </w:p>
        </w:tc>
        <w:tc>
          <w:tcPr>
            <w:tcW w:w="1463" w:type="pct"/>
            <w:tcBorders>
              <w:bottom w:val="single" w:color="auto" w:sz="4" w:space="0"/>
            </w:tcBorders>
            <w:noWrap/>
            <w:vAlign w:val="center"/>
          </w:tcPr>
          <w:p w14:paraId="155C1E18">
            <w:pPr>
              <w:jc w:val="center"/>
              <w:rPr>
                <w:rFonts w:ascii="宋体" w:hAnsi="宋体"/>
                <w:color w:val="000000" w:themeColor="text1"/>
                <w:sz w:val="24"/>
                <w14:textFill>
                  <w14:solidFill>
                    <w14:schemeClr w14:val="tx1"/>
                  </w14:solidFill>
                </w14:textFill>
              </w:rPr>
            </w:pPr>
          </w:p>
        </w:tc>
      </w:tr>
      <w:tr w14:paraId="359E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6" w:hRule="atLeast"/>
          <w:jc w:val="center"/>
        </w:trPr>
        <w:tc>
          <w:tcPr>
            <w:tcW w:w="801" w:type="pct"/>
            <w:tcBorders>
              <w:bottom w:val="single" w:color="auto" w:sz="4" w:space="0"/>
            </w:tcBorders>
            <w:noWrap/>
            <w:vAlign w:val="center"/>
          </w:tcPr>
          <w:p w14:paraId="38E59502">
            <w:pPr>
              <w:pStyle w:val="44"/>
              <w:spacing w:line="420" w:lineRule="exact"/>
              <w:ind w:firstLine="0"/>
              <w:jc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2</w:t>
            </w:r>
          </w:p>
        </w:tc>
        <w:tc>
          <w:tcPr>
            <w:tcW w:w="1389" w:type="pct"/>
            <w:tcBorders>
              <w:bottom w:val="single" w:color="auto" w:sz="4" w:space="0"/>
            </w:tcBorders>
            <w:noWrap/>
            <w:vAlign w:val="center"/>
          </w:tcPr>
          <w:p w14:paraId="7484C961">
            <w:pPr>
              <w:pStyle w:val="44"/>
              <w:spacing w:line="420" w:lineRule="exact"/>
              <w:ind w:firstLine="0"/>
              <w:jc w:val="center"/>
              <w:rPr>
                <w:rFonts w:hint="default" w:ascii="Times New Roman" w:hAnsi="Times New Roman" w:eastAsia="宋体" w:cs="Times New Roman"/>
                <w:color w:val="000000" w:themeColor="text1"/>
                <w:sz w:val="24"/>
                <w14:textFill>
                  <w14:solidFill>
                    <w14:schemeClr w14:val="tx1"/>
                  </w14:solidFill>
                </w14:textFill>
              </w:rPr>
            </w:pPr>
          </w:p>
        </w:tc>
        <w:tc>
          <w:tcPr>
            <w:tcW w:w="1344" w:type="pct"/>
            <w:tcBorders>
              <w:bottom w:val="single" w:color="auto" w:sz="4" w:space="0"/>
            </w:tcBorders>
            <w:noWrap/>
            <w:vAlign w:val="center"/>
          </w:tcPr>
          <w:p w14:paraId="05B28189">
            <w:pPr>
              <w:pStyle w:val="44"/>
              <w:ind w:firstLine="480"/>
              <w:rPr>
                <w:rFonts w:ascii="宋体" w:hAnsi="宋体" w:eastAsia="宋体"/>
                <w:color w:val="000000" w:themeColor="text1"/>
                <w:sz w:val="24"/>
                <w14:textFill>
                  <w14:solidFill>
                    <w14:schemeClr w14:val="tx1"/>
                  </w14:solidFill>
                </w14:textFill>
              </w:rPr>
            </w:pPr>
          </w:p>
        </w:tc>
        <w:tc>
          <w:tcPr>
            <w:tcW w:w="1463" w:type="pct"/>
            <w:tcBorders>
              <w:bottom w:val="single" w:color="auto" w:sz="4" w:space="0"/>
            </w:tcBorders>
            <w:noWrap/>
            <w:vAlign w:val="center"/>
          </w:tcPr>
          <w:p w14:paraId="63C09677">
            <w:pPr>
              <w:jc w:val="center"/>
              <w:rPr>
                <w:rFonts w:ascii="宋体" w:hAnsi="宋体"/>
                <w:color w:val="000000" w:themeColor="text1"/>
                <w:sz w:val="24"/>
                <w14:textFill>
                  <w14:solidFill>
                    <w14:schemeClr w14:val="tx1"/>
                  </w14:solidFill>
                </w14:textFill>
              </w:rPr>
            </w:pPr>
          </w:p>
        </w:tc>
      </w:tr>
      <w:tr w14:paraId="1D3DD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6" w:hRule="atLeast"/>
          <w:jc w:val="center"/>
        </w:trPr>
        <w:tc>
          <w:tcPr>
            <w:tcW w:w="801" w:type="pct"/>
            <w:tcBorders>
              <w:bottom w:val="single" w:color="auto" w:sz="4" w:space="0"/>
            </w:tcBorders>
            <w:noWrap/>
            <w:vAlign w:val="center"/>
          </w:tcPr>
          <w:p w14:paraId="3E66E607">
            <w:pPr>
              <w:pStyle w:val="44"/>
              <w:spacing w:line="420" w:lineRule="exact"/>
              <w:ind w:firstLine="0"/>
              <w:jc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3</w:t>
            </w:r>
          </w:p>
        </w:tc>
        <w:tc>
          <w:tcPr>
            <w:tcW w:w="1389" w:type="pct"/>
            <w:tcBorders>
              <w:bottom w:val="single" w:color="auto" w:sz="4" w:space="0"/>
            </w:tcBorders>
            <w:noWrap/>
            <w:vAlign w:val="center"/>
          </w:tcPr>
          <w:p w14:paraId="1BB22230">
            <w:pPr>
              <w:pStyle w:val="44"/>
              <w:spacing w:line="420" w:lineRule="exact"/>
              <w:ind w:firstLine="0"/>
              <w:jc w:val="center"/>
              <w:rPr>
                <w:rFonts w:hint="default" w:ascii="Times New Roman" w:hAnsi="Times New Roman" w:eastAsia="宋体" w:cs="Times New Roman"/>
                <w:color w:val="000000" w:themeColor="text1"/>
                <w:sz w:val="24"/>
                <w14:textFill>
                  <w14:solidFill>
                    <w14:schemeClr w14:val="tx1"/>
                  </w14:solidFill>
                </w14:textFill>
              </w:rPr>
            </w:pPr>
          </w:p>
        </w:tc>
        <w:tc>
          <w:tcPr>
            <w:tcW w:w="1344" w:type="pct"/>
            <w:tcBorders>
              <w:bottom w:val="single" w:color="auto" w:sz="4" w:space="0"/>
            </w:tcBorders>
            <w:noWrap/>
            <w:vAlign w:val="center"/>
          </w:tcPr>
          <w:p w14:paraId="26C7B746">
            <w:pPr>
              <w:pStyle w:val="44"/>
              <w:ind w:firstLine="480"/>
              <w:rPr>
                <w:rFonts w:ascii="宋体" w:hAnsi="宋体" w:eastAsia="宋体"/>
                <w:color w:val="000000" w:themeColor="text1"/>
                <w:sz w:val="24"/>
                <w14:textFill>
                  <w14:solidFill>
                    <w14:schemeClr w14:val="tx1"/>
                  </w14:solidFill>
                </w14:textFill>
              </w:rPr>
            </w:pPr>
          </w:p>
        </w:tc>
        <w:tc>
          <w:tcPr>
            <w:tcW w:w="1463" w:type="pct"/>
            <w:tcBorders>
              <w:bottom w:val="single" w:color="auto" w:sz="4" w:space="0"/>
            </w:tcBorders>
            <w:noWrap/>
            <w:vAlign w:val="center"/>
          </w:tcPr>
          <w:p w14:paraId="47284518">
            <w:pPr>
              <w:jc w:val="center"/>
              <w:rPr>
                <w:rFonts w:ascii="宋体" w:hAnsi="宋体"/>
                <w:color w:val="000000" w:themeColor="text1"/>
                <w:sz w:val="24"/>
                <w14:textFill>
                  <w14:solidFill>
                    <w14:schemeClr w14:val="tx1"/>
                  </w14:solidFill>
                </w14:textFill>
              </w:rPr>
            </w:pPr>
          </w:p>
        </w:tc>
      </w:tr>
      <w:tr w14:paraId="1003C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6" w:hRule="atLeast"/>
          <w:jc w:val="center"/>
        </w:trPr>
        <w:tc>
          <w:tcPr>
            <w:tcW w:w="801" w:type="pct"/>
            <w:tcBorders>
              <w:bottom w:val="single" w:color="auto" w:sz="4" w:space="0"/>
            </w:tcBorders>
            <w:noWrap/>
            <w:vAlign w:val="center"/>
          </w:tcPr>
          <w:p w14:paraId="2EF03BB4">
            <w:pPr>
              <w:pStyle w:val="44"/>
              <w:spacing w:line="420" w:lineRule="exact"/>
              <w:ind w:firstLine="0"/>
              <w:jc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4</w:t>
            </w:r>
          </w:p>
        </w:tc>
        <w:tc>
          <w:tcPr>
            <w:tcW w:w="1389" w:type="pct"/>
            <w:tcBorders>
              <w:bottom w:val="single" w:color="auto" w:sz="4" w:space="0"/>
            </w:tcBorders>
            <w:noWrap/>
            <w:vAlign w:val="center"/>
          </w:tcPr>
          <w:p w14:paraId="515795C3">
            <w:pPr>
              <w:pStyle w:val="44"/>
              <w:spacing w:line="420" w:lineRule="exact"/>
              <w:ind w:firstLine="0"/>
              <w:jc w:val="center"/>
              <w:rPr>
                <w:rFonts w:hint="default" w:ascii="Times New Roman" w:hAnsi="Times New Roman" w:eastAsia="宋体" w:cs="Times New Roman"/>
                <w:color w:val="000000" w:themeColor="text1"/>
                <w:sz w:val="24"/>
                <w14:textFill>
                  <w14:solidFill>
                    <w14:schemeClr w14:val="tx1"/>
                  </w14:solidFill>
                </w14:textFill>
              </w:rPr>
            </w:pPr>
          </w:p>
        </w:tc>
        <w:tc>
          <w:tcPr>
            <w:tcW w:w="1344" w:type="pct"/>
            <w:tcBorders>
              <w:bottom w:val="single" w:color="auto" w:sz="4" w:space="0"/>
            </w:tcBorders>
            <w:noWrap/>
            <w:vAlign w:val="center"/>
          </w:tcPr>
          <w:p w14:paraId="4A61EE6A">
            <w:pPr>
              <w:pStyle w:val="44"/>
              <w:ind w:firstLine="480"/>
              <w:rPr>
                <w:rFonts w:ascii="宋体" w:hAnsi="宋体" w:eastAsia="宋体"/>
                <w:color w:val="000000" w:themeColor="text1"/>
                <w:sz w:val="24"/>
                <w14:textFill>
                  <w14:solidFill>
                    <w14:schemeClr w14:val="tx1"/>
                  </w14:solidFill>
                </w14:textFill>
              </w:rPr>
            </w:pPr>
          </w:p>
        </w:tc>
        <w:tc>
          <w:tcPr>
            <w:tcW w:w="1463" w:type="pct"/>
            <w:tcBorders>
              <w:bottom w:val="single" w:color="auto" w:sz="4" w:space="0"/>
            </w:tcBorders>
            <w:noWrap/>
            <w:vAlign w:val="center"/>
          </w:tcPr>
          <w:p w14:paraId="56F666B7">
            <w:pPr>
              <w:jc w:val="center"/>
              <w:rPr>
                <w:rFonts w:ascii="宋体" w:hAnsi="宋体"/>
                <w:color w:val="000000" w:themeColor="text1"/>
                <w:sz w:val="24"/>
                <w14:textFill>
                  <w14:solidFill>
                    <w14:schemeClr w14:val="tx1"/>
                  </w14:solidFill>
                </w14:textFill>
              </w:rPr>
            </w:pPr>
          </w:p>
        </w:tc>
      </w:tr>
      <w:tr w14:paraId="770C4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6" w:hRule="atLeast"/>
          <w:jc w:val="center"/>
        </w:trPr>
        <w:tc>
          <w:tcPr>
            <w:tcW w:w="801" w:type="pct"/>
            <w:tcBorders>
              <w:bottom w:val="single" w:color="auto" w:sz="4" w:space="0"/>
            </w:tcBorders>
            <w:noWrap/>
            <w:vAlign w:val="center"/>
          </w:tcPr>
          <w:p w14:paraId="06FD02AD">
            <w:pPr>
              <w:pStyle w:val="44"/>
              <w:spacing w:line="420" w:lineRule="exact"/>
              <w:ind w:firstLine="0"/>
              <w:jc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w:t>
            </w:r>
          </w:p>
        </w:tc>
        <w:tc>
          <w:tcPr>
            <w:tcW w:w="1389" w:type="pct"/>
            <w:tcBorders>
              <w:bottom w:val="single" w:color="auto" w:sz="4" w:space="0"/>
            </w:tcBorders>
            <w:noWrap/>
            <w:vAlign w:val="center"/>
          </w:tcPr>
          <w:p w14:paraId="7D65D2BB">
            <w:pPr>
              <w:pStyle w:val="44"/>
              <w:spacing w:line="420" w:lineRule="exact"/>
              <w:ind w:firstLine="0"/>
              <w:jc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w:t>
            </w:r>
          </w:p>
        </w:tc>
        <w:tc>
          <w:tcPr>
            <w:tcW w:w="1344" w:type="pct"/>
            <w:tcBorders>
              <w:bottom w:val="single" w:color="auto" w:sz="4" w:space="0"/>
            </w:tcBorders>
            <w:noWrap/>
            <w:vAlign w:val="center"/>
          </w:tcPr>
          <w:p w14:paraId="06834089">
            <w:pPr>
              <w:pStyle w:val="44"/>
              <w:ind w:firstLine="480"/>
              <w:rPr>
                <w:rFonts w:ascii="宋体" w:hAnsi="宋体" w:eastAsia="宋体"/>
                <w:color w:val="000000" w:themeColor="text1"/>
                <w:sz w:val="24"/>
                <w14:textFill>
                  <w14:solidFill>
                    <w14:schemeClr w14:val="tx1"/>
                  </w14:solidFill>
                </w14:textFill>
              </w:rPr>
            </w:pPr>
          </w:p>
        </w:tc>
        <w:tc>
          <w:tcPr>
            <w:tcW w:w="1463" w:type="pct"/>
            <w:tcBorders>
              <w:bottom w:val="single" w:color="auto" w:sz="4" w:space="0"/>
            </w:tcBorders>
            <w:noWrap/>
            <w:vAlign w:val="center"/>
          </w:tcPr>
          <w:p w14:paraId="646D6C7D">
            <w:pPr>
              <w:jc w:val="center"/>
              <w:rPr>
                <w:rFonts w:ascii="宋体" w:hAnsi="宋体"/>
                <w:color w:val="000000" w:themeColor="text1"/>
                <w:sz w:val="24"/>
                <w14:textFill>
                  <w14:solidFill>
                    <w14:schemeClr w14:val="tx1"/>
                  </w14:solidFill>
                </w14:textFill>
              </w:rPr>
            </w:pPr>
          </w:p>
        </w:tc>
      </w:tr>
      <w:tr w14:paraId="1EC3A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1" w:hRule="exact"/>
          <w:jc w:val="center"/>
        </w:trPr>
        <w:tc>
          <w:tcPr>
            <w:tcW w:w="2191" w:type="pct"/>
            <w:gridSpan w:val="2"/>
            <w:tcBorders>
              <w:bottom w:val="single" w:color="auto" w:sz="4" w:space="0"/>
            </w:tcBorders>
            <w:noWrap/>
            <w:vAlign w:val="center"/>
          </w:tcPr>
          <w:p w14:paraId="3D02331A">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  计</w:t>
            </w:r>
          </w:p>
        </w:tc>
        <w:tc>
          <w:tcPr>
            <w:tcW w:w="2808" w:type="pct"/>
            <w:gridSpan w:val="2"/>
            <w:tcBorders>
              <w:bottom w:val="single" w:color="auto" w:sz="4" w:space="0"/>
            </w:tcBorders>
            <w:noWrap/>
            <w:vAlign w:val="center"/>
          </w:tcPr>
          <w:p w14:paraId="279C3369">
            <w:pPr>
              <w:rPr>
                <w:rFonts w:ascii="宋体" w:hAnsi="宋体"/>
                <w:color w:val="000000" w:themeColor="text1"/>
                <w:sz w:val="24"/>
                <w14:textFill>
                  <w14:solidFill>
                    <w14:schemeClr w14:val="tx1"/>
                  </w14:solidFill>
                </w14:textFill>
              </w:rPr>
            </w:pPr>
          </w:p>
          <w:p w14:paraId="321E61BE">
            <w:pPr>
              <w:rPr>
                <w:rFonts w:ascii="宋体" w:hAnsi="宋体"/>
                <w:color w:val="000000" w:themeColor="text1"/>
                <w:sz w:val="24"/>
                <w14:textFill>
                  <w14:solidFill>
                    <w14:schemeClr w14:val="tx1"/>
                  </w14:solidFill>
                </w14:textFill>
              </w:rPr>
            </w:pPr>
          </w:p>
        </w:tc>
      </w:tr>
    </w:tbl>
    <w:p w14:paraId="134603F1">
      <w:pPr>
        <w:spacing w:beforeLines="50" w:line="460" w:lineRule="exact"/>
        <w:ind w:firstLine="482" w:firstLineChars="200"/>
        <w:rPr>
          <w:rFonts w:hint="default" w:ascii="Times New Roman" w:hAnsi="Times New Roman" w:eastAsia="宋体" w:cs="Times New Roman"/>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注</w:t>
      </w:r>
      <w:r>
        <w:rPr>
          <w:rFonts w:hint="eastAsia" w:ascii="宋体" w:hAnsi="宋体" w:eastAsia="宋体" w:cs="宋体"/>
          <w:color w:val="000000" w:themeColor="text1"/>
          <w:sz w:val="24"/>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1、如果按单价计算的结果与总价不一致，以单价为准修正总价。</w:t>
      </w:r>
    </w:p>
    <w:p w14:paraId="38E46FF8">
      <w:pPr>
        <w:shd w:val="clear" w:color="auto" w:fill="FFFFFF"/>
        <w:spacing w:line="500" w:lineRule="exact"/>
        <w:ind w:left="239" w:leftChars="114" w:firstLine="4072" w:firstLineChars="1697"/>
        <w:rPr>
          <w:rFonts w:hint="eastAsia" w:ascii="宋体" w:hAnsi="宋体" w:eastAsia="宋体" w:cs="宋体"/>
          <w:color w:val="000000" w:themeColor="text1"/>
          <w:sz w:val="24"/>
          <w14:textFill>
            <w14:solidFill>
              <w14:schemeClr w14:val="tx1"/>
            </w14:solidFill>
          </w14:textFill>
        </w:rPr>
      </w:pPr>
    </w:p>
    <w:p w14:paraId="48385A6D">
      <w:pPr>
        <w:shd w:val="clear" w:color="auto" w:fill="FFFFFF"/>
        <w:spacing w:line="500" w:lineRule="exact"/>
        <w:ind w:left="239" w:leftChars="114" w:firstLine="4072" w:firstLineChars="1697"/>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法定代表人或</w:t>
      </w:r>
      <w:r>
        <w:rPr>
          <w:rFonts w:hint="eastAsia" w:ascii="宋体" w:hAnsi="宋体" w:eastAsia="宋体" w:cs="宋体"/>
          <w:color w:val="000000" w:themeColor="text1"/>
          <w:sz w:val="24"/>
          <w:lang w:eastAsia="zh-CN"/>
          <w14:textFill>
            <w14:solidFill>
              <w14:schemeClr w14:val="tx1"/>
            </w14:solidFill>
          </w14:textFill>
        </w:rPr>
        <w:t>负责人</w:t>
      </w:r>
      <w:r>
        <w:rPr>
          <w:rFonts w:hint="eastAsia" w:ascii="宋体" w:hAnsi="宋体" w:eastAsia="宋体" w:cs="宋体"/>
          <w:color w:val="000000" w:themeColor="text1"/>
          <w:sz w:val="24"/>
          <w14:textFill>
            <w14:solidFill>
              <w14:schemeClr w14:val="tx1"/>
            </w14:solidFill>
          </w14:textFill>
        </w:rPr>
        <w:t>（签章）：</w:t>
      </w:r>
    </w:p>
    <w:p w14:paraId="33A63076">
      <w:pPr>
        <w:shd w:val="clear" w:color="auto" w:fill="FFFFFF"/>
        <w:spacing w:line="500" w:lineRule="exact"/>
        <w:ind w:left="239" w:leftChars="114" w:firstLine="4310" w:firstLineChars="1796"/>
        <w:rPr>
          <w:rFonts w:ascii="宋体" w:hAnsi="宋体" w:eastAsia="宋体" w:cs="宋体"/>
          <w:color w:val="000000" w:themeColor="text1"/>
          <w:sz w:val="24"/>
          <w14:textFill>
            <w14:solidFill>
              <w14:schemeClr w14:val="tx1"/>
            </w14:solidFill>
          </w14:textFill>
        </w:rPr>
      </w:pPr>
    </w:p>
    <w:p w14:paraId="01F32311">
      <w:pPr>
        <w:shd w:val="clear" w:color="auto" w:fill="FFFFFF"/>
        <w:spacing w:line="500" w:lineRule="exact"/>
        <w:ind w:left="239" w:leftChars="114" w:firstLine="4310" w:firstLineChars="1796"/>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w:t>
      </w:r>
      <w:r>
        <w:rPr>
          <w:rFonts w:hint="eastAsia" w:ascii="宋体" w:hAnsi="宋体" w:eastAsia="宋体" w:cs="宋体"/>
          <w:color w:val="000000" w:themeColor="text1"/>
          <w:sz w:val="24"/>
          <w:lang w:val="en-US" w:eastAsia="zh-CN"/>
          <w14:textFill>
            <w14:solidFill>
              <w14:schemeClr w14:val="tx1"/>
            </w14:solidFill>
          </w14:textFill>
        </w:rPr>
        <w:t>电子</w:t>
      </w:r>
      <w:r>
        <w:rPr>
          <w:rFonts w:hint="eastAsia" w:ascii="宋体" w:hAnsi="宋体" w:eastAsia="宋体" w:cs="宋体"/>
          <w:color w:val="000000" w:themeColor="text1"/>
          <w:sz w:val="24"/>
          <w14:textFill>
            <w14:solidFill>
              <w14:schemeClr w14:val="tx1"/>
            </w14:solidFill>
          </w14:textFill>
        </w:rPr>
        <w:t>公章）：</w:t>
      </w:r>
    </w:p>
    <w:p w14:paraId="4076B17C">
      <w:pPr>
        <w:spacing w:line="520" w:lineRule="exact"/>
        <w:rPr>
          <w:rFonts w:ascii="宋体" w:hAnsi="宋体" w:eastAsia="宋体"/>
          <w:color w:val="000000" w:themeColor="text1"/>
          <w:sz w:val="24"/>
          <w:szCs w:val="24"/>
          <w14:textFill>
            <w14:solidFill>
              <w14:schemeClr w14:val="tx1"/>
            </w14:solidFill>
          </w14:textFill>
        </w:rPr>
      </w:pPr>
    </w:p>
    <w:p w14:paraId="4AA14171">
      <w:pPr>
        <w:pStyle w:val="15"/>
        <w:ind w:right="-553" w:firstLine="6220" w:firstLineChars="2592"/>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年</w:t>
      </w:r>
      <w:r>
        <w:rPr>
          <w:rFonts w:hint="eastAsia" w:ascii="宋体" w:hAnsi="宋体" w:eastAsia="宋体"/>
          <w:color w:val="000000" w:themeColor="text1"/>
          <w:sz w:val="24"/>
          <w:szCs w:val="24"/>
          <w:lang w:val="en-US" w:eastAsia="zh-CN"/>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月</w:t>
      </w:r>
      <w:r>
        <w:rPr>
          <w:rFonts w:hint="eastAsia" w:ascii="宋体" w:hAnsi="宋体" w:eastAsia="宋体"/>
          <w:color w:val="000000" w:themeColor="text1"/>
          <w:sz w:val="24"/>
          <w:szCs w:val="24"/>
          <w:lang w:val="en-US" w:eastAsia="zh-CN"/>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日</w:t>
      </w:r>
    </w:p>
    <w:p w14:paraId="4B0A66FA">
      <w:pPr>
        <w:pStyle w:val="21"/>
        <w:ind w:firstLine="481"/>
        <w:rPr>
          <w:rFonts w:hint="default"/>
          <w:lang w:val="en-US" w:eastAsia="zh-CN"/>
        </w:rPr>
        <w:sectPr>
          <w:footerReference r:id="rId8" w:type="default"/>
          <w:pgSz w:w="11906" w:h="16838"/>
          <w:pgMar w:top="1440" w:right="1106" w:bottom="1440" w:left="1800" w:header="851" w:footer="752" w:gutter="0"/>
          <w:pgNumType w:fmt="decimal"/>
          <w:cols w:space="720" w:num="1"/>
          <w:formProt w:val="0"/>
          <w:docGrid w:type="lines" w:linePitch="312" w:charSpace="0"/>
        </w:sectPr>
      </w:pPr>
    </w:p>
    <w:p w14:paraId="2C25178F">
      <w:pPr>
        <w:widowControl/>
        <w:numPr>
          <w:ilvl w:val="0"/>
          <w:numId w:val="0"/>
        </w:numPr>
        <w:jc w:val="left"/>
        <w:rPr>
          <w:rFonts w:ascii="宋体" w:hAnsi="宋体" w:cs="宋体"/>
          <w:bCs/>
          <w:color w:val="auto"/>
          <w:sz w:val="24"/>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三</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实质性响应一览表</w:t>
      </w:r>
    </w:p>
    <w:p w14:paraId="193A3E4C">
      <w:pPr>
        <w:pStyle w:val="44"/>
        <w:ind w:firstLine="0"/>
        <w:jc w:val="center"/>
        <w:rPr>
          <w:rFonts w:ascii="宋体" w:hAnsi="宋体" w:eastAsia="宋体;SimSun" w:cs="宋体"/>
          <w:b/>
          <w:color w:val="auto"/>
          <w:sz w:val="24"/>
          <w:szCs w:val="21"/>
          <w:highlight w:val="none"/>
        </w:rPr>
      </w:pPr>
      <w:r>
        <w:rPr>
          <w:rFonts w:hint="eastAsia" w:ascii="宋体" w:hAnsi="宋体" w:eastAsia="宋体;SimSun" w:cs="宋体"/>
          <w:b/>
          <w:color w:val="auto"/>
          <w:sz w:val="24"/>
          <w:szCs w:val="21"/>
          <w:highlight w:val="none"/>
        </w:rPr>
        <w:t>实质性响应一览表</w:t>
      </w:r>
    </w:p>
    <w:p w14:paraId="1726C4E1">
      <w:pPr>
        <w:shd w:val="clear" w:color="auto" w:fill="FFFFFF"/>
        <w:spacing w:line="440" w:lineRule="exac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项目名称：</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rPr>
        <w:t>项目编号：</w:t>
      </w:r>
    </w:p>
    <w:tbl>
      <w:tblPr>
        <w:tblStyle w:val="27"/>
        <w:tblW w:w="0" w:type="auto"/>
        <w:jc w:val="center"/>
        <w:tblLayout w:type="fixed"/>
        <w:tblCellMar>
          <w:top w:w="0" w:type="dxa"/>
          <w:left w:w="108" w:type="dxa"/>
          <w:bottom w:w="0" w:type="dxa"/>
          <w:right w:w="108" w:type="dxa"/>
        </w:tblCellMar>
      </w:tblPr>
      <w:tblGrid>
        <w:gridCol w:w="936"/>
        <w:gridCol w:w="1795"/>
        <w:gridCol w:w="2020"/>
        <w:gridCol w:w="2132"/>
        <w:gridCol w:w="2434"/>
      </w:tblGrid>
      <w:tr w14:paraId="39D852D3">
        <w:tblPrEx>
          <w:tblCellMar>
            <w:top w:w="0" w:type="dxa"/>
            <w:left w:w="108" w:type="dxa"/>
            <w:bottom w:w="0" w:type="dxa"/>
            <w:right w:w="108" w:type="dxa"/>
          </w:tblCellMar>
        </w:tblPrEx>
        <w:trPr>
          <w:cantSplit/>
          <w:trHeight w:val="797" w:hRule="exac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14:paraId="20E5E9BE">
            <w:pPr>
              <w:shd w:val="clear" w:color="auto" w:fill="FFFFFF"/>
              <w:spacing w:line="36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1795" w:type="dxa"/>
            <w:tcBorders>
              <w:top w:val="single" w:color="auto" w:sz="6" w:space="0"/>
              <w:left w:val="single" w:color="auto" w:sz="6" w:space="0"/>
              <w:bottom w:val="single" w:color="auto" w:sz="6" w:space="0"/>
              <w:right w:val="single" w:color="auto" w:sz="6" w:space="0"/>
            </w:tcBorders>
            <w:noWrap w:val="0"/>
            <w:vAlign w:val="center"/>
          </w:tcPr>
          <w:p w14:paraId="70066104">
            <w:pPr>
              <w:shd w:val="clear" w:color="auto" w:fill="FFFFFF"/>
              <w:spacing w:line="360" w:lineRule="exact"/>
              <w:jc w:val="center"/>
              <w:rPr>
                <w:rFonts w:ascii="宋体" w:hAnsi="宋体" w:cs="宋体"/>
                <w:color w:val="auto"/>
                <w:sz w:val="24"/>
                <w:highlight w:val="none"/>
              </w:rPr>
            </w:pPr>
            <w:r>
              <w:rPr>
                <w:rFonts w:hint="eastAsia" w:ascii="宋体" w:hAnsi="宋体" w:cs="宋体"/>
                <w:color w:val="auto"/>
                <w:sz w:val="24"/>
                <w:highlight w:val="none"/>
              </w:rPr>
              <w:t>条款序号</w:t>
            </w:r>
          </w:p>
        </w:tc>
        <w:tc>
          <w:tcPr>
            <w:tcW w:w="2020" w:type="dxa"/>
            <w:tcBorders>
              <w:top w:val="single" w:color="auto" w:sz="6" w:space="0"/>
              <w:left w:val="single" w:color="auto" w:sz="6" w:space="0"/>
              <w:bottom w:val="single" w:color="auto" w:sz="6" w:space="0"/>
              <w:right w:val="single" w:color="auto" w:sz="6" w:space="0"/>
            </w:tcBorders>
            <w:noWrap w:val="0"/>
            <w:vAlign w:val="center"/>
          </w:tcPr>
          <w:p w14:paraId="313B65BE">
            <w:pPr>
              <w:shd w:val="clear" w:color="auto" w:fill="FFFFFF"/>
              <w:spacing w:line="360" w:lineRule="exact"/>
              <w:jc w:val="center"/>
              <w:rPr>
                <w:rFonts w:ascii="宋体" w:hAnsi="宋体" w:cs="宋体"/>
                <w:color w:val="auto"/>
                <w:sz w:val="24"/>
                <w:highlight w:val="none"/>
              </w:rPr>
            </w:pPr>
            <w:r>
              <w:rPr>
                <w:rFonts w:hint="eastAsia" w:ascii="宋体" w:hAnsi="宋体" w:eastAsia="宋体" w:cs="Tahoma"/>
                <w:color w:val="auto"/>
                <w:highlight w:val="none"/>
              </w:rPr>
              <w:t>招标条款</w:t>
            </w:r>
          </w:p>
        </w:tc>
        <w:tc>
          <w:tcPr>
            <w:tcW w:w="2132" w:type="dxa"/>
            <w:tcBorders>
              <w:top w:val="single" w:color="auto" w:sz="6" w:space="0"/>
              <w:left w:val="single" w:color="auto" w:sz="6" w:space="0"/>
              <w:bottom w:val="single" w:color="auto" w:sz="6" w:space="0"/>
              <w:right w:val="single" w:color="auto" w:sz="6" w:space="0"/>
            </w:tcBorders>
            <w:noWrap w:val="0"/>
            <w:vAlign w:val="center"/>
          </w:tcPr>
          <w:p w14:paraId="613F5D03">
            <w:pPr>
              <w:shd w:val="clear" w:color="auto" w:fill="FFFFFF"/>
              <w:spacing w:line="360" w:lineRule="exact"/>
              <w:jc w:val="center"/>
              <w:rPr>
                <w:rFonts w:ascii="宋体" w:hAnsi="宋体" w:cs="宋体"/>
                <w:color w:val="auto"/>
                <w:sz w:val="24"/>
                <w:highlight w:val="none"/>
              </w:rPr>
            </w:pPr>
            <w:r>
              <w:rPr>
                <w:rFonts w:hint="eastAsia" w:ascii="宋体" w:hAnsi="宋体" w:eastAsia="宋体" w:cs="Tahoma"/>
                <w:color w:val="auto"/>
                <w:highlight w:val="none"/>
              </w:rPr>
              <w:t>投标条款或投标页码</w:t>
            </w:r>
          </w:p>
        </w:tc>
        <w:tc>
          <w:tcPr>
            <w:tcW w:w="2434" w:type="dxa"/>
            <w:tcBorders>
              <w:top w:val="single" w:color="auto" w:sz="6" w:space="0"/>
              <w:left w:val="single" w:color="auto" w:sz="6" w:space="0"/>
              <w:bottom w:val="single" w:color="auto" w:sz="6" w:space="0"/>
              <w:right w:val="single" w:color="auto" w:sz="6" w:space="0"/>
            </w:tcBorders>
            <w:noWrap w:val="0"/>
            <w:vAlign w:val="center"/>
          </w:tcPr>
          <w:p w14:paraId="710045F9">
            <w:pPr>
              <w:shd w:val="clear" w:color="auto" w:fill="FFFFFF"/>
              <w:spacing w:line="360" w:lineRule="exact"/>
              <w:jc w:val="center"/>
              <w:rPr>
                <w:rFonts w:ascii="宋体" w:hAnsi="宋体" w:cs="宋体"/>
                <w:color w:val="auto"/>
                <w:sz w:val="24"/>
                <w:highlight w:val="none"/>
              </w:rPr>
            </w:pPr>
            <w:r>
              <w:rPr>
                <w:rFonts w:hint="eastAsia" w:ascii="宋体" w:hAnsi="宋体" w:eastAsia="宋体" w:cs="Tahoma"/>
                <w:color w:val="auto"/>
                <w:highlight w:val="none"/>
              </w:rPr>
              <w:t>响应/偏离</w:t>
            </w:r>
          </w:p>
        </w:tc>
      </w:tr>
      <w:tr w14:paraId="7A0070F8">
        <w:tblPrEx>
          <w:tblCellMar>
            <w:top w:w="0" w:type="dxa"/>
            <w:left w:w="108" w:type="dxa"/>
            <w:bottom w:w="0" w:type="dxa"/>
            <w:right w:w="108" w:type="dxa"/>
          </w:tblCellMar>
        </w:tblPrEx>
        <w:trPr>
          <w:cantSplit/>
          <w:trHeight w:val="622" w:hRule="exac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14:paraId="6F83719F">
            <w:pPr>
              <w:shd w:val="clear" w:color="auto" w:fill="FFFFFF"/>
              <w:spacing w:line="360" w:lineRule="exact"/>
              <w:ind w:firstLine="99"/>
              <w:jc w:val="center"/>
              <w:rPr>
                <w:rFonts w:ascii="宋体" w:hAnsi="宋体" w:cs="宋体"/>
                <w:color w:val="auto"/>
                <w:sz w:val="24"/>
                <w:highlight w:val="none"/>
              </w:rPr>
            </w:pPr>
            <w:r>
              <w:rPr>
                <w:rFonts w:hint="eastAsia" w:ascii="宋体" w:hAnsi="宋体" w:cs="宋体"/>
                <w:color w:val="auto"/>
                <w:sz w:val="24"/>
                <w:highlight w:val="none"/>
              </w:rPr>
              <w:t>…</w:t>
            </w:r>
          </w:p>
        </w:tc>
        <w:tc>
          <w:tcPr>
            <w:tcW w:w="1795" w:type="dxa"/>
            <w:tcBorders>
              <w:top w:val="single" w:color="auto" w:sz="6" w:space="0"/>
              <w:left w:val="single" w:color="auto" w:sz="6" w:space="0"/>
              <w:bottom w:val="single" w:color="auto" w:sz="6" w:space="0"/>
              <w:right w:val="single" w:color="auto" w:sz="6" w:space="0"/>
            </w:tcBorders>
            <w:noWrap w:val="0"/>
            <w:vAlign w:val="center"/>
          </w:tcPr>
          <w:p w14:paraId="0BBDAFA6">
            <w:pPr>
              <w:shd w:val="clear" w:color="auto" w:fill="FFFFFF"/>
              <w:spacing w:line="360" w:lineRule="exact"/>
              <w:ind w:firstLine="99"/>
              <w:jc w:val="center"/>
              <w:rPr>
                <w:rFonts w:ascii="宋体" w:hAnsi="宋体" w:cs="宋体"/>
                <w:color w:val="auto"/>
                <w:sz w:val="24"/>
                <w:highlight w:val="none"/>
              </w:rPr>
            </w:pPr>
          </w:p>
        </w:tc>
        <w:tc>
          <w:tcPr>
            <w:tcW w:w="2020" w:type="dxa"/>
            <w:tcBorders>
              <w:top w:val="single" w:color="auto" w:sz="6" w:space="0"/>
              <w:left w:val="single" w:color="auto" w:sz="6" w:space="0"/>
              <w:bottom w:val="single" w:color="auto" w:sz="6" w:space="0"/>
              <w:right w:val="single" w:color="auto" w:sz="6" w:space="0"/>
            </w:tcBorders>
            <w:noWrap w:val="0"/>
            <w:vAlign w:val="center"/>
          </w:tcPr>
          <w:p w14:paraId="029E0A2B">
            <w:pPr>
              <w:shd w:val="clear" w:color="auto" w:fill="FFFFFF"/>
              <w:spacing w:line="360" w:lineRule="exact"/>
              <w:ind w:firstLine="99"/>
              <w:jc w:val="center"/>
              <w:rPr>
                <w:rFonts w:ascii="宋体" w:hAnsi="宋体" w:cs="宋体"/>
                <w:color w:val="auto"/>
                <w:sz w:val="24"/>
                <w:highlight w:val="none"/>
              </w:rPr>
            </w:pPr>
          </w:p>
        </w:tc>
        <w:tc>
          <w:tcPr>
            <w:tcW w:w="2132" w:type="dxa"/>
            <w:tcBorders>
              <w:top w:val="single" w:color="auto" w:sz="6" w:space="0"/>
              <w:left w:val="single" w:color="auto" w:sz="6" w:space="0"/>
              <w:bottom w:val="single" w:color="auto" w:sz="6" w:space="0"/>
              <w:right w:val="single" w:color="auto" w:sz="6" w:space="0"/>
            </w:tcBorders>
            <w:noWrap w:val="0"/>
            <w:vAlign w:val="center"/>
          </w:tcPr>
          <w:p w14:paraId="5D20C92E">
            <w:pPr>
              <w:shd w:val="clear" w:color="auto" w:fill="FFFFFF"/>
              <w:spacing w:line="360" w:lineRule="exact"/>
              <w:ind w:firstLine="99"/>
              <w:jc w:val="center"/>
              <w:rPr>
                <w:rFonts w:ascii="宋体" w:hAnsi="宋体" w:cs="宋体"/>
                <w:color w:val="auto"/>
                <w:sz w:val="24"/>
                <w:highlight w:val="none"/>
              </w:rPr>
            </w:pPr>
          </w:p>
        </w:tc>
        <w:tc>
          <w:tcPr>
            <w:tcW w:w="2434" w:type="dxa"/>
            <w:tcBorders>
              <w:top w:val="single" w:color="auto" w:sz="6" w:space="0"/>
              <w:left w:val="single" w:color="auto" w:sz="6" w:space="0"/>
              <w:bottom w:val="single" w:color="auto" w:sz="6" w:space="0"/>
              <w:right w:val="single" w:color="auto" w:sz="6" w:space="0"/>
            </w:tcBorders>
            <w:noWrap w:val="0"/>
            <w:vAlign w:val="center"/>
          </w:tcPr>
          <w:p w14:paraId="55F4FDA7">
            <w:pPr>
              <w:shd w:val="clear" w:color="auto" w:fill="FFFFFF"/>
              <w:spacing w:line="360" w:lineRule="exact"/>
              <w:ind w:firstLine="99"/>
              <w:jc w:val="center"/>
              <w:rPr>
                <w:rFonts w:ascii="宋体" w:hAnsi="宋体" w:cs="宋体"/>
                <w:color w:val="auto"/>
                <w:sz w:val="24"/>
                <w:highlight w:val="none"/>
              </w:rPr>
            </w:pPr>
          </w:p>
        </w:tc>
      </w:tr>
      <w:tr w14:paraId="2E97D0F0">
        <w:tblPrEx>
          <w:tblCellMar>
            <w:top w:w="0" w:type="dxa"/>
            <w:left w:w="108" w:type="dxa"/>
            <w:bottom w:w="0" w:type="dxa"/>
            <w:right w:w="108" w:type="dxa"/>
          </w:tblCellMar>
        </w:tblPrEx>
        <w:trPr>
          <w:cantSplit/>
          <w:trHeight w:val="622" w:hRule="exac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14:paraId="7BCB32D6">
            <w:pPr>
              <w:shd w:val="clear" w:color="auto" w:fill="FFFFFF"/>
              <w:spacing w:line="360" w:lineRule="exact"/>
              <w:ind w:firstLine="99"/>
              <w:jc w:val="center"/>
              <w:rPr>
                <w:rFonts w:ascii="宋体" w:hAnsi="宋体" w:cs="宋体"/>
                <w:color w:val="auto"/>
                <w:sz w:val="24"/>
                <w:highlight w:val="none"/>
              </w:rPr>
            </w:pPr>
          </w:p>
        </w:tc>
        <w:tc>
          <w:tcPr>
            <w:tcW w:w="1795" w:type="dxa"/>
            <w:tcBorders>
              <w:top w:val="single" w:color="auto" w:sz="6" w:space="0"/>
              <w:left w:val="single" w:color="auto" w:sz="6" w:space="0"/>
              <w:bottom w:val="single" w:color="auto" w:sz="6" w:space="0"/>
              <w:right w:val="single" w:color="auto" w:sz="6" w:space="0"/>
            </w:tcBorders>
            <w:noWrap w:val="0"/>
            <w:vAlign w:val="center"/>
          </w:tcPr>
          <w:p w14:paraId="38B6ADB7">
            <w:pPr>
              <w:shd w:val="clear" w:color="auto" w:fill="FFFFFF"/>
              <w:spacing w:line="360" w:lineRule="exact"/>
              <w:ind w:firstLine="99"/>
              <w:jc w:val="center"/>
              <w:rPr>
                <w:rFonts w:ascii="宋体" w:hAnsi="宋体" w:cs="宋体"/>
                <w:color w:val="auto"/>
                <w:sz w:val="24"/>
                <w:highlight w:val="none"/>
              </w:rPr>
            </w:pPr>
          </w:p>
        </w:tc>
        <w:tc>
          <w:tcPr>
            <w:tcW w:w="2020" w:type="dxa"/>
            <w:tcBorders>
              <w:top w:val="single" w:color="auto" w:sz="6" w:space="0"/>
              <w:left w:val="single" w:color="auto" w:sz="6" w:space="0"/>
              <w:bottom w:val="single" w:color="auto" w:sz="6" w:space="0"/>
              <w:right w:val="single" w:color="auto" w:sz="6" w:space="0"/>
            </w:tcBorders>
            <w:noWrap w:val="0"/>
            <w:vAlign w:val="center"/>
          </w:tcPr>
          <w:p w14:paraId="0B273739">
            <w:pPr>
              <w:shd w:val="clear" w:color="auto" w:fill="FFFFFF"/>
              <w:spacing w:line="360" w:lineRule="exact"/>
              <w:ind w:firstLine="99"/>
              <w:jc w:val="center"/>
              <w:rPr>
                <w:rFonts w:ascii="宋体" w:hAnsi="宋体" w:cs="宋体"/>
                <w:color w:val="auto"/>
                <w:sz w:val="24"/>
                <w:highlight w:val="none"/>
              </w:rPr>
            </w:pPr>
          </w:p>
        </w:tc>
        <w:tc>
          <w:tcPr>
            <w:tcW w:w="2132" w:type="dxa"/>
            <w:tcBorders>
              <w:top w:val="single" w:color="auto" w:sz="6" w:space="0"/>
              <w:left w:val="single" w:color="auto" w:sz="6" w:space="0"/>
              <w:bottom w:val="single" w:color="auto" w:sz="6" w:space="0"/>
              <w:right w:val="single" w:color="auto" w:sz="6" w:space="0"/>
            </w:tcBorders>
            <w:noWrap w:val="0"/>
            <w:vAlign w:val="center"/>
          </w:tcPr>
          <w:p w14:paraId="33CF5FCC">
            <w:pPr>
              <w:shd w:val="clear" w:color="auto" w:fill="FFFFFF"/>
              <w:spacing w:line="360" w:lineRule="exact"/>
              <w:ind w:firstLine="99"/>
              <w:jc w:val="center"/>
              <w:rPr>
                <w:rFonts w:ascii="宋体" w:hAnsi="宋体" w:cs="宋体"/>
                <w:color w:val="auto"/>
                <w:sz w:val="24"/>
                <w:highlight w:val="none"/>
              </w:rPr>
            </w:pPr>
          </w:p>
        </w:tc>
        <w:tc>
          <w:tcPr>
            <w:tcW w:w="2434" w:type="dxa"/>
            <w:tcBorders>
              <w:top w:val="single" w:color="auto" w:sz="6" w:space="0"/>
              <w:left w:val="single" w:color="auto" w:sz="6" w:space="0"/>
              <w:bottom w:val="single" w:color="auto" w:sz="6" w:space="0"/>
              <w:right w:val="single" w:color="auto" w:sz="6" w:space="0"/>
            </w:tcBorders>
            <w:noWrap w:val="0"/>
            <w:vAlign w:val="center"/>
          </w:tcPr>
          <w:p w14:paraId="0FB310EB">
            <w:pPr>
              <w:shd w:val="clear" w:color="auto" w:fill="FFFFFF"/>
              <w:spacing w:line="360" w:lineRule="exact"/>
              <w:ind w:firstLine="99"/>
              <w:jc w:val="center"/>
              <w:rPr>
                <w:rFonts w:ascii="宋体" w:hAnsi="宋体" w:cs="宋体"/>
                <w:color w:val="auto"/>
                <w:sz w:val="24"/>
                <w:highlight w:val="none"/>
              </w:rPr>
            </w:pPr>
          </w:p>
        </w:tc>
      </w:tr>
      <w:tr w14:paraId="6D2DB1A2">
        <w:tblPrEx>
          <w:tblCellMar>
            <w:top w:w="0" w:type="dxa"/>
            <w:left w:w="108" w:type="dxa"/>
            <w:bottom w:w="0" w:type="dxa"/>
            <w:right w:w="108" w:type="dxa"/>
          </w:tblCellMar>
        </w:tblPrEx>
        <w:trPr>
          <w:cantSplit/>
          <w:trHeight w:val="622" w:hRule="exac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14:paraId="1FEF8FAA">
            <w:pPr>
              <w:shd w:val="clear" w:color="auto" w:fill="FFFFFF"/>
              <w:spacing w:line="360" w:lineRule="exact"/>
              <w:ind w:firstLine="99"/>
              <w:jc w:val="center"/>
              <w:rPr>
                <w:rFonts w:ascii="宋体" w:hAnsi="宋体" w:cs="宋体"/>
                <w:color w:val="auto"/>
                <w:sz w:val="24"/>
                <w:highlight w:val="none"/>
              </w:rPr>
            </w:pPr>
          </w:p>
        </w:tc>
        <w:tc>
          <w:tcPr>
            <w:tcW w:w="1795" w:type="dxa"/>
            <w:tcBorders>
              <w:top w:val="single" w:color="auto" w:sz="6" w:space="0"/>
              <w:left w:val="single" w:color="auto" w:sz="6" w:space="0"/>
              <w:bottom w:val="single" w:color="auto" w:sz="6" w:space="0"/>
              <w:right w:val="single" w:color="auto" w:sz="6" w:space="0"/>
            </w:tcBorders>
            <w:noWrap w:val="0"/>
            <w:vAlign w:val="center"/>
          </w:tcPr>
          <w:p w14:paraId="7504302D">
            <w:pPr>
              <w:shd w:val="clear" w:color="auto" w:fill="FFFFFF"/>
              <w:spacing w:line="360" w:lineRule="exact"/>
              <w:ind w:firstLine="99"/>
              <w:jc w:val="center"/>
              <w:rPr>
                <w:rFonts w:ascii="宋体" w:hAnsi="宋体" w:cs="宋体"/>
                <w:color w:val="auto"/>
                <w:sz w:val="24"/>
                <w:highlight w:val="none"/>
              </w:rPr>
            </w:pPr>
          </w:p>
        </w:tc>
        <w:tc>
          <w:tcPr>
            <w:tcW w:w="2020" w:type="dxa"/>
            <w:tcBorders>
              <w:top w:val="single" w:color="auto" w:sz="6" w:space="0"/>
              <w:left w:val="single" w:color="auto" w:sz="6" w:space="0"/>
              <w:bottom w:val="single" w:color="auto" w:sz="6" w:space="0"/>
              <w:right w:val="single" w:color="auto" w:sz="6" w:space="0"/>
            </w:tcBorders>
            <w:noWrap w:val="0"/>
            <w:vAlign w:val="center"/>
          </w:tcPr>
          <w:p w14:paraId="1515C7E6">
            <w:pPr>
              <w:shd w:val="clear" w:color="auto" w:fill="FFFFFF"/>
              <w:spacing w:line="360" w:lineRule="exact"/>
              <w:ind w:firstLine="99"/>
              <w:jc w:val="center"/>
              <w:rPr>
                <w:rFonts w:ascii="宋体" w:hAnsi="宋体" w:cs="宋体"/>
                <w:color w:val="auto"/>
                <w:sz w:val="24"/>
                <w:highlight w:val="none"/>
              </w:rPr>
            </w:pPr>
          </w:p>
        </w:tc>
        <w:tc>
          <w:tcPr>
            <w:tcW w:w="2132" w:type="dxa"/>
            <w:tcBorders>
              <w:top w:val="single" w:color="auto" w:sz="6" w:space="0"/>
              <w:left w:val="single" w:color="auto" w:sz="6" w:space="0"/>
              <w:bottom w:val="single" w:color="auto" w:sz="6" w:space="0"/>
              <w:right w:val="single" w:color="auto" w:sz="6" w:space="0"/>
            </w:tcBorders>
            <w:noWrap w:val="0"/>
            <w:vAlign w:val="center"/>
          </w:tcPr>
          <w:p w14:paraId="176ED053">
            <w:pPr>
              <w:shd w:val="clear" w:color="auto" w:fill="FFFFFF"/>
              <w:spacing w:line="360" w:lineRule="exact"/>
              <w:ind w:firstLine="99"/>
              <w:jc w:val="center"/>
              <w:rPr>
                <w:rFonts w:ascii="宋体" w:hAnsi="宋体" w:cs="宋体"/>
                <w:color w:val="auto"/>
                <w:sz w:val="24"/>
                <w:highlight w:val="none"/>
              </w:rPr>
            </w:pPr>
          </w:p>
        </w:tc>
        <w:tc>
          <w:tcPr>
            <w:tcW w:w="2434" w:type="dxa"/>
            <w:tcBorders>
              <w:top w:val="single" w:color="auto" w:sz="6" w:space="0"/>
              <w:left w:val="single" w:color="auto" w:sz="6" w:space="0"/>
              <w:bottom w:val="single" w:color="auto" w:sz="6" w:space="0"/>
              <w:right w:val="single" w:color="auto" w:sz="6" w:space="0"/>
            </w:tcBorders>
            <w:noWrap w:val="0"/>
            <w:vAlign w:val="center"/>
          </w:tcPr>
          <w:p w14:paraId="7670BC6D">
            <w:pPr>
              <w:shd w:val="clear" w:color="auto" w:fill="FFFFFF"/>
              <w:spacing w:line="360" w:lineRule="exact"/>
              <w:ind w:firstLine="99"/>
              <w:jc w:val="center"/>
              <w:rPr>
                <w:rFonts w:ascii="宋体" w:hAnsi="宋体" w:cs="宋体"/>
                <w:color w:val="auto"/>
                <w:sz w:val="24"/>
                <w:highlight w:val="none"/>
              </w:rPr>
            </w:pPr>
          </w:p>
        </w:tc>
      </w:tr>
      <w:tr w14:paraId="5EE2FEE3">
        <w:tblPrEx>
          <w:tblCellMar>
            <w:top w:w="0" w:type="dxa"/>
            <w:left w:w="108" w:type="dxa"/>
            <w:bottom w:w="0" w:type="dxa"/>
            <w:right w:w="108" w:type="dxa"/>
          </w:tblCellMar>
        </w:tblPrEx>
        <w:trPr>
          <w:cantSplit/>
          <w:trHeight w:val="622" w:hRule="exac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14:paraId="1CAA4FF8">
            <w:pPr>
              <w:shd w:val="clear" w:color="auto" w:fill="FFFFFF"/>
              <w:spacing w:line="360" w:lineRule="exact"/>
              <w:ind w:firstLine="99"/>
              <w:jc w:val="center"/>
              <w:rPr>
                <w:rFonts w:ascii="宋体" w:hAnsi="宋体" w:cs="宋体"/>
                <w:color w:val="auto"/>
                <w:sz w:val="24"/>
                <w:highlight w:val="none"/>
              </w:rPr>
            </w:pPr>
          </w:p>
        </w:tc>
        <w:tc>
          <w:tcPr>
            <w:tcW w:w="1795" w:type="dxa"/>
            <w:tcBorders>
              <w:top w:val="single" w:color="auto" w:sz="6" w:space="0"/>
              <w:left w:val="single" w:color="auto" w:sz="6" w:space="0"/>
              <w:bottom w:val="single" w:color="auto" w:sz="6" w:space="0"/>
              <w:right w:val="single" w:color="auto" w:sz="6" w:space="0"/>
            </w:tcBorders>
            <w:noWrap w:val="0"/>
            <w:vAlign w:val="center"/>
          </w:tcPr>
          <w:p w14:paraId="12822585">
            <w:pPr>
              <w:shd w:val="clear" w:color="auto" w:fill="FFFFFF"/>
              <w:spacing w:line="360" w:lineRule="exact"/>
              <w:ind w:firstLine="99"/>
              <w:jc w:val="center"/>
              <w:rPr>
                <w:rFonts w:ascii="宋体" w:hAnsi="宋体" w:cs="宋体"/>
                <w:color w:val="auto"/>
                <w:sz w:val="24"/>
                <w:highlight w:val="none"/>
              </w:rPr>
            </w:pPr>
          </w:p>
        </w:tc>
        <w:tc>
          <w:tcPr>
            <w:tcW w:w="2020" w:type="dxa"/>
            <w:tcBorders>
              <w:top w:val="single" w:color="auto" w:sz="6" w:space="0"/>
              <w:left w:val="single" w:color="auto" w:sz="6" w:space="0"/>
              <w:bottom w:val="single" w:color="auto" w:sz="6" w:space="0"/>
              <w:right w:val="single" w:color="auto" w:sz="6" w:space="0"/>
            </w:tcBorders>
            <w:noWrap w:val="0"/>
            <w:vAlign w:val="center"/>
          </w:tcPr>
          <w:p w14:paraId="25941F68">
            <w:pPr>
              <w:shd w:val="clear" w:color="auto" w:fill="FFFFFF"/>
              <w:spacing w:line="360" w:lineRule="exact"/>
              <w:ind w:firstLine="99"/>
              <w:jc w:val="center"/>
              <w:rPr>
                <w:rFonts w:ascii="宋体" w:hAnsi="宋体" w:cs="宋体"/>
                <w:color w:val="auto"/>
                <w:sz w:val="24"/>
                <w:highlight w:val="none"/>
              </w:rPr>
            </w:pPr>
          </w:p>
        </w:tc>
        <w:tc>
          <w:tcPr>
            <w:tcW w:w="2132" w:type="dxa"/>
            <w:tcBorders>
              <w:top w:val="single" w:color="auto" w:sz="6" w:space="0"/>
              <w:left w:val="single" w:color="auto" w:sz="6" w:space="0"/>
              <w:bottom w:val="single" w:color="auto" w:sz="6" w:space="0"/>
              <w:right w:val="single" w:color="auto" w:sz="6" w:space="0"/>
            </w:tcBorders>
            <w:noWrap w:val="0"/>
            <w:vAlign w:val="center"/>
          </w:tcPr>
          <w:p w14:paraId="2ADB5E86">
            <w:pPr>
              <w:shd w:val="clear" w:color="auto" w:fill="FFFFFF"/>
              <w:spacing w:line="360" w:lineRule="exact"/>
              <w:ind w:firstLine="99"/>
              <w:jc w:val="center"/>
              <w:rPr>
                <w:rFonts w:ascii="宋体" w:hAnsi="宋体" w:cs="宋体"/>
                <w:color w:val="auto"/>
                <w:sz w:val="24"/>
                <w:highlight w:val="none"/>
              </w:rPr>
            </w:pPr>
          </w:p>
        </w:tc>
        <w:tc>
          <w:tcPr>
            <w:tcW w:w="2434" w:type="dxa"/>
            <w:tcBorders>
              <w:top w:val="single" w:color="auto" w:sz="6" w:space="0"/>
              <w:left w:val="single" w:color="auto" w:sz="6" w:space="0"/>
              <w:bottom w:val="single" w:color="auto" w:sz="6" w:space="0"/>
              <w:right w:val="single" w:color="auto" w:sz="6" w:space="0"/>
            </w:tcBorders>
            <w:noWrap w:val="0"/>
            <w:vAlign w:val="center"/>
          </w:tcPr>
          <w:p w14:paraId="4D8C1A64">
            <w:pPr>
              <w:shd w:val="clear" w:color="auto" w:fill="FFFFFF"/>
              <w:spacing w:line="360" w:lineRule="exact"/>
              <w:ind w:firstLine="99"/>
              <w:jc w:val="center"/>
              <w:rPr>
                <w:rFonts w:ascii="宋体" w:hAnsi="宋体" w:cs="宋体"/>
                <w:color w:val="auto"/>
                <w:sz w:val="24"/>
                <w:highlight w:val="none"/>
              </w:rPr>
            </w:pPr>
          </w:p>
        </w:tc>
      </w:tr>
      <w:tr w14:paraId="325DF5FB">
        <w:tblPrEx>
          <w:tblCellMar>
            <w:top w:w="0" w:type="dxa"/>
            <w:left w:w="108" w:type="dxa"/>
            <w:bottom w:w="0" w:type="dxa"/>
            <w:right w:w="108" w:type="dxa"/>
          </w:tblCellMar>
        </w:tblPrEx>
        <w:trPr>
          <w:cantSplit/>
          <w:trHeight w:val="622" w:hRule="exac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14:paraId="7E06EAFA">
            <w:pPr>
              <w:shd w:val="clear" w:color="auto" w:fill="FFFFFF"/>
              <w:spacing w:line="360" w:lineRule="exact"/>
              <w:ind w:firstLine="99"/>
              <w:jc w:val="center"/>
              <w:rPr>
                <w:rFonts w:ascii="宋体" w:hAnsi="宋体" w:cs="宋体"/>
                <w:color w:val="auto"/>
                <w:sz w:val="24"/>
                <w:highlight w:val="none"/>
              </w:rPr>
            </w:pPr>
          </w:p>
        </w:tc>
        <w:tc>
          <w:tcPr>
            <w:tcW w:w="1795" w:type="dxa"/>
            <w:tcBorders>
              <w:top w:val="single" w:color="auto" w:sz="6" w:space="0"/>
              <w:left w:val="single" w:color="auto" w:sz="6" w:space="0"/>
              <w:bottom w:val="single" w:color="auto" w:sz="6" w:space="0"/>
              <w:right w:val="single" w:color="auto" w:sz="6" w:space="0"/>
            </w:tcBorders>
            <w:noWrap w:val="0"/>
            <w:vAlign w:val="center"/>
          </w:tcPr>
          <w:p w14:paraId="2FAAD7DB">
            <w:pPr>
              <w:shd w:val="clear" w:color="auto" w:fill="FFFFFF"/>
              <w:spacing w:line="360" w:lineRule="exact"/>
              <w:ind w:firstLine="99"/>
              <w:jc w:val="center"/>
              <w:rPr>
                <w:rFonts w:ascii="宋体" w:hAnsi="宋体" w:cs="宋体"/>
                <w:color w:val="auto"/>
                <w:sz w:val="24"/>
                <w:highlight w:val="none"/>
              </w:rPr>
            </w:pPr>
          </w:p>
        </w:tc>
        <w:tc>
          <w:tcPr>
            <w:tcW w:w="2020" w:type="dxa"/>
            <w:tcBorders>
              <w:top w:val="single" w:color="auto" w:sz="6" w:space="0"/>
              <w:left w:val="single" w:color="auto" w:sz="6" w:space="0"/>
              <w:bottom w:val="single" w:color="auto" w:sz="6" w:space="0"/>
              <w:right w:val="single" w:color="auto" w:sz="6" w:space="0"/>
            </w:tcBorders>
            <w:noWrap w:val="0"/>
            <w:vAlign w:val="center"/>
          </w:tcPr>
          <w:p w14:paraId="0E7790C0">
            <w:pPr>
              <w:shd w:val="clear" w:color="auto" w:fill="FFFFFF"/>
              <w:spacing w:line="360" w:lineRule="exact"/>
              <w:ind w:firstLine="99"/>
              <w:jc w:val="center"/>
              <w:rPr>
                <w:rFonts w:ascii="宋体" w:hAnsi="宋体" w:cs="宋体"/>
                <w:color w:val="auto"/>
                <w:sz w:val="24"/>
                <w:highlight w:val="none"/>
              </w:rPr>
            </w:pPr>
          </w:p>
        </w:tc>
        <w:tc>
          <w:tcPr>
            <w:tcW w:w="2132" w:type="dxa"/>
            <w:tcBorders>
              <w:top w:val="single" w:color="auto" w:sz="6" w:space="0"/>
              <w:left w:val="single" w:color="auto" w:sz="6" w:space="0"/>
              <w:bottom w:val="single" w:color="auto" w:sz="6" w:space="0"/>
              <w:right w:val="single" w:color="auto" w:sz="6" w:space="0"/>
            </w:tcBorders>
            <w:noWrap w:val="0"/>
            <w:vAlign w:val="center"/>
          </w:tcPr>
          <w:p w14:paraId="36D56F3B">
            <w:pPr>
              <w:shd w:val="clear" w:color="auto" w:fill="FFFFFF"/>
              <w:spacing w:line="360" w:lineRule="exact"/>
              <w:ind w:firstLine="99"/>
              <w:jc w:val="center"/>
              <w:rPr>
                <w:rFonts w:ascii="宋体" w:hAnsi="宋体" w:cs="宋体"/>
                <w:color w:val="auto"/>
                <w:sz w:val="24"/>
                <w:highlight w:val="none"/>
              </w:rPr>
            </w:pPr>
          </w:p>
        </w:tc>
        <w:tc>
          <w:tcPr>
            <w:tcW w:w="2434" w:type="dxa"/>
            <w:tcBorders>
              <w:top w:val="single" w:color="auto" w:sz="6" w:space="0"/>
              <w:left w:val="single" w:color="auto" w:sz="6" w:space="0"/>
              <w:bottom w:val="single" w:color="auto" w:sz="6" w:space="0"/>
              <w:right w:val="single" w:color="auto" w:sz="6" w:space="0"/>
            </w:tcBorders>
            <w:noWrap w:val="0"/>
            <w:vAlign w:val="center"/>
          </w:tcPr>
          <w:p w14:paraId="3CF7A754">
            <w:pPr>
              <w:shd w:val="clear" w:color="auto" w:fill="FFFFFF"/>
              <w:spacing w:line="360" w:lineRule="exact"/>
              <w:ind w:firstLine="99"/>
              <w:jc w:val="center"/>
              <w:rPr>
                <w:rFonts w:ascii="宋体" w:hAnsi="宋体" w:cs="宋体"/>
                <w:color w:val="auto"/>
                <w:sz w:val="24"/>
                <w:highlight w:val="none"/>
              </w:rPr>
            </w:pPr>
          </w:p>
        </w:tc>
      </w:tr>
      <w:tr w14:paraId="57270705">
        <w:tblPrEx>
          <w:tblCellMar>
            <w:top w:w="0" w:type="dxa"/>
            <w:left w:w="108" w:type="dxa"/>
            <w:bottom w:w="0" w:type="dxa"/>
            <w:right w:w="108" w:type="dxa"/>
          </w:tblCellMar>
        </w:tblPrEx>
        <w:trPr>
          <w:cantSplit/>
          <w:trHeight w:val="622" w:hRule="exac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14:paraId="0375B68E">
            <w:pPr>
              <w:shd w:val="clear" w:color="auto" w:fill="FFFFFF"/>
              <w:spacing w:line="360" w:lineRule="exact"/>
              <w:ind w:firstLine="99"/>
              <w:jc w:val="center"/>
              <w:rPr>
                <w:rFonts w:ascii="宋体" w:hAnsi="宋体" w:cs="宋体"/>
                <w:color w:val="auto"/>
                <w:sz w:val="24"/>
                <w:highlight w:val="none"/>
              </w:rPr>
            </w:pPr>
          </w:p>
        </w:tc>
        <w:tc>
          <w:tcPr>
            <w:tcW w:w="1795" w:type="dxa"/>
            <w:tcBorders>
              <w:top w:val="single" w:color="auto" w:sz="6" w:space="0"/>
              <w:left w:val="single" w:color="auto" w:sz="6" w:space="0"/>
              <w:bottom w:val="single" w:color="auto" w:sz="6" w:space="0"/>
              <w:right w:val="single" w:color="auto" w:sz="6" w:space="0"/>
            </w:tcBorders>
            <w:noWrap w:val="0"/>
            <w:vAlign w:val="center"/>
          </w:tcPr>
          <w:p w14:paraId="28201CCE">
            <w:pPr>
              <w:shd w:val="clear" w:color="auto" w:fill="FFFFFF"/>
              <w:spacing w:line="360" w:lineRule="exact"/>
              <w:ind w:firstLine="99"/>
              <w:jc w:val="center"/>
              <w:rPr>
                <w:rFonts w:ascii="宋体" w:hAnsi="宋体" w:cs="宋体"/>
                <w:color w:val="auto"/>
                <w:sz w:val="24"/>
                <w:highlight w:val="none"/>
              </w:rPr>
            </w:pPr>
          </w:p>
        </w:tc>
        <w:tc>
          <w:tcPr>
            <w:tcW w:w="2020" w:type="dxa"/>
            <w:tcBorders>
              <w:top w:val="single" w:color="auto" w:sz="6" w:space="0"/>
              <w:left w:val="single" w:color="auto" w:sz="6" w:space="0"/>
              <w:bottom w:val="single" w:color="auto" w:sz="6" w:space="0"/>
              <w:right w:val="single" w:color="auto" w:sz="6" w:space="0"/>
            </w:tcBorders>
            <w:noWrap w:val="0"/>
            <w:vAlign w:val="center"/>
          </w:tcPr>
          <w:p w14:paraId="7E0CACEC">
            <w:pPr>
              <w:shd w:val="clear" w:color="auto" w:fill="FFFFFF"/>
              <w:spacing w:line="360" w:lineRule="exact"/>
              <w:ind w:firstLine="99"/>
              <w:jc w:val="center"/>
              <w:rPr>
                <w:rFonts w:ascii="宋体" w:hAnsi="宋体" w:cs="宋体"/>
                <w:color w:val="auto"/>
                <w:sz w:val="24"/>
                <w:highlight w:val="none"/>
              </w:rPr>
            </w:pPr>
          </w:p>
        </w:tc>
        <w:tc>
          <w:tcPr>
            <w:tcW w:w="2132" w:type="dxa"/>
            <w:tcBorders>
              <w:top w:val="single" w:color="auto" w:sz="6" w:space="0"/>
              <w:left w:val="single" w:color="auto" w:sz="6" w:space="0"/>
              <w:bottom w:val="single" w:color="auto" w:sz="6" w:space="0"/>
              <w:right w:val="single" w:color="auto" w:sz="6" w:space="0"/>
            </w:tcBorders>
            <w:noWrap w:val="0"/>
            <w:vAlign w:val="center"/>
          </w:tcPr>
          <w:p w14:paraId="3167ADA8">
            <w:pPr>
              <w:shd w:val="clear" w:color="auto" w:fill="FFFFFF"/>
              <w:spacing w:line="360" w:lineRule="exact"/>
              <w:ind w:firstLine="99"/>
              <w:jc w:val="center"/>
              <w:rPr>
                <w:rFonts w:ascii="宋体" w:hAnsi="宋体" w:cs="宋体"/>
                <w:color w:val="auto"/>
                <w:sz w:val="24"/>
                <w:highlight w:val="none"/>
              </w:rPr>
            </w:pPr>
          </w:p>
        </w:tc>
        <w:tc>
          <w:tcPr>
            <w:tcW w:w="2434" w:type="dxa"/>
            <w:tcBorders>
              <w:top w:val="single" w:color="auto" w:sz="6" w:space="0"/>
              <w:left w:val="single" w:color="auto" w:sz="6" w:space="0"/>
              <w:bottom w:val="single" w:color="auto" w:sz="6" w:space="0"/>
              <w:right w:val="single" w:color="auto" w:sz="6" w:space="0"/>
            </w:tcBorders>
            <w:noWrap w:val="0"/>
            <w:vAlign w:val="center"/>
          </w:tcPr>
          <w:p w14:paraId="31EF9F9A">
            <w:pPr>
              <w:shd w:val="clear" w:color="auto" w:fill="FFFFFF"/>
              <w:spacing w:line="360" w:lineRule="exact"/>
              <w:ind w:firstLine="99"/>
              <w:jc w:val="center"/>
              <w:rPr>
                <w:rFonts w:ascii="宋体" w:hAnsi="宋体" w:cs="宋体"/>
                <w:color w:val="auto"/>
                <w:sz w:val="24"/>
                <w:highlight w:val="none"/>
              </w:rPr>
            </w:pPr>
          </w:p>
        </w:tc>
      </w:tr>
      <w:tr w14:paraId="3F2D7E8B">
        <w:tblPrEx>
          <w:tblCellMar>
            <w:top w:w="0" w:type="dxa"/>
            <w:left w:w="108" w:type="dxa"/>
            <w:bottom w:w="0" w:type="dxa"/>
            <w:right w:w="108" w:type="dxa"/>
          </w:tblCellMar>
        </w:tblPrEx>
        <w:trPr>
          <w:cantSplit/>
          <w:trHeight w:val="622" w:hRule="exac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14:paraId="396B2155">
            <w:pPr>
              <w:shd w:val="clear" w:color="auto" w:fill="FFFFFF"/>
              <w:spacing w:line="360" w:lineRule="exact"/>
              <w:ind w:firstLine="99"/>
              <w:jc w:val="center"/>
              <w:rPr>
                <w:rFonts w:ascii="宋体" w:hAnsi="宋体" w:cs="宋体"/>
                <w:color w:val="auto"/>
                <w:sz w:val="24"/>
                <w:highlight w:val="none"/>
              </w:rPr>
            </w:pPr>
          </w:p>
        </w:tc>
        <w:tc>
          <w:tcPr>
            <w:tcW w:w="1795" w:type="dxa"/>
            <w:tcBorders>
              <w:top w:val="single" w:color="auto" w:sz="6" w:space="0"/>
              <w:left w:val="single" w:color="auto" w:sz="6" w:space="0"/>
              <w:bottom w:val="single" w:color="auto" w:sz="6" w:space="0"/>
              <w:right w:val="single" w:color="auto" w:sz="6" w:space="0"/>
            </w:tcBorders>
            <w:noWrap w:val="0"/>
            <w:vAlign w:val="center"/>
          </w:tcPr>
          <w:p w14:paraId="6B61003F">
            <w:pPr>
              <w:shd w:val="clear" w:color="auto" w:fill="FFFFFF"/>
              <w:spacing w:line="360" w:lineRule="exact"/>
              <w:ind w:firstLine="99"/>
              <w:jc w:val="center"/>
              <w:rPr>
                <w:rFonts w:ascii="宋体" w:hAnsi="宋体" w:cs="宋体"/>
                <w:color w:val="auto"/>
                <w:sz w:val="24"/>
                <w:highlight w:val="none"/>
              </w:rPr>
            </w:pPr>
          </w:p>
        </w:tc>
        <w:tc>
          <w:tcPr>
            <w:tcW w:w="2020" w:type="dxa"/>
            <w:tcBorders>
              <w:top w:val="single" w:color="auto" w:sz="6" w:space="0"/>
              <w:left w:val="single" w:color="auto" w:sz="6" w:space="0"/>
              <w:bottom w:val="single" w:color="auto" w:sz="6" w:space="0"/>
              <w:right w:val="single" w:color="auto" w:sz="6" w:space="0"/>
            </w:tcBorders>
            <w:noWrap w:val="0"/>
            <w:vAlign w:val="center"/>
          </w:tcPr>
          <w:p w14:paraId="02CBA889">
            <w:pPr>
              <w:shd w:val="clear" w:color="auto" w:fill="FFFFFF"/>
              <w:spacing w:line="360" w:lineRule="exact"/>
              <w:ind w:firstLine="99"/>
              <w:jc w:val="center"/>
              <w:rPr>
                <w:rFonts w:ascii="宋体" w:hAnsi="宋体" w:cs="宋体"/>
                <w:color w:val="auto"/>
                <w:sz w:val="24"/>
                <w:highlight w:val="none"/>
              </w:rPr>
            </w:pPr>
          </w:p>
        </w:tc>
        <w:tc>
          <w:tcPr>
            <w:tcW w:w="2132" w:type="dxa"/>
            <w:tcBorders>
              <w:top w:val="single" w:color="auto" w:sz="6" w:space="0"/>
              <w:left w:val="single" w:color="auto" w:sz="6" w:space="0"/>
              <w:bottom w:val="single" w:color="auto" w:sz="6" w:space="0"/>
              <w:right w:val="single" w:color="auto" w:sz="6" w:space="0"/>
            </w:tcBorders>
            <w:noWrap w:val="0"/>
            <w:vAlign w:val="center"/>
          </w:tcPr>
          <w:p w14:paraId="5FF1EDD0">
            <w:pPr>
              <w:shd w:val="clear" w:color="auto" w:fill="FFFFFF"/>
              <w:spacing w:line="360" w:lineRule="exact"/>
              <w:ind w:firstLine="99"/>
              <w:jc w:val="center"/>
              <w:rPr>
                <w:rFonts w:ascii="宋体" w:hAnsi="宋体" w:cs="宋体"/>
                <w:color w:val="auto"/>
                <w:sz w:val="24"/>
                <w:highlight w:val="none"/>
              </w:rPr>
            </w:pPr>
          </w:p>
        </w:tc>
        <w:tc>
          <w:tcPr>
            <w:tcW w:w="2434" w:type="dxa"/>
            <w:tcBorders>
              <w:top w:val="single" w:color="auto" w:sz="6" w:space="0"/>
              <w:left w:val="single" w:color="auto" w:sz="6" w:space="0"/>
              <w:bottom w:val="single" w:color="auto" w:sz="6" w:space="0"/>
              <w:right w:val="single" w:color="auto" w:sz="6" w:space="0"/>
            </w:tcBorders>
            <w:noWrap w:val="0"/>
            <w:vAlign w:val="center"/>
          </w:tcPr>
          <w:p w14:paraId="3B1E404B">
            <w:pPr>
              <w:shd w:val="clear" w:color="auto" w:fill="FFFFFF"/>
              <w:spacing w:line="360" w:lineRule="exact"/>
              <w:ind w:firstLine="99"/>
              <w:jc w:val="center"/>
              <w:rPr>
                <w:rFonts w:ascii="宋体" w:hAnsi="宋体" w:cs="宋体"/>
                <w:color w:val="auto"/>
                <w:sz w:val="24"/>
                <w:highlight w:val="none"/>
              </w:rPr>
            </w:pPr>
          </w:p>
        </w:tc>
      </w:tr>
      <w:tr w14:paraId="0BAF8C7C">
        <w:tblPrEx>
          <w:tblCellMar>
            <w:top w:w="0" w:type="dxa"/>
            <w:left w:w="108" w:type="dxa"/>
            <w:bottom w:w="0" w:type="dxa"/>
            <w:right w:w="108" w:type="dxa"/>
          </w:tblCellMar>
        </w:tblPrEx>
        <w:trPr>
          <w:cantSplit/>
          <w:trHeight w:val="644" w:hRule="exac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14:paraId="598C1BC2">
            <w:pPr>
              <w:shd w:val="clear" w:color="auto" w:fill="FFFFFF"/>
              <w:spacing w:line="360" w:lineRule="exact"/>
              <w:ind w:firstLine="99"/>
              <w:jc w:val="center"/>
              <w:rPr>
                <w:rFonts w:ascii="宋体" w:hAnsi="宋体" w:cs="宋体"/>
                <w:color w:val="auto"/>
                <w:sz w:val="24"/>
                <w:highlight w:val="none"/>
              </w:rPr>
            </w:pPr>
          </w:p>
        </w:tc>
        <w:tc>
          <w:tcPr>
            <w:tcW w:w="1795" w:type="dxa"/>
            <w:tcBorders>
              <w:top w:val="single" w:color="auto" w:sz="6" w:space="0"/>
              <w:left w:val="single" w:color="auto" w:sz="6" w:space="0"/>
              <w:bottom w:val="single" w:color="auto" w:sz="6" w:space="0"/>
              <w:right w:val="single" w:color="auto" w:sz="6" w:space="0"/>
            </w:tcBorders>
            <w:noWrap w:val="0"/>
            <w:vAlign w:val="center"/>
          </w:tcPr>
          <w:p w14:paraId="0B6955AB">
            <w:pPr>
              <w:shd w:val="clear" w:color="auto" w:fill="FFFFFF"/>
              <w:spacing w:line="360" w:lineRule="exact"/>
              <w:ind w:firstLine="99"/>
              <w:jc w:val="center"/>
              <w:rPr>
                <w:rFonts w:ascii="宋体" w:hAnsi="宋体" w:cs="宋体"/>
                <w:color w:val="auto"/>
                <w:sz w:val="24"/>
                <w:highlight w:val="none"/>
              </w:rPr>
            </w:pPr>
          </w:p>
        </w:tc>
        <w:tc>
          <w:tcPr>
            <w:tcW w:w="2020" w:type="dxa"/>
            <w:tcBorders>
              <w:top w:val="single" w:color="auto" w:sz="6" w:space="0"/>
              <w:left w:val="single" w:color="auto" w:sz="6" w:space="0"/>
              <w:bottom w:val="single" w:color="auto" w:sz="6" w:space="0"/>
              <w:right w:val="single" w:color="auto" w:sz="6" w:space="0"/>
            </w:tcBorders>
            <w:noWrap w:val="0"/>
            <w:vAlign w:val="center"/>
          </w:tcPr>
          <w:p w14:paraId="67EF5A4B">
            <w:pPr>
              <w:shd w:val="clear" w:color="auto" w:fill="FFFFFF"/>
              <w:spacing w:line="360" w:lineRule="exact"/>
              <w:ind w:firstLine="99"/>
              <w:jc w:val="center"/>
              <w:rPr>
                <w:rFonts w:ascii="宋体" w:hAnsi="宋体" w:cs="宋体"/>
                <w:color w:val="auto"/>
                <w:sz w:val="24"/>
                <w:highlight w:val="none"/>
              </w:rPr>
            </w:pPr>
          </w:p>
        </w:tc>
        <w:tc>
          <w:tcPr>
            <w:tcW w:w="2132" w:type="dxa"/>
            <w:tcBorders>
              <w:top w:val="single" w:color="auto" w:sz="6" w:space="0"/>
              <w:left w:val="single" w:color="auto" w:sz="6" w:space="0"/>
              <w:bottom w:val="single" w:color="auto" w:sz="6" w:space="0"/>
              <w:right w:val="single" w:color="auto" w:sz="6" w:space="0"/>
            </w:tcBorders>
            <w:noWrap w:val="0"/>
            <w:vAlign w:val="center"/>
          </w:tcPr>
          <w:p w14:paraId="032C2735">
            <w:pPr>
              <w:shd w:val="clear" w:color="auto" w:fill="FFFFFF"/>
              <w:spacing w:line="360" w:lineRule="exact"/>
              <w:ind w:firstLine="99"/>
              <w:jc w:val="center"/>
              <w:rPr>
                <w:rFonts w:ascii="宋体" w:hAnsi="宋体" w:cs="宋体"/>
                <w:color w:val="auto"/>
                <w:sz w:val="24"/>
                <w:highlight w:val="none"/>
              </w:rPr>
            </w:pPr>
          </w:p>
        </w:tc>
        <w:tc>
          <w:tcPr>
            <w:tcW w:w="2434" w:type="dxa"/>
            <w:tcBorders>
              <w:top w:val="single" w:color="auto" w:sz="6" w:space="0"/>
              <w:left w:val="single" w:color="auto" w:sz="6" w:space="0"/>
              <w:bottom w:val="single" w:color="auto" w:sz="6" w:space="0"/>
              <w:right w:val="single" w:color="auto" w:sz="6" w:space="0"/>
            </w:tcBorders>
            <w:noWrap w:val="0"/>
            <w:vAlign w:val="center"/>
          </w:tcPr>
          <w:p w14:paraId="10E55FE1">
            <w:pPr>
              <w:shd w:val="clear" w:color="auto" w:fill="FFFFFF"/>
              <w:spacing w:line="360" w:lineRule="exact"/>
              <w:ind w:firstLine="99"/>
              <w:jc w:val="center"/>
              <w:rPr>
                <w:rFonts w:ascii="宋体" w:hAnsi="宋体" w:cs="宋体"/>
                <w:color w:val="auto"/>
                <w:sz w:val="24"/>
                <w:highlight w:val="none"/>
              </w:rPr>
            </w:pPr>
          </w:p>
        </w:tc>
      </w:tr>
    </w:tbl>
    <w:p w14:paraId="552037AC">
      <w:pPr>
        <w:shd w:val="clear" w:color="auto" w:fill="FFFFFF"/>
        <w:spacing w:line="440" w:lineRule="exact"/>
        <w:ind w:firstLine="482" w:firstLineChars="200"/>
        <w:rPr>
          <w:rFonts w:hint="eastAsia" w:ascii="宋体" w:hAnsi="宋体" w:eastAsia="宋体" w:cs="宋体"/>
          <w:b/>
          <w:bCs/>
          <w:color w:val="auto"/>
          <w:sz w:val="24"/>
          <w:szCs w:val="24"/>
          <w:highlight w:val="none"/>
        </w:rPr>
      </w:pPr>
    </w:p>
    <w:p w14:paraId="15B91EE0">
      <w:pPr>
        <w:shd w:val="clear" w:color="auto" w:fill="FFFFFF"/>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注：1、对于</w:t>
      </w:r>
      <w:r>
        <w:rPr>
          <w:rFonts w:hint="eastAsia" w:ascii="宋体" w:hAnsi="宋体" w:eastAsia="宋体" w:cs="宋体"/>
          <w:b/>
          <w:bCs/>
          <w:color w:val="auto"/>
          <w:sz w:val="24"/>
          <w:szCs w:val="24"/>
          <w:highlight w:val="none"/>
          <w:lang w:eastAsia="zh-CN"/>
        </w:rPr>
        <w:t>磋商文件</w:t>
      </w:r>
      <w:r>
        <w:rPr>
          <w:rFonts w:hint="eastAsia" w:ascii="宋体" w:hAnsi="宋体" w:eastAsia="宋体" w:cs="宋体"/>
          <w:b/>
          <w:bCs/>
          <w:color w:val="auto"/>
          <w:sz w:val="24"/>
          <w:szCs w:val="24"/>
          <w:highlight w:val="none"/>
        </w:rPr>
        <w:t>加“★”条款的响应，如有偏离，其</w:t>
      </w:r>
      <w:r>
        <w:rPr>
          <w:rFonts w:hint="eastAsia" w:ascii="宋体" w:hAnsi="宋体" w:eastAsia="宋体" w:cs="宋体"/>
          <w:b/>
          <w:bCs/>
          <w:color w:val="auto"/>
          <w:sz w:val="24"/>
          <w:szCs w:val="24"/>
          <w:highlight w:val="none"/>
          <w:lang w:eastAsia="zh-CN"/>
        </w:rPr>
        <w:t>响应文件</w:t>
      </w:r>
      <w:r>
        <w:rPr>
          <w:rFonts w:hint="eastAsia" w:ascii="宋体" w:hAnsi="宋体" w:eastAsia="宋体" w:cs="宋体"/>
          <w:b/>
          <w:bCs/>
          <w:color w:val="auto"/>
          <w:sz w:val="24"/>
          <w:szCs w:val="24"/>
          <w:highlight w:val="none"/>
        </w:rPr>
        <w:t>无效。</w:t>
      </w:r>
    </w:p>
    <w:p w14:paraId="20B0030B">
      <w:pPr>
        <w:shd w:val="clear" w:color="auto" w:fill="FFFFFF"/>
        <w:spacing w:line="440" w:lineRule="exact"/>
        <w:ind w:firstLine="964" w:firstLineChars="4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2、本表中未列明条款或内容与正文不一致的，均以正文为准。</w:t>
      </w:r>
    </w:p>
    <w:p w14:paraId="3D76F871">
      <w:pPr>
        <w:shd w:val="clear" w:color="auto" w:fill="FFFFFF"/>
        <w:spacing w:line="500" w:lineRule="exact"/>
        <w:ind w:left="424" w:leftChars="202"/>
        <w:rPr>
          <w:rFonts w:ascii="宋体" w:hAnsi="宋体" w:cs="宋体"/>
          <w:color w:val="auto"/>
          <w:sz w:val="24"/>
          <w:highlight w:val="none"/>
        </w:rPr>
      </w:pPr>
    </w:p>
    <w:p w14:paraId="3B8D8F6D">
      <w:pPr>
        <w:shd w:val="clear" w:color="auto" w:fill="FFFFFF"/>
        <w:spacing w:line="500" w:lineRule="exact"/>
        <w:ind w:left="424" w:leftChars="202"/>
        <w:rPr>
          <w:rFonts w:ascii="宋体" w:hAnsi="宋体" w:cs="宋体"/>
          <w:color w:val="auto"/>
          <w:sz w:val="24"/>
          <w:highlight w:val="none"/>
        </w:rPr>
      </w:pPr>
      <w:r>
        <w:rPr>
          <w:rFonts w:hint="eastAsia" w:ascii="宋体" w:hAnsi="宋体" w:cs="宋体"/>
          <w:color w:val="auto"/>
          <w:sz w:val="24"/>
          <w:highlight w:val="none"/>
        </w:rPr>
        <w:t>供应商（</w:t>
      </w:r>
      <w:r>
        <w:rPr>
          <w:rFonts w:hint="eastAsia" w:ascii="宋体" w:hAnsi="宋体" w:cs="宋体"/>
          <w:color w:val="auto"/>
          <w:sz w:val="24"/>
          <w:highlight w:val="none"/>
          <w:lang w:val="en-US" w:eastAsia="zh-CN"/>
        </w:rPr>
        <w:t>电子</w:t>
      </w:r>
      <w:r>
        <w:rPr>
          <w:rFonts w:hint="eastAsia" w:ascii="宋体" w:hAnsi="宋体" w:cs="宋体"/>
          <w:color w:val="auto"/>
          <w:sz w:val="24"/>
          <w:highlight w:val="none"/>
        </w:rPr>
        <w:t>公章）：</w:t>
      </w:r>
    </w:p>
    <w:p w14:paraId="591950C6">
      <w:pPr>
        <w:shd w:val="clear" w:color="auto" w:fill="FFFFFF"/>
        <w:tabs>
          <w:tab w:val="left" w:pos="3780"/>
        </w:tabs>
        <w:spacing w:line="440" w:lineRule="exact"/>
        <w:ind w:left="424" w:leftChars="202"/>
        <w:rPr>
          <w:rFonts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eastAsia="宋体" w:cs="宋体"/>
          <w:color w:val="auto"/>
          <w:sz w:val="24"/>
          <w:highlight w:val="none"/>
          <w:lang w:eastAsia="zh-CN"/>
        </w:rPr>
        <w:t>或负责人</w:t>
      </w:r>
      <w:r>
        <w:rPr>
          <w:rFonts w:hint="eastAsia" w:ascii="宋体" w:hAnsi="宋体" w:cs="宋体"/>
          <w:color w:val="auto"/>
          <w:sz w:val="24"/>
          <w:highlight w:val="none"/>
        </w:rPr>
        <w:t>（签章）：</w:t>
      </w:r>
    </w:p>
    <w:p w14:paraId="00082222">
      <w:pPr>
        <w:widowControl/>
        <w:spacing w:line="440" w:lineRule="exact"/>
        <w:ind w:left="424" w:leftChars="202"/>
        <w:jc w:val="left"/>
        <w:rPr>
          <w:rFonts w:ascii="宋体" w:hAnsi="宋体" w:cs="宋体"/>
          <w:color w:val="auto"/>
          <w:kern w:val="0"/>
          <w:sz w:val="24"/>
          <w:highlight w:val="none"/>
        </w:rPr>
      </w:pPr>
      <w:r>
        <w:rPr>
          <w:rFonts w:hint="eastAsia" w:ascii="宋体" w:hAnsi="宋体" w:cs="宋体"/>
          <w:color w:val="auto"/>
          <w:sz w:val="24"/>
          <w:highlight w:val="none"/>
        </w:rPr>
        <w:t>日期：   年   月   日</w:t>
      </w:r>
    </w:p>
    <w:p w14:paraId="75E70A2E">
      <w:pPr>
        <w:widowControl/>
        <w:ind w:left="141" w:leftChars="67"/>
        <w:jc w:val="left"/>
        <w:rPr>
          <w:rFonts w:hint="eastAsia" w:ascii="宋体" w:hAnsi="宋体" w:eastAsia="宋体" w:cs="宋体"/>
          <w:bCs/>
          <w:color w:val="auto"/>
          <w:sz w:val="24"/>
          <w:highlight w:val="none"/>
        </w:rPr>
      </w:pPr>
    </w:p>
    <w:p w14:paraId="42C8C04C">
      <w:pPr>
        <w:widowControl/>
        <w:ind w:left="141" w:leftChars="67"/>
        <w:jc w:val="left"/>
        <w:rPr>
          <w:rFonts w:hint="eastAsia" w:ascii="宋体" w:hAnsi="宋体" w:eastAsia="宋体" w:cs="宋体"/>
          <w:bCs/>
          <w:color w:val="auto"/>
          <w:sz w:val="24"/>
          <w:highlight w:val="none"/>
        </w:rPr>
      </w:pPr>
    </w:p>
    <w:p w14:paraId="64E163AE">
      <w:pPr>
        <w:widowControl/>
        <w:ind w:left="141" w:leftChars="67"/>
        <w:jc w:val="left"/>
        <w:rPr>
          <w:rFonts w:hint="eastAsia" w:ascii="宋体" w:hAnsi="宋体" w:eastAsia="宋体" w:cs="宋体"/>
          <w:bCs/>
          <w:color w:val="auto"/>
          <w:sz w:val="24"/>
          <w:highlight w:val="none"/>
        </w:rPr>
      </w:pPr>
    </w:p>
    <w:p w14:paraId="4ABC49B5">
      <w:pPr>
        <w:widowControl/>
        <w:ind w:left="141" w:leftChars="67"/>
        <w:jc w:val="left"/>
        <w:rPr>
          <w:rFonts w:hint="eastAsia" w:ascii="宋体" w:hAnsi="宋体" w:eastAsia="宋体" w:cs="宋体"/>
          <w:bCs/>
          <w:color w:val="auto"/>
          <w:sz w:val="24"/>
          <w:highlight w:val="none"/>
        </w:rPr>
      </w:pPr>
    </w:p>
    <w:p w14:paraId="397D0DF0">
      <w:pPr>
        <w:widowControl/>
        <w:ind w:left="141" w:leftChars="67"/>
        <w:jc w:val="left"/>
        <w:rPr>
          <w:rFonts w:hint="eastAsia" w:ascii="宋体" w:hAnsi="宋体" w:eastAsia="宋体" w:cs="宋体"/>
          <w:bCs/>
          <w:color w:val="auto"/>
          <w:sz w:val="24"/>
          <w:highlight w:val="none"/>
        </w:rPr>
      </w:pPr>
    </w:p>
    <w:p w14:paraId="78BCA512">
      <w:pPr>
        <w:widowControl/>
        <w:ind w:left="141" w:leftChars="67"/>
        <w:jc w:val="left"/>
        <w:rPr>
          <w:rFonts w:hint="eastAsia" w:ascii="宋体" w:hAnsi="宋体" w:eastAsia="宋体" w:cs="宋体"/>
          <w:bCs/>
          <w:color w:val="auto"/>
          <w:sz w:val="24"/>
          <w:highlight w:val="none"/>
        </w:rPr>
      </w:pPr>
    </w:p>
    <w:p w14:paraId="73A01377">
      <w:pPr>
        <w:widowControl/>
        <w:ind w:left="141" w:leftChars="67"/>
        <w:jc w:val="left"/>
        <w:rPr>
          <w:rFonts w:hint="eastAsia" w:ascii="宋体" w:hAnsi="宋体" w:eastAsia="宋体" w:cs="宋体"/>
          <w:bCs/>
          <w:color w:val="auto"/>
          <w:sz w:val="24"/>
          <w:highlight w:val="none"/>
        </w:rPr>
      </w:pPr>
    </w:p>
    <w:p w14:paraId="3730C38B">
      <w:pPr>
        <w:widowControl/>
        <w:ind w:left="141" w:leftChars="67"/>
        <w:jc w:val="left"/>
        <w:rPr>
          <w:rFonts w:hint="eastAsia" w:ascii="宋体" w:hAnsi="宋体" w:eastAsia="宋体" w:cs="宋体"/>
          <w:bCs/>
          <w:color w:val="auto"/>
          <w:sz w:val="24"/>
          <w:highlight w:val="none"/>
        </w:rPr>
      </w:pPr>
    </w:p>
    <w:p w14:paraId="0626B8CF">
      <w:pPr>
        <w:widowControl/>
        <w:ind w:left="141" w:leftChars="67"/>
        <w:jc w:val="left"/>
        <w:rPr>
          <w:rFonts w:hint="eastAsia" w:ascii="宋体" w:hAnsi="宋体" w:eastAsia="宋体" w:cs="宋体"/>
          <w:bCs/>
          <w:color w:val="auto"/>
          <w:sz w:val="24"/>
          <w:highlight w:val="none"/>
        </w:rPr>
      </w:pPr>
    </w:p>
    <w:p w14:paraId="29182044">
      <w:pPr>
        <w:widowControl/>
        <w:ind w:left="141" w:leftChars="67"/>
        <w:jc w:val="left"/>
        <w:rPr>
          <w:rFonts w:hint="eastAsia" w:ascii="宋体" w:hAnsi="宋体" w:eastAsia="宋体" w:cs="宋体"/>
          <w:bCs/>
          <w:color w:val="auto"/>
          <w:sz w:val="24"/>
          <w:highlight w:val="none"/>
        </w:rPr>
      </w:pPr>
    </w:p>
    <w:p w14:paraId="3600D0A5">
      <w:pPr>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br w:type="page"/>
      </w:r>
    </w:p>
    <w:p w14:paraId="51C4AD75">
      <w:pPr>
        <w:widowControl/>
        <w:jc w:val="left"/>
        <w:rPr>
          <w:rFonts w:hint="eastAsia" w:ascii="宋体" w:hAnsi="宋体" w:eastAsia="宋体" w:cs="宋体"/>
          <w:bCs/>
          <w:color w:val="auto"/>
          <w:kern w:val="0"/>
          <w:sz w:val="24"/>
          <w:highlight w:val="none"/>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四</w:t>
      </w:r>
      <w:r>
        <w:rPr>
          <w:rFonts w:hint="eastAsia" w:ascii="宋体" w:hAnsi="宋体" w:eastAsia="宋体" w:cs="宋体"/>
          <w:bCs/>
          <w:color w:val="auto"/>
          <w:sz w:val="24"/>
          <w:highlight w:val="none"/>
          <w:lang w:eastAsia="zh-CN"/>
        </w:rPr>
        <w:t>）商务</w:t>
      </w:r>
      <w:r>
        <w:rPr>
          <w:rFonts w:hint="eastAsia" w:ascii="宋体" w:hAnsi="宋体" w:eastAsia="宋体" w:cs="宋体"/>
          <w:bCs/>
          <w:color w:val="auto"/>
          <w:sz w:val="24"/>
          <w:highlight w:val="none"/>
          <w:lang w:val="en-US" w:eastAsia="zh-CN"/>
        </w:rPr>
        <w:t>合同</w:t>
      </w:r>
      <w:r>
        <w:rPr>
          <w:rFonts w:hint="eastAsia" w:ascii="宋体" w:hAnsi="宋体" w:eastAsia="宋体" w:cs="宋体"/>
          <w:bCs/>
          <w:color w:val="auto"/>
          <w:sz w:val="24"/>
          <w:highlight w:val="none"/>
          <w:lang w:eastAsia="zh-CN"/>
        </w:rPr>
        <w:t>条款偏离表</w:t>
      </w:r>
    </w:p>
    <w:p w14:paraId="0E6F9F33">
      <w:pPr>
        <w:shd w:val="clear" w:color="auto" w:fill="FFFFFF"/>
        <w:spacing w:line="440" w:lineRule="exact"/>
        <w:jc w:val="center"/>
        <w:rPr>
          <w:rFonts w:ascii="宋体" w:hAnsi="宋体" w:eastAsia="宋体" w:cs="宋体"/>
          <w:b/>
          <w:color w:val="auto"/>
          <w:sz w:val="28"/>
          <w:szCs w:val="28"/>
          <w:highlight w:val="none"/>
        </w:rPr>
      </w:pPr>
    </w:p>
    <w:p w14:paraId="30E679C4">
      <w:pPr>
        <w:shd w:val="clear" w:color="auto" w:fill="FFFFFF"/>
        <w:spacing w:line="4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商务</w:t>
      </w:r>
      <w:r>
        <w:rPr>
          <w:rFonts w:hint="eastAsia" w:ascii="宋体" w:hAnsi="宋体" w:eastAsia="宋体" w:cs="宋体"/>
          <w:b/>
          <w:color w:val="auto"/>
          <w:sz w:val="28"/>
          <w:szCs w:val="28"/>
          <w:highlight w:val="none"/>
          <w:lang w:val="en-US" w:eastAsia="zh-CN"/>
        </w:rPr>
        <w:t>合同</w:t>
      </w:r>
      <w:r>
        <w:rPr>
          <w:rFonts w:hint="eastAsia" w:ascii="宋体" w:hAnsi="宋体" w:eastAsia="宋体" w:cs="宋体"/>
          <w:b/>
          <w:color w:val="auto"/>
          <w:sz w:val="28"/>
          <w:szCs w:val="28"/>
          <w:highlight w:val="none"/>
        </w:rPr>
        <w:t>条款偏离表</w:t>
      </w:r>
    </w:p>
    <w:p w14:paraId="5697D5F8">
      <w:pPr>
        <w:shd w:val="clear" w:color="auto" w:fill="FFFFFF"/>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项目编号</w:t>
      </w:r>
      <w:r>
        <w:rPr>
          <w:rFonts w:hint="eastAsia" w:ascii="宋体" w:hAnsi="宋体" w:eastAsia="宋体" w:cs="宋体"/>
          <w:color w:val="auto"/>
          <w:sz w:val="24"/>
          <w:highlight w:val="none"/>
          <w:lang w:eastAsia="zh-CN"/>
        </w:rPr>
        <w:t>：</w:t>
      </w:r>
    </w:p>
    <w:tbl>
      <w:tblPr>
        <w:tblStyle w:val="27"/>
        <w:tblW w:w="0" w:type="auto"/>
        <w:tblInd w:w="0" w:type="dxa"/>
        <w:tblLayout w:type="fixed"/>
        <w:tblCellMar>
          <w:top w:w="0" w:type="dxa"/>
          <w:left w:w="108" w:type="dxa"/>
          <w:bottom w:w="0" w:type="dxa"/>
          <w:right w:w="108" w:type="dxa"/>
        </w:tblCellMar>
      </w:tblPr>
      <w:tblGrid>
        <w:gridCol w:w="924"/>
        <w:gridCol w:w="1773"/>
        <w:gridCol w:w="1994"/>
        <w:gridCol w:w="2105"/>
        <w:gridCol w:w="2402"/>
      </w:tblGrid>
      <w:tr w14:paraId="68DCE14C">
        <w:tblPrEx>
          <w:tblCellMar>
            <w:top w:w="0" w:type="dxa"/>
            <w:left w:w="108" w:type="dxa"/>
            <w:bottom w:w="0" w:type="dxa"/>
            <w:right w:w="108" w:type="dxa"/>
          </w:tblCellMar>
        </w:tblPrEx>
        <w:trPr>
          <w:cantSplit/>
          <w:trHeight w:val="626" w:hRule="exact"/>
        </w:trPr>
        <w:tc>
          <w:tcPr>
            <w:tcW w:w="924" w:type="dxa"/>
            <w:tcBorders>
              <w:top w:val="single" w:color="auto" w:sz="6" w:space="0"/>
              <w:left w:val="single" w:color="auto" w:sz="6" w:space="0"/>
              <w:bottom w:val="single" w:color="auto" w:sz="6" w:space="0"/>
              <w:right w:val="single" w:color="auto" w:sz="6" w:space="0"/>
            </w:tcBorders>
            <w:noWrap w:val="0"/>
            <w:vAlign w:val="top"/>
          </w:tcPr>
          <w:p w14:paraId="450934B9">
            <w:pPr>
              <w:shd w:val="clear" w:color="auto" w:fill="FFFFFF"/>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773" w:type="dxa"/>
            <w:tcBorders>
              <w:top w:val="single" w:color="auto" w:sz="6" w:space="0"/>
              <w:left w:val="single" w:color="auto" w:sz="6" w:space="0"/>
              <w:bottom w:val="single" w:color="auto" w:sz="6" w:space="0"/>
              <w:right w:val="single" w:color="auto" w:sz="6" w:space="0"/>
            </w:tcBorders>
            <w:noWrap w:val="0"/>
            <w:vAlign w:val="top"/>
          </w:tcPr>
          <w:p w14:paraId="32FF4727">
            <w:pPr>
              <w:shd w:val="clear" w:color="auto" w:fill="FFFFFF"/>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条款序号</w:t>
            </w:r>
          </w:p>
        </w:tc>
        <w:tc>
          <w:tcPr>
            <w:tcW w:w="1994" w:type="dxa"/>
            <w:tcBorders>
              <w:top w:val="single" w:color="auto" w:sz="6" w:space="0"/>
              <w:left w:val="single" w:color="auto" w:sz="6" w:space="0"/>
              <w:bottom w:val="single" w:color="auto" w:sz="6" w:space="0"/>
              <w:right w:val="single" w:color="auto" w:sz="6" w:space="0"/>
            </w:tcBorders>
            <w:noWrap w:val="0"/>
            <w:vAlign w:val="top"/>
          </w:tcPr>
          <w:p w14:paraId="3366CAD9">
            <w:pPr>
              <w:shd w:val="clear" w:color="auto" w:fill="FFFFFF"/>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招标条款</w:t>
            </w:r>
          </w:p>
        </w:tc>
        <w:tc>
          <w:tcPr>
            <w:tcW w:w="2105" w:type="dxa"/>
            <w:tcBorders>
              <w:top w:val="single" w:color="auto" w:sz="6" w:space="0"/>
              <w:left w:val="single" w:color="auto" w:sz="6" w:space="0"/>
              <w:bottom w:val="single" w:color="auto" w:sz="6" w:space="0"/>
              <w:right w:val="single" w:color="auto" w:sz="6" w:space="0"/>
            </w:tcBorders>
            <w:noWrap w:val="0"/>
            <w:vAlign w:val="top"/>
          </w:tcPr>
          <w:p w14:paraId="7CB3C99C">
            <w:pPr>
              <w:shd w:val="clear" w:color="auto" w:fill="FFFFFF"/>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投标条款</w:t>
            </w:r>
          </w:p>
        </w:tc>
        <w:tc>
          <w:tcPr>
            <w:tcW w:w="2402" w:type="dxa"/>
            <w:tcBorders>
              <w:top w:val="single" w:color="auto" w:sz="6" w:space="0"/>
              <w:left w:val="single" w:color="auto" w:sz="6" w:space="0"/>
              <w:bottom w:val="single" w:color="auto" w:sz="6" w:space="0"/>
              <w:right w:val="single" w:color="auto" w:sz="6" w:space="0"/>
            </w:tcBorders>
            <w:noWrap w:val="0"/>
            <w:vAlign w:val="top"/>
          </w:tcPr>
          <w:p w14:paraId="5DD6386E">
            <w:pPr>
              <w:shd w:val="clear" w:color="auto" w:fill="FFFFFF"/>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响应/偏离</w:t>
            </w:r>
          </w:p>
        </w:tc>
      </w:tr>
      <w:tr w14:paraId="1F74EE32">
        <w:tblPrEx>
          <w:tblCellMar>
            <w:top w:w="0" w:type="dxa"/>
            <w:left w:w="108" w:type="dxa"/>
            <w:bottom w:w="0" w:type="dxa"/>
            <w:right w:w="108" w:type="dxa"/>
          </w:tblCellMar>
        </w:tblPrEx>
        <w:trPr>
          <w:cantSplit/>
          <w:trHeight w:val="626" w:hRule="exact"/>
        </w:trPr>
        <w:tc>
          <w:tcPr>
            <w:tcW w:w="924" w:type="dxa"/>
            <w:tcBorders>
              <w:top w:val="single" w:color="auto" w:sz="6" w:space="0"/>
              <w:left w:val="single" w:color="auto" w:sz="6" w:space="0"/>
              <w:bottom w:val="single" w:color="auto" w:sz="6" w:space="0"/>
              <w:right w:val="single" w:color="auto" w:sz="6" w:space="0"/>
            </w:tcBorders>
            <w:noWrap w:val="0"/>
            <w:vAlign w:val="top"/>
          </w:tcPr>
          <w:p w14:paraId="26BB63B0">
            <w:pPr>
              <w:shd w:val="clear" w:color="auto" w:fill="FFFFFF"/>
              <w:spacing w:line="440" w:lineRule="exact"/>
              <w:ind w:firstLine="99"/>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773" w:type="dxa"/>
            <w:tcBorders>
              <w:top w:val="single" w:color="auto" w:sz="6" w:space="0"/>
              <w:left w:val="single" w:color="auto" w:sz="6" w:space="0"/>
              <w:bottom w:val="single" w:color="auto" w:sz="6" w:space="0"/>
              <w:right w:val="single" w:color="auto" w:sz="6" w:space="0"/>
            </w:tcBorders>
            <w:noWrap w:val="0"/>
            <w:vAlign w:val="top"/>
          </w:tcPr>
          <w:p w14:paraId="66A76901">
            <w:pPr>
              <w:shd w:val="clear" w:color="auto" w:fill="FFFFFF"/>
              <w:spacing w:line="440" w:lineRule="exact"/>
              <w:ind w:firstLine="99"/>
              <w:rPr>
                <w:rFonts w:hint="eastAsia" w:ascii="宋体" w:hAnsi="宋体" w:eastAsia="宋体" w:cs="宋体"/>
                <w:color w:val="auto"/>
                <w:highlight w:val="none"/>
              </w:rPr>
            </w:pPr>
          </w:p>
        </w:tc>
        <w:tc>
          <w:tcPr>
            <w:tcW w:w="1994" w:type="dxa"/>
            <w:tcBorders>
              <w:top w:val="single" w:color="auto" w:sz="6" w:space="0"/>
              <w:left w:val="single" w:color="auto" w:sz="6" w:space="0"/>
              <w:bottom w:val="single" w:color="auto" w:sz="6" w:space="0"/>
              <w:right w:val="single" w:color="auto" w:sz="6" w:space="0"/>
            </w:tcBorders>
            <w:noWrap w:val="0"/>
            <w:vAlign w:val="top"/>
          </w:tcPr>
          <w:p w14:paraId="5A6E20FB">
            <w:pPr>
              <w:shd w:val="clear" w:color="auto" w:fill="FFFFFF"/>
              <w:spacing w:line="440" w:lineRule="exact"/>
              <w:ind w:firstLine="99"/>
              <w:rPr>
                <w:rFonts w:hint="eastAsia" w:ascii="宋体" w:hAnsi="宋体" w:eastAsia="宋体" w:cs="宋体"/>
                <w:color w:val="auto"/>
                <w:highlight w:val="none"/>
              </w:rPr>
            </w:pPr>
          </w:p>
        </w:tc>
        <w:tc>
          <w:tcPr>
            <w:tcW w:w="2105" w:type="dxa"/>
            <w:tcBorders>
              <w:top w:val="single" w:color="auto" w:sz="6" w:space="0"/>
              <w:left w:val="single" w:color="auto" w:sz="6" w:space="0"/>
              <w:bottom w:val="single" w:color="auto" w:sz="6" w:space="0"/>
              <w:right w:val="single" w:color="auto" w:sz="6" w:space="0"/>
            </w:tcBorders>
            <w:noWrap w:val="0"/>
            <w:vAlign w:val="top"/>
          </w:tcPr>
          <w:p w14:paraId="4CEE77A7">
            <w:pPr>
              <w:shd w:val="clear" w:color="auto" w:fill="FFFFFF"/>
              <w:spacing w:line="440" w:lineRule="exact"/>
              <w:ind w:firstLine="99"/>
              <w:rPr>
                <w:rFonts w:hint="eastAsia" w:ascii="宋体" w:hAnsi="宋体" w:eastAsia="宋体" w:cs="宋体"/>
                <w:color w:val="auto"/>
                <w:highlight w:val="none"/>
              </w:rPr>
            </w:pPr>
          </w:p>
        </w:tc>
        <w:tc>
          <w:tcPr>
            <w:tcW w:w="2402" w:type="dxa"/>
            <w:tcBorders>
              <w:top w:val="single" w:color="auto" w:sz="6" w:space="0"/>
              <w:left w:val="single" w:color="auto" w:sz="6" w:space="0"/>
              <w:bottom w:val="single" w:color="auto" w:sz="6" w:space="0"/>
              <w:right w:val="single" w:color="auto" w:sz="6" w:space="0"/>
            </w:tcBorders>
            <w:noWrap w:val="0"/>
            <w:vAlign w:val="top"/>
          </w:tcPr>
          <w:p w14:paraId="0669D609">
            <w:pPr>
              <w:shd w:val="clear" w:color="auto" w:fill="FFFFFF"/>
              <w:spacing w:line="440" w:lineRule="exact"/>
              <w:ind w:firstLine="99"/>
              <w:rPr>
                <w:rFonts w:hint="eastAsia" w:ascii="宋体" w:hAnsi="宋体" w:eastAsia="宋体" w:cs="宋体"/>
                <w:color w:val="auto"/>
                <w:highlight w:val="none"/>
              </w:rPr>
            </w:pPr>
          </w:p>
        </w:tc>
      </w:tr>
      <w:tr w14:paraId="6D9ADB94">
        <w:tblPrEx>
          <w:tblCellMar>
            <w:top w:w="0" w:type="dxa"/>
            <w:left w:w="108" w:type="dxa"/>
            <w:bottom w:w="0" w:type="dxa"/>
            <w:right w:w="108" w:type="dxa"/>
          </w:tblCellMar>
        </w:tblPrEx>
        <w:trPr>
          <w:cantSplit/>
          <w:trHeight w:val="626" w:hRule="exact"/>
        </w:trPr>
        <w:tc>
          <w:tcPr>
            <w:tcW w:w="924" w:type="dxa"/>
            <w:tcBorders>
              <w:top w:val="single" w:color="auto" w:sz="6" w:space="0"/>
              <w:left w:val="single" w:color="auto" w:sz="6" w:space="0"/>
              <w:bottom w:val="single" w:color="auto" w:sz="6" w:space="0"/>
              <w:right w:val="single" w:color="auto" w:sz="6" w:space="0"/>
            </w:tcBorders>
            <w:noWrap w:val="0"/>
            <w:vAlign w:val="top"/>
          </w:tcPr>
          <w:p w14:paraId="1F1B9565">
            <w:pPr>
              <w:shd w:val="clear" w:color="auto" w:fill="FFFFFF"/>
              <w:spacing w:line="440" w:lineRule="exact"/>
              <w:ind w:firstLine="99"/>
              <w:rPr>
                <w:rFonts w:hint="eastAsia" w:ascii="宋体" w:hAnsi="宋体" w:eastAsia="宋体" w:cs="宋体"/>
                <w:color w:val="auto"/>
                <w:highlight w:val="none"/>
              </w:rPr>
            </w:pPr>
          </w:p>
        </w:tc>
        <w:tc>
          <w:tcPr>
            <w:tcW w:w="1773" w:type="dxa"/>
            <w:tcBorders>
              <w:top w:val="single" w:color="auto" w:sz="6" w:space="0"/>
              <w:left w:val="single" w:color="auto" w:sz="6" w:space="0"/>
              <w:bottom w:val="single" w:color="auto" w:sz="6" w:space="0"/>
              <w:right w:val="single" w:color="auto" w:sz="6" w:space="0"/>
            </w:tcBorders>
            <w:noWrap w:val="0"/>
            <w:vAlign w:val="top"/>
          </w:tcPr>
          <w:p w14:paraId="65778AA3">
            <w:pPr>
              <w:shd w:val="clear" w:color="auto" w:fill="FFFFFF"/>
              <w:spacing w:line="440" w:lineRule="exact"/>
              <w:ind w:firstLine="99"/>
              <w:rPr>
                <w:rFonts w:hint="eastAsia" w:ascii="宋体" w:hAnsi="宋体" w:eastAsia="宋体" w:cs="宋体"/>
                <w:color w:val="auto"/>
                <w:highlight w:val="none"/>
              </w:rPr>
            </w:pPr>
          </w:p>
        </w:tc>
        <w:tc>
          <w:tcPr>
            <w:tcW w:w="1994" w:type="dxa"/>
            <w:tcBorders>
              <w:top w:val="single" w:color="auto" w:sz="6" w:space="0"/>
              <w:left w:val="single" w:color="auto" w:sz="6" w:space="0"/>
              <w:bottom w:val="single" w:color="auto" w:sz="6" w:space="0"/>
              <w:right w:val="single" w:color="auto" w:sz="6" w:space="0"/>
            </w:tcBorders>
            <w:noWrap w:val="0"/>
            <w:vAlign w:val="top"/>
          </w:tcPr>
          <w:p w14:paraId="1104A277">
            <w:pPr>
              <w:shd w:val="clear" w:color="auto" w:fill="FFFFFF"/>
              <w:spacing w:line="440" w:lineRule="exact"/>
              <w:ind w:firstLine="99"/>
              <w:rPr>
                <w:rFonts w:hint="eastAsia" w:ascii="宋体" w:hAnsi="宋体" w:eastAsia="宋体" w:cs="宋体"/>
                <w:color w:val="auto"/>
                <w:highlight w:val="none"/>
              </w:rPr>
            </w:pPr>
          </w:p>
        </w:tc>
        <w:tc>
          <w:tcPr>
            <w:tcW w:w="2105" w:type="dxa"/>
            <w:tcBorders>
              <w:top w:val="single" w:color="auto" w:sz="6" w:space="0"/>
              <w:left w:val="single" w:color="auto" w:sz="6" w:space="0"/>
              <w:bottom w:val="single" w:color="auto" w:sz="6" w:space="0"/>
              <w:right w:val="single" w:color="auto" w:sz="6" w:space="0"/>
            </w:tcBorders>
            <w:noWrap w:val="0"/>
            <w:vAlign w:val="top"/>
          </w:tcPr>
          <w:p w14:paraId="3F20B315">
            <w:pPr>
              <w:shd w:val="clear" w:color="auto" w:fill="FFFFFF"/>
              <w:spacing w:line="440" w:lineRule="exact"/>
              <w:ind w:firstLine="99"/>
              <w:rPr>
                <w:rFonts w:hint="eastAsia" w:ascii="宋体" w:hAnsi="宋体" w:eastAsia="宋体" w:cs="宋体"/>
                <w:color w:val="auto"/>
                <w:highlight w:val="none"/>
              </w:rPr>
            </w:pPr>
          </w:p>
        </w:tc>
        <w:tc>
          <w:tcPr>
            <w:tcW w:w="2402" w:type="dxa"/>
            <w:tcBorders>
              <w:top w:val="single" w:color="auto" w:sz="6" w:space="0"/>
              <w:left w:val="single" w:color="auto" w:sz="6" w:space="0"/>
              <w:bottom w:val="single" w:color="auto" w:sz="6" w:space="0"/>
              <w:right w:val="single" w:color="auto" w:sz="6" w:space="0"/>
            </w:tcBorders>
            <w:noWrap w:val="0"/>
            <w:vAlign w:val="top"/>
          </w:tcPr>
          <w:p w14:paraId="603F8FF0">
            <w:pPr>
              <w:shd w:val="clear" w:color="auto" w:fill="FFFFFF"/>
              <w:spacing w:line="440" w:lineRule="exact"/>
              <w:ind w:firstLine="99"/>
              <w:rPr>
                <w:rFonts w:hint="eastAsia" w:ascii="宋体" w:hAnsi="宋体" w:eastAsia="宋体" w:cs="宋体"/>
                <w:color w:val="auto"/>
                <w:highlight w:val="none"/>
              </w:rPr>
            </w:pPr>
          </w:p>
        </w:tc>
      </w:tr>
      <w:tr w14:paraId="74A5944F">
        <w:tblPrEx>
          <w:tblCellMar>
            <w:top w:w="0" w:type="dxa"/>
            <w:left w:w="108" w:type="dxa"/>
            <w:bottom w:w="0" w:type="dxa"/>
            <w:right w:w="108" w:type="dxa"/>
          </w:tblCellMar>
        </w:tblPrEx>
        <w:trPr>
          <w:cantSplit/>
          <w:trHeight w:val="626" w:hRule="exact"/>
        </w:trPr>
        <w:tc>
          <w:tcPr>
            <w:tcW w:w="924" w:type="dxa"/>
            <w:tcBorders>
              <w:top w:val="single" w:color="auto" w:sz="6" w:space="0"/>
              <w:left w:val="single" w:color="auto" w:sz="6" w:space="0"/>
              <w:bottom w:val="single" w:color="auto" w:sz="6" w:space="0"/>
              <w:right w:val="single" w:color="auto" w:sz="6" w:space="0"/>
            </w:tcBorders>
            <w:noWrap w:val="0"/>
            <w:vAlign w:val="top"/>
          </w:tcPr>
          <w:p w14:paraId="392BC76E">
            <w:pPr>
              <w:shd w:val="clear" w:color="auto" w:fill="FFFFFF"/>
              <w:spacing w:line="440" w:lineRule="exact"/>
              <w:ind w:firstLine="99"/>
              <w:rPr>
                <w:rFonts w:hint="eastAsia" w:ascii="宋体" w:hAnsi="宋体" w:eastAsia="宋体" w:cs="宋体"/>
                <w:color w:val="auto"/>
                <w:highlight w:val="none"/>
              </w:rPr>
            </w:pPr>
          </w:p>
        </w:tc>
        <w:tc>
          <w:tcPr>
            <w:tcW w:w="1773" w:type="dxa"/>
            <w:tcBorders>
              <w:top w:val="single" w:color="auto" w:sz="6" w:space="0"/>
              <w:left w:val="single" w:color="auto" w:sz="6" w:space="0"/>
              <w:bottom w:val="single" w:color="auto" w:sz="6" w:space="0"/>
              <w:right w:val="single" w:color="auto" w:sz="6" w:space="0"/>
            </w:tcBorders>
            <w:noWrap w:val="0"/>
            <w:vAlign w:val="top"/>
          </w:tcPr>
          <w:p w14:paraId="098CAE94">
            <w:pPr>
              <w:shd w:val="clear" w:color="auto" w:fill="FFFFFF"/>
              <w:spacing w:line="440" w:lineRule="exact"/>
              <w:ind w:firstLine="99"/>
              <w:rPr>
                <w:rFonts w:hint="eastAsia" w:ascii="宋体" w:hAnsi="宋体" w:eastAsia="宋体" w:cs="宋体"/>
                <w:color w:val="auto"/>
                <w:highlight w:val="none"/>
              </w:rPr>
            </w:pPr>
          </w:p>
        </w:tc>
        <w:tc>
          <w:tcPr>
            <w:tcW w:w="1994" w:type="dxa"/>
            <w:tcBorders>
              <w:top w:val="single" w:color="auto" w:sz="6" w:space="0"/>
              <w:left w:val="single" w:color="auto" w:sz="6" w:space="0"/>
              <w:bottom w:val="single" w:color="auto" w:sz="6" w:space="0"/>
              <w:right w:val="single" w:color="auto" w:sz="6" w:space="0"/>
            </w:tcBorders>
            <w:noWrap w:val="0"/>
            <w:vAlign w:val="top"/>
          </w:tcPr>
          <w:p w14:paraId="5A4C1867">
            <w:pPr>
              <w:shd w:val="clear" w:color="auto" w:fill="FFFFFF"/>
              <w:spacing w:line="440" w:lineRule="exact"/>
              <w:ind w:firstLine="99"/>
              <w:rPr>
                <w:rFonts w:hint="eastAsia" w:ascii="宋体" w:hAnsi="宋体" w:eastAsia="宋体" w:cs="宋体"/>
                <w:color w:val="auto"/>
                <w:highlight w:val="none"/>
              </w:rPr>
            </w:pPr>
          </w:p>
        </w:tc>
        <w:tc>
          <w:tcPr>
            <w:tcW w:w="2105" w:type="dxa"/>
            <w:tcBorders>
              <w:top w:val="single" w:color="auto" w:sz="6" w:space="0"/>
              <w:left w:val="single" w:color="auto" w:sz="6" w:space="0"/>
              <w:bottom w:val="single" w:color="auto" w:sz="6" w:space="0"/>
              <w:right w:val="single" w:color="auto" w:sz="6" w:space="0"/>
            </w:tcBorders>
            <w:noWrap w:val="0"/>
            <w:vAlign w:val="top"/>
          </w:tcPr>
          <w:p w14:paraId="1CC379FF">
            <w:pPr>
              <w:shd w:val="clear" w:color="auto" w:fill="FFFFFF"/>
              <w:spacing w:line="440" w:lineRule="exact"/>
              <w:ind w:firstLine="99"/>
              <w:rPr>
                <w:rFonts w:hint="eastAsia" w:ascii="宋体" w:hAnsi="宋体" w:eastAsia="宋体" w:cs="宋体"/>
                <w:color w:val="auto"/>
                <w:highlight w:val="none"/>
              </w:rPr>
            </w:pPr>
          </w:p>
        </w:tc>
        <w:tc>
          <w:tcPr>
            <w:tcW w:w="2402" w:type="dxa"/>
            <w:tcBorders>
              <w:top w:val="single" w:color="auto" w:sz="6" w:space="0"/>
              <w:left w:val="single" w:color="auto" w:sz="6" w:space="0"/>
              <w:bottom w:val="single" w:color="auto" w:sz="6" w:space="0"/>
              <w:right w:val="single" w:color="auto" w:sz="6" w:space="0"/>
            </w:tcBorders>
            <w:noWrap w:val="0"/>
            <w:vAlign w:val="top"/>
          </w:tcPr>
          <w:p w14:paraId="2F78288A">
            <w:pPr>
              <w:shd w:val="clear" w:color="auto" w:fill="FFFFFF"/>
              <w:spacing w:line="440" w:lineRule="exact"/>
              <w:ind w:firstLine="99"/>
              <w:rPr>
                <w:rFonts w:hint="eastAsia" w:ascii="宋体" w:hAnsi="宋体" w:eastAsia="宋体" w:cs="宋体"/>
                <w:color w:val="auto"/>
                <w:highlight w:val="none"/>
              </w:rPr>
            </w:pPr>
          </w:p>
        </w:tc>
      </w:tr>
      <w:tr w14:paraId="37F063C0">
        <w:tblPrEx>
          <w:tblCellMar>
            <w:top w:w="0" w:type="dxa"/>
            <w:left w:w="108" w:type="dxa"/>
            <w:bottom w:w="0" w:type="dxa"/>
            <w:right w:w="108" w:type="dxa"/>
          </w:tblCellMar>
        </w:tblPrEx>
        <w:trPr>
          <w:cantSplit/>
          <w:trHeight w:val="626" w:hRule="exact"/>
        </w:trPr>
        <w:tc>
          <w:tcPr>
            <w:tcW w:w="924" w:type="dxa"/>
            <w:tcBorders>
              <w:top w:val="single" w:color="auto" w:sz="6" w:space="0"/>
              <w:left w:val="single" w:color="auto" w:sz="6" w:space="0"/>
              <w:bottom w:val="single" w:color="auto" w:sz="6" w:space="0"/>
              <w:right w:val="single" w:color="auto" w:sz="6" w:space="0"/>
            </w:tcBorders>
            <w:noWrap w:val="0"/>
            <w:vAlign w:val="top"/>
          </w:tcPr>
          <w:p w14:paraId="0310A3C1">
            <w:pPr>
              <w:shd w:val="clear" w:color="auto" w:fill="FFFFFF"/>
              <w:spacing w:line="440" w:lineRule="exact"/>
              <w:ind w:firstLine="99"/>
              <w:rPr>
                <w:rFonts w:hint="eastAsia" w:ascii="宋体" w:hAnsi="宋体" w:eastAsia="宋体" w:cs="宋体"/>
                <w:color w:val="auto"/>
                <w:highlight w:val="none"/>
              </w:rPr>
            </w:pPr>
          </w:p>
        </w:tc>
        <w:tc>
          <w:tcPr>
            <w:tcW w:w="1773" w:type="dxa"/>
            <w:tcBorders>
              <w:top w:val="single" w:color="auto" w:sz="6" w:space="0"/>
              <w:left w:val="single" w:color="auto" w:sz="6" w:space="0"/>
              <w:bottom w:val="single" w:color="auto" w:sz="6" w:space="0"/>
              <w:right w:val="single" w:color="auto" w:sz="6" w:space="0"/>
            </w:tcBorders>
            <w:noWrap w:val="0"/>
            <w:vAlign w:val="top"/>
          </w:tcPr>
          <w:p w14:paraId="4BC18A6C">
            <w:pPr>
              <w:shd w:val="clear" w:color="auto" w:fill="FFFFFF"/>
              <w:spacing w:line="440" w:lineRule="exact"/>
              <w:ind w:firstLine="99"/>
              <w:rPr>
                <w:rFonts w:hint="eastAsia" w:ascii="宋体" w:hAnsi="宋体" w:eastAsia="宋体" w:cs="宋体"/>
                <w:color w:val="auto"/>
                <w:highlight w:val="none"/>
              </w:rPr>
            </w:pPr>
          </w:p>
        </w:tc>
        <w:tc>
          <w:tcPr>
            <w:tcW w:w="1994" w:type="dxa"/>
            <w:tcBorders>
              <w:top w:val="single" w:color="auto" w:sz="6" w:space="0"/>
              <w:left w:val="single" w:color="auto" w:sz="6" w:space="0"/>
              <w:bottom w:val="single" w:color="auto" w:sz="6" w:space="0"/>
              <w:right w:val="single" w:color="auto" w:sz="6" w:space="0"/>
            </w:tcBorders>
            <w:noWrap w:val="0"/>
            <w:vAlign w:val="top"/>
          </w:tcPr>
          <w:p w14:paraId="4AFD8A55">
            <w:pPr>
              <w:shd w:val="clear" w:color="auto" w:fill="FFFFFF"/>
              <w:spacing w:line="440" w:lineRule="exact"/>
              <w:ind w:firstLine="99"/>
              <w:rPr>
                <w:rFonts w:hint="eastAsia" w:ascii="宋体" w:hAnsi="宋体" w:eastAsia="宋体" w:cs="宋体"/>
                <w:color w:val="auto"/>
                <w:highlight w:val="none"/>
              </w:rPr>
            </w:pPr>
          </w:p>
        </w:tc>
        <w:tc>
          <w:tcPr>
            <w:tcW w:w="2105" w:type="dxa"/>
            <w:tcBorders>
              <w:top w:val="single" w:color="auto" w:sz="6" w:space="0"/>
              <w:left w:val="single" w:color="auto" w:sz="6" w:space="0"/>
              <w:bottom w:val="single" w:color="auto" w:sz="6" w:space="0"/>
              <w:right w:val="single" w:color="auto" w:sz="6" w:space="0"/>
            </w:tcBorders>
            <w:noWrap w:val="0"/>
            <w:vAlign w:val="top"/>
          </w:tcPr>
          <w:p w14:paraId="6DD83071">
            <w:pPr>
              <w:shd w:val="clear" w:color="auto" w:fill="FFFFFF"/>
              <w:spacing w:line="440" w:lineRule="exact"/>
              <w:ind w:firstLine="99"/>
              <w:rPr>
                <w:rFonts w:hint="eastAsia" w:ascii="宋体" w:hAnsi="宋体" w:eastAsia="宋体" w:cs="宋体"/>
                <w:color w:val="auto"/>
                <w:highlight w:val="none"/>
              </w:rPr>
            </w:pPr>
          </w:p>
        </w:tc>
        <w:tc>
          <w:tcPr>
            <w:tcW w:w="2402" w:type="dxa"/>
            <w:tcBorders>
              <w:top w:val="single" w:color="auto" w:sz="6" w:space="0"/>
              <w:left w:val="single" w:color="auto" w:sz="6" w:space="0"/>
              <w:bottom w:val="single" w:color="auto" w:sz="6" w:space="0"/>
              <w:right w:val="single" w:color="auto" w:sz="6" w:space="0"/>
            </w:tcBorders>
            <w:noWrap w:val="0"/>
            <w:vAlign w:val="top"/>
          </w:tcPr>
          <w:p w14:paraId="4152037C">
            <w:pPr>
              <w:shd w:val="clear" w:color="auto" w:fill="FFFFFF"/>
              <w:spacing w:line="440" w:lineRule="exact"/>
              <w:ind w:firstLine="99"/>
              <w:rPr>
                <w:rFonts w:hint="eastAsia" w:ascii="宋体" w:hAnsi="宋体" w:eastAsia="宋体" w:cs="宋体"/>
                <w:color w:val="auto"/>
                <w:highlight w:val="none"/>
              </w:rPr>
            </w:pPr>
          </w:p>
        </w:tc>
      </w:tr>
      <w:tr w14:paraId="128888E0">
        <w:tblPrEx>
          <w:tblCellMar>
            <w:top w:w="0" w:type="dxa"/>
            <w:left w:w="108" w:type="dxa"/>
            <w:bottom w:w="0" w:type="dxa"/>
            <w:right w:w="108" w:type="dxa"/>
          </w:tblCellMar>
        </w:tblPrEx>
        <w:trPr>
          <w:cantSplit/>
          <w:trHeight w:val="626" w:hRule="exact"/>
        </w:trPr>
        <w:tc>
          <w:tcPr>
            <w:tcW w:w="924" w:type="dxa"/>
            <w:tcBorders>
              <w:top w:val="single" w:color="auto" w:sz="6" w:space="0"/>
              <w:left w:val="single" w:color="auto" w:sz="6" w:space="0"/>
              <w:bottom w:val="single" w:color="auto" w:sz="6" w:space="0"/>
              <w:right w:val="single" w:color="auto" w:sz="6" w:space="0"/>
            </w:tcBorders>
            <w:noWrap w:val="0"/>
            <w:vAlign w:val="top"/>
          </w:tcPr>
          <w:p w14:paraId="3AD56878">
            <w:pPr>
              <w:shd w:val="clear" w:color="auto" w:fill="FFFFFF"/>
              <w:spacing w:line="440" w:lineRule="exact"/>
              <w:ind w:firstLine="99"/>
              <w:rPr>
                <w:rFonts w:hint="eastAsia" w:ascii="宋体" w:hAnsi="宋体" w:eastAsia="宋体" w:cs="宋体"/>
                <w:color w:val="auto"/>
                <w:highlight w:val="none"/>
              </w:rPr>
            </w:pPr>
          </w:p>
        </w:tc>
        <w:tc>
          <w:tcPr>
            <w:tcW w:w="1773" w:type="dxa"/>
            <w:tcBorders>
              <w:top w:val="single" w:color="auto" w:sz="6" w:space="0"/>
              <w:left w:val="single" w:color="auto" w:sz="6" w:space="0"/>
              <w:bottom w:val="single" w:color="auto" w:sz="6" w:space="0"/>
              <w:right w:val="single" w:color="auto" w:sz="6" w:space="0"/>
            </w:tcBorders>
            <w:noWrap w:val="0"/>
            <w:vAlign w:val="top"/>
          </w:tcPr>
          <w:p w14:paraId="102E1794">
            <w:pPr>
              <w:shd w:val="clear" w:color="auto" w:fill="FFFFFF"/>
              <w:spacing w:line="440" w:lineRule="exact"/>
              <w:ind w:firstLine="99"/>
              <w:rPr>
                <w:rFonts w:hint="eastAsia" w:ascii="宋体" w:hAnsi="宋体" w:eastAsia="宋体" w:cs="宋体"/>
                <w:color w:val="auto"/>
                <w:highlight w:val="none"/>
              </w:rPr>
            </w:pPr>
          </w:p>
        </w:tc>
        <w:tc>
          <w:tcPr>
            <w:tcW w:w="1994" w:type="dxa"/>
            <w:tcBorders>
              <w:top w:val="single" w:color="auto" w:sz="6" w:space="0"/>
              <w:left w:val="single" w:color="auto" w:sz="6" w:space="0"/>
              <w:bottom w:val="single" w:color="auto" w:sz="6" w:space="0"/>
              <w:right w:val="single" w:color="auto" w:sz="6" w:space="0"/>
            </w:tcBorders>
            <w:noWrap w:val="0"/>
            <w:vAlign w:val="top"/>
          </w:tcPr>
          <w:p w14:paraId="4369574D">
            <w:pPr>
              <w:shd w:val="clear" w:color="auto" w:fill="FFFFFF"/>
              <w:spacing w:line="440" w:lineRule="exact"/>
              <w:ind w:firstLine="99"/>
              <w:rPr>
                <w:rFonts w:hint="eastAsia" w:ascii="宋体" w:hAnsi="宋体" w:eastAsia="宋体" w:cs="宋体"/>
                <w:color w:val="auto"/>
                <w:highlight w:val="none"/>
              </w:rPr>
            </w:pPr>
          </w:p>
        </w:tc>
        <w:tc>
          <w:tcPr>
            <w:tcW w:w="2105" w:type="dxa"/>
            <w:tcBorders>
              <w:top w:val="single" w:color="auto" w:sz="6" w:space="0"/>
              <w:left w:val="single" w:color="auto" w:sz="6" w:space="0"/>
              <w:bottom w:val="single" w:color="auto" w:sz="6" w:space="0"/>
              <w:right w:val="single" w:color="auto" w:sz="6" w:space="0"/>
            </w:tcBorders>
            <w:noWrap w:val="0"/>
            <w:vAlign w:val="top"/>
          </w:tcPr>
          <w:p w14:paraId="2FB51DB9">
            <w:pPr>
              <w:shd w:val="clear" w:color="auto" w:fill="FFFFFF"/>
              <w:spacing w:line="440" w:lineRule="exact"/>
              <w:ind w:firstLine="99"/>
              <w:rPr>
                <w:rFonts w:hint="eastAsia" w:ascii="宋体" w:hAnsi="宋体" w:eastAsia="宋体" w:cs="宋体"/>
                <w:color w:val="auto"/>
                <w:highlight w:val="none"/>
              </w:rPr>
            </w:pPr>
          </w:p>
        </w:tc>
        <w:tc>
          <w:tcPr>
            <w:tcW w:w="2402" w:type="dxa"/>
            <w:tcBorders>
              <w:top w:val="single" w:color="auto" w:sz="6" w:space="0"/>
              <w:left w:val="single" w:color="auto" w:sz="6" w:space="0"/>
              <w:bottom w:val="single" w:color="auto" w:sz="6" w:space="0"/>
              <w:right w:val="single" w:color="auto" w:sz="6" w:space="0"/>
            </w:tcBorders>
            <w:noWrap w:val="0"/>
            <w:vAlign w:val="top"/>
          </w:tcPr>
          <w:p w14:paraId="0A10FB97">
            <w:pPr>
              <w:shd w:val="clear" w:color="auto" w:fill="FFFFFF"/>
              <w:spacing w:line="440" w:lineRule="exact"/>
              <w:ind w:firstLine="99"/>
              <w:rPr>
                <w:rFonts w:hint="eastAsia" w:ascii="宋体" w:hAnsi="宋体" w:eastAsia="宋体" w:cs="宋体"/>
                <w:color w:val="auto"/>
                <w:highlight w:val="none"/>
              </w:rPr>
            </w:pPr>
          </w:p>
        </w:tc>
      </w:tr>
      <w:tr w14:paraId="4A2B473E">
        <w:tblPrEx>
          <w:tblCellMar>
            <w:top w:w="0" w:type="dxa"/>
            <w:left w:w="108" w:type="dxa"/>
            <w:bottom w:w="0" w:type="dxa"/>
            <w:right w:w="108" w:type="dxa"/>
          </w:tblCellMar>
        </w:tblPrEx>
        <w:trPr>
          <w:cantSplit/>
          <w:trHeight w:val="626" w:hRule="exact"/>
        </w:trPr>
        <w:tc>
          <w:tcPr>
            <w:tcW w:w="924" w:type="dxa"/>
            <w:tcBorders>
              <w:top w:val="single" w:color="auto" w:sz="6" w:space="0"/>
              <w:left w:val="single" w:color="auto" w:sz="6" w:space="0"/>
              <w:bottom w:val="single" w:color="auto" w:sz="6" w:space="0"/>
              <w:right w:val="single" w:color="auto" w:sz="6" w:space="0"/>
            </w:tcBorders>
            <w:noWrap w:val="0"/>
            <w:vAlign w:val="top"/>
          </w:tcPr>
          <w:p w14:paraId="5409F336">
            <w:pPr>
              <w:shd w:val="clear" w:color="auto" w:fill="FFFFFF"/>
              <w:spacing w:line="440" w:lineRule="exact"/>
              <w:ind w:firstLine="99"/>
              <w:rPr>
                <w:rFonts w:hint="eastAsia" w:ascii="宋体" w:hAnsi="宋体" w:eastAsia="宋体" w:cs="宋体"/>
                <w:color w:val="auto"/>
                <w:highlight w:val="none"/>
              </w:rPr>
            </w:pPr>
          </w:p>
        </w:tc>
        <w:tc>
          <w:tcPr>
            <w:tcW w:w="1773" w:type="dxa"/>
            <w:tcBorders>
              <w:top w:val="single" w:color="auto" w:sz="6" w:space="0"/>
              <w:left w:val="single" w:color="auto" w:sz="6" w:space="0"/>
              <w:bottom w:val="single" w:color="auto" w:sz="6" w:space="0"/>
              <w:right w:val="single" w:color="auto" w:sz="6" w:space="0"/>
            </w:tcBorders>
            <w:noWrap w:val="0"/>
            <w:vAlign w:val="top"/>
          </w:tcPr>
          <w:p w14:paraId="029C3251">
            <w:pPr>
              <w:shd w:val="clear" w:color="auto" w:fill="FFFFFF"/>
              <w:spacing w:line="440" w:lineRule="exact"/>
              <w:ind w:firstLine="99"/>
              <w:rPr>
                <w:rFonts w:hint="eastAsia" w:ascii="宋体" w:hAnsi="宋体" w:eastAsia="宋体" w:cs="宋体"/>
                <w:color w:val="auto"/>
                <w:highlight w:val="none"/>
              </w:rPr>
            </w:pPr>
          </w:p>
        </w:tc>
        <w:tc>
          <w:tcPr>
            <w:tcW w:w="1994" w:type="dxa"/>
            <w:tcBorders>
              <w:top w:val="single" w:color="auto" w:sz="6" w:space="0"/>
              <w:left w:val="single" w:color="auto" w:sz="6" w:space="0"/>
              <w:bottom w:val="single" w:color="auto" w:sz="6" w:space="0"/>
              <w:right w:val="single" w:color="auto" w:sz="6" w:space="0"/>
            </w:tcBorders>
            <w:noWrap w:val="0"/>
            <w:vAlign w:val="top"/>
          </w:tcPr>
          <w:p w14:paraId="51F7F0F3">
            <w:pPr>
              <w:shd w:val="clear" w:color="auto" w:fill="FFFFFF"/>
              <w:spacing w:line="440" w:lineRule="exact"/>
              <w:ind w:firstLine="99"/>
              <w:rPr>
                <w:rFonts w:hint="eastAsia" w:ascii="宋体" w:hAnsi="宋体" w:eastAsia="宋体" w:cs="宋体"/>
                <w:color w:val="auto"/>
                <w:highlight w:val="none"/>
              </w:rPr>
            </w:pPr>
          </w:p>
        </w:tc>
        <w:tc>
          <w:tcPr>
            <w:tcW w:w="2105" w:type="dxa"/>
            <w:tcBorders>
              <w:top w:val="single" w:color="auto" w:sz="6" w:space="0"/>
              <w:left w:val="single" w:color="auto" w:sz="6" w:space="0"/>
              <w:bottom w:val="single" w:color="auto" w:sz="6" w:space="0"/>
              <w:right w:val="single" w:color="auto" w:sz="6" w:space="0"/>
            </w:tcBorders>
            <w:noWrap w:val="0"/>
            <w:vAlign w:val="top"/>
          </w:tcPr>
          <w:p w14:paraId="0300652C">
            <w:pPr>
              <w:shd w:val="clear" w:color="auto" w:fill="FFFFFF"/>
              <w:spacing w:line="440" w:lineRule="exact"/>
              <w:ind w:firstLine="99"/>
              <w:rPr>
                <w:rFonts w:hint="eastAsia" w:ascii="宋体" w:hAnsi="宋体" w:eastAsia="宋体" w:cs="宋体"/>
                <w:color w:val="auto"/>
                <w:highlight w:val="none"/>
              </w:rPr>
            </w:pPr>
          </w:p>
        </w:tc>
        <w:tc>
          <w:tcPr>
            <w:tcW w:w="2402" w:type="dxa"/>
            <w:tcBorders>
              <w:top w:val="single" w:color="auto" w:sz="6" w:space="0"/>
              <w:left w:val="single" w:color="auto" w:sz="6" w:space="0"/>
              <w:bottom w:val="single" w:color="auto" w:sz="6" w:space="0"/>
              <w:right w:val="single" w:color="auto" w:sz="6" w:space="0"/>
            </w:tcBorders>
            <w:noWrap w:val="0"/>
            <w:vAlign w:val="top"/>
          </w:tcPr>
          <w:p w14:paraId="1C8A4E0C">
            <w:pPr>
              <w:shd w:val="clear" w:color="auto" w:fill="FFFFFF"/>
              <w:spacing w:line="440" w:lineRule="exact"/>
              <w:ind w:firstLine="99"/>
              <w:rPr>
                <w:rFonts w:hint="eastAsia" w:ascii="宋体" w:hAnsi="宋体" w:eastAsia="宋体" w:cs="宋体"/>
                <w:color w:val="auto"/>
                <w:highlight w:val="none"/>
              </w:rPr>
            </w:pPr>
          </w:p>
        </w:tc>
      </w:tr>
      <w:tr w14:paraId="1BC80089">
        <w:tblPrEx>
          <w:tblCellMar>
            <w:top w:w="0" w:type="dxa"/>
            <w:left w:w="108" w:type="dxa"/>
            <w:bottom w:w="0" w:type="dxa"/>
            <w:right w:w="108" w:type="dxa"/>
          </w:tblCellMar>
        </w:tblPrEx>
        <w:trPr>
          <w:cantSplit/>
          <w:trHeight w:val="626" w:hRule="exact"/>
        </w:trPr>
        <w:tc>
          <w:tcPr>
            <w:tcW w:w="924" w:type="dxa"/>
            <w:tcBorders>
              <w:top w:val="single" w:color="auto" w:sz="6" w:space="0"/>
              <w:left w:val="single" w:color="auto" w:sz="6" w:space="0"/>
              <w:bottom w:val="single" w:color="auto" w:sz="6" w:space="0"/>
              <w:right w:val="single" w:color="auto" w:sz="6" w:space="0"/>
            </w:tcBorders>
            <w:noWrap w:val="0"/>
            <w:vAlign w:val="top"/>
          </w:tcPr>
          <w:p w14:paraId="08C0F673">
            <w:pPr>
              <w:shd w:val="clear" w:color="auto" w:fill="FFFFFF"/>
              <w:spacing w:line="440" w:lineRule="exact"/>
              <w:ind w:firstLine="99"/>
              <w:rPr>
                <w:rFonts w:hint="eastAsia" w:ascii="宋体" w:hAnsi="宋体" w:eastAsia="宋体" w:cs="宋体"/>
                <w:color w:val="auto"/>
                <w:highlight w:val="none"/>
              </w:rPr>
            </w:pPr>
          </w:p>
        </w:tc>
        <w:tc>
          <w:tcPr>
            <w:tcW w:w="1773" w:type="dxa"/>
            <w:tcBorders>
              <w:top w:val="single" w:color="auto" w:sz="6" w:space="0"/>
              <w:left w:val="single" w:color="auto" w:sz="6" w:space="0"/>
              <w:bottom w:val="single" w:color="auto" w:sz="6" w:space="0"/>
              <w:right w:val="single" w:color="auto" w:sz="6" w:space="0"/>
            </w:tcBorders>
            <w:noWrap w:val="0"/>
            <w:vAlign w:val="top"/>
          </w:tcPr>
          <w:p w14:paraId="1768E01A">
            <w:pPr>
              <w:shd w:val="clear" w:color="auto" w:fill="FFFFFF"/>
              <w:spacing w:line="440" w:lineRule="exact"/>
              <w:ind w:firstLine="99"/>
              <w:rPr>
                <w:rFonts w:hint="eastAsia" w:ascii="宋体" w:hAnsi="宋体" w:eastAsia="宋体" w:cs="宋体"/>
                <w:color w:val="auto"/>
                <w:highlight w:val="none"/>
              </w:rPr>
            </w:pPr>
          </w:p>
        </w:tc>
        <w:tc>
          <w:tcPr>
            <w:tcW w:w="1994" w:type="dxa"/>
            <w:tcBorders>
              <w:top w:val="single" w:color="auto" w:sz="6" w:space="0"/>
              <w:left w:val="single" w:color="auto" w:sz="6" w:space="0"/>
              <w:bottom w:val="single" w:color="auto" w:sz="6" w:space="0"/>
              <w:right w:val="single" w:color="auto" w:sz="6" w:space="0"/>
            </w:tcBorders>
            <w:noWrap w:val="0"/>
            <w:vAlign w:val="top"/>
          </w:tcPr>
          <w:p w14:paraId="18D3FBD5">
            <w:pPr>
              <w:shd w:val="clear" w:color="auto" w:fill="FFFFFF"/>
              <w:spacing w:line="440" w:lineRule="exact"/>
              <w:ind w:firstLine="99"/>
              <w:rPr>
                <w:rFonts w:hint="eastAsia" w:ascii="宋体" w:hAnsi="宋体" w:eastAsia="宋体" w:cs="宋体"/>
                <w:color w:val="auto"/>
                <w:highlight w:val="none"/>
              </w:rPr>
            </w:pPr>
          </w:p>
        </w:tc>
        <w:tc>
          <w:tcPr>
            <w:tcW w:w="2105" w:type="dxa"/>
            <w:tcBorders>
              <w:top w:val="single" w:color="auto" w:sz="6" w:space="0"/>
              <w:left w:val="single" w:color="auto" w:sz="6" w:space="0"/>
              <w:bottom w:val="single" w:color="auto" w:sz="6" w:space="0"/>
              <w:right w:val="single" w:color="auto" w:sz="6" w:space="0"/>
            </w:tcBorders>
            <w:noWrap w:val="0"/>
            <w:vAlign w:val="top"/>
          </w:tcPr>
          <w:p w14:paraId="6BAFF979">
            <w:pPr>
              <w:shd w:val="clear" w:color="auto" w:fill="FFFFFF"/>
              <w:spacing w:line="440" w:lineRule="exact"/>
              <w:ind w:firstLine="99"/>
              <w:rPr>
                <w:rFonts w:hint="eastAsia" w:ascii="宋体" w:hAnsi="宋体" w:eastAsia="宋体" w:cs="宋体"/>
                <w:color w:val="auto"/>
                <w:highlight w:val="none"/>
              </w:rPr>
            </w:pPr>
          </w:p>
        </w:tc>
        <w:tc>
          <w:tcPr>
            <w:tcW w:w="2402" w:type="dxa"/>
            <w:tcBorders>
              <w:top w:val="single" w:color="auto" w:sz="6" w:space="0"/>
              <w:left w:val="single" w:color="auto" w:sz="6" w:space="0"/>
              <w:bottom w:val="single" w:color="auto" w:sz="6" w:space="0"/>
              <w:right w:val="single" w:color="auto" w:sz="6" w:space="0"/>
            </w:tcBorders>
            <w:noWrap w:val="0"/>
            <w:vAlign w:val="top"/>
          </w:tcPr>
          <w:p w14:paraId="34FBD0DA">
            <w:pPr>
              <w:shd w:val="clear" w:color="auto" w:fill="FFFFFF"/>
              <w:spacing w:line="440" w:lineRule="exact"/>
              <w:ind w:firstLine="99"/>
              <w:rPr>
                <w:rFonts w:hint="eastAsia" w:ascii="宋体" w:hAnsi="宋体" w:eastAsia="宋体" w:cs="宋体"/>
                <w:color w:val="auto"/>
                <w:highlight w:val="none"/>
              </w:rPr>
            </w:pPr>
          </w:p>
        </w:tc>
      </w:tr>
      <w:tr w14:paraId="12FF6F19">
        <w:tblPrEx>
          <w:tblCellMar>
            <w:top w:w="0" w:type="dxa"/>
            <w:left w:w="108" w:type="dxa"/>
            <w:bottom w:w="0" w:type="dxa"/>
            <w:right w:w="108" w:type="dxa"/>
          </w:tblCellMar>
        </w:tblPrEx>
        <w:trPr>
          <w:cantSplit/>
          <w:trHeight w:val="633" w:hRule="exact"/>
        </w:trPr>
        <w:tc>
          <w:tcPr>
            <w:tcW w:w="924" w:type="dxa"/>
            <w:tcBorders>
              <w:top w:val="single" w:color="auto" w:sz="6" w:space="0"/>
              <w:left w:val="single" w:color="auto" w:sz="6" w:space="0"/>
              <w:bottom w:val="single" w:color="auto" w:sz="6" w:space="0"/>
              <w:right w:val="single" w:color="auto" w:sz="6" w:space="0"/>
            </w:tcBorders>
            <w:noWrap w:val="0"/>
            <w:vAlign w:val="top"/>
          </w:tcPr>
          <w:p w14:paraId="5B1BDAAB">
            <w:pPr>
              <w:shd w:val="clear" w:color="auto" w:fill="FFFFFF"/>
              <w:spacing w:line="440" w:lineRule="exact"/>
              <w:ind w:firstLine="99"/>
              <w:rPr>
                <w:rFonts w:hint="eastAsia" w:ascii="宋体" w:hAnsi="宋体" w:eastAsia="宋体" w:cs="宋体"/>
                <w:color w:val="auto"/>
                <w:highlight w:val="none"/>
              </w:rPr>
            </w:pPr>
          </w:p>
        </w:tc>
        <w:tc>
          <w:tcPr>
            <w:tcW w:w="1773" w:type="dxa"/>
            <w:tcBorders>
              <w:top w:val="single" w:color="auto" w:sz="6" w:space="0"/>
              <w:left w:val="single" w:color="auto" w:sz="6" w:space="0"/>
              <w:bottom w:val="single" w:color="auto" w:sz="6" w:space="0"/>
              <w:right w:val="single" w:color="auto" w:sz="6" w:space="0"/>
            </w:tcBorders>
            <w:noWrap w:val="0"/>
            <w:vAlign w:val="top"/>
          </w:tcPr>
          <w:p w14:paraId="6E3535FB">
            <w:pPr>
              <w:shd w:val="clear" w:color="auto" w:fill="FFFFFF"/>
              <w:spacing w:line="440" w:lineRule="exact"/>
              <w:ind w:firstLine="99"/>
              <w:rPr>
                <w:rFonts w:hint="eastAsia" w:ascii="宋体" w:hAnsi="宋体" w:eastAsia="宋体" w:cs="宋体"/>
                <w:color w:val="auto"/>
                <w:highlight w:val="none"/>
              </w:rPr>
            </w:pPr>
          </w:p>
        </w:tc>
        <w:tc>
          <w:tcPr>
            <w:tcW w:w="1994" w:type="dxa"/>
            <w:tcBorders>
              <w:top w:val="single" w:color="auto" w:sz="6" w:space="0"/>
              <w:left w:val="single" w:color="auto" w:sz="6" w:space="0"/>
              <w:bottom w:val="single" w:color="auto" w:sz="6" w:space="0"/>
              <w:right w:val="single" w:color="auto" w:sz="6" w:space="0"/>
            </w:tcBorders>
            <w:noWrap w:val="0"/>
            <w:vAlign w:val="top"/>
          </w:tcPr>
          <w:p w14:paraId="69D843F4">
            <w:pPr>
              <w:shd w:val="clear" w:color="auto" w:fill="FFFFFF"/>
              <w:spacing w:line="440" w:lineRule="exact"/>
              <w:ind w:firstLine="99"/>
              <w:rPr>
                <w:rFonts w:hint="eastAsia" w:ascii="宋体" w:hAnsi="宋体" w:eastAsia="宋体" w:cs="宋体"/>
                <w:color w:val="auto"/>
                <w:highlight w:val="none"/>
              </w:rPr>
            </w:pPr>
          </w:p>
        </w:tc>
        <w:tc>
          <w:tcPr>
            <w:tcW w:w="2105" w:type="dxa"/>
            <w:tcBorders>
              <w:top w:val="single" w:color="auto" w:sz="6" w:space="0"/>
              <w:left w:val="single" w:color="auto" w:sz="6" w:space="0"/>
              <w:bottom w:val="single" w:color="auto" w:sz="6" w:space="0"/>
              <w:right w:val="single" w:color="auto" w:sz="6" w:space="0"/>
            </w:tcBorders>
            <w:noWrap w:val="0"/>
            <w:vAlign w:val="top"/>
          </w:tcPr>
          <w:p w14:paraId="445A0773">
            <w:pPr>
              <w:shd w:val="clear" w:color="auto" w:fill="FFFFFF"/>
              <w:spacing w:line="440" w:lineRule="exact"/>
              <w:ind w:firstLine="99"/>
              <w:rPr>
                <w:rFonts w:hint="eastAsia" w:ascii="宋体" w:hAnsi="宋体" w:eastAsia="宋体" w:cs="宋体"/>
                <w:color w:val="auto"/>
                <w:highlight w:val="none"/>
              </w:rPr>
            </w:pPr>
          </w:p>
        </w:tc>
        <w:tc>
          <w:tcPr>
            <w:tcW w:w="2402" w:type="dxa"/>
            <w:tcBorders>
              <w:top w:val="single" w:color="auto" w:sz="6" w:space="0"/>
              <w:left w:val="single" w:color="auto" w:sz="6" w:space="0"/>
              <w:bottom w:val="single" w:color="auto" w:sz="6" w:space="0"/>
              <w:right w:val="single" w:color="auto" w:sz="6" w:space="0"/>
            </w:tcBorders>
            <w:noWrap w:val="0"/>
            <w:vAlign w:val="top"/>
          </w:tcPr>
          <w:p w14:paraId="100AC731">
            <w:pPr>
              <w:shd w:val="clear" w:color="auto" w:fill="FFFFFF"/>
              <w:spacing w:line="440" w:lineRule="exact"/>
              <w:ind w:firstLine="99"/>
              <w:rPr>
                <w:rFonts w:hint="eastAsia" w:ascii="宋体" w:hAnsi="宋体" w:eastAsia="宋体" w:cs="宋体"/>
                <w:color w:val="auto"/>
                <w:highlight w:val="none"/>
              </w:rPr>
            </w:pPr>
          </w:p>
        </w:tc>
      </w:tr>
    </w:tbl>
    <w:p w14:paraId="3EEFD376">
      <w:pPr>
        <w:shd w:val="clear" w:color="auto" w:fill="FFFFFF"/>
        <w:spacing w:line="500" w:lineRule="exact"/>
        <w:rPr>
          <w:rFonts w:hint="eastAsia" w:ascii="宋体" w:hAnsi="宋体" w:eastAsia="宋体"/>
          <w:b w:val="0"/>
          <w:bCs/>
          <w:color w:val="auto"/>
          <w:kern w:val="0"/>
          <w:sz w:val="24"/>
          <w:szCs w:val="24"/>
          <w:highlight w:val="none"/>
        </w:rPr>
      </w:pPr>
    </w:p>
    <w:p w14:paraId="49CAD7C3">
      <w:pPr>
        <w:shd w:val="clear" w:color="auto" w:fill="FFFFFF"/>
        <w:spacing w:line="500" w:lineRule="exact"/>
        <w:rPr>
          <w:rFonts w:hint="default" w:ascii="宋体" w:hAnsi="宋体" w:eastAsia="宋体" w:cs="宋体"/>
          <w:b w:val="0"/>
          <w:bCs/>
          <w:color w:val="auto"/>
          <w:sz w:val="24"/>
          <w:szCs w:val="24"/>
          <w:highlight w:val="none"/>
          <w:lang w:val="en-US" w:eastAsia="zh-CN"/>
        </w:rPr>
      </w:pPr>
      <w:r>
        <w:rPr>
          <w:rFonts w:hint="eastAsia" w:ascii="宋体" w:hAnsi="宋体" w:eastAsia="宋体"/>
          <w:b w:val="0"/>
          <w:bCs/>
          <w:color w:val="auto"/>
          <w:kern w:val="0"/>
          <w:sz w:val="24"/>
          <w:szCs w:val="24"/>
          <w:highlight w:val="none"/>
        </w:rPr>
        <w:t>注：</w:t>
      </w:r>
      <w:r>
        <w:rPr>
          <w:rFonts w:hint="eastAsia" w:ascii="宋体" w:hAnsi="宋体" w:eastAsia="宋体"/>
          <w:b/>
          <w:bCs w:val="0"/>
          <w:color w:val="auto"/>
          <w:highlight w:val="none"/>
        </w:rPr>
        <w:t>须包括对本文件《投标须知前附表》提出的“</w:t>
      </w:r>
      <w:r>
        <w:rPr>
          <w:rFonts w:hint="eastAsia" w:ascii="宋体" w:hAnsi="宋体" w:eastAsia="宋体"/>
          <w:b/>
          <w:bCs w:val="0"/>
          <w:color w:val="auto"/>
          <w:highlight w:val="none"/>
          <w:lang w:val="en-US" w:eastAsia="zh-CN"/>
        </w:rPr>
        <w:t>服务</w:t>
      </w:r>
      <w:r>
        <w:rPr>
          <w:rFonts w:hint="eastAsia" w:ascii="宋体" w:hAnsi="宋体" w:eastAsia="宋体"/>
          <w:b/>
          <w:bCs w:val="0"/>
          <w:color w:val="auto"/>
          <w:highlight w:val="none"/>
        </w:rPr>
        <w:t>期</w:t>
      </w:r>
      <w:r>
        <w:rPr>
          <w:rFonts w:hint="eastAsia" w:ascii="宋体" w:hAnsi="宋体" w:eastAsia="宋体"/>
          <w:b/>
          <w:bCs w:val="0"/>
          <w:color w:val="auto"/>
          <w:highlight w:val="none"/>
          <w:lang w:eastAsia="zh-CN"/>
        </w:rPr>
        <w:t>”“</w:t>
      </w:r>
      <w:r>
        <w:rPr>
          <w:rFonts w:hint="eastAsia" w:ascii="宋体" w:hAnsi="宋体" w:eastAsia="宋体"/>
          <w:b/>
          <w:bCs w:val="0"/>
          <w:color w:val="auto"/>
          <w:highlight w:val="none"/>
          <w:lang w:val="en-US" w:eastAsia="zh-CN"/>
        </w:rPr>
        <w:t>服务</w:t>
      </w:r>
      <w:r>
        <w:rPr>
          <w:rFonts w:hint="eastAsia" w:ascii="宋体" w:hAnsi="宋体" w:eastAsia="宋体"/>
          <w:b/>
          <w:bCs w:val="0"/>
          <w:color w:val="auto"/>
          <w:highlight w:val="none"/>
        </w:rPr>
        <w:t>地点</w:t>
      </w:r>
      <w:r>
        <w:rPr>
          <w:rFonts w:hint="eastAsia" w:ascii="宋体" w:hAnsi="宋体" w:eastAsia="宋体"/>
          <w:b/>
          <w:bCs w:val="0"/>
          <w:color w:val="auto"/>
          <w:highlight w:val="none"/>
          <w:lang w:eastAsia="zh-CN"/>
        </w:rPr>
        <w:t>”“</w:t>
      </w:r>
      <w:r>
        <w:rPr>
          <w:rFonts w:hint="eastAsia" w:ascii="宋体" w:hAnsi="宋体" w:eastAsia="宋体"/>
          <w:b/>
          <w:bCs w:val="0"/>
          <w:color w:val="auto"/>
          <w:highlight w:val="none"/>
        </w:rPr>
        <w:t>质保期</w:t>
      </w:r>
      <w:r>
        <w:rPr>
          <w:rFonts w:hint="eastAsia" w:ascii="宋体" w:hAnsi="宋体" w:eastAsia="宋体"/>
          <w:b/>
          <w:bCs w:val="0"/>
          <w:color w:val="auto"/>
          <w:highlight w:val="none"/>
          <w:lang w:eastAsia="zh-CN"/>
        </w:rPr>
        <w:t>”“</w:t>
      </w:r>
      <w:r>
        <w:rPr>
          <w:rFonts w:hint="eastAsia" w:ascii="宋体" w:hAnsi="宋体" w:eastAsia="宋体"/>
          <w:b/>
          <w:bCs w:val="0"/>
          <w:color w:val="auto"/>
          <w:highlight w:val="none"/>
        </w:rPr>
        <w:t>投标有效期”等实质性商务内容逐条响应，否则，投标无效。</w:t>
      </w:r>
    </w:p>
    <w:p w14:paraId="2F63A21A">
      <w:pPr>
        <w:shd w:val="clear" w:color="auto" w:fill="FFFFFF"/>
        <w:spacing w:line="500" w:lineRule="exact"/>
        <w:ind w:left="424" w:leftChars="202"/>
        <w:rPr>
          <w:rFonts w:ascii="宋体" w:hAnsi="宋体" w:eastAsia="宋体" w:cs="宋体"/>
          <w:color w:val="auto"/>
          <w:sz w:val="24"/>
          <w:highlight w:val="none"/>
        </w:rPr>
      </w:pPr>
    </w:p>
    <w:p w14:paraId="17971DC7">
      <w:pPr>
        <w:shd w:val="clear" w:color="auto" w:fill="FFFFFF"/>
        <w:spacing w:line="500" w:lineRule="exact"/>
        <w:ind w:left="424" w:left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lang w:val="en-US" w:eastAsia="zh-CN"/>
        </w:rPr>
        <w:t>电子</w:t>
      </w:r>
      <w:r>
        <w:rPr>
          <w:rFonts w:ascii="宋体" w:hAnsi="宋体"/>
          <w:color w:val="auto"/>
          <w:sz w:val="24"/>
          <w:highlight w:val="none"/>
        </w:rPr>
        <w:t>公章</w:t>
      </w:r>
      <w:r>
        <w:rPr>
          <w:rFonts w:hint="eastAsia" w:ascii="宋体" w:hAnsi="宋体" w:eastAsia="宋体" w:cs="宋体"/>
          <w:color w:val="auto"/>
          <w:sz w:val="24"/>
          <w:highlight w:val="none"/>
        </w:rPr>
        <w:t>）：</w:t>
      </w:r>
    </w:p>
    <w:p w14:paraId="1C3C9849">
      <w:pPr>
        <w:shd w:val="clear" w:color="auto" w:fill="FFFFFF"/>
        <w:tabs>
          <w:tab w:val="left" w:pos="3780"/>
        </w:tabs>
        <w:spacing w:line="440" w:lineRule="exact"/>
        <w:ind w:left="424" w:leftChars="202"/>
        <w:rPr>
          <w:rFonts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eastAsia="宋体" w:cs="宋体"/>
          <w:color w:val="auto"/>
          <w:sz w:val="24"/>
          <w:highlight w:val="none"/>
          <w:lang w:eastAsia="zh-CN"/>
        </w:rPr>
        <w:t>或负责人</w:t>
      </w:r>
      <w:r>
        <w:rPr>
          <w:rFonts w:hint="eastAsia" w:ascii="宋体" w:hAnsi="宋体" w:cs="宋体"/>
          <w:color w:val="auto"/>
          <w:sz w:val="24"/>
          <w:highlight w:val="none"/>
        </w:rPr>
        <w:t>或授权代理人（签字或签章）：</w:t>
      </w:r>
    </w:p>
    <w:p w14:paraId="5BEC98CD">
      <w:pPr>
        <w:widowControl/>
        <w:spacing w:line="440" w:lineRule="exact"/>
        <w:ind w:left="424" w:leftChars="202"/>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日期：   年   月   日</w:t>
      </w:r>
    </w:p>
    <w:p w14:paraId="3FA99282">
      <w:pPr>
        <w:widowControl/>
        <w:jc w:val="left"/>
        <w:rPr>
          <w:rFonts w:hint="eastAsia" w:ascii="宋体" w:hAnsi="宋体" w:eastAsia="宋体" w:cs="宋体"/>
          <w:color w:val="auto"/>
          <w:highlight w:val="none"/>
        </w:rPr>
      </w:pPr>
      <w:r>
        <w:rPr>
          <w:rFonts w:hint="eastAsia" w:ascii="宋体" w:hAnsi="宋体" w:eastAsia="宋体" w:cs="宋体"/>
          <w:b/>
          <w:bCs/>
          <w:color w:val="auto"/>
          <w:kern w:val="0"/>
          <w:sz w:val="24"/>
          <w:highlight w:val="none"/>
        </w:rPr>
        <w:br w:type="page"/>
      </w:r>
      <w:r>
        <w:rPr>
          <w:rFonts w:hint="eastAsia" w:ascii="宋体" w:hAnsi="宋体" w:eastAsia="宋体" w:cs="宋体"/>
          <w:bCs/>
          <w:color w:val="auto"/>
          <w:kern w:val="0"/>
          <w:sz w:val="24"/>
          <w:highlight w:val="none"/>
        </w:rPr>
        <w:t>（</w:t>
      </w:r>
      <w:r>
        <w:rPr>
          <w:rFonts w:hint="eastAsia" w:ascii="宋体" w:hAnsi="宋体" w:eastAsia="宋体" w:cs="宋体"/>
          <w:bCs/>
          <w:color w:val="auto"/>
          <w:kern w:val="0"/>
          <w:sz w:val="24"/>
          <w:highlight w:val="none"/>
          <w:lang w:val="en-US" w:eastAsia="zh-CN"/>
        </w:rPr>
        <w:t>五</w:t>
      </w:r>
      <w:r>
        <w:rPr>
          <w:rFonts w:hint="eastAsia" w:ascii="宋体" w:hAnsi="宋体" w:eastAsia="宋体" w:cs="宋体"/>
          <w:bCs/>
          <w:color w:val="auto"/>
          <w:kern w:val="0"/>
          <w:sz w:val="24"/>
          <w:highlight w:val="none"/>
        </w:rPr>
        <w:t>）近三年（20</w:t>
      </w:r>
      <w:r>
        <w:rPr>
          <w:rFonts w:hint="eastAsia" w:ascii="宋体" w:hAnsi="宋体" w:eastAsia="宋体" w:cs="宋体"/>
          <w:bCs/>
          <w:color w:val="auto"/>
          <w:kern w:val="0"/>
          <w:sz w:val="24"/>
          <w:highlight w:val="none"/>
          <w:lang w:val="en-US" w:eastAsia="zh-CN"/>
        </w:rPr>
        <w:t>22</w:t>
      </w:r>
      <w:r>
        <w:rPr>
          <w:rFonts w:hint="eastAsia" w:ascii="宋体" w:hAnsi="宋体" w:eastAsia="宋体" w:cs="宋体"/>
          <w:bCs/>
          <w:color w:val="auto"/>
          <w:kern w:val="0"/>
          <w:sz w:val="24"/>
          <w:highlight w:val="none"/>
        </w:rPr>
        <w:t>年</w:t>
      </w:r>
      <w:r>
        <w:rPr>
          <w:rFonts w:hint="eastAsia" w:ascii="宋体" w:hAnsi="宋体" w:eastAsia="宋体" w:cs="宋体"/>
          <w:bCs/>
          <w:color w:val="auto"/>
          <w:kern w:val="0"/>
          <w:sz w:val="24"/>
          <w:highlight w:val="none"/>
          <w:lang w:val="en-US" w:eastAsia="zh-CN"/>
        </w:rPr>
        <w:t>01</w:t>
      </w:r>
      <w:r>
        <w:rPr>
          <w:rFonts w:hint="eastAsia" w:ascii="宋体" w:hAnsi="宋体" w:eastAsia="宋体" w:cs="宋体"/>
          <w:bCs/>
          <w:color w:val="auto"/>
          <w:kern w:val="0"/>
          <w:sz w:val="24"/>
          <w:highlight w:val="none"/>
        </w:rPr>
        <w:t>月01日至今）</w:t>
      </w:r>
      <w:r>
        <w:rPr>
          <w:rFonts w:hint="eastAsia" w:ascii="宋体" w:hAnsi="宋体" w:eastAsia="宋体" w:cs="Times New Roman"/>
          <w:color w:val="auto"/>
          <w:highlight w:val="none"/>
        </w:rPr>
        <w:t>近三年完成同类项目</w:t>
      </w:r>
      <w:r>
        <w:rPr>
          <w:rFonts w:hint="eastAsia" w:ascii="宋体" w:hAnsi="宋体" w:eastAsia="宋体" w:cs="宋体"/>
          <w:bCs/>
          <w:color w:val="auto"/>
          <w:kern w:val="0"/>
          <w:sz w:val="24"/>
          <w:highlight w:val="none"/>
        </w:rPr>
        <w:t>业绩</w:t>
      </w:r>
    </w:p>
    <w:p w14:paraId="4506613D">
      <w:pPr>
        <w:widowControl/>
        <w:jc w:val="center"/>
        <w:rPr>
          <w:rFonts w:hint="eastAsia" w:ascii="宋体" w:hAnsi="宋体" w:eastAsia="宋体" w:cs="宋体"/>
          <w:b/>
          <w:color w:val="auto"/>
          <w:sz w:val="28"/>
          <w:szCs w:val="28"/>
          <w:highlight w:val="none"/>
        </w:rPr>
      </w:pPr>
    </w:p>
    <w:p w14:paraId="70CDFBA4">
      <w:pPr>
        <w:pStyle w:val="77"/>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近三年完成同类项目一览表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620"/>
        <w:gridCol w:w="2484"/>
        <w:gridCol w:w="1476"/>
        <w:gridCol w:w="1800"/>
      </w:tblGrid>
      <w:tr w14:paraId="22A04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top"/>
          </w:tcPr>
          <w:p w14:paraId="610ED6B4">
            <w:pPr>
              <w:pStyle w:val="41"/>
              <w:keepNext w:val="0"/>
              <w:keepLines w:val="0"/>
              <w:pageBreakBefore w:val="0"/>
              <w:widowControl w:val="0"/>
              <w:kinsoku/>
              <w:wordWrap/>
              <w:overflowPunct/>
              <w:topLinePunct w:val="0"/>
              <w:autoSpaceDE w:val="0"/>
              <w:autoSpaceDN/>
              <w:bidi w:val="0"/>
              <w:adjustRightInd/>
              <w:snapToGrid/>
              <w:spacing w:line="480" w:lineRule="auto"/>
              <w:ind w:right="0" w:rightChars="0"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地　　区</w:t>
            </w:r>
          </w:p>
        </w:tc>
        <w:tc>
          <w:tcPr>
            <w:tcW w:w="1620" w:type="dxa"/>
            <w:vAlign w:val="top"/>
          </w:tcPr>
          <w:p w14:paraId="015424EA">
            <w:pPr>
              <w:pStyle w:val="41"/>
              <w:keepNext w:val="0"/>
              <w:keepLines w:val="0"/>
              <w:pageBreakBefore w:val="0"/>
              <w:widowControl w:val="0"/>
              <w:kinsoku/>
              <w:wordWrap/>
              <w:overflowPunct/>
              <w:topLinePunct w:val="0"/>
              <w:autoSpaceDE w:val="0"/>
              <w:autoSpaceDN/>
              <w:bidi w:val="0"/>
              <w:adjustRightInd/>
              <w:snapToGrid/>
              <w:spacing w:line="480" w:lineRule="auto"/>
              <w:ind w:right="0" w:rightChars="0"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服务项目名称</w:t>
            </w:r>
          </w:p>
        </w:tc>
        <w:tc>
          <w:tcPr>
            <w:tcW w:w="2484" w:type="dxa"/>
            <w:vAlign w:val="top"/>
          </w:tcPr>
          <w:p w14:paraId="7CAEB5F0">
            <w:pPr>
              <w:pStyle w:val="41"/>
              <w:keepNext w:val="0"/>
              <w:keepLines w:val="0"/>
              <w:pageBreakBefore w:val="0"/>
              <w:widowControl w:val="0"/>
              <w:kinsoku/>
              <w:wordWrap/>
              <w:overflowPunct/>
              <w:topLinePunct w:val="0"/>
              <w:autoSpaceDE w:val="0"/>
              <w:autoSpaceDN/>
              <w:bidi w:val="0"/>
              <w:adjustRightInd/>
              <w:snapToGrid/>
              <w:spacing w:line="480" w:lineRule="auto"/>
              <w:ind w:right="0" w:rightChars="0"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服务地点</w:t>
            </w:r>
          </w:p>
        </w:tc>
        <w:tc>
          <w:tcPr>
            <w:tcW w:w="1476" w:type="dxa"/>
            <w:vAlign w:val="top"/>
          </w:tcPr>
          <w:p w14:paraId="2B26B05B">
            <w:pPr>
              <w:pStyle w:val="41"/>
              <w:keepNext w:val="0"/>
              <w:keepLines w:val="0"/>
              <w:pageBreakBefore w:val="0"/>
              <w:widowControl w:val="0"/>
              <w:kinsoku/>
              <w:wordWrap/>
              <w:overflowPunct/>
              <w:topLinePunct w:val="0"/>
              <w:autoSpaceDE w:val="0"/>
              <w:autoSpaceDN/>
              <w:bidi w:val="0"/>
              <w:adjustRightInd/>
              <w:snapToGrid/>
              <w:spacing w:line="480" w:lineRule="auto"/>
              <w:ind w:right="0" w:rightChars="0"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项目规模</w:t>
            </w:r>
          </w:p>
        </w:tc>
        <w:tc>
          <w:tcPr>
            <w:tcW w:w="1800" w:type="dxa"/>
            <w:vAlign w:val="top"/>
          </w:tcPr>
          <w:p w14:paraId="478A41A5">
            <w:pPr>
              <w:pStyle w:val="41"/>
              <w:keepNext w:val="0"/>
              <w:keepLines w:val="0"/>
              <w:pageBreakBefore w:val="0"/>
              <w:widowControl w:val="0"/>
              <w:kinsoku/>
              <w:wordWrap/>
              <w:overflowPunct/>
              <w:topLinePunct w:val="0"/>
              <w:autoSpaceDE w:val="0"/>
              <w:autoSpaceDN/>
              <w:bidi w:val="0"/>
              <w:adjustRightInd/>
              <w:snapToGrid/>
              <w:spacing w:line="480" w:lineRule="auto"/>
              <w:ind w:right="0" w:rightChars="0"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项目预算</w:t>
            </w:r>
          </w:p>
        </w:tc>
      </w:tr>
      <w:tr w14:paraId="3865B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20" w:type="dxa"/>
            <w:vAlign w:val="top"/>
          </w:tcPr>
          <w:p w14:paraId="038C9A05">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1620" w:type="dxa"/>
            <w:vAlign w:val="top"/>
          </w:tcPr>
          <w:p w14:paraId="14DF8BAE">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2484" w:type="dxa"/>
            <w:vAlign w:val="top"/>
          </w:tcPr>
          <w:p w14:paraId="5389E28D">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1476" w:type="dxa"/>
            <w:vAlign w:val="top"/>
          </w:tcPr>
          <w:p w14:paraId="582E5396">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1800" w:type="dxa"/>
            <w:vAlign w:val="top"/>
          </w:tcPr>
          <w:p w14:paraId="1708927B">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r>
      <w:tr w14:paraId="089F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20" w:type="dxa"/>
            <w:vAlign w:val="top"/>
          </w:tcPr>
          <w:p w14:paraId="293C004E">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1620" w:type="dxa"/>
            <w:vAlign w:val="top"/>
          </w:tcPr>
          <w:p w14:paraId="749B7515">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2484" w:type="dxa"/>
            <w:vAlign w:val="top"/>
          </w:tcPr>
          <w:p w14:paraId="0D8AB7E0">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1476" w:type="dxa"/>
            <w:vAlign w:val="top"/>
          </w:tcPr>
          <w:p w14:paraId="030E357A">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1800" w:type="dxa"/>
            <w:vAlign w:val="top"/>
          </w:tcPr>
          <w:p w14:paraId="4A12C015">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r>
      <w:tr w14:paraId="7C99A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20" w:type="dxa"/>
            <w:vAlign w:val="top"/>
          </w:tcPr>
          <w:p w14:paraId="0B928570">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1620" w:type="dxa"/>
            <w:vAlign w:val="top"/>
          </w:tcPr>
          <w:p w14:paraId="28F4B10A">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2484" w:type="dxa"/>
            <w:vAlign w:val="top"/>
          </w:tcPr>
          <w:p w14:paraId="1ECFFAE6">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1476" w:type="dxa"/>
            <w:vAlign w:val="top"/>
          </w:tcPr>
          <w:p w14:paraId="295D6510">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1800" w:type="dxa"/>
            <w:vAlign w:val="top"/>
          </w:tcPr>
          <w:p w14:paraId="2A2DB4B7">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r>
      <w:tr w14:paraId="106E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620" w:type="dxa"/>
            <w:vAlign w:val="top"/>
          </w:tcPr>
          <w:p w14:paraId="4ED63C3E">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1620" w:type="dxa"/>
            <w:vAlign w:val="top"/>
          </w:tcPr>
          <w:p w14:paraId="78A594EE">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2484" w:type="dxa"/>
            <w:vAlign w:val="top"/>
          </w:tcPr>
          <w:p w14:paraId="45E2A794">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1476" w:type="dxa"/>
            <w:vAlign w:val="top"/>
          </w:tcPr>
          <w:p w14:paraId="29E7895D">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1800" w:type="dxa"/>
            <w:vAlign w:val="top"/>
          </w:tcPr>
          <w:p w14:paraId="49AD0AFE">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r>
    </w:tbl>
    <w:p w14:paraId="02B26D85">
      <w:pPr>
        <w:widowControl/>
        <w:jc w:val="center"/>
        <w:rPr>
          <w:rFonts w:hint="eastAsia" w:ascii="宋体" w:hAnsi="宋体" w:eastAsia="宋体" w:cs="宋体"/>
          <w:bCs/>
          <w:color w:val="auto"/>
          <w:sz w:val="24"/>
          <w:highlight w:val="none"/>
        </w:rPr>
      </w:pPr>
    </w:p>
    <w:p w14:paraId="4391C1C8">
      <w:pPr>
        <w:widowControl/>
        <w:spacing w:line="44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备注：业绩证明文件以中标/成交通知书或合同为准，包括但不限于：合同首页、合同盖章页、合同签字页及合同签订日期页。</w:t>
      </w:r>
    </w:p>
    <w:p w14:paraId="434DA735">
      <w:pPr>
        <w:pStyle w:val="21"/>
        <w:rPr>
          <w:rFonts w:hint="eastAsia"/>
          <w:color w:val="auto"/>
          <w:highlight w:val="none"/>
        </w:rPr>
      </w:pPr>
    </w:p>
    <w:p w14:paraId="0443D06E">
      <w:pPr>
        <w:shd w:val="clear" w:color="auto" w:fill="FFFFFF"/>
        <w:spacing w:line="500" w:lineRule="exact"/>
        <w:ind w:left="424" w:left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r>
        <w:rPr>
          <w:rFonts w:ascii="宋体" w:hAnsi="宋体"/>
          <w:color w:val="auto"/>
          <w:sz w:val="24"/>
          <w:highlight w:val="none"/>
        </w:rPr>
        <w:t>公章</w:t>
      </w:r>
      <w:r>
        <w:rPr>
          <w:rFonts w:hint="eastAsia" w:ascii="宋体" w:hAnsi="宋体" w:eastAsia="宋体" w:cs="宋体"/>
          <w:color w:val="auto"/>
          <w:sz w:val="24"/>
          <w:highlight w:val="none"/>
        </w:rPr>
        <w:t>）：</w:t>
      </w:r>
    </w:p>
    <w:p w14:paraId="06489B77">
      <w:pPr>
        <w:shd w:val="clear" w:color="auto" w:fill="FFFFFF"/>
        <w:tabs>
          <w:tab w:val="left" w:pos="3780"/>
        </w:tabs>
        <w:spacing w:line="440" w:lineRule="exact"/>
        <w:ind w:left="424" w:left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w:t>
      </w:r>
      <w:r>
        <w:rPr>
          <w:rFonts w:hint="eastAsia" w:ascii="宋体" w:hAnsi="宋体" w:eastAsia="宋体" w:cs="宋体"/>
          <w:color w:val="auto"/>
          <w:sz w:val="24"/>
          <w:highlight w:val="none"/>
          <w:lang w:val="en-US" w:eastAsia="zh-CN"/>
        </w:rPr>
        <w:t>负责人或</w:t>
      </w:r>
      <w:r>
        <w:rPr>
          <w:rFonts w:hint="eastAsia" w:ascii="宋体" w:hAnsi="宋体" w:eastAsia="宋体" w:cs="宋体"/>
          <w:color w:val="auto"/>
          <w:sz w:val="24"/>
          <w:highlight w:val="none"/>
        </w:rPr>
        <w:t>授权代理人（签字或签章）：</w:t>
      </w:r>
    </w:p>
    <w:p w14:paraId="6992E942">
      <w:pPr>
        <w:shd w:val="clear" w:color="auto" w:fill="FFFFFF"/>
        <w:spacing w:line="500" w:lineRule="exact"/>
        <w:ind w:left="424" w:left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30C7DF1A">
      <w:pPr>
        <w:widowControl/>
        <w:jc w:val="left"/>
        <w:rPr>
          <w:rFonts w:hint="eastAsia" w:ascii="宋体" w:hAnsi="宋体" w:eastAsia="宋体" w:cs="宋体"/>
          <w:color w:val="auto"/>
          <w:highlight w:val="none"/>
        </w:rPr>
      </w:pPr>
    </w:p>
    <w:p w14:paraId="0589371C">
      <w:pPr>
        <w:widowControl/>
        <w:jc w:val="left"/>
        <w:rPr>
          <w:rFonts w:hint="eastAsia" w:ascii="宋体" w:hAnsi="宋体" w:eastAsia="宋体" w:cs="宋体"/>
          <w:color w:val="auto"/>
          <w:highlight w:val="none"/>
        </w:rPr>
      </w:pPr>
    </w:p>
    <w:p w14:paraId="5CBF5E44">
      <w:pPr>
        <w:pStyle w:val="32"/>
        <w:numPr>
          <w:ilvl w:val="0"/>
          <w:numId w:val="0"/>
        </w:numPr>
        <w:rPr>
          <w:rFonts w:hint="eastAsia" w:ascii="宋体" w:hAnsi="宋体" w:eastAsia="宋体" w:cs="宋体"/>
          <w:b/>
          <w:bCs/>
          <w:color w:val="auto"/>
          <w:kern w:val="0"/>
          <w:sz w:val="24"/>
          <w:highlight w:val="none"/>
          <w:lang w:val="en-US" w:eastAsia="zh-CN"/>
        </w:rPr>
        <w:sectPr>
          <w:pgSz w:w="11906" w:h="16838"/>
          <w:pgMar w:top="1440" w:right="1106" w:bottom="1440" w:left="1800" w:header="851" w:footer="752" w:gutter="0"/>
          <w:pgNumType w:fmt="decimal"/>
          <w:cols w:space="720" w:num="1"/>
          <w:formProt w:val="0"/>
          <w:docGrid w:type="lines" w:linePitch="312" w:charSpace="0"/>
        </w:sectPr>
      </w:pPr>
    </w:p>
    <w:p w14:paraId="4EBFCAF1">
      <w:pPr>
        <w:pStyle w:val="32"/>
        <w:numPr>
          <w:ilvl w:val="0"/>
          <w:numId w:val="0"/>
        </w:numPr>
        <w:rPr>
          <w:rFonts w:hint="default" w:ascii="宋体" w:hAnsi="宋体" w:eastAsia="宋体;SimSun" w:cs="宋体;SimSun"/>
          <w:color w:val="FF0000"/>
          <w:spacing w:val="0"/>
          <w:kern w:val="2"/>
          <w:sz w:val="24"/>
          <w:szCs w:val="21"/>
          <w:highlight w:val="none"/>
          <w:lang w:val="en-US" w:eastAsia="zh-CN" w:bidi="ar-SA"/>
        </w:rPr>
      </w:pPr>
      <w:r>
        <w:rPr>
          <w:rFonts w:hint="eastAsia" w:ascii="宋体" w:hAnsi="宋体" w:eastAsia="宋体" w:cs="宋体"/>
          <w:bCs/>
          <w:color w:val="auto"/>
          <w:kern w:val="0"/>
          <w:sz w:val="24"/>
          <w:highlight w:val="none"/>
        </w:rPr>
        <w:t>（</w:t>
      </w:r>
      <w:r>
        <w:rPr>
          <w:rFonts w:hint="eastAsia" w:ascii="宋体" w:hAnsi="宋体" w:eastAsia="宋体" w:cs="宋体"/>
          <w:bCs/>
          <w:color w:val="auto"/>
          <w:kern w:val="0"/>
          <w:sz w:val="24"/>
          <w:highlight w:val="none"/>
          <w:lang w:val="en-US" w:eastAsia="zh-CN"/>
        </w:rPr>
        <w:t>六</w:t>
      </w:r>
      <w:r>
        <w:rPr>
          <w:rFonts w:hint="eastAsia" w:ascii="宋体" w:hAnsi="宋体" w:eastAsia="宋体" w:cs="宋体"/>
          <w:bCs/>
          <w:color w:val="auto"/>
          <w:kern w:val="0"/>
          <w:sz w:val="24"/>
          <w:highlight w:val="none"/>
        </w:rPr>
        <w:t>）人员配置表及拟派项目负责人简历表</w:t>
      </w:r>
    </w:p>
    <w:p w14:paraId="4713BB21">
      <w:pPr>
        <w:spacing w:line="360" w:lineRule="auto"/>
        <w:outlineLvl w:val="2"/>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（1）人员配置表</w:t>
      </w:r>
    </w:p>
    <w:p w14:paraId="142D140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（姓名、性别、年龄、专业学历、职称职务、专业工作年限）</w:t>
      </w:r>
    </w:p>
    <w:p w14:paraId="08579346">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625"/>
        <w:gridCol w:w="771"/>
        <w:gridCol w:w="908"/>
        <w:gridCol w:w="1602"/>
        <w:gridCol w:w="2126"/>
        <w:gridCol w:w="1139"/>
      </w:tblGrid>
      <w:tr w14:paraId="47C0B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898" w:type="dxa"/>
            <w:vAlign w:val="center"/>
          </w:tcPr>
          <w:p w14:paraId="1E1B2A45">
            <w:pPr>
              <w:spacing w:line="36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p>
        </w:tc>
        <w:tc>
          <w:tcPr>
            <w:tcW w:w="1625" w:type="dxa"/>
            <w:vAlign w:val="center"/>
          </w:tcPr>
          <w:p w14:paraId="74F15F74">
            <w:pPr>
              <w:spacing w:line="36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专业学历</w:t>
            </w:r>
          </w:p>
        </w:tc>
        <w:tc>
          <w:tcPr>
            <w:tcW w:w="771" w:type="dxa"/>
            <w:vAlign w:val="center"/>
          </w:tcPr>
          <w:p w14:paraId="40E5AF65">
            <w:pPr>
              <w:spacing w:line="36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性别</w:t>
            </w:r>
          </w:p>
        </w:tc>
        <w:tc>
          <w:tcPr>
            <w:tcW w:w="908" w:type="dxa"/>
            <w:vAlign w:val="center"/>
          </w:tcPr>
          <w:p w14:paraId="1F0830B1">
            <w:pPr>
              <w:spacing w:line="36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年龄</w:t>
            </w:r>
          </w:p>
        </w:tc>
        <w:tc>
          <w:tcPr>
            <w:tcW w:w="1602" w:type="dxa"/>
            <w:vAlign w:val="center"/>
          </w:tcPr>
          <w:p w14:paraId="7987C7E5">
            <w:pPr>
              <w:spacing w:line="36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职称职务</w:t>
            </w:r>
          </w:p>
        </w:tc>
        <w:tc>
          <w:tcPr>
            <w:tcW w:w="2126" w:type="dxa"/>
            <w:vAlign w:val="center"/>
          </w:tcPr>
          <w:p w14:paraId="1232D1AD">
            <w:pPr>
              <w:spacing w:line="36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专业工作年限</w:t>
            </w:r>
          </w:p>
        </w:tc>
        <w:tc>
          <w:tcPr>
            <w:tcW w:w="1139" w:type="dxa"/>
            <w:vAlign w:val="center"/>
          </w:tcPr>
          <w:p w14:paraId="2D5854E7">
            <w:pPr>
              <w:spacing w:line="36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备注</w:t>
            </w:r>
          </w:p>
        </w:tc>
      </w:tr>
      <w:tr w14:paraId="7A6C5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exact"/>
        </w:trPr>
        <w:tc>
          <w:tcPr>
            <w:tcW w:w="898" w:type="dxa"/>
            <w:vAlign w:val="center"/>
          </w:tcPr>
          <w:p w14:paraId="175F4857">
            <w:pPr>
              <w:spacing w:line="360" w:lineRule="exact"/>
              <w:jc w:val="center"/>
              <w:rPr>
                <w:rFonts w:hint="default" w:ascii="Times New Roman" w:hAnsi="Times New Roman" w:cs="Times New Roman"/>
                <w:color w:val="auto"/>
                <w:sz w:val="24"/>
                <w:highlight w:val="none"/>
              </w:rPr>
            </w:pPr>
          </w:p>
        </w:tc>
        <w:tc>
          <w:tcPr>
            <w:tcW w:w="1625" w:type="dxa"/>
            <w:vAlign w:val="center"/>
          </w:tcPr>
          <w:p w14:paraId="4D368E4E">
            <w:pPr>
              <w:spacing w:line="360" w:lineRule="exact"/>
              <w:jc w:val="center"/>
              <w:rPr>
                <w:rFonts w:hint="default" w:ascii="Times New Roman" w:hAnsi="Times New Roman" w:cs="Times New Roman"/>
                <w:color w:val="auto"/>
                <w:sz w:val="24"/>
                <w:highlight w:val="none"/>
              </w:rPr>
            </w:pPr>
          </w:p>
        </w:tc>
        <w:tc>
          <w:tcPr>
            <w:tcW w:w="771" w:type="dxa"/>
            <w:vAlign w:val="center"/>
          </w:tcPr>
          <w:p w14:paraId="07E9DDA2">
            <w:pPr>
              <w:spacing w:line="360" w:lineRule="exact"/>
              <w:jc w:val="center"/>
              <w:rPr>
                <w:rFonts w:hint="default" w:ascii="Times New Roman" w:hAnsi="Times New Roman" w:cs="Times New Roman"/>
                <w:color w:val="auto"/>
                <w:sz w:val="24"/>
                <w:highlight w:val="none"/>
              </w:rPr>
            </w:pPr>
          </w:p>
        </w:tc>
        <w:tc>
          <w:tcPr>
            <w:tcW w:w="908" w:type="dxa"/>
            <w:vAlign w:val="center"/>
          </w:tcPr>
          <w:p w14:paraId="21718847">
            <w:pPr>
              <w:spacing w:line="360" w:lineRule="exact"/>
              <w:jc w:val="center"/>
              <w:rPr>
                <w:rFonts w:hint="default" w:ascii="Times New Roman" w:hAnsi="Times New Roman" w:cs="Times New Roman"/>
                <w:color w:val="auto"/>
                <w:sz w:val="24"/>
                <w:highlight w:val="none"/>
              </w:rPr>
            </w:pPr>
          </w:p>
        </w:tc>
        <w:tc>
          <w:tcPr>
            <w:tcW w:w="1602" w:type="dxa"/>
            <w:vAlign w:val="center"/>
          </w:tcPr>
          <w:p w14:paraId="20E24902">
            <w:pPr>
              <w:spacing w:line="360" w:lineRule="exact"/>
              <w:jc w:val="center"/>
              <w:rPr>
                <w:rFonts w:hint="default" w:ascii="Times New Roman" w:hAnsi="Times New Roman" w:cs="Times New Roman"/>
                <w:color w:val="auto"/>
                <w:sz w:val="24"/>
                <w:highlight w:val="none"/>
              </w:rPr>
            </w:pPr>
          </w:p>
        </w:tc>
        <w:tc>
          <w:tcPr>
            <w:tcW w:w="2126" w:type="dxa"/>
            <w:vAlign w:val="center"/>
          </w:tcPr>
          <w:p w14:paraId="0DC55A19">
            <w:pPr>
              <w:spacing w:line="360" w:lineRule="exact"/>
              <w:jc w:val="center"/>
              <w:rPr>
                <w:rFonts w:hint="default" w:ascii="Times New Roman" w:hAnsi="Times New Roman" w:cs="Times New Roman"/>
                <w:color w:val="auto"/>
                <w:sz w:val="24"/>
                <w:highlight w:val="none"/>
              </w:rPr>
            </w:pPr>
          </w:p>
        </w:tc>
        <w:tc>
          <w:tcPr>
            <w:tcW w:w="1139" w:type="dxa"/>
            <w:vAlign w:val="center"/>
          </w:tcPr>
          <w:p w14:paraId="4273E38F">
            <w:pPr>
              <w:spacing w:line="360" w:lineRule="exact"/>
              <w:jc w:val="center"/>
              <w:rPr>
                <w:rFonts w:hint="default" w:ascii="Times New Roman" w:hAnsi="Times New Roman" w:cs="Times New Roman"/>
                <w:color w:val="auto"/>
                <w:sz w:val="24"/>
                <w:highlight w:val="none"/>
              </w:rPr>
            </w:pPr>
          </w:p>
        </w:tc>
      </w:tr>
      <w:tr w14:paraId="6182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exact"/>
        </w:trPr>
        <w:tc>
          <w:tcPr>
            <w:tcW w:w="898" w:type="dxa"/>
            <w:vAlign w:val="center"/>
          </w:tcPr>
          <w:p w14:paraId="4BFBF5A7">
            <w:pPr>
              <w:spacing w:line="360" w:lineRule="exact"/>
              <w:jc w:val="center"/>
              <w:rPr>
                <w:rFonts w:hint="default" w:ascii="Times New Roman" w:hAnsi="Times New Roman" w:cs="Times New Roman"/>
                <w:color w:val="auto"/>
                <w:sz w:val="24"/>
                <w:highlight w:val="none"/>
              </w:rPr>
            </w:pPr>
          </w:p>
        </w:tc>
        <w:tc>
          <w:tcPr>
            <w:tcW w:w="1625" w:type="dxa"/>
            <w:vAlign w:val="center"/>
          </w:tcPr>
          <w:p w14:paraId="7E2FE575">
            <w:pPr>
              <w:spacing w:line="360" w:lineRule="exact"/>
              <w:jc w:val="center"/>
              <w:rPr>
                <w:rFonts w:hint="default" w:ascii="Times New Roman" w:hAnsi="Times New Roman" w:cs="Times New Roman"/>
                <w:color w:val="auto"/>
                <w:sz w:val="24"/>
                <w:highlight w:val="none"/>
              </w:rPr>
            </w:pPr>
          </w:p>
        </w:tc>
        <w:tc>
          <w:tcPr>
            <w:tcW w:w="771" w:type="dxa"/>
            <w:vAlign w:val="center"/>
          </w:tcPr>
          <w:p w14:paraId="6B80AA49">
            <w:pPr>
              <w:spacing w:line="360" w:lineRule="exact"/>
              <w:jc w:val="center"/>
              <w:rPr>
                <w:rFonts w:hint="default" w:ascii="Times New Roman" w:hAnsi="Times New Roman" w:cs="Times New Roman"/>
                <w:color w:val="auto"/>
                <w:sz w:val="24"/>
                <w:highlight w:val="none"/>
              </w:rPr>
            </w:pPr>
          </w:p>
        </w:tc>
        <w:tc>
          <w:tcPr>
            <w:tcW w:w="908" w:type="dxa"/>
            <w:vAlign w:val="center"/>
          </w:tcPr>
          <w:p w14:paraId="7EE4334F">
            <w:pPr>
              <w:spacing w:line="360" w:lineRule="exact"/>
              <w:jc w:val="center"/>
              <w:rPr>
                <w:rFonts w:hint="default" w:ascii="Times New Roman" w:hAnsi="Times New Roman" w:cs="Times New Roman"/>
                <w:color w:val="auto"/>
                <w:sz w:val="24"/>
                <w:highlight w:val="none"/>
              </w:rPr>
            </w:pPr>
          </w:p>
        </w:tc>
        <w:tc>
          <w:tcPr>
            <w:tcW w:w="1602" w:type="dxa"/>
            <w:vAlign w:val="center"/>
          </w:tcPr>
          <w:p w14:paraId="472A1E75">
            <w:pPr>
              <w:spacing w:line="360" w:lineRule="exact"/>
              <w:jc w:val="center"/>
              <w:rPr>
                <w:rFonts w:hint="default" w:ascii="Times New Roman" w:hAnsi="Times New Roman" w:cs="Times New Roman"/>
                <w:color w:val="auto"/>
                <w:sz w:val="24"/>
                <w:highlight w:val="none"/>
              </w:rPr>
            </w:pPr>
          </w:p>
        </w:tc>
        <w:tc>
          <w:tcPr>
            <w:tcW w:w="2126" w:type="dxa"/>
            <w:vAlign w:val="center"/>
          </w:tcPr>
          <w:p w14:paraId="03314554">
            <w:pPr>
              <w:spacing w:line="360" w:lineRule="exact"/>
              <w:jc w:val="center"/>
              <w:rPr>
                <w:rFonts w:hint="default" w:ascii="Times New Roman" w:hAnsi="Times New Roman" w:cs="Times New Roman"/>
                <w:color w:val="auto"/>
                <w:sz w:val="24"/>
                <w:highlight w:val="none"/>
              </w:rPr>
            </w:pPr>
          </w:p>
        </w:tc>
        <w:tc>
          <w:tcPr>
            <w:tcW w:w="1139" w:type="dxa"/>
            <w:vAlign w:val="center"/>
          </w:tcPr>
          <w:p w14:paraId="5FC6B90F">
            <w:pPr>
              <w:spacing w:line="360" w:lineRule="exact"/>
              <w:jc w:val="center"/>
              <w:rPr>
                <w:rFonts w:hint="default" w:ascii="Times New Roman" w:hAnsi="Times New Roman" w:cs="Times New Roman"/>
                <w:color w:val="auto"/>
                <w:sz w:val="24"/>
                <w:highlight w:val="none"/>
              </w:rPr>
            </w:pPr>
          </w:p>
        </w:tc>
      </w:tr>
      <w:tr w14:paraId="5A0CE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exact"/>
        </w:trPr>
        <w:tc>
          <w:tcPr>
            <w:tcW w:w="898" w:type="dxa"/>
            <w:vAlign w:val="center"/>
          </w:tcPr>
          <w:p w14:paraId="26FFF6F4">
            <w:pPr>
              <w:spacing w:line="360" w:lineRule="exact"/>
              <w:jc w:val="center"/>
              <w:rPr>
                <w:rFonts w:hint="default" w:ascii="Times New Roman" w:hAnsi="Times New Roman" w:cs="Times New Roman"/>
                <w:color w:val="auto"/>
                <w:sz w:val="24"/>
                <w:highlight w:val="none"/>
              </w:rPr>
            </w:pPr>
          </w:p>
        </w:tc>
        <w:tc>
          <w:tcPr>
            <w:tcW w:w="1625" w:type="dxa"/>
            <w:vAlign w:val="center"/>
          </w:tcPr>
          <w:p w14:paraId="79BB4E76">
            <w:pPr>
              <w:spacing w:line="360" w:lineRule="exact"/>
              <w:jc w:val="center"/>
              <w:rPr>
                <w:rFonts w:hint="default" w:ascii="Times New Roman" w:hAnsi="Times New Roman" w:cs="Times New Roman"/>
                <w:color w:val="auto"/>
                <w:sz w:val="24"/>
                <w:highlight w:val="none"/>
              </w:rPr>
            </w:pPr>
          </w:p>
        </w:tc>
        <w:tc>
          <w:tcPr>
            <w:tcW w:w="771" w:type="dxa"/>
            <w:vAlign w:val="center"/>
          </w:tcPr>
          <w:p w14:paraId="7C32DBA1">
            <w:pPr>
              <w:spacing w:line="360" w:lineRule="exact"/>
              <w:jc w:val="center"/>
              <w:rPr>
                <w:rFonts w:hint="default" w:ascii="Times New Roman" w:hAnsi="Times New Roman" w:cs="Times New Roman"/>
                <w:color w:val="auto"/>
                <w:sz w:val="24"/>
                <w:highlight w:val="none"/>
              </w:rPr>
            </w:pPr>
          </w:p>
        </w:tc>
        <w:tc>
          <w:tcPr>
            <w:tcW w:w="908" w:type="dxa"/>
            <w:vAlign w:val="center"/>
          </w:tcPr>
          <w:p w14:paraId="6D00CFB0">
            <w:pPr>
              <w:spacing w:line="360" w:lineRule="exact"/>
              <w:jc w:val="center"/>
              <w:rPr>
                <w:rFonts w:hint="default" w:ascii="Times New Roman" w:hAnsi="Times New Roman" w:cs="Times New Roman"/>
                <w:color w:val="auto"/>
                <w:sz w:val="24"/>
                <w:highlight w:val="none"/>
              </w:rPr>
            </w:pPr>
          </w:p>
        </w:tc>
        <w:tc>
          <w:tcPr>
            <w:tcW w:w="1602" w:type="dxa"/>
            <w:vAlign w:val="center"/>
          </w:tcPr>
          <w:p w14:paraId="3049CCD4">
            <w:pPr>
              <w:spacing w:line="360" w:lineRule="exact"/>
              <w:jc w:val="center"/>
              <w:rPr>
                <w:rFonts w:hint="default" w:ascii="Times New Roman" w:hAnsi="Times New Roman" w:cs="Times New Roman"/>
                <w:color w:val="auto"/>
                <w:sz w:val="24"/>
                <w:highlight w:val="none"/>
              </w:rPr>
            </w:pPr>
          </w:p>
        </w:tc>
        <w:tc>
          <w:tcPr>
            <w:tcW w:w="2126" w:type="dxa"/>
            <w:vAlign w:val="center"/>
          </w:tcPr>
          <w:p w14:paraId="7C62E769">
            <w:pPr>
              <w:spacing w:line="360" w:lineRule="exact"/>
              <w:jc w:val="center"/>
              <w:rPr>
                <w:rFonts w:hint="default" w:ascii="Times New Roman" w:hAnsi="Times New Roman" w:cs="Times New Roman"/>
                <w:color w:val="auto"/>
                <w:sz w:val="24"/>
                <w:highlight w:val="none"/>
              </w:rPr>
            </w:pPr>
          </w:p>
        </w:tc>
        <w:tc>
          <w:tcPr>
            <w:tcW w:w="1139" w:type="dxa"/>
            <w:vAlign w:val="center"/>
          </w:tcPr>
          <w:p w14:paraId="665CC1F5">
            <w:pPr>
              <w:spacing w:line="360" w:lineRule="exact"/>
              <w:jc w:val="center"/>
              <w:rPr>
                <w:rFonts w:hint="default" w:ascii="Times New Roman" w:hAnsi="Times New Roman" w:cs="Times New Roman"/>
                <w:color w:val="auto"/>
                <w:sz w:val="24"/>
                <w:highlight w:val="none"/>
              </w:rPr>
            </w:pPr>
          </w:p>
        </w:tc>
      </w:tr>
    </w:tbl>
    <w:p w14:paraId="2E8DCD9B">
      <w:pPr>
        <w:pStyle w:val="50"/>
        <w:spacing w:line="360" w:lineRule="auto"/>
        <w:rPr>
          <w:rFonts w:hint="default" w:ascii="Times New Roman" w:hAnsi="Times New Roman" w:eastAsia="仿宋_GB2312" w:cs="Times New Roman"/>
          <w:b/>
          <w:color w:val="auto"/>
          <w:highlight w:val="none"/>
        </w:rPr>
      </w:pPr>
      <w:r>
        <w:rPr>
          <w:rFonts w:hint="default" w:ascii="宋体" w:hAnsi="宋体" w:eastAsia="宋体" w:cs="宋体"/>
          <w:color w:val="auto"/>
          <w:kern w:val="2"/>
          <w:sz w:val="24"/>
          <w:szCs w:val="21"/>
          <w:highlight w:val="none"/>
          <w:lang w:val="en-US" w:eastAsia="zh-CN" w:bidi="ar-SA"/>
        </w:rPr>
        <w:t>投标单位法人代表或授权代表签字（盖公章）：</w:t>
      </w:r>
    </w:p>
    <w:p w14:paraId="1E121C7F">
      <w:pPr>
        <w:spacing w:line="360" w:lineRule="auto"/>
        <w:jc w:val="left"/>
        <w:outlineLvl w:val="2"/>
        <w:rPr>
          <w:rFonts w:hint="default" w:ascii="Times New Roman" w:hAnsi="Times New Roman" w:cs="Times New Roman"/>
          <w:b/>
          <w:color w:val="auto"/>
          <w:sz w:val="24"/>
          <w:szCs w:val="24"/>
          <w:highlight w:val="none"/>
        </w:rPr>
      </w:pPr>
      <w:r>
        <w:rPr>
          <w:rFonts w:hint="default" w:ascii="宋体" w:hAnsi="宋体" w:eastAsia="宋体" w:cs="宋体"/>
          <w:b w:val="0"/>
          <w:bCs w:val="0"/>
          <w:color w:val="auto"/>
          <w:kern w:val="2"/>
          <w:sz w:val="22"/>
          <w:szCs w:val="20"/>
          <w:highlight w:val="none"/>
          <w:lang w:val="en-US" w:eastAsia="zh-CN" w:bidi="ar-SA"/>
        </w:rPr>
        <w:t>注：上表可自行延长。</w:t>
      </w:r>
    </w:p>
    <w:p w14:paraId="7CB89E1B">
      <w:pPr>
        <w:spacing w:line="360" w:lineRule="auto"/>
        <w:jc w:val="left"/>
        <w:outlineLvl w:val="2"/>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（2）拟派项目负责人简历表</w:t>
      </w:r>
    </w:p>
    <w:p w14:paraId="51DBA5C1">
      <w:pPr>
        <w:spacing w:line="360" w:lineRule="auto"/>
        <w:ind w:firstLine="600" w:firstLineChars="250"/>
        <w:rPr>
          <w:rFonts w:hint="default" w:ascii="Times New Roman" w:hAnsi="Times New Roman" w:cs="Times New Roman"/>
          <w:b/>
          <w:color w:val="auto"/>
          <w:sz w:val="24"/>
          <w:szCs w:val="24"/>
        </w:rPr>
      </w:pPr>
      <w:r>
        <w:rPr>
          <w:rFonts w:hint="default" w:ascii="Times New Roman" w:hAnsi="Times New Roman" w:cs="Times New Roman"/>
          <w:b w:val="0"/>
          <w:bCs/>
          <w:color w:val="auto"/>
          <w:sz w:val="24"/>
          <w:szCs w:val="24"/>
        </w:rPr>
        <w:t>投标人名称（盖章）</w:t>
      </w:r>
    </w:p>
    <w:tbl>
      <w:tblPr>
        <w:tblStyle w:val="27"/>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45"/>
        <w:gridCol w:w="956"/>
        <w:gridCol w:w="866"/>
        <w:gridCol w:w="1102"/>
        <w:gridCol w:w="485"/>
        <w:gridCol w:w="1675"/>
        <w:gridCol w:w="1800"/>
        <w:gridCol w:w="51"/>
        <w:gridCol w:w="1237"/>
      </w:tblGrid>
      <w:tr w14:paraId="4D7D7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9648" w:type="dxa"/>
            <w:gridSpan w:val="10"/>
            <w:vAlign w:val="center"/>
          </w:tcPr>
          <w:p w14:paraId="44A09B1D">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1、一般情况</w:t>
            </w:r>
          </w:p>
        </w:tc>
      </w:tr>
      <w:tr w14:paraId="38198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vAlign w:val="center"/>
          </w:tcPr>
          <w:p w14:paraId="2AC547E2">
            <w:pPr>
              <w:spacing w:line="360" w:lineRule="auto"/>
              <w:jc w:val="center"/>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姓名</w:t>
            </w:r>
          </w:p>
        </w:tc>
        <w:tc>
          <w:tcPr>
            <w:tcW w:w="1822" w:type="dxa"/>
            <w:gridSpan w:val="2"/>
            <w:vAlign w:val="center"/>
          </w:tcPr>
          <w:p w14:paraId="7BF52D58">
            <w:pPr>
              <w:spacing w:line="360" w:lineRule="auto"/>
              <w:jc w:val="center"/>
              <w:outlineLvl w:val="1"/>
              <w:rPr>
                <w:rFonts w:hint="default" w:ascii="Times New Roman" w:hAnsi="Times New Roman" w:eastAsia="仿宋_GB2312" w:cs="Times New Roman"/>
                <w:color w:val="auto"/>
                <w:sz w:val="24"/>
                <w:szCs w:val="22"/>
              </w:rPr>
            </w:pPr>
          </w:p>
        </w:tc>
        <w:tc>
          <w:tcPr>
            <w:tcW w:w="1587" w:type="dxa"/>
            <w:gridSpan w:val="2"/>
            <w:vAlign w:val="center"/>
          </w:tcPr>
          <w:p w14:paraId="4B9849B8">
            <w:pPr>
              <w:spacing w:line="360" w:lineRule="auto"/>
              <w:jc w:val="center"/>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年龄</w:t>
            </w:r>
          </w:p>
        </w:tc>
        <w:tc>
          <w:tcPr>
            <w:tcW w:w="1675" w:type="dxa"/>
            <w:vAlign w:val="center"/>
          </w:tcPr>
          <w:p w14:paraId="4199B7CE">
            <w:pPr>
              <w:spacing w:line="360" w:lineRule="auto"/>
              <w:jc w:val="center"/>
              <w:outlineLvl w:val="1"/>
              <w:rPr>
                <w:rFonts w:hint="default" w:ascii="Times New Roman" w:hAnsi="Times New Roman" w:eastAsia="仿宋_GB2312" w:cs="Times New Roman"/>
                <w:color w:val="auto"/>
                <w:sz w:val="24"/>
                <w:szCs w:val="22"/>
              </w:rPr>
            </w:pPr>
          </w:p>
        </w:tc>
        <w:tc>
          <w:tcPr>
            <w:tcW w:w="1851" w:type="dxa"/>
            <w:gridSpan w:val="2"/>
            <w:vAlign w:val="center"/>
          </w:tcPr>
          <w:p w14:paraId="630280CD">
            <w:pPr>
              <w:spacing w:line="360" w:lineRule="auto"/>
              <w:jc w:val="center"/>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学历</w:t>
            </w:r>
          </w:p>
        </w:tc>
        <w:tc>
          <w:tcPr>
            <w:tcW w:w="1237" w:type="dxa"/>
            <w:vAlign w:val="center"/>
          </w:tcPr>
          <w:p w14:paraId="7FC92BCF">
            <w:pPr>
              <w:spacing w:line="360" w:lineRule="auto"/>
              <w:jc w:val="center"/>
              <w:outlineLvl w:val="1"/>
              <w:rPr>
                <w:rFonts w:hint="default" w:ascii="Times New Roman" w:hAnsi="Times New Roman" w:eastAsia="仿宋_GB2312" w:cs="Times New Roman"/>
                <w:color w:val="auto"/>
                <w:sz w:val="24"/>
                <w:szCs w:val="22"/>
              </w:rPr>
            </w:pPr>
          </w:p>
        </w:tc>
      </w:tr>
      <w:tr w14:paraId="7211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vAlign w:val="center"/>
          </w:tcPr>
          <w:p w14:paraId="7E422EBA">
            <w:pPr>
              <w:spacing w:line="360" w:lineRule="auto"/>
              <w:jc w:val="center"/>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毕业学校</w:t>
            </w:r>
          </w:p>
        </w:tc>
        <w:tc>
          <w:tcPr>
            <w:tcW w:w="1822" w:type="dxa"/>
            <w:gridSpan w:val="2"/>
            <w:vAlign w:val="center"/>
          </w:tcPr>
          <w:p w14:paraId="7DBC66C5">
            <w:pPr>
              <w:spacing w:line="360" w:lineRule="auto"/>
              <w:jc w:val="center"/>
              <w:outlineLvl w:val="1"/>
              <w:rPr>
                <w:rFonts w:hint="default" w:ascii="Times New Roman" w:hAnsi="Times New Roman" w:eastAsia="仿宋_GB2312" w:cs="Times New Roman"/>
                <w:color w:val="auto"/>
                <w:sz w:val="24"/>
                <w:szCs w:val="22"/>
              </w:rPr>
            </w:pPr>
          </w:p>
        </w:tc>
        <w:tc>
          <w:tcPr>
            <w:tcW w:w="1587" w:type="dxa"/>
            <w:gridSpan w:val="2"/>
            <w:vAlign w:val="center"/>
          </w:tcPr>
          <w:p w14:paraId="1F7A541F">
            <w:pPr>
              <w:spacing w:line="360" w:lineRule="auto"/>
              <w:jc w:val="center"/>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专业</w:t>
            </w:r>
          </w:p>
        </w:tc>
        <w:tc>
          <w:tcPr>
            <w:tcW w:w="1675" w:type="dxa"/>
            <w:vAlign w:val="center"/>
          </w:tcPr>
          <w:p w14:paraId="77226E35">
            <w:pPr>
              <w:spacing w:line="360" w:lineRule="auto"/>
              <w:jc w:val="center"/>
              <w:outlineLvl w:val="1"/>
              <w:rPr>
                <w:rFonts w:hint="default" w:ascii="Times New Roman" w:hAnsi="Times New Roman" w:eastAsia="仿宋_GB2312" w:cs="Times New Roman"/>
                <w:color w:val="auto"/>
                <w:sz w:val="24"/>
                <w:szCs w:val="22"/>
              </w:rPr>
            </w:pPr>
          </w:p>
        </w:tc>
        <w:tc>
          <w:tcPr>
            <w:tcW w:w="1851" w:type="dxa"/>
            <w:gridSpan w:val="2"/>
            <w:vAlign w:val="center"/>
          </w:tcPr>
          <w:p w14:paraId="2220A9D5">
            <w:pPr>
              <w:spacing w:line="360" w:lineRule="auto"/>
              <w:jc w:val="center"/>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职务</w:t>
            </w:r>
          </w:p>
        </w:tc>
        <w:tc>
          <w:tcPr>
            <w:tcW w:w="1237" w:type="dxa"/>
            <w:vAlign w:val="center"/>
          </w:tcPr>
          <w:p w14:paraId="153A68B0">
            <w:pPr>
              <w:spacing w:line="360" w:lineRule="auto"/>
              <w:jc w:val="center"/>
              <w:outlineLvl w:val="1"/>
              <w:rPr>
                <w:rFonts w:hint="default" w:ascii="Times New Roman" w:hAnsi="Times New Roman" w:eastAsia="仿宋_GB2312" w:cs="Times New Roman"/>
                <w:color w:val="auto"/>
                <w:sz w:val="24"/>
                <w:szCs w:val="22"/>
              </w:rPr>
            </w:pPr>
          </w:p>
        </w:tc>
      </w:tr>
      <w:tr w14:paraId="1D9BD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exact"/>
          <w:jc w:val="center"/>
        </w:trPr>
        <w:tc>
          <w:tcPr>
            <w:tcW w:w="1476" w:type="dxa"/>
            <w:gridSpan w:val="2"/>
            <w:vAlign w:val="center"/>
          </w:tcPr>
          <w:p w14:paraId="5F13B119">
            <w:pPr>
              <w:spacing w:line="360" w:lineRule="auto"/>
              <w:jc w:val="center"/>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职称</w:t>
            </w:r>
          </w:p>
        </w:tc>
        <w:tc>
          <w:tcPr>
            <w:tcW w:w="1822" w:type="dxa"/>
            <w:gridSpan w:val="2"/>
            <w:vAlign w:val="center"/>
          </w:tcPr>
          <w:p w14:paraId="6F675D51">
            <w:pPr>
              <w:spacing w:line="360" w:lineRule="auto"/>
              <w:jc w:val="center"/>
              <w:outlineLvl w:val="1"/>
              <w:rPr>
                <w:rFonts w:hint="default" w:ascii="Times New Roman" w:hAnsi="Times New Roman" w:eastAsia="仿宋_GB2312" w:cs="Times New Roman"/>
                <w:color w:val="auto"/>
                <w:sz w:val="24"/>
                <w:szCs w:val="22"/>
              </w:rPr>
            </w:pPr>
          </w:p>
        </w:tc>
        <w:tc>
          <w:tcPr>
            <w:tcW w:w="1587" w:type="dxa"/>
            <w:gridSpan w:val="2"/>
            <w:vAlign w:val="center"/>
          </w:tcPr>
          <w:p w14:paraId="51556EEB">
            <w:pPr>
              <w:spacing w:line="360" w:lineRule="auto"/>
              <w:jc w:val="center"/>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拟任何职</w:t>
            </w:r>
          </w:p>
        </w:tc>
        <w:tc>
          <w:tcPr>
            <w:tcW w:w="1675" w:type="dxa"/>
            <w:vAlign w:val="center"/>
          </w:tcPr>
          <w:p w14:paraId="4819B14B">
            <w:pPr>
              <w:spacing w:line="360" w:lineRule="auto"/>
              <w:jc w:val="center"/>
              <w:outlineLvl w:val="1"/>
              <w:rPr>
                <w:rFonts w:hint="default" w:ascii="Times New Roman" w:hAnsi="Times New Roman" w:eastAsia="仿宋_GB2312" w:cs="Times New Roman"/>
                <w:color w:val="auto"/>
                <w:sz w:val="24"/>
                <w:szCs w:val="22"/>
              </w:rPr>
            </w:pPr>
          </w:p>
        </w:tc>
        <w:tc>
          <w:tcPr>
            <w:tcW w:w="1851" w:type="dxa"/>
            <w:gridSpan w:val="2"/>
            <w:vAlign w:val="center"/>
          </w:tcPr>
          <w:p w14:paraId="16C0C334">
            <w:pPr>
              <w:spacing w:line="360" w:lineRule="auto"/>
              <w:jc w:val="center"/>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参加工作时间</w:t>
            </w:r>
          </w:p>
        </w:tc>
        <w:tc>
          <w:tcPr>
            <w:tcW w:w="1237" w:type="dxa"/>
            <w:vAlign w:val="center"/>
          </w:tcPr>
          <w:p w14:paraId="76DC99BD">
            <w:pPr>
              <w:spacing w:line="360" w:lineRule="auto"/>
              <w:jc w:val="center"/>
              <w:outlineLvl w:val="1"/>
              <w:rPr>
                <w:rFonts w:hint="default" w:ascii="Times New Roman" w:hAnsi="Times New Roman" w:eastAsia="仿宋_GB2312" w:cs="Times New Roman"/>
                <w:color w:val="auto"/>
                <w:sz w:val="24"/>
                <w:szCs w:val="22"/>
              </w:rPr>
            </w:pPr>
          </w:p>
        </w:tc>
      </w:tr>
      <w:tr w14:paraId="76B6A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exact"/>
          <w:jc w:val="center"/>
        </w:trPr>
        <w:tc>
          <w:tcPr>
            <w:tcW w:w="9648" w:type="dxa"/>
            <w:gridSpan w:val="10"/>
            <w:vAlign w:val="center"/>
          </w:tcPr>
          <w:p w14:paraId="0B6E6997">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2、个人简历</w:t>
            </w:r>
          </w:p>
        </w:tc>
      </w:tr>
      <w:tr w14:paraId="2AC4E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vAlign w:val="center"/>
          </w:tcPr>
          <w:p w14:paraId="29E1BA21">
            <w:pPr>
              <w:spacing w:line="360" w:lineRule="auto"/>
              <w:jc w:val="center"/>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时间</w:t>
            </w:r>
          </w:p>
        </w:tc>
        <w:tc>
          <w:tcPr>
            <w:tcW w:w="8172" w:type="dxa"/>
            <w:gridSpan w:val="8"/>
            <w:vAlign w:val="center"/>
          </w:tcPr>
          <w:p w14:paraId="664820D1">
            <w:pPr>
              <w:spacing w:line="360" w:lineRule="auto"/>
              <w:jc w:val="center"/>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专业工作经历</w:t>
            </w:r>
          </w:p>
        </w:tc>
      </w:tr>
      <w:tr w14:paraId="2E128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exact"/>
          <w:jc w:val="center"/>
        </w:trPr>
        <w:tc>
          <w:tcPr>
            <w:tcW w:w="1476" w:type="dxa"/>
            <w:gridSpan w:val="2"/>
            <w:vAlign w:val="center"/>
          </w:tcPr>
          <w:p w14:paraId="57C4FBAE">
            <w:pPr>
              <w:spacing w:line="360" w:lineRule="auto"/>
              <w:jc w:val="center"/>
              <w:outlineLvl w:val="1"/>
              <w:rPr>
                <w:rFonts w:hint="default" w:ascii="Times New Roman" w:hAnsi="Times New Roman" w:eastAsia="仿宋_GB2312" w:cs="Times New Roman"/>
                <w:color w:val="auto"/>
                <w:sz w:val="24"/>
                <w:szCs w:val="22"/>
              </w:rPr>
            </w:pPr>
          </w:p>
        </w:tc>
        <w:tc>
          <w:tcPr>
            <w:tcW w:w="8172" w:type="dxa"/>
            <w:gridSpan w:val="8"/>
            <w:vAlign w:val="center"/>
          </w:tcPr>
          <w:p w14:paraId="04F640A7">
            <w:pPr>
              <w:spacing w:line="360" w:lineRule="auto"/>
              <w:jc w:val="center"/>
              <w:outlineLvl w:val="1"/>
              <w:rPr>
                <w:rFonts w:hint="default" w:ascii="Times New Roman" w:hAnsi="Times New Roman" w:eastAsia="仿宋_GB2312" w:cs="Times New Roman"/>
                <w:color w:val="auto"/>
                <w:sz w:val="24"/>
                <w:szCs w:val="22"/>
              </w:rPr>
            </w:pPr>
          </w:p>
        </w:tc>
      </w:tr>
      <w:tr w14:paraId="4391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648" w:type="dxa"/>
            <w:gridSpan w:val="10"/>
            <w:vAlign w:val="center"/>
          </w:tcPr>
          <w:p w14:paraId="16127538">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3、近年负责类似工程项目业绩情况</w:t>
            </w:r>
          </w:p>
        </w:tc>
      </w:tr>
      <w:tr w14:paraId="3683C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exact"/>
          <w:jc w:val="center"/>
        </w:trPr>
        <w:tc>
          <w:tcPr>
            <w:tcW w:w="1031" w:type="dxa"/>
            <w:vAlign w:val="center"/>
          </w:tcPr>
          <w:p w14:paraId="0AC82010">
            <w:pPr>
              <w:spacing w:line="360" w:lineRule="auto"/>
              <w:jc w:val="center"/>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序号</w:t>
            </w:r>
          </w:p>
        </w:tc>
        <w:tc>
          <w:tcPr>
            <w:tcW w:w="1401" w:type="dxa"/>
            <w:gridSpan w:val="2"/>
            <w:vAlign w:val="center"/>
          </w:tcPr>
          <w:p w14:paraId="1D6A54E2">
            <w:pPr>
              <w:spacing w:line="360" w:lineRule="auto"/>
              <w:jc w:val="center"/>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项目名称</w:t>
            </w:r>
          </w:p>
        </w:tc>
        <w:tc>
          <w:tcPr>
            <w:tcW w:w="1968" w:type="dxa"/>
            <w:gridSpan w:val="2"/>
            <w:vAlign w:val="center"/>
          </w:tcPr>
          <w:p w14:paraId="64273A16">
            <w:pPr>
              <w:spacing w:line="360" w:lineRule="auto"/>
              <w:jc w:val="center"/>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该项目中任何职</w:t>
            </w:r>
          </w:p>
        </w:tc>
        <w:tc>
          <w:tcPr>
            <w:tcW w:w="2160" w:type="dxa"/>
            <w:gridSpan w:val="2"/>
            <w:vAlign w:val="center"/>
          </w:tcPr>
          <w:p w14:paraId="6E3F89BB">
            <w:pPr>
              <w:spacing w:line="360" w:lineRule="auto"/>
              <w:jc w:val="center"/>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开展/执行时间</w:t>
            </w:r>
          </w:p>
        </w:tc>
        <w:tc>
          <w:tcPr>
            <w:tcW w:w="1800" w:type="dxa"/>
            <w:vAlign w:val="center"/>
          </w:tcPr>
          <w:p w14:paraId="202417E7">
            <w:pPr>
              <w:spacing w:line="360" w:lineRule="auto"/>
              <w:jc w:val="center"/>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项目内容</w:t>
            </w:r>
          </w:p>
        </w:tc>
        <w:tc>
          <w:tcPr>
            <w:tcW w:w="1288" w:type="dxa"/>
            <w:gridSpan w:val="2"/>
            <w:vAlign w:val="center"/>
          </w:tcPr>
          <w:p w14:paraId="6E36B8F5">
            <w:pPr>
              <w:spacing w:line="360" w:lineRule="auto"/>
              <w:jc w:val="center"/>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规模</w:t>
            </w:r>
          </w:p>
        </w:tc>
      </w:tr>
      <w:tr w14:paraId="5442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exact"/>
          <w:jc w:val="center"/>
        </w:trPr>
        <w:tc>
          <w:tcPr>
            <w:tcW w:w="1031" w:type="dxa"/>
            <w:vAlign w:val="center"/>
          </w:tcPr>
          <w:p w14:paraId="5B0A53F3">
            <w:pPr>
              <w:spacing w:line="360" w:lineRule="auto"/>
              <w:jc w:val="center"/>
              <w:outlineLvl w:val="1"/>
              <w:rPr>
                <w:rFonts w:hint="default" w:ascii="Times New Roman" w:hAnsi="Times New Roman" w:eastAsia="仿宋_GB2312" w:cs="Times New Roman"/>
                <w:color w:val="auto"/>
                <w:sz w:val="24"/>
                <w:szCs w:val="22"/>
              </w:rPr>
            </w:pPr>
          </w:p>
        </w:tc>
        <w:tc>
          <w:tcPr>
            <w:tcW w:w="1401" w:type="dxa"/>
            <w:gridSpan w:val="2"/>
            <w:vAlign w:val="center"/>
          </w:tcPr>
          <w:p w14:paraId="409B23FD">
            <w:pPr>
              <w:spacing w:line="360" w:lineRule="auto"/>
              <w:jc w:val="center"/>
              <w:outlineLvl w:val="1"/>
              <w:rPr>
                <w:rFonts w:hint="default" w:ascii="Times New Roman" w:hAnsi="Times New Roman" w:eastAsia="仿宋_GB2312" w:cs="Times New Roman"/>
                <w:color w:val="auto"/>
                <w:sz w:val="24"/>
                <w:szCs w:val="22"/>
              </w:rPr>
            </w:pPr>
          </w:p>
        </w:tc>
        <w:tc>
          <w:tcPr>
            <w:tcW w:w="1968" w:type="dxa"/>
            <w:gridSpan w:val="2"/>
            <w:vAlign w:val="center"/>
          </w:tcPr>
          <w:p w14:paraId="4C4DF2C2">
            <w:pPr>
              <w:spacing w:line="360" w:lineRule="auto"/>
              <w:jc w:val="center"/>
              <w:outlineLvl w:val="1"/>
              <w:rPr>
                <w:rFonts w:hint="default" w:ascii="Times New Roman" w:hAnsi="Times New Roman" w:eastAsia="仿宋_GB2312" w:cs="Times New Roman"/>
                <w:color w:val="auto"/>
                <w:sz w:val="24"/>
                <w:szCs w:val="22"/>
              </w:rPr>
            </w:pPr>
          </w:p>
        </w:tc>
        <w:tc>
          <w:tcPr>
            <w:tcW w:w="2160" w:type="dxa"/>
            <w:gridSpan w:val="2"/>
            <w:vAlign w:val="center"/>
          </w:tcPr>
          <w:p w14:paraId="7EA0164E">
            <w:pPr>
              <w:spacing w:line="360" w:lineRule="auto"/>
              <w:jc w:val="center"/>
              <w:outlineLvl w:val="1"/>
              <w:rPr>
                <w:rFonts w:hint="default" w:ascii="Times New Roman" w:hAnsi="Times New Roman" w:eastAsia="仿宋_GB2312" w:cs="Times New Roman"/>
                <w:color w:val="auto"/>
                <w:sz w:val="24"/>
                <w:szCs w:val="22"/>
              </w:rPr>
            </w:pPr>
          </w:p>
        </w:tc>
        <w:tc>
          <w:tcPr>
            <w:tcW w:w="1800" w:type="dxa"/>
            <w:vAlign w:val="center"/>
          </w:tcPr>
          <w:p w14:paraId="02007B4C">
            <w:pPr>
              <w:spacing w:line="360" w:lineRule="auto"/>
              <w:jc w:val="center"/>
              <w:outlineLvl w:val="1"/>
              <w:rPr>
                <w:rFonts w:hint="default" w:ascii="Times New Roman" w:hAnsi="Times New Roman" w:eastAsia="仿宋_GB2312" w:cs="Times New Roman"/>
                <w:color w:val="auto"/>
                <w:sz w:val="24"/>
                <w:szCs w:val="22"/>
              </w:rPr>
            </w:pPr>
          </w:p>
        </w:tc>
        <w:tc>
          <w:tcPr>
            <w:tcW w:w="1288" w:type="dxa"/>
            <w:gridSpan w:val="2"/>
            <w:vAlign w:val="center"/>
          </w:tcPr>
          <w:p w14:paraId="2EEBC8D6">
            <w:pPr>
              <w:spacing w:line="360" w:lineRule="auto"/>
              <w:jc w:val="center"/>
              <w:outlineLvl w:val="1"/>
              <w:rPr>
                <w:rFonts w:hint="default" w:ascii="Times New Roman" w:hAnsi="Times New Roman" w:eastAsia="仿宋_GB2312" w:cs="Times New Roman"/>
                <w:color w:val="auto"/>
                <w:sz w:val="24"/>
                <w:szCs w:val="22"/>
              </w:rPr>
            </w:pPr>
          </w:p>
        </w:tc>
      </w:tr>
    </w:tbl>
    <w:p w14:paraId="6DA7BDA7">
      <w:pPr>
        <w:pStyle w:val="50"/>
        <w:spacing w:line="360" w:lineRule="auto"/>
        <w:rPr>
          <w:rFonts w:hint="default" w:ascii="宋体" w:hAnsi="宋体" w:eastAsia="宋体" w:cs="宋体"/>
          <w:color w:val="auto"/>
          <w:kern w:val="2"/>
          <w:sz w:val="24"/>
          <w:szCs w:val="21"/>
          <w:highlight w:val="none"/>
          <w:lang w:val="en-US" w:eastAsia="zh-CN" w:bidi="ar-SA"/>
        </w:rPr>
      </w:pPr>
      <w:r>
        <w:rPr>
          <w:rFonts w:hint="default" w:ascii="宋体" w:hAnsi="宋体" w:eastAsia="宋体" w:cs="宋体"/>
          <w:color w:val="auto"/>
          <w:kern w:val="2"/>
          <w:sz w:val="24"/>
          <w:szCs w:val="21"/>
          <w:highlight w:val="none"/>
          <w:lang w:val="en-US" w:eastAsia="zh-CN" w:bidi="ar-SA"/>
        </w:rPr>
        <w:t>投标单位法人代表或授权代表签字（盖公章）：</w:t>
      </w:r>
    </w:p>
    <w:p w14:paraId="6B073F41">
      <w:pPr>
        <w:spacing w:line="360" w:lineRule="auto"/>
        <w:rPr>
          <w:rFonts w:hint="default" w:ascii="Times New Roman" w:hAnsi="Times New Roman" w:eastAsia="仿宋" w:cs="Times New Roman"/>
          <w:b/>
          <w:color w:val="auto"/>
          <w:sz w:val="24"/>
          <w:szCs w:val="24"/>
        </w:rPr>
      </w:pPr>
      <w:r>
        <w:rPr>
          <w:rFonts w:hint="default" w:ascii="宋体" w:hAnsi="宋体" w:eastAsia="宋体" w:cs="宋体"/>
          <w:color w:val="auto"/>
          <w:kern w:val="2"/>
          <w:sz w:val="24"/>
          <w:szCs w:val="21"/>
          <w:highlight w:val="none"/>
          <w:lang w:val="en-US" w:eastAsia="zh-CN" w:bidi="ar-SA"/>
        </w:rPr>
        <w:t>注：请附身份证、相关资格证明复印件</w:t>
      </w:r>
    </w:p>
    <w:p w14:paraId="27F6C106">
      <w:pPr>
        <w:pStyle w:val="32"/>
        <w:ind w:firstLine="0"/>
        <w:rPr>
          <w:rFonts w:hint="eastAsia" w:ascii="宋体" w:hAnsi="宋体" w:eastAsia="宋体" w:cs="宋体"/>
          <w:color w:val="FF0000"/>
          <w:sz w:val="24"/>
          <w:highlight w:val="none"/>
        </w:rPr>
        <w:sectPr>
          <w:pgSz w:w="11906" w:h="16838"/>
          <w:pgMar w:top="1440" w:right="1106" w:bottom="1440" w:left="1800" w:header="851" w:footer="752" w:gutter="0"/>
          <w:pgNumType w:fmt="decimal"/>
          <w:cols w:space="720" w:num="1"/>
          <w:formProt w:val="0"/>
          <w:docGrid w:type="lines" w:linePitch="312" w:charSpace="0"/>
        </w:sectPr>
      </w:pPr>
    </w:p>
    <w:p w14:paraId="2C98144F">
      <w:pPr>
        <w:widowControl/>
        <w:jc w:val="left"/>
        <w:rPr>
          <w:rFonts w:hint="eastAsia" w:ascii="宋体" w:hAnsi="宋体" w:eastAsia="宋体" w:cs="宋体"/>
          <w:color w:val="auto"/>
          <w:sz w:val="24"/>
          <w:highlight w:val="none"/>
        </w:rPr>
      </w:pPr>
      <w:r>
        <w:rPr>
          <w:rFonts w:hint="eastAsia" w:ascii="宋体" w:hAnsi="宋体" w:eastAsia="宋体" w:cs="Tahoma"/>
          <w:color w:val="auto"/>
          <w:sz w:val="24"/>
          <w:highlight w:val="none"/>
        </w:rPr>
        <w:t>（</w:t>
      </w:r>
      <w:r>
        <w:rPr>
          <w:rFonts w:hint="eastAsia" w:ascii="宋体" w:hAnsi="宋体" w:eastAsia="宋体" w:cs="Tahoma"/>
          <w:color w:val="auto"/>
          <w:sz w:val="24"/>
          <w:highlight w:val="none"/>
          <w:lang w:val="en-US" w:eastAsia="zh-CN"/>
        </w:rPr>
        <w:t>七</w:t>
      </w:r>
      <w:r>
        <w:rPr>
          <w:rFonts w:hint="eastAsia" w:ascii="宋体" w:hAnsi="宋体" w:eastAsia="宋体" w:cs="Tahoma"/>
          <w:color w:val="auto"/>
          <w:sz w:val="24"/>
          <w:highlight w:val="none"/>
        </w:rPr>
        <w:t>）</w:t>
      </w:r>
      <w:r>
        <w:rPr>
          <w:rFonts w:hint="eastAsia" w:ascii="宋体" w:hAnsi="宋体" w:eastAsia="宋体" w:cs="宋体"/>
          <w:color w:val="auto"/>
          <w:sz w:val="24"/>
          <w:highlight w:val="none"/>
        </w:rPr>
        <w:t>供应商认为有必要提供的其他商务资料</w:t>
      </w:r>
    </w:p>
    <w:p w14:paraId="7207D178">
      <w:pPr>
        <w:pStyle w:val="59"/>
        <w:rPr>
          <w:rFonts w:hint="eastAsia" w:ascii="宋体" w:hAnsi="宋体" w:cs="宋体"/>
          <w:color w:val="auto"/>
          <w:highlight w:val="none"/>
        </w:rPr>
      </w:pPr>
    </w:p>
    <w:p w14:paraId="1DC29E82">
      <w:pPr>
        <w:pStyle w:val="59"/>
        <w:rPr>
          <w:rFonts w:hint="eastAsia" w:ascii="宋体" w:hAnsi="宋体" w:cs="宋体"/>
          <w:color w:val="auto"/>
          <w:kern w:val="0"/>
          <w:sz w:val="24"/>
          <w:highlight w:val="none"/>
        </w:rPr>
      </w:pPr>
      <w:r>
        <w:rPr>
          <w:rFonts w:hint="eastAsia" w:ascii="宋体" w:hAnsi="宋体" w:cs="宋体"/>
          <w:b w:val="0"/>
          <w:bCs/>
          <w:color w:val="auto"/>
          <w:sz w:val="24"/>
          <w:highlight w:val="none"/>
        </w:rPr>
        <w:t>1、</w:t>
      </w:r>
      <w:r>
        <w:rPr>
          <w:rFonts w:hint="eastAsia" w:ascii="宋体" w:hAnsi="宋体" w:cs="宋体"/>
          <w:color w:val="auto"/>
          <w:kern w:val="0"/>
          <w:sz w:val="24"/>
          <w:highlight w:val="none"/>
        </w:rPr>
        <w:t>供应商自觉抵制政府采购领域商业贿赂行为承诺书；（格式自拟）</w:t>
      </w:r>
    </w:p>
    <w:p w14:paraId="2E1D561E">
      <w:pPr>
        <w:pStyle w:val="59"/>
        <w:rPr>
          <w:rFonts w:hint="eastAsia" w:ascii="宋体" w:hAnsi="宋体" w:cs="宋体"/>
          <w:color w:val="auto"/>
          <w:kern w:val="0"/>
          <w:sz w:val="24"/>
          <w:highlight w:val="none"/>
        </w:rPr>
      </w:pPr>
    </w:p>
    <w:p w14:paraId="131AC7AA">
      <w:pPr>
        <w:pStyle w:val="59"/>
        <w:rPr>
          <w:rFonts w:hint="eastAsia" w:ascii="宋体" w:hAnsi="宋体" w:cs="宋体"/>
          <w:color w:val="auto"/>
          <w:kern w:val="0"/>
          <w:sz w:val="24"/>
          <w:highlight w:val="none"/>
        </w:rPr>
      </w:pPr>
    </w:p>
    <w:p w14:paraId="57F30EAD">
      <w:pPr>
        <w:pStyle w:val="59"/>
        <w:rPr>
          <w:rFonts w:hint="eastAsia" w:ascii="宋体" w:hAnsi="宋体" w:cs="宋体"/>
          <w:color w:val="auto"/>
          <w:kern w:val="0"/>
          <w:sz w:val="24"/>
          <w:highlight w:val="none"/>
        </w:rPr>
      </w:pPr>
    </w:p>
    <w:p w14:paraId="5688106B">
      <w:pPr>
        <w:pStyle w:val="59"/>
        <w:rPr>
          <w:rFonts w:hint="eastAsia" w:ascii="宋体" w:hAnsi="宋体" w:cs="宋体"/>
          <w:color w:val="auto"/>
          <w:kern w:val="0"/>
          <w:sz w:val="24"/>
          <w:highlight w:val="none"/>
        </w:rPr>
      </w:pPr>
    </w:p>
    <w:p w14:paraId="245117B1">
      <w:pPr>
        <w:pStyle w:val="32"/>
        <w:rPr>
          <w:rFonts w:hint="eastAsia" w:ascii="宋体" w:hAnsi="宋体" w:eastAsia="宋体" w:cs="宋体"/>
          <w:color w:val="auto"/>
          <w:spacing w:val="0"/>
          <w:highlight w:val="none"/>
        </w:rPr>
      </w:pPr>
    </w:p>
    <w:p w14:paraId="4061AFFC">
      <w:pPr>
        <w:pStyle w:val="32"/>
        <w:ind w:firstLine="0"/>
        <w:rPr>
          <w:rFonts w:hint="eastAsia" w:ascii="宋体" w:hAnsi="宋体" w:eastAsia="宋体" w:cs="宋体"/>
          <w:color w:val="auto"/>
          <w:spacing w:val="0"/>
          <w:highlight w:val="none"/>
        </w:rPr>
      </w:pPr>
      <w:r>
        <w:rPr>
          <w:rFonts w:hint="eastAsia" w:ascii="宋体" w:hAnsi="宋体" w:eastAsia="宋体" w:cs="宋体"/>
          <w:bCs/>
          <w:color w:val="auto"/>
          <w:spacing w:val="0"/>
          <w:kern w:val="2"/>
          <w:sz w:val="24"/>
          <w:szCs w:val="24"/>
          <w:highlight w:val="none"/>
          <w:lang w:val="en-US" w:eastAsia="zh-CN"/>
        </w:rPr>
        <w:t>2</w:t>
      </w:r>
      <w:r>
        <w:rPr>
          <w:rFonts w:hint="eastAsia" w:ascii="宋体" w:hAnsi="宋体" w:eastAsia="宋体" w:cs="宋体"/>
          <w:bCs/>
          <w:color w:val="auto"/>
          <w:spacing w:val="0"/>
          <w:kern w:val="2"/>
          <w:sz w:val="24"/>
          <w:szCs w:val="24"/>
          <w:highlight w:val="none"/>
        </w:rPr>
        <w:t>、供应商认为有必要的其他资料</w:t>
      </w:r>
    </w:p>
    <w:p w14:paraId="36F147C4">
      <w:pPr>
        <w:rPr>
          <w:rFonts w:hint="eastAsia" w:ascii="宋体" w:hAnsi="宋体" w:eastAsia="宋体" w:cs="宋体"/>
          <w:color w:val="auto"/>
          <w:highlight w:val="none"/>
        </w:rPr>
      </w:pPr>
      <w:bookmarkStart w:id="173" w:name="_Toc53602924"/>
    </w:p>
    <w:p w14:paraId="6397DCDA">
      <w:pPr>
        <w:pStyle w:val="3"/>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br w:type="page"/>
      </w:r>
      <w:bookmarkStart w:id="174" w:name="_Toc19743"/>
      <w:bookmarkStart w:id="175" w:name="_Toc73974718"/>
      <w:r>
        <w:rPr>
          <w:rFonts w:hint="eastAsia" w:ascii="宋体" w:hAnsi="宋体" w:cs="宋体"/>
          <w:color w:val="auto"/>
          <w:sz w:val="28"/>
          <w:szCs w:val="28"/>
          <w:highlight w:val="none"/>
          <w:lang w:val="en-US" w:eastAsia="zh-CN"/>
        </w:rPr>
        <w:t>四</w:t>
      </w:r>
      <w:r>
        <w:rPr>
          <w:rFonts w:hint="eastAsia" w:ascii="宋体" w:hAnsi="宋体" w:cs="宋体"/>
          <w:color w:val="auto"/>
          <w:sz w:val="28"/>
          <w:szCs w:val="28"/>
          <w:highlight w:val="none"/>
        </w:rPr>
        <w:t>、技术部分</w:t>
      </w:r>
      <w:bookmarkEnd w:id="173"/>
      <w:bookmarkEnd w:id="174"/>
      <w:bookmarkEnd w:id="175"/>
    </w:p>
    <w:p w14:paraId="4F5FFA5F">
      <w:pPr>
        <w:shd w:val="clear" w:color="auto" w:fill="FFFFFF"/>
        <w:spacing w:line="440" w:lineRule="exact"/>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4"/>
          <w:highlight w:val="none"/>
        </w:rPr>
        <w:t>（一）技术条款偏离表</w:t>
      </w:r>
    </w:p>
    <w:p w14:paraId="38DCB63B">
      <w:pPr>
        <w:shd w:val="clear" w:color="auto" w:fill="FFFFFF"/>
        <w:spacing w:line="440" w:lineRule="exact"/>
        <w:ind w:firstLine="562" w:firstLineChars="200"/>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技术条款偏离表</w:t>
      </w:r>
    </w:p>
    <w:p w14:paraId="36462E77">
      <w:pPr>
        <w:shd w:val="clear" w:color="auto" w:fill="FFFFFF"/>
        <w:spacing w:line="50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项目编号：</w:t>
      </w:r>
    </w:p>
    <w:tbl>
      <w:tblPr>
        <w:tblStyle w:val="27"/>
        <w:tblW w:w="0" w:type="auto"/>
        <w:jc w:val="center"/>
        <w:tblLayout w:type="fixed"/>
        <w:tblCellMar>
          <w:top w:w="0" w:type="dxa"/>
          <w:left w:w="108" w:type="dxa"/>
          <w:bottom w:w="0" w:type="dxa"/>
          <w:right w:w="108" w:type="dxa"/>
        </w:tblCellMar>
      </w:tblPr>
      <w:tblGrid>
        <w:gridCol w:w="1001"/>
        <w:gridCol w:w="1406"/>
        <w:gridCol w:w="1808"/>
        <w:gridCol w:w="1807"/>
        <w:gridCol w:w="1366"/>
        <w:gridCol w:w="2248"/>
      </w:tblGrid>
      <w:tr w14:paraId="69CA1A4D">
        <w:tblPrEx>
          <w:tblCellMar>
            <w:top w:w="0" w:type="dxa"/>
            <w:left w:w="108" w:type="dxa"/>
            <w:bottom w:w="0" w:type="dxa"/>
            <w:right w:w="108" w:type="dxa"/>
          </w:tblCellMar>
        </w:tblPrEx>
        <w:trPr>
          <w:cantSplit/>
          <w:trHeight w:val="743" w:hRule="exact"/>
          <w:jc w:val="center"/>
        </w:trPr>
        <w:tc>
          <w:tcPr>
            <w:tcW w:w="1001" w:type="dxa"/>
            <w:tcBorders>
              <w:top w:val="single" w:color="auto" w:sz="6" w:space="0"/>
              <w:left w:val="single" w:color="auto" w:sz="6" w:space="0"/>
              <w:bottom w:val="single" w:color="auto" w:sz="6" w:space="0"/>
              <w:right w:val="single" w:color="auto" w:sz="6" w:space="0"/>
            </w:tcBorders>
            <w:noWrap w:val="0"/>
            <w:vAlign w:val="center"/>
          </w:tcPr>
          <w:p w14:paraId="08A4C73A">
            <w:pPr>
              <w:shd w:val="clear" w:color="auto" w:fill="FFFFFF"/>
              <w:spacing w:line="500" w:lineRule="exact"/>
              <w:ind w:firstLine="9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 号</w:t>
            </w:r>
          </w:p>
        </w:tc>
        <w:tc>
          <w:tcPr>
            <w:tcW w:w="1406" w:type="dxa"/>
            <w:tcBorders>
              <w:top w:val="single" w:color="auto" w:sz="6" w:space="0"/>
              <w:left w:val="single" w:color="auto" w:sz="6" w:space="0"/>
              <w:bottom w:val="single" w:color="auto" w:sz="6" w:space="0"/>
              <w:right w:val="single" w:color="auto" w:sz="6" w:space="0"/>
            </w:tcBorders>
            <w:noWrap w:val="0"/>
            <w:vAlign w:val="center"/>
          </w:tcPr>
          <w:p w14:paraId="432BF397">
            <w:pPr>
              <w:shd w:val="clear" w:color="auto" w:fill="FFFFFF"/>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w:t>
            </w:r>
          </w:p>
        </w:tc>
        <w:tc>
          <w:tcPr>
            <w:tcW w:w="1808" w:type="dxa"/>
            <w:tcBorders>
              <w:top w:val="single" w:color="auto" w:sz="6" w:space="0"/>
              <w:left w:val="single" w:color="auto" w:sz="6" w:space="0"/>
              <w:bottom w:val="single" w:color="auto" w:sz="6" w:space="0"/>
              <w:right w:val="single" w:color="auto" w:sz="6" w:space="0"/>
            </w:tcBorders>
            <w:noWrap w:val="0"/>
            <w:vAlign w:val="center"/>
          </w:tcPr>
          <w:p w14:paraId="067F8808">
            <w:pPr>
              <w:shd w:val="clear" w:color="auto" w:fill="FFFFFF"/>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招标规格</w:t>
            </w:r>
          </w:p>
        </w:tc>
        <w:tc>
          <w:tcPr>
            <w:tcW w:w="1807" w:type="dxa"/>
            <w:tcBorders>
              <w:top w:val="single" w:color="auto" w:sz="6" w:space="0"/>
              <w:left w:val="single" w:color="auto" w:sz="6" w:space="0"/>
              <w:bottom w:val="single" w:color="auto" w:sz="6" w:space="0"/>
              <w:right w:val="single" w:color="auto" w:sz="6" w:space="0"/>
            </w:tcBorders>
            <w:noWrap w:val="0"/>
            <w:vAlign w:val="center"/>
          </w:tcPr>
          <w:p w14:paraId="63AA4F9C">
            <w:pPr>
              <w:shd w:val="clear" w:color="auto" w:fill="FFFFFF"/>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投标规格</w:t>
            </w:r>
          </w:p>
        </w:tc>
        <w:tc>
          <w:tcPr>
            <w:tcW w:w="1366" w:type="dxa"/>
            <w:tcBorders>
              <w:top w:val="single" w:color="auto" w:sz="6" w:space="0"/>
              <w:left w:val="single" w:color="auto" w:sz="6" w:space="0"/>
              <w:bottom w:val="single" w:color="auto" w:sz="6" w:space="0"/>
              <w:right w:val="single" w:color="auto" w:sz="6" w:space="0"/>
            </w:tcBorders>
            <w:noWrap w:val="0"/>
            <w:vAlign w:val="center"/>
          </w:tcPr>
          <w:p w14:paraId="142C965E">
            <w:pPr>
              <w:shd w:val="clear" w:color="auto" w:fill="FFFFFF"/>
              <w:spacing w:line="500" w:lineRule="exact"/>
              <w:ind w:firstLine="9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是否偏离</w:t>
            </w:r>
          </w:p>
        </w:tc>
        <w:tc>
          <w:tcPr>
            <w:tcW w:w="2248" w:type="dxa"/>
            <w:tcBorders>
              <w:top w:val="single" w:color="auto" w:sz="6" w:space="0"/>
              <w:left w:val="single" w:color="auto" w:sz="6" w:space="0"/>
              <w:bottom w:val="single" w:color="auto" w:sz="6" w:space="0"/>
              <w:right w:val="single" w:color="auto" w:sz="6" w:space="0"/>
            </w:tcBorders>
            <w:noWrap w:val="0"/>
            <w:vAlign w:val="center"/>
          </w:tcPr>
          <w:p w14:paraId="60A90ADD">
            <w:pPr>
              <w:shd w:val="clear" w:color="auto" w:fill="FFFFFF"/>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技术支持资料所在</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页码</w:t>
            </w:r>
          </w:p>
        </w:tc>
      </w:tr>
      <w:tr w14:paraId="4381F926">
        <w:tblPrEx>
          <w:tblCellMar>
            <w:top w:w="0" w:type="dxa"/>
            <w:left w:w="108" w:type="dxa"/>
            <w:bottom w:w="0" w:type="dxa"/>
            <w:right w:w="108" w:type="dxa"/>
          </w:tblCellMar>
        </w:tblPrEx>
        <w:trPr>
          <w:cantSplit/>
          <w:trHeight w:val="501" w:hRule="exact"/>
          <w:jc w:val="center"/>
        </w:trPr>
        <w:tc>
          <w:tcPr>
            <w:tcW w:w="1001" w:type="dxa"/>
            <w:tcBorders>
              <w:top w:val="single" w:color="auto" w:sz="6" w:space="0"/>
              <w:left w:val="single" w:color="auto" w:sz="6" w:space="0"/>
              <w:bottom w:val="single" w:color="auto" w:sz="6" w:space="0"/>
              <w:right w:val="single" w:color="auto" w:sz="6" w:space="0"/>
            </w:tcBorders>
            <w:noWrap w:val="0"/>
            <w:vAlign w:val="top"/>
          </w:tcPr>
          <w:p w14:paraId="2A1853B0">
            <w:pPr>
              <w:shd w:val="clear" w:color="auto" w:fill="FFFFFF"/>
              <w:spacing w:line="500" w:lineRule="exact"/>
              <w:ind w:firstLine="9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06" w:type="dxa"/>
            <w:tcBorders>
              <w:top w:val="single" w:color="auto" w:sz="6" w:space="0"/>
              <w:left w:val="single" w:color="auto" w:sz="6" w:space="0"/>
              <w:bottom w:val="single" w:color="auto" w:sz="6" w:space="0"/>
              <w:right w:val="single" w:color="auto" w:sz="6" w:space="0"/>
            </w:tcBorders>
            <w:noWrap w:val="0"/>
            <w:vAlign w:val="center"/>
          </w:tcPr>
          <w:p w14:paraId="13694F1F">
            <w:pPr>
              <w:shd w:val="clear" w:color="auto" w:fill="FFFFFF"/>
              <w:spacing w:line="500" w:lineRule="exact"/>
              <w:rPr>
                <w:rFonts w:hint="eastAsia" w:ascii="宋体" w:hAnsi="宋体" w:eastAsia="宋体" w:cs="宋体"/>
                <w:color w:val="auto"/>
                <w:sz w:val="24"/>
                <w:szCs w:val="24"/>
                <w:highlight w:val="none"/>
              </w:rPr>
            </w:pPr>
          </w:p>
        </w:tc>
        <w:tc>
          <w:tcPr>
            <w:tcW w:w="1808" w:type="dxa"/>
            <w:tcBorders>
              <w:top w:val="single" w:color="auto" w:sz="6" w:space="0"/>
              <w:left w:val="single" w:color="auto" w:sz="6" w:space="0"/>
              <w:bottom w:val="single" w:color="auto" w:sz="6" w:space="0"/>
              <w:right w:val="single" w:color="auto" w:sz="6" w:space="0"/>
            </w:tcBorders>
            <w:noWrap w:val="0"/>
            <w:vAlign w:val="top"/>
          </w:tcPr>
          <w:p w14:paraId="0BB2656A">
            <w:pPr>
              <w:shd w:val="clear" w:color="auto" w:fill="FFFFFF"/>
              <w:spacing w:line="500" w:lineRule="exact"/>
              <w:ind w:firstLine="99"/>
              <w:rPr>
                <w:rFonts w:hint="eastAsia" w:ascii="宋体" w:hAnsi="宋体" w:eastAsia="宋体" w:cs="宋体"/>
                <w:color w:val="auto"/>
                <w:sz w:val="24"/>
                <w:szCs w:val="24"/>
                <w:highlight w:val="none"/>
              </w:rPr>
            </w:pPr>
          </w:p>
        </w:tc>
        <w:tc>
          <w:tcPr>
            <w:tcW w:w="1807" w:type="dxa"/>
            <w:tcBorders>
              <w:top w:val="single" w:color="auto" w:sz="6" w:space="0"/>
              <w:left w:val="single" w:color="auto" w:sz="6" w:space="0"/>
              <w:bottom w:val="single" w:color="auto" w:sz="6" w:space="0"/>
              <w:right w:val="single" w:color="auto" w:sz="6" w:space="0"/>
            </w:tcBorders>
            <w:noWrap w:val="0"/>
            <w:vAlign w:val="top"/>
          </w:tcPr>
          <w:p w14:paraId="21BF93A2">
            <w:pPr>
              <w:shd w:val="clear" w:color="auto" w:fill="FFFFFF"/>
              <w:spacing w:line="500" w:lineRule="exact"/>
              <w:ind w:firstLine="99"/>
              <w:rPr>
                <w:rFonts w:hint="eastAsia" w:ascii="宋体" w:hAnsi="宋体" w:eastAsia="宋体" w:cs="宋体"/>
                <w:color w:val="auto"/>
                <w:sz w:val="24"/>
                <w:szCs w:val="24"/>
                <w:highlight w:val="none"/>
              </w:rPr>
            </w:pPr>
          </w:p>
        </w:tc>
        <w:tc>
          <w:tcPr>
            <w:tcW w:w="1366" w:type="dxa"/>
            <w:tcBorders>
              <w:top w:val="single" w:color="auto" w:sz="6" w:space="0"/>
              <w:left w:val="single" w:color="auto" w:sz="6" w:space="0"/>
              <w:bottom w:val="single" w:color="auto" w:sz="6" w:space="0"/>
              <w:right w:val="single" w:color="auto" w:sz="6" w:space="0"/>
            </w:tcBorders>
            <w:noWrap w:val="0"/>
            <w:vAlign w:val="top"/>
          </w:tcPr>
          <w:p w14:paraId="73D32805">
            <w:pPr>
              <w:shd w:val="clear" w:color="auto" w:fill="FFFFFF"/>
              <w:spacing w:line="500" w:lineRule="exact"/>
              <w:ind w:firstLine="99"/>
              <w:rPr>
                <w:rFonts w:hint="eastAsia" w:ascii="宋体" w:hAnsi="宋体" w:eastAsia="宋体" w:cs="宋体"/>
                <w:color w:val="auto"/>
                <w:sz w:val="24"/>
                <w:szCs w:val="24"/>
                <w:highlight w:val="none"/>
              </w:rPr>
            </w:pPr>
          </w:p>
        </w:tc>
        <w:tc>
          <w:tcPr>
            <w:tcW w:w="2248" w:type="dxa"/>
            <w:tcBorders>
              <w:top w:val="single" w:color="auto" w:sz="6" w:space="0"/>
              <w:left w:val="single" w:color="auto" w:sz="6" w:space="0"/>
              <w:bottom w:val="single" w:color="auto" w:sz="6" w:space="0"/>
              <w:right w:val="single" w:color="auto" w:sz="6" w:space="0"/>
            </w:tcBorders>
            <w:noWrap w:val="0"/>
            <w:vAlign w:val="top"/>
          </w:tcPr>
          <w:p w14:paraId="433AD50C">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（）页</w:t>
            </w:r>
          </w:p>
        </w:tc>
      </w:tr>
      <w:tr w14:paraId="569112AD">
        <w:tblPrEx>
          <w:tblCellMar>
            <w:top w:w="0" w:type="dxa"/>
            <w:left w:w="108" w:type="dxa"/>
            <w:bottom w:w="0" w:type="dxa"/>
            <w:right w:w="108" w:type="dxa"/>
          </w:tblCellMar>
        </w:tblPrEx>
        <w:trPr>
          <w:cantSplit/>
          <w:trHeight w:val="501" w:hRule="exact"/>
          <w:jc w:val="center"/>
        </w:trPr>
        <w:tc>
          <w:tcPr>
            <w:tcW w:w="1001" w:type="dxa"/>
            <w:tcBorders>
              <w:top w:val="single" w:color="auto" w:sz="6" w:space="0"/>
              <w:left w:val="single" w:color="auto" w:sz="6" w:space="0"/>
              <w:bottom w:val="single" w:color="auto" w:sz="6" w:space="0"/>
              <w:right w:val="single" w:color="auto" w:sz="6" w:space="0"/>
            </w:tcBorders>
            <w:noWrap w:val="0"/>
            <w:vAlign w:val="top"/>
          </w:tcPr>
          <w:p w14:paraId="2DC525F0">
            <w:pPr>
              <w:shd w:val="clear" w:color="auto" w:fill="FFFFFF"/>
              <w:spacing w:line="500" w:lineRule="exact"/>
              <w:ind w:firstLine="9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06" w:type="dxa"/>
            <w:tcBorders>
              <w:top w:val="single" w:color="auto" w:sz="6" w:space="0"/>
              <w:left w:val="single" w:color="auto" w:sz="6" w:space="0"/>
              <w:bottom w:val="single" w:color="auto" w:sz="6" w:space="0"/>
              <w:right w:val="single" w:color="auto" w:sz="6" w:space="0"/>
            </w:tcBorders>
            <w:noWrap w:val="0"/>
            <w:vAlign w:val="center"/>
          </w:tcPr>
          <w:p w14:paraId="79F5EF0E">
            <w:pPr>
              <w:shd w:val="clear" w:color="auto" w:fill="FFFFFF"/>
              <w:spacing w:line="500" w:lineRule="exact"/>
              <w:rPr>
                <w:rFonts w:hint="eastAsia" w:ascii="宋体" w:hAnsi="宋体" w:eastAsia="宋体" w:cs="宋体"/>
                <w:color w:val="auto"/>
                <w:sz w:val="24"/>
                <w:szCs w:val="24"/>
                <w:highlight w:val="none"/>
              </w:rPr>
            </w:pPr>
          </w:p>
        </w:tc>
        <w:tc>
          <w:tcPr>
            <w:tcW w:w="1808" w:type="dxa"/>
            <w:tcBorders>
              <w:top w:val="single" w:color="auto" w:sz="6" w:space="0"/>
              <w:left w:val="single" w:color="auto" w:sz="6" w:space="0"/>
              <w:bottom w:val="single" w:color="auto" w:sz="6" w:space="0"/>
              <w:right w:val="single" w:color="auto" w:sz="6" w:space="0"/>
            </w:tcBorders>
            <w:noWrap w:val="0"/>
            <w:vAlign w:val="top"/>
          </w:tcPr>
          <w:p w14:paraId="69B54BF8">
            <w:pPr>
              <w:shd w:val="clear" w:color="auto" w:fill="FFFFFF"/>
              <w:spacing w:line="500" w:lineRule="exact"/>
              <w:ind w:firstLine="99"/>
              <w:rPr>
                <w:rFonts w:hint="eastAsia" w:ascii="宋体" w:hAnsi="宋体" w:eastAsia="宋体" w:cs="宋体"/>
                <w:color w:val="auto"/>
                <w:sz w:val="24"/>
                <w:szCs w:val="24"/>
                <w:highlight w:val="none"/>
              </w:rPr>
            </w:pPr>
          </w:p>
        </w:tc>
        <w:tc>
          <w:tcPr>
            <w:tcW w:w="1807" w:type="dxa"/>
            <w:tcBorders>
              <w:top w:val="single" w:color="auto" w:sz="6" w:space="0"/>
              <w:left w:val="single" w:color="auto" w:sz="6" w:space="0"/>
              <w:bottom w:val="single" w:color="auto" w:sz="6" w:space="0"/>
              <w:right w:val="single" w:color="auto" w:sz="6" w:space="0"/>
            </w:tcBorders>
            <w:noWrap w:val="0"/>
            <w:vAlign w:val="top"/>
          </w:tcPr>
          <w:p w14:paraId="2C101405">
            <w:pPr>
              <w:shd w:val="clear" w:color="auto" w:fill="FFFFFF"/>
              <w:spacing w:line="500" w:lineRule="exact"/>
              <w:ind w:firstLine="99"/>
              <w:rPr>
                <w:rFonts w:hint="eastAsia" w:ascii="宋体" w:hAnsi="宋体" w:eastAsia="宋体" w:cs="宋体"/>
                <w:color w:val="auto"/>
                <w:sz w:val="24"/>
                <w:szCs w:val="24"/>
                <w:highlight w:val="none"/>
              </w:rPr>
            </w:pPr>
          </w:p>
        </w:tc>
        <w:tc>
          <w:tcPr>
            <w:tcW w:w="1366" w:type="dxa"/>
            <w:tcBorders>
              <w:top w:val="single" w:color="auto" w:sz="6" w:space="0"/>
              <w:left w:val="single" w:color="auto" w:sz="6" w:space="0"/>
              <w:bottom w:val="single" w:color="auto" w:sz="6" w:space="0"/>
              <w:right w:val="single" w:color="auto" w:sz="6" w:space="0"/>
            </w:tcBorders>
            <w:noWrap w:val="0"/>
            <w:vAlign w:val="top"/>
          </w:tcPr>
          <w:p w14:paraId="730938D8">
            <w:pPr>
              <w:shd w:val="clear" w:color="auto" w:fill="FFFFFF"/>
              <w:spacing w:line="500" w:lineRule="exact"/>
              <w:ind w:firstLine="99"/>
              <w:rPr>
                <w:rFonts w:hint="eastAsia" w:ascii="宋体" w:hAnsi="宋体" w:eastAsia="宋体" w:cs="宋体"/>
                <w:color w:val="auto"/>
                <w:sz w:val="24"/>
                <w:szCs w:val="24"/>
                <w:highlight w:val="none"/>
              </w:rPr>
            </w:pPr>
          </w:p>
        </w:tc>
        <w:tc>
          <w:tcPr>
            <w:tcW w:w="2248" w:type="dxa"/>
            <w:tcBorders>
              <w:top w:val="single" w:color="auto" w:sz="6" w:space="0"/>
              <w:left w:val="single" w:color="auto" w:sz="6" w:space="0"/>
              <w:bottom w:val="single" w:color="auto" w:sz="6" w:space="0"/>
              <w:right w:val="single" w:color="auto" w:sz="6" w:space="0"/>
            </w:tcBorders>
            <w:noWrap w:val="0"/>
            <w:vAlign w:val="top"/>
          </w:tcPr>
          <w:p w14:paraId="37D56D6E">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（）页</w:t>
            </w:r>
          </w:p>
        </w:tc>
      </w:tr>
      <w:tr w14:paraId="4CAE782A">
        <w:tblPrEx>
          <w:tblCellMar>
            <w:top w:w="0" w:type="dxa"/>
            <w:left w:w="108" w:type="dxa"/>
            <w:bottom w:w="0" w:type="dxa"/>
            <w:right w:w="108" w:type="dxa"/>
          </w:tblCellMar>
        </w:tblPrEx>
        <w:trPr>
          <w:cantSplit/>
          <w:trHeight w:val="501" w:hRule="exact"/>
          <w:jc w:val="center"/>
        </w:trPr>
        <w:tc>
          <w:tcPr>
            <w:tcW w:w="1001" w:type="dxa"/>
            <w:tcBorders>
              <w:top w:val="single" w:color="auto" w:sz="6" w:space="0"/>
              <w:left w:val="single" w:color="auto" w:sz="6" w:space="0"/>
              <w:bottom w:val="single" w:color="auto" w:sz="6" w:space="0"/>
              <w:right w:val="single" w:color="auto" w:sz="6" w:space="0"/>
            </w:tcBorders>
            <w:noWrap w:val="0"/>
            <w:vAlign w:val="top"/>
          </w:tcPr>
          <w:p w14:paraId="4ED8109D">
            <w:pPr>
              <w:shd w:val="clear" w:color="auto" w:fill="FFFFFF"/>
              <w:spacing w:line="500" w:lineRule="exact"/>
              <w:ind w:firstLine="9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06" w:type="dxa"/>
            <w:tcBorders>
              <w:top w:val="single" w:color="auto" w:sz="6" w:space="0"/>
              <w:left w:val="single" w:color="auto" w:sz="6" w:space="0"/>
              <w:bottom w:val="single" w:color="auto" w:sz="6" w:space="0"/>
              <w:right w:val="single" w:color="auto" w:sz="6" w:space="0"/>
            </w:tcBorders>
            <w:noWrap w:val="0"/>
            <w:vAlign w:val="center"/>
          </w:tcPr>
          <w:p w14:paraId="6A24B6B0">
            <w:pPr>
              <w:shd w:val="clear" w:color="auto" w:fill="FFFFFF"/>
              <w:spacing w:line="500" w:lineRule="exact"/>
              <w:rPr>
                <w:rFonts w:hint="eastAsia" w:ascii="宋体" w:hAnsi="宋体" w:eastAsia="宋体" w:cs="宋体"/>
                <w:color w:val="auto"/>
                <w:sz w:val="24"/>
                <w:szCs w:val="24"/>
                <w:highlight w:val="none"/>
              </w:rPr>
            </w:pPr>
          </w:p>
        </w:tc>
        <w:tc>
          <w:tcPr>
            <w:tcW w:w="1808" w:type="dxa"/>
            <w:tcBorders>
              <w:top w:val="single" w:color="auto" w:sz="6" w:space="0"/>
              <w:left w:val="single" w:color="auto" w:sz="6" w:space="0"/>
              <w:bottom w:val="single" w:color="auto" w:sz="6" w:space="0"/>
              <w:right w:val="single" w:color="auto" w:sz="6" w:space="0"/>
            </w:tcBorders>
            <w:noWrap w:val="0"/>
            <w:vAlign w:val="top"/>
          </w:tcPr>
          <w:p w14:paraId="238E2C46">
            <w:pPr>
              <w:shd w:val="clear" w:color="auto" w:fill="FFFFFF"/>
              <w:spacing w:line="500" w:lineRule="exact"/>
              <w:ind w:firstLine="99"/>
              <w:rPr>
                <w:rFonts w:hint="eastAsia" w:ascii="宋体" w:hAnsi="宋体" w:eastAsia="宋体" w:cs="宋体"/>
                <w:color w:val="auto"/>
                <w:sz w:val="24"/>
                <w:szCs w:val="24"/>
                <w:highlight w:val="none"/>
              </w:rPr>
            </w:pPr>
          </w:p>
        </w:tc>
        <w:tc>
          <w:tcPr>
            <w:tcW w:w="1807" w:type="dxa"/>
            <w:tcBorders>
              <w:top w:val="single" w:color="auto" w:sz="6" w:space="0"/>
              <w:left w:val="single" w:color="auto" w:sz="6" w:space="0"/>
              <w:bottom w:val="single" w:color="auto" w:sz="6" w:space="0"/>
              <w:right w:val="single" w:color="auto" w:sz="6" w:space="0"/>
            </w:tcBorders>
            <w:noWrap w:val="0"/>
            <w:vAlign w:val="top"/>
          </w:tcPr>
          <w:p w14:paraId="1A8789FA">
            <w:pPr>
              <w:shd w:val="clear" w:color="auto" w:fill="FFFFFF"/>
              <w:spacing w:line="500" w:lineRule="exact"/>
              <w:ind w:firstLine="99"/>
              <w:rPr>
                <w:rFonts w:hint="eastAsia" w:ascii="宋体" w:hAnsi="宋体" w:eastAsia="宋体" w:cs="宋体"/>
                <w:color w:val="auto"/>
                <w:sz w:val="24"/>
                <w:szCs w:val="24"/>
                <w:highlight w:val="none"/>
              </w:rPr>
            </w:pPr>
          </w:p>
        </w:tc>
        <w:tc>
          <w:tcPr>
            <w:tcW w:w="1366" w:type="dxa"/>
            <w:tcBorders>
              <w:top w:val="single" w:color="auto" w:sz="6" w:space="0"/>
              <w:left w:val="single" w:color="auto" w:sz="6" w:space="0"/>
              <w:bottom w:val="single" w:color="auto" w:sz="6" w:space="0"/>
              <w:right w:val="single" w:color="auto" w:sz="6" w:space="0"/>
            </w:tcBorders>
            <w:noWrap w:val="0"/>
            <w:vAlign w:val="top"/>
          </w:tcPr>
          <w:p w14:paraId="08EBA044">
            <w:pPr>
              <w:shd w:val="clear" w:color="auto" w:fill="FFFFFF"/>
              <w:spacing w:line="500" w:lineRule="exact"/>
              <w:ind w:firstLine="99"/>
              <w:rPr>
                <w:rFonts w:hint="eastAsia" w:ascii="宋体" w:hAnsi="宋体" w:eastAsia="宋体" w:cs="宋体"/>
                <w:color w:val="auto"/>
                <w:sz w:val="24"/>
                <w:szCs w:val="24"/>
                <w:highlight w:val="none"/>
              </w:rPr>
            </w:pPr>
          </w:p>
        </w:tc>
        <w:tc>
          <w:tcPr>
            <w:tcW w:w="2248" w:type="dxa"/>
            <w:tcBorders>
              <w:top w:val="single" w:color="auto" w:sz="6" w:space="0"/>
              <w:left w:val="single" w:color="auto" w:sz="6" w:space="0"/>
              <w:bottom w:val="single" w:color="auto" w:sz="6" w:space="0"/>
              <w:right w:val="single" w:color="auto" w:sz="6" w:space="0"/>
            </w:tcBorders>
            <w:noWrap w:val="0"/>
            <w:vAlign w:val="top"/>
          </w:tcPr>
          <w:p w14:paraId="184F9A5E">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（）页</w:t>
            </w:r>
          </w:p>
        </w:tc>
      </w:tr>
      <w:tr w14:paraId="531B324F">
        <w:tblPrEx>
          <w:tblCellMar>
            <w:top w:w="0" w:type="dxa"/>
            <w:left w:w="108" w:type="dxa"/>
            <w:bottom w:w="0" w:type="dxa"/>
            <w:right w:w="108" w:type="dxa"/>
          </w:tblCellMar>
        </w:tblPrEx>
        <w:trPr>
          <w:cantSplit/>
          <w:trHeight w:val="501" w:hRule="exact"/>
          <w:jc w:val="center"/>
        </w:trPr>
        <w:tc>
          <w:tcPr>
            <w:tcW w:w="1001" w:type="dxa"/>
            <w:tcBorders>
              <w:top w:val="single" w:color="auto" w:sz="6" w:space="0"/>
              <w:left w:val="single" w:color="auto" w:sz="6" w:space="0"/>
              <w:bottom w:val="single" w:color="auto" w:sz="6" w:space="0"/>
              <w:right w:val="single" w:color="auto" w:sz="6" w:space="0"/>
            </w:tcBorders>
            <w:noWrap w:val="0"/>
            <w:vAlign w:val="top"/>
          </w:tcPr>
          <w:p w14:paraId="6C803FD0">
            <w:pPr>
              <w:shd w:val="clear" w:color="auto" w:fill="FFFFFF"/>
              <w:spacing w:line="500" w:lineRule="exact"/>
              <w:ind w:firstLine="9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06" w:type="dxa"/>
            <w:tcBorders>
              <w:top w:val="single" w:color="auto" w:sz="6" w:space="0"/>
              <w:left w:val="single" w:color="auto" w:sz="6" w:space="0"/>
              <w:bottom w:val="single" w:color="auto" w:sz="6" w:space="0"/>
              <w:right w:val="single" w:color="auto" w:sz="6" w:space="0"/>
            </w:tcBorders>
            <w:noWrap w:val="0"/>
            <w:vAlign w:val="center"/>
          </w:tcPr>
          <w:p w14:paraId="3A714A5F">
            <w:pPr>
              <w:shd w:val="clear" w:color="auto" w:fill="FFFFFF"/>
              <w:spacing w:line="500" w:lineRule="exact"/>
              <w:rPr>
                <w:rFonts w:hint="eastAsia" w:ascii="宋体" w:hAnsi="宋体" w:eastAsia="宋体" w:cs="宋体"/>
                <w:color w:val="auto"/>
                <w:sz w:val="24"/>
                <w:szCs w:val="24"/>
                <w:highlight w:val="none"/>
              </w:rPr>
            </w:pPr>
          </w:p>
        </w:tc>
        <w:tc>
          <w:tcPr>
            <w:tcW w:w="1808" w:type="dxa"/>
            <w:tcBorders>
              <w:top w:val="single" w:color="auto" w:sz="6" w:space="0"/>
              <w:left w:val="single" w:color="auto" w:sz="6" w:space="0"/>
              <w:bottom w:val="single" w:color="auto" w:sz="6" w:space="0"/>
              <w:right w:val="single" w:color="auto" w:sz="6" w:space="0"/>
            </w:tcBorders>
            <w:noWrap w:val="0"/>
            <w:vAlign w:val="top"/>
          </w:tcPr>
          <w:p w14:paraId="2FCDA31F">
            <w:pPr>
              <w:shd w:val="clear" w:color="auto" w:fill="FFFFFF"/>
              <w:spacing w:line="500" w:lineRule="exact"/>
              <w:ind w:firstLine="99"/>
              <w:rPr>
                <w:rFonts w:hint="eastAsia" w:ascii="宋体" w:hAnsi="宋体" w:eastAsia="宋体" w:cs="宋体"/>
                <w:color w:val="auto"/>
                <w:sz w:val="24"/>
                <w:szCs w:val="24"/>
                <w:highlight w:val="none"/>
              </w:rPr>
            </w:pPr>
          </w:p>
        </w:tc>
        <w:tc>
          <w:tcPr>
            <w:tcW w:w="1807" w:type="dxa"/>
            <w:tcBorders>
              <w:top w:val="single" w:color="auto" w:sz="6" w:space="0"/>
              <w:left w:val="single" w:color="auto" w:sz="6" w:space="0"/>
              <w:bottom w:val="single" w:color="auto" w:sz="6" w:space="0"/>
              <w:right w:val="single" w:color="auto" w:sz="6" w:space="0"/>
            </w:tcBorders>
            <w:noWrap w:val="0"/>
            <w:vAlign w:val="top"/>
          </w:tcPr>
          <w:p w14:paraId="5A893929">
            <w:pPr>
              <w:shd w:val="clear" w:color="auto" w:fill="FFFFFF"/>
              <w:spacing w:line="500" w:lineRule="exact"/>
              <w:ind w:firstLine="99"/>
              <w:rPr>
                <w:rFonts w:hint="eastAsia" w:ascii="宋体" w:hAnsi="宋体" w:eastAsia="宋体" w:cs="宋体"/>
                <w:color w:val="auto"/>
                <w:sz w:val="24"/>
                <w:szCs w:val="24"/>
                <w:highlight w:val="none"/>
              </w:rPr>
            </w:pPr>
          </w:p>
        </w:tc>
        <w:tc>
          <w:tcPr>
            <w:tcW w:w="1366" w:type="dxa"/>
            <w:tcBorders>
              <w:top w:val="single" w:color="auto" w:sz="6" w:space="0"/>
              <w:left w:val="single" w:color="auto" w:sz="6" w:space="0"/>
              <w:bottom w:val="single" w:color="auto" w:sz="6" w:space="0"/>
              <w:right w:val="single" w:color="auto" w:sz="6" w:space="0"/>
            </w:tcBorders>
            <w:noWrap w:val="0"/>
            <w:vAlign w:val="top"/>
          </w:tcPr>
          <w:p w14:paraId="0D2C7E2C">
            <w:pPr>
              <w:shd w:val="clear" w:color="auto" w:fill="FFFFFF"/>
              <w:spacing w:line="500" w:lineRule="exact"/>
              <w:ind w:firstLine="99"/>
              <w:rPr>
                <w:rFonts w:hint="eastAsia" w:ascii="宋体" w:hAnsi="宋体" w:eastAsia="宋体" w:cs="宋体"/>
                <w:color w:val="auto"/>
                <w:sz w:val="24"/>
                <w:szCs w:val="24"/>
                <w:highlight w:val="none"/>
              </w:rPr>
            </w:pPr>
          </w:p>
        </w:tc>
        <w:tc>
          <w:tcPr>
            <w:tcW w:w="2248" w:type="dxa"/>
            <w:tcBorders>
              <w:top w:val="single" w:color="auto" w:sz="6" w:space="0"/>
              <w:left w:val="single" w:color="auto" w:sz="6" w:space="0"/>
              <w:bottom w:val="single" w:color="auto" w:sz="6" w:space="0"/>
              <w:right w:val="single" w:color="auto" w:sz="6" w:space="0"/>
            </w:tcBorders>
            <w:noWrap w:val="0"/>
            <w:vAlign w:val="top"/>
          </w:tcPr>
          <w:p w14:paraId="3993B8F0">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（）页</w:t>
            </w:r>
          </w:p>
        </w:tc>
      </w:tr>
      <w:tr w14:paraId="3C326C64">
        <w:tblPrEx>
          <w:tblCellMar>
            <w:top w:w="0" w:type="dxa"/>
            <w:left w:w="108" w:type="dxa"/>
            <w:bottom w:w="0" w:type="dxa"/>
            <w:right w:w="108" w:type="dxa"/>
          </w:tblCellMar>
        </w:tblPrEx>
        <w:trPr>
          <w:cantSplit/>
          <w:trHeight w:val="501" w:hRule="exact"/>
          <w:jc w:val="center"/>
        </w:trPr>
        <w:tc>
          <w:tcPr>
            <w:tcW w:w="1001" w:type="dxa"/>
            <w:tcBorders>
              <w:top w:val="single" w:color="auto" w:sz="6" w:space="0"/>
              <w:left w:val="single" w:color="auto" w:sz="6" w:space="0"/>
              <w:bottom w:val="single" w:color="auto" w:sz="6" w:space="0"/>
              <w:right w:val="single" w:color="auto" w:sz="6" w:space="0"/>
            </w:tcBorders>
            <w:noWrap w:val="0"/>
            <w:vAlign w:val="top"/>
          </w:tcPr>
          <w:p w14:paraId="05FB49DA">
            <w:pPr>
              <w:shd w:val="clear" w:color="auto" w:fill="FFFFFF"/>
              <w:spacing w:line="500" w:lineRule="exact"/>
              <w:ind w:firstLine="9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406" w:type="dxa"/>
            <w:tcBorders>
              <w:top w:val="single" w:color="auto" w:sz="6" w:space="0"/>
              <w:left w:val="single" w:color="auto" w:sz="6" w:space="0"/>
              <w:bottom w:val="single" w:color="auto" w:sz="6" w:space="0"/>
              <w:right w:val="single" w:color="auto" w:sz="6" w:space="0"/>
            </w:tcBorders>
            <w:noWrap w:val="0"/>
            <w:vAlign w:val="center"/>
          </w:tcPr>
          <w:p w14:paraId="1A6EB90A">
            <w:pPr>
              <w:shd w:val="clear" w:color="auto" w:fill="FFFFFF"/>
              <w:spacing w:line="500" w:lineRule="exact"/>
              <w:rPr>
                <w:rFonts w:hint="eastAsia" w:ascii="宋体" w:hAnsi="宋体" w:eastAsia="宋体" w:cs="宋体"/>
                <w:color w:val="auto"/>
                <w:sz w:val="24"/>
                <w:szCs w:val="24"/>
                <w:highlight w:val="none"/>
              </w:rPr>
            </w:pPr>
          </w:p>
        </w:tc>
        <w:tc>
          <w:tcPr>
            <w:tcW w:w="1808" w:type="dxa"/>
            <w:tcBorders>
              <w:top w:val="single" w:color="auto" w:sz="6" w:space="0"/>
              <w:left w:val="single" w:color="auto" w:sz="6" w:space="0"/>
              <w:bottom w:val="single" w:color="auto" w:sz="6" w:space="0"/>
              <w:right w:val="single" w:color="auto" w:sz="6" w:space="0"/>
            </w:tcBorders>
            <w:noWrap w:val="0"/>
            <w:vAlign w:val="top"/>
          </w:tcPr>
          <w:p w14:paraId="1D6DCD32">
            <w:pPr>
              <w:shd w:val="clear" w:color="auto" w:fill="FFFFFF"/>
              <w:spacing w:line="500" w:lineRule="exact"/>
              <w:ind w:firstLine="99"/>
              <w:rPr>
                <w:rFonts w:hint="eastAsia" w:ascii="宋体" w:hAnsi="宋体" w:eastAsia="宋体" w:cs="宋体"/>
                <w:color w:val="auto"/>
                <w:sz w:val="24"/>
                <w:szCs w:val="24"/>
                <w:highlight w:val="none"/>
              </w:rPr>
            </w:pPr>
          </w:p>
        </w:tc>
        <w:tc>
          <w:tcPr>
            <w:tcW w:w="1807" w:type="dxa"/>
            <w:tcBorders>
              <w:top w:val="single" w:color="auto" w:sz="6" w:space="0"/>
              <w:left w:val="single" w:color="auto" w:sz="6" w:space="0"/>
              <w:bottom w:val="single" w:color="auto" w:sz="6" w:space="0"/>
              <w:right w:val="single" w:color="auto" w:sz="6" w:space="0"/>
            </w:tcBorders>
            <w:noWrap w:val="0"/>
            <w:vAlign w:val="top"/>
          </w:tcPr>
          <w:p w14:paraId="65C54046">
            <w:pPr>
              <w:shd w:val="clear" w:color="auto" w:fill="FFFFFF"/>
              <w:spacing w:line="500" w:lineRule="exact"/>
              <w:ind w:firstLine="99"/>
              <w:rPr>
                <w:rFonts w:hint="eastAsia" w:ascii="宋体" w:hAnsi="宋体" w:eastAsia="宋体" w:cs="宋体"/>
                <w:color w:val="auto"/>
                <w:sz w:val="24"/>
                <w:szCs w:val="24"/>
                <w:highlight w:val="none"/>
              </w:rPr>
            </w:pPr>
          </w:p>
        </w:tc>
        <w:tc>
          <w:tcPr>
            <w:tcW w:w="1366" w:type="dxa"/>
            <w:tcBorders>
              <w:top w:val="single" w:color="auto" w:sz="6" w:space="0"/>
              <w:left w:val="single" w:color="auto" w:sz="6" w:space="0"/>
              <w:bottom w:val="single" w:color="auto" w:sz="6" w:space="0"/>
              <w:right w:val="single" w:color="auto" w:sz="6" w:space="0"/>
            </w:tcBorders>
            <w:noWrap w:val="0"/>
            <w:vAlign w:val="top"/>
          </w:tcPr>
          <w:p w14:paraId="57D17968">
            <w:pPr>
              <w:shd w:val="clear" w:color="auto" w:fill="FFFFFF"/>
              <w:spacing w:line="500" w:lineRule="exact"/>
              <w:ind w:firstLine="99"/>
              <w:rPr>
                <w:rFonts w:hint="eastAsia" w:ascii="宋体" w:hAnsi="宋体" w:eastAsia="宋体" w:cs="宋体"/>
                <w:color w:val="auto"/>
                <w:sz w:val="24"/>
                <w:szCs w:val="24"/>
                <w:highlight w:val="none"/>
              </w:rPr>
            </w:pPr>
          </w:p>
        </w:tc>
        <w:tc>
          <w:tcPr>
            <w:tcW w:w="2248" w:type="dxa"/>
            <w:tcBorders>
              <w:top w:val="single" w:color="auto" w:sz="6" w:space="0"/>
              <w:left w:val="single" w:color="auto" w:sz="6" w:space="0"/>
              <w:bottom w:val="single" w:color="auto" w:sz="6" w:space="0"/>
              <w:right w:val="single" w:color="auto" w:sz="6" w:space="0"/>
            </w:tcBorders>
            <w:noWrap w:val="0"/>
            <w:vAlign w:val="top"/>
          </w:tcPr>
          <w:p w14:paraId="070027B7">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（）页</w:t>
            </w:r>
          </w:p>
        </w:tc>
      </w:tr>
      <w:tr w14:paraId="5E071AD2">
        <w:tblPrEx>
          <w:tblCellMar>
            <w:top w:w="0" w:type="dxa"/>
            <w:left w:w="108" w:type="dxa"/>
            <w:bottom w:w="0" w:type="dxa"/>
            <w:right w:w="108" w:type="dxa"/>
          </w:tblCellMar>
        </w:tblPrEx>
        <w:trPr>
          <w:cantSplit/>
          <w:trHeight w:val="501" w:hRule="exact"/>
          <w:jc w:val="center"/>
        </w:trPr>
        <w:tc>
          <w:tcPr>
            <w:tcW w:w="1001" w:type="dxa"/>
            <w:tcBorders>
              <w:top w:val="single" w:color="auto" w:sz="6" w:space="0"/>
              <w:left w:val="single" w:color="auto" w:sz="6" w:space="0"/>
              <w:bottom w:val="single" w:color="auto" w:sz="6" w:space="0"/>
              <w:right w:val="single" w:color="auto" w:sz="6" w:space="0"/>
            </w:tcBorders>
            <w:noWrap w:val="0"/>
            <w:vAlign w:val="top"/>
          </w:tcPr>
          <w:p w14:paraId="217BA7A8">
            <w:pPr>
              <w:shd w:val="clear" w:color="auto" w:fill="FFFFFF"/>
              <w:spacing w:line="500" w:lineRule="exact"/>
              <w:ind w:firstLine="99"/>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406" w:type="dxa"/>
            <w:tcBorders>
              <w:top w:val="single" w:color="auto" w:sz="6" w:space="0"/>
              <w:left w:val="single" w:color="auto" w:sz="6" w:space="0"/>
              <w:bottom w:val="single" w:color="auto" w:sz="6" w:space="0"/>
              <w:right w:val="single" w:color="auto" w:sz="6" w:space="0"/>
            </w:tcBorders>
            <w:noWrap w:val="0"/>
            <w:vAlign w:val="top"/>
          </w:tcPr>
          <w:p w14:paraId="6184909C">
            <w:pPr>
              <w:shd w:val="clear" w:color="auto" w:fill="FFFFFF"/>
              <w:spacing w:line="500" w:lineRule="exact"/>
              <w:ind w:firstLine="99"/>
              <w:rPr>
                <w:rFonts w:hint="eastAsia" w:ascii="宋体" w:hAnsi="宋体" w:eastAsia="宋体" w:cs="宋体"/>
                <w:color w:val="auto"/>
                <w:sz w:val="24"/>
                <w:szCs w:val="24"/>
                <w:highlight w:val="none"/>
              </w:rPr>
            </w:pPr>
          </w:p>
        </w:tc>
        <w:tc>
          <w:tcPr>
            <w:tcW w:w="1808" w:type="dxa"/>
            <w:tcBorders>
              <w:top w:val="single" w:color="auto" w:sz="6" w:space="0"/>
              <w:left w:val="single" w:color="auto" w:sz="6" w:space="0"/>
              <w:bottom w:val="single" w:color="auto" w:sz="6" w:space="0"/>
              <w:right w:val="single" w:color="auto" w:sz="6" w:space="0"/>
            </w:tcBorders>
            <w:noWrap w:val="0"/>
            <w:vAlign w:val="top"/>
          </w:tcPr>
          <w:p w14:paraId="09067448">
            <w:pPr>
              <w:shd w:val="clear" w:color="auto" w:fill="FFFFFF"/>
              <w:spacing w:line="500" w:lineRule="exact"/>
              <w:ind w:firstLine="99"/>
              <w:rPr>
                <w:rFonts w:hint="eastAsia" w:ascii="宋体" w:hAnsi="宋体" w:eastAsia="宋体" w:cs="宋体"/>
                <w:color w:val="auto"/>
                <w:sz w:val="24"/>
                <w:szCs w:val="24"/>
                <w:highlight w:val="none"/>
              </w:rPr>
            </w:pPr>
          </w:p>
        </w:tc>
        <w:tc>
          <w:tcPr>
            <w:tcW w:w="1807" w:type="dxa"/>
            <w:tcBorders>
              <w:top w:val="single" w:color="auto" w:sz="6" w:space="0"/>
              <w:left w:val="single" w:color="auto" w:sz="6" w:space="0"/>
              <w:bottom w:val="single" w:color="auto" w:sz="6" w:space="0"/>
              <w:right w:val="single" w:color="auto" w:sz="6" w:space="0"/>
            </w:tcBorders>
            <w:noWrap w:val="0"/>
            <w:vAlign w:val="top"/>
          </w:tcPr>
          <w:p w14:paraId="08AF9134">
            <w:pPr>
              <w:shd w:val="clear" w:color="auto" w:fill="FFFFFF"/>
              <w:spacing w:line="500" w:lineRule="exact"/>
              <w:ind w:firstLine="99"/>
              <w:rPr>
                <w:rFonts w:hint="eastAsia" w:ascii="宋体" w:hAnsi="宋体" w:eastAsia="宋体" w:cs="宋体"/>
                <w:color w:val="auto"/>
                <w:sz w:val="24"/>
                <w:szCs w:val="24"/>
                <w:highlight w:val="none"/>
              </w:rPr>
            </w:pPr>
          </w:p>
        </w:tc>
        <w:tc>
          <w:tcPr>
            <w:tcW w:w="1366" w:type="dxa"/>
            <w:tcBorders>
              <w:top w:val="single" w:color="auto" w:sz="6" w:space="0"/>
              <w:left w:val="single" w:color="auto" w:sz="6" w:space="0"/>
              <w:bottom w:val="single" w:color="auto" w:sz="6" w:space="0"/>
              <w:right w:val="single" w:color="auto" w:sz="6" w:space="0"/>
            </w:tcBorders>
            <w:noWrap w:val="0"/>
            <w:vAlign w:val="top"/>
          </w:tcPr>
          <w:p w14:paraId="738AD7D3">
            <w:pPr>
              <w:shd w:val="clear" w:color="auto" w:fill="FFFFFF"/>
              <w:spacing w:line="500" w:lineRule="exact"/>
              <w:ind w:firstLine="99"/>
              <w:rPr>
                <w:rFonts w:hint="eastAsia" w:ascii="宋体" w:hAnsi="宋体" w:eastAsia="宋体" w:cs="宋体"/>
                <w:color w:val="auto"/>
                <w:sz w:val="24"/>
                <w:szCs w:val="24"/>
                <w:highlight w:val="none"/>
              </w:rPr>
            </w:pPr>
          </w:p>
        </w:tc>
        <w:tc>
          <w:tcPr>
            <w:tcW w:w="2248" w:type="dxa"/>
            <w:tcBorders>
              <w:top w:val="single" w:color="auto" w:sz="6" w:space="0"/>
              <w:left w:val="single" w:color="auto" w:sz="6" w:space="0"/>
              <w:bottom w:val="single" w:color="auto" w:sz="6" w:space="0"/>
              <w:right w:val="single" w:color="auto" w:sz="6" w:space="0"/>
            </w:tcBorders>
            <w:noWrap w:val="0"/>
            <w:vAlign w:val="top"/>
          </w:tcPr>
          <w:p w14:paraId="64269E36">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（）页</w:t>
            </w:r>
          </w:p>
        </w:tc>
      </w:tr>
      <w:tr w14:paraId="1C5BD975">
        <w:tblPrEx>
          <w:tblCellMar>
            <w:top w:w="0" w:type="dxa"/>
            <w:left w:w="108" w:type="dxa"/>
            <w:bottom w:w="0" w:type="dxa"/>
            <w:right w:w="108" w:type="dxa"/>
          </w:tblCellMar>
        </w:tblPrEx>
        <w:trPr>
          <w:cantSplit/>
          <w:trHeight w:val="501" w:hRule="exact"/>
          <w:jc w:val="center"/>
        </w:trPr>
        <w:tc>
          <w:tcPr>
            <w:tcW w:w="1001" w:type="dxa"/>
            <w:tcBorders>
              <w:top w:val="single" w:color="auto" w:sz="6" w:space="0"/>
              <w:left w:val="single" w:color="auto" w:sz="6" w:space="0"/>
              <w:bottom w:val="single" w:color="auto" w:sz="6" w:space="0"/>
              <w:right w:val="single" w:color="auto" w:sz="6" w:space="0"/>
            </w:tcBorders>
            <w:noWrap w:val="0"/>
            <w:vAlign w:val="top"/>
          </w:tcPr>
          <w:p w14:paraId="2C21D1EE">
            <w:pPr>
              <w:shd w:val="clear" w:color="auto" w:fill="FFFFFF"/>
              <w:spacing w:line="500" w:lineRule="exact"/>
              <w:ind w:firstLine="99"/>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406" w:type="dxa"/>
            <w:tcBorders>
              <w:top w:val="single" w:color="auto" w:sz="6" w:space="0"/>
              <w:left w:val="single" w:color="auto" w:sz="6" w:space="0"/>
              <w:bottom w:val="single" w:color="auto" w:sz="6" w:space="0"/>
              <w:right w:val="single" w:color="auto" w:sz="6" w:space="0"/>
            </w:tcBorders>
            <w:noWrap w:val="0"/>
            <w:vAlign w:val="top"/>
          </w:tcPr>
          <w:p w14:paraId="1DD2FB20">
            <w:pPr>
              <w:shd w:val="clear" w:color="auto" w:fill="FFFFFF"/>
              <w:spacing w:line="500" w:lineRule="exact"/>
              <w:ind w:firstLine="99"/>
              <w:rPr>
                <w:rFonts w:hint="eastAsia" w:ascii="宋体" w:hAnsi="宋体" w:eastAsia="宋体" w:cs="宋体"/>
                <w:color w:val="auto"/>
                <w:sz w:val="24"/>
                <w:szCs w:val="24"/>
                <w:highlight w:val="none"/>
              </w:rPr>
            </w:pPr>
          </w:p>
        </w:tc>
        <w:tc>
          <w:tcPr>
            <w:tcW w:w="1808" w:type="dxa"/>
            <w:tcBorders>
              <w:top w:val="single" w:color="auto" w:sz="6" w:space="0"/>
              <w:left w:val="single" w:color="auto" w:sz="6" w:space="0"/>
              <w:bottom w:val="single" w:color="auto" w:sz="6" w:space="0"/>
              <w:right w:val="single" w:color="auto" w:sz="6" w:space="0"/>
            </w:tcBorders>
            <w:noWrap w:val="0"/>
            <w:vAlign w:val="top"/>
          </w:tcPr>
          <w:p w14:paraId="5B7DC2F5">
            <w:pPr>
              <w:shd w:val="clear" w:color="auto" w:fill="FFFFFF"/>
              <w:spacing w:line="500" w:lineRule="exact"/>
              <w:ind w:firstLine="99"/>
              <w:rPr>
                <w:rFonts w:hint="eastAsia" w:ascii="宋体" w:hAnsi="宋体" w:eastAsia="宋体" w:cs="宋体"/>
                <w:color w:val="auto"/>
                <w:sz w:val="24"/>
                <w:szCs w:val="24"/>
                <w:highlight w:val="none"/>
              </w:rPr>
            </w:pPr>
          </w:p>
        </w:tc>
        <w:tc>
          <w:tcPr>
            <w:tcW w:w="1807" w:type="dxa"/>
            <w:tcBorders>
              <w:top w:val="single" w:color="auto" w:sz="6" w:space="0"/>
              <w:left w:val="single" w:color="auto" w:sz="6" w:space="0"/>
              <w:bottom w:val="single" w:color="auto" w:sz="6" w:space="0"/>
              <w:right w:val="single" w:color="auto" w:sz="6" w:space="0"/>
            </w:tcBorders>
            <w:noWrap w:val="0"/>
            <w:vAlign w:val="top"/>
          </w:tcPr>
          <w:p w14:paraId="61565A4B">
            <w:pPr>
              <w:shd w:val="clear" w:color="auto" w:fill="FFFFFF"/>
              <w:spacing w:line="500" w:lineRule="exact"/>
              <w:ind w:firstLine="99"/>
              <w:rPr>
                <w:rFonts w:hint="eastAsia" w:ascii="宋体" w:hAnsi="宋体" w:eastAsia="宋体" w:cs="宋体"/>
                <w:color w:val="auto"/>
                <w:sz w:val="24"/>
                <w:szCs w:val="24"/>
                <w:highlight w:val="none"/>
              </w:rPr>
            </w:pPr>
          </w:p>
        </w:tc>
        <w:tc>
          <w:tcPr>
            <w:tcW w:w="1366" w:type="dxa"/>
            <w:tcBorders>
              <w:top w:val="single" w:color="auto" w:sz="6" w:space="0"/>
              <w:left w:val="single" w:color="auto" w:sz="6" w:space="0"/>
              <w:bottom w:val="single" w:color="auto" w:sz="6" w:space="0"/>
              <w:right w:val="single" w:color="auto" w:sz="6" w:space="0"/>
            </w:tcBorders>
            <w:noWrap w:val="0"/>
            <w:vAlign w:val="top"/>
          </w:tcPr>
          <w:p w14:paraId="0C99822F">
            <w:pPr>
              <w:shd w:val="clear" w:color="auto" w:fill="FFFFFF"/>
              <w:spacing w:line="500" w:lineRule="exact"/>
              <w:ind w:firstLine="99"/>
              <w:rPr>
                <w:rFonts w:hint="eastAsia" w:ascii="宋体" w:hAnsi="宋体" w:eastAsia="宋体" w:cs="宋体"/>
                <w:color w:val="auto"/>
                <w:sz w:val="24"/>
                <w:szCs w:val="24"/>
                <w:highlight w:val="none"/>
              </w:rPr>
            </w:pPr>
          </w:p>
        </w:tc>
        <w:tc>
          <w:tcPr>
            <w:tcW w:w="2248" w:type="dxa"/>
            <w:tcBorders>
              <w:top w:val="single" w:color="auto" w:sz="6" w:space="0"/>
              <w:left w:val="single" w:color="auto" w:sz="6" w:space="0"/>
              <w:bottom w:val="single" w:color="auto" w:sz="6" w:space="0"/>
              <w:right w:val="single" w:color="auto" w:sz="6" w:space="0"/>
            </w:tcBorders>
            <w:noWrap w:val="0"/>
            <w:vAlign w:val="top"/>
          </w:tcPr>
          <w:p w14:paraId="77B0ABA2">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（）页</w:t>
            </w:r>
          </w:p>
        </w:tc>
      </w:tr>
      <w:tr w14:paraId="566EB000">
        <w:tblPrEx>
          <w:tblCellMar>
            <w:top w:w="0" w:type="dxa"/>
            <w:left w:w="108" w:type="dxa"/>
            <w:bottom w:w="0" w:type="dxa"/>
            <w:right w:w="108" w:type="dxa"/>
          </w:tblCellMar>
        </w:tblPrEx>
        <w:trPr>
          <w:cantSplit/>
          <w:trHeight w:val="501" w:hRule="exact"/>
          <w:jc w:val="center"/>
        </w:trPr>
        <w:tc>
          <w:tcPr>
            <w:tcW w:w="1001" w:type="dxa"/>
            <w:tcBorders>
              <w:top w:val="single" w:color="auto" w:sz="6" w:space="0"/>
              <w:left w:val="single" w:color="auto" w:sz="6" w:space="0"/>
              <w:bottom w:val="single" w:color="auto" w:sz="6" w:space="0"/>
              <w:right w:val="single" w:color="auto" w:sz="6" w:space="0"/>
            </w:tcBorders>
            <w:noWrap w:val="0"/>
            <w:vAlign w:val="top"/>
          </w:tcPr>
          <w:p w14:paraId="53C0B0E3">
            <w:pPr>
              <w:shd w:val="clear" w:color="auto" w:fill="FFFFFF"/>
              <w:spacing w:line="500" w:lineRule="exact"/>
              <w:ind w:firstLine="99"/>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406" w:type="dxa"/>
            <w:tcBorders>
              <w:top w:val="single" w:color="auto" w:sz="6" w:space="0"/>
              <w:left w:val="single" w:color="auto" w:sz="6" w:space="0"/>
              <w:bottom w:val="single" w:color="auto" w:sz="6" w:space="0"/>
              <w:right w:val="single" w:color="auto" w:sz="6" w:space="0"/>
            </w:tcBorders>
            <w:noWrap w:val="0"/>
            <w:vAlign w:val="top"/>
          </w:tcPr>
          <w:p w14:paraId="746FF98F">
            <w:pPr>
              <w:shd w:val="clear" w:color="auto" w:fill="FFFFFF"/>
              <w:spacing w:line="500" w:lineRule="exact"/>
              <w:ind w:firstLine="99"/>
              <w:rPr>
                <w:rFonts w:hint="eastAsia" w:ascii="宋体" w:hAnsi="宋体" w:eastAsia="宋体" w:cs="宋体"/>
                <w:color w:val="auto"/>
                <w:sz w:val="24"/>
                <w:szCs w:val="24"/>
                <w:highlight w:val="none"/>
              </w:rPr>
            </w:pPr>
          </w:p>
        </w:tc>
        <w:tc>
          <w:tcPr>
            <w:tcW w:w="1808" w:type="dxa"/>
            <w:tcBorders>
              <w:top w:val="single" w:color="auto" w:sz="6" w:space="0"/>
              <w:left w:val="single" w:color="auto" w:sz="6" w:space="0"/>
              <w:bottom w:val="single" w:color="auto" w:sz="6" w:space="0"/>
              <w:right w:val="single" w:color="auto" w:sz="6" w:space="0"/>
            </w:tcBorders>
            <w:noWrap w:val="0"/>
            <w:vAlign w:val="top"/>
          </w:tcPr>
          <w:p w14:paraId="26C79070">
            <w:pPr>
              <w:shd w:val="clear" w:color="auto" w:fill="FFFFFF"/>
              <w:spacing w:line="500" w:lineRule="exact"/>
              <w:ind w:firstLine="99"/>
              <w:rPr>
                <w:rFonts w:hint="eastAsia" w:ascii="宋体" w:hAnsi="宋体" w:eastAsia="宋体" w:cs="宋体"/>
                <w:color w:val="auto"/>
                <w:sz w:val="24"/>
                <w:szCs w:val="24"/>
                <w:highlight w:val="none"/>
              </w:rPr>
            </w:pPr>
          </w:p>
        </w:tc>
        <w:tc>
          <w:tcPr>
            <w:tcW w:w="1807" w:type="dxa"/>
            <w:tcBorders>
              <w:top w:val="single" w:color="auto" w:sz="6" w:space="0"/>
              <w:left w:val="single" w:color="auto" w:sz="6" w:space="0"/>
              <w:bottom w:val="single" w:color="auto" w:sz="6" w:space="0"/>
              <w:right w:val="single" w:color="auto" w:sz="6" w:space="0"/>
            </w:tcBorders>
            <w:noWrap w:val="0"/>
            <w:vAlign w:val="top"/>
          </w:tcPr>
          <w:p w14:paraId="47BA89E2">
            <w:pPr>
              <w:shd w:val="clear" w:color="auto" w:fill="FFFFFF"/>
              <w:spacing w:line="500" w:lineRule="exact"/>
              <w:ind w:firstLine="99"/>
              <w:rPr>
                <w:rFonts w:hint="eastAsia" w:ascii="宋体" w:hAnsi="宋体" w:eastAsia="宋体" w:cs="宋体"/>
                <w:color w:val="auto"/>
                <w:sz w:val="24"/>
                <w:szCs w:val="24"/>
                <w:highlight w:val="none"/>
              </w:rPr>
            </w:pPr>
          </w:p>
        </w:tc>
        <w:tc>
          <w:tcPr>
            <w:tcW w:w="1366" w:type="dxa"/>
            <w:tcBorders>
              <w:top w:val="single" w:color="auto" w:sz="6" w:space="0"/>
              <w:left w:val="single" w:color="auto" w:sz="6" w:space="0"/>
              <w:bottom w:val="single" w:color="auto" w:sz="6" w:space="0"/>
              <w:right w:val="single" w:color="auto" w:sz="6" w:space="0"/>
            </w:tcBorders>
            <w:noWrap w:val="0"/>
            <w:vAlign w:val="top"/>
          </w:tcPr>
          <w:p w14:paraId="26D8007A">
            <w:pPr>
              <w:shd w:val="clear" w:color="auto" w:fill="FFFFFF"/>
              <w:spacing w:line="500" w:lineRule="exact"/>
              <w:ind w:firstLine="99"/>
              <w:rPr>
                <w:rFonts w:hint="eastAsia" w:ascii="宋体" w:hAnsi="宋体" w:eastAsia="宋体" w:cs="宋体"/>
                <w:color w:val="auto"/>
                <w:sz w:val="24"/>
                <w:szCs w:val="24"/>
                <w:highlight w:val="none"/>
              </w:rPr>
            </w:pPr>
          </w:p>
        </w:tc>
        <w:tc>
          <w:tcPr>
            <w:tcW w:w="2248" w:type="dxa"/>
            <w:tcBorders>
              <w:top w:val="single" w:color="auto" w:sz="6" w:space="0"/>
              <w:left w:val="single" w:color="auto" w:sz="6" w:space="0"/>
              <w:bottom w:val="single" w:color="auto" w:sz="6" w:space="0"/>
              <w:right w:val="single" w:color="auto" w:sz="6" w:space="0"/>
            </w:tcBorders>
            <w:noWrap w:val="0"/>
            <w:vAlign w:val="top"/>
          </w:tcPr>
          <w:p w14:paraId="35ECEC1E">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（）页</w:t>
            </w:r>
          </w:p>
        </w:tc>
      </w:tr>
      <w:tr w14:paraId="0F29700C">
        <w:tblPrEx>
          <w:tblCellMar>
            <w:top w:w="0" w:type="dxa"/>
            <w:left w:w="108" w:type="dxa"/>
            <w:bottom w:w="0" w:type="dxa"/>
            <w:right w:w="108" w:type="dxa"/>
          </w:tblCellMar>
        </w:tblPrEx>
        <w:trPr>
          <w:cantSplit/>
          <w:trHeight w:val="553" w:hRule="exact"/>
          <w:jc w:val="center"/>
        </w:trPr>
        <w:tc>
          <w:tcPr>
            <w:tcW w:w="1001" w:type="dxa"/>
            <w:tcBorders>
              <w:top w:val="single" w:color="auto" w:sz="6" w:space="0"/>
              <w:left w:val="single" w:color="auto" w:sz="6" w:space="0"/>
              <w:bottom w:val="single" w:color="auto" w:sz="6" w:space="0"/>
              <w:right w:val="single" w:color="auto" w:sz="6" w:space="0"/>
            </w:tcBorders>
            <w:noWrap w:val="0"/>
            <w:vAlign w:val="top"/>
          </w:tcPr>
          <w:p w14:paraId="00FF202D">
            <w:pPr>
              <w:shd w:val="clear" w:color="auto" w:fill="FFFFFF"/>
              <w:spacing w:line="500" w:lineRule="exact"/>
              <w:ind w:firstLine="9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406" w:type="dxa"/>
            <w:tcBorders>
              <w:top w:val="single" w:color="auto" w:sz="6" w:space="0"/>
              <w:left w:val="single" w:color="auto" w:sz="6" w:space="0"/>
              <w:bottom w:val="single" w:color="auto" w:sz="6" w:space="0"/>
              <w:right w:val="single" w:color="auto" w:sz="6" w:space="0"/>
            </w:tcBorders>
            <w:noWrap w:val="0"/>
            <w:vAlign w:val="top"/>
          </w:tcPr>
          <w:p w14:paraId="5B9EEA70">
            <w:pPr>
              <w:shd w:val="clear" w:color="auto" w:fill="FFFFFF"/>
              <w:spacing w:line="500" w:lineRule="exact"/>
              <w:ind w:firstLine="99"/>
              <w:rPr>
                <w:rFonts w:hint="eastAsia" w:ascii="宋体" w:hAnsi="宋体" w:eastAsia="宋体" w:cs="宋体"/>
                <w:color w:val="auto"/>
                <w:sz w:val="24"/>
                <w:szCs w:val="24"/>
                <w:highlight w:val="none"/>
              </w:rPr>
            </w:pPr>
          </w:p>
        </w:tc>
        <w:tc>
          <w:tcPr>
            <w:tcW w:w="1808" w:type="dxa"/>
            <w:tcBorders>
              <w:top w:val="single" w:color="auto" w:sz="6" w:space="0"/>
              <w:left w:val="single" w:color="auto" w:sz="6" w:space="0"/>
              <w:bottom w:val="single" w:color="auto" w:sz="6" w:space="0"/>
              <w:right w:val="single" w:color="auto" w:sz="6" w:space="0"/>
            </w:tcBorders>
            <w:noWrap w:val="0"/>
            <w:vAlign w:val="top"/>
          </w:tcPr>
          <w:p w14:paraId="4B666ACC">
            <w:pPr>
              <w:shd w:val="clear" w:color="auto" w:fill="FFFFFF"/>
              <w:spacing w:line="500" w:lineRule="exact"/>
              <w:ind w:firstLine="99"/>
              <w:rPr>
                <w:rFonts w:hint="eastAsia" w:ascii="宋体" w:hAnsi="宋体" w:eastAsia="宋体" w:cs="宋体"/>
                <w:color w:val="auto"/>
                <w:sz w:val="24"/>
                <w:szCs w:val="24"/>
                <w:highlight w:val="none"/>
              </w:rPr>
            </w:pPr>
          </w:p>
        </w:tc>
        <w:tc>
          <w:tcPr>
            <w:tcW w:w="1807" w:type="dxa"/>
            <w:tcBorders>
              <w:top w:val="single" w:color="auto" w:sz="6" w:space="0"/>
              <w:left w:val="single" w:color="auto" w:sz="6" w:space="0"/>
              <w:bottom w:val="single" w:color="auto" w:sz="6" w:space="0"/>
              <w:right w:val="single" w:color="auto" w:sz="6" w:space="0"/>
            </w:tcBorders>
            <w:noWrap w:val="0"/>
            <w:vAlign w:val="top"/>
          </w:tcPr>
          <w:p w14:paraId="4A651013">
            <w:pPr>
              <w:shd w:val="clear" w:color="auto" w:fill="FFFFFF"/>
              <w:spacing w:line="500" w:lineRule="exact"/>
              <w:ind w:firstLine="99"/>
              <w:rPr>
                <w:rFonts w:hint="eastAsia" w:ascii="宋体" w:hAnsi="宋体" w:eastAsia="宋体" w:cs="宋体"/>
                <w:color w:val="auto"/>
                <w:sz w:val="24"/>
                <w:szCs w:val="24"/>
                <w:highlight w:val="none"/>
              </w:rPr>
            </w:pPr>
          </w:p>
        </w:tc>
        <w:tc>
          <w:tcPr>
            <w:tcW w:w="1366" w:type="dxa"/>
            <w:tcBorders>
              <w:top w:val="single" w:color="auto" w:sz="6" w:space="0"/>
              <w:left w:val="single" w:color="auto" w:sz="6" w:space="0"/>
              <w:bottom w:val="single" w:color="auto" w:sz="6" w:space="0"/>
              <w:right w:val="single" w:color="auto" w:sz="6" w:space="0"/>
            </w:tcBorders>
            <w:noWrap w:val="0"/>
            <w:vAlign w:val="top"/>
          </w:tcPr>
          <w:p w14:paraId="383A86B0">
            <w:pPr>
              <w:shd w:val="clear" w:color="auto" w:fill="FFFFFF"/>
              <w:spacing w:line="500" w:lineRule="exact"/>
              <w:ind w:firstLine="99"/>
              <w:rPr>
                <w:rFonts w:hint="eastAsia" w:ascii="宋体" w:hAnsi="宋体" w:eastAsia="宋体" w:cs="宋体"/>
                <w:color w:val="auto"/>
                <w:sz w:val="24"/>
                <w:szCs w:val="24"/>
                <w:highlight w:val="none"/>
              </w:rPr>
            </w:pPr>
          </w:p>
        </w:tc>
        <w:tc>
          <w:tcPr>
            <w:tcW w:w="2248" w:type="dxa"/>
            <w:tcBorders>
              <w:top w:val="single" w:color="auto" w:sz="6" w:space="0"/>
              <w:left w:val="single" w:color="auto" w:sz="6" w:space="0"/>
              <w:bottom w:val="single" w:color="auto" w:sz="6" w:space="0"/>
              <w:right w:val="single" w:color="auto" w:sz="6" w:space="0"/>
            </w:tcBorders>
            <w:noWrap w:val="0"/>
            <w:vAlign w:val="top"/>
          </w:tcPr>
          <w:p w14:paraId="1730A5B0">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（）页</w:t>
            </w:r>
          </w:p>
        </w:tc>
      </w:tr>
    </w:tbl>
    <w:p w14:paraId="05A45EDF">
      <w:pPr>
        <w:shd w:val="clear" w:color="auto" w:fill="FFFFFF"/>
        <w:spacing w:line="440" w:lineRule="exac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说明：</w:t>
      </w:r>
    </w:p>
    <w:p w14:paraId="7C51FA4F">
      <w:pPr>
        <w:shd w:val="clear" w:color="auto" w:fill="FFFFFF"/>
        <w:spacing w:line="440" w:lineRule="exac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（1）供应商须对第三章采购需求中的所有技术参数条款逐条列明是否响应，如有偏离，须一一列明。对参数未提供技术支持资料，或参数与其提供的技术支持资料不一致的，均视为负偏离。</w:t>
      </w:r>
    </w:p>
    <w:p w14:paraId="724FC73C">
      <w:pPr>
        <w:shd w:val="clear" w:color="auto" w:fill="FFFFFF"/>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（2）技术条款偏离表中投标规格应为供应商提供</w:t>
      </w:r>
      <w:r>
        <w:rPr>
          <w:rFonts w:hint="eastAsia" w:ascii="宋体" w:hAnsi="宋体" w:eastAsia="宋体" w:cs="宋体"/>
          <w:b/>
          <w:color w:val="auto"/>
          <w:kern w:val="0"/>
          <w:sz w:val="24"/>
          <w:szCs w:val="24"/>
          <w:highlight w:val="none"/>
          <w:lang w:val="en-US" w:eastAsia="zh-CN"/>
        </w:rPr>
        <w:t>服务</w:t>
      </w:r>
      <w:r>
        <w:rPr>
          <w:rFonts w:hint="eastAsia" w:ascii="宋体" w:hAnsi="宋体" w:eastAsia="宋体" w:cs="宋体"/>
          <w:b/>
          <w:color w:val="auto"/>
          <w:kern w:val="0"/>
          <w:sz w:val="24"/>
          <w:szCs w:val="24"/>
          <w:highlight w:val="none"/>
        </w:rPr>
        <w:t>的实际技术参数（或规格），不能完全复制第三章采购需求中的技术参数（招标规格），否则将</w:t>
      </w:r>
      <w:r>
        <w:rPr>
          <w:rFonts w:hint="eastAsia" w:ascii="宋体" w:hAnsi="宋体" w:eastAsia="宋体" w:cs="宋体"/>
          <w:b/>
          <w:color w:val="auto"/>
          <w:sz w:val="24"/>
          <w:szCs w:val="24"/>
          <w:highlight w:val="none"/>
        </w:rPr>
        <w:t>视为未实质性响应</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要求，做无效投标处理。</w:t>
      </w:r>
    </w:p>
    <w:p w14:paraId="2406C65E">
      <w:pPr>
        <w:shd w:val="clear" w:color="auto" w:fill="FFFFFF"/>
        <w:spacing w:line="500" w:lineRule="exact"/>
        <w:ind w:left="706" w:leftChars="336"/>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7BB41A47">
      <w:pPr>
        <w:shd w:val="clear" w:color="auto" w:fill="FFFFFF"/>
        <w:tabs>
          <w:tab w:val="left" w:pos="3780"/>
        </w:tabs>
        <w:spacing w:line="440" w:lineRule="exact"/>
        <w:ind w:left="706" w:leftChars="336"/>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w:t>
      </w:r>
      <w:r>
        <w:rPr>
          <w:rFonts w:hint="eastAsia" w:ascii="宋体" w:hAnsi="宋体" w:eastAsia="宋体" w:cs="宋体"/>
          <w:color w:val="auto"/>
          <w:sz w:val="24"/>
          <w:highlight w:val="none"/>
          <w:lang w:val="en-US" w:eastAsia="zh-CN"/>
        </w:rPr>
        <w:t>负责人或</w:t>
      </w:r>
      <w:r>
        <w:rPr>
          <w:rFonts w:hint="eastAsia" w:ascii="宋体" w:hAnsi="宋体" w:eastAsia="宋体" w:cs="宋体"/>
          <w:color w:val="auto"/>
          <w:sz w:val="24"/>
          <w:highlight w:val="none"/>
        </w:rPr>
        <w:t>授权代理人（签字或签章）：</w:t>
      </w:r>
    </w:p>
    <w:p w14:paraId="608B5AE8">
      <w:pPr>
        <w:shd w:val="clear" w:color="auto" w:fill="FFFFFF"/>
        <w:spacing w:line="500" w:lineRule="exact"/>
        <w:ind w:left="706" w:leftChars="336"/>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73C8F679">
      <w:pPr>
        <w:widowControl/>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Cs/>
          <w:color w:val="auto"/>
          <w:sz w:val="24"/>
          <w:highlight w:val="none"/>
        </w:rPr>
        <w:t>（二）</w:t>
      </w:r>
      <w:r>
        <w:rPr>
          <w:rFonts w:hint="eastAsia" w:ascii="宋体" w:hAnsi="宋体" w:eastAsia="宋体" w:cs="宋体"/>
          <w:b w:val="0"/>
          <w:bCs/>
          <w:color w:val="auto"/>
          <w:sz w:val="24"/>
          <w:szCs w:val="24"/>
          <w:highlight w:val="none"/>
          <w:lang w:val="en-US" w:eastAsia="zh-CN"/>
        </w:rPr>
        <w:t>项目实施方案（供应商须提供与本项目相关的项目实施方案，格式自拟）</w:t>
      </w:r>
      <w:r>
        <w:rPr>
          <w:rFonts w:hint="eastAsia" w:ascii="宋体" w:hAnsi="宋体" w:eastAsia="宋体" w:cs="宋体"/>
          <w:bCs/>
          <w:color w:val="auto"/>
          <w:sz w:val="24"/>
          <w:highlight w:val="none"/>
        </w:rPr>
        <w:t>；</w:t>
      </w:r>
    </w:p>
    <w:p w14:paraId="2769E076">
      <w:pPr>
        <w:shd w:val="clear" w:color="auto" w:fill="FFFFFF"/>
        <w:spacing w:line="440" w:lineRule="exact"/>
        <w:rPr>
          <w:rFonts w:hint="eastAsia" w:ascii="宋体" w:hAnsi="宋体" w:eastAsia="宋体" w:cs="宋体"/>
          <w:bCs/>
          <w:color w:val="auto"/>
          <w:sz w:val="24"/>
          <w:highlight w:val="none"/>
        </w:rPr>
      </w:pPr>
      <w:r>
        <w:rPr>
          <w:rFonts w:hint="eastAsia" w:ascii="宋体" w:hAnsi="宋体" w:eastAsia="宋体" w:cs="宋体"/>
          <w:color w:val="auto"/>
          <w:highlight w:val="none"/>
        </w:rPr>
        <w:br w:type="page"/>
      </w:r>
      <w:r>
        <w:rPr>
          <w:rFonts w:hint="eastAsia" w:ascii="宋体" w:hAnsi="宋体" w:eastAsia="宋体" w:cs="宋体"/>
          <w:bCs/>
          <w:color w:val="auto"/>
          <w:sz w:val="24"/>
          <w:highlight w:val="none"/>
        </w:rPr>
        <w:t>（三）</w:t>
      </w:r>
      <w:r>
        <w:rPr>
          <w:rFonts w:hint="eastAsia" w:ascii="宋体" w:hAnsi="宋体" w:eastAsia="宋体" w:cs="宋体"/>
          <w:color w:val="auto"/>
          <w:sz w:val="24"/>
          <w:highlight w:val="none"/>
          <w:lang w:val="en-US" w:eastAsia="zh-CN"/>
        </w:rPr>
        <w:t>供应商认为有必要的其他技术资料</w:t>
      </w:r>
    </w:p>
    <w:p w14:paraId="1BBDCC40">
      <w:pPr>
        <w:shd w:val="clear" w:color="auto" w:fill="FFFFFF"/>
        <w:spacing w:line="440" w:lineRule="exact"/>
        <w:rPr>
          <w:rFonts w:hint="eastAsia" w:ascii="宋体" w:hAnsi="宋体" w:eastAsia="宋体" w:cs="宋体"/>
          <w:bCs/>
          <w:color w:val="auto"/>
          <w:sz w:val="24"/>
          <w:highlight w:val="none"/>
        </w:rPr>
      </w:pPr>
    </w:p>
    <w:p w14:paraId="5DEFAFB0">
      <w:pPr>
        <w:pStyle w:val="32"/>
        <w:spacing w:line="480" w:lineRule="exact"/>
        <w:ind w:firstLine="482" w:firstLineChars="200"/>
        <w:rPr>
          <w:rFonts w:hint="eastAsia" w:ascii="宋体" w:hAnsi="宋体" w:eastAsia="宋体" w:cs="宋体"/>
          <w:b/>
          <w:bCs/>
          <w:color w:val="auto"/>
          <w:spacing w:val="0"/>
          <w:sz w:val="24"/>
          <w:szCs w:val="24"/>
          <w:highlight w:val="none"/>
        </w:rPr>
      </w:pPr>
    </w:p>
    <w:p w14:paraId="140CDE3C">
      <w:pPr>
        <w:pStyle w:val="3"/>
        <w:keepNext/>
        <w:keepLines/>
        <w:pageBreakBefore w:val="0"/>
        <w:widowControl w:val="0"/>
        <w:kinsoku/>
        <w:wordWrap/>
        <w:overflowPunct/>
        <w:topLinePunct w:val="0"/>
        <w:autoSpaceDE/>
        <w:autoSpaceDN/>
        <w:bidi w:val="0"/>
        <w:adjustRightInd/>
        <w:snapToGrid/>
        <w:spacing w:before="0" w:after="0" w:line="579" w:lineRule="auto"/>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spacing w:val="0"/>
          <w:highlight w:val="none"/>
        </w:rPr>
        <w:br w:type="page"/>
      </w:r>
      <w:bookmarkStart w:id="176" w:name="_Toc35984304"/>
      <w:bookmarkStart w:id="177" w:name="_Toc53602925"/>
      <w:bookmarkStart w:id="178" w:name="_Toc24722"/>
      <w:bookmarkStart w:id="179" w:name="_Toc512349764"/>
      <w:bookmarkStart w:id="180" w:name="_Toc73974719"/>
      <w:r>
        <w:rPr>
          <w:rFonts w:hint="eastAsia" w:ascii="宋体" w:hAnsi="宋体" w:cs="宋体"/>
          <w:color w:val="auto"/>
          <w:sz w:val="28"/>
          <w:szCs w:val="28"/>
          <w:highlight w:val="none"/>
          <w:lang w:val="en-US" w:eastAsia="zh-CN"/>
        </w:rPr>
        <w:t>五</w:t>
      </w:r>
      <w:r>
        <w:rPr>
          <w:rFonts w:hint="eastAsia" w:ascii="宋体" w:hAnsi="宋体" w:cs="宋体"/>
          <w:color w:val="auto"/>
          <w:sz w:val="28"/>
          <w:szCs w:val="28"/>
          <w:highlight w:val="none"/>
        </w:rPr>
        <w:t>、其他资料</w:t>
      </w:r>
      <w:bookmarkEnd w:id="176"/>
      <w:bookmarkEnd w:id="177"/>
      <w:bookmarkEnd w:id="178"/>
      <w:bookmarkEnd w:id="179"/>
      <w:bookmarkEnd w:id="180"/>
    </w:p>
    <w:p w14:paraId="5F778421">
      <w:pPr>
        <w:spacing w:line="520" w:lineRule="exact"/>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磋商文件</w:t>
      </w:r>
      <w:r>
        <w:rPr>
          <w:rFonts w:hint="eastAsia" w:ascii="宋体" w:hAnsi="宋体" w:eastAsia="宋体" w:cs="宋体"/>
          <w:b/>
          <w:bCs/>
          <w:color w:val="auto"/>
          <w:sz w:val="24"/>
          <w:szCs w:val="24"/>
          <w:highlight w:val="none"/>
        </w:rPr>
        <w:t>未提供格式的内容</w:t>
      </w:r>
    </w:p>
    <w:p w14:paraId="1A2D713B">
      <w:pPr>
        <w:topLinePunct/>
        <w:spacing w:line="520" w:lineRule="exact"/>
        <w:ind w:firstLine="482" w:firstLineChars="200"/>
        <w:rPr>
          <w:color w:val="000000" w:themeColor="text1"/>
          <w14:textFill>
            <w14:solidFill>
              <w14:schemeClr w14:val="tx1"/>
            </w14:solidFill>
          </w14:textFill>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.供应商认为有必要的其他资料</w:t>
      </w:r>
      <w:bookmarkStart w:id="181" w:name="_Toc152045813"/>
      <w:bookmarkEnd w:id="181"/>
      <w:bookmarkStart w:id="182" w:name="_Toc144974881"/>
      <w:bookmarkEnd w:id="182"/>
      <w:bookmarkStart w:id="183" w:name="_Toc152042602"/>
      <w:bookmarkEnd w:id="183"/>
      <w:bookmarkStart w:id="184" w:name="_Toc179632833"/>
      <w:bookmarkEnd w:id="184"/>
    </w:p>
    <w:sectPr>
      <w:pgSz w:w="11906" w:h="16838"/>
      <w:pgMar w:top="1440" w:right="1106" w:bottom="1440" w:left="1800" w:header="851" w:footer="752" w:gutter="0"/>
      <w:pgNumType w:fmt="decimal"/>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SimSun">
    <w:altName w:val="宋体"/>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Times New Roman’">
    <w:altName w:val="宋体"/>
    <w:panose1 w:val="00000000000000000000"/>
    <w:charset w:val="86"/>
    <w:family w:val="roman"/>
    <w:pitch w:val="default"/>
    <w:sig w:usb0="00000000" w:usb1="00000000" w:usb2="00000010" w:usb3="00000000" w:csb0="00040000" w:csb1="00000000"/>
  </w:font>
  <w:font w:name="Undefine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8B97B">
    <w:pPr>
      <w:pStyle w:val="17"/>
    </w:pPr>
    <w:r>
      <w:t>------------------------------------------------------------------------------------------------------------------------------------------------------</w:t>
    </w:r>
  </w:p>
  <w:p w14:paraId="63055E69">
    <w:pPr>
      <w:pStyle w:val="1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0884B">
    <w:pPr>
      <w:pStyle w:val="17"/>
    </w:pPr>
    <w:r>
      <w:t>------------------------------------------------------------------------------------------------------------------------------------------------------</w:t>
    </w:r>
  </w:p>
  <w:p w14:paraId="40E380B9">
    <w:pPr>
      <w:pStyle w:val="17"/>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64C15">
    <w:pPr>
      <w:pStyle w:val="17"/>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5A4BB0">
                          <w:pPr>
                            <w:pStyle w:val="1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B5A4BB0">
                    <w:pPr>
                      <w:pStyle w:val="1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6090B">
    <w:pPr>
      <w:spacing w:line="170" w:lineRule="auto"/>
      <w:ind w:left="3920"/>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9F0B6">
                          <w:pPr>
                            <w:pStyle w:val="1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209F0B6">
                    <w:pPr>
                      <w:pStyle w:val="1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CE695">
    <w:pPr>
      <w:spacing w:line="170" w:lineRule="auto"/>
      <w:ind w:left="3920"/>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A3E27C">
                          <w:pPr>
                            <w:pStyle w:val="1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3A3E27C">
                    <w:pPr>
                      <w:pStyle w:val="1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C499E">
    <w:pPr>
      <w:pStyle w:val="63"/>
      <w:pBdr>
        <w:bottom w:val="none" w:color="auto" w:sz="0" w:space="0"/>
      </w:pBdr>
      <w:spacing w:line="240" w:lineRule="exact"/>
      <w:jc w:val="both"/>
      <w:rPr>
        <w:b/>
        <w:bCs/>
        <w:i/>
        <w:iCs/>
        <w:sz w:val="21"/>
        <w:szCs w:val="21"/>
      </w:rPr>
    </w:pPr>
    <w:r>
      <w:rPr>
        <w:rFonts w:hint="eastAsia"/>
        <w:b/>
        <w:bCs/>
        <w:i/>
        <w:iCs/>
        <w:sz w:val="21"/>
        <w:szCs w:val="21"/>
        <w:lang w:eastAsia="zh-CN"/>
      </w:rPr>
      <w:t>新疆恒达壹品项目管理咨询有限公司磋商文件</w:t>
    </w:r>
    <w:r>
      <w:rPr>
        <w:rFonts w:hint="eastAsia"/>
        <w:b/>
        <w:bCs/>
        <w:i/>
        <w:iCs/>
        <w:sz w:val="21"/>
        <w:szCs w:val="21"/>
      </w:rPr>
      <w:t xml:space="preserve">                   </w:t>
    </w:r>
  </w:p>
  <w:p w14:paraId="0EC6328C">
    <w:pPr>
      <w:pStyle w:val="63"/>
      <w:pBdr>
        <w:bottom w:val="none" w:color="auto" w:sz="0" w:space="0"/>
      </w:pBdr>
      <w:spacing w:line="80" w:lineRule="exact"/>
      <w:ind w:left="-199" w:leftChars="-95"/>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2EBE38"/>
    <w:multiLevelType w:val="singleLevel"/>
    <w:tmpl w:val="D02EBE38"/>
    <w:lvl w:ilvl="0" w:tentative="0">
      <w:start w:val="1"/>
      <w:numFmt w:val="decimal"/>
      <w:suff w:val="nothing"/>
      <w:lvlText w:val="%1、"/>
      <w:lvlJc w:val="left"/>
    </w:lvl>
  </w:abstractNum>
  <w:abstractNum w:abstractNumId="1">
    <w:nsid w:val="0F4E81C2"/>
    <w:multiLevelType w:val="singleLevel"/>
    <w:tmpl w:val="0F4E81C2"/>
    <w:lvl w:ilvl="0" w:tentative="0">
      <w:start w:val="2"/>
      <w:numFmt w:val="chineseCounting"/>
      <w:suff w:val="space"/>
      <w:lvlText w:val="第%1章"/>
      <w:lvlJc w:val="left"/>
      <w:rPr>
        <w:rFonts w:hint="eastAsia"/>
      </w:rPr>
    </w:lvl>
  </w:abstractNum>
  <w:abstractNum w:abstractNumId="2">
    <w:nsid w:val="25090165"/>
    <w:multiLevelType w:val="multilevel"/>
    <w:tmpl w:val="25090165"/>
    <w:lvl w:ilvl="0" w:tentative="0">
      <w:start w:val="1"/>
      <w:numFmt w:val="none"/>
      <w:suff w:val="nothing"/>
      <w:lvlText w:val=""/>
      <w:lvlJc w:val="left"/>
    </w:lvl>
    <w:lvl w:ilvl="1" w:tentative="0">
      <w:start w:val="1"/>
      <w:numFmt w:val="none"/>
      <w:pStyle w:val="42"/>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3">
    <w:nsid w:val="34F8A8C8"/>
    <w:multiLevelType w:val="multilevel"/>
    <w:tmpl w:val="34F8A8C8"/>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4">
    <w:nsid w:val="37B76734"/>
    <w:multiLevelType w:val="singleLevel"/>
    <w:tmpl w:val="37B76734"/>
    <w:lvl w:ilvl="0" w:tentative="0">
      <w:start w:val="1"/>
      <w:numFmt w:val="chineseCounting"/>
      <w:suff w:val="nothing"/>
      <w:lvlText w:val="%1、"/>
      <w:lvlJc w:val="left"/>
      <w:rPr>
        <w:rFonts w:hint="eastAsia"/>
      </w:rPr>
    </w:lvl>
  </w:abstractNum>
  <w:abstractNum w:abstractNumId="5">
    <w:nsid w:val="3AB7BC49"/>
    <w:multiLevelType w:val="singleLevel"/>
    <w:tmpl w:val="3AB7BC49"/>
    <w:lvl w:ilvl="0" w:tentative="0">
      <w:start w:val="9"/>
      <w:numFmt w:val="chineseCounting"/>
      <w:suff w:val="space"/>
      <w:lvlText w:val="（%1）"/>
      <w:lvlJc w:val="left"/>
      <w:rPr>
        <w:rFonts w:hint="eastAsia"/>
      </w:rPr>
    </w:lvl>
  </w:abstractNum>
  <w:abstractNum w:abstractNumId="6">
    <w:nsid w:val="5522D857"/>
    <w:multiLevelType w:val="singleLevel"/>
    <w:tmpl w:val="5522D857"/>
    <w:lvl w:ilvl="0" w:tentative="0">
      <w:start w:val="1"/>
      <w:numFmt w:val="decimal"/>
      <w:suff w:val="space"/>
      <w:lvlText w:val="(%1)"/>
      <w:lvlJc w:val="left"/>
    </w:lvl>
  </w:abstractNum>
  <w:num w:numId="1">
    <w:abstractNumId w:val="2"/>
  </w:num>
  <w:num w:numId="2">
    <w:abstractNumId w:val="1"/>
  </w:num>
  <w:num w:numId="3">
    <w:abstractNumId w:val="6"/>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3NTg1ZGQzNzA5ZWVmOWU1OTk4YWQ0ODFlODdjN2IifQ=="/>
    <w:docVar w:name="KSO_WPS_MARK_KEY" w:val="3b254ecd-e08c-4355-b352-8a10e0caa82c"/>
  </w:docVars>
  <w:rsids>
    <w:rsidRoot w:val="18837877"/>
    <w:rsid w:val="0002574B"/>
    <w:rsid w:val="000406B1"/>
    <w:rsid w:val="000E2BF4"/>
    <w:rsid w:val="00162AE2"/>
    <w:rsid w:val="002D4F22"/>
    <w:rsid w:val="004146B8"/>
    <w:rsid w:val="004C0647"/>
    <w:rsid w:val="0050244A"/>
    <w:rsid w:val="00586F5D"/>
    <w:rsid w:val="006449BF"/>
    <w:rsid w:val="006D0CE9"/>
    <w:rsid w:val="0071112B"/>
    <w:rsid w:val="008102F1"/>
    <w:rsid w:val="00831DB6"/>
    <w:rsid w:val="009641A3"/>
    <w:rsid w:val="00A40483"/>
    <w:rsid w:val="00AB35C0"/>
    <w:rsid w:val="00AB5280"/>
    <w:rsid w:val="00AD2FAD"/>
    <w:rsid w:val="00B120A8"/>
    <w:rsid w:val="00C85F20"/>
    <w:rsid w:val="00D97C60"/>
    <w:rsid w:val="00F27441"/>
    <w:rsid w:val="00F66F31"/>
    <w:rsid w:val="00FA1F57"/>
    <w:rsid w:val="00FB4547"/>
    <w:rsid w:val="010F49EE"/>
    <w:rsid w:val="011521E8"/>
    <w:rsid w:val="01284C10"/>
    <w:rsid w:val="01335F7E"/>
    <w:rsid w:val="014D28C9"/>
    <w:rsid w:val="01997579"/>
    <w:rsid w:val="019B48AC"/>
    <w:rsid w:val="01CE3A0A"/>
    <w:rsid w:val="01DD1E9F"/>
    <w:rsid w:val="01DD669F"/>
    <w:rsid w:val="01E73C46"/>
    <w:rsid w:val="02274EC8"/>
    <w:rsid w:val="022F7FB8"/>
    <w:rsid w:val="02462227"/>
    <w:rsid w:val="02691F2E"/>
    <w:rsid w:val="028247F4"/>
    <w:rsid w:val="02975EAA"/>
    <w:rsid w:val="02A209F3"/>
    <w:rsid w:val="02C1531D"/>
    <w:rsid w:val="02C46BBB"/>
    <w:rsid w:val="02CE02CB"/>
    <w:rsid w:val="02EF1E8A"/>
    <w:rsid w:val="03062D2F"/>
    <w:rsid w:val="03187320"/>
    <w:rsid w:val="031C07A5"/>
    <w:rsid w:val="031E1229"/>
    <w:rsid w:val="031E451D"/>
    <w:rsid w:val="031E6982"/>
    <w:rsid w:val="032356B1"/>
    <w:rsid w:val="033A2416"/>
    <w:rsid w:val="034675D0"/>
    <w:rsid w:val="036A767D"/>
    <w:rsid w:val="036B52A1"/>
    <w:rsid w:val="03AC38D7"/>
    <w:rsid w:val="03CB5B51"/>
    <w:rsid w:val="03DE5DE4"/>
    <w:rsid w:val="03F434D0"/>
    <w:rsid w:val="041811A5"/>
    <w:rsid w:val="04551AD8"/>
    <w:rsid w:val="046E4792"/>
    <w:rsid w:val="04812937"/>
    <w:rsid w:val="04926F71"/>
    <w:rsid w:val="04934A97"/>
    <w:rsid w:val="04BD3371"/>
    <w:rsid w:val="04C14FD8"/>
    <w:rsid w:val="04C3537C"/>
    <w:rsid w:val="04CC4D76"/>
    <w:rsid w:val="052027CE"/>
    <w:rsid w:val="0540698F"/>
    <w:rsid w:val="054F4E62"/>
    <w:rsid w:val="05500BDA"/>
    <w:rsid w:val="055204AE"/>
    <w:rsid w:val="05B80C59"/>
    <w:rsid w:val="05C72C1A"/>
    <w:rsid w:val="05D109E8"/>
    <w:rsid w:val="05D838CF"/>
    <w:rsid w:val="05DF5021"/>
    <w:rsid w:val="05EC5B44"/>
    <w:rsid w:val="06035C4C"/>
    <w:rsid w:val="06141C07"/>
    <w:rsid w:val="061E4834"/>
    <w:rsid w:val="06652463"/>
    <w:rsid w:val="067D59FE"/>
    <w:rsid w:val="06C90C44"/>
    <w:rsid w:val="06CC4290"/>
    <w:rsid w:val="06EA081F"/>
    <w:rsid w:val="070D0B30"/>
    <w:rsid w:val="071A4FFB"/>
    <w:rsid w:val="07266355"/>
    <w:rsid w:val="076170CE"/>
    <w:rsid w:val="07814373"/>
    <w:rsid w:val="07BF2EDE"/>
    <w:rsid w:val="07DD40F6"/>
    <w:rsid w:val="07F13FAE"/>
    <w:rsid w:val="081859DF"/>
    <w:rsid w:val="081B102B"/>
    <w:rsid w:val="083D5445"/>
    <w:rsid w:val="08430864"/>
    <w:rsid w:val="08602EE2"/>
    <w:rsid w:val="0862443A"/>
    <w:rsid w:val="088969F0"/>
    <w:rsid w:val="08F55D20"/>
    <w:rsid w:val="0926237D"/>
    <w:rsid w:val="09273A00"/>
    <w:rsid w:val="094E5430"/>
    <w:rsid w:val="09572537"/>
    <w:rsid w:val="09581D10"/>
    <w:rsid w:val="09594501"/>
    <w:rsid w:val="095A6AE5"/>
    <w:rsid w:val="096B5FE2"/>
    <w:rsid w:val="0992356F"/>
    <w:rsid w:val="0995305F"/>
    <w:rsid w:val="09A60DC8"/>
    <w:rsid w:val="09BE25B6"/>
    <w:rsid w:val="09CB3921"/>
    <w:rsid w:val="09DE12BD"/>
    <w:rsid w:val="09F2225F"/>
    <w:rsid w:val="0A116B8A"/>
    <w:rsid w:val="0A285C81"/>
    <w:rsid w:val="0A36068A"/>
    <w:rsid w:val="0A3C13D3"/>
    <w:rsid w:val="0A616547"/>
    <w:rsid w:val="0A690774"/>
    <w:rsid w:val="0A812E37"/>
    <w:rsid w:val="0A8A06EA"/>
    <w:rsid w:val="0A9C0DA1"/>
    <w:rsid w:val="0AA03A6A"/>
    <w:rsid w:val="0B252163"/>
    <w:rsid w:val="0B295C02"/>
    <w:rsid w:val="0B705B32"/>
    <w:rsid w:val="0B8057B7"/>
    <w:rsid w:val="0B981B5D"/>
    <w:rsid w:val="0BB51797"/>
    <w:rsid w:val="0BCD088E"/>
    <w:rsid w:val="0BEB6F66"/>
    <w:rsid w:val="0CB63A18"/>
    <w:rsid w:val="0CE9437B"/>
    <w:rsid w:val="0CF462EF"/>
    <w:rsid w:val="0CFB767D"/>
    <w:rsid w:val="0D034F66"/>
    <w:rsid w:val="0D166265"/>
    <w:rsid w:val="0D18022F"/>
    <w:rsid w:val="0D8B6C53"/>
    <w:rsid w:val="0D951880"/>
    <w:rsid w:val="0DD16189"/>
    <w:rsid w:val="0DE93D5E"/>
    <w:rsid w:val="0DF20A80"/>
    <w:rsid w:val="0E0D7668"/>
    <w:rsid w:val="0E3721AA"/>
    <w:rsid w:val="0E3D043A"/>
    <w:rsid w:val="0E4137B5"/>
    <w:rsid w:val="0E417312"/>
    <w:rsid w:val="0E5E4539"/>
    <w:rsid w:val="0E744FA2"/>
    <w:rsid w:val="0E786645"/>
    <w:rsid w:val="0E807E3A"/>
    <w:rsid w:val="0EB9159E"/>
    <w:rsid w:val="0EC71F0D"/>
    <w:rsid w:val="0ED71A24"/>
    <w:rsid w:val="0ED85EC8"/>
    <w:rsid w:val="0EE35D2F"/>
    <w:rsid w:val="0F515C7A"/>
    <w:rsid w:val="0F5D63CD"/>
    <w:rsid w:val="0F6E2388"/>
    <w:rsid w:val="0F784FB5"/>
    <w:rsid w:val="0F7F00F1"/>
    <w:rsid w:val="0FC326A3"/>
    <w:rsid w:val="0FCE0B27"/>
    <w:rsid w:val="0FD53DBB"/>
    <w:rsid w:val="0FE842AC"/>
    <w:rsid w:val="0FF16F0F"/>
    <w:rsid w:val="0FFC3E38"/>
    <w:rsid w:val="0FFC5BE6"/>
    <w:rsid w:val="10022AD1"/>
    <w:rsid w:val="101515B7"/>
    <w:rsid w:val="10227945"/>
    <w:rsid w:val="1033779B"/>
    <w:rsid w:val="105E051F"/>
    <w:rsid w:val="10605120"/>
    <w:rsid w:val="10751B78"/>
    <w:rsid w:val="10754461"/>
    <w:rsid w:val="10953945"/>
    <w:rsid w:val="10AB3168"/>
    <w:rsid w:val="10C56422"/>
    <w:rsid w:val="10CB7366"/>
    <w:rsid w:val="10DC63E8"/>
    <w:rsid w:val="10E45AA3"/>
    <w:rsid w:val="10E637F4"/>
    <w:rsid w:val="10F66AD9"/>
    <w:rsid w:val="110C00AB"/>
    <w:rsid w:val="11203B56"/>
    <w:rsid w:val="11383E93"/>
    <w:rsid w:val="11457FEC"/>
    <w:rsid w:val="11520125"/>
    <w:rsid w:val="116021A5"/>
    <w:rsid w:val="11627CCB"/>
    <w:rsid w:val="11806D6C"/>
    <w:rsid w:val="11E3705D"/>
    <w:rsid w:val="11E701D0"/>
    <w:rsid w:val="11FE3E97"/>
    <w:rsid w:val="12296A3A"/>
    <w:rsid w:val="12695089"/>
    <w:rsid w:val="127A1044"/>
    <w:rsid w:val="129F1B30"/>
    <w:rsid w:val="12A14823"/>
    <w:rsid w:val="12AA461D"/>
    <w:rsid w:val="12CC7AF2"/>
    <w:rsid w:val="12FD3FE1"/>
    <w:rsid w:val="12FD414F"/>
    <w:rsid w:val="130D3C66"/>
    <w:rsid w:val="13426BC9"/>
    <w:rsid w:val="1363007C"/>
    <w:rsid w:val="136925D6"/>
    <w:rsid w:val="139525D9"/>
    <w:rsid w:val="13985C26"/>
    <w:rsid w:val="139B74C4"/>
    <w:rsid w:val="13BB5DE7"/>
    <w:rsid w:val="14103A0E"/>
    <w:rsid w:val="14221993"/>
    <w:rsid w:val="14353475"/>
    <w:rsid w:val="146E47F0"/>
    <w:rsid w:val="14AE3227"/>
    <w:rsid w:val="14CA0061"/>
    <w:rsid w:val="14CA62B3"/>
    <w:rsid w:val="15051099"/>
    <w:rsid w:val="15415E49"/>
    <w:rsid w:val="15776810"/>
    <w:rsid w:val="15811C69"/>
    <w:rsid w:val="158B2EC0"/>
    <w:rsid w:val="158C3AF4"/>
    <w:rsid w:val="159B7C4F"/>
    <w:rsid w:val="15C54CCC"/>
    <w:rsid w:val="15CA22E2"/>
    <w:rsid w:val="15F878BA"/>
    <w:rsid w:val="163528C4"/>
    <w:rsid w:val="16773E48"/>
    <w:rsid w:val="167E123D"/>
    <w:rsid w:val="169C3C7F"/>
    <w:rsid w:val="16AB2114"/>
    <w:rsid w:val="16B56756"/>
    <w:rsid w:val="16CD208A"/>
    <w:rsid w:val="16CF2161"/>
    <w:rsid w:val="16CF6F0F"/>
    <w:rsid w:val="16D231FD"/>
    <w:rsid w:val="16D52CED"/>
    <w:rsid w:val="17083D60"/>
    <w:rsid w:val="170F61FF"/>
    <w:rsid w:val="17144F93"/>
    <w:rsid w:val="17231CAA"/>
    <w:rsid w:val="173F2908"/>
    <w:rsid w:val="1752311A"/>
    <w:rsid w:val="176C18A3"/>
    <w:rsid w:val="17730085"/>
    <w:rsid w:val="177527CB"/>
    <w:rsid w:val="1776340B"/>
    <w:rsid w:val="1789226F"/>
    <w:rsid w:val="17914E66"/>
    <w:rsid w:val="17CA0378"/>
    <w:rsid w:val="17ED6BF8"/>
    <w:rsid w:val="180121FA"/>
    <w:rsid w:val="18115FA7"/>
    <w:rsid w:val="182868AE"/>
    <w:rsid w:val="18837877"/>
    <w:rsid w:val="18891FE1"/>
    <w:rsid w:val="18C64FE3"/>
    <w:rsid w:val="18C66D91"/>
    <w:rsid w:val="18CD29F6"/>
    <w:rsid w:val="18DC0363"/>
    <w:rsid w:val="18F51424"/>
    <w:rsid w:val="19461284"/>
    <w:rsid w:val="194B373A"/>
    <w:rsid w:val="195720DF"/>
    <w:rsid w:val="19575C3B"/>
    <w:rsid w:val="19714C27"/>
    <w:rsid w:val="19945F8D"/>
    <w:rsid w:val="19AA66B3"/>
    <w:rsid w:val="19BA5FD2"/>
    <w:rsid w:val="19CE51EA"/>
    <w:rsid w:val="19E27BFB"/>
    <w:rsid w:val="19E76B6A"/>
    <w:rsid w:val="19EF6A45"/>
    <w:rsid w:val="1A044015"/>
    <w:rsid w:val="1A045DC3"/>
    <w:rsid w:val="1A0E1CF5"/>
    <w:rsid w:val="1A3A6BA3"/>
    <w:rsid w:val="1A470709"/>
    <w:rsid w:val="1A8342C9"/>
    <w:rsid w:val="1AA41354"/>
    <w:rsid w:val="1AA475A6"/>
    <w:rsid w:val="1AB07CF9"/>
    <w:rsid w:val="1AF20311"/>
    <w:rsid w:val="1B063DBD"/>
    <w:rsid w:val="1B603BF4"/>
    <w:rsid w:val="1B6B6A0B"/>
    <w:rsid w:val="1B6F0841"/>
    <w:rsid w:val="1B8043CE"/>
    <w:rsid w:val="1B9A62B3"/>
    <w:rsid w:val="1BBD091F"/>
    <w:rsid w:val="1BD613E1"/>
    <w:rsid w:val="1C1F5136"/>
    <w:rsid w:val="1C316C17"/>
    <w:rsid w:val="1C3F216A"/>
    <w:rsid w:val="1C5222D8"/>
    <w:rsid w:val="1C631418"/>
    <w:rsid w:val="1C784DFC"/>
    <w:rsid w:val="1CA94A00"/>
    <w:rsid w:val="1CE42A30"/>
    <w:rsid w:val="1CF06AD2"/>
    <w:rsid w:val="1CF71C0F"/>
    <w:rsid w:val="1D2D5FB4"/>
    <w:rsid w:val="1D2F75FB"/>
    <w:rsid w:val="1D385D84"/>
    <w:rsid w:val="1D74500E"/>
    <w:rsid w:val="1D85546D"/>
    <w:rsid w:val="1DA52773"/>
    <w:rsid w:val="1DD11B67"/>
    <w:rsid w:val="1DE35B34"/>
    <w:rsid w:val="1E4A2212"/>
    <w:rsid w:val="1E4C5F8A"/>
    <w:rsid w:val="1E7352C5"/>
    <w:rsid w:val="1EA25BAA"/>
    <w:rsid w:val="1ED208AB"/>
    <w:rsid w:val="1EE31B52"/>
    <w:rsid w:val="1EE76CC2"/>
    <w:rsid w:val="1EF42074"/>
    <w:rsid w:val="1EF42966"/>
    <w:rsid w:val="1F120F82"/>
    <w:rsid w:val="1F187937"/>
    <w:rsid w:val="1F2A2C2F"/>
    <w:rsid w:val="1F617814"/>
    <w:rsid w:val="1F941997"/>
    <w:rsid w:val="1F9E2816"/>
    <w:rsid w:val="1FA67FFA"/>
    <w:rsid w:val="1FAC696D"/>
    <w:rsid w:val="1FC41B50"/>
    <w:rsid w:val="1FD60202"/>
    <w:rsid w:val="20390790"/>
    <w:rsid w:val="205D76B3"/>
    <w:rsid w:val="20767F2D"/>
    <w:rsid w:val="209B6D55"/>
    <w:rsid w:val="20DE38EC"/>
    <w:rsid w:val="20EF0E4F"/>
    <w:rsid w:val="21366A7E"/>
    <w:rsid w:val="21771570"/>
    <w:rsid w:val="21A267A6"/>
    <w:rsid w:val="21BF5C16"/>
    <w:rsid w:val="21EB6892"/>
    <w:rsid w:val="22635651"/>
    <w:rsid w:val="22883309"/>
    <w:rsid w:val="22990301"/>
    <w:rsid w:val="229D6DB5"/>
    <w:rsid w:val="22A16179"/>
    <w:rsid w:val="22B20386"/>
    <w:rsid w:val="22C34D44"/>
    <w:rsid w:val="22F83FEB"/>
    <w:rsid w:val="22FF181D"/>
    <w:rsid w:val="230C7A96"/>
    <w:rsid w:val="231F5A1C"/>
    <w:rsid w:val="232272BA"/>
    <w:rsid w:val="23305E7B"/>
    <w:rsid w:val="233F1C1A"/>
    <w:rsid w:val="23641680"/>
    <w:rsid w:val="2378337E"/>
    <w:rsid w:val="23AB5501"/>
    <w:rsid w:val="23C6233B"/>
    <w:rsid w:val="23DF164F"/>
    <w:rsid w:val="240B2444"/>
    <w:rsid w:val="24157931"/>
    <w:rsid w:val="242F6132"/>
    <w:rsid w:val="24354E51"/>
    <w:rsid w:val="2451554A"/>
    <w:rsid w:val="245416F5"/>
    <w:rsid w:val="248A6BA2"/>
    <w:rsid w:val="24CF6FCD"/>
    <w:rsid w:val="24D740D4"/>
    <w:rsid w:val="24DB1E16"/>
    <w:rsid w:val="24DB3BC4"/>
    <w:rsid w:val="24FE78B3"/>
    <w:rsid w:val="25093F92"/>
    <w:rsid w:val="25294D9D"/>
    <w:rsid w:val="254C2D14"/>
    <w:rsid w:val="25626093"/>
    <w:rsid w:val="25754019"/>
    <w:rsid w:val="25902C01"/>
    <w:rsid w:val="259A75DB"/>
    <w:rsid w:val="25B54415"/>
    <w:rsid w:val="25D23219"/>
    <w:rsid w:val="25DF1492"/>
    <w:rsid w:val="25EC2689"/>
    <w:rsid w:val="260D24A3"/>
    <w:rsid w:val="26445799"/>
    <w:rsid w:val="26812F1F"/>
    <w:rsid w:val="26860330"/>
    <w:rsid w:val="26C002DA"/>
    <w:rsid w:val="26C1503C"/>
    <w:rsid w:val="26D1431F"/>
    <w:rsid w:val="26D67961"/>
    <w:rsid w:val="27092506"/>
    <w:rsid w:val="270F43FF"/>
    <w:rsid w:val="270F5CE4"/>
    <w:rsid w:val="277D0F63"/>
    <w:rsid w:val="277E6C39"/>
    <w:rsid w:val="277F117F"/>
    <w:rsid w:val="27B02D64"/>
    <w:rsid w:val="281A0EA7"/>
    <w:rsid w:val="281E2B9E"/>
    <w:rsid w:val="28500425"/>
    <w:rsid w:val="28A349F9"/>
    <w:rsid w:val="28F45255"/>
    <w:rsid w:val="28F60FCD"/>
    <w:rsid w:val="29126C1A"/>
    <w:rsid w:val="29205C29"/>
    <w:rsid w:val="293B2E83"/>
    <w:rsid w:val="296879F1"/>
    <w:rsid w:val="29AE5D4B"/>
    <w:rsid w:val="29C25353"/>
    <w:rsid w:val="29CA2459"/>
    <w:rsid w:val="29CB06AB"/>
    <w:rsid w:val="2A021BF3"/>
    <w:rsid w:val="2A1A518F"/>
    <w:rsid w:val="2A340C9C"/>
    <w:rsid w:val="2A3F69A3"/>
    <w:rsid w:val="2A505BBC"/>
    <w:rsid w:val="2A64473F"/>
    <w:rsid w:val="2A662182"/>
    <w:rsid w:val="2A7E571E"/>
    <w:rsid w:val="2A842608"/>
    <w:rsid w:val="2A884A1B"/>
    <w:rsid w:val="2AB949A8"/>
    <w:rsid w:val="2AE8174C"/>
    <w:rsid w:val="2AE8703B"/>
    <w:rsid w:val="2AEB08D9"/>
    <w:rsid w:val="2B004F19"/>
    <w:rsid w:val="2B032830"/>
    <w:rsid w:val="2B057077"/>
    <w:rsid w:val="2B9C6F57"/>
    <w:rsid w:val="2B9D7E25"/>
    <w:rsid w:val="2BA54F2C"/>
    <w:rsid w:val="2BA72A52"/>
    <w:rsid w:val="2BA74800"/>
    <w:rsid w:val="2BB46F1D"/>
    <w:rsid w:val="2BBB02AC"/>
    <w:rsid w:val="2BBC43D8"/>
    <w:rsid w:val="2BF57C61"/>
    <w:rsid w:val="2C043A01"/>
    <w:rsid w:val="2C093050"/>
    <w:rsid w:val="2C2A60C4"/>
    <w:rsid w:val="2CC17B44"/>
    <w:rsid w:val="2CC413E2"/>
    <w:rsid w:val="2CC80ED2"/>
    <w:rsid w:val="2CD81F99"/>
    <w:rsid w:val="2CDB06D4"/>
    <w:rsid w:val="2CED6B8B"/>
    <w:rsid w:val="2CFF19DE"/>
    <w:rsid w:val="2D19172E"/>
    <w:rsid w:val="2D1934DC"/>
    <w:rsid w:val="2D4700EB"/>
    <w:rsid w:val="2D482013"/>
    <w:rsid w:val="2D4D707F"/>
    <w:rsid w:val="2D8748E9"/>
    <w:rsid w:val="2D8C0151"/>
    <w:rsid w:val="2D974F5D"/>
    <w:rsid w:val="2D9E60D7"/>
    <w:rsid w:val="2DA3549B"/>
    <w:rsid w:val="2DAA4C3A"/>
    <w:rsid w:val="2DD413AD"/>
    <w:rsid w:val="2E075A2A"/>
    <w:rsid w:val="2E393461"/>
    <w:rsid w:val="2E3A7BAD"/>
    <w:rsid w:val="2E4E18AB"/>
    <w:rsid w:val="2E5F13C2"/>
    <w:rsid w:val="2E6966E5"/>
    <w:rsid w:val="2E7408FE"/>
    <w:rsid w:val="2E8602C8"/>
    <w:rsid w:val="2EDC0C65"/>
    <w:rsid w:val="2EF71823"/>
    <w:rsid w:val="2F3D2622"/>
    <w:rsid w:val="2F5838B9"/>
    <w:rsid w:val="2FA554FB"/>
    <w:rsid w:val="2FAF0127"/>
    <w:rsid w:val="2FF33720"/>
    <w:rsid w:val="300E30A0"/>
    <w:rsid w:val="30142680"/>
    <w:rsid w:val="306547E2"/>
    <w:rsid w:val="30872E52"/>
    <w:rsid w:val="30FC55EE"/>
    <w:rsid w:val="31126BC0"/>
    <w:rsid w:val="312241A9"/>
    <w:rsid w:val="31253040"/>
    <w:rsid w:val="314F3970"/>
    <w:rsid w:val="316E7B6E"/>
    <w:rsid w:val="3193135A"/>
    <w:rsid w:val="322A1CE7"/>
    <w:rsid w:val="323668DE"/>
    <w:rsid w:val="324B09F8"/>
    <w:rsid w:val="325A081E"/>
    <w:rsid w:val="3264470A"/>
    <w:rsid w:val="32935ADE"/>
    <w:rsid w:val="32A730FC"/>
    <w:rsid w:val="32BB6DE3"/>
    <w:rsid w:val="33865643"/>
    <w:rsid w:val="338B0EAB"/>
    <w:rsid w:val="33AA7583"/>
    <w:rsid w:val="33AD497E"/>
    <w:rsid w:val="33EA5F36"/>
    <w:rsid w:val="34192013"/>
    <w:rsid w:val="345614B9"/>
    <w:rsid w:val="345B3482"/>
    <w:rsid w:val="34692F9B"/>
    <w:rsid w:val="348A543F"/>
    <w:rsid w:val="34C30EFF"/>
    <w:rsid w:val="34C46423"/>
    <w:rsid w:val="350B24EC"/>
    <w:rsid w:val="35295A4A"/>
    <w:rsid w:val="352D1036"/>
    <w:rsid w:val="35417A73"/>
    <w:rsid w:val="35487054"/>
    <w:rsid w:val="355377A7"/>
    <w:rsid w:val="3554618D"/>
    <w:rsid w:val="359D0A22"/>
    <w:rsid w:val="35F07067"/>
    <w:rsid w:val="36121410"/>
    <w:rsid w:val="368340BC"/>
    <w:rsid w:val="36877708"/>
    <w:rsid w:val="36BD75CE"/>
    <w:rsid w:val="36CB2799"/>
    <w:rsid w:val="372B235C"/>
    <w:rsid w:val="37ED3EE3"/>
    <w:rsid w:val="382C66FB"/>
    <w:rsid w:val="384714EB"/>
    <w:rsid w:val="384C1168"/>
    <w:rsid w:val="384D672F"/>
    <w:rsid w:val="387243E8"/>
    <w:rsid w:val="38740160"/>
    <w:rsid w:val="38BF074C"/>
    <w:rsid w:val="38CD161E"/>
    <w:rsid w:val="38D86941"/>
    <w:rsid w:val="38E058CA"/>
    <w:rsid w:val="390239BE"/>
    <w:rsid w:val="390B4B77"/>
    <w:rsid w:val="393C7440"/>
    <w:rsid w:val="394C46CD"/>
    <w:rsid w:val="3991089E"/>
    <w:rsid w:val="39C25AF1"/>
    <w:rsid w:val="39F84E92"/>
    <w:rsid w:val="39FF6B36"/>
    <w:rsid w:val="3A016E3A"/>
    <w:rsid w:val="3A137505"/>
    <w:rsid w:val="3A1A3377"/>
    <w:rsid w:val="3A32799B"/>
    <w:rsid w:val="3A4D6EBA"/>
    <w:rsid w:val="3A667F7C"/>
    <w:rsid w:val="3A6D30B9"/>
    <w:rsid w:val="3AAD5BAB"/>
    <w:rsid w:val="3AC70A1B"/>
    <w:rsid w:val="3AD13648"/>
    <w:rsid w:val="3ADA734D"/>
    <w:rsid w:val="3B196D9D"/>
    <w:rsid w:val="3B251BE5"/>
    <w:rsid w:val="3B893F22"/>
    <w:rsid w:val="3B972832"/>
    <w:rsid w:val="3B9A34E6"/>
    <w:rsid w:val="3B9D177C"/>
    <w:rsid w:val="3BD31641"/>
    <w:rsid w:val="3BD80A06"/>
    <w:rsid w:val="3C221C81"/>
    <w:rsid w:val="3C2D2B00"/>
    <w:rsid w:val="3C394A07"/>
    <w:rsid w:val="3C5207B8"/>
    <w:rsid w:val="3C71640C"/>
    <w:rsid w:val="3C806160"/>
    <w:rsid w:val="3CDF4E8B"/>
    <w:rsid w:val="3CFA63CC"/>
    <w:rsid w:val="3D37175C"/>
    <w:rsid w:val="3D954074"/>
    <w:rsid w:val="3DAB63D2"/>
    <w:rsid w:val="3DDF42CD"/>
    <w:rsid w:val="3E3A2109"/>
    <w:rsid w:val="3E42660A"/>
    <w:rsid w:val="3E7161E4"/>
    <w:rsid w:val="3E897C62"/>
    <w:rsid w:val="3E947E8F"/>
    <w:rsid w:val="3EE21FA0"/>
    <w:rsid w:val="3F09295D"/>
    <w:rsid w:val="3F221B50"/>
    <w:rsid w:val="3F903F59"/>
    <w:rsid w:val="3FDA18CF"/>
    <w:rsid w:val="3FF62049"/>
    <w:rsid w:val="401A783F"/>
    <w:rsid w:val="40204729"/>
    <w:rsid w:val="40251D40"/>
    <w:rsid w:val="403700AF"/>
    <w:rsid w:val="40866C82"/>
    <w:rsid w:val="40EA7211"/>
    <w:rsid w:val="411918A4"/>
    <w:rsid w:val="411C3143"/>
    <w:rsid w:val="41412BA9"/>
    <w:rsid w:val="41466412"/>
    <w:rsid w:val="414B55AD"/>
    <w:rsid w:val="414F52C6"/>
    <w:rsid w:val="41923405"/>
    <w:rsid w:val="41AC44C7"/>
    <w:rsid w:val="41B11ADD"/>
    <w:rsid w:val="41BB295C"/>
    <w:rsid w:val="41C10404"/>
    <w:rsid w:val="41C932CA"/>
    <w:rsid w:val="41DA2951"/>
    <w:rsid w:val="41E9571B"/>
    <w:rsid w:val="41F8595E"/>
    <w:rsid w:val="41FD1C8D"/>
    <w:rsid w:val="42382D99"/>
    <w:rsid w:val="42622A0E"/>
    <w:rsid w:val="426C1EA8"/>
    <w:rsid w:val="42921492"/>
    <w:rsid w:val="42A81132"/>
    <w:rsid w:val="42C04967"/>
    <w:rsid w:val="42F910BB"/>
    <w:rsid w:val="43071F86"/>
    <w:rsid w:val="43104F29"/>
    <w:rsid w:val="432D41E6"/>
    <w:rsid w:val="432F53AF"/>
    <w:rsid w:val="433B01F8"/>
    <w:rsid w:val="43454BD3"/>
    <w:rsid w:val="434D3A87"/>
    <w:rsid w:val="435C532D"/>
    <w:rsid w:val="435E7A42"/>
    <w:rsid w:val="43635059"/>
    <w:rsid w:val="4382091B"/>
    <w:rsid w:val="43917E18"/>
    <w:rsid w:val="43BC2914"/>
    <w:rsid w:val="43F263DD"/>
    <w:rsid w:val="44226CC2"/>
    <w:rsid w:val="4442466E"/>
    <w:rsid w:val="447424DD"/>
    <w:rsid w:val="447A343E"/>
    <w:rsid w:val="44A044B6"/>
    <w:rsid w:val="44D73F50"/>
    <w:rsid w:val="44D97CC8"/>
    <w:rsid w:val="44E429D0"/>
    <w:rsid w:val="44EC107E"/>
    <w:rsid w:val="45087029"/>
    <w:rsid w:val="450F33FE"/>
    <w:rsid w:val="453F1307"/>
    <w:rsid w:val="457D0E76"/>
    <w:rsid w:val="45815C6A"/>
    <w:rsid w:val="458319E2"/>
    <w:rsid w:val="45997458"/>
    <w:rsid w:val="45A2455E"/>
    <w:rsid w:val="45B222C8"/>
    <w:rsid w:val="45D43FEC"/>
    <w:rsid w:val="4626592C"/>
    <w:rsid w:val="465A0B6A"/>
    <w:rsid w:val="46647A66"/>
    <w:rsid w:val="468E4AE3"/>
    <w:rsid w:val="46D5626E"/>
    <w:rsid w:val="46E30A33"/>
    <w:rsid w:val="46F57C59"/>
    <w:rsid w:val="47086643"/>
    <w:rsid w:val="470D3C59"/>
    <w:rsid w:val="47307948"/>
    <w:rsid w:val="47394A4E"/>
    <w:rsid w:val="475E5372"/>
    <w:rsid w:val="47665118"/>
    <w:rsid w:val="476A2E5A"/>
    <w:rsid w:val="476F66C2"/>
    <w:rsid w:val="477D27D3"/>
    <w:rsid w:val="47801310"/>
    <w:rsid w:val="47812853"/>
    <w:rsid w:val="479475ED"/>
    <w:rsid w:val="47AA0C6D"/>
    <w:rsid w:val="47B33979"/>
    <w:rsid w:val="47B42327"/>
    <w:rsid w:val="47CF7161"/>
    <w:rsid w:val="47F24BFD"/>
    <w:rsid w:val="48315726"/>
    <w:rsid w:val="48330BAD"/>
    <w:rsid w:val="48343468"/>
    <w:rsid w:val="48586611"/>
    <w:rsid w:val="488066AD"/>
    <w:rsid w:val="48960F88"/>
    <w:rsid w:val="48C742DC"/>
    <w:rsid w:val="48C90054"/>
    <w:rsid w:val="48DF115B"/>
    <w:rsid w:val="48FA020D"/>
    <w:rsid w:val="491F7C74"/>
    <w:rsid w:val="493F6BB3"/>
    <w:rsid w:val="4941408E"/>
    <w:rsid w:val="49634005"/>
    <w:rsid w:val="496D3E90"/>
    <w:rsid w:val="49750F07"/>
    <w:rsid w:val="49830A4D"/>
    <w:rsid w:val="49951CE4"/>
    <w:rsid w:val="49971F00"/>
    <w:rsid w:val="49A607E1"/>
    <w:rsid w:val="49BC54C3"/>
    <w:rsid w:val="49CD147E"/>
    <w:rsid w:val="49D547D7"/>
    <w:rsid w:val="49E8275C"/>
    <w:rsid w:val="49F70BF1"/>
    <w:rsid w:val="4A107744"/>
    <w:rsid w:val="4A145439"/>
    <w:rsid w:val="4A304379"/>
    <w:rsid w:val="4A3239D7"/>
    <w:rsid w:val="4A4C6847"/>
    <w:rsid w:val="4A5C6A7C"/>
    <w:rsid w:val="4A623FC0"/>
    <w:rsid w:val="4A9B332A"/>
    <w:rsid w:val="4AA852C8"/>
    <w:rsid w:val="4AAA3236"/>
    <w:rsid w:val="4ABF5AB8"/>
    <w:rsid w:val="4AE8782A"/>
    <w:rsid w:val="4B29302C"/>
    <w:rsid w:val="4B3F0159"/>
    <w:rsid w:val="4BAF3037"/>
    <w:rsid w:val="4BD56A5C"/>
    <w:rsid w:val="4C0A4C0B"/>
    <w:rsid w:val="4C2061DD"/>
    <w:rsid w:val="4C2537F3"/>
    <w:rsid w:val="4C286E40"/>
    <w:rsid w:val="4C4F53D9"/>
    <w:rsid w:val="4C520360"/>
    <w:rsid w:val="4CB16E35"/>
    <w:rsid w:val="4CB428ED"/>
    <w:rsid w:val="4CBB7CB4"/>
    <w:rsid w:val="4CBE1552"/>
    <w:rsid w:val="4CC50B32"/>
    <w:rsid w:val="4D2B6E28"/>
    <w:rsid w:val="4D3857A8"/>
    <w:rsid w:val="4D584EF0"/>
    <w:rsid w:val="4D5A127B"/>
    <w:rsid w:val="4D907392"/>
    <w:rsid w:val="4DA9228F"/>
    <w:rsid w:val="4DB27309"/>
    <w:rsid w:val="4DC25072"/>
    <w:rsid w:val="4DC57396"/>
    <w:rsid w:val="4DCB3F26"/>
    <w:rsid w:val="4DE13EF3"/>
    <w:rsid w:val="4DED20EF"/>
    <w:rsid w:val="4DF42A06"/>
    <w:rsid w:val="4DFC1C93"/>
    <w:rsid w:val="4E08517B"/>
    <w:rsid w:val="4E257ADB"/>
    <w:rsid w:val="4E4B32B9"/>
    <w:rsid w:val="4E4F6905"/>
    <w:rsid w:val="4E5E2F9D"/>
    <w:rsid w:val="4E832A53"/>
    <w:rsid w:val="4EAB08C8"/>
    <w:rsid w:val="4EDE7C89"/>
    <w:rsid w:val="4F0C47F7"/>
    <w:rsid w:val="4F2340A4"/>
    <w:rsid w:val="4F6243E0"/>
    <w:rsid w:val="4F626B0C"/>
    <w:rsid w:val="4F707A09"/>
    <w:rsid w:val="4F7800DE"/>
    <w:rsid w:val="4FBA4253"/>
    <w:rsid w:val="4FD80B7D"/>
    <w:rsid w:val="4FF0033C"/>
    <w:rsid w:val="4FF84D7B"/>
    <w:rsid w:val="500F0A42"/>
    <w:rsid w:val="50137E07"/>
    <w:rsid w:val="502862FD"/>
    <w:rsid w:val="503E4D65"/>
    <w:rsid w:val="50447FC0"/>
    <w:rsid w:val="506F61BC"/>
    <w:rsid w:val="506F7733"/>
    <w:rsid w:val="50B769E4"/>
    <w:rsid w:val="50BB64D4"/>
    <w:rsid w:val="50C35389"/>
    <w:rsid w:val="50E517A3"/>
    <w:rsid w:val="51047AF9"/>
    <w:rsid w:val="5119144D"/>
    <w:rsid w:val="514B169A"/>
    <w:rsid w:val="517B24F4"/>
    <w:rsid w:val="51962A9D"/>
    <w:rsid w:val="51B618FC"/>
    <w:rsid w:val="51EC090F"/>
    <w:rsid w:val="52044403"/>
    <w:rsid w:val="521D6D1B"/>
    <w:rsid w:val="52881DD5"/>
    <w:rsid w:val="52D15C52"/>
    <w:rsid w:val="52DD4E28"/>
    <w:rsid w:val="52E862DC"/>
    <w:rsid w:val="52ED2B91"/>
    <w:rsid w:val="52F44D85"/>
    <w:rsid w:val="530C3017"/>
    <w:rsid w:val="53687981"/>
    <w:rsid w:val="53CD3389"/>
    <w:rsid w:val="53D14261"/>
    <w:rsid w:val="54013E2D"/>
    <w:rsid w:val="543F7DF1"/>
    <w:rsid w:val="544B7B6F"/>
    <w:rsid w:val="54624EB9"/>
    <w:rsid w:val="547C7CF5"/>
    <w:rsid w:val="5489467D"/>
    <w:rsid w:val="54A31759"/>
    <w:rsid w:val="54C750A8"/>
    <w:rsid w:val="54CF254E"/>
    <w:rsid w:val="54D97871"/>
    <w:rsid w:val="54DA7145"/>
    <w:rsid w:val="54E115C7"/>
    <w:rsid w:val="54E12281"/>
    <w:rsid w:val="55135359"/>
    <w:rsid w:val="55316DE0"/>
    <w:rsid w:val="554D5B69"/>
    <w:rsid w:val="55564A1D"/>
    <w:rsid w:val="55834D3E"/>
    <w:rsid w:val="55872E29"/>
    <w:rsid w:val="558A2919"/>
    <w:rsid w:val="55943DC4"/>
    <w:rsid w:val="55B66ABA"/>
    <w:rsid w:val="55C74349"/>
    <w:rsid w:val="55F777AB"/>
    <w:rsid w:val="55FC47B5"/>
    <w:rsid w:val="56066443"/>
    <w:rsid w:val="562C39D0"/>
    <w:rsid w:val="562E14F6"/>
    <w:rsid w:val="56826DF8"/>
    <w:rsid w:val="56CC4D76"/>
    <w:rsid w:val="571C57F3"/>
    <w:rsid w:val="57622BF6"/>
    <w:rsid w:val="576378C6"/>
    <w:rsid w:val="576B1E2A"/>
    <w:rsid w:val="57906472"/>
    <w:rsid w:val="57D56DAE"/>
    <w:rsid w:val="57DF519E"/>
    <w:rsid w:val="57ED34E9"/>
    <w:rsid w:val="58094C63"/>
    <w:rsid w:val="580B09D6"/>
    <w:rsid w:val="582A2D8F"/>
    <w:rsid w:val="582E15B5"/>
    <w:rsid w:val="583A39F1"/>
    <w:rsid w:val="58CE0D6F"/>
    <w:rsid w:val="58D81BED"/>
    <w:rsid w:val="58DE46D2"/>
    <w:rsid w:val="58FD7D1F"/>
    <w:rsid w:val="593E7CA2"/>
    <w:rsid w:val="59600476"/>
    <w:rsid w:val="596A6CE9"/>
    <w:rsid w:val="59702FA0"/>
    <w:rsid w:val="59AA0627"/>
    <w:rsid w:val="59B03041"/>
    <w:rsid w:val="59F42A57"/>
    <w:rsid w:val="59F43E6E"/>
    <w:rsid w:val="5A2450EA"/>
    <w:rsid w:val="5A3115B5"/>
    <w:rsid w:val="5A8262B5"/>
    <w:rsid w:val="5A8B5169"/>
    <w:rsid w:val="5AA1673B"/>
    <w:rsid w:val="5ABB5323"/>
    <w:rsid w:val="5ABE3CA9"/>
    <w:rsid w:val="5B0867BA"/>
    <w:rsid w:val="5B0E7B48"/>
    <w:rsid w:val="5B4A138C"/>
    <w:rsid w:val="5B4F6A8E"/>
    <w:rsid w:val="5B5C12AA"/>
    <w:rsid w:val="5B6A7475"/>
    <w:rsid w:val="5BB22BCA"/>
    <w:rsid w:val="5BCC3C8B"/>
    <w:rsid w:val="5BE32D83"/>
    <w:rsid w:val="5BE47DA7"/>
    <w:rsid w:val="5BF60D08"/>
    <w:rsid w:val="5C294C3A"/>
    <w:rsid w:val="5C3D2493"/>
    <w:rsid w:val="5C450967"/>
    <w:rsid w:val="5C51483F"/>
    <w:rsid w:val="5C7560D1"/>
    <w:rsid w:val="5C874799"/>
    <w:rsid w:val="5C9F4EFC"/>
    <w:rsid w:val="5CA73DB1"/>
    <w:rsid w:val="5CCA4434"/>
    <w:rsid w:val="5D4526CC"/>
    <w:rsid w:val="5D4E54F2"/>
    <w:rsid w:val="5D5A4FAD"/>
    <w:rsid w:val="5D736E0A"/>
    <w:rsid w:val="5D9205BD"/>
    <w:rsid w:val="5DD46E27"/>
    <w:rsid w:val="5DDC5CDC"/>
    <w:rsid w:val="5DE80B25"/>
    <w:rsid w:val="5DE837C8"/>
    <w:rsid w:val="5E2C6C63"/>
    <w:rsid w:val="5E305FE7"/>
    <w:rsid w:val="5E3F4E88"/>
    <w:rsid w:val="5E4955B1"/>
    <w:rsid w:val="5E4A0E97"/>
    <w:rsid w:val="5EB06204"/>
    <w:rsid w:val="5EB804F7"/>
    <w:rsid w:val="5EDF3CD6"/>
    <w:rsid w:val="5EE035AA"/>
    <w:rsid w:val="5F0F74DD"/>
    <w:rsid w:val="5F300033"/>
    <w:rsid w:val="5F7206A6"/>
    <w:rsid w:val="5F8A0C9D"/>
    <w:rsid w:val="5F964E5F"/>
    <w:rsid w:val="5FA2671A"/>
    <w:rsid w:val="5FA36AB1"/>
    <w:rsid w:val="5FB23198"/>
    <w:rsid w:val="5FB24845"/>
    <w:rsid w:val="5FDE21DF"/>
    <w:rsid w:val="602F6597"/>
    <w:rsid w:val="604D7C39"/>
    <w:rsid w:val="605026E2"/>
    <w:rsid w:val="606A4CC8"/>
    <w:rsid w:val="60795A64"/>
    <w:rsid w:val="608B5E00"/>
    <w:rsid w:val="60B372AA"/>
    <w:rsid w:val="60C82547"/>
    <w:rsid w:val="60D20340"/>
    <w:rsid w:val="610B3AC7"/>
    <w:rsid w:val="61202383"/>
    <w:rsid w:val="618F4E58"/>
    <w:rsid w:val="61A905CB"/>
    <w:rsid w:val="61F950AE"/>
    <w:rsid w:val="620006A6"/>
    <w:rsid w:val="62261C1B"/>
    <w:rsid w:val="62621997"/>
    <w:rsid w:val="62800F8B"/>
    <w:rsid w:val="6286674D"/>
    <w:rsid w:val="62A96AD4"/>
    <w:rsid w:val="62EC69C1"/>
    <w:rsid w:val="62FC09F3"/>
    <w:rsid w:val="630A5099"/>
    <w:rsid w:val="630F26B0"/>
    <w:rsid w:val="636724EC"/>
    <w:rsid w:val="63927568"/>
    <w:rsid w:val="63944AB9"/>
    <w:rsid w:val="63C27722"/>
    <w:rsid w:val="63F33CDA"/>
    <w:rsid w:val="63FA3360"/>
    <w:rsid w:val="640B266D"/>
    <w:rsid w:val="641A7207"/>
    <w:rsid w:val="64342B64"/>
    <w:rsid w:val="64355278"/>
    <w:rsid w:val="64654DEB"/>
    <w:rsid w:val="647749B0"/>
    <w:rsid w:val="647E4AC3"/>
    <w:rsid w:val="64833355"/>
    <w:rsid w:val="64864DA3"/>
    <w:rsid w:val="64B17EC2"/>
    <w:rsid w:val="64CC6AAA"/>
    <w:rsid w:val="64ED07CF"/>
    <w:rsid w:val="651435E1"/>
    <w:rsid w:val="6526267B"/>
    <w:rsid w:val="6535464F"/>
    <w:rsid w:val="653B778C"/>
    <w:rsid w:val="6557090B"/>
    <w:rsid w:val="65586590"/>
    <w:rsid w:val="655B1BDC"/>
    <w:rsid w:val="656C3DE9"/>
    <w:rsid w:val="658E1FB1"/>
    <w:rsid w:val="65E00324"/>
    <w:rsid w:val="65F55B8D"/>
    <w:rsid w:val="65FF07B9"/>
    <w:rsid w:val="661324B7"/>
    <w:rsid w:val="662E109F"/>
    <w:rsid w:val="66523152"/>
    <w:rsid w:val="66666A8A"/>
    <w:rsid w:val="667C1E0A"/>
    <w:rsid w:val="66855163"/>
    <w:rsid w:val="66974E96"/>
    <w:rsid w:val="669C7511"/>
    <w:rsid w:val="66AE71A6"/>
    <w:rsid w:val="66BB6DD6"/>
    <w:rsid w:val="66C75A98"/>
    <w:rsid w:val="66D954AE"/>
    <w:rsid w:val="671230A7"/>
    <w:rsid w:val="673301EB"/>
    <w:rsid w:val="67457452"/>
    <w:rsid w:val="674973A8"/>
    <w:rsid w:val="67672ABA"/>
    <w:rsid w:val="677671A1"/>
    <w:rsid w:val="6796514D"/>
    <w:rsid w:val="67F8129B"/>
    <w:rsid w:val="67FC76A6"/>
    <w:rsid w:val="683230C8"/>
    <w:rsid w:val="683E7CBF"/>
    <w:rsid w:val="685A617B"/>
    <w:rsid w:val="687B559D"/>
    <w:rsid w:val="68A13DAA"/>
    <w:rsid w:val="68C8208B"/>
    <w:rsid w:val="690D7691"/>
    <w:rsid w:val="6965127B"/>
    <w:rsid w:val="697C5FC6"/>
    <w:rsid w:val="698E2580"/>
    <w:rsid w:val="69F12938"/>
    <w:rsid w:val="6A220F1A"/>
    <w:rsid w:val="6A9C2A7B"/>
    <w:rsid w:val="6A9E0503"/>
    <w:rsid w:val="6AA14A49"/>
    <w:rsid w:val="6AAF37E1"/>
    <w:rsid w:val="6AD82761"/>
    <w:rsid w:val="6ADC6960"/>
    <w:rsid w:val="6B1E7934"/>
    <w:rsid w:val="6B43383E"/>
    <w:rsid w:val="6B451364"/>
    <w:rsid w:val="6B6F63E1"/>
    <w:rsid w:val="6B851761"/>
    <w:rsid w:val="6B9419A4"/>
    <w:rsid w:val="6B943956"/>
    <w:rsid w:val="6BD82490"/>
    <w:rsid w:val="6BE149EC"/>
    <w:rsid w:val="6BFB7C75"/>
    <w:rsid w:val="6C094140"/>
    <w:rsid w:val="6C4038DA"/>
    <w:rsid w:val="6C4A6A99"/>
    <w:rsid w:val="6C895281"/>
    <w:rsid w:val="6C8B591D"/>
    <w:rsid w:val="6CAA646B"/>
    <w:rsid w:val="6CAF6E7A"/>
    <w:rsid w:val="6CCA7D73"/>
    <w:rsid w:val="6CFD041A"/>
    <w:rsid w:val="6D21370B"/>
    <w:rsid w:val="6D220D98"/>
    <w:rsid w:val="6D635AD2"/>
    <w:rsid w:val="6D69269B"/>
    <w:rsid w:val="6D7970A3"/>
    <w:rsid w:val="6D8C7F00"/>
    <w:rsid w:val="6D8D3CCB"/>
    <w:rsid w:val="6DCB3647"/>
    <w:rsid w:val="6DEA1D4F"/>
    <w:rsid w:val="6E1A0886"/>
    <w:rsid w:val="6E2039C3"/>
    <w:rsid w:val="6E2C05BA"/>
    <w:rsid w:val="6E3A2B94"/>
    <w:rsid w:val="6E4476B1"/>
    <w:rsid w:val="6E5B49FB"/>
    <w:rsid w:val="6EA445F4"/>
    <w:rsid w:val="6EA63EC8"/>
    <w:rsid w:val="6EB217E1"/>
    <w:rsid w:val="6EDC41D0"/>
    <w:rsid w:val="6EFE2191"/>
    <w:rsid w:val="6F1475C7"/>
    <w:rsid w:val="6F2E3E23"/>
    <w:rsid w:val="6F3E4CA8"/>
    <w:rsid w:val="6F484F7F"/>
    <w:rsid w:val="6FB410EE"/>
    <w:rsid w:val="6FCA008A"/>
    <w:rsid w:val="6FD9651F"/>
    <w:rsid w:val="6FF778F7"/>
    <w:rsid w:val="70090BB2"/>
    <w:rsid w:val="703C2A36"/>
    <w:rsid w:val="70447E3C"/>
    <w:rsid w:val="704C4F43"/>
    <w:rsid w:val="705D180E"/>
    <w:rsid w:val="707E52EE"/>
    <w:rsid w:val="70A22132"/>
    <w:rsid w:val="70B30B1E"/>
    <w:rsid w:val="70B825D8"/>
    <w:rsid w:val="70C4459D"/>
    <w:rsid w:val="70CB5E68"/>
    <w:rsid w:val="70E146EF"/>
    <w:rsid w:val="70F128E9"/>
    <w:rsid w:val="714A1482"/>
    <w:rsid w:val="715F45D3"/>
    <w:rsid w:val="71752277"/>
    <w:rsid w:val="717912B5"/>
    <w:rsid w:val="71844269"/>
    <w:rsid w:val="7190392E"/>
    <w:rsid w:val="71B7463E"/>
    <w:rsid w:val="71BB412E"/>
    <w:rsid w:val="71F65166"/>
    <w:rsid w:val="71F66F14"/>
    <w:rsid w:val="72010916"/>
    <w:rsid w:val="720C5859"/>
    <w:rsid w:val="72113D4E"/>
    <w:rsid w:val="721C6C32"/>
    <w:rsid w:val="722A62F9"/>
    <w:rsid w:val="723044C9"/>
    <w:rsid w:val="723839D1"/>
    <w:rsid w:val="723B701D"/>
    <w:rsid w:val="72516841"/>
    <w:rsid w:val="727E6F0A"/>
    <w:rsid w:val="729C3F60"/>
    <w:rsid w:val="72D1172F"/>
    <w:rsid w:val="7329331A"/>
    <w:rsid w:val="733D069E"/>
    <w:rsid w:val="734343DB"/>
    <w:rsid w:val="734D525A"/>
    <w:rsid w:val="734F0FD2"/>
    <w:rsid w:val="735008A6"/>
    <w:rsid w:val="73697BBA"/>
    <w:rsid w:val="737722D7"/>
    <w:rsid w:val="73797DFD"/>
    <w:rsid w:val="737D2149"/>
    <w:rsid w:val="73922314"/>
    <w:rsid w:val="73B057E9"/>
    <w:rsid w:val="73FC79CF"/>
    <w:rsid w:val="740A314B"/>
    <w:rsid w:val="74337932"/>
    <w:rsid w:val="743D2128"/>
    <w:rsid w:val="744D4DE6"/>
    <w:rsid w:val="74566390"/>
    <w:rsid w:val="748A603A"/>
    <w:rsid w:val="74A35835"/>
    <w:rsid w:val="74A40C7B"/>
    <w:rsid w:val="74AF784E"/>
    <w:rsid w:val="74B5542A"/>
    <w:rsid w:val="74DA48CB"/>
    <w:rsid w:val="74DB6895"/>
    <w:rsid w:val="74DD616A"/>
    <w:rsid w:val="74F457F1"/>
    <w:rsid w:val="75041948"/>
    <w:rsid w:val="75060A4E"/>
    <w:rsid w:val="751A7A23"/>
    <w:rsid w:val="75324707"/>
    <w:rsid w:val="753B69A0"/>
    <w:rsid w:val="753D30AC"/>
    <w:rsid w:val="75546172"/>
    <w:rsid w:val="75812F99"/>
    <w:rsid w:val="75AD404E"/>
    <w:rsid w:val="75B90985"/>
    <w:rsid w:val="75D02946"/>
    <w:rsid w:val="75DD4F1B"/>
    <w:rsid w:val="760416B8"/>
    <w:rsid w:val="76062878"/>
    <w:rsid w:val="76164029"/>
    <w:rsid w:val="762D3121"/>
    <w:rsid w:val="76391AC6"/>
    <w:rsid w:val="76432944"/>
    <w:rsid w:val="765468FF"/>
    <w:rsid w:val="766034F6"/>
    <w:rsid w:val="76A71125"/>
    <w:rsid w:val="772B47CC"/>
    <w:rsid w:val="77383B2B"/>
    <w:rsid w:val="77407626"/>
    <w:rsid w:val="77534E09"/>
    <w:rsid w:val="77640DC4"/>
    <w:rsid w:val="77925931"/>
    <w:rsid w:val="78044086"/>
    <w:rsid w:val="78120820"/>
    <w:rsid w:val="78250553"/>
    <w:rsid w:val="78324A1E"/>
    <w:rsid w:val="78342545"/>
    <w:rsid w:val="78412EB3"/>
    <w:rsid w:val="785A0692"/>
    <w:rsid w:val="78647ED5"/>
    <w:rsid w:val="787053BD"/>
    <w:rsid w:val="788E3ABC"/>
    <w:rsid w:val="788F3C1F"/>
    <w:rsid w:val="78AB6441"/>
    <w:rsid w:val="78CC6C21"/>
    <w:rsid w:val="78D144B0"/>
    <w:rsid w:val="79053EE1"/>
    <w:rsid w:val="790C44DA"/>
    <w:rsid w:val="79144F31"/>
    <w:rsid w:val="79503953"/>
    <w:rsid w:val="7953080D"/>
    <w:rsid w:val="795846EA"/>
    <w:rsid w:val="79A96F62"/>
    <w:rsid w:val="79C8388C"/>
    <w:rsid w:val="7A0F14BB"/>
    <w:rsid w:val="7A102B3D"/>
    <w:rsid w:val="7A282934"/>
    <w:rsid w:val="7A7C6425"/>
    <w:rsid w:val="7A7F1A71"/>
    <w:rsid w:val="7AA8721A"/>
    <w:rsid w:val="7AB119A4"/>
    <w:rsid w:val="7AE069B4"/>
    <w:rsid w:val="7AEA2CFA"/>
    <w:rsid w:val="7B112A51"/>
    <w:rsid w:val="7B2B3074"/>
    <w:rsid w:val="7B3429AD"/>
    <w:rsid w:val="7B4C28CE"/>
    <w:rsid w:val="7B787A4F"/>
    <w:rsid w:val="7B8E6410"/>
    <w:rsid w:val="7B9B1A91"/>
    <w:rsid w:val="7C0F5F9F"/>
    <w:rsid w:val="7C202506"/>
    <w:rsid w:val="7C3F595C"/>
    <w:rsid w:val="7C701FB9"/>
    <w:rsid w:val="7C785652"/>
    <w:rsid w:val="7C7E46D6"/>
    <w:rsid w:val="7C8B294F"/>
    <w:rsid w:val="7CB40F10"/>
    <w:rsid w:val="7CB77BE8"/>
    <w:rsid w:val="7CD11897"/>
    <w:rsid w:val="7CDD764F"/>
    <w:rsid w:val="7CDF4592"/>
    <w:rsid w:val="7D60202E"/>
    <w:rsid w:val="7D7635FF"/>
    <w:rsid w:val="7D965A4F"/>
    <w:rsid w:val="7DC10D1E"/>
    <w:rsid w:val="7DC4436B"/>
    <w:rsid w:val="7E040C0B"/>
    <w:rsid w:val="7E1C7D03"/>
    <w:rsid w:val="7E3F1C43"/>
    <w:rsid w:val="7E4D25B2"/>
    <w:rsid w:val="7E627E2E"/>
    <w:rsid w:val="7EB00F97"/>
    <w:rsid w:val="7EE0405C"/>
    <w:rsid w:val="7EE10F4C"/>
    <w:rsid w:val="7EE13B3B"/>
    <w:rsid w:val="7F453289"/>
    <w:rsid w:val="7F594F87"/>
    <w:rsid w:val="7F5F07EF"/>
    <w:rsid w:val="7F651B7D"/>
    <w:rsid w:val="7F71407E"/>
    <w:rsid w:val="7F7F2494"/>
    <w:rsid w:val="7FA42277"/>
    <w:rsid w:val="7FBA01BB"/>
    <w:rsid w:val="7FCA5EFE"/>
    <w:rsid w:val="7FD840FD"/>
    <w:rsid w:val="7FDD7966"/>
    <w:rsid w:val="7FEE3921"/>
    <w:rsid w:val="7FF058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qFormat="1"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uppressAutoHyphens/>
      <w:jc w:val="both"/>
    </w:pPr>
    <w:rPr>
      <w:rFonts w:ascii="Times New Roman" w:hAnsi="Times New Roman" w:eastAsia="宋体;SimSun" w:cs="Times New Roman"/>
      <w:kern w:val="2"/>
      <w:sz w:val="21"/>
      <w:szCs w:val="21"/>
      <w:lang w:val="en-US" w:eastAsia="zh-CN" w:bidi="ar-SA"/>
    </w:rPr>
  </w:style>
  <w:style w:type="paragraph" w:styleId="3">
    <w:name w:val="heading 1"/>
    <w:basedOn w:val="4"/>
    <w:next w:val="1"/>
    <w:autoRedefine/>
    <w:qFormat/>
    <w:uiPriority w:val="0"/>
    <w:pPr>
      <w:suppressAutoHyphens w:val="0"/>
      <w:spacing w:before="340" w:after="330" w:line="578" w:lineRule="auto"/>
      <w:outlineLvl w:val="0"/>
    </w:pPr>
    <w:rPr>
      <w:rFonts w:eastAsia="宋体"/>
      <w:kern w:val="44"/>
      <w:sz w:val="44"/>
      <w:szCs w:val="44"/>
    </w:rPr>
  </w:style>
  <w:style w:type="paragraph" w:styleId="5">
    <w:name w:val="heading 2"/>
    <w:basedOn w:val="1"/>
    <w:next w:val="1"/>
    <w:link w:val="36"/>
    <w:autoRedefine/>
    <w:unhideWhenUsed/>
    <w:qFormat/>
    <w:uiPriority w:val="0"/>
    <w:pPr>
      <w:spacing w:line="413" w:lineRule="auto"/>
      <w:outlineLvl w:val="1"/>
    </w:pPr>
    <w:rPr>
      <w:rFonts w:ascii="Arial" w:hAnsi="Arial" w:eastAsia="黑体"/>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8">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2">
    <w:name w:val="toa heading"/>
    <w:basedOn w:val="1"/>
    <w:next w:val="1"/>
    <w:autoRedefine/>
    <w:qFormat/>
    <w:uiPriority w:val="0"/>
    <w:pPr>
      <w:spacing w:before="120"/>
    </w:pPr>
    <w:rPr>
      <w:rFonts w:ascii="Cambria" w:hAnsi="Cambria"/>
      <w:sz w:val="24"/>
    </w:rPr>
  </w:style>
  <w:style w:type="paragraph" w:styleId="4">
    <w:name w:val="Title"/>
    <w:basedOn w:val="1"/>
    <w:next w:val="1"/>
    <w:autoRedefine/>
    <w:qFormat/>
    <w:uiPriority w:val="0"/>
  </w:style>
  <w:style w:type="paragraph" w:styleId="7">
    <w:name w:val="Normal Indent"/>
    <w:basedOn w:val="1"/>
    <w:next w:val="1"/>
    <w:autoRedefine/>
    <w:qFormat/>
    <w:uiPriority w:val="0"/>
    <w:pPr>
      <w:autoSpaceDE w:val="0"/>
      <w:autoSpaceDN w:val="0"/>
      <w:adjustRightInd w:val="0"/>
      <w:ind w:firstLine="420"/>
      <w:jc w:val="left"/>
      <w:textAlignment w:val="baseline"/>
    </w:pPr>
    <w:rPr>
      <w:rFonts w:ascii="宋体"/>
      <w:kern w:val="0"/>
      <w:sz w:val="34"/>
      <w:szCs w:val="20"/>
    </w:rPr>
  </w:style>
  <w:style w:type="paragraph" w:styleId="8">
    <w:name w:val="index 5"/>
    <w:basedOn w:val="1"/>
    <w:next w:val="1"/>
    <w:autoRedefine/>
    <w:semiHidden/>
    <w:qFormat/>
    <w:uiPriority w:val="0"/>
    <w:pPr>
      <w:suppressAutoHyphens w:val="0"/>
      <w:ind w:left="800" w:leftChars="800"/>
    </w:pPr>
    <w:rPr>
      <w:rFonts w:eastAsia="宋体"/>
      <w:szCs w:val="24"/>
    </w:rPr>
  </w:style>
  <w:style w:type="paragraph" w:styleId="9">
    <w:name w:val="Document Map"/>
    <w:basedOn w:val="1"/>
    <w:link w:val="67"/>
    <w:autoRedefine/>
    <w:qFormat/>
    <w:uiPriority w:val="0"/>
    <w:rPr>
      <w:rFonts w:ascii="宋体" w:eastAsia="宋体"/>
      <w:sz w:val="18"/>
      <w:szCs w:val="18"/>
    </w:rPr>
  </w:style>
  <w:style w:type="paragraph" w:styleId="10">
    <w:name w:val="annotation text"/>
    <w:basedOn w:val="1"/>
    <w:autoRedefine/>
    <w:qFormat/>
    <w:uiPriority w:val="0"/>
    <w:pPr>
      <w:jc w:val="left"/>
    </w:pPr>
  </w:style>
  <w:style w:type="paragraph" w:styleId="11">
    <w:name w:val="Body Text"/>
    <w:basedOn w:val="1"/>
    <w:next w:val="1"/>
    <w:autoRedefine/>
    <w:qFormat/>
    <w:uiPriority w:val="0"/>
    <w:pPr>
      <w:spacing w:after="120"/>
    </w:pPr>
  </w:style>
  <w:style w:type="paragraph" w:styleId="12">
    <w:name w:val="Body Text Indent"/>
    <w:basedOn w:val="1"/>
    <w:next w:val="13"/>
    <w:autoRedefine/>
    <w:qFormat/>
    <w:uiPriority w:val="0"/>
    <w:pPr>
      <w:ind w:firstLine="540"/>
    </w:pPr>
    <w:rPr>
      <w:rFonts w:eastAsia="仿宋_GB2312"/>
      <w:sz w:val="28"/>
      <w:szCs w:val="28"/>
    </w:rPr>
  </w:style>
  <w:style w:type="paragraph" w:styleId="13">
    <w:name w:val="envelope return"/>
    <w:basedOn w:val="1"/>
    <w:autoRedefine/>
    <w:unhideWhenUsed/>
    <w:qFormat/>
    <w:uiPriority w:val="99"/>
    <w:pPr>
      <w:snapToGrid w:val="0"/>
    </w:pPr>
    <w:rPr>
      <w:rFonts w:ascii="Arial" w:hAnsi="Arial"/>
    </w:rPr>
  </w:style>
  <w:style w:type="paragraph" w:styleId="14">
    <w:name w:val="toc 3"/>
    <w:basedOn w:val="1"/>
    <w:next w:val="1"/>
    <w:autoRedefine/>
    <w:qFormat/>
    <w:uiPriority w:val="0"/>
    <w:pPr>
      <w:ind w:left="840" w:leftChars="400"/>
    </w:pPr>
  </w:style>
  <w:style w:type="paragraph" w:styleId="15">
    <w:name w:val="Plain Text"/>
    <w:basedOn w:val="1"/>
    <w:autoRedefine/>
    <w:qFormat/>
    <w:uiPriority w:val="0"/>
    <w:rPr>
      <w:rFonts w:ascii="宋体;SimSun" w:hAnsi="宋体;SimSun" w:cs="宋体;SimSun"/>
    </w:rPr>
  </w:style>
  <w:style w:type="paragraph" w:styleId="16">
    <w:name w:val="Balloon Text"/>
    <w:basedOn w:val="1"/>
    <w:link w:val="76"/>
    <w:autoRedefine/>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0"/>
  </w:style>
  <w:style w:type="paragraph" w:styleId="20">
    <w:name w:val="toc 4"/>
    <w:basedOn w:val="1"/>
    <w:next w:val="1"/>
    <w:autoRedefine/>
    <w:unhideWhenUsed/>
    <w:qFormat/>
    <w:uiPriority w:val="39"/>
    <w:pPr>
      <w:ind w:left="1260" w:leftChars="600"/>
    </w:pPr>
  </w:style>
  <w:style w:type="paragraph" w:styleId="21">
    <w:name w:val="footnote text"/>
    <w:basedOn w:val="1"/>
    <w:autoRedefine/>
    <w:semiHidden/>
    <w:qFormat/>
    <w:uiPriority w:val="0"/>
    <w:pPr>
      <w:tabs>
        <w:tab w:val="left" w:pos="502"/>
      </w:tabs>
      <w:suppressAutoHyphens w:val="0"/>
      <w:snapToGrid w:val="0"/>
      <w:jc w:val="left"/>
    </w:pPr>
    <w:rPr>
      <w:rFonts w:eastAsia="宋体"/>
      <w:sz w:val="18"/>
      <w:szCs w:val="18"/>
    </w:rPr>
  </w:style>
  <w:style w:type="paragraph" w:styleId="22">
    <w:name w:val="toc 2"/>
    <w:basedOn w:val="1"/>
    <w:next w:val="1"/>
    <w:autoRedefine/>
    <w:semiHidden/>
    <w:qFormat/>
    <w:uiPriority w:val="0"/>
    <w:pPr>
      <w:ind w:left="420" w:leftChars="200"/>
    </w:p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4">
    <w:name w:val="Body Text First Indent"/>
    <w:basedOn w:val="11"/>
    <w:next w:val="1"/>
    <w:autoRedefine/>
    <w:qFormat/>
    <w:uiPriority w:val="0"/>
    <w:pPr>
      <w:ind w:firstLine="420"/>
    </w:pPr>
  </w:style>
  <w:style w:type="paragraph" w:styleId="25">
    <w:name w:val="Body Text First Indent 2"/>
    <w:basedOn w:val="12"/>
    <w:next w:val="26"/>
    <w:autoRedefine/>
    <w:qFormat/>
    <w:uiPriority w:val="0"/>
    <w:pPr>
      <w:spacing w:after="120"/>
      <w:ind w:left="420" w:leftChars="200" w:firstLine="420" w:firstLineChars="200"/>
    </w:pPr>
    <w:rPr>
      <w:sz w:val="21"/>
    </w:rPr>
  </w:style>
  <w:style w:type="paragraph" w:customStyle="1" w:styleId="26">
    <w:name w:val="样式 正文首行缩进 2 + Arial"/>
    <w:basedOn w:val="1"/>
    <w:next w:val="1"/>
    <w:autoRedefine/>
    <w:qFormat/>
    <w:uiPriority w:val="0"/>
    <w:pPr>
      <w:spacing w:after="120" w:line="320" w:lineRule="atLeast"/>
      <w:ind w:firstLine="200"/>
    </w:pPr>
    <w:rPr>
      <w:rFonts w:ascii="Arial" w:hAnsi="Arial"/>
      <w:kern w:val="0"/>
    </w:rPr>
  </w:style>
  <w:style w:type="character" w:styleId="29">
    <w:name w:val="Hyperlink"/>
    <w:basedOn w:val="28"/>
    <w:autoRedefine/>
    <w:qFormat/>
    <w:uiPriority w:val="0"/>
    <w:rPr>
      <w:color w:val="0000FF"/>
      <w:u w:val="single"/>
    </w:rPr>
  </w:style>
  <w:style w:type="character" w:styleId="30">
    <w:name w:val="annotation reference"/>
    <w:basedOn w:val="28"/>
    <w:autoRedefine/>
    <w:qFormat/>
    <w:uiPriority w:val="0"/>
    <w:rPr>
      <w:sz w:val="21"/>
      <w:szCs w:val="21"/>
    </w:rPr>
  </w:style>
  <w:style w:type="paragraph" w:customStyle="1" w:styleId="31">
    <w:name w:val="Default"/>
    <w:basedOn w:val="4"/>
    <w:next w:val="3"/>
    <w:autoRedefine/>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32">
    <w:name w:val="正"/>
    <w:basedOn w:val="33"/>
    <w:autoRedefine/>
    <w:qFormat/>
    <w:uiPriority w:val="0"/>
    <w:pPr>
      <w:tabs>
        <w:tab w:val="left" w:pos="-120"/>
      </w:tabs>
      <w:spacing w:line="560" w:lineRule="exact"/>
      <w:ind w:firstLine="600"/>
      <w:textAlignment w:val="baseline"/>
    </w:pPr>
    <w:rPr>
      <w:rFonts w:ascii="仿宋_GB2312" w:hAnsi="仿宋_GB2312" w:eastAsia="仿宋_GB2312" w:cs="仿宋_GB2312"/>
      <w:color w:val="000000"/>
      <w:spacing w:val="20"/>
      <w:kern w:val="0"/>
    </w:rPr>
  </w:style>
  <w:style w:type="paragraph" w:customStyle="1" w:styleId="33">
    <w:name w:val="正文_1"/>
    <w:next w:val="32"/>
    <w:autoRedefine/>
    <w:qFormat/>
    <w:uiPriority w:val="0"/>
    <w:pPr>
      <w:widowControl w:val="0"/>
      <w:suppressAutoHyphens/>
      <w:jc w:val="both"/>
    </w:pPr>
    <w:rPr>
      <w:rFonts w:ascii="Calibri" w:hAnsi="Calibri" w:eastAsia="宋体;SimSun" w:cs="Calibri"/>
      <w:kern w:val="2"/>
      <w:sz w:val="21"/>
      <w:szCs w:val="21"/>
      <w:lang w:val="en-US" w:eastAsia="zh-CN" w:bidi="ar-SA"/>
    </w:rPr>
  </w:style>
  <w:style w:type="paragraph" w:customStyle="1" w:styleId="34">
    <w:name w:val="Char"/>
    <w:basedOn w:val="1"/>
    <w:autoRedefine/>
    <w:qFormat/>
    <w:uiPriority w:val="0"/>
    <w:pPr>
      <w:tabs>
        <w:tab w:val="left" w:pos="360"/>
      </w:tabs>
      <w:suppressAutoHyphens w:val="0"/>
      <w:spacing w:line="360" w:lineRule="auto"/>
      <w:ind w:left="482" w:firstLine="200" w:firstLineChars="200"/>
    </w:pPr>
    <w:rPr>
      <w:rFonts w:eastAsia="宋体"/>
      <w:szCs w:val="20"/>
    </w:rPr>
  </w:style>
  <w:style w:type="paragraph" w:customStyle="1" w:styleId="35">
    <w:name w:val="TOC 21"/>
    <w:basedOn w:val="1"/>
    <w:next w:val="1"/>
    <w:autoRedefine/>
    <w:qFormat/>
    <w:uiPriority w:val="0"/>
    <w:pPr>
      <w:ind w:left="420"/>
    </w:pPr>
  </w:style>
  <w:style w:type="character" w:customStyle="1" w:styleId="36">
    <w:name w:val="标题 2 Char"/>
    <w:link w:val="5"/>
    <w:autoRedefine/>
    <w:qFormat/>
    <w:uiPriority w:val="0"/>
    <w:rPr>
      <w:rFonts w:ascii="Arial" w:hAnsi="Arial" w:eastAsia="黑体"/>
      <w:b/>
      <w:sz w:val="32"/>
    </w:rPr>
  </w:style>
  <w:style w:type="paragraph" w:customStyle="1" w:styleId="37">
    <w:name w:val="正文_0_1"/>
    <w:next w:val="3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文本_0"/>
    <w:basedOn w:val="37"/>
    <w:autoRedefine/>
    <w:qFormat/>
    <w:uiPriority w:val="0"/>
    <w:pPr>
      <w:spacing w:after="120"/>
    </w:pPr>
  </w:style>
  <w:style w:type="paragraph" w:customStyle="1" w:styleId="39">
    <w:name w:val="正文缩进2格"/>
    <w:basedOn w:val="1"/>
    <w:autoRedefine/>
    <w:unhideWhenUsed/>
    <w:qFormat/>
    <w:uiPriority w:val="99"/>
    <w:pPr>
      <w:spacing w:line="600" w:lineRule="exact"/>
      <w:ind w:firstLine="639" w:firstLineChars="206"/>
    </w:pPr>
    <w:rPr>
      <w:rFonts w:hAnsi="宋体" w:eastAsia="Times New Roman"/>
      <w:sz w:val="31"/>
      <w:szCs w:val="24"/>
    </w:rPr>
  </w:style>
  <w:style w:type="paragraph" w:customStyle="1" w:styleId="40">
    <w:name w:val="正文_2_0"/>
    <w:autoRedefine/>
    <w:qFormat/>
    <w:uiPriority w:val="0"/>
    <w:pPr>
      <w:widowControl w:val="0"/>
      <w:suppressAutoHyphens/>
      <w:jc w:val="both"/>
    </w:pPr>
    <w:rPr>
      <w:rFonts w:ascii="Calibri" w:hAnsi="Calibri" w:eastAsia="宋体;SimSun" w:cs="Calibri"/>
      <w:kern w:val="2"/>
      <w:sz w:val="21"/>
      <w:szCs w:val="21"/>
      <w:lang w:val="en-US" w:eastAsia="zh-CN" w:bidi="ar-SA"/>
    </w:rPr>
  </w:style>
  <w:style w:type="paragraph" w:customStyle="1" w:styleId="41">
    <w:name w:val="Default Text"/>
    <w:autoRedefine/>
    <w:qFormat/>
    <w:uiPriority w:val="0"/>
    <w:pPr>
      <w:widowControl w:val="0"/>
      <w:suppressAutoHyphens/>
      <w:autoSpaceDE w:val="0"/>
    </w:pPr>
    <w:rPr>
      <w:rFonts w:ascii="Times New Roman" w:hAnsi="Times New Roman" w:eastAsia="宋体;SimSun" w:cs="Times New Roman"/>
      <w:color w:val="000000"/>
      <w:sz w:val="24"/>
      <w:szCs w:val="24"/>
      <w:lang w:val="en-US" w:eastAsia="zh-CN" w:bidi="ar-SA"/>
    </w:rPr>
  </w:style>
  <w:style w:type="paragraph" w:customStyle="1" w:styleId="42">
    <w:name w:val="Heading 21"/>
    <w:basedOn w:val="1"/>
    <w:next w:val="1"/>
    <w:autoRedefine/>
    <w:qFormat/>
    <w:uiPriority w:val="0"/>
    <w:pPr>
      <w:widowControl/>
      <w:numPr>
        <w:ilvl w:val="1"/>
        <w:numId w:val="1"/>
      </w:numPr>
      <w:spacing w:before="280" w:after="280"/>
      <w:jc w:val="left"/>
      <w:outlineLvl w:val="1"/>
    </w:pPr>
    <w:rPr>
      <w:rFonts w:ascii="宋体;SimSun" w:hAnsi="宋体;SimSun" w:cs="宋体;SimSun"/>
      <w:b/>
      <w:bCs/>
      <w:kern w:val="0"/>
      <w:sz w:val="36"/>
      <w:szCs w:val="36"/>
    </w:rPr>
  </w:style>
  <w:style w:type="paragraph" w:customStyle="1" w:styleId="43">
    <w:name w:val="正文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5）标书正文 首行缩进2字符"/>
    <w:basedOn w:val="1"/>
    <w:autoRedefine/>
    <w:qFormat/>
    <w:uiPriority w:val="0"/>
    <w:pPr>
      <w:spacing w:line="520" w:lineRule="exact"/>
      <w:ind w:firstLine="560"/>
    </w:pPr>
    <w:rPr>
      <w:rFonts w:eastAsia="仿宋_GB2312"/>
      <w:sz w:val="28"/>
      <w:szCs w:val="28"/>
    </w:rPr>
  </w:style>
  <w:style w:type="paragraph" w:customStyle="1" w:styleId="45">
    <w:name w:val="LO-Normal"/>
    <w:autoRedefine/>
    <w:qFormat/>
    <w:uiPriority w:val="0"/>
    <w:pPr>
      <w:suppressAutoHyphens/>
    </w:pPr>
    <w:rPr>
      <w:rFonts w:ascii="Times New Roman" w:hAnsi="Times New Roman" w:eastAsia="宋体" w:cs="Times New Roman"/>
      <w:sz w:val="24"/>
      <w:szCs w:val="24"/>
      <w:lang w:val="en-US" w:eastAsia="zh-CN" w:bidi="ar-SA"/>
    </w:rPr>
  </w:style>
  <w:style w:type="paragraph" w:customStyle="1" w:styleId="46">
    <w:name w:val="正文文本缩进_0_0"/>
    <w:basedOn w:val="47"/>
    <w:autoRedefine/>
    <w:qFormat/>
    <w:uiPriority w:val="0"/>
    <w:pPr>
      <w:spacing w:line="500" w:lineRule="exact"/>
      <w:ind w:left="1588" w:firstLine="433"/>
    </w:pPr>
    <w:rPr>
      <w:rFonts w:ascii="Calibri" w:hAnsi="Calibri" w:cs="Calibri"/>
      <w:sz w:val="24"/>
      <w:szCs w:val="24"/>
    </w:rPr>
  </w:style>
  <w:style w:type="paragraph" w:customStyle="1" w:styleId="47">
    <w:name w:val="正文_3_0"/>
    <w:autoRedefine/>
    <w:qFormat/>
    <w:uiPriority w:val="0"/>
    <w:pPr>
      <w:widowControl w:val="0"/>
      <w:suppressAutoHyphens/>
      <w:jc w:val="both"/>
    </w:pPr>
    <w:rPr>
      <w:rFonts w:ascii="Times New Roman" w:hAnsi="Times New Roman" w:eastAsia="宋体;SimSun" w:cs="Times New Roman"/>
      <w:kern w:val="2"/>
      <w:sz w:val="21"/>
      <w:szCs w:val="21"/>
      <w:lang w:val="en-US" w:eastAsia="zh-CN" w:bidi="ar-SA"/>
    </w:rPr>
  </w:style>
  <w:style w:type="paragraph" w:customStyle="1" w:styleId="48">
    <w:name w:val="标书正文"/>
    <w:basedOn w:val="1"/>
    <w:autoRedefine/>
    <w:qFormat/>
    <w:uiPriority w:val="0"/>
    <w:pPr>
      <w:spacing w:line="560" w:lineRule="exact"/>
      <w:ind w:firstLine="723"/>
      <w:jc w:val="center"/>
    </w:pPr>
    <w:rPr>
      <w:rFonts w:ascii="仿宋_GB2312" w:hAnsi="仿宋_GB2312" w:eastAsia="仿宋_GB2312" w:cs="仿宋_GB2312"/>
      <w:b/>
      <w:bCs/>
      <w:sz w:val="36"/>
      <w:szCs w:val="36"/>
    </w:rPr>
  </w:style>
  <w:style w:type="paragraph" w:customStyle="1" w:styleId="49">
    <w:name w:val="_Style 20"/>
    <w:basedOn w:val="1"/>
    <w:autoRedefine/>
    <w:qFormat/>
    <w:uiPriority w:val="0"/>
    <w:rPr>
      <w:rFonts w:ascii="Tahoma" w:hAnsi="Tahoma"/>
      <w:sz w:val="24"/>
      <w:szCs w:val="20"/>
    </w:rPr>
  </w:style>
  <w:style w:type="paragraph" w:customStyle="1" w:styleId="50">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51">
    <w:name w:val="正文_7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_5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正文_3_0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正文_3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正文_13_0"/>
    <w:next w:val="56"/>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
    <w:name w:val="正文文本_2_0"/>
    <w:basedOn w:val="55"/>
    <w:autoRedefine/>
    <w:qFormat/>
    <w:uiPriority w:val="0"/>
    <w:pPr>
      <w:spacing w:after="120"/>
    </w:pPr>
  </w:style>
  <w:style w:type="paragraph" w:customStyle="1" w:styleId="57">
    <w:name w:val="正文_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文本缩进_3"/>
    <w:basedOn w:val="57"/>
    <w:autoRedefine/>
    <w:qFormat/>
    <w:uiPriority w:val="0"/>
    <w:pPr>
      <w:spacing w:line="500" w:lineRule="exact"/>
      <w:ind w:left="1588" w:firstLine="433"/>
    </w:pPr>
    <w:rPr>
      <w:rFonts w:ascii="Calibri" w:hAnsi="Calibri" w:cs="Calibri"/>
      <w:sz w:val="24"/>
    </w:rPr>
  </w:style>
  <w:style w:type="paragraph" w:customStyle="1" w:styleId="59">
    <w:name w:val="正文_4_0_0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60">
    <w:name w:val="正文_1_0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正文_17_0"/>
    <w:autoRedefine/>
    <w:qFormat/>
    <w:uiPriority w:val="0"/>
    <w:pPr>
      <w:widowControl w:val="0"/>
      <w:suppressAutoHyphens/>
      <w:jc w:val="both"/>
    </w:pPr>
    <w:rPr>
      <w:rFonts w:ascii="Calibri" w:hAnsi="Calibri" w:eastAsia="宋体;SimSun" w:cs="Calibri"/>
      <w:kern w:val="2"/>
      <w:sz w:val="21"/>
      <w:szCs w:val="21"/>
      <w:lang w:val="en-US" w:eastAsia="zh-CN" w:bidi="ar-SA"/>
    </w:rPr>
  </w:style>
  <w:style w:type="paragraph" w:customStyle="1" w:styleId="62">
    <w:name w:val="*正文"/>
    <w:basedOn w:val="1"/>
    <w:autoRedefine/>
    <w:qFormat/>
    <w:uiPriority w:val="0"/>
    <w:pPr>
      <w:widowControl/>
      <w:spacing w:line="360" w:lineRule="auto"/>
      <w:ind w:firstLine="560" w:firstLineChars="200"/>
      <w:jc w:val="left"/>
    </w:pPr>
    <w:rPr>
      <w:rFonts w:ascii="仿宋_GB2312"/>
      <w:sz w:val="24"/>
      <w:szCs w:val="28"/>
    </w:rPr>
  </w:style>
  <w:style w:type="paragraph" w:customStyle="1" w:styleId="63">
    <w:name w:val="Header1"/>
    <w:basedOn w:val="1"/>
    <w:autoRedefine/>
    <w:qFormat/>
    <w:uiPriority w:val="0"/>
    <w:pPr>
      <w:pBdr>
        <w:bottom w:val="single" w:color="000000" w:sz="6" w:space="1"/>
      </w:pBdr>
      <w:tabs>
        <w:tab w:val="center" w:pos="4153"/>
        <w:tab w:val="right" w:pos="8306"/>
      </w:tabs>
      <w:snapToGrid w:val="0"/>
      <w:jc w:val="center"/>
    </w:pPr>
    <w:rPr>
      <w:sz w:val="18"/>
      <w:szCs w:val="18"/>
    </w:rPr>
  </w:style>
  <w:style w:type="paragraph" w:customStyle="1" w:styleId="64">
    <w:name w:val="UserStyle_0"/>
    <w:basedOn w:val="65"/>
    <w:autoRedefine/>
    <w:qFormat/>
    <w:uiPriority w:val="0"/>
    <w:pPr>
      <w:ind w:firstLine="525"/>
    </w:pPr>
    <w:rPr>
      <w:spacing w:val="20"/>
      <w:szCs w:val="20"/>
    </w:rPr>
  </w:style>
  <w:style w:type="paragraph" w:customStyle="1" w:styleId="65">
    <w:name w:val="UserStyle_1"/>
    <w:next w:val="64"/>
    <w:autoRedefine/>
    <w:qFormat/>
    <w:uiPriority w:val="0"/>
    <w:pPr>
      <w:suppressAutoHyphens/>
      <w:jc w:val="both"/>
      <w:textAlignment w:val="baseline"/>
    </w:pPr>
    <w:rPr>
      <w:rFonts w:ascii="Calibri" w:hAnsi="Calibri" w:eastAsia="宋体;SimSun" w:cs="Times New Roman"/>
      <w:kern w:val="2"/>
      <w:sz w:val="21"/>
      <w:szCs w:val="21"/>
      <w:lang w:val="en-US" w:eastAsia="zh-CN" w:bidi="ar-SA"/>
    </w:rPr>
  </w:style>
  <w:style w:type="character" w:customStyle="1" w:styleId="66">
    <w:name w:val="NormalCharacter"/>
    <w:autoRedefine/>
    <w:semiHidden/>
    <w:qFormat/>
    <w:uiPriority w:val="0"/>
    <w:rPr>
      <w:rFonts w:ascii="Times New Roman" w:hAnsi="Times New Roman" w:eastAsia="宋体;SimSun" w:cs="Times New Roman"/>
      <w:kern w:val="2"/>
      <w:sz w:val="21"/>
      <w:szCs w:val="21"/>
      <w:lang w:val="en-US" w:eastAsia="zh-CN" w:bidi="ar-SA"/>
    </w:rPr>
  </w:style>
  <w:style w:type="character" w:customStyle="1" w:styleId="67">
    <w:name w:val="文档结构图 Char"/>
    <w:basedOn w:val="28"/>
    <w:link w:val="9"/>
    <w:autoRedefine/>
    <w:qFormat/>
    <w:uiPriority w:val="0"/>
    <w:rPr>
      <w:rFonts w:ascii="宋体"/>
      <w:kern w:val="2"/>
      <w:sz w:val="18"/>
      <w:szCs w:val="18"/>
    </w:rPr>
  </w:style>
  <w:style w:type="paragraph" w:customStyle="1" w:styleId="68">
    <w:name w:val="纯文本1"/>
    <w:basedOn w:val="1"/>
    <w:autoRedefine/>
    <w:qFormat/>
    <w:uiPriority w:val="0"/>
    <w:rPr>
      <w:rFonts w:ascii="宋体" w:hAnsi="Courier New" w:cs="Courier New"/>
    </w:rPr>
  </w:style>
  <w:style w:type="paragraph" w:customStyle="1" w:styleId="69">
    <w:name w:val="正文 New"/>
    <w:basedOn w:val="1"/>
    <w:autoRedefine/>
    <w:qFormat/>
    <w:uiPriority w:val="0"/>
    <w:pPr>
      <w:spacing w:before="100" w:beforeAutospacing="1" w:after="100" w:afterAutospacing="1" w:line="440" w:lineRule="exact"/>
      <w:ind w:left="357" w:hanging="357"/>
    </w:pPr>
  </w:style>
  <w:style w:type="paragraph" w:customStyle="1" w:styleId="70">
    <w:name w:val="4）小标题 加黑 左对齐"/>
    <w:basedOn w:val="1"/>
    <w:next w:val="44"/>
    <w:autoRedefine/>
    <w:qFormat/>
    <w:uiPriority w:val="0"/>
    <w:pPr>
      <w:keepNext/>
      <w:spacing w:before="62" w:after="62" w:line="500" w:lineRule="exact"/>
      <w:ind w:firstLine="200"/>
    </w:pPr>
    <w:rPr>
      <w:rFonts w:eastAsia="仿宋_GB2312"/>
      <w:b/>
      <w:bCs/>
      <w:sz w:val="28"/>
      <w:szCs w:val="28"/>
    </w:rPr>
  </w:style>
  <w:style w:type="paragraph" w:customStyle="1" w:styleId="71">
    <w:name w:val="样式1"/>
    <w:basedOn w:val="1"/>
    <w:autoRedefine/>
    <w:qFormat/>
    <w:uiPriority w:val="0"/>
  </w:style>
  <w:style w:type="paragraph" w:customStyle="1" w:styleId="72">
    <w:name w:val="正文1"/>
    <w:autoRedefine/>
    <w:qFormat/>
    <w:uiPriority w:val="0"/>
    <w:rPr>
      <w:rFonts w:ascii="Times New Roman" w:hAnsi="Times New Roman" w:eastAsia="Times New Roman" w:cs="Times New Roman"/>
      <w:sz w:val="24"/>
      <w:szCs w:val="24"/>
      <w:lang w:val="en-US" w:eastAsia="zh-CN" w:bidi="ar-SA"/>
    </w:rPr>
  </w:style>
  <w:style w:type="paragraph" w:customStyle="1" w:styleId="73">
    <w:name w:val="表格文字2"/>
    <w:basedOn w:val="74"/>
    <w:autoRedefine/>
    <w:qFormat/>
    <w:uiPriority w:val="99"/>
    <w:pPr>
      <w:spacing w:before="25" w:after="25"/>
      <w:jc w:val="left"/>
    </w:pPr>
    <w:rPr>
      <w:bCs/>
      <w:spacing w:val="10"/>
      <w:kern w:val="0"/>
    </w:rPr>
  </w:style>
  <w:style w:type="paragraph" w:customStyle="1" w:styleId="74">
    <w:name w:val="正文1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75">
    <w:name w:val="正文_4"/>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76">
    <w:name w:val="批注框文本 Char"/>
    <w:basedOn w:val="28"/>
    <w:link w:val="16"/>
    <w:autoRedefine/>
    <w:qFormat/>
    <w:uiPriority w:val="0"/>
    <w:rPr>
      <w:rFonts w:eastAsia="宋体;SimSun"/>
      <w:kern w:val="2"/>
      <w:sz w:val="18"/>
      <w:szCs w:val="18"/>
    </w:rPr>
  </w:style>
  <w:style w:type="paragraph" w:customStyle="1" w:styleId="77">
    <w:name w:val="标题 21"/>
    <w:basedOn w:val="1"/>
    <w:autoRedefine/>
    <w:qFormat/>
    <w:uiPriority w:val="0"/>
    <w:pPr>
      <w:keepNext/>
      <w:keepLines/>
      <w:spacing w:beforeAutospacing="0" w:afterAutospacing="0" w:line="360" w:lineRule="auto"/>
      <w:outlineLvl w:val="1"/>
    </w:pPr>
    <w:rPr>
      <w:rFonts w:ascii="Calibri Light" w:hAnsi="Calibri Light" w:eastAsia="宋体"/>
      <w:b/>
      <w:bCs/>
      <w:sz w:val="28"/>
      <w:szCs w:val="32"/>
    </w:rPr>
  </w:style>
  <w:style w:type="paragraph" w:customStyle="1" w:styleId="78">
    <w:name w:val="Normal_21_0"/>
    <w:autoRedefine/>
    <w:qFormat/>
    <w:uiPriority w:val="0"/>
    <w:rPr>
      <w:rFonts w:ascii="黑体" w:hAnsi="黑体" w:eastAsia="黑体" w:cs="Times New Roman"/>
      <w:b/>
      <w:sz w:val="32"/>
      <w:szCs w:val="24"/>
      <w:lang w:val="en-US" w:eastAsia="zh-CN" w:bidi="ar-SA"/>
    </w:rPr>
  </w:style>
  <w:style w:type="character" w:customStyle="1" w:styleId="79">
    <w:name w:val="apple-converted-space"/>
    <w:basedOn w:val="28"/>
    <w:qFormat/>
    <w:uiPriority w:val="0"/>
    <w:rPr>
      <w:rFonts w:ascii="Tahoma" w:hAnsi="Tahoma" w:cs="仿宋_GB2312"/>
      <w:sz w:val="24"/>
      <w:szCs w:val="28"/>
    </w:rPr>
  </w:style>
  <w:style w:type="paragraph" w:customStyle="1" w:styleId="80">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szCs w:val="20"/>
    </w:rPr>
  </w:style>
  <w:style w:type="paragraph" w:customStyle="1" w:styleId="81">
    <w:name w:val="Table Text"/>
    <w:basedOn w:val="1"/>
    <w:autoRedefine/>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67</Pages>
  <Words>18488</Words>
  <Characters>20141</Characters>
  <Lines>273</Lines>
  <Paragraphs>77</Paragraphs>
  <TotalTime>0</TotalTime>
  <ScaleCrop>false</ScaleCrop>
  <LinksUpToDate>false</LinksUpToDate>
  <CharactersWithSpaces>21987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2023-07-10T08:21:00Z</dcterms:created>
  <dc:creator>淡淡的味道</dc:creator>
  <cp:lastModifiedBy>Relax.</cp:lastModifiedBy>
  <cp:lastPrinted>2025-04-02T07:15:00Z</cp:lastPrinted>
  <dcterms:modified xsi:type="dcterms:W3CDTF">2025-06-25T10:47:57Z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CFCC1ED774274A6CB735C3A49F8F820E_13</vt:lpwstr>
  </property>
  <property fmtid="{D5CDD505-2E9C-101B-9397-08002B2CF9AE}" pid="4" name="KSOTemplateDocerSaveRecord">
    <vt:lpwstr>eyJoZGlkIjoiYzQ1MGNjZDIzODRiN2EwZGMyOTE0ZTE5MzcyZWQwNTAiLCJ1c2VySWQiOiIzODMxMTE3NzcifQ==</vt:lpwstr>
  </property>
</Properties>
</file>