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1566">
      <w:pPr>
        <w:jc w:val="center"/>
        <w:rPr>
          <w:rFonts w:hint="eastAsia" w:ascii="仿宋" w:hAnsi="仿宋" w:eastAsia="仿宋" w:cs="仿宋"/>
          <w:b/>
          <w:color w:val="auto"/>
          <w:sz w:val="36"/>
          <w:szCs w:val="36"/>
          <w:highlight w:val="none"/>
          <w:lang w:eastAsia="zh-CN"/>
        </w:rPr>
      </w:pPr>
    </w:p>
    <w:p w14:paraId="122D251D">
      <w:pPr>
        <w:jc w:val="center"/>
        <w:rPr>
          <w:rFonts w:hint="eastAsia" w:ascii="仿宋" w:hAnsi="仿宋" w:eastAsia="仿宋" w:cs="仿宋"/>
          <w:b/>
          <w:color w:val="auto"/>
          <w:sz w:val="36"/>
          <w:szCs w:val="36"/>
          <w:highlight w:val="none"/>
        </w:rPr>
      </w:pPr>
    </w:p>
    <w:p w14:paraId="549AE443">
      <w:pPr>
        <w:jc w:val="center"/>
        <w:rPr>
          <w:rFonts w:hint="eastAsia" w:ascii="仿宋" w:hAnsi="仿宋" w:eastAsia="仿宋" w:cs="仿宋"/>
          <w:b/>
          <w:color w:val="auto"/>
          <w:sz w:val="36"/>
          <w:szCs w:val="36"/>
          <w:highlight w:val="none"/>
        </w:rPr>
      </w:pPr>
    </w:p>
    <w:p w14:paraId="6E2CAE6F">
      <w:pPr>
        <w:jc w:val="center"/>
        <w:rPr>
          <w:rFonts w:hint="eastAsia" w:ascii="仿宋" w:hAnsi="仿宋" w:eastAsia="仿宋" w:cs="仿宋"/>
          <w:b/>
          <w:color w:val="auto"/>
          <w:sz w:val="36"/>
          <w:szCs w:val="36"/>
          <w:highlight w:val="none"/>
        </w:rPr>
      </w:pPr>
    </w:p>
    <w:p w14:paraId="38E10A3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56"/>
          <w:szCs w:val="72"/>
          <w:highlight w:val="none"/>
          <w:lang w:val="en-US" w:eastAsia="zh-CN"/>
        </w:rPr>
        <w:t>询价</w:t>
      </w:r>
      <w:r>
        <w:rPr>
          <w:rFonts w:hint="eastAsia" w:ascii="仿宋" w:hAnsi="仿宋" w:eastAsia="仿宋" w:cs="仿宋"/>
          <w:b/>
          <w:bCs/>
          <w:color w:val="auto"/>
          <w:sz w:val="56"/>
          <w:szCs w:val="72"/>
          <w:highlight w:val="none"/>
        </w:rPr>
        <w:t>文件</w:t>
      </w:r>
    </w:p>
    <w:p w14:paraId="1663EC8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(项目编码：</w:t>
      </w:r>
      <w:r>
        <w:rPr>
          <w:rFonts w:hint="eastAsia" w:ascii="仿宋" w:hAnsi="仿宋" w:eastAsia="仿宋" w:cs="仿宋"/>
          <w:b/>
          <w:bCs/>
          <w:color w:val="auto"/>
          <w:sz w:val="24"/>
          <w:szCs w:val="24"/>
          <w:highlight w:val="none"/>
          <w:lang w:eastAsia="zh-CN"/>
        </w:rPr>
        <w:t>2025HDYPXJ-011</w:t>
      </w:r>
      <w:r>
        <w:rPr>
          <w:rFonts w:hint="eastAsia" w:ascii="仿宋" w:hAnsi="仿宋" w:eastAsia="仿宋" w:cs="仿宋"/>
          <w:b/>
          <w:bCs/>
          <w:color w:val="auto"/>
          <w:sz w:val="24"/>
          <w:szCs w:val="24"/>
          <w:highlight w:val="none"/>
        </w:rPr>
        <w:t>)</w:t>
      </w:r>
    </w:p>
    <w:p w14:paraId="6C3249A4">
      <w:pPr>
        <w:jc w:val="center"/>
        <w:rPr>
          <w:rFonts w:hint="eastAsia" w:ascii="仿宋" w:hAnsi="仿宋" w:eastAsia="仿宋" w:cs="仿宋"/>
          <w:b/>
          <w:bCs/>
          <w:color w:val="auto"/>
          <w:highlight w:val="none"/>
        </w:rPr>
      </w:pPr>
    </w:p>
    <w:p w14:paraId="2929EE14">
      <w:pPr>
        <w:rPr>
          <w:rFonts w:hint="eastAsia" w:ascii="仿宋" w:hAnsi="仿宋" w:eastAsia="仿宋" w:cs="仿宋"/>
          <w:b/>
          <w:bCs/>
          <w:color w:val="auto"/>
          <w:highlight w:val="none"/>
        </w:rPr>
      </w:pPr>
    </w:p>
    <w:p w14:paraId="6C9390BE">
      <w:pPr>
        <w:rPr>
          <w:rFonts w:hint="eastAsia" w:ascii="仿宋" w:hAnsi="仿宋" w:eastAsia="仿宋" w:cs="仿宋"/>
          <w:b/>
          <w:bCs/>
          <w:color w:val="auto"/>
          <w:highlight w:val="none"/>
        </w:rPr>
      </w:pPr>
    </w:p>
    <w:p w14:paraId="45D53986">
      <w:pPr>
        <w:rPr>
          <w:rFonts w:hint="eastAsia" w:ascii="仿宋" w:hAnsi="仿宋" w:eastAsia="仿宋" w:cs="仿宋"/>
          <w:b/>
          <w:bCs/>
          <w:color w:val="auto"/>
          <w:highlight w:val="none"/>
        </w:rPr>
      </w:pPr>
    </w:p>
    <w:p w14:paraId="2051EC46">
      <w:pPr>
        <w:pStyle w:val="30"/>
        <w:rPr>
          <w:rFonts w:hint="eastAsia" w:ascii="仿宋" w:hAnsi="仿宋" w:eastAsia="仿宋" w:cs="仿宋"/>
          <w:b/>
          <w:bCs/>
          <w:color w:val="auto"/>
          <w:highlight w:val="none"/>
        </w:rPr>
      </w:pPr>
    </w:p>
    <w:p w14:paraId="5333522D">
      <w:pPr>
        <w:pStyle w:val="30"/>
        <w:rPr>
          <w:rFonts w:hint="eastAsia" w:ascii="仿宋" w:hAnsi="仿宋" w:eastAsia="仿宋" w:cs="仿宋"/>
          <w:b/>
          <w:bCs/>
          <w:color w:val="auto"/>
          <w:highlight w:val="none"/>
        </w:rPr>
      </w:pPr>
    </w:p>
    <w:p w14:paraId="56278C36">
      <w:pPr>
        <w:pStyle w:val="30"/>
        <w:rPr>
          <w:rFonts w:hint="eastAsia" w:ascii="仿宋" w:hAnsi="仿宋" w:eastAsia="仿宋" w:cs="仿宋"/>
          <w:b/>
          <w:bCs/>
          <w:color w:val="auto"/>
          <w:highlight w:val="none"/>
        </w:rPr>
      </w:pPr>
    </w:p>
    <w:p w14:paraId="3702F5E7">
      <w:pPr>
        <w:pStyle w:val="30"/>
        <w:rPr>
          <w:rFonts w:hint="eastAsia" w:ascii="仿宋" w:hAnsi="仿宋" w:eastAsia="仿宋" w:cs="仿宋"/>
          <w:b/>
          <w:bCs/>
          <w:color w:val="auto"/>
          <w:highlight w:val="none"/>
        </w:rPr>
      </w:pPr>
    </w:p>
    <w:p w14:paraId="3DB43D78">
      <w:pPr>
        <w:rPr>
          <w:rFonts w:hint="eastAsia" w:ascii="仿宋" w:hAnsi="仿宋" w:eastAsia="仿宋" w:cs="仿宋"/>
          <w:b/>
          <w:bCs/>
          <w:color w:val="auto"/>
          <w:highlight w:val="none"/>
        </w:rPr>
      </w:pPr>
    </w:p>
    <w:p w14:paraId="11B080E1">
      <w:pPr>
        <w:spacing w:line="360" w:lineRule="auto"/>
        <w:ind w:left="2106" w:leftChars="334" w:hanging="1405" w:hangingChars="5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新疆维吾尔自治区民政康复中心医疗条件改造提升项目</w:t>
      </w:r>
    </w:p>
    <w:p w14:paraId="5D81B6E5">
      <w:pPr>
        <w:spacing w:line="360" w:lineRule="auto"/>
        <w:ind w:left="2106" w:leftChars="334" w:hanging="1405" w:hangingChars="5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采购人</w:t>
      </w:r>
      <w:r>
        <w:rPr>
          <w:rFonts w:hint="eastAsia" w:ascii="仿宋" w:hAnsi="仿宋" w:eastAsia="仿宋" w:cs="仿宋"/>
          <w:b/>
          <w:bCs/>
          <w:color w:val="auto"/>
          <w:sz w:val="28"/>
          <w:szCs w:val="28"/>
          <w:highlight w:val="none"/>
        </w:rPr>
        <w:t>（盖章）：</w:t>
      </w:r>
      <w:r>
        <w:rPr>
          <w:rFonts w:hint="eastAsia" w:ascii="仿宋" w:hAnsi="仿宋" w:eastAsia="仿宋" w:cs="仿宋"/>
          <w:b/>
          <w:bCs/>
          <w:color w:val="auto"/>
          <w:sz w:val="28"/>
          <w:szCs w:val="28"/>
          <w:highlight w:val="none"/>
          <w:lang w:eastAsia="zh-CN"/>
        </w:rPr>
        <w:t>新疆维吾尔自治区民政康复中心</w:t>
      </w:r>
    </w:p>
    <w:p w14:paraId="2EB3AEC9">
      <w:pPr>
        <w:spacing w:line="360" w:lineRule="auto"/>
        <w:ind w:firstLine="703" w:firstLineChars="2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联系人：</w:t>
      </w:r>
    </w:p>
    <w:p w14:paraId="33F14D63">
      <w:pPr>
        <w:spacing w:line="360" w:lineRule="auto"/>
        <w:ind w:firstLine="703" w:firstLineChars="2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电话：</w:t>
      </w:r>
    </w:p>
    <w:p w14:paraId="66FF22A8">
      <w:pPr>
        <w:spacing w:line="360" w:lineRule="auto"/>
        <w:ind w:firstLine="747" w:firstLineChars="356"/>
        <w:rPr>
          <w:rFonts w:hint="eastAsia" w:ascii="仿宋" w:hAnsi="仿宋" w:eastAsia="仿宋" w:cs="仿宋"/>
          <w:b/>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6.75pt;margin-top:7.95pt;height:0pt;width:393.75pt;z-index:251659264;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194L2QAAAAgBAAAPAAAAAAAAAAEAIAAAACIAAABkcnMvZG93bnJldi54bWxQ&#10;SwECFAAUAAAACACHTuJA+/LVM/YBAADlAwAADgAAAAAAAAABACAAAAAoAQAAZHJzL2Uyb0RvYy54&#10;bWxQSwUGAAAAAAYABgBZAQAAkAUAAAAA&#10;">
                <v:fill on="f" focussize="0,0"/>
                <v:stroke weight="1pt" color="#000000" joinstyle="round" dashstyle="1 1" endcap="round"/>
                <v:imagedata o:title=""/>
                <o:lock v:ext="edit" aspectratio="f"/>
              </v:line>
            </w:pict>
          </mc:Fallback>
        </mc:AlternateContent>
      </w:r>
    </w:p>
    <w:p w14:paraId="7DC99BC1">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招标代理机构（盖章）：新疆恒达壹品项目管理咨询有限公司</w:t>
      </w:r>
    </w:p>
    <w:p w14:paraId="56F046B2">
      <w:pPr>
        <w:spacing w:line="360" w:lineRule="auto"/>
        <w:ind w:firstLine="703" w:firstLineChars="25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法定代表人（盖章）：</w:t>
      </w:r>
    </w:p>
    <w:p w14:paraId="31E7C6DE">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联系人：杨勇、陈涛、赵天</w:t>
      </w:r>
    </w:p>
    <w:p w14:paraId="2D87B545">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电话：0991—4825717、13325632966</w:t>
      </w:r>
    </w:p>
    <w:p w14:paraId="665BF716">
      <w:pPr>
        <w:spacing w:line="360" w:lineRule="auto"/>
        <w:ind w:left="2084" w:leftChars="334" w:hanging="1383" w:hangingChars="49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详细地址：新疆乌鲁木齐市水磨沟区红光山路888号绿城广场商业综合楼1B座2204</w:t>
      </w:r>
    </w:p>
    <w:p w14:paraId="36917B14">
      <w:pPr>
        <w:jc w:val="center"/>
        <w:rPr>
          <w:rFonts w:hint="eastAsia" w:ascii="仿宋" w:hAnsi="仿宋" w:eastAsia="仿宋" w:cs="仿宋"/>
          <w:b/>
          <w:color w:val="auto"/>
          <w:sz w:val="24"/>
          <w:highlight w:val="none"/>
        </w:rPr>
      </w:pPr>
    </w:p>
    <w:p w14:paraId="7C001B8F">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br w:type="page"/>
      </w:r>
    </w:p>
    <w:p w14:paraId="630F1F9C">
      <w:pPr>
        <w:pStyle w:val="80"/>
        <w:spacing w:before="0" w:after="0"/>
        <w:rPr>
          <w:rFonts w:hint="eastAsia" w:ascii="仿宋" w:hAnsi="仿宋" w:eastAsia="仿宋" w:cs="仿宋"/>
          <w:b/>
          <w:color w:val="auto"/>
          <w:kern w:val="2"/>
          <w:sz w:val="36"/>
          <w:szCs w:val="36"/>
          <w:highlight w:val="none"/>
        </w:rPr>
      </w:pPr>
      <w:r>
        <w:rPr>
          <w:rFonts w:hint="eastAsia" w:ascii="仿宋" w:hAnsi="仿宋" w:eastAsia="仿宋" w:cs="仿宋"/>
          <w:b/>
          <w:color w:val="auto"/>
          <w:kern w:val="2"/>
          <w:sz w:val="36"/>
          <w:szCs w:val="36"/>
          <w:highlight w:val="none"/>
        </w:rPr>
        <w:t>目录</w:t>
      </w:r>
    </w:p>
    <w:p w14:paraId="70E5680B">
      <w:pPr>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646A12DF">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第一部分询价公告</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p>
    <w:p w14:paraId="33DE26A9">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"_Toc134550677"</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第二部分供应商须知</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8</w:t>
      </w:r>
      <w:r>
        <w:rPr>
          <w:rStyle w:val="38"/>
          <w:rFonts w:hint="eastAsia" w:ascii="仿宋" w:hAnsi="仿宋" w:eastAsia="仿宋" w:cs="仿宋"/>
          <w:b w:val="0"/>
          <w:bCs w:val="0"/>
          <w:color w:val="auto"/>
          <w:sz w:val="24"/>
          <w:szCs w:val="22"/>
          <w:highlight w:val="none"/>
        </w:rPr>
        <w:fldChar w:fldCharType="end"/>
      </w:r>
    </w:p>
    <w:p w14:paraId="2D3A6CD7">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"_Toc134550681"</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第三部分采购</w:t>
      </w:r>
      <w:r>
        <w:rPr>
          <w:rStyle w:val="38"/>
          <w:rFonts w:hint="eastAsia" w:ascii="仿宋" w:hAnsi="仿宋" w:eastAsia="仿宋" w:cs="仿宋"/>
          <w:b w:val="0"/>
          <w:bCs w:val="0"/>
          <w:color w:val="auto"/>
          <w:sz w:val="24"/>
          <w:szCs w:val="22"/>
          <w:highlight w:val="none"/>
          <w:lang w:val="en-US" w:eastAsia="zh-CN"/>
        </w:rPr>
        <w:t>需求</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rPr>
        <w:fldChar w:fldCharType="begin"/>
      </w:r>
      <w:r>
        <w:rPr>
          <w:rFonts w:hint="eastAsia" w:ascii="仿宋" w:hAnsi="仿宋" w:eastAsia="仿宋" w:cs="仿宋"/>
          <w:b w:val="0"/>
          <w:bCs w:val="0"/>
          <w:color w:val="auto"/>
          <w:sz w:val="24"/>
          <w:szCs w:val="22"/>
          <w:highlight w:val="none"/>
        </w:rPr>
        <w:instrText xml:space="preserve"> PAGEREF _Toc134550681 \h </w:instrText>
      </w:r>
      <w:r>
        <w:rPr>
          <w:rFonts w:hint="eastAsia" w:ascii="仿宋" w:hAnsi="仿宋" w:eastAsia="仿宋" w:cs="仿宋"/>
          <w:b w:val="0"/>
          <w:bCs w:val="0"/>
          <w:color w:val="auto"/>
          <w:sz w:val="24"/>
          <w:szCs w:val="22"/>
          <w:highlight w:val="none"/>
        </w:rPr>
        <w:fldChar w:fldCharType="separate"/>
      </w:r>
      <w:r>
        <w:rPr>
          <w:rFonts w:hint="eastAsia" w:ascii="仿宋" w:hAnsi="仿宋" w:eastAsia="仿宋" w:cs="仿宋"/>
          <w:b w:val="0"/>
          <w:bCs w:val="0"/>
          <w:color w:val="auto"/>
          <w:sz w:val="24"/>
          <w:szCs w:val="22"/>
          <w:highlight w:val="none"/>
        </w:rPr>
        <w:t>29</w:t>
      </w:r>
      <w:r>
        <w:rPr>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rPr>
        <w:fldChar w:fldCharType="end"/>
      </w:r>
    </w:p>
    <w:p w14:paraId="028B257B">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"_Toc134550683"</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第四部分合同</w:t>
      </w:r>
      <w:r>
        <w:rPr>
          <w:rStyle w:val="38"/>
          <w:rFonts w:hint="eastAsia" w:ascii="仿宋" w:hAnsi="仿宋" w:eastAsia="仿宋" w:cs="仿宋"/>
          <w:b w:val="0"/>
          <w:bCs w:val="0"/>
          <w:color w:val="auto"/>
          <w:sz w:val="24"/>
          <w:szCs w:val="22"/>
          <w:highlight w:val="none"/>
          <w:lang w:eastAsia="zh-CN"/>
        </w:rPr>
        <w:t>条款</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3</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2</w:t>
      </w:r>
    </w:p>
    <w:p w14:paraId="6DE05EDE">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第五部分响应文件格式</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6</w:t>
      </w:r>
    </w:p>
    <w:p w14:paraId="66B79E21">
      <w:pPr>
        <w:pStyle w:val="25"/>
        <w:rPr>
          <w:rFonts w:hint="eastAsia" w:ascii="仿宋" w:hAnsi="仿宋" w:eastAsia="仿宋" w:cs="仿宋"/>
          <w:b w:val="0"/>
          <w:bCs w:val="0"/>
          <w:color w:val="auto"/>
          <w:highlight w:val="none"/>
        </w:rPr>
      </w:pPr>
    </w:p>
    <w:p w14:paraId="681740C6">
      <w:pPr>
        <w:pStyle w:val="87"/>
        <w:tabs>
          <w:tab w:val="right" w:leader="dot" w:pos="9009"/>
        </w:tabs>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1AAE11C2">
      <w:pPr>
        <w:spacing w:line="264" w:lineRule="auto"/>
        <w:jc w:val="center"/>
        <w:rPr>
          <w:rFonts w:hint="eastAsia" w:ascii="仿宋" w:hAnsi="仿宋" w:eastAsia="仿宋" w:cs="仿宋"/>
          <w:b/>
          <w:color w:val="auto"/>
          <w:sz w:val="36"/>
          <w:szCs w:val="36"/>
          <w:highlight w:val="none"/>
        </w:rPr>
        <w:sectPr>
          <w:headerReference r:id="rId3" w:type="default"/>
          <w:footerReference r:id="rId4" w:type="default"/>
          <w:pgSz w:w="11906" w:h="16838"/>
          <w:pgMar w:top="1418" w:right="1196" w:bottom="1418" w:left="1701" w:header="851" w:footer="590" w:gutter="0"/>
          <w:pgNumType w:start="1"/>
          <w:cols w:space="720" w:num="1"/>
          <w:docGrid w:linePitch="312" w:charSpace="-1185"/>
        </w:sectPr>
      </w:pPr>
      <w:bookmarkStart w:id="0" w:name="_Toc30399"/>
    </w:p>
    <w:bookmarkEnd w:id="0"/>
    <w:p w14:paraId="064F8BDC">
      <w:pPr>
        <w:pStyle w:val="80"/>
        <w:spacing w:before="0" w:after="0"/>
        <w:rPr>
          <w:rFonts w:hint="eastAsia" w:ascii="仿宋" w:hAnsi="仿宋" w:eastAsia="仿宋" w:cs="仿宋"/>
          <w:color w:val="auto"/>
          <w:sz w:val="36"/>
          <w:szCs w:val="36"/>
          <w:highlight w:val="none"/>
        </w:rPr>
      </w:pPr>
      <w:bookmarkStart w:id="1" w:name="_Toc134550674"/>
      <w:bookmarkStart w:id="2" w:name="_Toc21761"/>
      <w:r>
        <w:rPr>
          <w:rFonts w:hint="eastAsia" w:ascii="仿宋" w:hAnsi="仿宋" w:eastAsia="仿宋" w:cs="仿宋"/>
          <w:b/>
          <w:color w:val="auto"/>
          <w:kern w:val="2"/>
          <w:sz w:val="36"/>
          <w:szCs w:val="36"/>
          <w:highlight w:val="none"/>
        </w:rPr>
        <w:t>第一部分询价公告</w:t>
      </w:r>
      <w:bookmarkEnd w:id="1"/>
      <w:bookmarkEnd w:id="2"/>
    </w:p>
    <w:p w14:paraId="6E00B23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一、项目基本情况</w:t>
      </w:r>
    </w:p>
    <w:p w14:paraId="3B156C8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项目编号：2025HDYPXJ-011</w:t>
      </w:r>
    </w:p>
    <w:p w14:paraId="0C94180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项目名称：新疆维吾尔自治区民政康复中心医疗条件改造提升项目</w:t>
      </w:r>
    </w:p>
    <w:p w14:paraId="05EFE82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采购人式：询价采购</w:t>
      </w:r>
    </w:p>
    <w:p w14:paraId="680D637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default" w:ascii="仿宋" w:hAnsi="仿宋" w:eastAsia="微软雅黑"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258DAD1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最高限价（元）：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027363FD">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采购需求：医疗器械一批（参数详见询价文件第三部分）   </w:t>
      </w:r>
    </w:p>
    <w:p w14:paraId="36D4DB5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本项目不接受联合体投标。</w:t>
      </w:r>
      <w:r>
        <w:rPr>
          <w:rFonts w:hint="eastAsia" w:ascii="仿宋" w:hAnsi="仿宋" w:eastAsia="仿宋" w:cs="仿宋"/>
          <w:color w:val="auto"/>
          <w:sz w:val="24"/>
          <w:szCs w:val="24"/>
          <w:highlight w:val="none"/>
        </w:rPr>
        <w:t> </w:t>
      </w:r>
    </w:p>
    <w:p w14:paraId="02E431E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二、申请人的资格要求：</w:t>
      </w:r>
    </w:p>
    <w:p w14:paraId="011C5F9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3162F3B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落实政府采购政策需满足的资格要求：本项目专门面向小微企业采购项目（包含小型、微型企业），根据《政府采购促进中小企业发展管理办法》（财库[2020]46号）的规定，评标时将不再执行价格评审优惠的扶持政策。</w:t>
      </w:r>
    </w:p>
    <w:p w14:paraId="28CE689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所投产品属于第二类医疗器械的，需提供有效的行政主管部门颁发的医疗器械经营备案凭证（或医疗器械生产许可证或医疗器械生产备案凭证或医疗器械经营许可证）；所投产品属于第三类医疗器械的，需提供有效的行政主管部门颁发的医疗器械生产许可证（或医疗器械经营许可证或医疗器械生产备案凭证）。</w:t>
      </w:r>
    </w:p>
    <w:p w14:paraId="4B59D199">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4.供应商资格要求：</w:t>
      </w:r>
    </w:p>
    <w:p w14:paraId="0F70CC4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（1）具有独立承担民事责任的能力；</w:t>
      </w:r>
    </w:p>
    <w:p w14:paraId="4B19EEA6">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（2）有依法缴纳税收和社会保障资金的良好记录；</w:t>
      </w:r>
    </w:p>
    <w:p w14:paraId="5B205C40">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（3）具有良好的商业信誉和健全的财务会计制度；</w:t>
      </w:r>
    </w:p>
    <w:p w14:paraId="1D9661CB">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（4）具有履行合同所必须的设备和专业技术能力；</w:t>
      </w:r>
    </w:p>
    <w:p w14:paraId="4ABB657D">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（5）参加采购活动前3年内，在经营活动中没有重大违法记录；</w:t>
      </w:r>
    </w:p>
    <w:p w14:paraId="194E59A4">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（6）信用记录：</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需提供相关证明资料，如在上述网站查询结果均显示没有相关记录，视为没有上述不良信用记录；</w:t>
      </w:r>
    </w:p>
    <w:p w14:paraId="4B0A056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（7）单位负责人为同一人或者存在直接控股、管理关系的不同</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378011A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（8）本项目不接受联合体</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13ADD176">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三、获取采购文件</w:t>
      </w:r>
    </w:p>
    <w:p w14:paraId="2CEE8E84">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rPr>
        <w:t>日，每天上午00:00至14:00，下午14:00至23:59（北京时间，法定节假日除外）</w:t>
      </w:r>
    </w:p>
    <w:p w14:paraId="50AD142F">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地点：新疆政府采购网http://www.ccgp-xinjiang.gov.cn/ 方式：供应商登录政采云平台https://www.zcygov.cn/在线申请获取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文件（进入“项目采购”应用，在获取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文件菜单中选择项目，申请获取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w:t>
      </w:r>
    </w:p>
    <w:p w14:paraId="37FD55CA">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四、响应文件提交 </w:t>
      </w:r>
    </w:p>
    <w:p w14:paraId="58F63B1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56B19013">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08C63777">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五、响应文件开启 </w:t>
      </w:r>
    </w:p>
    <w:p w14:paraId="2E9561DC">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p w14:paraId="71C59B70">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3BEB7A41">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六、公告期限</w:t>
      </w:r>
    </w:p>
    <w:p w14:paraId="2F4AE19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自本公告发布之日起3个工作日。</w:t>
      </w:r>
    </w:p>
    <w:p w14:paraId="3E9E2299">
      <w:pPr>
        <w:pStyle w:val="5"/>
        <w:spacing w:before="0" w:after="0" w:line="360" w:lineRule="auto"/>
        <w:jc w:val="left"/>
        <w:rPr>
          <w:rFonts w:hint="eastAsia" w:ascii="仿宋" w:hAnsi="仿宋" w:eastAsia="仿宋" w:cs="仿宋"/>
          <w:b w:val="0"/>
          <w:bCs w:val="0"/>
          <w:color w:val="auto"/>
          <w:sz w:val="24"/>
          <w:szCs w:val="24"/>
          <w:highlight w:val="none"/>
        </w:rPr>
      </w:pPr>
      <w:bookmarkStart w:id="3" w:name="_Toc134550675"/>
      <w:r>
        <w:rPr>
          <w:rFonts w:hint="eastAsia" w:ascii="仿宋" w:hAnsi="仿宋" w:eastAsia="仿宋" w:cs="仿宋"/>
          <w:b w:val="0"/>
          <w:bCs w:val="0"/>
          <w:color w:val="auto"/>
          <w:sz w:val="24"/>
          <w:szCs w:val="24"/>
          <w:highlight w:val="none"/>
        </w:rPr>
        <w:t>七、其他补充事宜</w:t>
      </w:r>
      <w:bookmarkEnd w:id="3"/>
      <w:r>
        <w:rPr>
          <w:rFonts w:hint="eastAsia" w:ascii="仿宋" w:hAnsi="仿宋" w:eastAsia="仿宋" w:cs="仿宋"/>
          <w:b w:val="0"/>
          <w:bCs w:val="0"/>
          <w:color w:val="auto"/>
          <w:sz w:val="24"/>
          <w:szCs w:val="24"/>
          <w:highlight w:val="none"/>
        </w:rPr>
        <w:t>  </w:t>
      </w:r>
    </w:p>
    <w:p w14:paraId="15E60BC3">
      <w:pPr>
        <w:spacing w:line="360" w:lineRule="auto"/>
        <w:ind w:firstLine="480" w:firstLineChars="200"/>
        <w:jc w:val="left"/>
        <w:rPr>
          <w:rFonts w:hint="eastAsia" w:ascii="仿宋" w:hAnsi="仿宋" w:eastAsia="仿宋" w:cs="仿宋"/>
          <w:bCs/>
          <w:color w:val="auto"/>
          <w:sz w:val="24"/>
          <w:szCs w:val="24"/>
          <w:highlight w:val="none"/>
        </w:rPr>
      </w:pPr>
      <w:bookmarkStart w:id="4" w:name="_Toc134550676"/>
      <w:r>
        <w:rPr>
          <w:rFonts w:hint="eastAsia" w:ascii="仿宋" w:hAnsi="仿宋" w:eastAsia="仿宋" w:cs="仿宋"/>
          <w:color w:val="auto"/>
          <w:sz w:val="24"/>
          <w:szCs w:val="24"/>
          <w:highlight w:val="none"/>
        </w:rPr>
        <w:t>1、本项目实行网</w:t>
      </w:r>
      <w:r>
        <w:rPr>
          <w:rFonts w:hint="eastAsia" w:ascii="仿宋" w:hAnsi="仿宋" w:eastAsia="仿宋" w:cs="仿宋"/>
          <w:bCs/>
          <w:color w:val="auto"/>
          <w:sz w:val="24"/>
          <w:szCs w:val="24"/>
          <w:highlight w:val="none"/>
        </w:rPr>
        <w:t>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，采用电子</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w:t>
      </w:r>
    </w:p>
    <w:p w14:paraId="5EEFA6C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2、各供应商应在开标前确保成为正式注册入库供应商，并完成CA数字证书(符合国密标准)申领。因未注册入库、未办理CA数字证书等原因造成无法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失败等后果由供应商自行承担。如需咨询，请联系新疆CA服务热线4000921999；翔晟CA服务热线025-66085508。</w:t>
      </w:r>
    </w:p>
    <w:p w14:paraId="7007A17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3、供应商将政采云电子交易客户端下载、安装完成后，可通过账号密码或CA登录客户端进行</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的制作。在使用政采云投标客户端时，建议使用WIN7及以上操作系统。</w:t>
      </w:r>
    </w:p>
    <w:p w14:paraId="4C4491FD">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4、其他事项：（1）本项目采用全流程不见面电子开评标，供应商需要使用CA加密设备，供应商可通过新疆数字证书认证中心官网（https://www.xjca.com.cn/）或下载“新疆政务通”APP自行进行申领。</w:t>
      </w:r>
    </w:p>
    <w:p w14:paraId="243C80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（2）本项目实行网上投标，采用加密电子投标响应文件(供应商须使用CA加密设备通过政采云电子投标客户端制作投标响应文件)。若供应商参与投标，自行承担</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一切费用。</w:t>
      </w:r>
    </w:p>
    <w:p w14:paraId="16EE6E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在开标前应确保成为新疆政府采购网正式注册入库供应商，并完成CA数字证书申领。因未注册入库、未办理CA数字证书等原因造成无法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w:t>
      </w:r>
    </w:p>
    <w:p w14:paraId="0E5E8C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45A4C16E">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48C5FEFE">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D1F237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划分标准依据《批发和零售业和信息化部、国家统计局、国家发展和改革委员会、财政部关于印发中小企业划型标准规定的通知》（工信部联企业〔2011〕300号规定。本项目采购标的对应的中小企业划分标准所属行业为工业-制造业。</w:t>
      </w:r>
    </w:p>
    <w:p w14:paraId="341E123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八、凡对本次招标提出询问，请按以下方式联系</w:t>
      </w:r>
      <w:bookmarkEnd w:id="4"/>
    </w:p>
    <w:p w14:paraId="353620C6">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1.采购人信息</w:t>
      </w:r>
    </w:p>
    <w:p w14:paraId="326E4F46">
      <w:pPr>
        <w:spacing w:line="360" w:lineRule="auto"/>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新疆维吾尔自治区民政康复中心</w:t>
      </w:r>
    </w:p>
    <w:p w14:paraId="53130C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地址：乌鲁木齐市沙依巴克区仓房沟北路69号</w:t>
      </w:r>
    </w:p>
    <w:p w14:paraId="2F52B7C4">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p w14:paraId="1CE82C6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2.采购代理机构信息</w:t>
      </w:r>
    </w:p>
    <w:p w14:paraId="21C1CBA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名称：新疆恒达壹品项目管理咨询有限公司</w:t>
      </w:r>
    </w:p>
    <w:p w14:paraId="3029B85A">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地址：新疆乌鲁木齐市水磨沟区红光山路888号绿城广场商业综合楼1B座2204</w:t>
      </w:r>
    </w:p>
    <w:p w14:paraId="63C8E0B0">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3.项目联系方式</w:t>
      </w:r>
    </w:p>
    <w:p w14:paraId="5383598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项目联系人：杨勇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陈涛、赵天</w:t>
      </w:r>
    </w:p>
    <w:p w14:paraId="578430D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电话：0991—4825717、13325632966</w:t>
      </w:r>
    </w:p>
    <w:p w14:paraId="77E40E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bookmarkStart w:id="5" w:name="_Toc134550677"/>
      <w:r>
        <w:rPr>
          <w:rFonts w:hint="eastAsia" w:ascii="仿宋" w:hAnsi="仿宋" w:eastAsia="仿宋" w:cs="仿宋"/>
          <w:b/>
          <w:color w:val="auto"/>
          <w:sz w:val="36"/>
          <w:szCs w:val="36"/>
          <w:highlight w:val="none"/>
        </w:rPr>
        <w:t>第二部分供应商须知</w:t>
      </w:r>
      <w:bookmarkEnd w:id="5"/>
    </w:p>
    <w:p w14:paraId="362972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供应商须知前附表</w:t>
      </w:r>
    </w:p>
    <w:tbl>
      <w:tblPr>
        <w:tblStyle w:val="33"/>
        <w:tblW w:w="10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276"/>
      </w:tblGrid>
      <w:tr w14:paraId="115ED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63D4F2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276" w:type="dxa"/>
            <w:tcBorders>
              <w:top w:val="single" w:color="auto" w:sz="4" w:space="0"/>
              <w:left w:val="single" w:color="auto" w:sz="4" w:space="0"/>
              <w:bottom w:val="single" w:color="auto" w:sz="4" w:space="0"/>
            </w:tcBorders>
            <w:noWrap w:val="0"/>
            <w:vAlign w:val="center"/>
          </w:tcPr>
          <w:p w14:paraId="16B2A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2065D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40" w:type="dxa"/>
            <w:gridSpan w:val="2"/>
            <w:tcBorders>
              <w:top w:val="single" w:color="auto" w:sz="4" w:space="0"/>
              <w:bottom w:val="single" w:color="auto" w:sz="4" w:space="0"/>
            </w:tcBorders>
            <w:noWrap w:val="0"/>
            <w:vAlign w:val="center"/>
          </w:tcPr>
          <w:p w14:paraId="145FB4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860E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64" w:type="dxa"/>
            <w:tcBorders>
              <w:top w:val="single" w:color="auto" w:sz="4" w:space="0"/>
              <w:bottom w:val="single" w:color="auto" w:sz="4" w:space="0"/>
              <w:right w:val="single" w:color="auto" w:sz="4" w:space="0"/>
            </w:tcBorders>
            <w:noWrap w:val="0"/>
            <w:vAlign w:val="center"/>
          </w:tcPr>
          <w:p w14:paraId="08914E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276" w:type="dxa"/>
            <w:tcBorders>
              <w:top w:val="single" w:color="auto" w:sz="4" w:space="0"/>
              <w:left w:val="single" w:color="auto" w:sz="4" w:space="0"/>
              <w:bottom w:val="single" w:color="auto" w:sz="4" w:space="0"/>
            </w:tcBorders>
            <w:noWrap w:val="0"/>
            <w:vAlign w:val="center"/>
          </w:tcPr>
          <w:p w14:paraId="4B8EF51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新疆维吾尔自治区民政康复中心医疗条件改造提升项目</w:t>
            </w:r>
          </w:p>
          <w:p w14:paraId="7029F2CF">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项目编号：</w:t>
            </w:r>
            <w:r>
              <w:rPr>
                <w:rFonts w:hint="eastAsia" w:ascii="宋体" w:hAnsi="宋体" w:cs="宋体"/>
                <w:sz w:val="24"/>
                <w:szCs w:val="24"/>
                <w:lang w:eastAsia="zh-CN"/>
              </w:rPr>
              <w:t>2025HDYPXJ-011</w:t>
            </w:r>
          </w:p>
          <w:p w14:paraId="0B0041FC">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采购预算：</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w:t>
            </w:r>
          </w:p>
          <w:p w14:paraId="621A964D">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.00元（超出最高限价的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报价或超出单价最高限价报价其响应文件将按照无效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处理）</w:t>
            </w:r>
          </w:p>
          <w:p w14:paraId="5C8F8AEF">
            <w:pPr>
              <w:pStyle w:val="1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新疆维吾尔自治区民政康复中心医疗条件改造提升项目</w:t>
            </w:r>
            <w:r>
              <w:rPr>
                <w:rFonts w:hint="eastAsia" w:ascii="仿宋" w:hAnsi="仿宋" w:eastAsia="仿宋" w:cs="仿宋"/>
                <w:color w:val="auto"/>
                <w:sz w:val="24"/>
                <w:highlight w:val="none"/>
              </w:rPr>
              <w:t>中所包含得全部工作内容。</w:t>
            </w:r>
          </w:p>
          <w:p w14:paraId="04846B41">
            <w:pPr>
              <w:pStyle w:val="10"/>
              <w:ind w:firstLine="0" w:firstLineChars="0"/>
              <w:rPr>
                <w:rFonts w:hint="eastAsia" w:eastAsia="仿宋"/>
                <w:color w:val="auto"/>
                <w:highlight w:val="none"/>
                <w:lang w:eastAsia="zh-CN"/>
              </w:rPr>
            </w:pPr>
            <w:r>
              <w:rPr>
                <w:rFonts w:hint="eastAsia" w:ascii="仿宋" w:hAnsi="仿宋" w:eastAsia="仿宋" w:cs="仿宋"/>
                <w:color w:val="auto"/>
                <w:sz w:val="24"/>
                <w:highlight w:val="none"/>
                <w:lang w:val="en-US" w:eastAsia="zh-CN"/>
              </w:rPr>
              <w:t>采购内容：医疗器械一批（参数详见询价文件第三部分）</w:t>
            </w:r>
            <w:r>
              <w:rPr>
                <w:rFonts w:hint="eastAsia" w:ascii="仿宋" w:hAnsi="仿宋" w:eastAsia="仿宋" w:cs="仿宋"/>
                <w:color w:val="auto"/>
                <w:kern w:val="0"/>
                <w:sz w:val="24"/>
                <w:szCs w:val="24"/>
                <w:highlight w:val="none"/>
              </w:rPr>
              <w:t>，具体要求详见</w:t>
            </w:r>
            <w:r>
              <w:rPr>
                <w:rFonts w:hint="eastAsia" w:ascii="仿宋" w:hAnsi="仿宋" w:eastAsia="仿宋" w:cs="仿宋"/>
                <w:color w:val="auto"/>
                <w:kern w:val="0"/>
                <w:sz w:val="24"/>
                <w:szCs w:val="24"/>
                <w:highlight w:val="none"/>
                <w:lang w:eastAsia="zh-CN"/>
              </w:rPr>
              <w:t>询价文件“</w:t>
            </w:r>
            <w:r>
              <w:rPr>
                <w:rFonts w:hint="eastAsia" w:ascii="仿宋" w:hAnsi="仿宋" w:eastAsia="仿宋" w:cs="仿宋"/>
                <w:color w:val="auto"/>
                <w:kern w:val="0"/>
                <w:sz w:val="24"/>
                <w:szCs w:val="24"/>
                <w:highlight w:val="none"/>
              </w:rPr>
              <w:t>第三部分货物需求及技术要求</w:t>
            </w:r>
            <w:r>
              <w:rPr>
                <w:rFonts w:hint="eastAsia" w:ascii="仿宋" w:hAnsi="仿宋" w:eastAsia="仿宋" w:cs="仿宋"/>
                <w:color w:val="auto"/>
                <w:kern w:val="0"/>
                <w:sz w:val="24"/>
                <w:szCs w:val="24"/>
                <w:highlight w:val="none"/>
                <w:lang w:eastAsia="zh-CN"/>
              </w:rPr>
              <w:t>”</w:t>
            </w:r>
          </w:p>
        </w:tc>
      </w:tr>
      <w:tr w14:paraId="59D9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64" w:type="dxa"/>
            <w:tcBorders>
              <w:top w:val="single" w:color="auto" w:sz="4" w:space="0"/>
              <w:bottom w:val="single" w:color="auto" w:sz="4" w:space="0"/>
              <w:right w:val="single" w:color="auto" w:sz="4" w:space="0"/>
            </w:tcBorders>
            <w:noWrap w:val="0"/>
            <w:vAlign w:val="center"/>
          </w:tcPr>
          <w:p w14:paraId="061F96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276" w:type="dxa"/>
            <w:tcBorders>
              <w:top w:val="single" w:color="auto" w:sz="4" w:space="0"/>
              <w:left w:val="single" w:color="auto" w:sz="4" w:space="0"/>
              <w:bottom w:val="single" w:color="auto" w:sz="4" w:space="0"/>
            </w:tcBorders>
            <w:noWrap w:val="0"/>
            <w:vAlign w:val="center"/>
          </w:tcPr>
          <w:p w14:paraId="15DE6A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lang w:val="en-US" w:eastAsia="zh-CN"/>
              </w:rPr>
              <w:t>新疆维吾尔自治区民政康复中心</w:t>
            </w:r>
          </w:p>
          <w:p w14:paraId="0CC211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tc>
      </w:tr>
      <w:tr w14:paraId="690F6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BDA20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276" w:type="dxa"/>
            <w:tcBorders>
              <w:top w:val="single" w:color="auto" w:sz="4" w:space="0"/>
              <w:left w:val="single" w:color="auto" w:sz="4" w:space="0"/>
              <w:bottom w:val="single" w:color="auto" w:sz="4" w:space="0"/>
            </w:tcBorders>
            <w:noWrap w:val="0"/>
            <w:vAlign w:val="center"/>
          </w:tcPr>
          <w:p w14:paraId="6414774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招标代理机构名称：新疆恒达壹品项目管理咨询有限公司</w:t>
            </w:r>
          </w:p>
          <w:p w14:paraId="7889A70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单位地址：新疆乌鲁木齐市水磨沟区红光山路888号绿城广场商业综合楼1B座2204</w:t>
            </w:r>
          </w:p>
          <w:p w14:paraId="3B766A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kern w:val="0"/>
                <w:sz w:val="24"/>
                <w:szCs w:val="24"/>
                <w:highlight w:val="none"/>
              </w:rPr>
              <w:t>0991—4825717、13325632966</w:t>
            </w:r>
          </w:p>
        </w:tc>
      </w:tr>
      <w:tr w14:paraId="23B0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top w:val="single" w:color="auto" w:sz="4" w:space="0"/>
              <w:right w:val="single" w:color="auto" w:sz="4" w:space="0"/>
            </w:tcBorders>
            <w:noWrap w:val="0"/>
            <w:vAlign w:val="center"/>
          </w:tcPr>
          <w:p w14:paraId="7D0879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276" w:type="dxa"/>
            <w:tcBorders>
              <w:top w:val="single" w:color="auto" w:sz="4" w:space="0"/>
              <w:left w:val="single" w:color="auto" w:sz="4" w:space="0"/>
              <w:bottom w:val="single" w:color="auto" w:sz="4" w:space="0"/>
            </w:tcBorders>
            <w:noWrap w:val="0"/>
            <w:vAlign w:val="center"/>
          </w:tcPr>
          <w:p w14:paraId="3893BF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招标保证金金额：</w:t>
            </w:r>
            <w:r>
              <w:rPr>
                <w:rFonts w:hint="eastAsia" w:ascii="仿宋" w:hAnsi="仿宋" w:eastAsia="仿宋" w:cs="仿宋"/>
                <w:color w:val="auto"/>
                <w:sz w:val="24"/>
                <w:szCs w:val="24"/>
                <w:highlight w:val="none"/>
                <w:lang w:val="en-US" w:eastAsia="zh-CN"/>
              </w:rPr>
              <w:t>6000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陆仟</w:t>
            </w:r>
            <w:r>
              <w:rPr>
                <w:rFonts w:hint="eastAsia" w:ascii="仿宋" w:hAnsi="仿宋" w:eastAsia="仿宋" w:cs="仿宋"/>
                <w:color w:val="auto"/>
                <w:sz w:val="24"/>
                <w:szCs w:val="24"/>
                <w:highlight w:val="none"/>
              </w:rPr>
              <w:t>元整）</w:t>
            </w:r>
          </w:p>
          <w:p w14:paraId="373CBB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:00时（北京时间）前，将招标保证金缴纳至采购代理机构指定账户。招标保证金应采用人民币，采用电汇、网银、保函等非现金形式,由投标人的账户汇出(个体工商户除外)提交。</w:t>
            </w:r>
          </w:p>
          <w:p w14:paraId="78159E89">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代理机构名称：新疆恒达壹品项目管理咨询有限公司</w:t>
            </w:r>
          </w:p>
          <w:p w14:paraId="17C5811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纳税人识别号：91650105MABM8REG4A</w:t>
            </w:r>
          </w:p>
          <w:p w14:paraId="401F21DA">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开户行：</w:t>
            </w:r>
            <w:r>
              <w:rPr>
                <w:rFonts w:hint="eastAsia" w:ascii="仿宋" w:hAnsi="仿宋" w:eastAsia="仿宋" w:cs="仿宋"/>
                <w:color w:val="auto"/>
                <w:sz w:val="24"/>
                <w:szCs w:val="24"/>
                <w:highlight w:val="none"/>
                <w:lang w:val="en-US" w:eastAsia="zh-CN"/>
              </w:rPr>
              <w:t>兴业银行乌鲁木齐高新区支行</w:t>
            </w:r>
          </w:p>
          <w:p w14:paraId="092B34D6">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r>
              <w:rPr>
                <w:rFonts w:hint="eastAsia" w:ascii="仿宋" w:hAnsi="仿宋" w:eastAsia="仿宋" w:cs="仿宋"/>
                <w:color w:val="auto"/>
                <w:sz w:val="24"/>
                <w:szCs w:val="24"/>
                <w:highlight w:val="none"/>
                <w:lang w:val="en-US" w:eastAsia="zh-CN"/>
              </w:rPr>
              <w:t>512040100100995788</w:t>
            </w:r>
          </w:p>
          <w:p w14:paraId="7DCA5A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招标保证金的缴纳形式：招标保证金于2025年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时（北京时间，已到账时间为准）之前将招标保证金缴纳至采购代理机构指定账户。招标保证金以网银或电汇或保函等非现金方式，由投标人的账户汇出(个体工商户除外)提交。招标投标人提交招标保证金应充分考虑资金在途时间，招标保证金有效期：投标截止时间后90天。（注：“项目名称”为所投标段的项目名称）。</w:t>
            </w:r>
          </w:p>
          <w:p w14:paraId="3A672D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若投标人未按照上述规定缴纳招标保证金,招标投标文件将被拒绝评审。</w:t>
            </w:r>
          </w:p>
        </w:tc>
      </w:tr>
      <w:tr w14:paraId="59B1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0CCC2C71">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23615895">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电子保函：</w:t>
            </w:r>
          </w:p>
          <w:p w14:paraId="52FCD85C">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（1）本项目使用政采云电子保函形式缴纳保证金，在线完成保函的申请、审核、开票、出函等环节；</w:t>
            </w:r>
          </w:p>
          <w:p w14:paraId="224DE3CE">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14:paraId="34E7567A">
            <w:pPr>
              <w:tabs>
                <w:tab w:val="left" w:pos="1098"/>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（3）将保函制作到电子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即可。</w:t>
            </w:r>
          </w:p>
        </w:tc>
      </w:tr>
      <w:tr w14:paraId="26D6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AF4E0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6" w:type="dxa"/>
            <w:tcBorders>
              <w:top w:val="single" w:color="auto" w:sz="4" w:space="0"/>
              <w:left w:val="single" w:color="auto" w:sz="4" w:space="0"/>
              <w:bottom w:val="single" w:color="auto" w:sz="4" w:space="0"/>
            </w:tcBorders>
            <w:noWrap w:val="0"/>
            <w:vAlign w:val="center"/>
          </w:tcPr>
          <w:p w14:paraId="71CC64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语言：中文</w:t>
            </w:r>
          </w:p>
        </w:tc>
      </w:tr>
      <w:tr w14:paraId="3179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CA81F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276" w:type="dxa"/>
            <w:tcBorders>
              <w:top w:val="single" w:color="auto" w:sz="4" w:space="0"/>
              <w:left w:val="single" w:color="auto" w:sz="4" w:space="0"/>
              <w:bottom w:val="single" w:color="auto" w:sz="4" w:space="0"/>
            </w:tcBorders>
            <w:noWrap w:val="0"/>
            <w:vAlign w:val="center"/>
          </w:tcPr>
          <w:p w14:paraId="743227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货币：人民币</w:t>
            </w:r>
          </w:p>
        </w:tc>
      </w:tr>
      <w:tr w14:paraId="1521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244288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276" w:type="dxa"/>
            <w:tcBorders>
              <w:top w:val="single" w:color="auto" w:sz="4" w:space="0"/>
              <w:left w:val="single" w:color="auto" w:sz="4" w:space="0"/>
              <w:bottom w:val="single" w:color="auto" w:sz="4" w:space="0"/>
            </w:tcBorders>
            <w:noWrap w:val="0"/>
            <w:vAlign w:val="center"/>
          </w:tcPr>
          <w:p w14:paraId="333078C4">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交货期/供货期：</w:t>
            </w:r>
            <w:r>
              <w:rPr>
                <w:rFonts w:hint="eastAsia" w:ascii="仿宋" w:hAnsi="仿宋" w:eastAsia="仿宋" w:cs="仿宋"/>
                <w:b w:val="0"/>
                <w:bCs w:val="0"/>
                <w:color w:val="auto"/>
                <w:sz w:val="24"/>
                <w:szCs w:val="24"/>
                <w:highlight w:val="none"/>
                <w:lang w:val="en-US" w:eastAsia="zh-CN"/>
              </w:rPr>
              <w:t>自合同签订起7天内完成送达至指定地点。</w:t>
            </w:r>
          </w:p>
          <w:p w14:paraId="08A755E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质保期：</w:t>
            </w:r>
            <w:r>
              <w:rPr>
                <w:rFonts w:hint="eastAsia" w:ascii="仿宋" w:hAnsi="仿宋" w:eastAsia="仿宋" w:cs="仿宋"/>
                <w:b w:val="0"/>
                <w:bCs w:val="0"/>
                <w:color w:val="auto"/>
                <w:sz w:val="24"/>
                <w:szCs w:val="24"/>
                <w:highlight w:val="none"/>
                <w:lang w:val="en-US" w:eastAsia="zh-CN"/>
              </w:rPr>
              <w:t>（1）医疗设备安装调试验收(以甲方验收时间为准）合格后起(一次性耗材除外）无条件免费整机质保1年；</w:t>
            </w:r>
          </w:p>
          <w:p w14:paraId="5D47A7B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（2）健身器材产品质保期为2年；</w:t>
            </w:r>
          </w:p>
          <w:p w14:paraId="2769660F">
            <w:pPr>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（3）如产品出厂的质保期大于2年的以出厂的质保期为准。</w:t>
            </w:r>
          </w:p>
        </w:tc>
      </w:tr>
      <w:tr w14:paraId="39E3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99FEB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276" w:type="dxa"/>
            <w:tcBorders>
              <w:top w:val="single" w:color="auto" w:sz="4" w:space="0"/>
              <w:left w:val="single" w:color="auto" w:sz="4" w:space="0"/>
              <w:bottom w:val="single" w:color="auto" w:sz="4" w:space="0"/>
            </w:tcBorders>
            <w:noWrap w:val="0"/>
            <w:vAlign w:val="center"/>
          </w:tcPr>
          <w:p w14:paraId="112316C7">
            <w:pP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供货地点：</w:t>
            </w:r>
            <w:r>
              <w:rPr>
                <w:rFonts w:hint="eastAsia" w:ascii="仿宋" w:hAnsi="仿宋" w:eastAsia="仿宋" w:cs="仿宋"/>
                <w:b w:val="0"/>
                <w:bCs/>
                <w:color w:val="auto"/>
                <w:sz w:val="24"/>
                <w:szCs w:val="24"/>
                <w:highlight w:val="none"/>
              </w:rPr>
              <w:t>新疆维吾尔自治区民政康复中心</w:t>
            </w:r>
            <w:r>
              <w:rPr>
                <w:rFonts w:hint="eastAsia" w:ascii="仿宋" w:hAnsi="仿宋" w:eastAsia="仿宋" w:cs="仿宋"/>
                <w:b w:val="0"/>
                <w:bCs/>
                <w:color w:val="auto"/>
                <w:sz w:val="24"/>
                <w:szCs w:val="24"/>
                <w:highlight w:val="none"/>
                <w:lang w:val="en-US" w:eastAsia="zh-CN"/>
              </w:rPr>
              <w:t>院内</w:t>
            </w:r>
          </w:p>
        </w:tc>
      </w:tr>
      <w:tr w14:paraId="71EEE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right w:val="single" w:color="auto" w:sz="4" w:space="0"/>
            </w:tcBorders>
            <w:noWrap w:val="0"/>
            <w:vAlign w:val="center"/>
          </w:tcPr>
          <w:p w14:paraId="74A7B4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276" w:type="dxa"/>
            <w:tcBorders>
              <w:top w:val="single" w:color="auto" w:sz="4" w:space="0"/>
              <w:left w:val="single" w:color="auto" w:sz="4" w:space="0"/>
              <w:bottom w:val="single" w:color="auto" w:sz="4" w:space="0"/>
            </w:tcBorders>
            <w:noWrap w:val="0"/>
            <w:vAlign w:val="center"/>
          </w:tcPr>
          <w:p w14:paraId="4D36F55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5388EF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第一次付款：合同签订后支付合同总价30%的预付款；</w:t>
            </w:r>
          </w:p>
          <w:p w14:paraId="2DC596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第二次付款：货物运送至甲方指定地点后并根据甲方内部管理规定，按要求安装调试完毕，满足终验条件，乙方提交全部验收材料，通过甲方组织的验收合格后，依照财务流程支付合同总价70%。</w:t>
            </w:r>
          </w:p>
        </w:tc>
      </w:tr>
      <w:tr w14:paraId="0B0FB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5DA0A180">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018145F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履约担保：</w:t>
            </w:r>
            <w:r>
              <w:rPr>
                <w:rFonts w:hint="eastAsia" w:ascii="仿宋_GB2312" w:eastAsia="仿宋_GB2312" w:cs="仿宋_GB2312"/>
                <w:color w:val="auto"/>
                <w:sz w:val="24"/>
                <w:szCs w:val="24"/>
                <w:highlight w:val="none"/>
                <w:lang w:bidi="ar"/>
              </w:rPr>
              <w:sym w:font="Wingdings" w:char="00A8"/>
            </w:r>
            <w:r>
              <w:rPr>
                <w:rFonts w:hint="eastAsia" w:ascii="仿宋" w:hAnsi="仿宋" w:eastAsia="仿宋" w:cs="仿宋"/>
                <w:b/>
                <w:bCs/>
                <w:color w:val="auto"/>
                <w:sz w:val="24"/>
                <w:szCs w:val="24"/>
                <w:highlight w:val="none"/>
              </w:rPr>
              <w:t>是</w:t>
            </w:r>
            <w:r>
              <w:rPr>
                <w:rFonts w:hint="eastAsia" w:ascii="仿宋_GB2312" w:eastAsia="仿宋_GB2312" w:cs="仿宋_GB2312"/>
                <w:color w:val="auto"/>
                <w:sz w:val="24"/>
                <w:szCs w:val="24"/>
                <w:highlight w:val="none"/>
                <w:lang w:bidi="ar"/>
              </w:rPr>
              <w:sym w:font="Wingdings" w:char="00FE"/>
            </w:r>
            <w:r>
              <w:rPr>
                <w:rFonts w:hint="eastAsia" w:ascii="仿宋" w:hAnsi="仿宋" w:eastAsia="仿宋" w:cs="仿宋"/>
                <w:b/>
                <w:bCs/>
                <w:color w:val="auto"/>
                <w:sz w:val="24"/>
                <w:szCs w:val="24"/>
                <w:highlight w:val="none"/>
              </w:rPr>
              <w:t>否</w:t>
            </w:r>
          </w:p>
          <w:p w14:paraId="0AA0F62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（1）中标或成交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应在合同签订前3个工作日内向采购人提交履约保证金；</w:t>
            </w:r>
          </w:p>
          <w:p w14:paraId="42534C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）履约保证金数额：合同总价的10%；</w:t>
            </w:r>
          </w:p>
          <w:p w14:paraId="0F1822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）履约保证金的形式：保函或电汇；</w:t>
            </w:r>
          </w:p>
          <w:p w14:paraId="1514349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）保函的提供形式：原件彩色扫描件；</w:t>
            </w:r>
          </w:p>
          <w:p w14:paraId="0B9089CA">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（5）履约保证金的有效期：</w:t>
            </w:r>
            <w:r>
              <w:rPr>
                <w:rFonts w:hint="eastAsia" w:ascii="仿宋" w:hAnsi="仿宋" w:eastAsia="仿宋" w:cs="仿宋"/>
                <w:color w:val="auto"/>
                <w:sz w:val="24"/>
                <w:szCs w:val="24"/>
                <w:highlight w:val="none"/>
                <w:lang w:val="en-US" w:eastAsia="zh-CN"/>
              </w:rPr>
              <w:t>自合同生效之日起至货物验收合格之日止。</w:t>
            </w:r>
          </w:p>
          <w:p w14:paraId="6D863D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（6）履约保证金的退还：</w:t>
            </w:r>
            <w:r>
              <w:rPr>
                <w:rFonts w:hint="eastAsia" w:ascii="仿宋" w:hAnsi="仿宋" w:eastAsia="仿宋" w:cs="仿宋"/>
                <w:color w:val="auto"/>
                <w:sz w:val="24"/>
                <w:szCs w:val="24"/>
                <w:highlight w:val="none"/>
                <w:lang w:val="en-US" w:eastAsia="zh-CN"/>
              </w:rPr>
              <w:t>自货物验收合格之日起3个工作日内中标或成交供应商合同主要义务履行完毕（原则上不超过90天），采购人按合同约定及时退还。</w:t>
            </w:r>
          </w:p>
        </w:tc>
      </w:tr>
      <w:tr w14:paraId="1918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040" w:type="dxa"/>
            <w:gridSpan w:val="2"/>
            <w:tcBorders>
              <w:top w:val="single" w:color="auto" w:sz="4" w:space="0"/>
              <w:bottom w:val="single" w:color="auto" w:sz="4" w:space="0"/>
            </w:tcBorders>
            <w:noWrap w:val="0"/>
            <w:vAlign w:val="center"/>
          </w:tcPr>
          <w:p w14:paraId="2A8281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的编制和递交</w:t>
            </w:r>
          </w:p>
        </w:tc>
      </w:tr>
      <w:tr w14:paraId="751C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64" w:type="dxa"/>
            <w:tcBorders>
              <w:top w:val="single" w:color="auto" w:sz="4" w:space="0"/>
              <w:bottom w:val="single" w:color="auto" w:sz="4" w:space="0"/>
              <w:right w:val="single" w:color="auto" w:sz="4" w:space="0"/>
            </w:tcBorders>
            <w:noWrap w:val="0"/>
            <w:vAlign w:val="center"/>
          </w:tcPr>
          <w:p w14:paraId="54746950">
            <w:pPr>
              <w:tabs>
                <w:tab w:val="left" w:pos="252"/>
                <w:tab w:val="left" w:pos="671"/>
              </w:tabs>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10</w:t>
            </w:r>
          </w:p>
        </w:tc>
        <w:tc>
          <w:tcPr>
            <w:tcW w:w="9276" w:type="dxa"/>
            <w:tcBorders>
              <w:top w:val="single" w:color="auto" w:sz="4" w:space="0"/>
              <w:left w:val="single" w:color="auto" w:sz="4" w:space="0"/>
              <w:bottom w:val="single" w:color="auto" w:sz="4" w:space="0"/>
            </w:tcBorders>
            <w:noWrap w:val="0"/>
            <w:vAlign w:val="center"/>
          </w:tcPr>
          <w:p w14:paraId="2B021262">
            <w:pPr>
              <w:tabs>
                <w:tab w:val="left" w:pos="252"/>
                <w:tab w:val="left" w:pos="671"/>
              </w:tabs>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lang w:eastAsia="zh-CN"/>
              </w:rPr>
              <w:t>供应商</w:t>
            </w:r>
            <w:r>
              <w:rPr>
                <w:rFonts w:hint="eastAsia" w:ascii="仿宋" w:hAnsi="仿宋" w:eastAsia="仿宋" w:cs="仿宋"/>
                <w:b/>
                <w:color w:val="auto"/>
                <w:spacing w:val="8"/>
                <w:sz w:val="24"/>
                <w:szCs w:val="24"/>
                <w:highlight w:val="none"/>
              </w:rPr>
              <w:t>资格标准：</w:t>
            </w:r>
          </w:p>
          <w:p w14:paraId="634D2A1A">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1）符合政府采购法第二十二条的规定；</w:t>
            </w:r>
            <w:r>
              <w:rPr>
                <w:rFonts w:hint="eastAsia" w:ascii="仿宋" w:hAnsi="仿宋" w:eastAsia="仿宋" w:cs="宋体"/>
                <w:color w:val="auto"/>
                <w:kern w:val="0"/>
                <w:sz w:val="24"/>
                <w:szCs w:val="24"/>
                <w:highlight w:val="none"/>
              </w:rPr>
              <w:cr/>
            </w: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2）具有独立承担民事责任的能力；</w:t>
            </w:r>
          </w:p>
          <w:p w14:paraId="2B991A78">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3）有依法缴纳税收和社会保障资金的良好记录；</w:t>
            </w:r>
          </w:p>
          <w:p w14:paraId="220867BD">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）具有良好的商业信誉和健全的财务会计制度；</w:t>
            </w:r>
          </w:p>
          <w:p w14:paraId="06E5887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w:t>
            </w:r>
            <w:r>
              <w:rPr>
                <w:rFonts w:ascii="仿宋" w:hAnsi="仿宋" w:eastAsia="仿宋" w:cs="宋体"/>
                <w:color w:val="auto"/>
                <w:kern w:val="0"/>
                <w:sz w:val="24"/>
                <w:szCs w:val="24"/>
                <w:highlight w:val="none"/>
              </w:rPr>
              <w:t>具有履行合同</w:t>
            </w:r>
            <w:r>
              <w:rPr>
                <w:rFonts w:ascii="仿宋" w:hAnsi="仿宋" w:eastAsia="仿宋" w:cs="仿宋"/>
                <w:color w:val="auto"/>
                <w:sz w:val="24"/>
                <w:szCs w:val="24"/>
                <w:highlight w:val="none"/>
              </w:rPr>
              <w:t>所必须的设备和专业技术能力</w:t>
            </w:r>
          </w:p>
          <w:p w14:paraId="74EAD87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参加采购活动前3年内，在经营活动中没有重大违法记录；</w:t>
            </w:r>
          </w:p>
          <w:p w14:paraId="21843503">
            <w:pPr>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w:t>
            </w:r>
            <w:r>
              <w:rPr>
                <w:rFonts w:ascii="仿宋" w:hAnsi="仿宋" w:eastAsia="仿宋" w:cs="宋体"/>
                <w:color w:val="auto"/>
                <w:kern w:val="0"/>
                <w:sz w:val="24"/>
                <w:szCs w:val="24"/>
                <w:highlight w:val="none"/>
              </w:rPr>
              <w:t>关失信记录已失效，</w:t>
            </w:r>
            <w:r>
              <w:rPr>
                <w:rFonts w:hint="eastAsia" w:ascii="仿宋" w:hAnsi="仿宋" w:eastAsia="仿宋" w:cs="宋体"/>
                <w:color w:val="auto"/>
                <w:kern w:val="0"/>
                <w:sz w:val="24"/>
                <w:szCs w:val="24"/>
                <w:highlight w:val="none"/>
                <w:lang w:eastAsia="zh-CN"/>
              </w:rPr>
              <w:t>供应商</w:t>
            </w:r>
            <w:r>
              <w:rPr>
                <w:rFonts w:ascii="仿宋" w:hAnsi="仿宋" w:eastAsia="仿宋" w:cs="宋体"/>
                <w:color w:val="auto"/>
                <w:kern w:val="0"/>
                <w:sz w:val="24"/>
                <w:szCs w:val="24"/>
                <w:highlight w:val="none"/>
              </w:rPr>
              <w:t>需提供相关证明资料，如在上述网站查询结果均显示没有相关记录，视为没有上述不良信用记录；</w:t>
            </w:r>
          </w:p>
          <w:p w14:paraId="1DF1127B">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8</w:t>
            </w:r>
            <w:r>
              <w:rPr>
                <w:rFonts w:hint="eastAsia" w:ascii="仿宋" w:hAnsi="仿宋" w:eastAsia="仿宋" w:cs="宋体"/>
                <w:color w:val="auto"/>
                <w:kern w:val="0"/>
                <w:sz w:val="24"/>
                <w:szCs w:val="24"/>
                <w:highlight w:val="none"/>
              </w:rPr>
              <w:t>）单位负责人为同一人或者存在直接控股、管理关系的不同</w:t>
            </w:r>
            <w:r>
              <w:rPr>
                <w:rFonts w:hint="eastAsia" w:ascii="仿宋" w:hAnsi="仿宋" w:eastAsia="仿宋" w:cs="宋体"/>
                <w:color w:val="auto"/>
                <w:kern w:val="0"/>
                <w:sz w:val="24"/>
                <w:szCs w:val="24"/>
                <w:highlight w:val="none"/>
                <w:lang w:eastAsia="zh-CN"/>
              </w:rPr>
              <w:t>供应商</w:t>
            </w:r>
            <w:r>
              <w:rPr>
                <w:rFonts w:hint="eastAsia" w:ascii="仿宋" w:hAnsi="仿宋" w:eastAsia="仿宋" w:cs="宋体"/>
                <w:color w:val="auto"/>
                <w:kern w:val="0"/>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2380E35C">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9</w:t>
            </w:r>
            <w:r>
              <w:rPr>
                <w:rFonts w:hint="eastAsia" w:ascii="仿宋" w:hAnsi="仿宋" w:eastAsia="仿宋" w:cs="宋体"/>
                <w:color w:val="auto"/>
                <w:kern w:val="0"/>
                <w:sz w:val="24"/>
                <w:szCs w:val="24"/>
                <w:highlight w:val="none"/>
              </w:rPr>
              <w:t>）本项目不接受联合体</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71D2C5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0</w:t>
            </w:r>
            <w:r>
              <w:rPr>
                <w:rFonts w:hint="eastAsia" w:ascii="仿宋" w:hAnsi="仿宋" w:eastAsia="仿宋" w:cs="宋体"/>
                <w:color w:val="auto"/>
                <w:kern w:val="0"/>
                <w:sz w:val="24"/>
                <w:szCs w:val="24"/>
                <w:highlight w:val="none"/>
              </w:rPr>
              <w:t>）本项目</w:t>
            </w:r>
            <w:r>
              <w:rPr>
                <w:rFonts w:hint="eastAsia" w:ascii="仿宋" w:hAnsi="仿宋" w:eastAsia="仿宋" w:cs="宋体"/>
                <w:color w:val="auto"/>
                <w:kern w:val="0"/>
                <w:sz w:val="24"/>
                <w:szCs w:val="24"/>
                <w:highlight w:val="none"/>
                <w:u w:val="single"/>
              </w:rPr>
              <w:t>专门</w:t>
            </w:r>
            <w:r>
              <w:rPr>
                <w:rFonts w:hint="eastAsia" w:ascii="仿宋" w:hAnsi="仿宋" w:eastAsia="仿宋" w:cs="宋体"/>
                <w:color w:val="auto"/>
                <w:kern w:val="0"/>
                <w:sz w:val="24"/>
                <w:szCs w:val="24"/>
                <w:highlight w:val="none"/>
              </w:rPr>
              <w:t>面向小微企业采购项目（包含小型</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微型</w:t>
            </w:r>
            <w:r>
              <w:rPr>
                <w:rFonts w:hint="eastAsia" w:ascii="仿宋" w:hAnsi="仿宋" w:eastAsia="仿宋" w:cs="宋体"/>
                <w:color w:val="auto"/>
                <w:kern w:val="0"/>
                <w:sz w:val="24"/>
                <w:szCs w:val="24"/>
                <w:highlight w:val="none"/>
              </w:rPr>
              <w:t>企业）。</w:t>
            </w:r>
          </w:p>
        </w:tc>
      </w:tr>
      <w:tr w14:paraId="72DF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3D354F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276" w:type="dxa"/>
            <w:tcBorders>
              <w:top w:val="single" w:color="auto" w:sz="4" w:space="0"/>
              <w:left w:val="single" w:color="auto" w:sz="4" w:space="0"/>
              <w:bottom w:val="single" w:color="auto" w:sz="4" w:space="0"/>
            </w:tcBorders>
            <w:noWrap w:val="0"/>
            <w:vAlign w:val="center"/>
          </w:tcPr>
          <w:p w14:paraId="2C2099DC">
            <w:pP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4876F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4" w:type="dxa"/>
            <w:tcBorders>
              <w:top w:val="single" w:color="auto" w:sz="4" w:space="0"/>
              <w:bottom w:val="single" w:color="auto" w:sz="4" w:space="0"/>
              <w:right w:val="single" w:color="auto" w:sz="4" w:space="0"/>
            </w:tcBorders>
            <w:noWrap w:val="0"/>
            <w:vAlign w:val="center"/>
          </w:tcPr>
          <w:p w14:paraId="77077C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276" w:type="dxa"/>
            <w:tcBorders>
              <w:top w:val="single" w:color="auto" w:sz="4" w:space="0"/>
              <w:left w:val="single" w:color="auto" w:sz="4" w:space="0"/>
              <w:bottom w:val="single" w:color="auto" w:sz="4" w:space="0"/>
            </w:tcBorders>
            <w:noWrap w:val="0"/>
            <w:vAlign w:val="center"/>
          </w:tcPr>
          <w:p w14:paraId="4C8505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（包含：资格证明文件、商务及技术文件两部分）</w:t>
            </w:r>
          </w:p>
        </w:tc>
      </w:tr>
      <w:tr w14:paraId="7F13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619670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276" w:type="dxa"/>
            <w:tcBorders>
              <w:top w:val="single" w:color="auto" w:sz="4" w:space="0"/>
              <w:left w:val="single" w:color="auto" w:sz="4" w:space="0"/>
              <w:bottom w:val="single" w:color="auto" w:sz="4" w:space="0"/>
            </w:tcBorders>
            <w:noWrap w:val="0"/>
            <w:vAlign w:val="center"/>
          </w:tcPr>
          <w:p w14:paraId="78506E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加密</w:t>
            </w:r>
            <w:r>
              <w:rPr>
                <w:rFonts w:hint="eastAsia" w:ascii="仿宋" w:hAnsi="仿宋" w:eastAsia="仿宋" w:cs="仿宋"/>
                <w:color w:val="auto"/>
                <w:sz w:val="24"/>
                <w:szCs w:val="24"/>
                <w:highlight w:val="none"/>
              </w:rPr>
              <w:t>形式递交至：新疆政府采购网政采云平台（www.zcygov.cn）</w:t>
            </w:r>
          </w:p>
          <w:p w14:paraId="243F54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：00（北京时间）</w:t>
            </w:r>
          </w:p>
        </w:tc>
      </w:tr>
      <w:tr w14:paraId="4654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0A67D9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276" w:type="dxa"/>
            <w:tcBorders>
              <w:top w:val="single" w:color="auto" w:sz="4" w:space="0"/>
              <w:left w:val="single" w:color="auto" w:sz="4" w:space="0"/>
              <w:bottom w:val="single" w:color="auto" w:sz="4" w:space="0"/>
            </w:tcBorders>
            <w:noWrap w:val="0"/>
            <w:vAlign w:val="center"/>
          </w:tcPr>
          <w:p w14:paraId="6934D3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答疑形式：以电子版的形式发送至新疆恒达壹品项目管理咨询有限公司邮箱，邮箱：</w:t>
            </w:r>
            <w:r>
              <w:rPr>
                <w:rFonts w:hint="eastAsia" w:ascii="仿宋" w:hAnsi="仿宋" w:eastAsia="仿宋" w:cs="仿宋"/>
                <w:color w:val="auto"/>
                <w:sz w:val="24"/>
                <w:szCs w:val="24"/>
                <w:highlight w:val="none"/>
                <w:lang w:val="en-US" w:eastAsia="zh-CN"/>
              </w:rPr>
              <w:t>232179291</w:t>
            </w:r>
            <w:r>
              <w:rPr>
                <w:rFonts w:hint="eastAsia" w:ascii="仿宋" w:hAnsi="仿宋" w:eastAsia="仿宋" w:cs="仿宋"/>
                <w:color w:val="auto"/>
                <w:sz w:val="24"/>
                <w:szCs w:val="24"/>
                <w:highlight w:val="none"/>
              </w:rPr>
              <w:t>@qq.com；</w:t>
            </w:r>
          </w:p>
        </w:tc>
      </w:tr>
      <w:tr w14:paraId="0A0D3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D84A6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276" w:type="dxa"/>
            <w:tcBorders>
              <w:top w:val="single" w:color="auto" w:sz="4" w:space="0"/>
              <w:left w:val="single" w:color="auto" w:sz="4" w:space="0"/>
              <w:bottom w:val="single" w:color="auto" w:sz="4" w:space="0"/>
            </w:tcBorders>
            <w:noWrap w:val="0"/>
            <w:vAlign w:val="center"/>
          </w:tcPr>
          <w:p w14:paraId="1F989D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日期：2025年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：00（北京时间）</w:t>
            </w:r>
          </w:p>
          <w:p w14:paraId="162237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地点：新疆政府采购网政采云平台（www.zcygov.cn）</w:t>
            </w:r>
          </w:p>
        </w:tc>
      </w:tr>
      <w:tr w14:paraId="408C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4" w:type="dxa"/>
            <w:tcBorders>
              <w:top w:val="single" w:color="auto" w:sz="4" w:space="0"/>
              <w:bottom w:val="single" w:color="auto" w:sz="4" w:space="0"/>
              <w:right w:val="single" w:color="auto" w:sz="4" w:space="0"/>
            </w:tcBorders>
            <w:noWrap w:val="0"/>
            <w:vAlign w:val="center"/>
          </w:tcPr>
          <w:p w14:paraId="621D2D9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9276" w:type="dxa"/>
            <w:tcBorders>
              <w:top w:val="single" w:color="auto" w:sz="4" w:space="0"/>
              <w:left w:val="single" w:color="auto" w:sz="4" w:space="0"/>
              <w:bottom w:val="single" w:color="auto" w:sz="4" w:space="0"/>
            </w:tcBorders>
            <w:noWrap w:val="0"/>
            <w:vAlign w:val="center"/>
          </w:tcPr>
          <w:p w14:paraId="2B3FC86E">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（1）本项目为专门面向小</w:t>
            </w:r>
            <w:r>
              <w:rPr>
                <w:rFonts w:hint="eastAsia" w:ascii="仿宋" w:hAnsi="仿宋" w:eastAsia="仿宋" w:cs="仿宋"/>
                <w:color w:val="auto"/>
                <w:sz w:val="24"/>
                <w:szCs w:val="24"/>
                <w:highlight w:val="none"/>
                <w:lang w:val="en-US" w:eastAsia="zh-CN"/>
              </w:rPr>
              <w:t>微</w:t>
            </w:r>
            <w:r>
              <w:rPr>
                <w:rFonts w:hint="eastAsia" w:ascii="仿宋" w:hAnsi="仿宋" w:eastAsia="仿宋" w:cs="仿宋"/>
                <w:color w:val="auto"/>
                <w:sz w:val="24"/>
                <w:szCs w:val="24"/>
                <w:highlight w:val="none"/>
              </w:rPr>
              <w:t>企业（含小型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微型</w:t>
            </w:r>
            <w:r>
              <w:rPr>
                <w:rFonts w:hint="eastAsia" w:ascii="仿宋" w:hAnsi="仿宋" w:eastAsia="仿宋" w:cs="仿宋"/>
                <w:color w:val="auto"/>
                <w:sz w:val="24"/>
                <w:szCs w:val="24"/>
                <w:highlight w:val="none"/>
              </w:rPr>
              <w:t>企业）采购项目，根据《政府采购促进中小企业发展管理办法》（财库[2020]46号）的规定，评标时将不再执行价格评审优惠的扶持政策。</w:t>
            </w:r>
          </w:p>
          <w:p w14:paraId="7994F12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小企业划分标准依据《批发和零售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宋体"/>
                <w:b/>
                <w:bCs/>
                <w:color w:val="auto"/>
                <w:sz w:val="24"/>
                <w:szCs w:val="24"/>
                <w:highlight w:val="none"/>
              </w:rPr>
              <w:t>工业-制造业</w:t>
            </w:r>
            <w:r>
              <w:rPr>
                <w:rFonts w:hint="eastAsia" w:ascii="仿宋" w:hAnsi="仿宋" w:eastAsia="仿宋" w:cs="仿宋"/>
                <w:color w:val="auto"/>
                <w:kern w:val="0"/>
                <w:sz w:val="24"/>
                <w:szCs w:val="24"/>
                <w:highlight w:val="none"/>
              </w:rPr>
              <w:t>。</w:t>
            </w:r>
          </w:p>
          <w:p w14:paraId="5438C5A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）在政府采购活动中，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提供的货物、工程扶持政策：</w:t>
            </w:r>
          </w:p>
          <w:p w14:paraId="0B376D0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（一）在货物采购项目中，货物由中小企业制造，即货物由中小企业生产且使用该中小企业商号或者注册商标；</w:t>
            </w:r>
          </w:p>
          <w:p w14:paraId="20901BE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（二）在工程采购项目中，工程由中小企业承建，即工程施工单位为中小企业；</w:t>
            </w:r>
          </w:p>
          <w:p w14:paraId="7823D70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（三）在服务采购项目中，服务由中小企业承接，即提供服务的人员为中小企业依照《中华人民共和国劳动合同法》订立劳动合同的从业人员。</w:t>
            </w:r>
          </w:p>
          <w:p w14:paraId="6913376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提供的货物既有中小企业制造货物，也有大型企业制造货物的，不享受本办法规定的中小企业扶持政策。</w:t>
            </w:r>
          </w:p>
          <w:p w14:paraId="7198F6C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CD5195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4.投标企业参加政府采购活动，应当如实填写《中小企业声明函》，否则不得享受相关中小企业扶持政策。</w:t>
            </w:r>
          </w:p>
        </w:tc>
      </w:tr>
      <w:tr w14:paraId="511A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64" w:type="dxa"/>
            <w:tcBorders>
              <w:top w:val="single" w:color="auto" w:sz="4" w:space="0"/>
              <w:bottom w:val="single" w:color="auto" w:sz="4" w:space="0"/>
              <w:right w:val="single" w:color="auto" w:sz="4" w:space="0"/>
            </w:tcBorders>
            <w:noWrap w:val="0"/>
            <w:vAlign w:val="center"/>
          </w:tcPr>
          <w:p w14:paraId="4C901751">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9276" w:type="dxa"/>
            <w:tcBorders>
              <w:top w:val="single" w:color="auto" w:sz="4" w:space="0"/>
              <w:left w:val="single" w:color="auto" w:sz="4" w:space="0"/>
              <w:bottom w:val="single" w:color="auto" w:sz="4" w:space="0"/>
            </w:tcBorders>
            <w:noWrap w:val="0"/>
            <w:vAlign w:val="center"/>
          </w:tcPr>
          <w:p w14:paraId="3EB63E5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1、代理服务费：</w:t>
            </w:r>
          </w:p>
          <w:p w14:paraId="219BE5D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（1）本项目招标代理服务费依据《招标代理服务收费管理暂行办法》计价格[2002]1980号文件（发改办价格[2003]857号文件）及财库[2018]2号文件计算的招标代理服务费由中标人向招标代理支付。</w:t>
            </w:r>
          </w:p>
          <w:p w14:paraId="52CD680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）中标人不再支付其他任何费用和款项。</w:t>
            </w:r>
          </w:p>
          <w:p w14:paraId="07C6015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2、付款方式</w:t>
            </w:r>
          </w:p>
          <w:p w14:paraId="58D6541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国家发改委《关于招标代理服务费有关问题的通知》（发改办[2003]857号文件）第二条，将计价格[2002]1980号第十条中“招标代理服务实行谁委托谁付费”，修改为“招标代理服务费就由采购人支付”，采购人、招标代理机构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另有约定的，根据财库[2018]2号文件从其约定的要求，经各方一致同意，招标代理服务费由中标人向招标代理支付，采购人不承担付款义务。</w:t>
            </w:r>
          </w:p>
          <w:p w14:paraId="18843CE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（2）中标人于中标公示发布后7个工作日内一次性向招标代理公司支付代理服务费。</w:t>
            </w:r>
          </w:p>
          <w:p w14:paraId="42484FA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3、责任认定</w:t>
            </w:r>
          </w:p>
          <w:p w14:paraId="7DA5E94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708C6D4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tc>
      </w:tr>
      <w:tr w14:paraId="7DBC1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764" w:type="dxa"/>
            <w:tcBorders>
              <w:top w:val="single" w:color="auto" w:sz="4" w:space="0"/>
              <w:bottom w:val="single" w:color="auto" w:sz="4" w:space="0"/>
              <w:right w:val="single" w:color="auto" w:sz="4" w:space="0"/>
            </w:tcBorders>
            <w:noWrap w:val="0"/>
            <w:vAlign w:val="center"/>
          </w:tcPr>
          <w:p w14:paraId="11248C2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9276" w:type="dxa"/>
            <w:tcBorders>
              <w:top w:val="single" w:color="auto" w:sz="4" w:space="0"/>
              <w:left w:val="single" w:color="auto" w:sz="4" w:space="0"/>
              <w:bottom w:val="single" w:color="auto" w:sz="4" w:space="0"/>
            </w:tcBorders>
            <w:noWrap w:val="0"/>
            <w:vAlign w:val="center"/>
          </w:tcPr>
          <w:p w14:paraId="49B421E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的上传和递交</w:t>
            </w:r>
          </w:p>
          <w:p w14:paraId="4A8CF71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（1）电子加密</w:t>
            </w:r>
            <w:r>
              <w:rPr>
                <w:rFonts w:hint="eastAsia" w:ascii="仿宋" w:hAnsi="仿宋" w:eastAsia="仿宋" w:cs="仿宋"/>
                <w:color w:val="auto"/>
                <w:kern w:val="0"/>
                <w:sz w:val="24"/>
                <w:szCs w:val="24"/>
                <w:highlight w:val="none"/>
                <w:lang w:eastAsia="zh-CN"/>
              </w:rPr>
              <w:t>响应文件</w:t>
            </w:r>
          </w:p>
          <w:p w14:paraId="47D0730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制作完成并生成加密标书，在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递交截止时间前，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上传至政采云平台。</w:t>
            </w:r>
          </w:p>
          <w:p w14:paraId="73E5A03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未能在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51932CC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后，可自行打印</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接收回执。</w:t>
            </w:r>
          </w:p>
          <w:p w14:paraId="609ADBC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（2）备份</w:t>
            </w:r>
            <w:r>
              <w:rPr>
                <w:rFonts w:hint="eastAsia" w:ascii="仿宋" w:hAnsi="仿宋" w:eastAsia="仿宋" w:cs="仿宋"/>
                <w:color w:val="auto"/>
                <w:kern w:val="0"/>
                <w:sz w:val="24"/>
                <w:szCs w:val="24"/>
                <w:highlight w:val="none"/>
                <w:lang w:eastAsia="zh-CN"/>
              </w:rPr>
              <w:t>响应文件</w:t>
            </w:r>
          </w:p>
          <w:p w14:paraId="0E66201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上传至政府采购云平台，还可以在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截止时间前以电子邮件方式提供备份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1份（接收人邮箱：</w:t>
            </w:r>
            <w:r>
              <w:rPr>
                <w:rFonts w:hint="eastAsia" w:ascii="仿宋" w:hAnsi="仿宋" w:eastAsia="仿宋" w:cs="仿宋"/>
                <w:color w:val="auto"/>
                <w:kern w:val="0"/>
                <w:sz w:val="24"/>
                <w:szCs w:val="24"/>
                <w:highlight w:val="none"/>
                <w:lang w:val="en-US" w:eastAsia="zh-CN"/>
              </w:rPr>
              <w:t>232179291</w:t>
            </w:r>
            <w:r>
              <w:rPr>
                <w:rFonts w:hint="eastAsia" w:ascii="仿宋" w:hAnsi="仿宋" w:eastAsia="仿宋" w:cs="仿宋"/>
                <w:color w:val="auto"/>
                <w:kern w:val="0"/>
                <w:sz w:val="24"/>
                <w:szCs w:val="24"/>
                <w:highlight w:val="none"/>
              </w:rPr>
              <w:t>@qq.com，接收人：</w:t>
            </w:r>
            <w:r>
              <w:rPr>
                <w:rFonts w:hint="eastAsia" w:ascii="仿宋" w:hAnsi="仿宋" w:eastAsia="仿宋" w:cs="仿宋"/>
                <w:color w:val="auto"/>
                <w:kern w:val="0"/>
                <w:sz w:val="24"/>
                <w:szCs w:val="24"/>
                <w:highlight w:val="none"/>
                <w:lang w:val="en-US" w:eastAsia="zh-CN"/>
              </w:rPr>
              <w:t>杨勇</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lang w:val="en-US" w:eastAsia="zh-CN"/>
              </w:rPr>
              <w:t>13325632966</w:t>
            </w:r>
            <w:r>
              <w:rPr>
                <w:rFonts w:hint="eastAsia" w:ascii="仿宋" w:hAnsi="仿宋" w:eastAsia="仿宋" w:cs="仿宋"/>
                <w:color w:val="auto"/>
                <w:kern w:val="0"/>
                <w:sz w:val="24"/>
                <w:szCs w:val="24"/>
                <w:highlight w:val="none"/>
              </w:rPr>
              <w:t>），“备份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自愿提供，采购文件不作强制性要求；</w:t>
            </w:r>
          </w:p>
          <w:p w14:paraId="77D374C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提供要求：</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可以将备份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打包压缩并加密，压缩包命名为“XX单位备份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”，加密密码由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自行保管；送达时间以采购代理机构实际接收时间为准，建议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提前1日办理邮件提供事宜。</w:t>
            </w:r>
          </w:p>
        </w:tc>
      </w:tr>
      <w:tr w14:paraId="592A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764" w:type="dxa"/>
            <w:tcBorders>
              <w:top w:val="single" w:color="auto" w:sz="4" w:space="0"/>
              <w:bottom w:val="single" w:color="auto" w:sz="4" w:space="0"/>
              <w:right w:val="single" w:color="auto" w:sz="4" w:space="0"/>
            </w:tcBorders>
            <w:noWrap w:val="0"/>
            <w:vAlign w:val="center"/>
          </w:tcPr>
          <w:p w14:paraId="5F816F49">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9276" w:type="dxa"/>
            <w:tcBorders>
              <w:top w:val="single" w:color="auto" w:sz="4" w:space="0"/>
              <w:left w:val="single" w:color="auto" w:sz="4" w:space="0"/>
              <w:bottom w:val="single" w:color="auto" w:sz="4" w:space="0"/>
            </w:tcBorders>
            <w:noWrap w:val="0"/>
            <w:vAlign w:val="center"/>
          </w:tcPr>
          <w:p w14:paraId="2EA369D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的解密</w:t>
            </w:r>
          </w:p>
          <w:p w14:paraId="36D62964">
            <w:pPr>
              <w:widowControl/>
              <w:spacing w:line="360" w:lineRule="exact"/>
              <w:jc w:val="left"/>
              <w:rPr>
                <w:rFonts w:hint="eastAsia" w:ascii="仿宋" w:hAnsi="仿宋" w:eastAsia="仿宋" w:cs="仿宋"/>
                <w:color w:val="auto"/>
                <w:kern w:val="0"/>
                <w:sz w:val="24"/>
                <w:szCs w:val="24"/>
                <w:highlight w:val="none"/>
              </w:rPr>
            </w:pPr>
            <w:bookmarkStart w:id="6" w:name="OLE_LINK3"/>
            <w:bookmarkStart w:id="7" w:name="OLE_LINK4"/>
            <w:r>
              <w:rPr>
                <w:rFonts w:hint="eastAsia" w:ascii="仿宋" w:hAnsi="仿宋" w:eastAsia="仿宋" w:cs="仿宋"/>
                <w:color w:val="auto"/>
                <w:kern w:val="0"/>
                <w:sz w:val="24"/>
                <w:szCs w:val="24"/>
                <w:highlight w:val="none"/>
              </w:rPr>
              <w:t>（1）</w:t>
            </w:r>
            <w:bookmarkEnd w:id="6"/>
            <w:bookmarkEnd w:id="7"/>
            <w:r>
              <w:rPr>
                <w:rFonts w:hint="eastAsia" w:ascii="仿宋" w:hAnsi="仿宋" w:eastAsia="仿宋" w:cs="仿宋"/>
                <w:color w:val="auto"/>
                <w:kern w:val="0"/>
                <w:sz w:val="24"/>
                <w:szCs w:val="24"/>
                <w:highlight w:val="none"/>
              </w:rPr>
              <w:t>不见面开标默认解密及签到时长：本项目解密时长为：30分钟，签名时长为：10分钟，</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应在解密指令发出后采购（答疑）文件规定时间内完成解密。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未按规定完成解密，视为放弃</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。解密与加密响应文件须为同一个CA。</w:t>
            </w:r>
          </w:p>
          <w:p w14:paraId="394781C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）通过“政府采购云平台”上传递交的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，因“政府采购云平台”系统问题无法按时解密，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的，方可以备份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为依据进行评审，其他因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原因导致无法解密的，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无效。</w:t>
            </w:r>
          </w:p>
          <w:p w14:paraId="5D7E946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）通过“政府采购云平台”成功上传递交的“电子加密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”已按时解密的，“备份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”自动失效。</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”而未将“电子加密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”成功上传至“政府采购云平台”的，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tc>
      </w:tr>
      <w:tr w14:paraId="31B6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2EFC316">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9276" w:type="dxa"/>
            <w:tcBorders>
              <w:top w:val="single" w:color="auto" w:sz="4" w:space="0"/>
              <w:left w:val="single" w:color="auto" w:sz="4" w:space="0"/>
              <w:bottom w:val="single" w:color="auto" w:sz="4" w:space="0"/>
            </w:tcBorders>
            <w:noWrap w:val="0"/>
            <w:vAlign w:val="center"/>
          </w:tcPr>
          <w:p w14:paraId="6039A3D6">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注意事项</w:t>
            </w:r>
          </w:p>
          <w:p w14:paraId="639E9D9A">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（1）本项目为电子</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需要使用CA加密设备，凡参加本项目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可自主通过新疆CA申领渠道“新疆政务通”申请政采云平台可使用的CA设备。如有操作性问题可与政采云在线客服进行咨询，咨询电话：95763。</w:t>
            </w:r>
          </w:p>
          <w:p w14:paraId="732056CA">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）本项目实行网上</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，采用电子</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参与</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一</w:t>
            </w:r>
          </w:p>
          <w:p w14:paraId="06AF025F">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切费用。</w:t>
            </w:r>
          </w:p>
          <w:p w14:paraId="548F40BE">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应在开标前应确保成为新疆政府采购网正式注册入库</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，并完成CA</w:t>
            </w:r>
          </w:p>
          <w:p w14:paraId="0C9FFACE">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数字证书申领。因未注册入库、未办理CA数字证书等原因造成无法</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失败</w:t>
            </w:r>
          </w:p>
          <w:p w14:paraId="7BB3AC81">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等后果由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w:t>
            </w:r>
          </w:p>
          <w:p w14:paraId="489E980F">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将政采云电子交易客户端下载、安装完成后，可通过账号密码或CA登录客户端进行</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制作。在使用政采云投标客户端时，建议使用WIN7及以上操作系</w:t>
            </w:r>
          </w:p>
          <w:p w14:paraId="1E1AE585">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统。客户端请至新疆政府采购网（www.ccgp-xinjiang.gov.cn）下载专区查看，如有</w:t>
            </w:r>
          </w:p>
          <w:p w14:paraId="53C4F3B8">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问题可拨打政采云客户服务热线95763进行咨询。</w:t>
            </w:r>
          </w:p>
          <w:p w14:paraId="20D8577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对不见面开评标系统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”版面获取操作指南，同时对自助查询无法解决的问题可通过钉钉群及政采云在线客服获取服务支持。</w:t>
            </w:r>
          </w:p>
        </w:tc>
      </w:tr>
      <w:tr w14:paraId="1DF19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24C3C307">
            <w:pPr>
              <w:widowControl/>
              <w:spacing w:line="3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9276" w:type="dxa"/>
            <w:tcBorders>
              <w:top w:val="single" w:color="auto" w:sz="4" w:space="0"/>
              <w:left w:val="single" w:color="auto" w:sz="4" w:space="0"/>
              <w:bottom w:val="single" w:color="auto" w:sz="4" w:space="0"/>
            </w:tcBorders>
            <w:noWrap w:val="0"/>
            <w:vAlign w:val="center"/>
          </w:tcPr>
          <w:p w14:paraId="31D4B14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FFF667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tc>
      </w:tr>
      <w:tr w14:paraId="43C1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7247D958">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p>
        </w:tc>
        <w:tc>
          <w:tcPr>
            <w:tcW w:w="9276" w:type="dxa"/>
            <w:tcBorders>
              <w:top w:val="single" w:color="auto" w:sz="4" w:space="0"/>
              <w:left w:val="single" w:color="auto" w:sz="4" w:space="0"/>
              <w:bottom w:val="single" w:color="auto" w:sz="4" w:space="0"/>
            </w:tcBorders>
            <w:noWrap w:val="0"/>
            <w:vAlign w:val="center"/>
          </w:tcPr>
          <w:p w14:paraId="5C537BEA">
            <w:pPr>
              <w:widowControl/>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说明：</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在法定质疑期内一次性提出针对同一采购项目程序环节的质疑，本项目不接受供应商多次/反复质疑。</w:t>
            </w:r>
          </w:p>
        </w:tc>
      </w:tr>
    </w:tbl>
    <w:p w14:paraId="36CFCB6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0"/>
          <w:szCs w:val="30"/>
          <w:highlight w:val="none"/>
        </w:rPr>
        <w:t>第一章供应商须知</w:t>
      </w:r>
    </w:p>
    <w:p w14:paraId="5E93032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w:t>
      </w:r>
      <w:r>
        <w:rPr>
          <w:rFonts w:hint="eastAsia" w:ascii="仿宋" w:hAnsi="仿宋" w:eastAsia="仿宋" w:cs="仿宋"/>
          <w:b/>
          <w:color w:val="auto"/>
          <w:sz w:val="24"/>
          <w:szCs w:val="24"/>
          <w:highlight w:val="none"/>
        </w:rPr>
        <w:t>适用范围</w:t>
      </w:r>
    </w:p>
    <w:p w14:paraId="627331D5">
      <w:pPr>
        <w:pageBreakBefore w:val="0"/>
        <w:widowControl w:val="0"/>
        <w:kinsoku/>
        <w:wordWrap/>
        <w:overflowPunct/>
        <w:topLinePunct w:val="0"/>
        <w:bidi w:val="0"/>
        <w:adjustRightInd/>
        <w:snapToGrid/>
        <w:spacing w:line="360" w:lineRule="auto"/>
        <w:ind w:firstLine="48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本询价文件仅适用于本次询价活动。</w:t>
      </w:r>
    </w:p>
    <w:p w14:paraId="4EE9270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资格</w:t>
      </w:r>
    </w:p>
    <w:p w14:paraId="48604085">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（1）符合政府采购法第二十二条的规定；</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（2）具有独立承担民事责任的能力；</w:t>
      </w:r>
    </w:p>
    <w:p w14:paraId="5446D54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（3）有依法缴纳税收和社会保障资金的良好记录；</w:t>
      </w:r>
    </w:p>
    <w:p w14:paraId="7A085B2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）具有良好的商业信誉和健全的财务会计制度；</w:t>
      </w:r>
    </w:p>
    <w:p w14:paraId="7A0B373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）具有履行合同所必须的设备和专业技术能力</w:t>
      </w:r>
    </w:p>
    <w:p w14:paraId="17CEFB2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）参加采购活动前3年内，在经营活动中没有重大违法记录；</w:t>
      </w:r>
    </w:p>
    <w:p w14:paraId="5A60AAD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需提供相关证明资料，如在上述网站查询结果均显示没有相关记录，视为没有上述不良信用记录；</w:t>
      </w:r>
    </w:p>
    <w:p w14:paraId="19C6849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62ED1CF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96E26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）本项目专门面向小微企业采购项目（包含小型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微型</w:t>
      </w:r>
      <w:r>
        <w:rPr>
          <w:rFonts w:hint="eastAsia" w:ascii="仿宋" w:hAnsi="仿宋" w:eastAsia="仿宋" w:cs="仿宋"/>
          <w:color w:val="auto"/>
          <w:sz w:val="24"/>
          <w:szCs w:val="24"/>
          <w:highlight w:val="none"/>
        </w:rPr>
        <w:t>企业）。</w:t>
      </w:r>
    </w:p>
    <w:p w14:paraId="66A38212">
      <w:pPr>
        <w:pageBreakBefore w:val="0"/>
        <w:widowControl w:val="0"/>
        <w:numPr>
          <w:ilvl w:val="0"/>
          <w:numId w:val="0"/>
        </w:numPr>
        <w:kinsoku/>
        <w:wordWrap/>
        <w:overflowPunct/>
        <w:topLinePunct w:val="0"/>
        <w:bidi w:val="0"/>
        <w:adjustRightInd/>
        <w:snapToGrid/>
        <w:spacing w:line="360" w:lineRule="auto"/>
        <w:ind w:left="425" w:leftChars="0" w:hanging="425" w:firstLineChars="0"/>
        <w:jc w:val="left"/>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3.</w:t>
      </w:r>
      <w:r>
        <w:rPr>
          <w:rFonts w:hint="eastAsia" w:ascii="仿宋" w:hAnsi="仿宋" w:eastAsia="仿宋" w:cs="仿宋"/>
          <w:b/>
          <w:color w:val="auto"/>
          <w:sz w:val="24"/>
          <w:szCs w:val="24"/>
          <w:highlight w:val="none"/>
        </w:rPr>
        <w:t>定义</w:t>
      </w:r>
    </w:p>
    <w:p w14:paraId="50971EE8">
      <w:pPr>
        <w:pageBreakBefore w:val="0"/>
        <w:widowControl w:val="0"/>
        <w:kinsoku/>
        <w:wordWrap/>
        <w:overflowPunct/>
        <w:topLinePunct w:val="0"/>
        <w:bidi w:val="0"/>
        <w:adjustRightInd/>
        <w:snapToGrid/>
        <w:spacing w:line="360" w:lineRule="auto"/>
        <w:ind w:firstLine="480" w:firstLineChars="20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下列术语和缩写的定义为：</w:t>
      </w:r>
    </w:p>
    <w:p w14:paraId="75E5E5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下述术语和缩写的定义为：</w:t>
      </w:r>
    </w:p>
    <w:p w14:paraId="65338BD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3.1“采购人”</w:t>
      </w:r>
      <w:r>
        <w:rPr>
          <w:rFonts w:hint="eastAsia" w:ascii="仿宋" w:hAnsi="仿宋" w:eastAsia="仿宋" w:cs="仿宋"/>
          <w:b w:val="0"/>
          <w:bCs w:val="0"/>
          <w:color w:val="auto"/>
          <w:sz w:val="24"/>
          <w:szCs w:val="24"/>
          <w:highlight w:val="none"/>
        </w:rPr>
        <w:t>系</w:t>
      </w:r>
      <w:r>
        <w:rPr>
          <w:rFonts w:hint="eastAsia" w:ascii="仿宋" w:hAnsi="仿宋" w:eastAsia="仿宋" w:cs="仿宋"/>
          <w:b w:val="0"/>
          <w:bCs w:val="0"/>
          <w:color w:val="auto"/>
          <w:sz w:val="24"/>
          <w:szCs w:val="24"/>
          <w:highlight w:val="none"/>
          <w:lang w:eastAsia="zh-CN"/>
        </w:rPr>
        <w:t>新疆维吾尔自治区民政康复中心</w:t>
      </w:r>
      <w:r>
        <w:rPr>
          <w:rFonts w:hint="eastAsia" w:ascii="仿宋" w:hAnsi="仿宋" w:eastAsia="仿宋" w:cs="仿宋"/>
          <w:b w:val="0"/>
          <w:bCs w:val="0"/>
          <w:color w:val="auto"/>
          <w:sz w:val="24"/>
          <w:szCs w:val="24"/>
          <w:highlight w:val="none"/>
        </w:rPr>
        <w:t>。</w:t>
      </w:r>
    </w:p>
    <w:p w14:paraId="05885A7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3.2“供应商”系指符合</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文件规定并参加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的供应商。</w:t>
      </w:r>
    </w:p>
    <w:p w14:paraId="77E257CC">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3.3“货物”或“仪器、设备、器材、软件”系指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文件规定的，须向采购人提供的一切仪器设备、附件、备品备件、工具、手册及其它有关资料和材料。</w:t>
      </w:r>
    </w:p>
    <w:p w14:paraId="49BCB0F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3.4“服务”系指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文件规定供应商须承担的保修、技术协助、培训及其他类似的责任。</w:t>
      </w:r>
    </w:p>
    <w:p w14:paraId="1F90C33B">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3.5“供应商公章”在响应文件中指与供应商标准公章一致的供应商电子签章。</w:t>
      </w:r>
    </w:p>
    <w:p w14:paraId="0FBDC487">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3.6“电子响应文件”指利用新疆政采云平台提供的“电子响应文件制作工具”编制加密和未加密的响应文件。</w:t>
      </w:r>
    </w:p>
    <w:p w14:paraId="09E593A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4.</w:t>
      </w:r>
      <w:r>
        <w:rPr>
          <w:rFonts w:hint="eastAsia" w:ascii="仿宋" w:hAnsi="仿宋" w:eastAsia="仿宋" w:cs="仿宋"/>
          <w:b/>
          <w:color w:val="auto"/>
          <w:sz w:val="24"/>
          <w:szCs w:val="24"/>
          <w:highlight w:val="none"/>
          <w:lang w:val="en-US" w:eastAsia="zh-CN"/>
        </w:rPr>
        <w:t>询价</w:t>
      </w:r>
      <w:r>
        <w:rPr>
          <w:rFonts w:hint="eastAsia" w:ascii="仿宋" w:hAnsi="仿宋" w:eastAsia="仿宋" w:cs="仿宋"/>
          <w:b/>
          <w:color w:val="auto"/>
          <w:sz w:val="24"/>
          <w:szCs w:val="24"/>
          <w:highlight w:val="none"/>
        </w:rPr>
        <w:t>费用</w:t>
      </w:r>
    </w:p>
    <w:p w14:paraId="7201D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4.1无论</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结果如何，凡参与</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活动有关的所有费用将由供应商自行承担。</w:t>
      </w:r>
    </w:p>
    <w:p w14:paraId="131377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4.2供应商被视为熟悉本招标项目的各种情况以及与履行合同有关的一切情况。</w:t>
      </w:r>
    </w:p>
    <w:p w14:paraId="204711F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第二章询价文件的编写</w:t>
      </w:r>
    </w:p>
    <w:p w14:paraId="0CA6460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5.</w:t>
      </w:r>
      <w:r>
        <w:rPr>
          <w:rFonts w:hint="eastAsia" w:ascii="仿宋" w:hAnsi="仿宋" w:eastAsia="仿宋" w:cs="仿宋"/>
          <w:b/>
          <w:color w:val="auto"/>
          <w:sz w:val="24"/>
          <w:szCs w:val="24"/>
          <w:highlight w:val="none"/>
        </w:rPr>
        <w:t>询价文件的构成</w:t>
      </w:r>
    </w:p>
    <w:p w14:paraId="1F403F5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询价文件由下述部分组成：</w:t>
      </w:r>
    </w:p>
    <w:p w14:paraId="70B5DBF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第一部分询价公告</w:t>
      </w:r>
    </w:p>
    <w:p w14:paraId="058A9A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第二部分供应商须知</w:t>
      </w:r>
    </w:p>
    <w:p w14:paraId="5A9EFBC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第三部分采购需求</w:t>
      </w:r>
      <w:r>
        <w:rPr>
          <w:rFonts w:hint="eastAsia" w:ascii="仿宋" w:hAnsi="仿宋" w:eastAsia="仿宋" w:cs="仿宋"/>
          <w:color w:val="auto"/>
          <w:sz w:val="24"/>
          <w:szCs w:val="24"/>
          <w:highlight w:val="none"/>
        </w:rPr>
        <w:tab/>
      </w:r>
    </w:p>
    <w:p w14:paraId="4B8F769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第四部分合同条款</w:t>
      </w:r>
      <w:r>
        <w:rPr>
          <w:rFonts w:hint="eastAsia" w:ascii="仿宋" w:hAnsi="仿宋" w:eastAsia="仿宋" w:cs="仿宋"/>
          <w:color w:val="auto"/>
          <w:sz w:val="24"/>
          <w:szCs w:val="24"/>
          <w:highlight w:val="none"/>
        </w:rPr>
        <w:tab/>
      </w:r>
    </w:p>
    <w:p w14:paraId="6B5DBD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第五部分响应文件格式</w:t>
      </w:r>
    </w:p>
    <w:p w14:paraId="37B7D6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文件以中文书写。</w:t>
      </w:r>
    </w:p>
    <w:p w14:paraId="38055A96">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5.3供应商被视为熟悉本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项目的各种情况以及与履行合同有关的一切其他情况。</w:t>
      </w:r>
    </w:p>
    <w:p w14:paraId="3D3362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5.4供应商购取</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文件后，应仔细检查</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文件的所有内容，如有残缺应在领到</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文件后1日内向采购人提出，否则，由此引起的</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损失自负；供应商同时应认真审阅</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文件中所有的事项、格式、条款和规范要求等，如果供应商编制的响应文件，没有按照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文件要求提交全部资料或者没有对</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文件做出实质性响应，其风险应由供应商自行承担，并根据有关条款规定，其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有可能被拒绝。</w:t>
      </w:r>
    </w:p>
    <w:p w14:paraId="0D03060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6.</w:t>
      </w:r>
      <w:r>
        <w:rPr>
          <w:rFonts w:hint="eastAsia" w:ascii="仿宋" w:hAnsi="仿宋" w:eastAsia="仿宋" w:cs="仿宋"/>
          <w:b/>
          <w:color w:val="auto"/>
          <w:sz w:val="24"/>
          <w:szCs w:val="24"/>
          <w:highlight w:val="none"/>
        </w:rPr>
        <w:t>询价文件的答疑、澄清及修改</w:t>
      </w:r>
    </w:p>
    <w:p w14:paraId="49F4462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6.1在</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截止期3日前的任何时间提出后，请供应商及时通过交易平台“答疑文件下载”栏目查看答疑文件或澄清文件。必要时，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将组织相关专家召开答疑会，如召开，答疑会安排另行通知。</w:t>
      </w:r>
    </w:p>
    <w:p w14:paraId="524ED92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供应商在规定的时间内未对询价文件提出疑问或要求澄清的，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将视其为同意，对在“答疑接受时间”后就询价文件内容提出的疑问及澄清要求将不予受理。</w:t>
      </w:r>
    </w:p>
    <w:p w14:paraId="1497B4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6.2无论出于何种原因，</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主动或出于解答供应商疑问对已发出的询价文件进行必要澄清或修改的，应当在询价文件要求提交响应文件截止时间3日前，以当面交接、邮寄、传真或电子邮件、网站披露等其中至少一种方式，向潜在供应商发出澄清、修改的补充文件。需要为此调整响应文件提交截止时间的，应当重新确定，并就变更后的</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截止时间重新发出通知。</w:t>
      </w:r>
    </w:p>
    <w:p w14:paraId="33EE1FF0">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一旦对询价文件作出了澄清、修改，即刻发生效力，</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有关的补充文件，将作为询价文件的组成部分，对所有现实的或潜在的供应商均具有约束力，而无论是否已经实际收到上述文件。同时，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和供应商的权利及义务将受到新的截止期的约束。</w:t>
      </w:r>
    </w:p>
    <w:p w14:paraId="6DAAA211">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6.4</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对询价文件作出的澄清、修改在政府采购云平台电子交易平台内进行披露，请供应商及时关注并获取相关资料。因登记有误、线路故障或其它任何意外情形，导致供应商未及时获取的，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不因此承担任何责任，且有关的招标活动继续有效地进行。当询价文件的澄清、修改及进行其他答复等就同一内容的表述不一致时，以最后发布的内容为准。</w:t>
      </w:r>
    </w:p>
    <w:p w14:paraId="44002414">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上述澄清、修改在交易平台上发布的同时，交易平台将通过第三方短信群发方式提醒供应商进行查询。此短信仅系友情提示，并不具有任何约束性和必要性，</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不承担供应商未收到短信而引起的一切后果和法律责任。</w:t>
      </w:r>
    </w:p>
    <w:p w14:paraId="052BF33B">
      <w:pPr>
        <w:pageBreakBefore w:val="0"/>
        <w:widowControl w:val="0"/>
        <w:kinsoku/>
        <w:wordWrap/>
        <w:overflowPunct/>
        <w:topLinePunct w:val="0"/>
        <w:bidi w:val="0"/>
        <w:adjustRightInd/>
        <w:snapToGrid/>
        <w:spacing w:line="360" w:lineRule="auto"/>
        <w:ind w:firstLine="48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6.5澄清、修改文件发出后，供应商必须使用最新的答疑、澄清文件制作电子响应文件，否则将无法完成上传。</w:t>
      </w:r>
    </w:p>
    <w:p w14:paraId="02E8D0FD">
      <w:pPr>
        <w:pStyle w:val="44"/>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2"/>
          <w:highlight w:val="none"/>
        </w:rPr>
      </w:pPr>
      <w:r>
        <w:rPr>
          <w:rFonts w:hint="default" w:ascii="仿宋" w:hAnsi="仿宋" w:eastAsia="仿宋" w:cs="仿宋"/>
          <w:b/>
          <w:color w:val="auto"/>
          <w:kern w:val="2"/>
          <w:sz w:val="24"/>
          <w:szCs w:val="22"/>
          <w:highlight w:val="none"/>
          <w:lang w:val="en-US" w:eastAsia="zh-CN" w:bidi="ar-SA"/>
        </w:rPr>
        <w:t>7.</w:t>
      </w:r>
      <w:r>
        <w:rPr>
          <w:rFonts w:hint="eastAsia" w:ascii="仿宋" w:hAnsi="仿宋" w:eastAsia="仿宋" w:cs="仿宋"/>
          <w:b/>
          <w:color w:val="auto"/>
          <w:sz w:val="24"/>
          <w:szCs w:val="22"/>
          <w:highlight w:val="none"/>
        </w:rPr>
        <w:t>知识产权</w:t>
      </w:r>
    </w:p>
    <w:p w14:paraId="41D3D72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供应商须保证，采购人在中华人民共和国境内使用货物、资料、技术、服务或其任何一部分时，享有不受限制的无偿使用权，不会产生因第三方提出侵犯其专利权、商标权或其它知识产权而引起的法律或经济纠纷。如供应商不拥有相应的知识产权，则在</w:t>
      </w:r>
      <w:r>
        <w:rPr>
          <w:rFonts w:hint="eastAsia" w:ascii="仿宋" w:hAnsi="仿宋" w:eastAsia="仿宋" w:cs="仿宋"/>
          <w:color w:val="auto"/>
          <w:sz w:val="24"/>
          <w:szCs w:val="22"/>
          <w:highlight w:val="none"/>
          <w:lang w:eastAsia="zh-CN"/>
        </w:rPr>
        <w:t>响应报价</w:t>
      </w:r>
      <w:r>
        <w:rPr>
          <w:rFonts w:hint="eastAsia" w:ascii="仿宋" w:hAnsi="仿宋" w:eastAsia="仿宋" w:cs="仿宋"/>
          <w:color w:val="auto"/>
          <w:sz w:val="24"/>
          <w:szCs w:val="22"/>
          <w:highlight w:val="none"/>
        </w:rPr>
        <w:t>中必须包括合法获取该知识产权的一切相关费用。如因此导致采购人损失的，供应商须承担全部赔偿责任。</w:t>
      </w:r>
    </w:p>
    <w:p w14:paraId="551B10C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7.2供应商如欲在项目实施过程中采用自有知识成果，须在响应文件中声明，并提供相关知识产权证明文件。使用该知识成果后，供应商须提供开发接口和开发手册等技术文档。</w:t>
      </w:r>
    </w:p>
    <w:p w14:paraId="39C464B6">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第三章响应文件的编写</w:t>
      </w:r>
    </w:p>
    <w:p w14:paraId="19A6AD14">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8.</w:t>
      </w:r>
      <w:r>
        <w:rPr>
          <w:rFonts w:hint="eastAsia" w:ascii="仿宋" w:hAnsi="仿宋" w:eastAsia="仿宋" w:cs="仿宋"/>
          <w:b/>
          <w:color w:val="auto"/>
          <w:sz w:val="24"/>
          <w:szCs w:val="24"/>
          <w:highlight w:val="none"/>
        </w:rPr>
        <w:t>要求</w:t>
      </w:r>
    </w:p>
    <w:p w14:paraId="7DE668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供应商应详细阅读询价文件中的条款、规范、表示、条件和格式等所有内容，按询价文件的要求提供响应文件，并保证所提供的全部材料的真实性，使其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对询价文件做出实质性响应。否则，其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将视为无效。</w:t>
      </w:r>
    </w:p>
    <w:p w14:paraId="6E0E0CB3">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9.</w:t>
      </w:r>
      <w:r>
        <w:rPr>
          <w:rFonts w:hint="eastAsia" w:ascii="仿宋" w:hAnsi="仿宋" w:eastAsia="仿宋" w:cs="仿宋"/>
          <w:b/>
          <w:color w:val="auto"/>
          <w:sz w:val="24"/>
          <w:szCs w:val="24"/>
          <w:highlight w:val="none"/>
        </w:rPr>
        <w:t>响应文件语言和度量单位</w:t>
      </w:r>
      <w:r>
        <w:rPr>
          <w:rFonts w:hint="eastAsia" w:ascii="仿宋" w:hAnsi="仿宋" w:eastAsia="仿宋" w:cs="仿宋"/>
          <w:b/>
          <w:color w:val="auto"/>
          <w:sz w:val="24"/>
          <w:szCs w:val="24"/>
          <w:highlight w:val="none"/>
        </w:rPr>
        <w:tab/>
      </w:r>
    </w:p>
    <w:p w14:paraId="79E0232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9.1响应文件及供应商和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交换的文件和往来信件，须以中文书写。</w:t>
      </w:r>
    </w:p>
    <w:p w14:paraId="107BBCA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9.2除在询价文件的技术规格中另有规定外，计量单位应使用中华人民共和国法定计量单位。</w:t>
      </w:r>
    </w:p>
    <w:p w14:paraId="3EBEDF4C">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10.</w:t>
      </w:r>
      <w:r>
        <w:rPr>
          <w:rFonts w:hint="eastAsia" w:ascii="仿宋" w:hAnsi="仿宋" w:eastAsia="仿宋" w:cs="仿宋"/>
          <w:b/>
          <w:color w:val="auto"/>
          <w:sz w:val="24"/>
          <w:szCs w:val="24"/>
          <w:highlight w:val="none"/>
        </w:rPr>
        <w:t>响应文件的组成</w:t>
      </w:r>
    </w:p>
    <w:p w14:paraId="546BC9C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供应商准备的响应文件包括（但不限于）下列部分：</w:t>
      </w:r>
    </w:p>
    <w:p w14:paraId="58AAED16">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一、资格</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文件（后续供应商在线制作响应文件时需对资格审查项进行逐一关联响应）</w:t>
      </w:r>
    </w:p>
    <w:p w14:paraId="39C8FC1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4E8B1B1A">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20278E5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35FC361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61B705DE">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52F5C677">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553408A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7D8A6261">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5891324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3C02B53A">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45869E07">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4F00C8C2">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52831CB4">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28442254">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2EB461BB">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61838246">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30EE5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68F9688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3E10098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7D6F466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18B67CE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6924652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754448F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上述不良信用记录；</w:t>
      </w:r>
    </w:p>
    <w:p w14:paraId="38E7A59A">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C6E19B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BBE525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645C75F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4691F1F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本项目专门</w:t>
      </w:r>
      <w:r>
        <w:rPr>
          <w:rFonts w:hint="eastAsia" w:ascii="仿宋" w:hAnsi="仿宋" w:eastAsia="仿宋" w:cs="宋体"/>
          <w:color w:val="auto"/>
          <w:kern w:val="0"/>
          <w:sz w:val="24"/>
          <w:szCs w:val="24"/>
          <w:highlight w:val="none"/>
        </w:rPr>
        <w:t>面向小微企业采购项目（包含小型</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微</w:t>
      </w:r>
      <w:r>
        <w:rPr>
          <w:rFonts w:hint="eastAsia" w:ascii="仿宋" w:hAnsi="仿宋" w:eastAsia="仿宋" w:cs="仿宋"/>
          <w:color w:val="auto"/>
          <w:kern w:val="0"/>
          <w:sz w:val="24"/>
          <w:szCs w:val="24"/>
          <w:highlight w:val="none"/>
          <w:lang w:val="en-US" w:eastAsia="zh-CN"/>
        </w:rPr>
        <w:t>型</w:t>
      </w:r>
      <w:r>
        <w:rPr>
          <w:rFonts w:hint="eastAsia" w:ascii="仿宋" w:hAnsi="仿宋" w:eastAsia="仿宋" w:cs="仿宋"/>
          <w:color w:val="auto"/>
          <w:kern w:val="0"/>
          <w:sz w:val="24"/>
          <w:szCs w:val="24"/>
          <w:highlight w:val="none"/>
        </w:rPr>
        <w:t>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企业类型声明函</w:t>
      </w:r>
      <w:r>
        <w:rPr>
          <w:rFonts w:hint="eastAsia" w:ascii="仿宋" w:hAnsi="仿宋" w:eastAsia="仿宋" w:cs="仿宋"/>
          <w:color w:val="auto"/>
          <w:kern w:val="0"/>
          <w:sz w:val="24"/>
          <w:szCs w:val="24"/>
          <w:highlight w:val="none"/>
          <w:lang w:eastAsia="zh-CN"/>
        </w:rPr>
        <w:t>）</w:t>
      </w:r>
    </w:p>
    <w:p w14:paraId="770F044A">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二、</w:t>
      </w:r>
      <w:r>
        <w:rPr>
          <w:rFonts w:hint="eastAsia" w:ascii="仿宋" w:hAnsi="仿宋" w:eastAsia="仿宋" w:cs="仿宋"/>
          <w:b/>
          <w:bCs w:val="0"/>
          <w:color w:val="auto"/>
          <w:sz w:val="24"/>
          <w:szCs w:val="24"/>
          <w:highlight w:val="none"/>
          <w:lang w:eastAsia="zh-CN"/>
        </w:rPr>
        <w:t>响应文件（</w:t>
      </w:r>
      <w:r>
        <w:rPr>
          <w:rFonts w:hint="eastAsia" w:ascii="仿宋" w:hAnsi="仿宋" w:eastAsia="仿宋" w:cs="仿宋"/>
          <w:bCs/>
          <w:color w:val="auto"/>
          <w:sz w:val="24"/>
          <w:szCs w:val="24"/>
          <w:highlight w:val="none"/>
        </w:rPr>
        <w:t>商务技术文件</w:t>
      </w:r>
      <w:r>
        <w:rPr>
          <w:rFonts w:hint="eastAsia" w:ascii="仿宋" w:hAnsi="仿宋" w:eastAsia="仿宋" w:cs="仿宋"/>
          <w:b/>
          <w:bCs w:val="0"/>
          <w:color w:val="auto"/>
          <w:sz w:val="24"/>
          <w:szCs w:val="24"/>
          <w:highlight w:val="none"/>
          <w:lang w:eastAsia="zh-CN"/>
        </w:rPr>
        <w:t>）</w:t>
      </w:r>
    </w:p>
    <w:p w14:paraId="7862058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函</w:t>
      </w:r>
    </w:p>
    <w:p w14:paraId="6910A6C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2、报价一览表</w:t>
      </w:r>
    </w:p>
    <w:p w14:paraId="14025016">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分项报价表</w:t>
      </w:r>
    </w:p>
    <w:p w14:paraId="4EE157C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关于资格的声明函</w:t>
      </w:r>
    </w:p>
    <w:p w14:paraId="39B903F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5、反商业贿赂承诺书</w:t>
      </w:r>
    </w:p>
    <w:p w14:paraId="18C79C35">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6、法定代表人身份证明书</w:t>
      </w:r>
    </w:p>
    <w:p w14:paraId="2CF2E09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7、法定代表人授权委托书</w:t>
      </w:r>
    </w:p>
    <w:p w14:paraId="28DBBD1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8、商务条款偏离表</w:t>
      </w:r>
    </w:p>
    <w:p w14:paraId="36EC5A9E">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9、技术参数条款偏离表</w:t>
      </w:r>
    </w:p>
    <w:p w14:paraId="2954360A">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eastAsia="zh-CN"/>
        </w:rPr>
        <w:t>近三年（202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月1日至今）</w:t>
      </w:r>
      <w:r>
        <w:rPr>
          <w:rFonts w:hint="eastAsia" w:ascii="仿宋" w:hAnsi="仿宋" w:eastAsia="仿宋" w:cs="仿宋"/>
          <w:color w:val="auto"/>
          <w:kern w:val="0"/>
          <w:sz w:val="24"/>
          <w:szCs w:val="24"/>
          <w:highlight w:val="none"/>
          <w:lang w:val="en-US" w:eastAsia="zh-CN"/>
        </w:rPr>
        <w:t>类似</w:t>
      </w:r>
      <w:r>
        <w:rPr>
          <w:rFonts w:hint="eastAsia" w:ascii="仿宋" w:hAnsi="仿宋" w:eastAsia="仿宋" w:cs="仿宋"/>
          <w:color w:val="auto"/>
          <w:kern w:val="0"/>
          <w:sz w:val="24"/>
          <w:szCs w:val="24"/>
          <w:highlight w:val="none"/>
          <w:lang w:eastAsia="zh-CN"/>
        </w:rPr>
        <w:t>业绩</w:t>
      </w:r>
    </w:p>
    <w:p w14:paraId="60266CBD">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、项目实施供货方案</w:t>
      </w:r>
    </w:p>
    <w:p w14:paraId="57DDE29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、项目实施人员</w:t>
      </w:r>
    </w:p>
    <w:p w14:paraId="6B77D3EA">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13、本地化服务</w:t>
      </w:r>
    </w:p>
    <w:p w14:paraId="697E6DD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14、售后服务人员</w:t>
      </w:r>
    </w:p>
    <w:p w14:paraId="4528A0FD">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15、售后方案</w:t>
      </w:r>
    </w:p>
    <w:p w14:paraId="3CD0B2C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lang w:eastAsia="zh-CN"/>
        </w:rPr>
        <w:t>培训服务</w:t>
      </w:r>
    </w:p>
    <w:p w14:paraId="1CCA80F5">
      <w:pPr>
        <w:spacing w:line="400" w:lineRule="atLeast"/>
        <w:ind w:left="720" w:hanging="720" w:hangingChars="3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17、质量保证</w:t>
      </w:r>
    </w:p>
    <w:p w14:paraId="209A338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18、中小微企业、残疾人福利性单位、监狱企业声明函</w:t>
      </w:r>
    </w:p>
    <w:p w14:paraId="2E8E02D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lang w:eastAsia="zh-CN"/>
        </w:rPr>
        <w:t>供应商认为需要提交的其他文件</w:t>
      </w:r>
    </w:p>
    <w:p w14:paraId="7F7B7DE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ACCE494">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11.</w:t>
      </w:r>
      <w:r>
        <w:rPr>
          <w:rFonts w:hint="eastAsia" w:ascii="仿宋" w:hAnsi="仿宋" w:eastAsia="仿宋" w:cs="仿宋"/>
          <w:b/>
          <w:color w:val="auto"/>
          <w:sz w:val="24"/>
          <w:highlight w:val="none"/>
        </w:rPr>
        <w:t>响应文件格式</w:t>
      </w:r>
    </w:p>
    <w:p w14:paraId="63CDD90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供应商应按询价文件的范本格式中提供的响应文件格式认真填写响应文件。如响应文件中提供的各类表格不能包含全部内容，供应商可自行添加。</w:t>
      </w:r>
    </w:p>
    <w:p w14:paraId="55FC089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12.</w:t>
      </w:r>
      <w:r>
        <w:rPr>
          <w:rFonts w:hint="eastAsia" w:ascii="仿宋" w:hAnsi="仿宋" w:eastAsia="仿宋" w:cs="仿宋"/>
          <w:b/>
          <w:color w:val="auto"/>
          <w:sz w:val="24"/>
          <w:highlight w:val="none"/>
          <w:lang w:val="en-US" w:eastAsia="zh-CN"/>
        </w:rPr>
        <w:t>询价</w:t>
      </w:r>
      <w:r>
        <w:rPr>
          <w:rFonts w:hint="eastAsia" w:ascii="仿宋" w:hAnsi="仿宋" w:eastAsia="仿宋" w:cs="仿宋"/>
          <w:b/>
          <w:color w:val="auto"/>
          <w:sz w:val="24"/>
          <w:highlight w:val="none"/>
          <w:lang w:eastAsia="zh-CN"/>
        </w:rPr>
        <w:t>报价</w:t>
      </w:r>
    </w:p>
    <w:p w14:paraId="0FF57740">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响应报</w:t>
      </w:r>
      <w:r>
        <w:rPr>
          <w:rFonts w:hint="eastAsia" w:ascii="仿宋" w:hAnsi="仿宋" w:eastAsia="仿宋" w:cs="仿宋"/>
          <w:color w:val="auto"/>
          <w:sz w:val="24"/>
          <w:highlight w:val="none"/>
        </w:rPr>
        <w:t>价。</w:t>
      </w:r>
    </w:p>
    <w:p w14:paraId="121705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应包括以下内容：</w:t>
      </w:r>
    </w:p>
    <w:p w14:paraId="0EDAD50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.2.1培训费、服务人员工资、技术服务费</w:t>
      </w:r>
      <w:r>
        <w:rPr>
          <w:rFonts w:hint="eastAsia" w:ascii="仿宋" w:hAnsi="仿宋" w:eastAsia="仿宋" w:cs="仿宋"/>
          <w:color w:val="auto"/>
          <w:sz w:val="24"/>
          <w:highlight w:val="none"/>
          <w:lang w:eastAsia="zh-CN"/>
        </w:rPr>
        <w:t>、运输费</w:t>
      </w:r>
      <w:r>
        <w:rPr>
          <w:rFonts w:hint="eastAsia" w:ascii="仿宋" w:hAnsi="仿宋" w:eastAsia="仿宋" w:cs="仿宋"/>
          <w:color w:val="auto"/>
          <w:sz w:val="24"/>
          <w:highlight w:val="none"/>
        </w:rPr>
        <w:t>与本项目相关的一切费用等。</w:t>
      </w:r>
    </w:p>
    <w:p w14:paraId="672F0F4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表中标明其提供的所有服务及其完成本项目相关工作范围内所有费用的总价，采购人不接受有任何选择性报价。</w:t>
      </w:r>
    </w:p>
    <w:p w14:paraId="795E61A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.2.2所有的单价、合价及总价均按</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文件中价格表的格式填写，以人民币报价。</w:t>
      </w:r>
    </w:p>
    <w:p w14:paraId="5CE23BD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.2.3供应商的价格必须保证在</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有效期及服务期内固定不变。</w:t>
      </w:r>
    </w:p>
    <w:p w14:paraId="67000CC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.2.4不接受任何变通或有任何选择性的报价。报价必须唯一、确定、严格。当在单价和总价之间出现任何差异时，以单价为准，除非单价有明显的小数点错误，则以合计价格修正单价。</w:t>
      </w:r>
    </w:p>
    <w:p w14:paraId="4FDBBD8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.2.5供应商不得以低于成本的报价竞标，也不得以其他方式弄虚作假，骗取中标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w:t>
      </w:r>
    </w:p>
    <w:p w14:paraId="3AC47A2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.2.6</w:t>
      </w:r>
      <w:r>
        <w:rPr>
          <w:rFonts w:hint="eastAsia" w:ascii="仿宋" w:hAnsi="仿宋" w:eastAsia="仿宋" w:cs="仿宋"/>
          <w:b w:val="0"/>
          <w:bCs/>
          <w:color w:val="auto"/>
          <w:sz w:val="24"/>
          <w:szCs w:val="24"/>
          <w:highlight w:val="none"/>
        </w:rPr>
        <w:t>招标代理费：采购人委托</w:t>
      </w:r>
      <w:r>
        <w:rPr>
          <w:rFonts w:hint="eastAsia" w:ascii="仿宋" w:hAnsi="仿宋" w:eastAsia="仿宋" w:cs="仿宋"/>
          <w:b w:val="0"/>
          <w:bCs/>
          <w:color w:val="auto"/>
          <w:sz w:val="24"/>
          <w:szCs w:val="24"/>
          <w:highlight w:val="none"/>
          <w:lang w:eastAsia="zh-CN"/>
        </w:rPr>
        <w:t>新疆恒达壹品项目管理咨询有限公司</w:t>
      </w:r>
      <w:r>
        <w:rPr>
          <w:rFonts w:hint="eastAsia" w:ascii="仿宋" w:hAnsi="仿宋" w:eastAsia="仿宋" w:cs="仿宋"/>
          <w:b w:val="0"/>
          <w:bCs/>
          <w:color w:val="auto"/>
          <w:sz w:val="24"/>
          <w:szCs w:val="24"/>
          <w:highlight w:val="none"/>
        </w:rPr>
        <w:t>作为本项目的招标代理机构。</w:t>
      </w:r>
      <w:bookmarkStart w:id="8" w:name="_Toc28098"/>
      <w:r>
        <w:rPr>
          <w:rFonts w:hint="eastAsia" w:ascii="仿宋" w:hAnsi="仿宋" w:eastAsia="仿宋" w:cs="仿宋"/>
          <w:b w:val="0"/>
          <w:bCs/>
          <w:color w:val="auto"/>
          <w:sz w:val="24"/>
          <w:szCs w:val="24"/>
          <w:highlight w:val="none"/>
        </w:rPr>
        <w:t>招标代理服务费</w:t>
      </w:r>
      <w:r>
        <w:rPr>
          <w:rFonts w:hint="eastAsia" w:ascii="仿宋" w:hAnsi="仿宋" w:eastAsia="仿宋" w:cs="仿宋"/>
          <w:b w:val="0"/>
          <w:bCs/>
          <w:color w:val="auto"/>
          <w:sz w:val="24"/>
          <w:szCs w:val="24"/>
          <w:highlight w:val="none"/>
          <w:lang w:val="en-US" w:eastAsia="zh-CN"/>
        </w:rPr>
        <w:t>有中标（成交）单位</w:t>
      </w:r>
      <w:r>
        <w:rPr>
          <w:rFonts w:hint="eastAsia" w:ascii="仿宋" w:hAnsi="仿宋" w:eastAsia="仿宋" w:cs="仿宋"/>
          <w:b w:val="0"/>
          <w:bCs/>
          <w:color w:val="auto"/>
          <w:sz w:val="24"/>
          <w:szCs w:val="24"/>
          <w:highlight w:val="none"/>
        </w:rPr>
        <w:t>在领取中标（成交）通知书时一次性付清招标代理服务费</w:t>
      </w:r>
      <w:bookmarkEnd w:id="8"/>
      <w:r>
        <w:rPr>
          <w:rFonts w:hint="eastAsia" w:ascii="仿宋" w:hAnsi="仿宋" w:eastAsia="仿宋" w:cs="仿宋"/>
          <w:b w:val="0"/>
          <w:bCs/>
          <w:color w:val="auto"/>
          <w:sz w:val="24"/>
          <w:szCs w:val="24"/>
          <w:highlight w:val="none"/>
        </w:rPr>
        <w:t>。本项目招标代理服务费由中标人支付。招标代理服务收费标准：依据国家计委关于《招标代理服务费收费管理暂行办法》(计价格【2002】1980号)文件</w:t>
      </w:r>
      <w:r>
        <w:rPr>
          <w:rFonts w:hint="eastAsia" w:ascii="仿宋" w:hAnsi="仿宋" w:eastAsia="仿宋" w:cs="仿宋"/>
          <w:b w:val="0"/>
          <w:bCs/>
          <w:color w:val="auto"/>
          <w:sz w:val="24"/>
          <w:szCs w:val="24"/>
          <w:highlight w:val="none"/>
          <w:lang w:val="en-US" w:eastAsia="zh-CN"/>
        </w:rPr>
        <w:t>执行</w:t>
      </w:r>
      <w:r>
        <w:rPr>
          <w:rFonts w:hint="eastAsia" w:ascii="仿宋" w:hAnsi="仿宋" w:eastAsia="仿宋" w:cs="仿宋"/>
          <w:b w:val="0"/>
          <w:bCs/>
          <w:color w:val="auto"/>
          <w:sz w:val="24"/>
          <w:szCs w:val="24"/>
          <w:highlight w:val="none"/>
        </w:rPr>
        <w:t>。</w:t>
      </w:r>
    </w:p>
    <w:p w14:paraId="25FC20D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.3为了防止本次</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过高，超出采购人为本次采购项目的资金支付能力，采购人依据主管部门的批复为本次招标项目的设定了</w:t>
      </w:r>
      <w:bookmarkStart w:id="9" w:name="OLE_LINK11"/>
      <w:r>
        <w:rPr>
          <w:rFonts w:hint="eastAsia" w:ascii="仿宋" w:hAnsi="仿宋" w:eastAsia="仿宋" w:cs="仿宋"/>
          <w:b w:val="0"/>
          <w:bCs/>
          <w:color w:val="auto"/>
          <w:sz w:val="24"/>
          <w:szCs w:val="24"/>
          <w:highlight w:val="none"/>
        </w:rPr>
        <w:t>最高限价</w:t>
      </w:r>
      <w:bookmarkEnd w:id="9"/>
      <w:r>
        <w:rPr>
          <w:rFonts w:hint="eastAsia" w:ascii="仿宋" w:hAnsi="仿宋" w:eastAsia="仿宋" w:cs="仿宋"/>
          <w:b w:val="0"/>
          <w:bCs/>
          <w:color w:val="auto"/>
          <w:sz w:val="24"/>
          <w:szCs w:val="24"/>
          <w:highlight w:val="none"/>
        </w:rPr>
        <w:t>（即采购预算），如果供应商的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高于本项目的最高限价，其响应文件将被拒绝；如果所有供应商的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均最高限价，采购人有权重新组织招标。</w:t>
      </w:r>
    </w:p>
    <w:p w14:paraId="6D4DEE83">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报价货币单位：人民币。</w:t>
      </w:r>
    </w:p>
    <w:p w14:paraId="2429703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13.</w:t>
      </w:r>
      <w:r>
        <w:rPr>
          <w:rFonts w:hint="eastAsia" w:ascii="仿宋" w:hAnsi="仿宋" w:eastAsia="仿宋" w:cs="仿宋"/>
          <w:b/>
          <w:color w:val="auto"/>
          <w:sz w:val="24"/>
          <w:highlight w:val="none"/>
        </w:rPr>
        <w:t>服务计划</w:t>
      </w:r>
    </w:p>
    <w:p w14:paraId="2DF05B63">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供应商可以针对本次</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项目的实际需求拟定完善的服务计划。</w:t>
      </w:r>
    </w:p>
    <w:p w14:paraId="4DA6322C">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14.</w:t>
      </w:r>
      <w:r>
        <w:rPr>
          <w:rFonts w:hint="eastAsia" w:ascii="仿宋" w:hAnsi="仿宋" w:eastAsia="仿宋" w:cs="仿宋"/>
          <w:b/>
          <w:color w:val="auto"/>
          <w:sz w:val="24"/>
          <w:highlight w:val="none"/>
        </w:rPr>
        <w:t>询价有效期</w:t>
      </w:r>
    </w:p>
    <w:p w14:paraId="7656D83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bookmarkStart w:id="10" w:name="_Toc31693"/>
      <w:r>
        <w:rPr>
          <w:rFonts w:hint="eastAsia" w:ascii="仿宋" w:hAnsi="仿宋" w:eastAsia="仿宋" w:cs="仿宋"/>
          <w:bCs/>
          <w:color w:val="auto"/>
          <w:sz w:val="24"/>
          <w:szCs w:val="24"/>
          <w:highlight w:val="none"/>
        </w:rPr>
        <w:t>14.1</w:t>
      </w:r>
      <w:r>
        <w:rPr>
          <w:rFonts w:hint="eastAsia" w:ascii="仿宋" w:hAnsi="仿宋" w:eastAsia="仿宋" w:cs="仿宋"/>
          <w:color w:val="auto"/>
          <w:sz w:val="24"/>
          <w:highlight w:val="none"/>
        </w:rPr>
        <w:t>响应文件从询价之日起，询价有效期为</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日历日（从</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截止之日算起）。</w:t>
      </w:r>
    </w:p>
    <w:p w14:paraId="55768C1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14.2在特殊情况下，</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可与供应商协商延长</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p>
    <w:bookmarkEnd w:id="10"/>
    <w:p w14:paraId="4C6E7D2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15.</w:t>
      </w:r>
      <w:r>
        <w:rPr>
          <w:rFonts w:hint="eastAsia" w:ascii="仿宋" w:hAnsi="仿宋" w:eastAsia="仿宋" w:cs="仿宋"/>
          <w:b/>
          <w:color w:val="auto"/>
          <w:sz w:val="24"/>
          <w:szCs w:val="24"/>
          <w:highlight w:val="none"/>
        </w:rPr>
        <w:t>电子响应文件的编制</w:t>
      </w:r>
    </w:p>
    <w:p w14:paraId="067B30F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电子响应文件使用政府采购云平台电子交易平台提供的响应文件制作工具以及询价文件要求进行制作编制。响应文件制作时，不同内容按标签提示制作导入，按照询价文件中明确的响应文件目录和格式进行编制，保证目录清晰、内容完整。</w:t>
      </w:r>
    </w:p>
    <w:p w14:paraId="7AE21B2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15.1电子响应文件须使用供应商公章的电子签章以及法定代表人的电子签章。若无电子签章，</w:t>
      </w:r>
      <w:r>
        <w:rPr>
          <w:rFonts w:hint="eastAsia" w:ascii="仿宋" w:hAnsi="仿宋" w:eastAsia="仿宋" w:cs="仿宋"/>
          <w:bCs/>
          <w:color w:val="auto"/>
          <w:sz w:val="24"/>
          <w:szCs w:val="24"/>
          <w:highlight w:val="none"/>
          <w:lang w:eastAsia="zh-CN"/>
        </w:rPr>
        <w:t>则视为无效响应</w:t>
      </w:r>
      <w:r>
        <w:rPr>
          <w:rFonts w:hint="eastAsia" w:ascii="仿宋" w:hAnsi="仿宋" w:eastAsia="仿宋" w:cs="仿宋"/>
          <w:bCs/>
          <w:color w:val="auto"/>
          <w:sz w:val="24"/>
          <w:szCs w:val="24"/>
          <w:highlight w:val="none"/>
        </w:rPr>
        <w:t>。</w:t>
      </w:r>
    </w:p>
    <w:p w14:paraId="314D487D">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电子响应文件具有法律效力，与其他形式的响应文件在内容和格式上等同，若响应文件与询价文件要求不一致，其内容影响中标（成交）结果时，责任由供应商自行承担。供应商递交的电子响应文件因供应商自身原因而导致无法导入电子辅助评标系统，该响应文件视为无效响应文件，将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被拒绝。</w:t>
      </w:r>
    </w:p>
    <w:p w14:paraId="39816FB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15.3电子响应文件制作工具在生成加密响应文件时，同时生成非加密响应文件一份。</w:t>
      </w:r>
    </w:p>
    <w:p w14:paraId="14DFFC54">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第四章响应文件的递交</w:t>
      </w:r>
    </w:p>
    <w:p w14:paraId="59D12A41">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16.</w:t>
      </w:r>
      <w:r>
        <w:rPr>
          <w:rFonts w:hint="eastAsia" w:ascii="仿宋" w:hAnsi="仿宋" w:eastAsia="仿宋" w:cs="仿宋"/>
          <w:b/>
          <w:color w:val="auto"/>
          <w:sz w:val="24"/>
          <w:szCs w:val="24"/>
          <w:highlight w:val="none"/>
        </w:rPr>
        <w:t>响应文件的标记</w:t>
      </w:r>
    </w:p>
    <w:p w14:paraId="0EFA2037">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16.1供应商应通过电子</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文件制作工具严格按询价文件要求制作响应文件，在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截止时间前完成上传经过数字证书电子签章并加密的响应文件（加密和解密须用同一把数字证书）。供应商在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截止时间前，可以对其所递交的响应文件进行修改并重新上传，但以</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截止时间前最后一次上传的响应文件为有效响应文件。</w:t>
      </w:r>
    </w:p>
    <w:p w14:paraId="355FDF5A">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16.2</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截止时间以政府采购云平台电子交易平台显示的时间为准，逾期系统将自动关闭，未完成上传的响应文件视为逾期送达，将被拒绝。</w:t>
      </w:r>
    </w:p>
    <w:p w14:paraId="06D5028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16.3本项目采用不见面开标，无需提供电子响应文件U盘、纸质响应文件。</w:t>
      </w:r>
    </w:p>
    <w:p w14:paraId="072D802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17.</w:t>
      </w:r>
      <w:r>
        <w:rPr>
          <w:rFonts w:hint="eastAsia" w:ascii="仿宋" w:hAnsi="仿宋" w:eastAsia="仿宋" w:cs="仿宋"/>
          <w:b/>
          <w:color w:val="auto"/>
          <w:sz w:val="24"/>
          <w:highlight w:val="none"/>
        </w:rPr>
        <w:t>询价保证金</w:t>
      </w:r>
    </w:p>
    <w:p w14:paraId="154B3B9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1保证金的缴纳详见供应商须知前附表。</w:t>
      </w:r>
    </w:p>
    <w:p w14:paraId="7CE8F11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2未按规定提交</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保证金的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，将被视为</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1AD1E09A">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18.</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截止时间</w:t>
      </w:r>
    </w:p>
    <w:p w14:paraId="24D2320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18.1供应商应当在询价文件要求提交响应文件的截止时间前网上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610FB25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18.2在询价文件要求提交响应文件的截止时间之后送达的响应文件，为无效响应文件，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将拒绝接收。</w:t>
      </w:r>
    </w:p>
    <w:p w14:paraId="7BAC24A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18.3本项目采用不见面开标。需将加密电子响应文件（.jmbs格式）在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截止时间前通过政府采购云平台电子交易平台上传完成。上传时必须得到电脑“上传成功”的确认回复后方为上传成功。逾期上传的或者未上传到平台的响应文件，采购人不予受理。</w:t>
      </w:r>
    </w:p>
    <w:p w14:paraId="3BE1D1C2">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19.</w:t>
      </w:r>
      <w:r>
        <w:rPr>
          <w:rFonts w:hint="eastAsia" w:ascii="仿宋" w:hAnsi="仿宋" w:eastAsia="仿宋" w:cs="仿宋"/>
          <w:b/>
          <w:color w:val="auto"/>
          <w:sz w:val="24"/>
          <w:highlight w:val="none"/>
        </w:rPr>
        <w:t>响应文件的修改和撤销</w:t>
      </w:r>
    </w:p>
    <w:p w14:paraId="7EE5175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供应商在递交响应文件后，可以修改或撤回其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，但这种修改和撤回，必须在规定的</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截止时间后，供应商不得要求修改或撤回其响应文件。</w:t>
      </w:r>
    </w:p>
    <w:p w14:paraId="3422BAD5">
      <w:pPr>
        <w:keepNext/>
        <w:keepLines/>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第五章开标</w:t>
      </w:r>
    </w:p>
    <w:p w14:paraId="2290DD15">
      <w:pPr>
        <w:pStyle w:val="90"/>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kern w:val="2"/>
          <w:sz w:val="24"/>
          <w:szCs w:val="24"/>
          <w:highlight w:val="none"/>
        </w:rPr>
      </w:pPr>
      <w:r>
        <w:rPr>
          <w:rFonts w:hint="default" w:ascii="仿宋" w:hAnsi="仿宋" w:eastAsia="仿宋" w:cs="仿宋"/>
          <w:b/>
          <w:color w:val="auto"/>
          <w:kern w:val="2"/>
          <w:sz w:val="24"/>
          <w:szCs w:val="24"/>
          <w:highlight w:val="none"/>
          <w:lang w:val="en-US" w:eastAsia="zh-CN" w:bidi="ar-SA"/>
        </w:rPr>
        <w:t>20.</w:t>
      </w:r>
      <w:r>
        <w:rPr>
          <w:rFonts w:hint="eastAsia" w:ascii="仿宋" w:hAnsi="仿宋" w:eastAsia="仿宋" w:cs="仿宋"/>
          <w:b/>
          <w:color w:val="auto"/>
          <w:kern w:val="2"/>
          <w:sz w:val="24"/>
          <w:szCs w:val="24"/>
          <w:highlight w:val="none"/>
        </w:rPr>
        <w:t>开标</w:t>
      </w:r>
    </w:p>
    <w:p w14:paraId="5C277851">
      <w:pPr>
        <w:pStyle w:val="9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采用不见面开标方式</w:t>
      </w:r>
    </w:p>
    <w:p w14:paraId="16E8B303">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采购人在规定的</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截止时间（</w:t>
      </w:r>
      <w:r>
        <w:rPr>
          <w:rFonts w:hint="eastAsia" w:ascii="仿宋" w:hAnsi="仿宋" w:eastAsia="仿宋" w:cs="仿宋"/>
          <w:color w:val="auto"/>
          <w:kern w:val="2"/>
          <w:sz w:val="24"/>
          <w:szCs w:val="24"/>
          <w:highlight w:val="none"/>
          <w:lang w:val="en-US" w:eastAsia="zh-CN"/>
        </w:rPr>
        <w:t>询价</w:t>
      </w:r>
      <w:r>
        <w:rPr>
          <w:rFonts w:hint="eastAsia" w:ascii="仿宋" w:hAnsi="仿宋" w:eastAsia="仿宋" w:cs="仿宋"/>
          <w:color w:val="auto"/>
          <w:kern w:val="2"/>
          <w:sz w:val="24"/>
          <w:szCs w:val="24"/>
          <w:highlight w:val="none"/>
        </w:rPr>
        <w:t>时间）和供应商须知前附表规定的地点开标。供应商的法定代表人或其委托代理人无需到达开标现场，仅需在任意地点通过政采云不见面开标系统，使用CA密钥完成远程解密、提疑澄清、开标唱标、结果公布等交互环节。</w:t>
      </w:r>
    </w:p>
    <w:p w14:paraId="6B7139C4">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3AA13EFB">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第六章评标</w:t>
      </w:r>
    </w:p>
    <w:p w14:paraId="5F66B18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21.</w:t>
      </w:r>
      <w:r>
        <w:rPr>
          <w:rFonts w:hint="eastAsia" w:ascii="仿宋" w:hAnsi="仿宋" w:eastAsia="仿宋" w:cs="仿宋"/>
          <w:b/>
          <w:color w:val="auto"/>
          <w:sz w:val="24"/>
          <w:szCs w:val="24"/>
          <w:highlight w:val="none"/>
        </w:rPr>
        <w:t>评审过程的保密性</w:t>
      </w:r>
    </w:p>
    <w:p w14:paraId="7B8D1F0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21.1</w:t>
      </w:r>
      <w:r>
        <w:rPr>
          <w:rFonts w:hint="eastAsia" w:ascii="仿宋" w:hAnsi="仿宋" w:eastAsia="仿宋" w:cs="仿宋"/>
          <w:color w:val="auto"/>
          <w:spacing w:val="-2"/>
          <w:sz w:val="24"/>
          <w:szCs w:val="24"/>
          <w:highlight w:val="none"/>
          <w:lang w:val="en-US" w:eastAsia="zh-CN"/>
        </w:rPr>
        <w:t>代理机构</w:t>
      </w:r>
      <w:r>
        <w:rPr>
          <w:rFonts w:hint="eastAsia" w:ascii="仿宋" w:hAnsi="仿宋" w:eastAsia="仿宋" w:cs="仿宋"/>
          <w:color w:val="auto"/>
          <w:spacing w:val="-2"/>
          <w:sz w:val="24"/>
          <w:szCs w:val="24"/>
          <w:highlight w:val="none"/>
        </w:rPr>
        <w:t>应当采取必要措施，保证评标在严格保密的情况下进行。除采购人代表、评标现场组织人员外，采购人的其他工作人员以及与评标工作无关的人员不得进入评标现场。</w:t>
      </w:r>
    </w:p>
    <w:p w14:paraId="5FE64E7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有关人员对评标情况以及在评标过程中获悉的国家秘密、商业秘密负有保密责任。</w:t>
      </w:r>
    </w:p>
    <w:p w14:paraId="57CE472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21.2供应商在评审过程中，所进行的力图影响评审结果的以及不符合《政府采购法》以及本次</w:t>
      </w:r>
      <w:r>
        <w:rPr>
          <w:rFonts w:hint="eastAsia" w:ascii="仿宋" w:hAnsi="仿宋" w:eastAsia="仿宋" w:cs="仿宋"/>
          <w:color w:val="auto"/>
          <w:spacing w:val="-2"/>
          <w:sz w:val="24"/>
          <w:szCs w:val="24"/>
          <w:highlight w:val="none"/>
          <w:lang w:val="en-US" w:eastAsia="zh-CN"/>
        </w:rPr>
        <w:t>采购</w:t>
      </w:r>
      <w:r>
        <w:rPr>
          <w:rFonts w:hint="eastAsia" w:ascii="仿宋" w:hAnsi="仿宋" w:eastAsia="仿宋" w:cs="仿宋"/>
          <w:color w:val="auto"/>
          <w:spacing w:val="-2"/>
          <w:sz w:val="24"/>
          <w:szCs w:val="24"/>
          <w:highlight w:val="none"/>
        </w:rPr>
        <w:t>的有关规定的活动，将被取消其中标（成交）资格。</w:t>
      </w:r>
    </w:p>
    <w:p w14:paraId="2E74E4D2">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22.</w:t>
      </w:r>
      <w:r>
        <w:rPr>
          <w:rFonts w:hint="eastAsia" w:ascii="仿宋" w:hAnsi="仿宋" w:eastAsia="仿宋" w:cs="仿宋"/>
          <w:b/>
          <w:color w:val="auto"/>
          <w:sz w:val="24"/>
          <w:highlight w:val="none"/>
        </w:rPr>
        <w:t>询价小组</w:t>
      </w:r>
    </w:p>
    <w:p w14:paraId="4A65F55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22.1采购人将根据《中华人民共和国政府采购法》的规定，依法组建本次</w:t>
      </w:r>
      <w:r>
        <w:rPr>
          <w:rFonts w:hint="eastAsia" w:ascii="仿宋" w:hAnsi="仿宋" w:eastAsia="仿宋" w:cs="仿宋"/>
          <w:color w:val="auto"/>
          <w:spacing w:val="-2"/>
          <w:sz w:val="24"/>
          <w:highlight w:val="none"/>
          <w:lang w:eastAsia="zh-CN"/>
        </w:rPr>
        <w:t>采购项目</w:t>
      </w:r>
      <w:r>
        <w:rPr>
          <w:rFonts w:hint="eastAsia" w:ascii="仿宋" w:hAnsi="仿宋" w:eastAsia="仿宋" w:cs="仿宋"/>
          <w:color w:val="auto"/>
          <w:spacing w:val="-2"/>
          <w:sz w:val="24"/>
          <w:highlight w:val="none"/>
        </w:rPr>
        <w:t>的询价小组，负责本次采购项目的评审活动。询价小组负责向采购人推荐成交候选人。</w:t>
      </w:r>
    </w:p>
    <w:p w14:paraId="21876E26">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22.2询价小组成员名单于</w:t>
      </w:r>
      <w:r>
        <w:rPr>
          <w:rFonts w:hint="eastAsia" w:ascii="仿宋" w:hAnsi="仿宋" w:eastAsia="仿宋" w:cs="仿宋"/>
          <w:color w:val="auto"/>
          <w:spacing w:val="-2"/>
          <w:sz w:val="24"/>
          <w:highlight w:val="none"/>
          <w:lang w:val="en-US" w:eastAsia="zh-CN"/>
        </w:rPr>
        <w:t>询价</w:t>
      </w:r>
      <w:r>
        <w:rPr>
          <w:rFonts w:hint="eastAsia" w:ascii="仿宋" w:hAnsi="仿宋" w:eastAsia="仿宋" w:cs="仿宋"/>
          <w:color w:val="auto"/>
          <w:spacing w:val="-2"/>
          <w:sz w:val="24"/>
          <w:highlight w:val="none"/>
        </w:rPr>
        <w:t>前确定。询价小组成员名单在中标（成交）结果确定前保密。</w:t>
      </w:r>
    </w:p>
    <w:p w14:paraId="3A2D246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22.3询价小组由采购人和熟悉相关业务的代表以及有关技术、经济等方面的专家组成，成员为三人及以上的单数，其中技术、经济等方面的专家不少于成员总数的三分之二。</w:t>
      </w:r>
    </w:p>
    <w:p w14:paraId="30B3D09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22.4按前款规定，询价小组的成员，由</w:t>
      </w:r>
      <w:r>
        <w:rPr>
          <w:rFonts w:hint="eastAsia" w:ascii="仿宋" w:hAnsi="仿宋" w:eastAsia="仿宋" w:cs="仿宋"/>
          <w:color w:val="auto"/>
          <w:spacing w:val="-2"/>
          <w:sz w:val="24"/>
          <w:highlight w:val="none"/>
          <w:lang w:val="en-US" w:eastAsia="zh-CN"/>
        </w:rPr>
        <w:t>政采云系统</w:t>
      </w:r>
      <w:r>
        <w:rPr>
          <w:rFonts w:hint="eastAsia" w:ascii="仿宋" w:hAnsi="仿宋" w:eastAsia="仿宋" w:cs="仿宋"/>
          <w:color w:val="auto"/>
          <w:spacing w:val="-2"/>
          <w:sz w:val="24"/>
          <w:highlight w:val="none"/>
        </w:rPr>
        <w:t>随机抽取的方式确定。</w:t>
      </w:r>
    </w:p>
    <w:p w14:paraId="2438E2A8">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22.5询价小组专家应符合下列条件：</w:t>
      </w:r>
    </w:p>
    <w:p w14:paraId="6C0D185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22.5.1具有良好的职业道德，廉洁自律，遵纪守法,无行贿、受贿、欺诈等不良信用记录；</w:t>
      </w:r>
    </w:p>
    <w:p w14:paraId="2BA9C93B">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22.5.2具有专业技术职称或同等专业水平且从事相关领域工作</w:t>
      </w:r>
      <w:r>
        <w:rPr>
          <w:rFonts w:hint="eastAsia" w:ascii="仿宋" w:hAnsi="仿宋" w:eastAsia="仿宋" w:cs="仿宋"/>
          <w:color w:val="auto"/>
          <w:spacing w:val="-2"/>
          <w:sz w:val="24"/>
          <w:highlight w:val="none"/>
          <w:lang w:val="en-US" w:eastAsia="zh-CN"/>
        </w:rPr>
        <w:t>经验</w:t>
      </w:r>
      <w:r>
        <w:rPr>
          <w:rFonts w:hint="eastAsia" w:ascii="仿宋" w:hAnsi="仿宋" w:eastAsia="仿宋" w:cs="仿宋"/>
          <w:color w:val="auto"/>
          <w:spacing w:val="-2"/>
          <w:sz w:val="24"/>
          <w:highlight w:val="none"/>
        </w:rPr>
        <w:t>；</w:t>
      </w:r>
    </w:p>
    <w:p w14:paraId="2CC0D8C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22.5.3熟悉政府采购相关政策法规；</w:t>
      </w:r>
    </w:p>
    <w:p w14:paraId="505EC95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22.5.4承诺以独立身份参加评审工作,依法履行评审专家工作职责并承担相应法律责任的中国公民；</w:t>
      </w:r>
    </w:p>
    <w:p w14:paraId="753B11E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22.5.5身体健康，能够承担评审工作；</w:t>
      </w:r>
    </w:p>
    <w:p w14:paraId="62B9333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22.5.6申请成为评审专家前三年内,无《政府采购评审专家管理办法》中规定的不良行为记录。</w:t>
      </w:r>
    </w:p>
    <w:p w14:paraId="5F36B49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22.6有下列情形之一的，不得担任询价小组成员：</w:t>
      </w:r>
    </w:p>
    <w:p w14:paraId="74BEC22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(1)参加采购活动前三年内,与供应商存在劳动关系,或者担任过供应商的董事、监事,或者是供应商的控股股东或实际控制人；</w:t>
      </w:r>
    </w:p>
    <w:p w14:paraId="33E589E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(2)与供应商的法定代表人或者负责人有夫妻、直系血亲、三代以内旁系血亲或者近姻亲关系；</w:t>
      </w:r>
    </w:p>
    <w:p w14:paraId="35D9C6B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(3)与供应商有其他可能影响政府采购活动公平、公正进行的关系。</w:t>
      </w:r>
    </w:p>
    <w:p w14:paraId="2AB4078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lang w:eastAsia="zh-CN"/>
        </w:rPr>
      </w:pPr>
      <w:r>
        <w:rPr>
          <w:rFonts w:hint="eastAsia" w:ascii="仿宋" w:hAnsi="仿宋" w:eastAsia="仿宋" w:cs="仿宋"/>
          <w:color w:val="auto"/>
          <w:spacing w:val="-2"/>
          <w:sz w:val="24"/>
          <w:highlight w:val="none"/>
        </w:rPr>
        <w:t>22.7询价小组成员应当客观、公正地履行职责，遵守职业道德，并对所提出的评审意见承担个人责任。询价小组成员不得与任何供应商或者与招标结果有利害关系的人员进行私下接触，不得收受供应商、中介人、其他有利害关系人的财物或者其他好处。</w:t>
      </w:r>
    </w:p>
    <w:p w14:paraId="641EBD4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22.8询价小组成员和与本次评审活动有关的工作人员，不得透露对询价响应文件的评审和比较、成交候选人的推荐情况以及与评审有关的其他情况。与评审活动有关的工作人员，是指询价小组成员以外的、因参与评审监督工作或者事务性工作而知悉有关评审情况的所有人员。</w:t>
      </w:r>
    </w:p>
    <w:p w14:paraId="2338FF9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23.</w:t>
      </w:r>
      <w:r>
        <w:rPr>
          <w:rFonts w:hint="eastAsia" w:ascii="仿宋" w:hAnsi="仿宋" w:eastAsia="仿宋" w:cs="仿宋"/>
          <w:b/>
          <w:color w:val="auto"/>
          <w:sz w:val="24"/>
          <w:highlight w:val="none"/>
        </w:rPr>
        <w:t>评审的准备</w:t>
      </w:r>
    </w:p>
    <w:p w14:paraId="63667BF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23.1询价小组的成员应当熟悉并认真研究询价文件，至少应了解和熟悉以下内容：</w:t>
      </w:r>
    </w:p>
    <w:p w14:paraId="7AD4BBB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23.1.1采购目的。</w:t>
      </w:r>
    </w:p>
    <w:p w14:paraId="0CDD25B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23.1.2采购项目的范围、性质。</w:t>
      </w:r>
    </w:p>
    <w:p w14:paraId="4292530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23.1.3询价文件中规定的主要技术要求、标准和商务条款。</w:t>
      </w:r>
    </w:p>
    <w:p w14:paraId="356E918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23.1.4询价文件规定的评审标准、评审方法和在评审过程中应考虑的相关因素。</w:t>
      </w:r>
    </w:p>
    <w:p w14:paraId="164C70F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23.2采购人应当向询价小组提供评审所需的重要信息和数据。</w:t>
      </w:r>
    </w:p>
    <w:p w14:paraId="1A33FA0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pacing w:val="-2"/>
          <w:sz w:val="24"/>
          <w:highlight w:val="none"/>
        </w:rPr>
        <w:t>23.3询价小组应当根据询价文件规定的评审标准和方法，对询价响应文件进行系统地评审和比较。询价文件中没有规定的标准和方法不得作为评审的依据。</w:t>
      </w:r>
    </w:p>
    <w:p w14:paraId="116416C0">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24.</w:t>
      </w:r>
      <w:r>
        <w:rPr>
          <w:rFonts w:hint="eastAsia" w:ascii="仿宋" w:hAnsi="仿宋" w:eastAsia="仿宋" w:cs="仿宋"/>
          <w:b/>
          <w:color w:val="auto"/>
          <w:sz w:val="24"/>
          <w:highlight w:val="none"/>
        </w:rPr>
        <w:t>评审依据及评审办法</w:t>
      </w:r>
    </w:p>
    <w:p w14:paraId="03F2DE8E">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24.1评审依据为询价文件。</w:t>
      </w:r>
    </w:p>
    <w:p w14:paraId="6E1F3BD2">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24.2本次采购项目采用</w:t>
      </w:r>
      <w:r>
        <w:rPr>
          <w:rFonts w:hint="eastAsia" w:ascii="仿宋" w:hAnsi="仿宋" w:eastAsia="仿宋" w:cs="仿宋"/>
          <w:b/>
          <w:bCs/>
          <w:color w:val="auto"/>
          <w:sz w:val="24"/>
          <w:highlight w:val="none"/>
        </w:rPr>
        <w:t>最低价法</w:t>
      </w:r>
      <w:r>
        <w:rPr>
          <w:rFonts w:hint="eastAsia" w:ascii="仿宋" w:hAnsi="仿宋" w:eastAsia="仿宋" w:cs="仿宋"/>
          <w:color w:val="auto"/>
          <w:sz w:val="24"/>
          <w:highlight w:val="none"/>
        </w:rPr>
        <w:t>，以参与评审价格为准。</w:t>
      </w:r>
    </w:p>
    <w:p w14:paraId="121474B6">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z w:val="24"/>
          <w:highlight w:val="none"/>
        </w:rPr>
        <w:t>24.3采购人不接受不符合国家有关部门相关规定的</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或优惠方案。</w:t>
      </w:r>
    </w:p>
    <w:p w14:paraId="0DA909F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25.</w:t>
      </w:r>
      <w:r>
        <w:rPr>
          <w:rFonts w:hint="eastAsia" w:ascii="仿宋" w:hAnsi="仿宋" w:eastAsia="仿宋" w:cs="仿宋"/>
          <w:b/>
          <w:color w:val="auto"/>
          <w:sz w:val="24"/>
          <w:highlight w:val="none"/>
        </w:rPr>
        <w:t>评审程序及评审因素</w:t>
      </w:r>
    </w:p>
    <w:p w14:paraId="32DF4D02">
      <w:pPr>
        <w:pageBreakBefore w:val="0"/>
        <w:widowControl w:val="0"/>
        <w:tabs>
          <w:tab w:val="left" w:pos="1080"/>
        </w:tabs>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2"/>
          <w:highlight w:val="none"/>
          <w:lang w:val="zh-CN"/>
        </w:rPr>
      </w:pPr>
      <w:r>
        <w:rPr>
          <w:rFonts w:hint="eastAsia" w:ascii="仿宋" w:hAnsi="仿宋" w:eastAsia="仿宋" w:cs="仿宋"/>
          <w:b w:val="0"/>
          <w:bCs/>
          <w:color w:val="auto"/>
          <w:sz w:val="24"/>
          <w:szCs w:val="22"/>
          <w:highlight w:val="none"/>
        </w:rPr>
        <w:t>在询价前，由</w:t>
      </w:r>
      <w:r>
        <w:rPr>
          <w:rFonts w:hint="eastAsia" w:ascii="仿宋" w:hAnsi="仿宋" w:eastAsia="仿宋" w:cs="仿宋"/>
          <w:b w:val="0"/>
          <w:bCs/>
          <w:color w:val="auto"/>
          <w:sz w:val="24"/>
          <w:szCs w:val="22"/>
          <w:highlight w:val="none"/>
          <w:lang w:val="en-US" w:eastAsia="zh-CN"/>
        </w:rPr>
        <w:t>评审小组</w:t>
      </w:r>
      <w:r>
        <w:rPr>
          <w:rFonts w:hint="eastAsia" w:ascii="仿宋" w:hAnsi="仿宋" w:eastAsia="仿宋" w:cs="仿宋"/>
          <w:b w:val="0"/>
          <w:bCs/>
          <w:color w:val="auto"/>
          <w:sz w:val="24"/>
          <w:szCs w:val="22"/>
          <w:highlight w:val="none"/>
        </w:rPr>
        <w:t>进行</w:t>
      </w:r>
      <w:bookmarkStart w:id="75" w:name="_GoBack"/>
      <w:bookmarkEnd w:id="75"/>
      <w:r>
        <w:rPr>
          <w:rFonts w:hint="eastAsia" w:ascii="仿宋" w:hAnsi="仿宋" w:eastAsia="仿宋" w:cs="仿宋"/>
          <w:b w:val="0"/>
          <w:bCs/>
          <w:color w:val="auto"/>
          <w:sz w:val="24"/>
          <w:szCs w:val="22"/>
          <w:highlight w:val="none"/>
        </w:rPr>
        <w:t>资格审查。资格审查合格的供应商才能进入询价阶段。</w:t>
      </w:r>
      <w:r>
        <w:rPr>
          <w:rFonts w:hint="eastAsia" w:ascii="仿宋" w:hAnsi="仿宋" w:eastAsia="仿宋" w:cs="仿宋"/>
          <w:b w:val="0"/>
          <w:bCs/>
          <w:color w:val="auto"/>
          <w:sz w:val="24"/>
          <w:szCs w:val="22"/>
          <w:highlight w:val="none"/>
          <w:lang w:val="zh-CN"/>
        </w:rPr>
        <w:t>内容如下：</w:t>
      </w:r>
    </w:p>
    <w:p w14:paraId="26A799FE">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25.1评审程序</w:t>
      </w:r>
    </w:p>
    <w:p w14:paraId="131389E9">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附表一：资格审查</w:t>
      </w:r>
    </w:p>
    <w:p w14:paraId="7D1DDD62">
      <w:pPr>
        <w:pStyle w:val="17"/>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b/>
          <w:snapToGrid/>
          <w:color w:val="auto"/>
          <w:kern w:val="2"/>
          <w:sz w:val="24"/>
          <w:szCs w:val="24"/>
          <w:highlight w:val="none"/>
          <w:lang w:val="zh-CN" w:eastAsia="zh-CN" w:bidi="ar-SA"/>
        </w:rPr>
      </w:pPr>
      <w:r>
        <w:rPr>
          <w:rFonts w:hint="eastAsia" w:ascii="仿宋" w:hAnsi="仿宋" w:eastAsia="仿宋" w:cs="仿宋"/>
          <w:b/>
          <w:snapToGrid/>
          <w:color w:val="auto"/>
          <w:kern w:val="2"/>
          <w:sz w:val="24"/>
          <w:szCs w:val="24"/>
          <w:highlight w:val="none"/>
          <w:lang w:val="zh-CN" w:eastAsia="zh-CN" w:bidi="ar-SA"/>
        </w:rPr>
        <w:t>由采购人代表或采购代理机构查验：</w:t>
      </w:r>
    </w:p>
    <w:tbl>
      <w:tblPr>
        <w:tblStyle w:val="3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967"/>
        <w:gridCol w:w="100"/>
      </w:tblGrid>
      <w:tr w14:paraId="068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04F0ED7">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093A8E1">
            <w:pPr>
              <w:spacing w:line="32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r>
      <w:tr w14:paraId="0A2D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1562E07">
            <w:pPr>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8567B51">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，提供在中华人民共和国境内注册的法人</w:t>
            </w:r>
          </w:p>
          <w:p w14:paraId="2CCB5C28">
            <w:pPr>
              <w:spacing w:line="400" w:lineRule="atLeast"/>
              <w:ind w:left="-123" w:leftChars="-66" w:hanging="16" w:hanging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或其他组织的营业执照或事业单位法人证书或社会团体法人登记证书</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w:t>
            </w:r>
          </w:p>
        </w:tc>
      </w:tr>
      <w:tr w14:paraId="166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351" w:hRule="atLeast"/>
          <w:jc w:val="center"/>
        </w:trPr>
        <w:tc>
          <w:tcPr>
            <w:tcW w:w="712" w:type="dxa"/>
            <w:tcBorders>
              <w:top w:val="single" w:color="auto" w:sz="4" w:space="0"/>
              <w:left w:val="single" w:color="auto" w:sz="4" w:space="0"/>
              <w:right w:val="single" w:color="auto" w:sz="4" w:space="0"/>
            </w:tcBorders>
            <w:noWrap w:val="0"/>
            <w:vAlign w:val="center"/>
          </w:tcPr>
          <w:p w14:paraId="07CBFF9A">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2E1EED7E">
            <w:pPr>
              <w:spacing w:line="400" w:lineRule="atLeast"/>
              <w:ind w:left="-99" w:leftChars="-47" w:firstLine="16" w:firstLine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有依法缴纳税收的良好记录；（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w:t>
            </w:r>
          </w:p>
        </w:tc>
      </w:tr>
      <w:tr w14:paraId="76F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351" w:hRule="atLeast"/>
          <w:jc w:val="center"/>
        </w:trPr>
        <w:tc>
          <w:tcPr>
            <w:tcW w:w="712" w:type="dxa"/>
            <w:tcBorders>
              <w:top w:val="single" w:color="auto" w:sz="4" w:space="0"/>
              <w:left w:val="single" w:color="auto" w:sz="4" w:space="0"/>
              <w:right w:val="single" w:color="auto" w:sz="4" w:space="0"/>
            </w:tcBorders>
            <w:noWrap w:val="0"/>
            <w:vAlign w:val="center"/>
          </w:tcPr>
          <w:p w14:paraId="5F7DF714">
            <w:pPr>
              <w:spacing w:line="320" w:lineRule="exact"/>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022CADE">
            <w:pPr>
              <w:spacing w:line="400" w:lineRule="atLeast"/>
              <w:ind w:left="-99" w:leftChars="-47" w:firstLine="16" w:firstLine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有依法缴纳社会保障资金的良好记录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tc>
      </w:tr>
      <w:tr w14:paraId="3D1F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932" w:hRule="atLeast"/>
          <w:jc w:val="center"/>
        </w:trPr>
        <w:tc>
          <w:tcPr>
            <w:tcW w:w="712" w:type="dxa"/>
            <w:tcBorders>
              <w:top w:val="single" w:color="auto" w:sz="4" w:space="0"/>
              <w:left w:val="single" w:color="auto" w:sz="4" w:space="0"/>
              <w:right w:val="single" w:color="auto" w:sz="4" w:space="0"/>
            </w:tcBorders>
            <w:noWrap w:val="0"/>
            <w:vAlign w:val="center"/>
          </w:tcPr>
          <w:p w14:paraId="49ED7CF4">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5AA8A6E7">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成立超过一年需</w:t>
            </w:r>
          </w:p>
          <w:p w14:paraId="33CD8594">
            <w:pPr>
              <w:spacing w:line="400" w:lineRule="atLeast"/>
              <w:ind w:left="-83" w:leftChars="-47" w:hanging="16" w:hanging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提供2023年、2024年度任意一年的财务状况报表或经第三方审计出具的审计报告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扫描件并加盖公章（需包含资产负债表、现金流量表、利润表）或近三个月内任意一个月的银行资信证明材料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tc>
      </w:tr>
      <w:tr w14:paraId="2A82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right w:val="single" w:color="auto" w:sz="4" w:space="0"/>
            </w:tcBorders>
            <w:noWrap w:val="0"/>
            <w:vAlign w:val="center"/>
          </w:tcPr>
          <w:p w14:paraId="1348CB09">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750804A7">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w:t>
            </w:r>
          </w:p>
          <w:p w14:paraId="108BA475">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tc>
      </w:tr>
      <w:tr w14:paraId="4A7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12FB73CF">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5A2F3FB">
            <w:pPr>
              <w:spacing w:line="400" w:lineRule="atLeas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209446BC">
            <w:pPr>
              <w:spacing w:line="40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因违法经营受到刑事处罚或者责令停产停业、吊销许可证或者执照、较大数额罚款等行政处罚。（较大数额罚款按照发出行政处罚决</w:t>
            </w:r>
          </w:p>
          <w:p w14:paraId="7D034993">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定书部门所在省级政府，或实行垂直领导的国务院有关行政主管部门制定的较大数</w:t>
            </w:r>
          </w:p>
          <w:p w14:paraId="2C8AAB28">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额罚款标准，或罚款决定之前需要举行听证会的金额标准来认定。）</w:t>
            </w:r>
          </w:p>
        </w:tc>
      </w:tr>
      <w:tr w14:paraId="57C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08976680">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C25771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未被列入“信用中国”网站(www.creditchina.gov.cn)“记录失</w:t>
            </w:r>
          </w:p>
          <w:p w14:paraId="5A699BDF">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信被执行人、重大税收违法案件当事人名单、政府采购严重违法失信行为”记录名</w:t>
            </w:r>
          </w:p>
          <w:p w14:paraId="064A6DDA">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单；不处于中国政府采购网(www.ccgp.gov.cn)“政府采购严重违法失信行为信息记</w:t>
            </w:r>
          </w:p>
          <w:p w14:paraId="3029976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录”中的禁止参加政府采购活动期间。如相关失信记录已失效，</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需提供相关</w:t>
            </w:r>
          </w:p>
          <w:p w14:paraId="4FA499FF">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证明资料，如在上述网站查询结果均显示没有相关记录，视为没有上述不良信用记</w:t>
            </w:r>
          </w:p>
          <w:p w14:paraId="13EB6CC7">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w:t>
            </w:r>
          </w:p>
        </w:tc>
      </w:tr>
      <w:tr w14:paraId="434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F41174">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4F3B4BB">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，不得参加同一合</w:t>
            </w:r>
          </w:p>
          <w:p w14:paraId="088DDF9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同项下的政府采购活动。与采购人存在利害关系可能影响招标公正性的法人、其他</w:t>
            </w:r>
          </w:p>
          <w:p w14:paraId="352F0D08">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tc>
      </w:tr>
      <w:tr w14:paraId="635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908B68">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0326070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本项目专门面向小微企业采购项目（包含小型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微型</w:t>
            </w:r>
            <w:r>
              <w:rPr>
                <w:rFonts w:hint="eastAsia" w:ascii="仿宋" w:hAnsi="仿宋" w:eastAsia="仿宋" w:cs="仿宋"/>
                <w:color w:val="auto"/>
                <w:kern w:val="0"/>
                <w:sz w:val="24"/>
                <w:szCs w:val="24"/>
                <w:highlight w:val="none"/>
              </w:rPr>
              <w:t>企业）。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企业类型声明函</w:t>
            </w:r>
            <w:r>
              <w:rPr>
                <w:rFonts w:hint="eastAsia" w:ascii="仿宋" w:hAnsi="仿宋" w:eastAsia="仿宋" w:cs="仿宋"/>
                <w:color w:val="auto"/>
                <w:kern w:val="0"/>
                <w:sz w:val="24"/>
                <w:szCs w:val="24"/>
                <w:highlight w:val="none"/>
                <w:lang w:eastAsia="zh-CN"/>
              </w:rPr>
              <w:t>）</w:t>
            </w:r>
          </w:p>
        </w:tc>
      </w:tr>
      <w:tr w14:paraId="41F1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9" w:type="dxa"/>
            <w:gridSpan w:val="3"/>
            <w:tcBorders>
              <w:top w:val="single" w:color="auto" w:sz="4" w:space="0"/>
              <w:left w:val="single" w:color="auto" w:sz="4" w:space="0"/>
              <w:bottom w:val="single" w:color="auto" w:sz="4" w:space="0"/>
              <w:right w:val="single" w:color="auto" w:sz="4" w:space="0"/>
            </w:tcBorders>
            <w:noWrap w:val="0"/>
            <w:vAlign w:val="center"/>
          </w:tcPr>
          <w:p w14:paraId="144278B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备注：依据法律法规和采购文件的规定，对</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中的资格证明等进行审查，以确定</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是否具备</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资格，如</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中资格审查有一项未通过上述审查标准，将失去</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资格。</w:t>
            </w:r>
          </w:p>
        </w:tc>
      </w:tr>
    </w:tbl>
    <w:p w14:paraId="3E743D3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6108FE6">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附表二：符合性审查标准</w:t>
      </w:r>
    </w:p>
    <w:tbl>
      <w:tblPr>
        <w:tblStyle w:val="33"/>
        <w:tblW w:w="9575" w:type="dxa"/>
        <w:jc w:val="center"/>
        <w:tblLayout w:type="fixed"/>
        <w:tblCellMar>
          <w:top w:w="0" w:type="dxa"/>
          <w:left w:w="108" w:type="dxa"/>
          <w:bottom w:w="0" w:type="dxa"/>
          <w:right w:w="108" w:type="dxa"/>
        </w:tblCellMar>
      </w:tblPr>
      <w:tblGrid>
        <w:gridCol w:w="739"/>
        <w:gridCol w:w="8836"/>
      </w:tblGrid>
      <w:tr w14:paraId="43695D1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5D15D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85C8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标准</w:t>
            </w:r>
          </w:p>
        </w:tc>
      </w:tr>
      <w:tr w14:paraId="0EC9527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44B4">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2F83C">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供应商名称与营业执照一致；</w:t>
            </w:r>
          </w:p>
        </w:tc>
      </w:tr>
      <w:tr w14:paraId="4F3E817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B787F">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2BC7E">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法定代表人或其授权代理人签字、盖章的；</w:t>
            </w:r>
          </w:p>
        </w:tc>
      </w:tr>
      <w:tr w14:paraId="60C7CF6C">
        <w:tblPrEx>
          <w:tblCellMar>
            <w:top w:w="0" w:type="dxa"/>
            <w:left w:w="108" w:type="dxa"/>
            <w:bottom w:w="0" w:type="dxa"/>
            <w:right w:w="108" w:type="dxa"/>
          </w:tblCellMar>
        </w:tblPrEx>
        <w:trPr>
          <w:trHeight w:val="522"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6EFE7">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684F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是否交纳保证金；</w:t>
            </w:r>
          </w:p>
        </w:tc>
      </w:tr>
      <w:tr w14:paraId="32A1CA60">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6AD80">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B8330">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的报价针对同一种设备未出现了两个或两个以上的报价；</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未超过项目采购预算或最高限价的；</w:t>
            </w:r>
          </w:p>
        </w:tc>
      </w:tr>
      <w:tr w14:paraId="4E1A2DD9">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CC04E">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5CC8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规定的格式填写，内容不全或关键字迹模糊、无法辨认的；</w:t>
            </w:r>
          </w:p>
        </w:tc>
      </w:tr>
      <w:tr w14:paraId="7A422CE4">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2738B">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88324">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响应文件提供的</w:t>
            </w:r>
            <w:r>
              <w:rPr>
                <w:rFonts w:hint="eastAsia" w:ascii="仿宋" w:hAnsi="仿宋" w:eastAsia="仿宋" w:cs="仿宋"/>
                <w:color w:val="auto"/>
                <w:sz w:val="24"/>
                <w:highlight w:val="none"/>
                <w:lang w:val="en-US" w:eastAsia="zh-CN"/>
              </w:rPr>
              <w:t>分项报价表</w:t>
            </w:r>
            <w:r>
              <w:rPr>
                <w:rFonts w:hint="eastAsia" w:ascii="仿宋" w:hAnsi="仿宋" w:eastAsia="仿宋" w:cs="仿宋"/>
                <w:color w:val="auto"/>
                <w:sz w:val="24"/>
                <w:highlight w:val="none"/>
                <w:lang w:eastAsia="zh-CN"/>
              </w:rPr>
              <w:t>内容满足询价文件的要求，且没有缺项漏项。</w:t>
            </w:r>
          </w:p>
        </w:tc>
      </w:tr>
      <w:tr w14:paraId="32DB0EF8">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0AE11">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7CF35">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载明的采购项目完成期限超过</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规定期限的；</w:t>
            </w:r>
          </w:p>
        </w:tc>
      </w:tr>
      <w:tr w14:paraId="5E927A8C">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0B6EE">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32197">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文件载明的质保期满足招标文件规定；</w:t>
            </w:r>
          </w:p>
        </w:tc>
      </w:tr>
      <w:tr w14:paraId="0DAC29C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4EB65">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167FE">
            <w:pPr>
              <w:snapToGrid w:val="0"/>
              <w:spacing w:line="4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响应文件载明的投标有效期满足询价文件规定；</w:t>
            </w:r>
          </w:p>
        </w:tc>
      </w:tr>
      <w:tr w14:paraId="6310AF9E">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F62F6">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05DA9">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明显不符合</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规定的技术规格、技术标准以及商务条款要求的；</w:t>
            </w:r>
          </w:p>
        </w:tc>
      </w:tr>
      <w:tr w14:paraId="23DDC7A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26035">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A466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附有采购人不能接受的附加条件；未出现供应商对采购人、采购代理机构、评标委员会及其工作人员施加影响,有碍公平、公正的情形；未出现提供虚假材料等法律、法规和招标文件规定的其他无效情形</w:t>
            </w:r>
          </w:p>
        </w:tc>
      </w:tr>
      <w:tr w14:paraId="2594AE85">
        <w:tblPrEx>
          <w:tblCellMar>
            <w:top w:w="0" w:type="dxa"/>
            <w:left w:w="0" w:type="dxa"/>
            <w:bottom w:w="0" w:type="dxa"/>
            <w:right w:w="0" w:type="dxa"/>
          </w:tblCellMar>
        </w:tblPrEx>
        <w:trPr>
          <w:trHeight w:val="940" w:hRule="atLeast"/>
          <w:jc w:val="center"/>
        </w:trPr>
        <w:tc>
          <w:tcPr>
            <w:tcW w:w="9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F838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备注：由评审小组对符合资格的各</w:t>
            </w:r>
            <w:r>
              <w:rPr>
                <w:rFonts w:hint="eastAsia" w:ascii="仿宋" w:hAnsi="仿宋" w:eastAsia="仿宋" w:cs="仿宋"/>
                <w:color w:val="auto"/>
                <w:sz w:val="24"/>
                <w:highlight w:val="none"/>
                <w:lang w:eastAsia="zh-CN"/>
              </w:rPr>
              <w:t>供应商响应文件</w:t>
            </w:r>
            <w:r>
              <w:rPr>
                <w:rFonts w:hint="eastAsia" w:ascii="仿宋" w:hAnsi="仿宋" w:eastAsia="仿宋" w:cs="仿宋"/>
                <w:color w:val="auto"/>
                <w:sz w:val="24"/>
                <w:highlight w:val="none"/>
              </w:rPr>
              <w:t>进行符合性审查，如果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有一项未通过上述审查标准，评审小组将认定整个</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不响应</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而予以否决，并且不允许</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通过修改或撤销其不符合要求的差异或保留，使之成为具有响应性的响应。未通过符合性审查的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将按照无效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处理。</w:t>
            </w:r>
          </w:p>
        </w:tc>
      </w:tr>
    </w:tbl>
    <w:p w14:paraId="5F6DBCAA">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25.2定标原则</w:t>
      </w:r>
    </w:p>
    <w:p w14:paraId="046C42F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最低评标价法：是响应文件满足询价文件全部实质性要求且</w:t>
      </w:r>
      <w:r>
        <w:rPr>
          <w:rFonts w:hint="eastAsia" w:ascii="仿宋" w:hAnsi="仿宋" w:eastAsia="仿宋" w:cs="仿宋"/>
          <w:color w:val="auto"/>
          <w:spacing w:val="-2"/>
          <w:sz w:val="24"/>
          <w:szCs w:val="22"/>
          <w:highlight w:val="none"/>
          <w:lang w:eastAsia="zh-CN"/>
        </w:rPr>
        <w:t>响应报价</w:t>
      </w:r>
      <w:r>
        <w:rPr>
          <w:rFonts w:hint="eastAsia" w:ascii="仿宋" w:hAnsi="仿宋" w:eastAsia="仿宋" w:cs="仿宋"/>
          <w:color w:val="auto"/>
          <w:spacing w:val="-2"/>
          <w:sz w:val="24"/>
          <w:szCs w:val="22"/>
          <w:highlight w:val="none"/>
        </w:rPr>
        <w:t>最低的供应商为中标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候选人的评标办法。</w:t>
      </w:r>
    </w:p>
    <w:p w14:paraId="464FACE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询价小组根据符合采购需求、质量和服务相等且报价最低的原则确定中标（成交）人，出具《评审报告》推荐预中标（成交）单位，并将结果通知所有参加询价的未中标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的供应商。</w:t>
      </w:r>
      <w:r>
        <w:rPr>
          <w:rFonts w:hint="eastAsia" w:ascii="仿宋" w:hAnsi="仿宋" w:eastAsia="仿宋" w:cs="仿宋"/>
          <w:color w:val="auto"/>
          <w:spacing w:val="-2"/>
          <w:sz w:val="24"/>
          <w:szCs w:val="22"/>
          <w:highlight w:val="none"/>
          <w:lang w:eastAsia="zh-CN"/>
        </w:rPr>
        <w:t>采购人</w:t>
      </w:r>
      <w:r>
        <w:rPr>
          <w:rFonts w:hint="eastAsia" w:ascii="仿宋" w:hAnsi="仿宋" w:eastAsia="仿宋" w:cs="仿宋"/>
          <w:color w:val="auto"/>
          <w:spacing w:val="-2"/>
          <w:sz w:val="24"/>
          <w:szCs w:val="22"/>
          <w:highlight w:val="none"/>
        </w:rPr>
        <w:t>不向落标人解释落标原因，不退还响应文件。</w:t>
      </w:r>
    </w:p>
    <w:p w14:paraId="6C3AD747">
      <w:pPr>
        <w:pStyle w:val="1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仿宋" w:hAnsi="仿宋" w:eastAsia="仿宋" w:cs="仿宋"/>
          <w:snapToGrid/>
          <w:color w:val="auto"/>
          <w:spacing w:val="-2"/>
          <w:kern w:val="2"/>
          <w:sz w:val="24"/>
          <w:szCs w:val="22"/>
          <w:highlight w:val="none"/>
        </w:rPr>
      </w:pPr>
      <w:bookmarkStart w:id="11" w:name="_Toc134550680"/>
      <w:r>
        <w:rPr>
          <w:rFonts w:hint="eastAsia" w:ascii="仿宋" w:hAnsi="仿宋" w:eastAsia="仿宋" w:cs="仿宋"/>
          <w:snapToGrid/>
          <w:color w:val="auto"/>
          <w:spacing w:val="-2"/>
          <w:kern w:val="2"/>
          <w:sz w:val="24"/>
          <w:szCs w:val="22"/>
          <w:highlight w:val="none"/>
        </w:rPr>
        <w:t>25.3采购人根据询价小组的评审报告，应当确定排名第一的中标（成交）候选人为中标（成交）人。排名第一的中标（成交）候选人放弃成交、因不可抗力不能履行合同、不按照询价文件要求提交履约保证金，或者被查实存在影响成交结果的违法行为等情形，不符合成交条件的，采购人可以按照询价小组提出的中标（成交）候选人名单排序依次确定其他中标（成交）候选人为中标（成交）人，也可重新采购。</w:t>
      </w:r>
      <w:bookmarkEnd w:id="11"/>
    </w:p>
    <w:p w14:paraId="370C4987">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25.4供应商有以下情形之一的，中标、成交无效。</w:t>
      </w:r>
    </w:p>
    <w:p w14:paraId="525A6410">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4B60D7D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（2）采取不正当手段诋毁、排挤其他供应商的；</w:t>
      </w:r>
    </w:p>
    <w:p w14:paraId="39D2FAE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（3）与采购人、其他供应商或者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恶意串通的；</w:t>
      </w:r>
    </w:p>
    <w:p w14:paraId="33F060D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行贿或者提供其他不正当利益的；</w:t>
      </w:r>
    </w:p>
    <w:p w14:paraId="578340D8">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（5）在招标采购过程中与采购人进行协商的；</w:t>
      </w:r>
    </w:p>
    <w:p w14:paraId="295BAA35">
      <w:pPr>
        <w:pStyle w:val="15"/>
        <w:keepNext w:val="0"/>
        <w:keepLines w:val="0"/>
        <w:pageBreakBefore w:val="0"/>
        <w:widowControl w:val="0"/>
        <w:kinsoku/>
        <w:overflowPunct/>
        <w:topLinePunct w:val="0"/>
        <w:autoSpaceDE/>
        <w:autoSpaceDN/>
        <w:bidi w:val="0"/>
        <w:adjustRightInd/>
        <w:snapToGrid/>
        <w:spacing w:after="0" w:afterLines="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（6）拒绝有关部门监督检查或者提供虚假情况的。</w:t>
      </w:r>
    </w:p>
    <w:p w14:paraId="064E81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询价小组应当对响应文件进行审查，并根据询价文件规定的程序、评定成交的标准等事项与实质性响应询价文件要求的制造商进行招标。未实质性响应询价文件的响应文件按无效处理，询价小组应当告知有关供应商。</w:t>
      </w:r>
    </w:p>
    <w:p w14:paraId="79EA8447">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询价小组应当执行连续评标的原则完成全部评标工作。只有发生不可抗力导致评标工作无法继续时，评标活动方可暂停。发生评标暂停情况时，询价小组应当封存全部响应文件和评标记录，待不可抗力的影响结束且具备继续评标的条件时，由原询价小组继续评标。</w:t>
      </w:r>
    </w:p>
    <w:p w14:paraId="21C715A5">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除非发生下列情况之一，询价小组成员不得在评标中途更换：(1)因不可抗拒的客观原因，不能到场或需在评标中途退出评标活动；(2)根据法律法规规定，某个或某几个询价小组成员需要回避。退出评标的询价小组成员，其已完成的评标行为无效。根据本询价文件规定的询价小组成员产生方式另行确定替代者进行评标。</w:t>
      </w:r>
    </w:p>
    <w:p w14:paraId="48589D2C">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3、在任何评标环节中，需询价小组就某项评审结论做出表决的，由询价小组全体成员按照少数服从多数的原则，以记名投票方式表决。</w:t>
      </w:r>
    </w:p>
    <w:p w14:paraId="5ED54691">
      <w:pPr>
        <w:keepNext w:val="0"/>
        <w:keepLines w:val="0"/>
        <w:pageBreakBefore w:val="0"/>
        <w:widowControl w:val="0"/>
        <w:kinsoku/>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落实政府采购政策：</w:t>
      </w:r>
    </w:p>
    <w:p w14:paraId="0FCB44E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根据财政部、工业和信息化部印发的《政府采购促进中小企业发展管理办法》（财库〔2020〕46号）的规定，对小型和微型企业产品的价格给予10%的扣除，用扣除后的价格参与评审；提供的服务中仅有部分小型和微型企业的，则按所提供小型和微型企业服务的价格予以扣除。</w:t>
      </w:r>
    </w:p>
    <w:p w14:paraId="57BE185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2）《政府采购促进中小企业发展管理办法》所指中小企业（含中型、小型、微型企业，下同）应当同时符合以下条件：</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1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①</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符合中小企业划分标准；</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2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②</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14:paraId="4C287C5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3）参加政府采购活动的中小企业应当提供《中小企业声明函》（格式见第五部分报价文件格式）。</w:t>
      </w:r>
    </w:p>
    <w:p w14:paraId="20B30C9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4）监狱企业视同小型、微型企业，享受评审中价格扣除。</w:t>
      </w:r>
    </w:p>
    <w:p w14:paraId="210D76A9">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5）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F8C87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6）监狱企业参加政府采购活动时，应当提供由省级以上监狱管理局、戒毒管理局（含新疆生产建设兵团）出具的属于监狱企业的证明文件，否则不予认可。</w:t>
      </w:r>
    </w:p>
    <w:p w14:paraId="41A8BE53">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7）报价人同时为小型、微型企业和监狱企业的，评审中只享受一次价格扣除。不重复进行价格扣除。</w:t>
      </w:r>
    </w:p>
    <w:p w14:paraId="317A9782">
      <w:pPr>
        <w:keepNext w:val="0"/>
        <w:keepLines w:val="0"/>
        <w:pageBreakBefore w:val="0"/>
        <w:widowControl w:val="0"/>
        <w:tabs>
          <w:tab w:val="center" w:pos="4422"/>
          <w:tab w:val="left" w:pos="6466"/>
        </w:tabs>
        <w:kinsoku/>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七、授予合同</w:t>
      </w:r>
    </w:p>
    <w:p w14:paraId="41097813">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26.</w:t>
      </w:r>
      <w:r>
        <w:rPr>
          <w:rFonts w:hint="eastAsia" w:ascii="仿宋" w:hAnsi="仿宋" w:eastAsia="仿宋" w:cs="仿宋"/>
          <w:b/>
          <w:color w:val="auto"/>
          <w:sz w:val="24"/>
          <w:highlight w:val="none"/>
        </w:rPr>
        <w:t>签订合同</w:t>
      </w:r>
    </w:p>
    <w:p w14:paraId="35566F48">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26.1　成交方收到</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的《中标（成交）通知书》后30日内，按照询价文件的约定和成交方响应文件中的承诺与采购单位签订书面合同，所签订的合同不得对询价文件和成交方的响应文件作实质性修改。</w:t>
      </w:r>
    </w:p>
    <w:p w14:paraId="7240983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26.2</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在授予合同时，有权对询价文件中规定的服务的数量在</w:t>
      </w:r>
      <w:r>
        <w:rPr>
          <w:rFonts w:hint="eastAsia" w:ascii="仿宋" w:hAnsi="仿宋" w:eastAsia="仿宋" w:cs="仿宋"/>
          <w:color w:val="auto"/>
          <w:spacing w:val="-2"/>
          <w:sz w:val="24"/>
          <w:highlight w:val="none"/>
          <w:u w:val="single"/>
        </w:rPr>
        <w:t>10%</w:t>
      </w:r>
      <w:r>
        <w:rPr>
          <w:rFonts w:hint="eastAsia" w:ascii="仿宋" w:hAnsi="仿宋" w:eastAsia="仿宋" w:cs="仿宋"/>
          <w:color w:val="auto"/>
          <w:spacing w:val="-2"/>
          <w:sz w:val="24"/>
          <w:highlight w:val="none"/>
        </w:rPr>
        <w:t>的幅度内予以增加或减少</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lang w:val="en-US" w:eastAsia="zh-CN"/>
        </w:rPr>
        <w:t>如有时采用</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w:t>
      </w:r>
    </w:p>
    <w:p w14:paraId="4FD9FD36">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26.3如成交方拒签合同，则按违约处理。采购人没收其保证金。</w:t>
      </w:r>
    </w:p>
    <w:p w14:paraId="3767558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26.4询价文件、成交方的响应文件及其澄清文件等，均为签订经济合同的依据。</w:t>
      </w:r>
    </w:p>
    <w:p w14:paraId="4F852F6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26.5不允许中标（成交）人将中标项目分包或转交他人承担。特殊情况下，中标（成交）人必须与</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协商后共同决定将合同标的中的部分由第三方承担供货和服务责任，但成交方必须对合同标的的全部内容向</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负责，并保证第三方提供的供货和服务符合询价文件的约定和响应文件的承诺及相关约定。</w:t>
      </w:r>
    </w:p>
    <w:p w14:paraId="61631B2F">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27.</w:t>
      </w:r>
      <w:r>
        <w:rPr>
          <w:rFonts w:hint="eastAsia" w:ascii="仿宋" w:hAnsi="仿宋" w:eastAsia="仿宋" w:cs="仿宋"/>
          <w:b/>
          <w:color w:val="auto"/>
          <w:sz w:val="24"/>
          <w:highlight w:val="none"/>
        </w:rPr>
        <w:t>重新</w:t>
      </w: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和不再</w:t>
      </w:r>
      <w:r>
        <w:rPr>
          <w:rFonts w:hint="eastAsia" w:ascii="仿宋" w:hAnsi="仿宋" w:eastAsia="仿宋" w:cs="仿宋"/>
          <w:b/>
          <w:color w:val="auto"/>
          <w:sz w:val="24"/>
          <w:highlight w:val="none"/>
          <w:lang w:val="en-US" w:eastAsia="zh-CN"/>
        </w:rPr>
        <w:t>采购</w:t>
      </w:r>
    </w:p>
    <w:p w14:paraId="3423D39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27.1重新招标</w:t>
      </w:r>
    </w:p>
    <w:p w14:paraId="13865F64">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有下列情形之一的，采购人将重新招标：</w:t>
      </w:r>
    </w:p>
    <w:p w14:paraId="7971D16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截止时间止，供应商少于3家的；</w:t>
      </w:r>
    </w:p>
    <w:p w14:paraId="1C8C37D1">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（2）经询价小组评审后否决所有</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的；</w:t>
      </w:r>
    </w:p>
    <w:p w14:paraId="4DA9115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（3）经评审后，如合格的供应商少于三家的，且明显缺乏竞争的，询价小组可以否决全部</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，采购人将重新组织询价会议；</w:t>
      </w:r>
    </w:p>
    <w:p w14:paraId="396D804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（4）法律法规规定的其他情形。</w:t>
      </w:r>
    </w:p>
    <w:p w14:paraId="470EB768">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bCs/>
          <w:color w:val="auto"/>
          <w:spacing w:val="-2"/>
          <w:sz w:val="24"/>
          <w:highlight w:val="none"/>
        </w:rPr>
      </w:pPr>
      <w:r>
        <w:rPr>
          <w:rFonts w:hint="default" w:ascii="仿宋" w:hAnsi="仿宋" w:eastAsia="仿宋" w:cs="仿宋"/>
          <w:b/>
          <w:bCs/>
          <w:color w:val="auto"/>
          <w:spacing w:val="-2"/>
          <w:kern w:val="2"/>
          <w:sz w:val="24"/>
          <w:highlight w:val="none"/>
          <w:lang w:val="en-US" w:eastAsia="zh-CN" w:bidi="ar-SA"/>
        </w:rPr>
        <w:t>28.</w:t>
      </w:r>
      <w:r>
        <w:rPr>
          <w:rFonts w:hint="eastAsia" w:ascii="仿宋" w:hAnsi="仿宋" w:eastAsia="仿宋" w:cs="仿宋"/>
          <w:b/>
          <w:bCs/>
          <w:color w:val="auto"/>
          <w:spacing w:val="-2"/>
          <w:sz w:val="24"/>
          <w:highlight w:val="none"/>
        </w:rPr>
        <w:t>质疑</w:t>
      </w:r>
    </w:p>
    <w:p w14:paraId="3BC659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供应商认为询价文件、询价过程和中标结果使自己的权益受到损害的，可以在知道或者应知其权益受到损害之日起七个工作日内，以书面形式向采购人提出质疑。</w:t>
      </w:r>
    </w:p>
    <w:p w14:paraId="77878B35">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投诉</w:t>
      </w:r>
    </w:p>
    <w:p w14:paraId="1B277C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质疑供应商对</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的答复不满意或者</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未在规定的时间内作出答复的，可以在答复期满后十五个工作日内向同级政府采购监督管理部门投诉。</w:t>
      </w:r>
    </w:p>
    <w:p w14:paraId="36C116EB">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其他</w:t>
      </w:r>
    </w:p>
    <w:p w14:paraId="1DA3330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本询价文件未尽事宜按现行政府采购活动的有关法律法规和规定执行。</w:t>
      </w:r>
    </w:p>
    <w:p w14:paraId="289F45AA">
      <w:pPr>
        <w:pStyle w:val="80"/>
        <w:spacing w:before="0" w:after="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br w:type="page"/>
      </w:r>
      <w:bookmarkStart w:id="12" w:name="_Toc134550681"/>
      <w:r>
        <w:rPr>
          <w:rFonts w:hint="eastAsia" w:ascii="仿宋" w:hAnsi="仿宋" w:eastAsia="仿宋" w:cs="仿宋"/>
          <w:b/>
          <w:color w:val="auto"/>
          <w:kern w:val="2"/>
          <w:sz w:val="36"/>
          <w:szCs w:val="36"/>
          <w:highlight w:val="none"/>
        </w:rPr>
        <w:t>第三部分采购</w:t>
      </w:r>
      <w:bookmarkEnd w:id="12"/>
      <w:r>
        <w:rPr>
          <w:rFonts w:hint="eastAsia" w:ascii="仿宋" w:hAnsi="仿宋" w:eastAsia="仿宋" w:cs="仿宋"/>
          <w:b/>
          <w:color w:val="auto"/>
          <w:kern w:val="2"/>
          <w:sz w:val="36"/>
          <w:szCs w:val="36"/>
          <w:highlight w:val="none"/>
          <w:lang w:val="en-US" w:eastAsia="zh-CN"/>
        </w:rPr>
        <w:t>需求</w:t>
      </w:r>
    </w:p>
    <w:p w14:paraId="6BA6988B">
      <w:pPr>
        <w:keepNext w:val="0"/>
        <w:keepLines w:val="0"/>
        <w:pageBreakBefore w:val="0"/>
        <w:numPr>
          <w:ilvl w:val="0"/>
          <w:numId w:val="4"/>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bookmarkStart w:id="13" w:name="_Toc134550683"/>
      <w:r>
        <w:rPr>
          <w:rFonts w:hint="eastAsia" w:ascii="仿宋" w:hAnsi="仿宋" w:eastAsia="仿宋" w:cs="仿宋"/>
          <w:b/>
          <w:bCs/>
          <w:color w:val="auto"/>
          <w:sz w:val="24"/>
          <w:szCs w:val="24"/>
          <w:highlight w:val="none"/>
          <w:lang w:val="en-US" w:eastAsia="zh-CN"/>
        </w:rPr>
        <w:t>采购需求</w:t>
      </w:r>
    </w:p>
    <w:p w14:paraId="6E27ED8B">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olor w:val="auto"/>
          <w:sz w:val="24"/>
          <w:szCs w:val="24"/>
          <w:highlight w:val="none"/>
          <w:lang w:eastAsia="zh-CN"/>
        </w:rPr>
      </w:pPr>
      <w:r>
        <w:rPr>
          <w:rFonts w:hint="default" w:ascii="仿宋" w:hAnsi="仿宋" w:eastAsia="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olor w:val="auto"/>
          <w:sz w:val="24"/>
          <w:szCs w:val="24"/>
          <w:highlight w:val="none"/>
          <w:lang w:eastAsia="zh-CN"/>
        </w:rPr>
        <w:t>新疆维吾尔自治区民政康复中心医疗条件改造提升项目</w:t>
      </w:r>
    </w:p>
    <w:p w14:paraId="0BD4B013">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2.预算价（控制价/元）：</w:t>
      </w:r>
      <w:r>
        <w:rPr>
          <w:rFonts w:hint="eastAsia" w:ascii="仿宋" w:hAnsi="仿宋" w:eastAsia="仿宋" w:cs="宋体"/>
          <w:color w:val="auto"/>
          <w:kern w:val="0"/>
          <w:sz w:val="24"/>
          <w:szCs w:val="24"/>
          <w:highlight w:val="none"/>
          <w:lang w:val="en-US" w:eastAsia="zh-CN"/>
        </w:rPr>
        <w:t>475000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6AFBDA9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3.交货期/供货期：合同签订后7个工作日内送达至指定地点，并安装调试完毕</w:t>
      </w:r>
    </w:p>
    <w:p w14:paraId="761A0BFC">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4.质保期：（1）医疗设备安装调试验收(以甲方验收时间为准）合格后起(一次性耗材除外）无条件免费整机质保1年；</w:t>
      </w:r>
    </w:p>
    <w:p w14:paraId="2F2EFF3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（2）健身器材产品质保期为2年；</w:t>
      </w:r>
    </w:p>
    <w:p w14:paraId="7A3953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（3）如产品出厂的质保期大于2年的以出厂的质保期为准。</w:t>
      </w:r>
    </w:p>
    <w:p w14:paraId="73DDC87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5.供货地点：新疆维吾尔自治区民政康复中心院内</w:t>
      </w:r>
    </w:p>
    <w:p w14:paraId="430F430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6.付款方式：第一次付款：合同签订后支付合同总价30%的预付款；</w:t>
      </w:r>
    </w:p>
    <w:p w14:paraId="54ADD0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第二次付款：货物运送至甲方指定地点后并根据甲方内部管理规定，按要求安装调试完毕，满足终验条件，乙方提交全部验收材料，通过甲方组织的验收合格后，依照财务流程支付合同总价70%。</w:t>
      </w:r>
    </w:p>
    <w:p w14:paraId="6C2649D6">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b/>
          <w:bCs/>
          <w:color w:val="auto"/>
          <w:sz w:val="24"/>
          <w:szCs w:val="24"/>
          <w:highlight w:val="none"/>
          <w:lang w:val="en-US" w:eastAsia="zh-CN"/>
        </w:rPr>
        <w:t>说明：</w:t>
      </w:r>
      <w:r>
        <w:rPr>
          <w:rFonts w:hint="eastAsia" w:ascii="仿宋" w:hAnsi="仿宋" w:eastAsia="仿宋" w:cs="仿宋"/>
          <w:color w:val="auto"/>
          <w:sz w:val="24"/>
          <w:szCs w:val="24"/>
          <w:highlight w:val="none"/>
          <w:lang w:val="zh-TW" w:eastAsia="zh-CN"/>
        </w:rPr>
        <w:t>1、总报价中包括但不限于税费、运输费、各种线材辅材配件、保险费及所配套的土建、吊装就位，培训、安装、调试等所有相关费用，最终达到甲方使用要求。</w:t>
      </w:r>
    </w:p>
    <w:p w14:paraId="341B4078">
      <w:pPr>
        <w:spacing w:line="4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的报价未</w:t>
      </w:r>
      <w:r>
        <w:rPr>
          <w:rFonts w:hint="eastAsia" w:ascii="仿宋" w:hAnsi="仿宋" w:eastAsia="仿宋" w:cs="仿宋"/>
          <w:b w:val="0"/>
          <w:bCs w:val="0"/>
          <w:color w:val="auto"/>
          <w:sz w:val="24"/>
          <w:szCs w:val="24"/>
          <w:highlight w:val="none"/>
          <w:lang w:val="en-US" w:eastAsia="zh-CN"/>
        </w:rPr>
        <w:t>高于</w:t>
      </w:r>
      <w:r>
        <w:rPr>
          <w:rFonts w:hint="eastAsia" w:ascii="仿宋" w:hAnsi="仿宋" w:eastAsia="仿宋" w:cs="仿宋"/>
          <w:b w:val="0"/>
          <w:bCs w:val="0"/>
          <w:color w:val="auto"/>
          <w:sz w:val="24"/>
          <w:szCs w:val="24"/>
          <w:highlight w:val="none"/>
        </w:rPr>
        <w:t>采购预算/</w:t>
      </w:r>
      <w:bookmarkStart w:id="14" w:name="OLE_LINK15"/>
      <w:r>
        <w:rPr>
          <w:rFonts w:hint="eastAsia" w:ascii="仿宋" w:hAnsi="仿宋" w:eastAsia="仿宋" w:cs="仿宋"/>
          <w:b w:val="0"/>
          <w:bCs w:val="0"/>
          <w:color w:val="auto"/>
          <w:sz w:val="24"/>
          <w:szCs w:val="24"/>
          <w:highlight w:val="none"/>
          <w:lang w:val="en-US" w:eastAsia="zh-CN"/>
        </w:rPr>
        <w:t>最高限</w:t>
      </w:r>
      <w:r>
        <w:rPr>
          <w:rFonts w:hint="eastAsia" w:ascii="仿宋" w:hAnsi="仿宋" w:eastAsia="仿宋" w:cs="仿宋"/>
          <w:b w:val="0"/>
          <w:bCs w:val="0"/>
          <w:color w:val="auto"/>
          <w:sz w:val="24"/>
          <w:szCs w:val="24"/>
          <w:highlight w:val="none"/>
        </w:rPr>
        <w:t>价</w:t>
      </w:r>
      <w:bookmarkEnd w:id="14"/>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同时未高于单个产品采购预算或最高限价</w:t>
      </w:r>
      <w:r>
        <w:rPr>
          <w:rFonts w:hint="eastAsia" w:ascii="仿宋" w:hAnsi="仿宋" w:eastAsia="仿宋" w:cs="仿宋"/>
          <w:b w:val="0"/>
          <w:bCs w:val="0"/>
          <w:color w:val="auto"/>
          <w:sz w:val="24"/>
          <w:szCs w:val="24"/>
          <w:highlight w:val="none"/>
          <w:lang w:eastAsia="zh-CN"/>
        </w:rPr>
        <w:t>；</w:t>
      </w:r>
    </w:p>
    <w:p w14:paraId="4811400F">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（1）允许采购进口产品时，若投标产品为进口产品的，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但不限于设备价款、对美加征的特别进口关税（仅产品注册产地为美国的产品）、每个美元0.2元人民币的进口环节各项费用和外贸代理费，及与本项目相关的安装、调试、培训、技术服务及招标文件中规定的保险、运输和其他相关伴随服务费用。采购人不再额外支付其他任何款项和费用（含税款）。其中人民币折算美元汇率以开标当日中国银行官网零点首次公布的美元现汇卖出价为准。</w:t>
      </w:r>
      <w:r>
        <w:rPr>
          <w:rFonts w:hint="eastAsia" w:ascii="仿宋" w:hAnsi="仿宋" w:eastAsia="仿宋" w:cs="仿宋"/>
          <w:color w:val="auto"/>
          <w:sz w:val="24"/>
          <w:szCs w:val="24"/>
          <w:highlight w:val="none"/>
          <w:lang w:val="en-US" w:eastAsia="zh-CN"/>
        </w:rPr>
        <w:t>详见第一条进口设备付款要求备注。</w:t>
      </w:r>
    </w:p>
    <w:p w14:paraId="311011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（2）若投标产品为国产的，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应包含但不限于税费、运输费、各种线材辅材配件、保险费及所配套的土建、吊装就位，培训、安装、调试等所有相关费用，最终达到甲方使用要求。</w:t>
      </w:r>
    </w:p>
    <w:p w14:paraId="5F6E1CF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7051B8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384D0D4C">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技术参数</w:t>
      </w:r>
    </w:p>
    <w:p w14:paraId="60670F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2.1、</w:t>
      </w:r>
      <w:r>
        <w:rPr>
          <w:rFonts w:hint="eastAsia" w:ascii="仿宋" w:hAnsi="仿宋" w:eastAsia="仿宋" w:cs="仿宋"/>
          <w:color w:val="auto"/>
          <w:sz w:val="24"/>
          <w:szCs w:val="24"/>
          <w:highlight w:val="none"/>
          <w:lang w:val="en-US" w:eastAsia="zh-CN"/>
        </w:rPr>
        <w:t>项目名称：</w:t>
      </w:r>
      <w:r>
        <w:rPr>
          <w:rFonts w:hint="eastAsia" w:ascii="仿宋" w:hAnsi="仿宋" w:eastAsia="仿宋"/>
          <w:color w:val="auto"/>
          <w:sz w:val="24"/>
          <w:szCs w:val="24"/>
          <w:highlight w:val="none"/>
          <w:lang w:eastAsia="zh-CN"/>
        </w:rPr>
        <w:t>新疆维吾尔自治区民政康复中心医疗条件改造提升项目</w:t>
      </w:r>
    </w:p>
    <w:p w14:paraId="0F2C5FDE">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2.2、预算价（控制价/元）：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1C206A8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2.3、货物需求一览表</w:t>
      </w:r>
    </w:p>
    <w:tbl>
      <w:tblPr>
        <w:tblStyle w:val="33"/>
        <w:tblW w:w="96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516"/>
        <w:gridCol w:w="5376"/>
        <w:gridCol w:w="977"/>
        <w:gridCol w:w="1031"/>
      </w:tblGrid>
      <w:tr w14:paraId="1D7B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FA6E35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594229C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5376" w:type="dxa"/>
            <w:tcBorders>
              <w:top w:val="single" w:color="000000" w:sz="4" w:space="0"/>
              <w:left w:val="single" w:color="000000" w:sz="4" w:space="0"/>
              <w:bottom w:val="single" w:color="000000" w:sz="4" w:space="0"/>
              <w:right w:val="single" w:color="000000" w:sz="4" w:space="0"/>
            </w:tcBorders>
            <w:noWrap/>
            <w:vAlign w:val="center"/>
          </w:tcPr>
          <w:p w14:paraId="44A02E3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FC7EB1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3CDA30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4E1E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35C2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B978B8">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1.全自动血液细胞分析仪</w:t>
            </w:r>
          </w:p>
          <w:p w14:paraId="74A2A433">
            <w:pPr>
              <w:jc w:val="left"/>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0F9D15B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1.测试速度：≥59样本/小时。</w:t>
            </w:r>
          </w:p>
          <w:p w14:paraId="71BFD72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2.进样方式：全自动进样器可放入≥39个标本。</w:t>
            </w:r>
          </w:p>
          <w:p w14:paraId="1699DBD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3.工作模式：全自动闭盖进样和手动开盖进样兼备，具备急诊样本优先检测功能。</w:t>
            </w:r>
          </w:p>
          <w:p w14:paraId="02D869B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4.测量原理：WBC五分类双通道检测（4diff通道+嗜碱通道），有独立的嗜碱性粒细胞检测通道。</w:t>
            </w:r>
          </w:p>
          <w:p w14:paraId="7BFCB53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5.测试参数：≥20项基本参数及4项研究参数和一个散点图、三个直方图</w:t>
            </w:r>
          </w:p>
          <w:p w14:paraId="78F954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6.检测精度：WBC≤2.5%，RBC≤1.5%，HGB≤1.5%，MCV≤1.5%,PLT≤4.0%。</w:t>
            </w:r>
          </w:p>
          <w:p w14:paraId="58033BC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7.操作软件：全中文操作</w:t>
            </w:r>
          </w:p>
          <w:p w14:paraId="74485E7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8.样本模式：静脉全血、预稀释末梢血（配备内置稀释器，自动完成预稀释）。</w:t>
            </w:r>
          </w:p>
          <w:p w14:paraId="2F98A8E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9.样本量：静脉全血≤23ul，预稀释末梢血≤21ul</w:t>
            </w:r>
          </w:p>
          <w:p w14:paraId="4C25B45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10.功能：完成五分类检测≤21ul，并可重复检测一次。</w:t>
            </w:r>
          </w:p>
          <w:p w14:paraId="624D8CC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11.采样针：采用侧开口设计。</w:t>
            </w:r>
          </w:p>
          <w:p w14:paraId="0DDBE2D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12.资料储存：海量存储样本完整结果，包括所有中文信息和全部散点图及直方图。</w:t>
            </w:r>
          </w:p>
          <w:p w14:paraId="1F31024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13.数据输出：具备USB接口和网络接口，有联网功能，可链接医院LIS系统，并承担相网络接口费用,可支持多种打印机。</w:t>
            </w:r>
          </w:p>
          <w:p w14:paraId="5C0C0F5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14.报告单格式：测量结果中文打印，多种报告格式可选。</w:t>
            </w:r>
          </w:p>
          <w:p w14:paraId="661F649E">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15.配套系统：具备原厂配套校准物和质控物，可直接溯源至国际参考方法。</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DE7B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09177BF9">
            <w:pPr>
              <w:jc w:val="center"/>
              <w:rPr>
                <w:rFonts w:hint="eastAsia" w:ascii="宋体" w:hAnsi="宋体" w:eastAsia="宋体" w:cs="宋体"/>
                <w:i w:val="0"/>
                <w:iCs w:val="0"/>
                <w:color w:val="auto"/>
                <w:sz w:val="24"/>
                <w:szCs w:val="24"/>
                <w:highlight w:val="none"/>
                <w:u w:val="none"/>
              </w:rPr>
            </w:pPr>
            <w:r>
              <w:rPr>
                <w:rFonts w:hint="eastAsia" w:ascii="Times New Roman" w:hAnsi="Times New Roman" w:eastAsia="宋体" w:cs="Times New Roman"/>
                <w:color w:val="auto"/>
                <w:highlight w:val="none"/>
                <w:vertAlign w:val="baseline"/>
                <w:lang w:val="en-US" w:eastAsia="zh-CN"/>
              </w:rPr>
              <w:t>1</w:t>
            </w:r>
          </w:p>
        </w:tc>
      </w:tr>
      <w:tr w14:paraId="01AE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3DDF0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16" w:type="dxa"/>
            <w:tcBorders>
              <w:top w:val="single" w:color="000000" w:sz="4" w:space="0"/>
              <w:left w:val="single" w:color="000000" w:sz="4" w:space="0"/>
              <w:bottom w:val="nil"/>
              <w:right w:val="single" w:color="000000" w:sz="4" w:space="0"/>
            </w:tcBorders>
            <w:noWrap/>
            <w:vAlign w:val="top"/>
          </w:tcPr>
          <w:p w14:paraId="1D65B37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2.12导心电图机</w:t>
            </w:r>
          </w:p>
        </w:tc>
        <w:tc>
          <w:tcPr>
            <w:tcW w:w="5376" w:type="dxa"/>
            <w:tcBorders>
              <w:top w:val="single" w:color="000000" w:sz="4" w:space="0"/>
              <w:left w:val="single" w:color="000000" w:sz="4" w:space="0"/>
              <w:bottom w:val="nil"/>
              <w:right w:val="single" w:color="000000" w:sz="4" w:space="0"/>
            </w:tcBorders>
            <w:noWrap w:val="0"/>
            <w:vAlign w:val="center"/>
          </w:tcPr>
          <w:p w14:paraId="6E69828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1.1具备心电信号采集与热敏打印功能，非心电采集盒类产品。</w:t>
            </w:r>
          </w:p>
          <w:p w14:paraId="7890769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1.2同屏显示，同步采集，同步热敏记录12道心电波形。</w:t>
            </w:r>
          </w:p>
          <w:p w14:paraId="2BAAF16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1.3≥9.0英寸显示屏，屏幕亮度可调，支持背景网格显示，支持全屏触控操作。</w:t>
            </w:r>
          </w:p>
          <w:p w14:paraId="5CB3020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1.4具有物理全键盘设计，支持拼音、五笔等输入法。</w:t>
            </w:r>
          </w:p>
          <w:p w14:paraId="7D572D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1.5患者信息录入：支持手动输入，条码枪、磁卡读卡器读取，WORKLIST快速下载排队预约的患者信息多种方式。</w:t>
            </w:r>
          </w:p>
          <w:p w14:paraId="454F9F1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1.6支持有线和无线联网。</w:t>
            </w:r>
          </w:p>
          <w:p w14:paraId="4E5FC46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1.7支持心电数据传输，可实现将本机采集的心电数据直接上传至心电网络平台。</w:t>
            </w:r>
          </w:p>
          <w:p w14:paraId="043A00C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1.8支持PDF、PNG、HL7、XML、DICOM数据格式。</w:t>
            </w:r>
          </w:p>
          <w:p w14:paraId="4AC3ED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1.9支持FTP、HTTP、SAMBA传输协议。</w:t>
            </w:r>
          </w:p>
          <w:p w14:paraId="194673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二、性能要求</w:t>
            </w:r>
          </w:p>
          <w:p w14:paraId="1E8A5B4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2.1A/D转换：≥24bit。</w:t>
            </w:r>
          </w:p>
          <w:p w14:paraId="6CE726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2.2采样率：≥20000Hz。</w:t>
            </w:r>
          </w:p>
          <w:p w14:paraId="3A27A4B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2.3频率响：0.01Hz~310Hz。</w:t>
            </w:r>
          </w:p>
          <w:p w14:paraId="2E0DD1E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2.4内部噪声：≤15µVp-p。</w:t>
            </w:r>
          </w:p>
          <w:p w14:paraId="7EFBBEF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2.5时间常数：≥3.2s。</w:t>
            </w:r>
          </w:p>
          <w:p w14:paraId="4629D13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2.6耐极化电压：±800mV。</w:t>
            </w:r>
          </w:p>
          <w:p w14:paraId="78161D8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2.7抗干扰滤波：具有交流、肌电、漂移和高频截止滤波器。</w:t>
            </w:r>
          </w:p>
          <w:p w14:paraId="2D1622A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2.8具备自适工频滤波技术。</w:t>
            </w:r>
          </w:p>
          <w:p w14:paraId="76A1204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2.9除颤保护：机器和导联线具有抗除颤电击保护功能。</w:t>
            </w:r>
          </w:p>
          <w:p w14:paraId="2C3A6E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三、功能要求</w:t>
            </w:r>
          </w:p>
          <w:p w14:paraId="69194D6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3.1ECG输入通道：标准12导联心电信号同步采集。</w:t>
            </w:r>
          </w:p>
          <w:p w14:paraId="54879D5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3.2导联选择：手动/自动可选，支持标准威尔逊、Cabrera导联体系，同时具备导联标识自定义功能。</w:t>
            </w:r>
          </w:p>
          <w:p w14:paraId="6620E9C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3.3采集时间设置：波形实时采集和冻结时长≥60s，同时可进行两页、三页、四页紧凑版热敏打印格式。</w:t>
            </w:r>
          </w:p>
          <w:p w14:paraId="38C81A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3.4支持实时采样、预采样、触发采样模式，支持节律分析。</w:t>
            </w:r>
          </w:p>
          <w:p w14:paraId="3D22471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3.5可同屏显示12导同步心电波形，同时支持3*4、3*4+1R、3*4+3R、6*2、6*2+1R、6*2+3R、12*1等多种显示布局。</w:t>
            </w:r>
          </w:p>
          <w:p w14:paraId="724B176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3.6屏幕显示信息：心电波形、时间、心率、ID、工作状态、导联脱落信息、联网状态信息、外接设备状态信息等。</w:t>
            </w:r>
          </w:p>
          <w:p w14:paraId="6955CEC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3.7自动异常报警功能：可自动对异常心率、导联脱落、外设连接、高频信号干扰情况进行实时监测报警。</w:t>
            </w:r>
          </w:p>
          <w:p w14:paraId="3AE9E96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3.8支持起搏检测功能。</w:t>
            </w:r>
          </w:p>
          <w:p w14:paraId="76CE770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3.9热敏打印布局：3*4、3*4+1R、3*4+3R、6*2、6*2+1R、6*2+3R、12*1等。</w:t>
            </w:r>
          </w:p>
          <w:p w14:paraId="0154306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3.10具备内置存储器，可存储病历≥1000例，存储满后可循环存储。</w:t>
            </w:r>
          </w:p>
          <w:p w14:paraId="2A77B0E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3.11支持U盘、SD卡的扩容存储。</w:t>
            </w:r>
          </w:p>
          <w:p w14:paraId="4BDC7EC6">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3.12支持U盘和SD卡直接导出PDF、PNG、HL7、DICOM等格式的报告。</w:t>
            </w:r>
          </w:p>
          <w:p w14:paraId="44A9104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3.13支持波形冻结与波形浏览功能。</w:t>
            </w:r>
          </w:p>
          <w:p w14:paraId="2CAE4F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3.14支持报告打印预览功能。</w:t>
            </w:r>
          </w:p>
          <w:p w14:paraId="49D51D7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3.15具有病历管理功能，可对存储的病历进行查询、浏览、修改、导出、传输、打印支持病例重新编辑，具备病例模板与自定义病例模板的添加功能。</w:t>
            </w:r>
          </w:p>
          <w:p w14:paraId="220F7A4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3.16权限管理：可对设置权限进行密码管控，包含传输、纸速、增益、报告模板等设置。</w:t>
            </w:r>
          </w:p>
          <w:p w14:paraId="28AF6F0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四、电源</w:t>
            </w:r>
          </w:p>
          <w:p w14:paraId="0A0CE61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交直流两用且自动转换，内置锂电池工作≥4小时。</w:t>
            </w:r>
          </w:p>
          <w:p w14:paraId="29B2688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五、配置要求</w:t>
            </w:r>
          </w:p>
          <w:p w14:paraId="06AF50DF">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主机1台，导联线1条，肢电极4个，胸电极6个，热敏打印纸1本，电源线1根，接地线1根，其它必要辅件一套。</w:t>
            </w:r>
          </w:p>
        </w:tc>
        <w:tc>
          <w:tcPr>
            <w:tcW w:w="977" w:type="dxa"/>
            <w:tcBorders>
              <w:top w:val="single" w:color="000000" w:sz="4" w:space="0"/>
              <w:left w:val="single" w:color="000000" w:sz="4" w:space="0"/>
              <w:bottom w:val="nil"/>
              <w:right w:val="single" w:color="000000" w:sz="4" w:space="0"/>
            </w:tcBorders>
            <w:noWrap/>
            <w:vAlign w:val="center"/>
          </w:tcPr>
          <w:p w14:paraId="2C06D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C81E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A7E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098C5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16" w:type="dxa"/>
            <w:tcBorders>
              <w:top w:val="single" w:color="000000" w:sz="4" w:space="0"/>
              <w:left w:val="single" w:color="000000" w:sz="4" w:space="0"/>
              <w:bottom w:val="nil"/>
              <w:right w:val="single" w:color="000000" w:sz="4" w:space="0"/>
            </w:tcBorders>
            <w:noWrap w:val="0"/>
            <w:vAlign w:val="center"/>
          </w:tcPr>
          <w:p w14:paraId="3B62E2B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自动体外除颤器（AED）</w:t>
            </w:r>
          </w:p>
          <w:p w14:paraId="0B313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6C02B12C">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1.外观</w:t>
            </w:r>
          </w:p>
          <w:p w14:paraId="3C1CF0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尺寸≤2</w:t>
            </w:r>
            <w:r>
              <w:rPr>
                <w:rFonts w:hint="eastAsia" w:ascii="宋体" w:hAnsi="宋体" w:eastAsia="宋体" w:cs="宋体"/>
                <w:color w:val="auto"/>
                <w:sz w:val="22"/>
                <w:szCs w:val="22"/>
                <w:highlight w:val="none"/>
                <w:lang w:val="en-US" w:eastAsia="zh-CN"/>
              </w:rPr>
              <w:t>10</w:t>
            </w:r>
            <w:r>
              <w:rPr>
                <w:rFonts w:hint="default" w:ascii="宋体" w:hAnsi="宋体" w:eastAsia="宋体" w:cs="宋体"/>
                <w:color w:val="auto"/>
                <w:sz w:val="22"/>
                <w:szCs w:val="22"/>
                <w:highlight w:val="none"/>
                <w:lang w:val="en-US" w:eastAsia="zh-CN"/>
              </w:rPr>
              <w:t>(宽)×</w:t>
            </w:r>
            <w:r>
              <w:rPr>
                <w:rFonts w:hint="eastAsia" w:ascii="宋体" w:hAnsi="宋体" w:eastAsia="宋体" w:cs="宋体"/>
                <w:color w:val="auto"/>
                <w:sz w:val="22"/>
                <w:szCs w:val="22"/>
                <w:highlight w:val="none"/>
                <w:lang w:val="en-US" w:eastAsia="zh-CN"/>
              </w:rPr>
              <w:t>100</w:t>
            </w:r>
            <w:r>
              <w:rPr>
                <w:rFonts w:hint="default" w:ascii="宋体" w:hAnsi="宋体" w:eastAsia="宋体" w:cs="宋体"/>
                <w:color w:val="auto"/>
                <w:sz w:val="22"/>
                <w:szCs w:val="22"/>
                <w:highlight w:val="none"/>
                <w:lang w:val="en-US" w:eastAsia="zh-CN"/>
              </w:rPr>
              <w:t>(高)×2</w:t>
            </w:r>
            <w:r>
              <w:rPr>
                <w:rFonts w:hint="eastAsia" w:ascii="宋体" w:hAnsi="宋体" w:eastAsia="宋体" w:cs="宋体"/>
                <w:color w:val="auto"/>
                <w:sz w:val="22"/>
                <w:szCs w:val="22"/>
                <w:highlight w:val="none"/>
                <w:lang w:val="en-US" w:eastAsia="zh-CN"/>
              </w:rPr>
              <w:t>60</w:t>
            </w:r>
            <w:r>
              <w:rPr>
                <w:rFonts w:hint="default" w:ascii="宋体" w:hAnsi="宋体" w:eastAsia="宋体" w:cs="宋体"/>
                <w:color w:val="auto"/>
                <w:sz w:val="22"/>
                <w:szCs w:val="22"/>
                <w:highlight w:val="none"/>
                <w:lang w:val="en-US" w:eastAsia="zh-CN"/>
              </w:rPr>
              <w:t>(深)mm</w:t>
            </w:r>
          </w:p>
          <w:p w14:paraId="50B6E9B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2重量≤2.</w:t>
            </w:r>
            <w:r>
              <w:rPr>
                <w:rFonts w:hint="eastAsia" w:ascii="宋体" w:hAnsi="宋体" w:eastAsia="宋体" w:cs="宋体"/>
                <w:color w:val="auto"/>
                <w:sz w:val="22"/>
                <w:szCs w:val="22"/>
                <w:highlight w:val="none"/>
                <w:lang w:val="en-US" w:eastAsia="zh-CN"/>
              </w:rPr>
              <w:t>5</w:t>
            </w:r>
            <w:r>
              <w:rPr>
                <w:rFonts w:hint="default" w:ascii="宋体" w:hAnsi="宋体" w:eastAsia="宋体" w:cs="宋体"/>
                <w:color w:val="auto"/>
                <w:sz w:val="22"/>
                <w:szCs w:val="22"/>
                <w:highlight w:val="none"/>
                <w:lang w:val="en-US" w:eastAsia="zh-CN"/>
              </w:rPr>
              <w:t>Kg</w:t>
            </w:r>
          </w:p>
          <w:p w14:paraId="6C21958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2.除颤</w:t>
            </w:r>
          </w:p>
          <w:p w14:paraId="2730D24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采用双相波技术</w:t>
            </w:r>
          </w:p>
          <w:p w14:paraId="219F33B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输出能量：成人模式150J-200J儿童模式：50J-70J，自动升级</w:t>
            </w:r>
          </w:p>
          <w:p w14:paraId="148129C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分析时间：2—5秒</w:t>
            </w:r>
          </w:p>
          <w:p w14:paraId="222E5D1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充电时间：充电至最大能量准备放电的时间≤8秒</w:t>
            </w:r>
          </w:p>
          <w:p w14:paraId="7996A8B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最大能量保持时间：</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30秒</w:t>
            </w:r>
          </w:p>
          <w:p w14:paraId="683312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　具有内部自动放电功能</w:t>
            </w:r>
          </w:p>
          <w:p w14:paraId="23081264">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7　除颤模式：成人模式和儿童模式，标配儿童模式</w:t>
            </w:r>
          </w:p>
          <w:p w14:paraId="5C7EA787">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8全年段模式：成人模式:：8岁以上儿童模式：0岁-7岁</w:t>
            </w:r>
          </w:p>
          <w:p w14:paraId="652182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3.除颤电极片</w:t>
            </w:r>
          </w:p>
          <w:p w14:paraId="40DDA9C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黏贴型一次性电极片</w:t>
            </w:r>
          </w:p>
          <w:p w14:paraId="457BBACA">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预先链接</w:t>
            </w:r>
            <w:r>
              <w:rPr>
                <w:rFonts w:hint="eastAsia" w:ascii="宋体" w:hAnsi="宋体" w:eastAsia="宋体" w:cs="宋体"/>
                <w:color w:val="auto"/>
                <w:sz w:val="22"/>
                <w:szCs w:val="22"/>
                <w:highlight w:val="none"/>
                <w:lang w:val="en-US" w:eastAsia="zh-CN"/>
              </w:rPr>
              <w:t>功能</w:t>
            </w:r>
          </w:p>
          <w:p w14:paraId="338761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具有电极片粘贴方式人形彩色示意图</w:t>
            </w:r>
          </w:p>
          <w:p w14:paraId="6E85586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具有电极片彩色安装指示灯用于粘贴位置声光提示</w:t>
            </w:r>
          </w:p>
          <w:p w14:paraId="333CB1E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具有电极片连接状态自检功能和有效期语音报警提示</w:t>
            </w:r>
          </w:p>
          <w:p w14:paraId="4F5BA1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6标配成人、儿童通用电极片</w:t>
            </w:r>
          </w:p>
          <w:p w14:paraId="30CC06F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4.电源</w:t>
            </w:r>
          </w:p>
          <w:p w14:paraId="69691290">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可替换锂电池</w:t>
            </w:r>
          </w:p>
          <w:p w14:paraId="78CB57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待机</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4年，支持充电次数：</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160次</w:t>
            </w:r>
          </w:p>
          <w:p w14:paraId="0EAECB5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内置自检程序，自动检测电池状况，电池剩余电量低时，报警提示。</w:t>
            </w:r>
          </w:p>
          <w:p w14:paraId="39C9DC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4开盖电源自动接通。</w:t>
            </w:r>
          </w:p>
          <w:p w14:paraId="61F3A8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5.操作</w:t>
            </w:r>
          </w:p>
          <w:p w14:paraId="51A6AB5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操作步骤</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3步</w:t>
            </w:r>
          </w:p>
          <w:p w14:paraId="635E8DF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标配成人模式和儿童模式，</w:t>
            </w:r>
            <w:r>
              <w:rPr>
                <w:rFonts w:hint="eastAsia" w:ascii="宋体" w:hAnsi="宋体" w:eastAsia="宋体" w:cs="宋体"/>
                <w:color w:val="auto"/>
                <w:sz w:val="22"/>
                <w:szCs w:val="22"/>
                <w:highlight w:val="none"/>
                <w:lang w:val="en-US" w:eastAsia="zh-CN"/>
              </w:rPr>
              <w:t>可一键</w:t>
            </w:r>
            <w:r>
              <w:rPr>
                <w:rFonts w:hint="default" w:ascii="宋体" w:hAnsi="宋体" w:eastAsia="宋体" w:cs="宋体"/>
                <w:color w:val="auto"/>
                <w:sz w:val="22"/>
                <w:szCs w:val="22"/>
                <w:highlight w:val="none"/>
                <w:lang w:val="en-US" w:eastAsia="zh-CN"/>
              </w:rPr>
              <w:t>切换</w:t>
            </w:r>
          </w:p>
          <w:p w14:paraId="1A1642A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具有中文语音提示操作</w:t>
            </w:r>
          </w:p>
          <w:p w14:paraId="5A1E2B9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6.设备自检功能</w:t>
            </w:r>
          </w:p>
          <w:p w14:paraId="143D56D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具有开机自检功能</w:t>
            </w:r>
          </w:p>
          <w:p w14:paraId="5B6B534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具有自检结果</w:t>
            </w:r>
            <w:r>
              <w:rPr>
                <w:rFonts w:hint="eastAsia" w:ascii="宋体" w:hAnsi="宋体" w:eastAsia="宋体" w:cs="宋体"/>
                <w:color w:val="auto"/>
                <w:sz w:val="22"/>
                <w:szCs w:val="22"/>
                <w:highlight w:val="none"/>
                <w:lang w:val="en-US" w:eastAsia="zh-CN"/>
              </w:rPr>
              <w:t>声光</w:t>
            </w:r>
            <w:r>
              <w:rPr>
                <w:rFonts w:hint="default" w:ascii="宋体" w:hAnsi="宋体" w:eastAsia="宋体" w:cs="宋体"/>
                <w:color w:val="auto"/>
                <w:sz w:val="22"/>
                <w:szCs w:val="22"/>
                <w:highlight w:val="none"/>
                <w:lang w:val="en-US" w:eastAsia="zh-CN"/>
              </w:rPr>
              <w:t>显示功能</w:t>
            </w:r>
          </w:p>
          <w:p w14:paraId="45F351A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具有设备故障位置显示功能</w:t>
            </w:r>
          </w:p>
          <w:p w14:paraId="5990FD8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7.数据传输和存储</w:t>
            </w:r>
          </w:p>
          <w:p w14:paraId="55DE406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数据传输：通过蓝牙通讯进行数据传输</w:t>
            </w:r>
          </w:p>
          <w:p w14:paraId="0C252EA5">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内部存储</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90分钟的救助数据</w:t>
            </w:r>
          </w:p>
          <w:p w14:paraId="349B731D">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8.承担链接医院网络相关接口费用。</w:t>
            </w:r>
          </w:p>
        </w:tc>
        <w:tc>
          <w:tcPr>
            <w:tcW w:w="977" w:type="dxa"/>
            <w:tcBorders>
              <w:top w:val="single" w:color="000000" w:sz="4" w:space="0"/>
              <w:left w:val="single" w:color="000000" w:sz="4" w:space="0"/>
              <w:bottom w:val="nil"/>
              <w:right w:val="single" w:color="000000" w:sz="4" w:space="0"/>
            </w:tcBorders>
            <w:noWrap/>
            <w:vAlign w:val="center"/>
          </w:tcPr>
          <w:p w14:paraId="008B4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3CD26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A46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50" w:type="dxa"/>
            <w:tcBorders>
              <w:top w:val="single" w:color="000000" w:sz="4" w:space="0"/>
              <w:left w:val="single" w:color="000000" w:sz="4" w:space="0"/>
              <w:bottom w:val="nil"/>
              <w:right w:val="single" w:color="000000" w:sz="4" w:space="0"/>
            </w:tcBorders>
            <w:noWrap/>
            <w:vAlign w:val="center"/>
          </w:tcPr>
          <w:p w14:paraId="64BAA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16" w:type="dxa"/>
            <w:tcBorders>
              <w:top w:val="single" w:color="000000" w:sz="4" w:space="0"/>
              <w:left w:val="single" w:color="000000" w:sz="4" w:space="0"/>
              <w:bottom w:val="nil"/>
              <w:right w:val="single" w:color="000000" w:sz="4" w:space="0"/>
            </w:tcBorders>
            <w:noWrap/>
            <w:vAlign w:val="center"/>
          </w:tcPr>
          <w:p w14:paraId="7D894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4.心电监护仪</w:t>
            </w:r>
          </w:p>
        </w:tc>
        <w:tc>
          <w:tcPr>
            <w:tcW w:w="5376" w:type="dxa"/>
            <w:tcBorders>
              <w:top w:val="single" w:color="000000" w:sz="4" w:space="0"/>
              <w:left w:val="single" w:color="000000" w:sz="4" w:space="0"/>
              <w:bottom w:val="nil"/>
              <w:right w:val="single" w:color="000000" w:sz="4" w:space="0"/>
            </w:tcBorders>
            <w:noWrap w:val="0"/>
            <w:vAlign w:val="center"/>
          </w:tcPr>
          <w:p w14:paraId="1C059B44">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一、</w:t>
            </w:r>
            <w:r>
              <w:rPr>
                <w:rFonts w:hint="eastAsia" w:ascii="宋体" w:hAnsi="宋体" w:eastAsia="宋体" w:cs="宋体"/>
                <w:b w:val="0"/>
                <w:bCs/>
                <w:color w:val="auto"/>
                <w:kern w:val="0"/>
                <w:sz w:val="21"/>
                <w:szCs w:val="21"/>
                <w:highlight w:val="none"/>
                <w:lang w:val="en-US" w:eastAsia="zh-CN"/>
              </w:rPr>
              <w:t>适用</w:t>
            </w:r>
            <w:r>
              <w:rPr>
                <w:rFonts w:hint="eastAsia" w:ascii="宋体" w:hAnsi="宋体" w:eastAsia="宋体" w:cs="宋体"/>
                <w:b w:val="0"/>
                <w:bCs/>
                <w:color w:val="auto"/>
                <w:kern w:val="0"/>
                <w:sz w:val="21"/>
                <w:szCs w:val="21"/>
                <w:highlight w:val="none"/>
              </w:rPr>
              <w:t>范围</w:t>
            </w:r>
          </w:p>
          <w:p w14:paraId="38C2E5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1.1、可用于监护成人、儿童、新生儿患者，适用于术后观察室、ICU/CCU病房、急诊室等。</w:t>
            </w:r>
          </w:p>
          <w:p w14:paraId="10079C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二、显示</w:t>
            </w:r>
          </w:p>
          <w:p w14:paraId="5E940C1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2.1、屏幕尺寸：</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12英寸彩色LED屏，分辨率</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800*600，</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9通道波形显示。</w:t>
            </w:r>
          </w:p>
          <w:p w14:paraId="236B8C6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2.2、界面选择：</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7种显示界面，包括常规界面、大字体界面、呼吸氧合界面、NIBP回顾界面、ECG全屏7导界面、ECG半屏7导界面、动态短趋势界面等。</w:t>
            </w:r>
          </w:p>
          <w:p w14:paraId="7CBB64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三、参数</w:t>
            </w:r>
          </w:p>
          <w:p w14:paraId="6712C6DA">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3.1、测量参数：心电、呼吸、无创血压、脉搏氧饱和度、脉率、体温。</w:t>
            </w:r>
          </w:p>
          <w:p w14:paraId="2EBFF7C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3.2、心率范围：成人15bpm-300bpm，儿童/新生儿15bpm-350bpm。</w:t>
            </w:r>
          </w:p>
          <w:p w14:paraId="7E24A1E5">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3.3、心率测量精度：</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±1bpm或±1%，取大者。</w:t>
            </w:r>
          </w:p>
          <w:p w14:paraId="72CE7F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3.4、共模抑制比不小于</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10</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dB。</w:t>
            </w:r>
          </w:p>
          <w:p w14:paraId="52521A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3.5、5导联/3导联模式都能实现多导同步分析。</w:t>
            </w:r>
          </w:p>
          <w:p w14:paraId="478A2B19">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3.6、心电波形增益：1.25mm/mV，2.5mm/mV，5.0mm/mV，10mm/mV，20mm/mV，自动</w:t>
            </w:r>
            <w:r>
              <w:rPr>
                <w:rFonts w:hint="eastAsia" w:ascii="宋体" w:hAnsi="宋体" w:eastAsia="宋体" w:cs="宋体"/>
                <w:b w:val="0"/>
                <w:bCs/>
                <w:color w:val="auto"/>
                <w:kern w:val="0"/>
                <w:sz w:val="21"/>
                <w:szCs w:val="21"/>
                <w:highlight w:val="none"/>
                <w:lang w:val="en-US" w:eastAsia="zh-CN"/>
              </w:rPr>
              <w:t>等</w:t>
            </w:r>
            <w:r>
              <w:rPr>
                <w:rFonts w:hint="eastAsia" w:ascii="宋体" w:hAnsi="宋体" w:eastAsia="宋体" w:cs="宋体"/>
                <w:b w:val="0"/>
                <w:bCs/>
                <w:color w:val="auto"/>
                <w:kern w:val="0"/>
                <w:sz w:val="21"/>
                <w:szCs w:val="21"/>
                <w:highlight w:val="none"/>
              </w:rPr>
              <w:t>。</w:t>
            </w:r>
          </w:p>
          <w:p w14:paraId="187353B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3.7、呼吸率测量范围：成人0-120rpm，儿童/新生儿0-150rpm，在8-150rpm范围内，测量误差为±2rpm或±2%，取大者。</w:t>
            </w:r>
          </w:p>
          <w:p w14:paraId="40D8074B">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3.8、血压测量范围：收缩压：40-255mmHg；舒张压：10-195mmHg；具有手动/自动间隔/连续测量模式。</w:t>
            </w:r>
          </w:p>
          <w:p w14:paraId="61CA962C">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3.9、脉搏氧饱和度测量范围：30%-100%，70%-100%范围内精度不大于±2%。</w:t>
            </w:r>
          </w:p>
          <w:p w14:paraId="6DB95246">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四、系统功能</w:t>
            </w:r>
          </w:p>
          <w:p w14:paraId="6F5D68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3通道记录仪，记录波形可选择。</w:t>
            </w:r>
          </w:p>
          <w:p w14:paraId="21E99967">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4.2、具有待机功能，暂时停止所有监护操作，节省功耗。退出该状态，就可立即进行监护；</w:t>
            </w:r>
          </w:p>
          <w:p w14:paraId="507B994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4.3、具有演示模式和夜间模式。</w:t>
            </w:r>
          </w:p>
          <w:p w14:paraId="4B975F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4.4、数据管理：具备掉电存储功能；支持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120小时趋势图表、</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200个报警事件、</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2000组NIBP测量数据、</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120分钟动态短趋势、</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48小时全息波形存储与浏览。</w:t>
            </w:r>
          </w:p>
          <w:p w14:paraId="5965A72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4.5、具有</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种级别的生理报警及技术报警，并提供提示信息。</w:t>
            </w:r>
          </w:p>
          <w:p w14:paraId="140016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4.6、具备报警功能，报警参数可调。</w:t>
            </w:r>
          </w:p>
          <w:p w14:paraId="0D4295D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4.7、具有护士呼叫、日志导出等功能。</w:t>
            </w:r>
          </w:p>
          <w:p w14:paraId="7C60C07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4.8、具有有线联网、无线联网，可实现同科室所有床位联网。支持救护车和远程中央监护功能。</w:t>
            </w:r>
          </w:p>
          <w:p w14:paraId="5F52E47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4.9、支持与第三方集成平台数据对接及监测信息实时显示功能。</w:t>
            </w:r>
          </w:p>
          <w:p w14:paraId="4CBD751F">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、整机无风扇设计。</w:t>
            </w:r>
          </w:p>
          <w:p w14:paraId="739FEAE4">
            <w:pPr>
              <w:keepNext w:val="0"/>
              <w:keepLines w:val="0"/>
              <w:widowControl/>
              <w:suppressLineNumbers w:val="0"/>
              <w:spacing w:line="240" w:lineRule="auto"/>
              <w:ind w:firstLine="420" w:firstLineChars="200"/>
              <w:jc w:val="left"/>
              <w:textAlignment w:val="center"/>
              <w:rPr>
                <w:rFonts w:hint="eastAsia" w:ascii="楷体" w:hAnsi="楷体" w:eastAsia="楷体" w:cs="楷体"/>
                <w:color w:val="auto"/>
                <w:sz w:val="22"/>
                <w:szCs w:val="22"/>
                <w:highlight w:val="none"/>
                <w:lang w:val="zh-CN" w:eastAsia="zh-CN" w:bidi="zh-CN"/>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、支持系统软件升级功能。</w:t>
            </w:r>
          </w:p>
        </w:tc>
        <w:tc>
          <w:tcPr>
            <w:tcW w:w="977" w:type="dxa"/>
            <w:tcBorders>
              <w:top w:val="single" w:color="000000" w:sz="4" w:space="0"/>
              <w:left w:val="single" w:color="000000" w:sz="4" w:space="0"/>
              <w:bottom w:val="nil"/>
              <w:right w:val="single" w:color="000000" w:sz="4" w:space="0"/>
            </w:tcBorders>
            <w:noWrap/>
            <w:vAlign w:val="center"/>
          </w:tcPr>
          <w:p w14:paraId="6DF9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5BFE7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8B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2DDF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F9430E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不锈钢大小轮担架车（转运床）</w:t>
            </w:r>
          </w:p>
          <w:p w14:paraId="4798E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5265B75">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1、规格：2000*720*750mm。</w:t>
            </w:r>
          </w:p>
          <w:p w14:paraId="6B151D14">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2、材质：车架采用Φ32优质不锈钢管壁厚度≥1.5mm，焊接成型。</w:t>
            </w:r>
          </w:p>
          <w:p w14:paraId="2CD74CCA">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3、配两个减震充气轮子，及两个5寸静音轮子，配不锈钢可伸缩输液架。</w:t>
            </w:r>
          </w:p>
          <w:p w14:paraId="37467567">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4、带可移动不锈钢担架面一个，下配篮筐。</w:t>
            </w:r>
          </w:p>
          <w:p w14:paraId="4BE7FD71">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5、绿色防水布面，可拆洗床垫，</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3公分高密度海绵组成。</w:t>
            </w:r>
          </w:p>
          <w:p w14:paraId="02B45257">
            <w:pPr>
              <w:autoSpaceDE w:val="0"/>
              <w:autoSpaceDN w:val="0"/>
              <w:adjustRightInd w:val="0"/>
              <w:spacing w:line="240" w:lineRule="auto"/>
              <w:ind w:left="475" w:leftChars="226" w:right="84" w:rightChars="40"/>
              <w:jc w:val="left"/>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1"/>
                <w:szCs w:val="21"/>
                <w:highlight w:val="none"/>
              </w:rPr>
              <w:t>6、担架车有效载荷≥260KG。</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ACBC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6199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AF2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5367E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16" w:type="dxa"/>
            <w:tcBorders>
              <w:top w:val="single" w:color="000000" w:sz="4" w:space="0"/>
              <w:left w:val="single" w:color="000000" w:sz="4" w:space="0"/>
              <w:bottom w:val="nil"/>
              <w:right w:val="single" w:color="000000" w:sz="4" w:space="0"/>
            </w:tcBorders>
            <w:noWrap/>
            <w:vAlign w:val="center"/>
          </w:tcPr>
          <w:p w14:paraId="07E0A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6.牙科X射线机</w:t>
            </w:r>
          </w:p>
        </w:tc>
        <w:tc>
          <w:tcPr>
            <w:tcW w:w="5376" w:type="dxa"/>
            <w:tcBorders>
              <w:top w:val="single" w:color="000000" w:sz="4" w:space="0"/>
              <w:left w:val="single" w:color="000000" w:sz="4" w:space="0"/>
              <w:bottom w:val="nil"/>
              <w:right w:val="single" w:color="000000" w:sz="4" w:space="0"/>
            </w:tcBorders>
            <w:noWrap w:val="0"/>
            <w:vAlign w:val="center"/>
          </w:tcPr>
          <w:p w14:paraId="0CC16DB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1.功率:≥30VA</w:t>
            </w:r>
          </w:p>
          <w:p w14:paraId="3C03E8F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2.射线类型:X射线</w:t>
            </w:r>
          </w:p>
          <w:p w14:paraId="0BB25F4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3.射线方向和分布:限束器出口方向直径60mm</w:t>
            </w:r>
          </w:p>
          <w:p w14:paraId="21B6434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4.剂量率:6mGy/s</w:t>
            </w:r>
          </w:p>
          <w:p w14:paraId="1557B3E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5.靶材料:钨</w:t>
            </w:r>
          </w:p>
          <w:p w14:paraId="65BFEE1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6.靶角:12.5°</w:t>
            </w:r>
          </w:p>
          <w:p w14:paraId="111910F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7.射线焦点:0.4mm</w:t>
            </w:r>
          </w:p>
          <w:p w14:paraId="57640F0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8.管电压:70kV±10%</w:t>
            </w:r>
          </w:p>
          <w:p w14:paraId="5D852D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9.管电流:2mA±20%</w:t>
            </w:r>
          </w:p>
          <w:p w14:paraId="36647BC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10.加载时间调节范围:0.04s-2.0s误差±(10%+1ms),调节方式按R’10系数选择。</w:t>
            </w:r>
          </w:p>
          <w:p w14:paraId="2FC6C12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11.标称电功率:0.14kW(70kV、2mA、0.1s)</w:t>
            </w:r>
          </w:p>
          <w:p w14:paraId="6D24012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12.最大输出电功率加载因素组合:70kV、2mA</w:t>
            </w:r>
          </w:p>
          <w:p w14:paraId="03CAE0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13.固有滤过:1.0mmAl/70kV,YY/T0062-2004</w:t>
            </w:r>
          </w:p>
          <w:p w14:paraId="0A545A3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14.附加滤过:0.5mmAl/70kV,YY/T0062-2004</w:t>
            </w:r>
          </w:p>
          <w:p w14:paraId="1F71888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18.总滤过:1.5mmAl/70kV,YY/T0062-2004</w:t>
            </w:r>
          </w:p>
          <w:p w14:paraId="4EBC56E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19.半价层:70kV时为≥1.6mmAl</w:t>
            </w:r>
          </w:p>
          <w:p w14:paraId="444A0DA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20.负载循环:1/15</w:t>
            </w:r>
          </w:p>
          <w:p w14:paraId="02C7E24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21.泄漏辐射加载因素:曝光1秒停15秒</w:t>
            </w:r>
          </w:p>
          <w:p w14:paraId="0DE6EE8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22.漏辐射率:1米处≤0.25mGy/h(70kV,2mA,1s,加载间隔1s/15s)</w:t>
            </w:r>
          </w:p>
          <w:p w14:paraId="5F01A3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23.整机重量:≤2kg</w:t>
            </w:r>
          </w:p>
          <w:p w14:paraId="33997FC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24.管组件重量:≤1.1kg</w:t>
            </w:r>
          </w:p>
          <w:p w14:paraId="514EBA6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25.焦点-皮肤距离：20.5cm±0.5cm</w:t>
            </w:r>
          </w:p>
          <w:p w14:paraId="02BF414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26.输出辐射场：圆形，φ6cm±0.5cm</w:t>
            </w:r>
          </w:p>
          <w:p w14:paraId="2D74F97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27.影像板</w:t>
            </w:r>
          </w:p>
          <w:p w14:paraId="48BB112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1分辨率：≥8P/mm</w:t>
            </w:r>
          </w:p>
          <w:p w14:paraId="09F558C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2影像位深：≥12bits/pixel</w:t>
            </w:r>
          </w:p>
          <w:p w14:paraId="08B67F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3灰阶：16bit</w:t>
            </w:r>
          </w:p>
          <w:p w14:paraId="16F485A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4影像板寿命：≥2500次</w:t>
            </w:r>
          </w:p>
          <w:p w14:paraId="452008B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5理论分辨率：25LP/mm</w:t>
            </w:r>
          </w:p>
          <w:p w14:paraId="6176880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6重量：≤3KG</w:t>
            </w:r>
          </w:p>
          <w:p w14:paraId="20E31F1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7连接方式：USB连接线</w:t>
            </w:r>
          </w:p>
          <w:p w14:paraId="18CA23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8影像板材质：（软片）</w:t>
            </w:r>
          </w:p>
          <w:p w14:paraId="7CABA4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9影像板尺寸：</w:t>
            </w:r>
          </w:p>
          <w:p w14:paraId="1FF4CC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9.10：31X22mm</w:t>
            </w:r>
          </w:p>
          <w:p w14:paraId="225CE4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9.21：40x24mm</w:t>
            </w:r>
          </w:p>
          <w:p w14:paraId="6753E40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9.32:41x31mm</w:t>
            </w:r>
          </w:p>
          <w:p w14:paraId="692687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9.43:54x27mm</w:t>
            </w:r>
          </w:p>
          <w:p w14:paraId="27647FD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10有效成像面积：</w:t>
            </w:r>
          </w:p>
          <w:p w14:paraId="41BE741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10.10:31X22mm</w:t>
            </w:r>
          </w:p>
          <w:p w14:paraId="03D0A93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10.21:40x24mm</w:t>
            </w:r>
          </w:p>
          <w:p w14:paraId="5CA35F0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10.32:41x31mm</w:t>
            </w:r>
          </w:p>
          <w:p w14:paraId="3C0ABCF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10.43:54x27mm</w:t>
            </w:r>
          </w:p>
          <w:p w14:paraId="68535F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11使用年限：≥8年</w:t>
            </w:r>
          </w:p>
          <w:p w14:paraId="29CDE75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12影像板：软薄可弯曲适用于各种口内胶片支架</w:t>
            </w:r>
          </w:p>
          <w:p w14:paraId="1C86D7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13自带隐藏式置物盒可存储各型号的影像板</w:t>
            </w:r>
          </w:p>
          <w:p w14:paraId="08EDF8F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14自动电磁吸附扫描，智能高速，全程无挤压，有效减少影像板磨损和外界杂质影响</w:t>
            </w:r>
          </w:p>
          <w:p w14:paraId="72821CC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15可连接平板</w:t>
            </w:r>
          </w:p>
          <w:p w14:paraId="2C1208E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配置要求</w:t>
            </w:r>
          </w:p>
          <w:p w14:paraId="488C893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1影像板扫描仪1台</w:t>
            </w:r>
          </w:p>
          <w:p w14:paraId="65258B7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2电源适配器1个</w:t>
            </w:r>
          </w:p>
          <w:p w14:paraId="42778EC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3USB连接线1.5米1根</w:t>
            </w:r>
          </w:p>
          <w:p w14:paraId="42F14B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42影像板2张</w:t>
            </w:r>
          </w:p>
          <w:p w14:paraId="6E330C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5软件U盘1个</w:t>
            </w:r>
          </w:p>
          <w:p w14:paraId="506D172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62保护套1盒</w:t>
            </w:r>
          </w:p>
          <w:p w14:paraId="4DA10AB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72保护板1盒</w:t>
            </w:r>
          </w:p>
          <w:p w14:paraId="74AF805A">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影像板0号，1号，3号可以选配</w:t>
            </w:r>
          </w:p>
        </w:tc>
        <w:tc>
          <w:tcPr>
            <w:tcW w:w="977" w:type="dxa"/>
            <w:tcBorders>
              <w:top w:val="single" w:color="000000" w:sz="4" w:space="0"/>
              <w:left w:val="single" w:color="000000" w:sz="4" w:space="0"/>
              <w:bottom w:val="nil"/>
              <w:right w:val="single" w:color="000000" w:sz="4" w:space="0"/>
            </w:tcBorders>
            <w:noWrap/>
            <w:vAlign w:val="center"/>
          </w:tcPr>
          <w:p w14:paraId="16B6D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9CD6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C12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50" w:type="dxa"/>
            <w:tcBorders>
              <w:top w:val="single" w:color="000000" w:sz="4" w:space="0"/>
              <w:left w:val="single" w:color="000000" w:sz="4" w:space="0"/>
              <w:bottom w:val="nil"/>
              <w:right w:val="single" w:color="000000" w:sz="4" w:space="0"/>
            </w:tcBorders>
            <w:noWrap/>
            <w:vAlign w:val="center"/>
          </w:tcPr>
          <w:p w14:paraId="6C1DA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16" w:type="dxa"/>
            <w:tcBorders>
              <w:top w:val="single" w:color="000000" w:sz="4" w:space="0"/>
              <w:left w:val="single" w:color="000000" w:sz="4" w:space="0"/>
              <w:bottom w:val="nil"/>
              <w:right w:val="single" w:color="000000" w:sz="4" w:space="0"/>
            </w:tcBorders>
            <w:noWrap w:val="0"/>
            <w:vAlign w:val="center"/>
          </w:tcPr>
          <w:p w14:paraId="01938F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7.紫外线空气净化消毒器</w:t>
            </w:r>
          </w:p>
          <w:p w14:paraId="7F1B3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53DB9C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移动式紫外线空气净化消毒器，通过循环风、高效过滤网及紫外灯对吸入的空气进行净化、杀菌、消毒,并结合负离子清新空气，用于医院室内需要对空气进行杀菌消毒的场所。</w:t>
            </w:r>
          </w:p>
          <w:p w14:paraId="662E931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技术参数：</w:t>
            </w:r>
          </w:p>
          <w:p w14:paraId="76E3237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1.净化方式:初效+组合过滤网</w:t>
            </w:r>
          </w:p>
          <w:p w14:paraId="1F5213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2.消毒方式:光触媒紫外空气消毒+臭氧环境消毒</w:t>
            </w:r>
          </w:p>
          <w:p w14:paraId="6BAC4FD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3.甲醛：降解率≥80%</w:t>
            </w:r>
          </w:p>
          <w:p w14:paraId="63E026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4.CADR颗料物：530m³/h</w:t>
            </w:r>
          </w:p>
          <w:p w14:paraId="2CBC8C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5.固态污染物净化能效等级:A级</w:t>
            </w:r>
          </w:p>
          <w:p w14:paraId="3164AA9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6.适用面积:≥70㎡</w:t>
            </w:r>
          </w:p>
          <w:p w14:paraId="55A72E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7.噪音:≤55dB</w:t>
            </w:r>
          </w:p>
          <w:p w14:paraId="6EC1C03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8.操作方式:遥控操作,移动手推设计</w:t>
            </w:r>
          </w:p>
          <w:p w14:paraId="255A3AA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9.超静音风机,循环风量:≥1000m3/h,噪音低至≤45db(A)。</w:t>
            </w:r>
          </w:p>
          <w:p w14:paraId="1FBB01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10.远距离红外线遥控操控。故障自动报警提示并有自动关机功能。</w:t>
            </w:r>
          </w:p>
          <w:p w14:paraId="6625BB1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11.LCD高清液晶触摸显示屏，显示温度、湿度、空气质量、风速等信息。1-3档风速可调。1-8小时定时,紫外线、臭氧一键启动。</w:t>
            </w:r>
          </w:p>
          <w:p w14:paraId="4E237509">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10.可显示空气质量，滤网到期智能提醒。</w:t>
            </w:r>
          </w:p>
        </w:tc>
        <w:tc>
          <w:tcPr>
            <w:tcW w:w="977" w:type="dxa"/>
            <w:tcBorders>
              <w:top w:val="single" w:color="000000" w:sz="4" w:space="0"/>
              <w:left w:val="single" w:color="000000" w:sz="4" w:space="0"/>
              <w:bottom w:val="nil"/>
              <w:right w:val="single" w:color="000000" w:sz="4" w:space="0"/>
            </w:tcBorders>
            <w:noWrap/>
            <w:vAlign w:val="center"/>
          </w:tcPr>
          <w:p w14:paraId="731FA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6C28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41F4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12508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81AE43A">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8.打磨机</w:t>
            </w:r>
          </w:p>
          <w:p w14:paraId="5A99A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E3CE51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1、最高转速：≥35000转/分钟；</w:t>
            </w:r>
          </w:p>
          <w:p w14:paraId="2F95E0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2、输出功率：≥65W；</w:t>
            </w:r>
          </w:p>
          <w:p w14:paraId="4F651E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3、输入电压：220V/50HZ；</w:t>
            </w:r>
          </w:p>
          <w:p w14:paraId="7EBB3EE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4、最大扭矩：≥2.8N.cm；</w:t>
            </w:r>
          </w:p>
          <w:p w14:paraId="2169962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5、ON/OFF开关脚踏；</w:t>
            </w:r>
          </w:p>
          <w:p w14:paraId="0E47D44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6、自动过载保护功能；</w:t>
            </w:r>
          </w:p>
          <w:p w14:paraId="6F59F7BE">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7、正/反转切换。</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06610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73FE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16F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nil"/>
              <w:right w:val="single" w:color="000000" w:sz="4" w:space="0"/>
            </w:tcBorders>
            <w:noWrap/>
            <w:vAlign w:val="center"/>
          </w:tcPr>
          <w:p w14:paraId="115488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16" w:type="dxa"/>
            <w:tcBorders>
              <w:top w:val="single" w:color="000000" w:sz="4" w:space="0"/>
              <w:left w:val="single" w:color="000000" w:sz="4" w:space="0"/>
              <w:bottom w:val="nil"/>
              <w:right w:val="single" w:color="000000" w:sz="4" w:space="0"/>
            </w:tcBorders>
            <w:noWrap/>
            <w:vAlign w:val="center"/>
          </w:tcPr>
          <w:p w14:paraId="6EE5F2C7">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9.医用热封机</w:t>
            </w:r>
          </w:p>
          <w:p w14:paraId="5F4A8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3346DE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产品参数</w:t>
            </w:r>
          </w:p>
          <w:p w14:paraId="6C9B7EA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1.走纸的速度为:≥10米/分钟;</w:t>
            </w:r>
          </w:p>
          <w:p w14:paraId="40ECDA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2.打印项目灭菌日期、失效日期、批号、操作人员、锅号、</w:t>
            </w:r>
          </w:p>
          <w:p w14:paraId="274244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锅次、物品名称、科室等;</w:t>
            </w:r>
          </w:p>
          <w:p w14:paraId="03CD6FF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3.打印全部选项所需袋宽:75mm±1mm、106mm±1mm、140mm±1mm;</w:t>
            </w:r>
          </w:p>
          <w:p w14:paraId="2BEE69D0">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4.工作温度:60~220℃可调</w:t>
            </w:r>
          </w:p>
          <w:p w14:paraId="57A32B8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5.控温精度≤1%；</w:t>
            </w:r>
          </w:p>
          <w:p w14:paraId="7A850CD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6.封口留边：0-35mm可调</w:t>
            </w:r>
          </w:p>
          <w:p w14:paraId="6C9684DF">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7.外形尺寸：≈510*240*150mm</w:t>
            </w:r>
          </w:p>
          <w:p w14:paraId="21F6441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8.可选配裁切功能封口机</w:t>
            </w:r>
          </w:p>
          <w:p w14:paraId="7653628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7寸彩色液晶触控屏，图形化操作界面，可通过自带的彩色触摸控制屏对设备使用参数和需打印的操作者、科室、物品名称和自定义等内容进行设置或更改，由封口机打印相设置内容，内置时钟和参数可设置并具有自动储存信息功能，具有USB口，可用U盘导出打印；</w:t>
            </w:r>
          </w:p>
          <w:p w14:paraId="67AA202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10.智能温度控制，工作温度60~220°C，温控精度士1%;</w:t>
            </w:r>
          </w:p>
          <w:p w14:paraId="1817368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11.室温升至180℃≤40秒;</w:t>
            </w:r>
          </w:p>
          <w:p w14:paraId="7C2DAE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4.配有微电脑控制的降温机构;</w:t>
            </w:r>
          </w:p>
          <w:p w14:paraId="4EEE8CB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5.实际温度超过设定温度土4C时，自动停止工作:</w:t>
            </w:r>
          </w:p>
          <w:p w14:paraId="186E7B5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6.封口速度≥10m/min,采用光控技术实现封口和打印自动检测;封口宽度12mm，封口指标符合标准《YY/T0698.5-2009》的要求;封口留边0~35mm可调;浮动式恒定压力压合结构设计，适立体袋和不同厚度纸袋的封口需要;</w:t>
            </w:r>
          </w:p>
          <w:p w14:paraId="2C75515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7.具有中英文、数字以及特殊字符打印功能，可打印灭菌日期、失效日期、灭菌批次等;</w:t>
            </w:r>
          </w:p>
          <w:p w14:paraId="756479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8.失效日期可以根据设置的有效天数自动调整。</w:t>
            </w:r>
          </w:p>
          <w:p w14:paraId="299262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9.故障自动报警指示;</w:t>
            </w:r>
          </w:p>
          <w:p w14:paraId="045B5CF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10.具备窄体、正常、宽体等打印字体选择形式;</w:t>
            </w:r>
          </w:p>
          <w:p w14:paraId="5DACDAA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11.自动核算打印最小带宽;</w:t>
            </w:r>
          </w:p>
          <w:p w14:paraId="69C9040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12.打印功能--键式关闭;</w:t>
            </w:r>
          </w:p>
          <w:p w14:paraId="0AB1E1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13.待机时间和待机温度可调;</w:t>
            </w:r>
          </w:p>
          <w:p w14:paraId="2955FEC2">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14.可选配带裁切功能的封口机；</w:t>
            </w:r>
          </w:p>
        </w:tc>
        <w:tc>
          <w:tcPr>
            <w:tcW w:w="977" w:type="dxa"/>
            <w:tcBorders>
              <w:top w:val="single" w:color="000000" w:sz="4" w:space="0"/>
              <w:left w:val="single" w:color="000000" w:sz="4" w:space="0"/>
              <w:bottom w:val="nil"/>
              <w:right w:val="single" w:color="000000" w:sz="4" w:space="0"/>
            </w:tcBorders>
            <w:noWrap/>
            <w:vAlign w:val="center"/>
          </w:tcPr>
          <w:p w14:paraId="7646A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6A0AF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7B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C698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1355D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10.危险化学品柜</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2DB88FF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参数：≥22加仑，≥1650×590×460，加厚板材，双锁柜门，通风装置，层板可调节，防漏液槽，静电接地。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3AA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0E93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EE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288F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511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11.药品仓储货架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F3F12E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参数：约1500×600×2000，重量级货架量级，重力式货架结构，4-6层，不锈钢基材材质，E1基材甲醛释放限量等级，可组合功能。</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8026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48925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6A9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266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D5A7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12.敞开式药品货架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5681CF62">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参数：约1200×460×2000，单面五层，层板可调节，托盘式可拆装。</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1437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AD24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1C72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50" w:type="dxa"/>
            <w:tcBorders>
              <w:top w:val="single" w:color="000000" w:sz="4" w:space="0"/>
              <w:left w:val="single" w:color="000000" w:sz="4" w:space="0"/>
              <w:bottom w:val="single" w:color="000000" w:sz="4" w:space="0"/>
              <w:right w:val="single" w:color="000000" w:sz="4" w:space="0"/>
            </w:tcBorders>
            <w:noWrap/>
            <w:vAlign w:val="top"/>
          </w:tcPr>
          <w:p w14:paraId="10CF0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noWrap/>
            <w:vAlign w:val="top"/>
          </w:tcPr>
          <w:p w14:paraId="232A4724">
            <w:pPr>
              <w:bidi w:val="0"/>
              <w:rPr>
                <w:rFonts w:hint="eastAsia" w:ascii="宋体" w:hAnsi="宋体" w:eastAsia="宋体" w:cs="宋体"/>
                <w:i w:val="0"/>
                <w:iCs w:val="0"/>
                <w:color w:val="auto"/>
                <w:sz w:val="24"/>
                <w:szCs w:val="24"/>
                <w:highlight w:val="none"/>
                <w:u w:val="none"/>
              </w:rPr>
            </w:pPr>
            <w:r>
              <w:rPr>
                <w:rFonts w:hint="eastAsia"/>
                <w:color w:val="auto"/>
                <w:highlight w:val="none"/>
                <w:lang w:val="en-US" w:eastAsia="zh-CN"/>
              </w:rPr>
              <w:t>13.</w:t>
            </w:r>
            <w:r>
              <w:rPr>
                <w:rFonts w:hint="eastAsia" w:ascii="宋体" w:hAnsi="宋体" w:eastAsia="宋体" w:cs="Times New Roman"/>
                <w:color w:val="auto"/>
                <w:szCs w:val="21"/>
                <w:highlight w:val="none"/>
                <w:lang w:val="en-US" w:eastAsia="zh-CN"/>
              </w:rPr>
              <w:t>检验科工作台</w:t>
            </w:r>
          </w:p>
        </w:tc>
        <w:tc>
          <w:tcPr>
            <w:tcW w:w="5376" w:type="dxa"/>
            <w:tcBorders>
              <w:top w:val="single" w:color="000000" w:sz="4" w:space="0"/>
              <w:left w:val="single" w:color="000000" w:sz="4" w:space="0"/>
              <w:bottom w:val="single" w:color="000000" w:sz="4" w:space="0"/>
              <w:right w:val="single" w:color="000000" w:sz="4" w:space="0"/>
            </w:tcBorders>
            <w:noWrap w:val="0"/>
            <w:vAlign w:val="top"/>
          </w:tcPr>
          <w:p w14:paraId="57632E3F">
            <w:pPr>
              <w:ind w:firstLine="205" w:firstLineChars="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参数：台面材质环氧树脂，柜体实验室专用环保板，结构和尺寸按实际现场确定。</w:t>
            </w:r>
          </w:p>
        </w:tc>
        <w:tc>
          <w:tcPr>
            <w:tcW w:w="977" w:type="dxa"/>
            <w:tcBorders>
              <w:top w:val="single" w:color="000000" w:sz="4" w:space="0"/>
              <w:left w:val="single" w:color="000000" w:sz="4" w:space="0"/>
              <w:bottom w:val="single" w:color="000000" w:sz="4" w:space="0"/>
              <w:right w:val="single" w:color="000000" w:sz="4" w:space="0"/>
            </w:tcBorders>
            <w:noWrap/>
            <w:vAlign w:val="top"/>
          </w:tcPr>
          <w:p w14:paraId="250FA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top"/>
          </w:tcPr>
          <w:p w14:paraId="78558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8FE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530F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BC88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0F660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D131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D311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E1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restart"/>
            <w:tcBorders>
              <w:top w:val="single" w:color="000000" w:sz="4" w:space="0"/>
              <w:left w:val="single" w:color="000000" w:sz="4" w:space="0"/>
              <w:right w:val="single" w:color="000000" w:sz="4" w:space="0"/>
            </w:tcBorders>
            <w:noWrap/>
            <w:vAlign w:val="center"/>
          </w:tcPr>
          <w:p w14:paraId="1F9313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1516" w:type="dxa"/>
            <w:tcBorders>
              <w:top w:val="single" w:color="000000" w:sz="4" w:space="0"/>
              <w:left w:val="single" w:color="000000" w:sz="4" w:space="0"/>
              <w:bottom w:val="single" w:color="auto" w:sz="4" w:space="0"/>
              <w:right w:val="single" w:color="000000" w:sz="4" w:space="0"/>
            </w:tcBorders>
            <w:noWrap/>
            <w:vAlign w:val="center"/>
          </w:tcPr>
          <w:p w14:paraId="1BE258C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扭腰器</w:t>
            </w:r>
          </w:p>
        </w:tc>
        <w:tc>
          <w:tcPr>
            <w:tcW w:w="5376" w:type="dxa"/>
            <w:tcBorders>
              <w:top w:val="single" w:color="000000" w:sz="4" w:space="0"/>
              <w:left w:val="single" w:color="000000" w:sz="4" w:space="0"/>
              <w:bottom w:val="single" w:color="auto" w:sz="4" w:space="0"/>
              <w:right w:val="single" w:color="000000" w:sz="4" w:space="0"/>
            </w:tcBorders>
            <w:noWrap w:val="0"/>
            <w:vAlign w:val="center"/>
          </w:tcPr>
          <w:p w14:paraId="2FACB5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器材尺寸符合《健身器材室外健身器材的安全通用标准》（GB19272-2011）要求；</w:t>
            </w:r>
          </w:p>
          <w:p w14:paraId="2A306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3mm标准管材,并与其他管材同时满足GB19272-2011标准中相关静载荷、稳定性及疲劳性试验要求；</w:t>
            </w:r>
          </w:p>
          <w:p w14:paraId="1BD3F13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2)扭腰盘主立柱管采用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Φ76*3mm，扶手管为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Φ32×3mm</w:t>
            </w:r>
          </w:p>
          <w:p w14:paraId="330067B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3)脚踏部位有防滑措施，双脚站立防滑面，摩擦系数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0.5；</w:t>
            </w:r>
          </w:p>
          <w:p w14:paraId="7CACCFA6">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color w:val="auto"/>
                <w:spacing w:val="8"/>
                <w:sz w:val="21"/>
                <w:szCs w:val="21"/>
                <w:highlight w:val="none"/>
              </w:rPr>
              <w:t>4)主要承载立柱采用直接埋入地下的结构，立柱埋入深度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500mm，</w:t>
            </w:r>
          </w:p>
        </w:tc>
        <w:tc>
          <w:tcPr>
            <w:tcW w:w="977" w:type="dxa"/>
            <w:tcBorders>
              <w:top w:val="single" w:color="000000" w:sz="4" w:space="0"/>
              <w:left w:val="single" w:color="000000" w:sz="4" w:space="0"/>
              <w:bottom w:val="single" w:color="auto" w:sz="4" w:space="0"/>
              <w:right w:val="single" w:color="000000" w:sz="4" w:space="0"/>
            </w:tcBorders>
            <w:noWrap/>
            <w:vAlign w:val="center"/>
          </w:tcPr>
          <w:p w14:paraId="5C5F746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000000" w:sz="4" w:space="0"/>
              <w:left w:val="single" w:color="000000" w:sz="4" w:space="0"/>
              <w:bottom w:val="single" w:color="auto" w:sz="4" w:space="0"/>
              <w:right w:val="single" w:color="000000" w:sz="4" w:space="0"/>
            </w:tcBorders>
            <w:noWrap/>
            <w:vAlign w:val="center"/>
          </w:tcPr>
          <w:p w14:paraId="529C9A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3A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3BEA3E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11D273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压腿按摩器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7A463D6">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en-US" w:bidi="ar-SA"/>
              </w:rPr>
              <w:t>器材尺寸符合《健身器材室外健身器材的安全通用标准》（GB19272-2011）要求；</w:t>
            </w:r>
          </w:p>
          <w:p w14:paraId="2737EAEE">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zh-CN" w:bidi="ar-SA"/>
              </w:rPr>
              <w:t>1、</w:t>
            </w:r>
            <w:r>
              <w:rPr>
                <w:rFonts w:hint="eastAsia" w:asciiTheme="minorEastAsia" w:hAnsiTheme="minorEastAsia" w:eastAsiaTheme="minorEastAsia" w:cstheme="minorEastAsia"/>
                <w:color w:val="auto"/>
                <w:spacing w:val="8"/>
                <w:kern w:val="2"/>
                <w:sz w:val="21"/>
                <w:szCs w:val="21"/>
                <w:highlight w:val="none"/>
                <w:lang w:val="en-US" w:eastAsia="en-US" w:bidi="ar-SA"/>
              </w:rPr>
              <w:t>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Φ114×3(mm)；</w:t>
            </w:r>
          </w:p>
          <w:p w14:paraId="3E16EC1F">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pacing w:val="8"/>
                <w:kern w:val="2"/>
                <w:sz w:val="21"/>
                <w:szCs w:val="21"/>
                <w:highlight w:val="none"/>
                <w:lang w:val="en-US" w:eastAsia="zh-CN" w:bidi="ar-SA"/>
              </w:rPr>
              <w:t>2、</w:t>
            </w:r>
            <w:r>
              <w:rPr>
                <w:rFonts w:hint="eastAsia" w:asciiTheme="minorEastAsia" w:hAnsiTheme="minorEastAsia" w:eastAsiaTheme="minorEastAsia" w:cstheme="minorEastAsia"/>
                <w:color w:val="auto"/>
                <w:spacing w:val="8"/>
                <w:kern w:val="2"/>
                <w:sz w:val="21"/>
                <w:szCs w:val="21"/>
                <w:highlight w:val="none"/>
                <w:lang w:val="en-US" w:eastAsia="en-US" w:bidi="ar-SA"/>
              </w:rPr>
              <w:t>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Φ42×3(mm)；</w:t>
            </w:r>
            <w:r>
              <w:rPr>
                <w:rFonts w:hint="eastAsia" w:asciiTheme="minorEastAsia" w:hAnsiTheme="minorEastAsia" w:eastAsiaTheme="minorEastAsia" w:cstheme="minorEastAsia"/>
                <w:color w:val="auto"/>
                <w:spacing w:val="8"/>
                <w:kern w:val="2"/>
                <w:sz w:val="21"/>
                <w:szCs w:val="21"/>
                <w:highlight w:val="none"/>
                <w:lang w:val="en-US" w:eastAsia="en-US" w:bidi="ar-SA"/>
              </w:rPr>
              <w:br w:type="textWrapping"/>
            </w:r>
            <w:r>
              <w:rPr>
                <w:rFonts w:hint="eastAsia" w:asciiTheme="minorEastAsia" w:hAnsiTheme="minorEastAsia" w:eastAsiaTheme="minorEastAsia" w:cstheme="minorEastAsia"/>
                <w:color w:val="auto"/>
                <w:spacing w:val="8"/>
                <w:kern w:val="2"/>
                <w:sz w:val="21"/>
                <w:szCs w:val="21"/>
                <w:highlight w:val="none"/>
                <w:lang w:val="en-US" w:eastAsia="en-US" w:bidi="ar-SA"/>
              </w:rPr>
              <w:t>3、器材各支撑人体的表面所有棱边和尖角使其半径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3mm；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B2331B2">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3585C1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DF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23830B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BFB7A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骑马器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09419F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42B4987B">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Φ114×3(mm)；</w:t>
            </w:r>
          </w:p>
          <w:p w14:paraId="2E114E38">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Φ60×3(mm)；</w:t>
            </w:r>
          </w:p>
          <w:p w14:paraId="2EC04870">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3、座板板材壁厚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4mm；</w:t>
            </w:r>
          </w:p>
          <w:p w14:paraId="7DEBABC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4、脚或腿的卡夹（活动部件底面与地面或其它部件的间距）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80mm；</w:t>
            </w:r>
          </w:p>
          <w:p w14:paraId="2CF4E0D1">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5、活动部件下底面距地面距离（净高度）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400mm；</w:t>
            </w:r>
          </w:p>
          <w:p w14:paraId="3DCB3253">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6、手把握持位置有纹理表面，脚踏部位具有防滑措施，具有限位缓冲装置；</w:t>
            </w:r>
          </w:p>
          <w:p w14:paraId="7C8BB9F5">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7、立柱采用焊接式钢制封头；</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98D7B20">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9871A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10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44E946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D0E541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双位坐蹬器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3F07D7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363A6EF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标准管材。</w:t>
            </w:r>
          </w:p>
          <w:p w14:paraId="306CFC99">
            <w:pPr>
              <w:pStyle w:val="130"/>
              <w:keepNext w:val="0"/>
              <w:keepLines w:val="0"/>
              <w:pageBreakBefore w:val="0"/>
              <w:kinsoku/>
              <w:wordWrap/>
              <w:overflowPunct/>
              <w:topLinePunct w:val="0"/>
              <w:autoSpaceDE/>
              <w:autoSpaceDN/>
              <w:bidi w:val="0"/>
              <w:adjustRightInd/>
              <w:snapToGrid/>
              <w:spacing w:line="400" w:lineRule="exact"/>
              <w:ind w:left="0" w:right="178" w:firstLine="4"/>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2）承载管规格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Φ89×3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钢管；立柱顶部采用钢制封头焊接；棱边和</w:t>
            </w:r>
            <w:r>
              <w:rPr>
                <w:rFonts w:hint="eastAsia" w:asciiTheme="minorEastAsia" w:hAnsiTheme="minorEastAsia" w:eastAsiaTheme="minorEastAsia" w:cstheme="minorEastAsia"/>
                <w:color w:val="auto"/>
                <w:spacing w:val="8"/>
                <w:sz w:val="21"/>
                <w:szCs w:val="21"/>
                <w:highlight w:val="none"/>
              </w:rPr>
              <w:t>棱角半径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；轴承座支架、耳片</w:t>
            </w:r>
            <w:r>
              <w:rPr>
                <w:rFonts w:hint="eastAsia" w:asciiTheme="minorEastAsia" w:hAnsiTheme="minorEastAsia" w:eastAsiaTheme="minorEastAsia" w:cstheme="minorEastAsia"/>
                <w:color w:val="auto"/>
                <w:spacing w:val="10"/>
                <w:sz w:val="21"/>
                <w:szCs w:val="21"/>
                <w:highlight w:val="none"/>
              </w:rPr>
              <w:t>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；摆臂与主立柱间距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，无挤压卡夹危险；不允许存在剪切点、挤压点、引</w:t>
            </w:r>
            <w:r>
              <w:rPr>
                <w:rFonts w:hint="eastAsia" w:asciiTheme="minorEastAsia" w:hAnsiTheme="minorEastAsia" w:eastAsiaTheme="minorEastAsia" w:cstheme="minorEastAsia"/>
                <w:color w:val="auto"/>
                <w:spacing w:val="9"/>
                <w:sz w:val="21"/>
                <w:szCs w:val="21"/>
                <w:highlight w:val="none"/>
              </w:rPr>
              <w:t>入点，不允许存在刚性</w:t>
            </w:r>
            <w:r>
              <w:rPr>
                <w:rFonts w:hint="eastAsia" w:asciiTheme="minorEastAsia" w:hAnsiTheme="minorEastAsia" w:eastAsiaTheme="minorEastAsia" w:cstheme="minorEastAsia"/>
                <w:color w:val="auto"/>
                <w:spacing w:val="10"/>
                <w:sz w:val="21"/>
                <w:szCs w:val="21"/>
                <w:highlight w:val="none"/>
              </w:rPr>
              <w:t>碰撞；座板距地面</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400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，无卡夹危险；脚踏部位</w:t>
            </w:r>
            <w:r>
              <w:rPr>
                <w:rFonts w:hint="eastAsia" w:asciiTheme="minorEastAsia" w:hAnsiTheme="minorEastAsia" w:eastAsiaTheme="minorEastAsia" w:cstheme="minorEastAsia"/>
                <w:color w:val="auto"/>
                <w:spacing w:val="9"/>
                <w:sz w:val="21"/>
                <w:szCs w:val="21"/>
                <w:highlight w:val="none"/>
              </w:rPr>
              <w:t>有防滑措施；摩擦系数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0.5；紧固件具有防盗、防锈、防松功能，需专用工具方可拆卸；涂层、橡胶、塑料件有害物质限量符合</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9"/>
                <w:sz w:val="21"/>
                <w:szCs w:val="21"/>
                <w:highlight w:val="none"/>
              </w:rPr>
              <w:t>19272-2</w:t>
            </w:r>
            <w:r>
              <w:rPr>
                <w:rFonts w:hint="eastAsia" w:asciiTheme="minorEastAsia" w:hAnsiTheme="minorEastAsia" w:eastAsiaTheme="minorEastAsia" w:cstheme="minorEastAsia"/>
                <w:color w:val="auto"/>
                <w:spacing w:val="8"/>
                <w:sz w:val="21"/>
                <w:szCs w:val="21"/>
                <w:highlight w:val="none"/>
              </w:rPr>
              <w:t>011中5.2.6的要求；安装采用直埋方式</w:t>
            </w:r>
            <w:r>
              <w:rPr>
                <w:rFonts w:hint="eastAsia" w:asciiTheme="minorEastAsia" w:hAnsiTheme="minorEastAsia" w:eastAsiaTheme="minorEastAsia" w:cstheme="minorEastAsia"/>
                <w:color w:val="auto"/>
                <w:spacing w:val="5"/>
                <w:sz w:val="21"/>
                <w:szCs w:val="21"/>
                <w:highlight w:val="none"/>
              </w:rPr>
              <w:t>,单根立柱埋地尺寸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5"/>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5"/>
                <w:sz w:val="21"/>
                <w:szCs w:val="21"/>
                <w:highlight w:val="none"/>
              </w:rPr>
              <w:t>；</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C5CCB9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20ACB5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3E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0318F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DA9E5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二位太空漫步机</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70392B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7017D3C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1)摆杆不能存在刚性碰撞，轴承能满足GB19272-2011中5.12.2.3.6冲击试验要求.</w:t>
            </w:r>
          </w:p>
          <w:p w14:paraId="5DC6B0D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：40*60*3.0mm；扶手管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Φ42mm，表面经过酸洗磷化喷塑工艺，使用不锈钢防盗盖帽，并与其它管材同时满足GB19272-2011标准中相关静载荷、稳定性及疲劳性试验要求。</w:t>
            </w:r>
          </w:p>
          <w:p w14:paraId="40D31208">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3)摆杆与立柱内侧最小距离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60mm。</w:t>
            </w:r>
          </w:p>
          <w:p w14:paraId="0F6035C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4)踏板的主运动方向和易滑脱方向设置高度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30mm、长度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踏板周长2/3的防滑脱的凸台或护板，凸台顶部棱边全部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2mm的R圆滑过渡。</w:t>
            </w:r>
          </w:p>
          <w:p w14:paraId="4132D66E">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5)脚踏部位有防滑措施，站立使用的单脚防滑面磨擦系数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0.5。</w:t>
            </w:r>
          </w:p>
          <w:p w14:paraId="7594789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6)摆动部件下缘距地面或底面最小高度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80mm，</w:t>
            </w:r>
          </w:p>
          <w:p w14:paraId="75B1B12F">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7)相邻运动的两踏板间的间距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100mm，</w:t>
            </w:r>
          </w:p>
          <w:p w14:paraId="5E8E9F96">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8)主立柱采用钢制盖帽，以防止雨水淋入。</w:t>
            </w:r>
          </w:p>
          <w:p w14:paraId="4C35C6A7">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9)主要承载立柱采用直埋方式，立柱埋地尺寸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500mm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F5E297B">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BB5FE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1D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7871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4989B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上肢牵引器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A41027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p>
          <w:p w14:paraId="24A4291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3mm标准管材，其他管材同时满足GB19272-2011标准中相关静载荷、稳定性及疲劳性试验要求；</w:t>
            </w:r>
          </w:p>
          <w:p w14:paraId="6E302BD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2.器材活动连接处采用轴承连接，轴承直径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φ25mm；</w:t>
            </w:r>
          </w:p>
          <w:p w14:paraId="22978A9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3.采用塑料把套，以增强使用时的舒适度感，手柄端部直径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φ50mm;上肢牵引器活动把手（不含柔性部件）</w:t>
            </w: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600g;</w:t>
            </w:r>
          </w:p>
          <w:p w14:paraId="78C8F8ED">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4.器材承受主要载荷的牵索、连接钩环、连接接头的抗拉力</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14000N;</w:t>
            </w:r>
          </w:p>
          <w:p w14:paraId="13A5393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5.安装方式：采用直埋式埋地深度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600mm</w:t>
            </w:r>
          </w:p>
          <w:p w14:paraId="10CB2F75">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500×500×700mm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134788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F313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7E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C1695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67A186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太极揉推器（铁盘）</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BA46AD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5672F4CD">
            <w:pPr>
              <w:pStyle w:val="130"/>
              <w:keepNext w:val="0"/>
              <w:keepLines w:val="0"/>
              <w:pageBreakBefore w:val="0"/>
              <w:kinsoku/>
              <w:wordWrap/>
              <w:overflowPunct/>
              <w:topLinePunct w:val="0"/>
              <w:autoSpaceDE/>
              <w:autoSpaceDN/>
              <w:bidi w:val="0"/>
              <w:adjustRightInd/>
              <w:snapToGrid/>
              <w:spacing w:line="400" w:lineRule="exact"/>
              <w:ind w:left="0" w:right="493" w:firstLine="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标准管材，支撑管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，并与其他管材同时满足</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19272-2011标准中相关静载荷、稳定性及疲劳性试验要求；</w:t>
            </w:r>
          </w:p>
          <w:p w14:paraId="53F8B585">
            <w:pPr>
              <w:pStyle w:val="130"/>
              <w:keepNext w:val="0"/>
              <w:keepLines w:val="0"/>
              <w:pageBreakBefore w:val="0"/>
              <w:kinsoku/>
              <w:wordWrap/>
              <w:overflowPunct/>
              <w:topLinePunct w:val="0"/>
              <w:autoSpaceDE/>
              <w:autoSpaceDN/>
              <w:bidi w:val="0"/>
              <w:adjustRightInd/>
              <w:snapToGrid/>
              <w:spacing w:line="400" w:lineRule="exact"/>
              <w:ind w:left="0" w:right="17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2)转盘采用钢板整体冲压周边卷边成形直径在(φ440~φ450）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,两转盘内侧距离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，转盘</w:t>
            </w:r>
            <w:r>
              <w:rPr>
                <w:rFonts w:hint="eastAsia" w:asciiTheme="minorEastAsia" w:hAnsiTheme="minorEastAsia" w:eastAsiaTheme="minorEastAsia" w:cstheme="minorEastAsia"/>
                <w:color w:val="auto"/>
                <w:spacing w:val="7"/>
                <w:sz w:val="21"/>
                <w:szCs w:val="21"/>
                <w:highlight w:val="none"/>
              </w:rPr>
              <w:t>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φ25</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，材料采用45#钢；主立柱采用钢制盖帽，避免</w:t>
            </w:r>
            <w:r>
              <w:rPr>
                <w:rFonts w:hint="eastAsia" w:asciiTheme="minorEastAsia" w:hAnsiTheme="minorEastAsia" w:eastAsiaTheme="minorEastAsia" w:cstheme="minorEastAsia"/>
                <w:color w:val="auto"/>
                <w:spacing w:val="8"/>
                <w:sz w:val="21"/>
                <w:szCs w:val="21"/>
                <w:highlight w:val="none"/>
              </w:rPr>
              <w:t>雨水淋入；轴承位采用防水措施，转盘轴承室必须有封盖</w:t>
            </w:r>
            <w:r>
              <w:rPr>
                <w:rFonts w:hint="eastAsia" w:asciiTheme="minorEastAsia" w:hAnsiTheme="minorEastAsia" w:eastAsiaTheme="minorEastAsia" w:cstheme="minorEastAsia"/>
                <w:color w:val="auto"/>
                <w:spacing w:val="3"/>
                <w:sz w:val="21"/>
                <w:szCs w:val="21"/>
                <w:highlight w:val="none"/>
              </w:rPr>
              <w:t>,封盖与盘不得有相对运动；</w:t>
            </w:r>
          </w:p>
          <w:p w14:paraId="1B63A17D">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3)安装采用直埋方式，立柱埋地尺寸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07438D52">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4)双人使用，转盘式；</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06CF26A">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1925B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4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11AAC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9D98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大转轮</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516E6D">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1DFF15D1">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r>
              <w:rPr>
                <w:rFonts w:hint="eastAsia" w:asciiTheme="minorEastAsia" w:hAnsiTheme="minorEastAsia" w:eastAsiaTheme="minorEastAsia" w:cstheme="minorEastAsia"/>
                <w:color w:val="auto"/>
                <w:kern w:val="0"/>
                <w:sz w:val="21"/>
                <w:szCs w:val="21"/>
                <w:highlight w:val="none"/>
              </w:rPr>
              <w:t>承载横梁选用</w:t>
            </w:r>
            <w:r>
              <w:rPr>
                <w:rFonts w:hint="eastAsia" w:asciiTheme="minorEastAsia" w:hAnsiTheme="minorEastAsia" w:eastAsiaTheme="minorEastAsia" w:cstheme="minorEastAsia"/>
                <w:color w:val="auto"/>
                <w:sz w:val="21"/>
                <w:szCs w:val="21"/>
                <w:highlight w:val="none"/>
              </w:rPr>
              <w:t>Φ76*3mm标准管材</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并与其他管材同时满足GB19272-2011标准中相关静载荷、稳定性及疲劳性试验要求，转动部位内置可靠的阻尼装置，阻尼力矩符合人体运动学规律；；</w:t>
            </w:r>
          </w:p>
          <w:p w14:paraId="1AAA423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安装方式：直埋式。</w:t>
            </w:r>
          </w:p>
          <w:p w14:paraId="237BE73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3)主要功能：可供两人同时使用，增加身体的血液循环，促进新陈代谢；活动腕、肘、肩、腰部关节，增强相关肌群的柔韧性和心肺功能。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268496E">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E5FDE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67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E20AD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E3201E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双杠</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044D2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7726C3A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杠面高度：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1300mm；杠长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2000mm，两杠内侧距离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460mm，</w:t>
            </w:r>
          </w:p>
          <w:p w14:paraId="6EF1D52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纵向立轴中心距1500mm±100</w:t>
            </w:r>
          </w:p>
          <w:p w14:paraId="422D175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2.主立柱为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Φ114*3mm的优质圆钢管，横梁尺寸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Φ42*3mm的优质钢管，立柱和横梁组件用防盗专用不锈钢镙丝固定</w:t>
            </w:r>
          </w:p>
          <w:p w14:paraId="5AF6FEF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Cs/>
                <w:color w:val="auto"/>
                <w:sz w:val="21"/>
                <w:szCs w:val="21"/>
                <w:highlight w:val="none"/>
              </w:rPr>
              <w:t>3.安装采用直埋方式，立柱地埋深度≥500mm。桩基水平尺寸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400*400mm；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96F86A6">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7ECF9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57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56DFEE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B94E99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钟摆训练器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AF8E38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器材尺寸符合《健身器材室外健身器材的安</w:t>
            </w:r>
            <w:r>
              <w:rPr>
                <w:rFonts w:hint="eastAsia" w:asciiTheme="minorEastAsia" w:hAnsiTheme="minorEastAsia" w:eastAsiaTheme="minorEastAsia" w:cstheme="minorEastAsia"/>
                <w:color w:val="auto"/>
                <w:spacing w:val="8"/>
                <w:sz w:val="21"/>
                <w:szCs w:val="21"/>
                <w:highlight w:val="none"/>
              </w:rPr>
              <w:t>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545FAA">
            <w:pPr>
              <w:pStyle w:val="130"/>
              <w:keepNext w:val="0"/>
              <w:keepLines w:val="0"/>
              <w:pageBreakBefore w:val="0"/>
              <w:kinsoku/>
              <w:wordWrap/>
              <w:overflowPunct/>
              <w:topLinePunct w:val="0"/>
              <w:autoSpaceDE/>
              <w:autoSpaceDN/>
              <w:bidi w:val="0"/>
              <w:adjustRightInd/>
              <w:snapToGrid/>
              <w:spacing w:line="400" w:lineRule="exact"/>
              <w:ind w:left="0" w:right="155" w:firstLine="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1、主立柱内部采用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2"/>
                <w:sz w:val="21"/>
                <w:szCs w:val="21"/>
                <w:highlight w:val="none"/>
              </w:rPr>
              <w:t>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优质钢管，主要</w:t>
            </w:r>
            <w:r>
              <w:rPr>
                <w:rFonts w:hint="eastAsia" w:asciiTheme="minorEastAsia" w:hAnsiTheme="minorEastAsia" w:eastAsiaTheme="minorEastAsia" w:cstheme="minorEastAsia"/>
                <w:color w:val="auto"/>
                <w:spacing w:val="11"/>
                <w:sz w:val="21"/>
                <w:szCs w:val="21"/>
                <w:highlight w:val="none"/>
              </w:rPr>
              <w:t>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1"/>
                <w:sz w:val="21"/>
                <w:szCs w:val="21"/>
                <w:highlight w:val="none"/>
              </w:rPr>
              <w:t>：□60*40*3.0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8"/>
                <w:sz w:val="21"/>
                <w:szCs w:val="21"/>
                <w:highlight w:val="none"/>
              </w:rPr>
              <w:t>防腐蚀。盖帽为铝合金盖帽螺丝固定加防盗盖。</w:t>
            </w:r>
          </w:p>
          <w:p w14:paraId="0550609B">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3"/>
                <w:sz w:val="21"/>
                <w:szCs w:val="21"/>
                <w:highlight w:val="none"/>
              </w:rPr>
              <w:t>2.扶手选用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Φ32×3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花纹钢管；摆杆选用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ф60×3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优质钢管；器材</w:t>
            </w:r>
            <w:r>
              <w:rPr>
                <w:rFonts w:hint="eastAsia" w:asciiTheme="minorEastAsia" w:hAnsiTheme="minorEastAsia" w:eastAsiaTheme="minorEastAsia" w:cstheme="minorEastAsia"/>
                <w:color w:val="auto"/>
                <w:spacing w:val="12"/>
                <w:sz w:val="21"/>
                <w:szCs w:val="21"/>
                <w:highlight w:val="none"/>
              </w:rPr>
              <w:t>之活动连接处采用轴径30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，并作橡</w:t>
            </w:r>
            <w:r>
              <w:rPr>
                <w:rFonts w:hint="eastAsia" w:asciiTheme="minorEastAsia" w:hAnsiTheme="minorEastAsia" w:eastAsiaTheme="minorEastAsia" w:cstheme="minorEastAsia"/>
                <w:color w:val="auto"/>
                <w:spacing w:val="10"/>
                <w:sz w:val="21"/>
                <w:szCs w:val="21"/>
                <w:highlight w:val="none"/>
              </w:rPr>
              <w:t>胶防水、防尘密封；其摆腿向外侧倾斜，避免了碰撞小腿的</w:t>
            </w:r>
            <w:r>
              <w:rPr>
                <w:rFonts w:hint="eastAsia" w:asciiTheme="minorEastAsia" w:hAnsiTheme="minorEastAsia" w:eastAsiaTheme="minorEastAsia" w:cstheme="minorEastAsia"/>
                <w:color w:val="auto"/>
                <w:spacing w:val="9"/>
                <w:sz w:val="21"/>
                <w:szCs w:val="21"/>
                <w:highlight w:val="none"/>
              </w:rPr>
              <w:t>隐患；</w:t>
            </w:r>
          </w:p>
          <w:p w14:paraId="0E895BC5">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3、连结件选用不锈钢螺丝连接，可防锈防盗；</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C8158A8">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609F9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B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3E853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F2237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撑体腹肌训练器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60402B89">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132208C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p>
          <w:p w14:paraId="1CFCE63E">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2）主承载横梁Φ70×3mm钢管。</w:t>
            </w:r>
          </w:p>
          <w:p w14:paraId="69EE9903">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3）不存在衣服、头发钩挂或缠绕危险；</w:t>
            </w:r>
          </w:p>
          <w:p w14:paraId="6CE77B1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4）腹肌板板面采用整体并冲压防滑凸起。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71E9147">
            <w:pPr>
              <w:jc w:val="center"/>
              <w:rPr>
                <w:rFonts w:hint="eastAsia" w:ascii="宋体" w:hAnsi="宋体" w:eastAsia="宋体" w:cs="楷体"/>
                <w:color w:val="auto"/>
                <w:kern w:val="2"/>
                <w:sz w:val="24"/>
                <w:szCs w:val="22"/>
                <w:highlight w:val="none"/>
                <w:lang w:val="en-US" w:eastAsia="zh-CN" w:bidi="ar-SA"/>
              </w:rPr>
            </w:pPr>
            <w:r>
              <w:rPr>
                <w:rFonts w:hint="eastAsia" w:ascii="宋体" w:hAnsi="宋体" w:eastAsia="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BC81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57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71BDB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4C5EA4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立式腰背按摩器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138A538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p>
          <w:p w14:paraId="2111CE5F">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3mm标准管材，并与其他管材同时满足GB19272-2011标准中相关静载荷、稳定性试验要求；</w:t>
            </w:r>
          </w:p>
          <w:p w14:paraId="1CA5FF4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□60*40*3.0mm；</w:t>
            </w:r>
          </w:p>
          <w:p w14:paraId="045BF553">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3、按摩轮与刚性固定部件件最小距离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30mm，按摩轮长度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400mm；</w:t>
            </w:r>
          </w:p>
          <w:p w14:paraId="67170BC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4、按摩轮轴直径为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w:t>
            </w:r>
          </w:p>
          <w:p w14:paraId="0CC1E3B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5、安装方式：采用直埋式地埋深度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w:t>
            </w:r>
          </w:p>
          <w:p w14:paraId="41BB4CF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500×500×600mm;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E7A9F11">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30655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8E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53F104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0B6444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棋牌桌</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F8F2A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B9503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1.桌面采用1</w:t>
            </w:r>
            <w:r>
              <w:rPr>
                <w:rFonts w:hint="eastAsia" w:asciiTheme="minorEastAsia" w:hAnsiTheme="minorEastAsia" w:eastAsiaTheme="minorEastAsia" w:cstheme="minorEastAsia"/>
                <w:color w:val="auto"/>
                <w:sz w:val="21"/>
                <w:szCs w:val="21"/>
                <w:highlight w:val="none"/>
              </w:rPr>
              <w:t>Cr</w:t>
            </w:r>
            <w:r>
              <w:rPr>
                <w:rFonts w:hint="eastAsia" w:asciiTheme="minorEastAsia" w:hAnsiTheme="minorEastAsia" w:eastAsiaTheme="minorEastAsia" w:cstheme="minorEastAsia"/>
                <w:color w:val="auto"/>
                <w:spacing w:val="9"/>
                <w:sz w:val="21"/>
                <w:szCs w:val="21"/>
                <w:highlight w:val="none"/>
              </w:rPr>
              <w:t>18</w:t>
            </w:r>
            <w:r>
              <w:rPr>
                <w:rFonts w:hint="eastAsia" w:asciiTheme="minorEastAsia" w:hAnsiTheme="minorEastAsia" w:eastAsiaTheme="minorEastAsia" w:cstheme="minorEastAsia"/>
                <w:color w:val="auto"/>
                <w:sz w:val="21"/>
                <w:szCs w:val="21"/>
                <w:highlight w:val="none"/>
              </w:rPr>
              <w:t>Ni</w:t>
            </w:r>
            <w:r>
              <w:rPr>
                <w:rFonts w:hint="eastAsia" w:asciiTheme="minorEastAsia" w:hAnsiTheme="minorEastAsia" w:eastAsiaTheme="minorEastAsia" w:cstheme="minorEastAsia"/>
                <w:color w:val="auto"/>
                <w:spacing w:val="9"/>
                <w:sz w:val="21"/>
                <w:szCs w:val="21"/>
                <w:highlight w:val="none"/>
              </w:rPr>
              <w:t>9</w:t>
            </w:r>
            <w:r>
              <w:rPr>
                <w:rFonts w:hint="eastAsia" w:asciiTheme="minorEastAsia" w:hAnsiTheme="minorEastAsia" w:eastAsiaTheme="minorEastAsia" w:cstheme="minorEastAsia"/>
                <w:color w:val="auto"/>
                <w:sz w:val="21"/>
                <w:szCs w:val="21"/>
                <w:highlight w:val="none"/>
              </w:rPr>
              <w:t>Ti</w:t>
            </w:r>
            <w:r>
              <w:rPr>
                <w:rFonts w:hint="eastAsia" w:asciiTheme="minorEastAsia" w:hAnsiTheme="minorEastAsia" w:eastAsiaTheme="minorEastAsia" w:cstheme="minorEastAsia"/>
                <w:color w:val="auto"/>
                <w:spacing w:val="9"/>
                <w:sz w:val="21"/>
                <w:szCs w:val="21"/>
                <w:highlight w:val="none"/>
              </w:rPr>
              <w:t>不锈钢材质，板材厚度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，图样及字</w:t>
            </w:r>
            <w:r>
              <w:rPr>
                <w:rFonts w:hint="eastAsia" w:asciiTheme="minorEastAsia" w:hAnsiTheme="minorEastAsia" w:eastAsiaTheme="minorEastAsia" w:cstheme="minorEastAsia"/>
                <w:color w:val="auto"/>
                <w:spacing w:val="8"/>
                <w:sz w:val="21"/>
                <w:szCs w:val="21"/>
                <w:highlight w:val="none"/>
              </w:rPr>
              <w:t>样蚀刻处理；</w:t>
            </w:r>
          </w:p>
          <w:p w14:paraId="4288F789">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2.座位立柱管材规格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Φ76</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,棋牌桌立柱管材规格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pacing w:val="8"/>
                <w:sz w:val="21"/>
                <w:szCs w:val="21"/>
                <w:highlight w:val="none"/>
              </w:rPr>
              <w:t>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2A334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3.主要承载立柱尺寸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Φ114*3.0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7"/>
                <w:sz w:val="21"/>
                <w:szCs w:val="21"/>
                <w:highlight w:val="none"/>
              </w:rPr>
              <w:t>;主要承载横梁尺寸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20</w:t>
            </w:r>
            <w:r>
              <w:rPr>
                <w:rFonts w:hint="eastAsia" w:asciiTheme="minorEastAsia" w:hAnsiTheme="minorEastAsia" w:eastAsiaTheme="minorEastAsia" w:cstheme="minorEastAsia"/>
                <w:color w:val="auto"/>
                <w:spacing w:val="6"/>
                <w:sz w:val="21"/>
                <w:szCs w:val="21"/>
                <w:highlight w:val="none"/>
              </w:rPr>
              <w:t>*40*1.5</w:t>
            </w:r>
            <w:r>
              <w:rPr>
                <w:rFonts w:hint="eastAsia" w:asciiTheme="minorEastAsia" w:hAnsiTheme="minorEastAsia" w:eastAsiaTheme="minorEastAsia" w:cstheme="minorEastAsia"/>
                <w:color w:val="auto"/>
                <w:sz w:val="21"/>
                <w:szCs w:val="21"/>
                <w:highlight w:val="none"/>
              </w:rPr>
              <w:t>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895D73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4</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14A9C9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B3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bottom w:val="single" w:color="auto" w:sz="4" w:space="0"/>
              <w:right w:val="single" w:color="000000" w:sz="4" w:space="0"/>
            </w:tcBorders>
            <w:noWrap w:val="0"/>
            <w:vAlign w:val="top"/>
          </w:tcPr>
          <w:p w14:paraId="03E63E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A9981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坐拉训练器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90C79C6">
            <w:pPr>
              <w:pStyle w:val="76"/>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1.主立柱</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φ114×3mm，主横梁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φ60×3mm；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25mm，轴承采用深沟球轴承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6205；</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3.器械支承表面的棱角和尖角半径R</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4.采用130限位，限位轴直径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20mm，轴承采用深沟球轴承6006,限位主轴</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φ30mm，耳片</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δ10mm,冲压座靠板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δ4；</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5.不存在衣服、头发钩挂或缠绕危险；</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6.立柱采用焊接钢制封头，可防止雨水流入；</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7.安装方式：直埋式、水泥浇筑，立柱埋入深度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500mm，基础坑</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500mm×500mm×600mm；</w:t>
            </w:r>
          </w:p>
          <w:p w14:paraId="520CEFB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8</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.扶手管采用菱形花纹管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Φ32×3mm，端部焊接Φ51mm球形帽;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0490144">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9F0F2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96EBCD1">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其他要求</w:t>
      </w:r>
    </w:p>
    <w:p w14:paraId="4EB45FF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医疗设备质量保证和售后服务要求</w:t>
      </w:r>
    </w:p>
    <w:p w14:paraId="1C4569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1.乙方须保证在甲方使用设备、服务及其任何一部分时不受第三方关于侵权的指控，如果出现此类情况，由乙方与第三方交涉并承担可能发生的一切经济和法律责任。</w:t>
      </w:r>
    </w:p>
    <w:p w14:paraId="2F05A4D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2.乙方应采用相应标准的保护措施进行包装，并承担由于其包装不妥引起的货物锈蚀、损坏和丢失等责任。（因医疗设备贵重精密，明确货物保护措施标准，以便如发生争议时好协商处理）</w:t>
      </w:r>
    </w:p>
    <w:p w14:paraId="1DBDB5C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3.运输及到货地点:由乙方负责运输，运至甲方指定的安装现场，费用包括在合同总价中。运输中产生的问题，包括但不限于运输货物丢失、货物发送错误造成的折返等问题产生的费用，由乙方承担。</w:t>
      </w:r>
    </w:p>
    <w:p w14:paraId="6946923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乙方所供货物的技术标准应符合国家相关部门最新颁布的相应标准，确保所供产品必须是最新、最成熟、性能最完善的产品，所提供的软件是当前最新软件版本，使用期内乙方提供软件免费升级服务。（“最新”这种表述不精准，建议以合同签订时间，采购设备时间为参照物，界定最的程度，同时乙方提供佐证材料）</w:t>
      </w:r>
    </w:p>
    <w:p w14:paraId="01256F0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5.交货时，乙方必须提供产品检验合格证书、装箱单、产品安装使用说明书、维修指南、服务手册等全部资料。</w:t>
      </w:r>
    </w:p>
    <w:p w14:paraId="44424C1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为保障医院医疗信息系统正常实施运行，乙方提供的设备须无条件终生免费开放设备数字信息系统接口，以便院方信息系统采集数据。若乙方无法完成上述约定，甲方有权扣除全部质保金，并按照设备总价20%扣除供货方的违约金以完成院方信息采集相关费用。（质保金请明确约定金额多少）</w:t>
      </w:r>
    </w:p>
    <w:p w14:paraId="53796AA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7.安装及验收:甲方必须提前一天通知乙方具体的安装时间，乙方免费负责设备的安装和调试。设备安装调试结束后，交使用科室正常使用十五天后，甲乙双方共同组织验收，同时乙方必须提供自治区计量测试研究院、特种设备检验研究院或卫生监督所等相关检测单位出具的合格的检测合格证，检测费用由乙方承担。验收合格后次日，进入保修期，乙方向甲方提供完整的中文维修保养资料。</w:t>
      </w:r>
    </w:p>
    <w:p w14:paraId="0DC024B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保修期为设备使用期，即设备安装完毕后一直到停止使用该设备。</w:t>
      </w:r>
    </w:p>
    <w:p w14:paraId="6295F20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8.设备使用期间，乙方无条件提供与设备维修相关的密码。</w:t>
      </w:r>
    </w:p>
    <w:p w14:paraId="4EF82EF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9.质保期:安装调试验收(以甲方验收时间为准）合格后起(一次性耗材除外）无条件免费整机质保1年。在使用期内提供原厂的售后服务，终身维护。保修期后该设备无年质保费，乙方提供易损件、配件清单报价单，一次性耗材清单报价单，先维修后付款，零配件购买，交货后付款。保修期内每年至少提供贰次预防性保养，如未能提供该项服务，每次扣除10%的质保金。</w:t>
      </w:r>
    </w:p>
    <w:p w14:paraId="48C52CF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培训:乙方负责对甲方维修人员和使用人员进行培训。（明确培训次数）培训地点:甲方提供。培训目标：使甲方维修人员能对设备的日常维护和一般性故障的查找及故障的排除，使用人员能熟练掌握设备的各项操作。明确培训目标达成检测标准，比如通过现场实操等。</w:t>
      </w:r>
    </w:p>
    <w:p w14:paraId="39CD946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11.保修期内开机率不得低于98%(按工作日计算），累计故障不超过六天，保修时间按1:3顺延，提供正规的备品、备件价格表，配件到达日期，国内不超过3天。</w:t>
      </w:r>
    </w:p>
    <w:p w14:paraId="2750C2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12.保修条款:产品在质保期内，如发生由于产品本身质量所引起的故障，乙方负责免费维修或更换，并相应延长所更换或维修过的零配件保修期；乙方在接到甲方报修电话后2小时内应予应答，如电话无法解决问题乙方应安排工程师48小时内到达现场解决问题。设备在保修期内出现三次及三次以上因质量问题引起的故障，乙方负责更换同类新的产品，由此产生的一切费用乙方承担。此费用甲方可以从合同总金额5%的质保金中直接扣除，对不足以抵偿的部分，甲方保留追索的权利。</w:t>
      </w:r>
    </w:p>
    <w:p w14:paraId="158E9C3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13.乙方对由于产品质量问题产生的医疗纠纷承担一切责任，并承担相关费用。</w:t>
      </w:r>
    </w:p>
    <w:p w14:paraId="08A9A1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14.健身器材的售后服务</w:t>
      </w:r>
    </w:p>
    <w:p w14:paraId="3EDD128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14.1除项目不涉及或采购活动中明确约定无须承担外，乙方还应提供下列服务：</w:t>
      </w:r>
    </w:p>
    <w:p w14:paraId="5EF99DC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（1）货物的现场移动、安装、调试、启动监督及技术支持；</w:t>
      </w:r>
    </w:p>
    <w:p w14:paraId="08E0799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（2）提供货物组装和维修所需的专用工具和辅助材料；</w:t>
      </w:r>
    </w:p>
    <w:p w14:paraId="3CA3C63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（3）在【政府采购合同专用条款】约定的期限内对所有的货物实施运行监督、维修，但前提条件是该服务并不能免除乙方在质量保证期内所承担的义务；</w:t>
      </w:r>
    </w:p>
    <w:p w14:paraId="79323C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（4）在制造商所在地或指定现场就货物的安装、启动、运营、维护、废弃处置等对甲方操作人员进行培训；</w:t>
      </w:r>
    </w:p>
    <w:p w14:paraId="695636E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（5）依照法律、行政法规的规定或者按照【政府采购合同专用条款】约定，货物在有效使用年限届满后应予回收的，乙方负有自行或者委托第三人对货物予以回收的义务；</w:t>
      </w:r>
    </w:p>
    <w:p w14:paraId="35199BE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（6）【政府采购合同专用条款】规定由乙方提供的其他服务。</w:t>
      </w:r>
    </w:p>
    <w:p w14:paraId="600C419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14.2乙方提供的售后服务的费用已包含在合同价款中，甲方不再另行支付。</w:t>
      </w:r>
    </w:p>
    <w:p w14:paraId="6576BFA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14.3.质保期</w:t>
      </w:r>
    </w:p>
    <w:p w14:paraId="365F298B">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（1）医疗设备安装调试验收(以甲方验收时间为准）合格后起(一次性耗材除外）无条件免费整机质保1年；</w:t>
      </w:r>
    </w:p>
    <w:p w14:paraId="46CCE5C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（2）健身器材产品质保期为2年；</w:t>
      </w:r>
    </w:p>
    <w:p w14:paraId="2524BAD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（3）如产品出厂的质保期大于2年的以出厂的质保期为准。</w:t>
      </w:r>
    </w:p>
    <w:p w14:paraId="3F429CD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合同履行中如发生争议，由双方协商解决，如协商不成，应向乌鲁木齐仲裁委员会提起仲裁解决。</w:t>
      </w:r>
    </w:p>
    <w:p w14:paraId="2F05AAA1">
      <w:pPr>
        <w:keepNext w:val="0"/>
        <w:keepLines w:val="0"/>
        <w:pageBreakBefore w:val="0"/>
        <w:numPr>
          <w:ilvl w:val="0"/>
          <w:numId w:val="0"/>
        </w:numPr>
        <w:kinsoku/>
        <w:wordWrap/>
        <w:overflowPunct/>
        <w:topLinePunct w:val="0"/>
        <w:autoSpaceDE/>
        <w:autoSpaceDN/>
        <w:bidi w:val="0"/>
        <w:adjustRightInd/>
        <w:snapToGrid/>
        <w:spacing w:line="440" w:lineRule="exact"/>
        <w:jc w:val="left"/>
        <w:rPr>
          <w:rFonts w:hint="default" w:ascii="仿宋" w:hAnsi="仿宋" w:eastAsia="仿宋" w:cs="仿宋"/>
          <w:b/>
          <w:bCs/>
          <w:color w:val="auto"/>
          <w:sz w:val="36"/>
          <w:szCs w:val="36"/>
          <w:highlight w:val="none"/>
          <w:lang w:val="en-US" w:eastAsia="zh-CN"/>
        </w:rPr>
      </w:pPr>
    </w:p>
    <w:p w14:paraId="7E3E6EA3">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31395417">
      <w:pPr>
        <w:pStyle w:val="80"/>
        <w:spacing w:before="0" w:after="0"/>
        <w:rPr>
          <w:rFonts w:hint="eastAsia" w:ascii="仿宋" w:hAnsi="仿宋" w:eastAsia="仿宋" w:cs="仿宋"/>
          <w:b/>
          <w:color w:val="auto"/>
          <w:kern w:val="2"/>
          <w:sz w:val="36"/>
          <w:szCs w:val="36"/>
          <w:highlight w:val="none"/>
          <w:lang w:eastAsia="zh-CN"/>
        </w:rPr>
      </w:pPr>
      <w:r>
        <w:rPr>
          <w:rFonts w:hint="eastAsia" w:ascii="仿宋" w:hAnsi="仿宋" w:eastAsia="仿宋" w:cs="仿宋"/>
          <w:b/>
          <w:color w:val="auto"/>
          <w:kern w:val="2"/>
          <w:sz w:val="36"/>
          <w:szCs w:val="36"/>
          <w:highlight w:val="none"/>
        </w:rPr>
        <w:t>第四部分合同</w:t>
      </w:r>
      <w:bookmarkEnd w:id="13"/>
      <w:r>
        <w:rPr>
          <w:rFonts w:hint="eastAsia" w:ascii="仿宋" w:hAnsi="仿宋" w:eastAsia="仿宋" w:cs="仿宋"/>
          <w:b/>
          <w:color w:val="auto"/>
          <w:kern w:val="2"/>
          <w:sz w:val="36"/>
          <w:szCs w:val="36"/>
          <w:highlight w:val="none"/>
          <w:lang w:eastAsia="zh-CN"/>
        </w:rPr>
        <w:t>条款</w:t>
      </w:r>
    </w:p>
    <w:p w14:paraId="595CD2CC">
      <w:pPr>
        <w:pStyle w:val="62"/>
        <w:jc w:val="both"/>
        <w:rPr>
          <w:rFonts w:hint="eastAsia" w:ascii="仿宋" w:hAnsi="仿宋" w:eastAsia="仿宋" w:cs="仿宋"/>
          <w:b/>
          <w:color w:val="auto"/>
          <w:highlight w:val="none"/>
        </w:rPr>
      </w:pPr>
      <w:bookmarkStart w:id="15" w:name="_Toc26195"/>
    </w:p>
    <w:p w14:paraId="63C204C4">
      <w:pPr>
        <w:wordWrap w:val="0"/>
        <w:ind w:firstLine="5760" w:firstLineChars="2400"/>
        <w:jc w:val="left"/>
        <w:rPr>
          <w:rFonts w:hint="eastAsia" w:ascii="仿宋" w:hAnsi="仿宋" w:eastAsia="仿宋" w:cs="仿宋"/>
          <w:bCs/>
          <w:color w:val="auto"/>
          <w:sz w:val="24"/>
          <w:szCs w:val="24"/>
          <w:highlight w:val="none"/>
        </w:rPr>
      </w:pPr>
    </w:p>
    <w:bookmarkEnd w:id="15"/>
    <w:p w14:paraId="256F31A9">
      <w:pPr>
        <w:pStyle w:val="14"/>
        <w:ind w:left="0"/>
        <w:rPr>
          <w:rFonts w:hint="eastAsia" w:ascii="仿宋" w:hAnsi="仿宋" w:eastAsia="仿宋" w:cs="仿宋"/>
          <w:color w:val="auto"/>
          <w:highlight w:val="none"/>
        </w:rPr>
      </w:pPr>
      <w:bookmarkStart w:id="16" w:name="_Toc134550684"/>
    </w:p>
    <w:p w14:paraId="14C685B5">
      <w:pPr>
        <w:pStyle w:val="14"/>
        <w:ind w:left="0"/>
        <w:rPr>
          <w:rFonts w:hint="eastAsia" w:ascii="仿宋" w:hAnsi="仿宋" w:eastAsia="仿宋" w:cs="仿宋"/>
          <w:color w:val="auto"/>
          <w:highlight w:val="none"/>
        </w:rPr>
      </w:pPr>
    </w:p>
    <w:p w14:paraId="43CC8F17">
      <w:pPr>
        <w:spacing w:line="560" w:lineRule="exact"/>
        <w:ind w:firstLine="601"/>
        <w:jc w:val="center"/>
        <w:rPr>
          <w:rFonts w:ascii="宋体" w:hAnsi="宋体"/>
          <w:b/>
          <w:color w:val="auto"/>
          <w:sz w:val="44"/>
          <w:szCs w:val="44"/>
          <w:highlight w:val="none"/>
        </w:rPr>
      </w:pPr>
      <w:r>
        <w:rPr>
          <w:rFonts w:hint="eastAsia" w:ascii="宋体" w:hAnsi="宋体"/>
          <w:b/>
          <w:color w:val="auto"/>
          <w:sz w:val="44"/>
          <w:szCs w:val="44"/>
          <w:highlight w:val="none"/>
        </w:rPr>
        <w:t>新疆维吾尔自治区民政康复中心医疗条件改造提升项目采购合同书</w:t>
      </w:r>
    </w:p>
    <w:p w14:paraId="4767879C">
      <w:pPr>
        <w:spacing w:line="560" w:lineRule="exact"/>
        <w:ind w:firstLine="601"/>
        <w:jc w:val="center"/>
        <w:rPr>
          <w:rFonts w:hint="eastAsia" w:ascii="宋体" w:hAnsi="宋体"/>
          <w:b/>
          <w:color w:val="auto"/>
          <w:sz w:val="32"/>
          <w:szCs w:val="32"/>
          <w:highlight w:val="none"/>
        </w:rPr>
      </w:pPr>
    </w:p>
    <w:p w14:paraId="13FCE4B1">
      <w:pPr>
        <w:spacing w:line="560" w:lineRule="exact"/>
        <w:rPr>
          <w:rFonts w:hint="eastAsia" w:ascii="仿宋" w:hAnsi="仿宋" w:eastAsia="仿宋"/>
          <w:color w:val="auto"/>
          <w:sz w:val="24"/>
          <w:highlight w:val="none"/>
        </w:rPr>
      </w:pPr>
    </w:p>
    <w:p w14:paraId="718DF048">
      <w:pPr>
        <w:spacing w:line="560" w:lineRule="exact"/>
        <w:rPr>
          <w:rFonts w:hint="eastAsia" w:ascii="仿宋" w:hAnsi="仿宋" w:eastAsia="仿宋"/>
          <w:color w:val="auto"/>
          <w:sz w:val="24"/>
          <w:highlight w:val="none"/>
        </w:rPr>
      </w:pPr>
    </w:p>
    <w:p w14:paraId="13D82AF8">
      <w:pPr>
        <w:jc w:val="center"/>
        <w:rPr>
          <w:b/>
          <w:color w:val="auto"/>
          <w:sz w:val="28"/>
          <w:szCs w:val="28"/>
          <w:highlight w:val="none"/>
        </w:rPr>
      </w:pPr>
      <w:r>
        <w:rPr>
          <w:rFonts w:hint="eastAsia"/>
          <w:b/>
          <w:color w:val="auto"/>
          <w:sz w:val="28"/>
          <w:szCs w:val="28"/>
          <w:highlight w:val="none"/>
        </w:rPr>
        <w:t>合同科提示：此合同内容仅供参考，具体内容按照招</w:t>
      </w:r>
      <w:r>
        <w:rPr>
          <w:rFonts w:hint="eastAsia"/>
          <w:b/>
          <w:color w:val="auto"/>
          <w:sz w:val="28"/>
          <w:szCs w:val="28"/>
          <w:highlight w:val="none"/>
          <w:lang w:val="en-US" w:eastAsia="zh-CN"/>
        </w:rPr>
        <w:t>响应</w:t>
      </w:r>
      <w:r>
        <w:rPr>
          <w:rFonts w:hint="eastAsia"/>
          <w:b/>
          <w:color w:val="auto"/>
          <w:sz w:val="28"/>
          <w:szCs w:val="28"/>
          <w:highlight w:val="none"/>
        </w:rPr>
        <w:t>文件填写为准。</w:t>
      </w:r>
    </w:p>
    <w:p w14:paraId="681B15B3">
      <w:pPr>
        <w:spacing w:line="560" w:lineRule="exact"/>
        <w:ind w:firstLine="0" w:firstLineChars="0"/>
        <w:jc w:val="left"/>
        <w:rPr>
          <w:rFonts w:hint="eastAsia" w:ascii="宋体" w:hAnsi="宋体"/>
          <w:color w:val="auto"/>
          <w:sz w:val="30"/>
          <w:szCs w:val="30"/>
          <w:highlight w:val="none"/>
        </w:rPr>
      </w:pPr>
    </w:p>
    <w:p w14:paraId="7B507A14">
      <w:pPr>
        <w:spacing w:line="560" w:lineRule="exact"/>
        <w:ind w:firstLine="1350" w:firstLineChars="450"/>
        <w:jc w:val="left"/>
        <w:rPr>
          <w:rFonts w:hint="eastAsia" w:ascii="宋体" w:hAnsi="宋体"/>
          <w:color w:val="auto"/>
          <w:sz w:val="30"/>
          <w:szCs w:val="30"/>
          <w:highlight w:val="none"/>
        </w:rPr>
      </w:pPr>
    </w:p>
    <w:p w14:paraId="6CCC65D0">
      <w:pPr>
        <w:spacing w:line="560" w:lineRule="exact"/>
        <w:ind w:left="2837" w:leftChars="638" w:hanging="1497" w:hangingChars="499"/>
        <w:jc w:val="left"/>
        <w:rPr>
          <w:rFonts w:hint="eastAsia" w:ascii="宋体" w:hAnsi="宋体"/>
          <w:color w:val="auto"/>
          <w:sz w:val="30"/>
          <w:szCs w:val="30"/>
          <w:highlight w:val="none"/>
        </w:rPr>
      </w:pPr>
      <w:r>
        <w:rPr>
          <w:rFonts w:hint="eastAsia" w:ascii="宋体" w:hAnsi="宋体"/>
          <w:color w:val="auto"/>
          <w:sz w:val="30"/>
          <w:szCs w:val="30"/>
          <w:highlight w:val="none"/>
        </w:rPr>
        <w:t>买方：新疆维吾尔自治区民政康复中心</w:t>
      </w:r>
    </w:p>
    <w:p w14:paraId="66BE7A3A">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卖方：</w:t>
      </w:r>
    </w:p>
    <w:p w14:paraId="2B581DD3">
      <w:pPr>
        <w:spacing w:line="560" w:lineRule="exact"/>
        <w:ind w:firstLine="1350" w:firstLineChars="450"/>
        <w:jc w:val="left"/>
        <w:rPr>
          <w:rFonts w:hint="eastAsia" w:ascii="宋体" w:hAnsi="宋体"/>
          <w:color w:val="auto"/>
          <w:sz w:val="30"/>
          <w:szCs w:val="30"/>
          <w:highlight w:val="none"/>
        </w:rPr>
      </w:pPr>
    </w:p>
    <w:p w14:paraId="49DB7738">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签约地点：新疆乌鲁木齐市</w:t>
      </w:r>
    </w:p>
    <w:p w14:paraId="2E8B902C">
      <w:pPr>
        <w:spacing w:line="560" w:lineRule="exact"/>
        <w:ind w:firstLine="1350" w:firstLineChars="450"/>
        <w:jc w:val="left"/>
        <w:rPr>
          <w:rFonts w:hint="eastAsia" w:ascii="宋体" w:hAnsi="宋体"/>
          <w:color w:val="auto"/>
          <w:sz w:val="30"/>
          <w:szCs w:val="30"/>
          <w:highlight w:val="none"/>
        </w:rPr>
      </w:pPr>
    </w:p>
    <w:p w14:paraId="39CE24B1">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签约日期：</w:t>
      </w:r>
    </w:p>
    <w:p w14:paraId="33E4F51D">
      <w:pPr>
        <w:pStyle w:val="10"/>
        <w:rPr>
          <w:rFonts w:hint="eastAsia"/>
          <w:color w:val="auto"/>
          <w:highlight w:val="none"/>
        </w:rPr>
      </w:pPr>
    </w:p>
    <w:p w14:paraId="443EE0BE">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律审编号：</w:t>
      </w:r>
    </w:p>
    <w:p w14:paraId="0DBC395B">
      <w:pPr>
        <w:spacing w:line="560" w:lineRule="exact"/>
        <w:rPr>
          <w:rFonts w:hint="eastAsia" w:ascii="仿宋" w:hAnsi="仿宋" w:eastAsia="仿宋"/>
          <w:color w:val="auto"/>
          <w:sz w:val="24"/>
          <w:highlight w:val="none"/>
        </w:rPr>
      </w:pPr>
    </w:p>
    <w:p w14:paraId="2289AF31">
      <w:pPr>
        <w:spacing w:line="360" w:lineRule="auto"/>
        <w:rPr>
          <w:rFonts w:hint="eastAsia" w:ascii="宋体" w:hAnsi="宋体" w:cs="宋体"/>
          <w:color w:val="auto"/>
          <w:sz w:val="36"/>
          <w:szCs w:val="36"/>
          <w:highlight w:val="none"/>
        </w:rPr>
      </w:pPr>
    </w:p>
    <w:p w14:paraId="23B3DA45">
      <w:pPr>
        <w:spacing w:line="360" w:lineRule="auto"/>
        <w:ind w:firstLine="3240" w:firstLineChars="900"/>
        <w:rPr>
          <w:rFonts w:hint="eastAsia" w:ascii="宋体" w:hAnsi="宋体" w:cs="宋体"/>
          <w:color w:val="auto"/>
          <w:sz w:val="36"/>
          <w:szCs w:val="36"/>
          <w:highlight w:val="none"/>
        </w:rPr>
      </w:pPr>
      <w:r>
        <w:rPr>
          <w:rFonts w:hint="eastAsia" w:ascii="宋体" w:hAnsi="宋体" w:cs="宋体"/>
          <w:color w:val="auto"/>
          <w:sz w:val="36"/>
          <w:szCs w:val="36"/>
          <w:highlight w:val="none"/>
        </w:rPr>
        <w:t>二〇二年月</w:t>
      </w:r>
    </w:p>
    <w:p w14:paraId="4547CE3D">
      <w:pPr>
        <w:spacing w:line="240" w:lineRule="auto"/>
        <w:ind w:firstLine="0" w:firstLineChars="0"/>
        <w:rPr>
          <w:rFonts w:hint="default" w:ascii="Times New Roman" w:hAnsi="Times New Roman" w:cs="Times New Roman"/>
          <w:color w:val="auto"/>
          <w:sz w:val="21"/>
          <w:szCs w:val="20"/>
          <w:highlight w:val="none"/>
        </w:rPr>
      </w:pPr>
    </w:p>
    <w:p w14:paraId="328AC65C">
      <w:pPr>
        <w:spacing w:line="240" w:lineRule="auto"/>
        <w:ind w:firstLine="0" w:firstLineChars="0"/>
        <w:rPr>
          <w:rFonts w:hint="default" w:ascii="Times New Roman" w:hAnsi="Times New Roman" w:cs="Times New Roman"/>
          <w:color w:val="auto"/>
          <w:sz w:val="21"/>
          <w:szCs w:val="20"/>
          <w:highlight w:val="none"/>
        </w:rPr>
      </w:pPr>
    </w:p>
    <w:p w14:paraId="71107B7B">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br w:type="page"/>
      </w:r>
    </w:p>
    <w:p w14:paraId="359ED502">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甲方（买方）：新疆维吾尔自治区民政康复中心</w:t>
      </w:r>
    </w:p>
    <w:p w14:paraId="6F75D638">
      <w:pPr>
        <w:spacing w:line="48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4F9772BF">
      <w:pPr>
        <w:spacing w:line="480" w:lineRule="exact"/>
        <w:rPr>
          <w:rFonts w:hint="eastAsia" w:ascii="仿宋_GB2312" w:hAnsi="仿宋_GB2312" w:eastAsia="仿宋_GB2312"/>
          <w:color w:val="auto"/>
          <w:sz w:val="24"/>
          <w:highlight w:val="none"/>
        </w:rPr>
      </w:pPr>
    </w:p>
    <w:p w14:paraId="7256EA45">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乙方（卖方）：</w:t>
      </w:r>
    </w:p>
    <w:p w14:paraId="0D070B8A">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71F818BC">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电话：</w:t>
      </w:r>
    </w:p>
    <w:p w14:paraId="57C96D6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新疆维吾尔自治区民政康复中心（以下简称甲方）与（以下简称乙方）就</w:t>
      </w:r>
      <w:r>
        <w:rPr>
          <w:rFonts w:hint="eastAsia" w:ascii="仿宋_GB2312" w:hAnsi="仿宋_GB2312" w:eastAsia="仿宋_GB2312"/>
          <w:color w:val="auto"/>
          <w:sz w:val="24"/>
          <w:highlight w:val="none"/>
          <w:u w:val="single"/>
        </w:rPr>
        <w:t>（项目名称）</w:t>
      </w:r>
      <w:r>
        <w:rPr>
          <w:rFonts w:hint="eastAsia" w:ascii="仿宋_GB2312" w:hAnsi="仿宋_GB2312" w:eastAsia="仿宋_GB2312"/>
          <w:color w:val="auto"/>
          <w:sz w:val="24"/>
          <w:highlight w:val="none"/>
          <w:u w:val="single"/>
          <w:lang w:eastAsia="zh-CN"/>
        </w:rPr>
        <w:t>新疆维吾尔自治区民政康复中心医疗条件改造提升项目</w:t>
      </w:r>
      <w:r>
        <w:rPr>
          <w:rFonts w:hint="eastAsia" w:ascii="仿宋_GB2312" w:hAnsi="仿宋_GB2312" w:eastAsia="仿宋_GB2312"/>
          <w:color w:val="auto"/>
          <w:sz w:val="24"/>
          <w:highlight w:val="none"/>
        </w:rPr>
        <w:t>，（项目编号）采购事宜，根据《中华人民共和国民法典》《中华人民共和国政府采购法》以及本采购项目的招标/谈判文件等采购文件、乙方的《投标（响应）文件》及《中标（成交）通知书》等，本着平等、自愿、互利、互惠的原则，经各方协商一致，订立本合同。</w:t>
      </w:r>
    </w:p>
    <w:p w14:paraId="0EBFA49B">
      <w:pPr>
        <w:spacing w:line="480" w:lineRule="exact"/>
        <w:ind w:firstLine="480" w:firstLineChars="200"/>
        <w:jc w:val="center"/>
        <w:rPr>
          <w:rFonts w:hint="eastAsia" w:ascii="仿宋_GB2312" w:hAnsi="仿宋_GB2312" w:eastAsia="仿宋_GB2312"/>
          <w:color w:val="auto"/>
          <w:sz w:val="24"/>
          <w:highlight w:val="none"/>
        </w:rPr>
      </w:pPr>
    </w:p>
    <w:p w14:paraId="24897DDC">
      <w:pPr>
        <w:tabs>
          <w:tab w:val="center" w:pos="4394"/>
          <w:tab w:val="left" w:pos="6889"/>
        </w:tabs>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ab/>
      </w:r>
      <w:r>
        <w:rPr>
          <w:rFonts w:hint="eastAsia" w:ascii="仿宋_GB2312" w:hAnsi="仿宋_GB2312" w:eastAsia="仿宋_GB2312"/>
          <w:b/>
          <w:color w:val="auto"/>
          <w:sz w:val="24"/>
          <w:highlight w:val="none"/>
        </w:rPr>
        <w:t>第一部分通用条款</w:t>
      </w:r>
      <w:r>
        <w:rPr>
          <w:rFonts w:hint="eastAsia" w:ascii="仿宋_GB2312" w:hAnsi="仿宋_GB2312" w:eastAsia="仿宋_GB2312"/>
          <w:b/>
          <w:color w:val="auto"/>
          <w:sz w:val="24"/>
          <w:highlight w:val="none"/>
        </w:rPr>
        <w:tab/>
      </w:r>
    </w:p>
    <w:p w14:paraId="75A154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在此供应的货物，乙方同意做如下保证：</w:t>
      </w:r>
    </w:p>
    <w:p w14:paraId="22317D8D">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一、乙方供应的全部货物，必须在不涉及任何担保、留置权、专利权使用费的情况下，交付与本合同规定完全相同的货物。</w:t>
      </w:r>
    </w:p>
    <w:p w14:paraId="40956E4C">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二、不能将甲方全部或部分付款看作是对有缺陷的工艺或不合格货物的认可。</w:t>
      </w:r>
    </w:p>
    <w:p w14:paraId="72E22312">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三、所供货物均须符合质量标准、检测报告或行业标准的相关规定，并且不涉及任何侵权行为或任何索赔。</w:t>
      </w:r>
    </w:p>
    <w:p w14:paraId="19A55219">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6E03B1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甲方未提出异议的，乙方仍应于货物质保期内承担保固责任。甲方对货物的验收手续仅仅证明乙方交货的行为，并不能免除乙方应当承担的货物质量责任。</w:t>
      </w:r>
    </w:p>
    <w:p w14:paraId="150D24D4">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因乙方货物质量瑕疵原因导致甲方对其他第三方承担的违约金、损失赔偿等任何赔偿责任，全部由乙方承担，且乙方对此无异议。</w:t>
      </w:r>
    </w:p>
    <w:p w14:paraId="314D7E1B">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五、甲方有要求乙方延迟一段合理时间再行交货的权利。</w:t>
      </w:r>
    </w:p>
    <w:p w14:paraId="2842ACC8">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六、除非甲方要求，乙方必须在本合同规定时间内进行交货。乙方同意偿付甲方可能因无法按照本合同约定时间进行交货而引起的所有额外的违约金、赔偿金以及其他费用。</w:t>
      </w:r>
    </w:p>
    <w:p w14:paraId="5685C5C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七、在项目终止或甲方订立本合同所依据的本项目合同终止时，甲方经书面通知可解除本合同，此种情况不做违约处理。</w:t>
      </w:r>
    </w:p>
    <w:p w14:paraId="6BC8C42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八、所有交付到甲方现场的货物必须附有交货单。签字的交货单必须附在所有发票上作为本合同付款的前提条件。</w:t>
      </w:r>
    </w:p>
    <w:p w14:paraId="401C3A4D">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九、所有交货费用均由乙方承担，乙方保证使甲方免于承担全部运费、快递费、保险费、装卸费、其他杂费以及由此带来的任何索赔，本合同专用条款有特别约定的，从特别约定。</w:t>
      </w:r>
    </w:p>
    <w:p w14:paraId="5D23D449">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十、乙方分批供应货物的，甲方有权对任何一批货物的数量进行抽查核实，如果实际数量与乙方所提供的数量有短缺的，则乙方此前所供货物的全部数量均应按本批货物短缺比例作相应减少计算。</w:t>
      </w:r>
    </w:p>
    <w:p w14:paraId="7CFD608C">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14:paraId="21052F07">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十二、因乙方全部或部分违约导致双方发生的诉讼/仲裁或甲方与第三方发生的诉讼/仲裁，乙方同意承担甲方因此而支出的全部诉讼费、律师费、</w:t>
      </w:r>
      <w:r>
        <w:rPr>
          <w:rFonts w:hint="eastAsia" w:ascii="仿宋_GB2312" w:hAnsi="仿宋_GB2312" w:eastAsia="仿宋_GB2312"/>
          <w:color w:val="auto"/>
          <w:sz w:val="24"/>
          <w:highlight w:val="none"/>
          <w:lang w:val="en-US" w:eastAsia="zh-CN"/>
        </w:rPr>
        <w:t>保全费、鉴定费、</w:t>
      </w:r>
      <w:r>
        <w:rPr>
          <w:rFonts w:hint="eastAsia" w:ascii="仿宋_GB2312" w:hAnsi="仿宋_GB2312" w:eastAsia="仿宋_GB2312"/>
          <w:color w:val="auto"/>
          <w:sz w:val="24"/>
          <w:highlight w:val="none"/>
        </w:rPr>
        <w:t>调查费、交通费及其他合理费用。</w:t>
      </w:r>
    </w:p>
    <w:p w14:paraId="655E3079">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十三、未经甲方书面同意，乙方不得将本合同的工作内容全部或部分转让给任何第三人。</w:t>
      </w:r>
    </w:p>
    <w:p w14:paraId="10097FAE">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十四、乙方声明、陈述和保证其是合法设立并有效存续的独立法人，其授权代表已获得法人授权可代表其签署合同。</w:t>
      </w:r>
    </w:p>
    <w:p w14:paraId="548F761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7F45DC06">
      <w:pP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br w:type="page"/>
      </w:r>
    </w:p>
    <w:p w14:paraId="272DF4BE">
      <w:pPr>
        <w:spacing w:line="480" w:lineRule="exact"/>
        <w:ind w:firstLine="482" w:firstLineChars="200"/>
        <w:jc w:val="cente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第二部分专用条款</w:t>
      </w:r>
    </w:p>
    <w:p w14:paraId="78EC4879">
      <w:pPr>
        <w:spacing w:line="480" w:lineRule="exact"/>
        <w:ind w:firstLine="361" w:firstLineChars="150"/>
        <w:jc w:val="left"/>
        <w:rPr>
          <w:rFonts w:hint="eastAsia" w:ascii="仿宋_GB2312" w:hAnsi="仿宋_GB2312" w:eastAsia="仿宋_GB2312"/>
          <w:b/>
          <w:color w:val="auto"/>
          <w:sz w:val="24"/>
          <w:highlight w:val="none"/>
          <w:lang w:eastAsia="zh-CN"/>
        </w:rPr>
      </w:pPr>
      <w:r>
        <w:rPr>
          <w:rFonts w:hint="eastAsia" w:ascii="仿宋_GB2312" w:hAnsi="仿宋_GB2312" w:eastAsia="仿宋_GB2312"/>
          <w:b/>
          <w:color w:val="auto"/>
          <w:sz w:val="24"/>
          <w:highlight w:val="none"/>
        </w:rPr>
        <w:t>一、合同标的</w:t>
      </w:r>
    </w:p>
    <w:p w14:paraId="641600CC">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1、货物</w:t>
      </w:r>
    </w:p>
    <w:p w14:paraId="7EAD1762">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70C68DA">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注：乙方应保证，甲方在中华人民共和国使用该货物或货物的任何一部分时，免受第三方提出的侵犯其专利权、商标权、工业设计权或其他知识产权的起诉。</w:t>
      </w:r>
    </w:p>
    <w:p w14:paraId="1F198C31">
      <w:pPr>
        <w:spacing w:line="480" w:lineRule="exact"/>
        <w:jc w:val="left"/>
        <w:rPr>
          <w:rFonts w:hint="eastAsia" w:ascii="仿宋_GB2312" w:hAnsi="仿宋_GB2312" w:eastAsia="仿宋_GB2312"/>
          <w:color w:val="auto"/>
          <w:sz w:val="24"/>
          <w:highlight w:val="none"/>
        </w:rPr>
      </w:pPr>
    </w:p>
    <w:p w14:paraId="60918AE7">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2、采购项目</w:t>
      </w:r>
    </w:p>
    <w:p w14:paraId="733F43C0">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t>（1）采购组织形式：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政府集中采购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学校集中采购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学校分散采购</w:t>
      </w:r>
    </w:p>
    <w:p w14:paraId="30051D8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（2）</w:t>
      </w:r>
      <w:r>
        <w:rPr>
          <w:rFonts w:hint="eastAsia" w:ascii="仿宋_GB2312" w:hAnsi="仿宋_GB2312" w:eastAsia="仿宋_GB2312" w:cs="Times New Roman"/>
          <w:color w:val="auto"/>
          <w:kern w:val="2"/>
          <w:sz w:val="24"/>
          <w:szCs w:val="24"/>
          <w:highlight w:val="none"/>
          <w:lang w:eastAsia="zh-CN"/>
        </w:rPr>
        <w:t>采购人</w:t>
      </w:r>
      <w:r>
        <w:rPr>
          <w:rFonts w:hint="eastAsia" w:ascii="仿宋_GB2312" w:hAnsi="仿宋_GB2312" w:eastAsia="仿宋_GB2312" w:cs="Times New Roman"/>
          <w:color w:val="auto"/>
          <w:kern w:val="2"/>
          <w:sz w:val="24"/>
          <w:szCs w:val="24"/>
          <w:highlight w:val="none"/>
        </w:rPr>
        <w:t>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公开招标</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竞争性谈判</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竞争性磋商</w:t>
      </w:r>
      <w:r>
        <w:rPr>
          <w:rFonts w:hint="eastAsia" w:ascii="仿宋_GB2312" w:hAnsi="仿宋_GB2312" w:eastAsia="仿宋_GB2312" w:cs="Times New Roman"/>
          <w:color w:val="auto"/>
          <w:kern w:val="2"/>
          <w:sz w:val="24"/>
          <w:szCs w:val="24"/>
          <w:highlight w:val="none"/>
        </w:rPr>
        <w:sym w:font="Wingdings" w:char="00FE"/>
      </w:r>
      <w:r>
        <w:rPr>
          <w:rFonts w:hint="eastAsia" w:ascii="仿宋_GB2312" w:hAnsi="仿宋_GB2312" w:eastAsia="仿宋_GB2312" w:cs="Times New Roman"/>
          <w:color w:val="auto"/>
          <w:kern w:val="2"/>
          <w:sz w:val="24"/>
          <w:szCs w:val="24"/>
          <w:highlight w:val="none"/>
        </w:rPr>
        <w:t>询价</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单一来源</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框架协议</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邀请招标</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481DD04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（3）中标（成交）采购标的制造商是否为中小企业：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26D6828D">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本合同是否为专门面向中小企业的采购合同（中小企业预留合同）：</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F3C6E8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若本项目不专门面向中小企业采购，是否给予小微企业评审优惠：</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89A498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4C43EFB">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中标（成交）采购标的制造商是否为监狱企业：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28C8E0A">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（4）合同是否分包：</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C3587A4">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分包主要内容：</w:t>
      </w:r>
    </w:p>
    <w:p w14:paraId="4B6AF8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分包供应商/制造商名称（如供应商和制造商不同，请分别填写）：</w:t>
      </w:r>
    </w:p>
    <w:p w14:paraId="156F622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p>
    <w:p w14:paraId="1FEEA637">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分包供应商/制造商类型（如果供应商和制造商不同，只填写制造商类型）：</w:t>
      </w:r>
    </w:p>
    <w:p w14:paraId="7313924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大型企业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中型企业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小微型企业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监狱企业</w:t>
      </w:r>
    </w:p>
    <w:p w14:paraId="42B894E1">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63821B39">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（5）中标（成交）供应商是否为外商投资企业：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143B3DFC">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外商投资企业类型：</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全部由外国投资者投资</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部分由外国投资者投资</w:t>
      </w:r>
    </w:p>
    <w:p w14:paraId="608AE3F6">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（6）是否涉及进口产品：</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p>
    <w:p w14:paraId="7989A42F">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《政府采购品目分类目录》底级品目名称：金额：</w:t>
      </w:r>
    </w:p>
    <w:p w14:paraId="1383C7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国别：品牌：规格型号：</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7DBC6BB">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（7）是否涉及节能产品：</w:t>
      </w:r>
    </w:p>
    <w:p w14:paraId="2D3EBA5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是，《节能产品政府采购品目清单》的底级品目名称：</w:t>
      </w:r>
    </w:p>
    <w:p w14:paraId="20CCC2F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3FC6789">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（8）是否涉及环境标志产品：</w:t>
      </w:r>
    </w:p>
    <w:p w14:paraId="5BFDCC82">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是，《环境标志产品政府采购品目清单》的底级品目名称：</w:t>
      </w:r>
    </w:p>
    <w:p w14:paraId="13B6C76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B2212E8">
      <w:pPr>
        <w:pStyle w:val="129"/>
        <w:snapToGrid w:val="0"/>
        <w:spacing w:line="480" w:lineRule="exact"/>
        <w:ind w:firstLine="48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t>（9）是否涉及绿色产品：</w:t>
      </w:r>
    </w:p>
    <w:p w14:paraId="44284E1C">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是，绿色产品政府采购相关政策确定的底级品目名称：</w:t>
      </w:r>
    </w:p>
    <w:p w14:paraId="7D4101F0">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AB670ED">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（10）涉及商品包装和快递包装的，是否参考《商品包装政府采购需求标准（试行）》《快递包装政府采购需求标准（试行）》明确产品及相关快递服务的具体包装要求：</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不涉及</w:t>
      </w:r>
    </w:p>
    <w:p w14:paraId="541C4DC1">
      <w:pPr>
        <w:spacing w:line="480" w:lineRule="exact"/>
        <w:ind w:firstLine="480" w:firstLineChars="20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（11）数量及价格：</w:t>
      </w:r>
    </w:p>
    <w:tbl>
      <w:tblPr>
        <w:tblStyle w:val="33"/>
        <w:tblpPr w:leftFromText="180" w:rightFromText="180" w:vertAnchor="text" w:horzAnchor="page" w:tblpX="1225" w:tblpY="45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7"/>
        <w:gridCol w:w="1077"/>
        <w:gridCol w:w="850"/>
        <w:gridCol w:w="1134"/>
        <w:gridCol w:w="907"/>
        <w:gridCol w:w="728"/>
        <w:gridCol w:w="673"/>
        <w:gridCol w:w="850"/>
        <w:gridCol w:w="884"/>
        <w:gridCol w:w="895"/>
        <w:gridCol w:w="895"/>
      </w:tblGrid>
      <w:tr w14:paraId="20B21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059FFE1">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序号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6FE632">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CN"/>
              </w:rPr>
              <w:t>货物</w:t>
            </w:r>
            <w:r>
              <w:rPr>
                <w:rFonts w:hint="eastAsia" w:ascii="仿宋_GB2312" w:hAnsi="仿宋_GB2312" w:eastAsia="仿宋_GB2312"/>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4D32135">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BA626">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生产厂家或产地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27E9A5A">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规格</w:t>
            </w:r>
          </w:p>
          <w:p w14:paraId="2236FF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型号</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7284796B">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技术</w:t>
            </w:r>
          </w:p>
          <w:p w14:paraId="5AF305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参数</w:t>
            </w:r>
          </w:p>
        </w:tc>
        <w:tc>
          <w:tcPr>
            <w:tcW w:w="673" w:type="dxa"/>
            <w:tcBorders>
              <w:top w:val="single" w:color="auto" w:sz="4" w:space="0"/>
              <w:left w:val="single" w:color="auto" w:sz="4" w:space="0"/>
              <w:bottom w:val="single" w:color="auto" w:sz="4" w:space="0"/>
              <w:right w:val="single" w:color="auto" w:sz="4" w:space="0"/>
            </w:tcBorders>
            <w:noWrap w:val="0"/>
            <w:vAlign w:val="top"/>
          </w:tcPr>
          <w:p w14:paraId="2986FEBB">
            <w:pPr>
              <w:spacing w:line="480" w:lineRule="exact"/>
              <w:rPr>
                <w:rFonts w:ascii="仿宋_GB2312" w:hAnsi="仿宋_GB2312" w:eastAsia="仿宋_GB2312"/>
                <w:color w:val="auto"/>
                <w:szCs w:val="21"/>
                <w:highlight w:val="none"/>
              </w:rPr>
            </w:pPr>
          </w:p>
          <w:p w14:paraId="3D544B1A">
            <w:pPr>
              <w:spacing w:line="480" w:lineRule="exac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95ECBC">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数量</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42C57AF">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含税</w:t>
            </w:r>
          </w:p>
          <w:p w14:paraId="79874C1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单价</w:t>
            </w:r>
          </w:p>
          <w:p w14:paraId="4E95893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（元）</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9928700">
            <w:pPr>
              <w:spacing w:line="480" w:lineRule="exact"/>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合计（元）</w:t>
            </w:r>
          </w:p>
        </w:tc>
        <w:tc>
          <w:tcPr>
            <w:tcW w:w="895" w:type="dxa"/>
            <w:tcBorders>
              <w:top w:val="single" w:color="auto" w:sz="4" w:space="0"/>
              <w:left w:val="single" w:color="auto" w:sz="4" w:space="0"/>
              <w:bottom w:val="single" w:color="auto" w:sz="4" w:space="0"/>
              <w:right w:val="single" w:color="auto" w:sz="4" w:space="0"/>
            </w:tcBorders>
            <w:noWrap w:val="0"/>
            <w:vAlign w:val="top"/>
          </w:tcPr>
          <w:p w14:paraId="51089850">
            <w:pPr>
              <w:spacing w:line="480" w:lineRule="exact"/>
              <w:ind w:firstLine="105" w:firstLineChars="50"/>
              <w:rPr>
                <w:rFonts w:ascii="仿宋_GB2312" w:hAnsi="仿宋_GB2312" w:eastAsia="仿宋_GB2312"/>
                <w:color w:val="auto"/>
                <w:szCs w:val="21"/>
                <w:highlight w:val="none"/>
              </w:rPr>
            </w:pPr>
          </w:p>
          <w:p w14:paraId="506C4BF7">
            <w:pPr>
              <w:spacing w:line="480" w:lineRule="exact"/>
              <w:ind w:firstLine="105" w:firstLineChars="50"/>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备注</w:t>
            </w:r>
          </w:p>
        </w:tc>
      </w:tr>
      <w:tr w14:paraId="07E6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BAD23A">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D3DB19">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D05963">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451289">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3B34DB83">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647DFBA">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2CFEB7A3">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F7F0A9">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535509B">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B763F9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E9AB573">
            <w:pPr>
              <w:spacing w:line="480" w:lineRule="exact"/>
              <w:jc w:val="center"/>
              <w:rPr>
                <w:rFonts w:ascii="仿宋_GB2312" w:hAnsi="仿宋_GB2312" w:eastAsia="仿宋_GB2312"/>
                <w:color w:val="auto"/>
                <w:sz w:val="24"/>
                <w:highlight w:val="none"/>
              </w:rPr>
            </w:pPr>
          </w:p>
        </w:tc>
      </w:tr>
      <w:tr w14:paraId="0D30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A968D10">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86BD4F">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6BF511A">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CFBE4E">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5B1F7436">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3C0F268">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451C9994">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6E0C78">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ACFFD0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3C182C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746EB09">
            <w:pPr>
              <w:spacing w:line="480" w:lineRule="exact"/>
              <w:jc w:val="center"/>
              <w:rPr>
                <w:rFonts w:ascii="仿宋_GB2312" w:hAnsi="仿宋_GB2312" w:eastAsia="仿宋_GB2312"/>
                <w:color w:val="auto"/>
                <w:sz w:val="24"/>
                <w:highlight w:val="none"/>
              </w:rPr>
            </w:pPr>
          </w:p>
        </w:tc>
      </w:tr>
      <w:tr w14:paraId="5A5AB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E80894">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373968D">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16D31C">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B815CC">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42D01CCC">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0B05C585">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1D862AD5">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3DD637">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3E795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43ACB29">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93D16E7">
            <w:pPr>
              <w:spacing w:line="480" w:lineRule="exact"/>
              <w:jc w:val="center"/>
              <w:rPr>
                <w:rFonts w:ascii="仿宋_GB2312" w:hAnsi="仿宋_GB2312" w:eastAsia="仿宋_GB2312"/>
                <w:color w:val="auto"/>
                <w:sz w:val="24"/>
                <w:highlight w:val="none"/>
              </w:rPr>
            </w:pPr>
          </w:p>
        </w:tc>
      </w:tr>
      <w:tr w14:paraId="4C9F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5E372C0F">
            <w:pPr>
              <w:spacing w:line="480" w:lineRule="exact"/>
              <w:ind w:firstLine="120" w:firstLineChars="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总计：人民币（大写）小写：￥元</w:t>
            </w:r>
          </w:p>
        </w:tc>
      </w:tr>
      <w:tr w14:paraId="3D1A4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131892B0">
            <w:pPr>
              <w:spacing w:line="480" w:lineRule="exact"/>
              <w:ind w:firstLine="120" w:firstLineChars="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说明：含运输费、装卸费、技术指导、含增值税。</w:t>
            </w:r>
          </w:p>
        </w:tc>
      </w:tr>
      <w:tr w14:paraId="436D1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0BC3B75C">
            <w:pPr>
              <w:adjustRightInd w:val="0"/>
              <w:snapToGrid w:val="0"/>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szCs w:val="24"/>
                <w:highlight w:val="none"/>
              </w:rPr>
              <w:t>价格形式：</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固定总价</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固定单价</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固定费率</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成本补偿</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绩效激励</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其他</w:t>
            </w:r>
          </w:p>
        </w:tc>
      </w:tr>
    </w:tbl>
    <w:p w14:paraId="335697BF">
      <w:pPr>
        <w:spacing w:line="480" w:lineRule="exact"/>
        <w:ind w:firstLine="480" w:firstLineChars="200"/>
        <w:jc w:val="left"/>
        <w:rPr>
          <w:rFonts w:hint="eastAsia" w:ascii="仿宋_GB2312" w:hAnsi="仿宋_GB2312" w:eastAsia="仿宋_GB2312"/>
          <w:color w:val="auto"/>
          <w:sz w:val="24"/>
          <w:highlight w:val="none"/>
        </w:rPr>
      </w:pPr>
    </w:p>
    <w:p w14:paraId="7C1E15EC">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3、本协议项下的产品规格、参数等内容，必须与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文件保持一致，任何一方不得私自更改，如在合同履行过程中，出现合同中约定的产品规格、参数等内容与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文件不一致的，以</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文件规定的内容为准。</w:t>
      </w:r>
    </w:p>
    <w:p w14:paraId="7B2A50CA">
      <w:pPr>
        <w:spacing w:line="480" w:lineRule="exact"/>
        <w:ind w:firstLine="482" w:firstLineChars="200"/>
        <w:jc w:val="left"/>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二、合同价款</w:t>
      </w:r>
    </w:p>
    <w:p w14:paraId="7832506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ascii="仿宋_GB2312" w:hAnsi="仿宋_GB2312" w:eastAsia="仿宋_GB2312"/>
          <w:color w:val="auto"/>
          <w:sz w:val="24"/>
          <w:highlight w:val="none"/>
        </w:rPr>
        <w:t>本合同为</w:t>
      </w:r>
      <w:r>
        <w:rPr>
          <w:rFonts w:hint="eastAsia" w:ascii="仿宋_GB2312" w:hAnsi="仿宋_GB2312" w:eastAsia="仿宋_GB2312"/>
          <w:color w:val="auto"/>
          <w:sz w:val="24"/>
          <w:highlight w:val="none"/>
          <w:u w:val="single"/>
        </w:rPr>
        <w:t>（价格形式）</w:t>
      </w:r>
      <w:r>
        <w:rPr>
          <w:rFonts w:ascii="仿宋_GB2312" w:hAnsi="仿宋_GB2312" w:eastAsia="仿宋_GB2312"/>
          <w:color w:val="auto"/>
          <w:sz w:val="24"/>
          <w:highlight w:val="none"/>
        </w:rPr>
        <w:t>，合同总价以甲方实际采购并验收合格的数量结合上表标明单价进行结算支付。总价为人民币大写：整（小写：￥元）。）</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lang w:val="en-US" w:eastAsia="zh-CN"/>
        </w:rPr>
        <w:t>其中不含税价格元，增值税元，税率%。</w:t>
      </w:r>
      <w:r>
        <w:rPr>
          <w:rFonts w:ascii="仿宋_GB2312" w:hAnsi="仿宋_GB2312" w:eastAsia="仿宋_GB2312"/>
          <w:color w:val="auto"/>
          <w:sz w:val="24"/>
          <w:highlight w:val="none"/>
        </w:rPr>
        <w:t>以上</w:t>
      </w:r>
      <w:r>
        <w:rPr>
          <w:rFonts w:hint="eastAsia" w:ascii="仿宋_GB2312" w:hAnsi="仿宋_GB2312" w:eastAsia="仿宋_GB2312"/>
          <w:color w:val="auto"/>
          <w:sz w:val="24"/>
          <w:highlight w:val="none"/>
        </w:rPr>
        <w:t>合同价格包括货物供给、税费、包装费、运输、调试、安装费、调试、装卸费必不可少的部件等费用，以及已支付或将支付的营业税和其他税费等所有费用；甲方除支付合同约定的上述款项外，无需再支付其他任何费用及款项。</w:t>
      </w:r>
    </w:p>
    <w:p w14:paraId="17039A6D">
      <w:pPr>
        <w:numPr>
          <w:ilvl w:val="0"/>
          <w:numId w:val="6"/>
        </w:numPr>
        <w:spacing w:line="480" w:lineRule="exact"/>
        <w:ind w:firstLine="566" w:firstLineChars="236"/>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价格清单表是基于乙方在完全理解本项目材料所需为前提，同时甲方对清单中的名称、规格、材质及数量等没有校对的义务，乙方在合同有效期内不得对清单的综合费用提出任何费用的增加。</w:t>
      </w:r>
    </w:p>
    <w:p w14:paraId="016C595E">
      <w:pPr>
        <w:spacing w:line="480" w:lineRule="exact"/>
        <w:ind w:firstLine="361" w:firstLineChars="15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三、货物质量保证</w:t>
      </w:r>
    </w:p>
    <w:p w14:paraId="763223F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1、乙方保证本合同货物是符合国家技术规格和国家质量标准的出厂原装合格产品，产品型号、数量、规格及技术、质量标准、售后服务必须满足甲方和自治区政府采购协议定点采购要求。</w:t>
      </w:r>
    </w:p>
    <w:p w14:paraId="581227FE">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275867D8">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应在安装完毕3个工作日内派出工程师对甲方工作人员进行培训，包含但不限于正确使用方法、存储条件、安全注意事项以及质量问题的识别和处理等，保障甲方工作人员熟练掌握产品的应用和常见问题的处理。</w:t>
      </w:r>
    </w:p>
    <w:p w14:paraId="461ED6F8">
      <w:pPr>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四、质量保证期</w:t>
      </w:r>
    </w:p>
    <w:p w14:paraId="4FDE5C9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hint="eastAsia" w:ascii="仿宋_GB2312" w:hAnsi="仿宋_GB2312" w:eastAsia="仿宋_GB2312" w:cs="Times New Roman"/>
          <w:color w:val="auto"/>
          <w:sz w:val="24"/>
          <w:highlight w:val="none"/>
        </w:rPr>
        <w:t>合同内货物质保期为年，质保期自甲方验收合格之日起计算</w:t>
      </w:r>
      <w:r>
        <w:rPr>
          <w:rFonts w:hint="eastAsia" w:ascii="仿宋_GB2312" w:hAnsi="仿宋_GB2312" w:eastAsia="仿宋_GB2312"/>
          <w:color w:val="auto"/>
          <w:sz w:val="24"/>
          <w:highlight w:val="none"/>
        </w:rPr>
        <w:t>，在质量保证期内，因产品质量出现问题，乙方负责免费更换，并承担与维修和更换相关的运费、保险等一切费用。</w:t>
      </w:r>
    </w:p>
    <w:p w14:paraId="44541E6A">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r>
        <w:rPr>
          <w:rFonts w:ascii="仿宋_GB2312" w:hAnsi="仿宋_GB2312" w:eastAsia="仿宋_GB2312"/>
          <w:color w:val="auto"/>
          <w:sz w:val="24"/>
          <w:highlight w:val="none"/>
        </w:rPr>
        <w:t>质保期内，如产品发生质量问题，</w:t>
      </w:r>
      <w:r>
        <w:rPr>
          <w:rFonts w:hint="eastAsia" w:ascii="仿宋_GB2312" w:hAnsi="仿宋_GB2312" w:eastAsia="仿宋_GB2312"/>
          <w:color w:val="auto"/>
          <w:sz w:val="24"/>
          <w:highlight w:val="none"/>
        </w:rPr>
        <w:t>规格与合同规定不符，或有缺陷，</w:t>
      </w:r>
      <w:r>
        <w:rPr>
          <w:rFonts w:ascii="仿宋_GB2312" w:hAnsi="仿宋_GB2312" w:eastAsia="仿宋_GB2312"/>
          <w:color w:val="auto"/>
          <w:sz w:val="24"/>
          <w:highlight w:val="none"/>
        </w:rPr>
        <w:t>乙方应在</w:t>
      </w:r>
      <w:r>
        <w:rPr>
          <w:rFonts w:hint="eastAsia" w:ascii="仿宋_GB2312" w:hAnsi="仿宋_GB2312" w:eastAsia="仿宋_GB2312"/>
          <w:color w:val="auto"/>
          <w:sz w:val="24"/>
          <w:highlight w:val="none"/>
        </w:rPr>
        <w:t>保证24小时内作出答复</w:t>
      </w:r>
      <w:r>
        <w:rPr>
          <w:rFonts w:ascii="仿宋_GB2312" w:hAnsi="仿宋_GB2312" w:eastAsia="仿宋_GB2312"/>
          <w:color w:val="auto"/>
          <w:sz w:val="24"/>
          <w:highlight w:val="none"/>
        </w:rPr>
        <w:t>。对设备</w:t>
      </w:r>
      <w:r>
        <w:rPr>
          <w:rFonts w:hint="eastAsia" w:ascii="仿宋_GB2312" w:hAnsi="仿宋_GB2312" w:eastAsia="仿宋_GB2312"/>
          <w:color w:val="auto"/>
          <w:sz w:val="24"/>
          <w:highlight w:val="none"/>
        </w:rPr>
        <w:t>出现</w:t>
      </w:r>
      <w:r>
        <w:rPr>
          <w:rFonts w:ascii="仿宋_GB2312" w:hAnsi="仿宋_GB2312" w:eastAsia="仿宋_GB2312"/>
          <w:color w:val="auto"/>
          <w:sz w:val="24"/>
          <w:highlight w:val="none"/>
        </w:rPr>
        <w:t>较大的问题，解决时间不得超过3个日历日。乙方接到甲方通知后未依照约定时间到场的，甲方有权另行聘请专业人员进行维修</w:t>
      </w:r>
      <w:r>
        <w:rPr>
          <w:rFonts w:hint="eastAsia" w:ascii="仿宋_GB2312" w:hAnsi="仿宋_GB2312" w:eastAsia="仿宋_GB2312"/>
          <w:color w:val="auto"/>
          <w:sz w:val="24"/>
          <w:highlight w:val="none"/>
        </w:rPr>
        <w:t>并向乙方主张质保责任</w:t>
      </w:r>
      <w:r>
        <w:rPr>
          <w:rFonts w:ascii="仿宋_GB2312" w:hAnsi="仿宋_GB2312" w:eastAsia="仿宋_GB2312"/>
          <w:color w:val="auto"/>
          <w:sz w:val="24"/>
          <w:highlight w:val="none"/>
        </w:rPr>
        <w:t>，产生的合理费用</w:t>
      </w:r>
      <w:r>
        <w:rPr>
          <w:rFonts w:hint="eastAsia" w:ascii="仿宋_GB2312" w:hAnsi="仿宋_GB2312" w:eastAsia="仿宋_GB2312"/>
          <w:color w:val="auto"/>
          <w:sz w:val="24"/>
          <w:highlight w:val="none"/>
        </w:rPr>
        <w:t>全部由乙方承担</w:t>
      </w:r>
      <w:r>
        <w:rPr>
          <w:rFonts w:ascii="仿宋_GB2312" w:hAnsi="仿宋_GB2312" w:eastAsia="仿宋_GB2312"/>
          <w:color w:val="auto"/>
          <w:sz w:val="24"/>
          <w:highlight w:val="none"/>
        </w:rPr>
        <w:t>。</w:t>
      </w:r>
    </w:p>
    <w:p w14:paraId="02530CE5">
      <w:pPr>
        <w:spacing w:line="480" w:lineRule="exact"/>
        <w:ind w:firstLine="480" w:firstLineChars="200"/>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3、乙方借故推脱或无理由拒绝甲方提出的更换服务请求，甲方可以自行解决，并对更换服务以实际发生费用或市场价，从甲方应支付给乙方的合同款项中扣除得到补偿。甲方根据合同规定对乙方行使的其他权利不受影响，并保留进一步索赔的权利。</w:t>
      </w:r>
    </w:p>
    <w:p w14:paraId="0988A03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五、交货（或安装）时间、地点</w:t>
      </w:r>
    </w:p>
    <w:p w14:paraId="117D9CB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1、乙方于年月日前将货物送达（并安装调试完毕）至以下指定地点：</w:t>
      </w:r>
      <w:r>
        <w:rPr>
          <w:rFonts w:hint="eastAsia" w:ascii="仿宋_GB2312" w:hAnsi="仿宋_GB2312" w:eastAsia="仿宋_GB2312"/>
          <w:color w:val="auto"/>
          <w:sz w:val="24"/>
          <w:highlight w:val="none"/>
          <w:u w:val="single"/>
        </w:rPr>
        <w:t>新疆维吾尔自治区民政康复中心</w:t>
      </w:r>
      <w:r>
        <w:rPr>
          <w:rFonts w:hint="eastAsia" w:ascii="仿宋_GB2312" w:hAnsi="仿宋_GB2312" w:eastAsia="仿宋_GB2312"/>
          <w:color w:val="auto"/>
          <w:sz w:val="24"/>
          <w:highlight w:val="none"/>
          <w:u w:val="single"/>
          <w:lang w:val="en-US" w:eastAsia="zh-CN"/>
        </w:rPr>
        <w:t>院</w:t>
      </w:r>
      <w:r>
        <w:rPr>
          <w:rFonts w:hint="eastAsia" w:ascii="仿宋_GB2312" w:hAnsi="仿宋_GB2312" w:eastAsia="仿宋_GB2312"/>
          <w:color w:val="auto"/>
          <w:sz w:val="24"/>
          <w:highlight w:val="none"/>
          <w:u w:val="single"/>
        </w:rPr>
        <w:t>内</w:t>
      </w:r>
      <w:r>
        <w:rPr>
          <w:rFonts w:hint="eastAsia" w:ascii="仿宋_GB2312" w:hAnsi="仿宋_GB2312" w:eastAsia="仿宋_GB2312"/>
          <w:color w:val="auto"/>
          <w:sz w:val="24"/>
          <w:highlight w:val="none"/>
        </w:rPr>
        <w:t>，并确保在天内配合甲方完成验收工作。</w:t>
      </w:r>
    </w:p>
    <w:p w14:paraId="190DF3E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2、到货地点和接货单位（或接货人）。甲方指定的接货人为：姓名：，电话：；双方明确，除该指定接货人外，其他任何人员（包括甲方的其他任何工作人员）签署的接货单，甲方均不予认可。</w:t>
      </w:r>
    </w:p>
    <w:p w14:paraId="361529E6">
      <w:pPr>
        <w:spacing w:line="480" w:lineRule="exact"/>
        <w:ind w:firstLine="482"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b/>
          <w:color w:val="auto"/>
          <w:sz w:val="24"/>
          <w:highlight w:val="none"/>
        </w:rPr>
        <w:t>六、验收</w:t>
      </w:r>
    </w:p>
    <w:p w14:paraId="17AFAEBA">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1、乙方应确保制造商对货物的有关内在和外观质量、规格、性能、数量和重量进行</w:t>
      </w:r>
      <w:r>
        <w:rPr>
          <w:rFonts w:hint="eastAsia" w:ascii="仿宋_GB2312" w:hAnsi="仿宋_GB2312" w:eastAsia="仿宋_GB2312"/>
          <w:color w:val="auto"/>
          <w:sz w:val="24"/>
          <w:highlight w:val="none"/>
          <w:lang w:eastAsia="zh-CN"/>
        </w:rPr>
        <w:t>了</w:t>
      </w:r>
      <w:r>
        <w:rPr>
          <w:rFonts w:hint="eastAsia" w:ascii="仿宋_GB2312" w:hAnsi="仿宋_GB2312" w:eastAsia="仿宋_GB2312"/>
          <w:color w:val="auto"/>
          <w:sz w:val="24"/>
          <w:highlight w:val="none"/>
        </w:rPr>
        <w:t>准确全面的检验。</w:t>
      </w:r>
    </w:p>
    <w:p w14:paraId="59D3556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2、货物运至交货地点、完成</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，双方应对货物的型号、技术参数、数量、产地，并根据制造商签发的《产品合格证》，《出厂清单》，《技术文件》等进行现场初验，待</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完毕且</w:t>
      </w:r>
      <w:r>
        <w:rPr>
          <w:rFonts w:hint="eastAsia" w:ascii="仿宋_GB2312" w:hAnsi="仿宋_GB2312" w:eastAsia="仿宋_GB2312"/>
          <w:color w:val="auto"/>
          <w:sz w:val="24"/>
          <w:highlight w:val="none"/>
          <w:lang w:val="en-US" w:eastAsia="zh-CN"/>
        </w:rPr>
        <w:t>确保可以正常使用</w:t>
      </w:r>
      <w:r>
        <w:rPr>
          <w:rFonts w:hint="eastAsia" w:ascii="仿宋_GB2312" w:hAnsi="仿宋_GB2312" w:eastAsia="仿宋_GB2312"/>
          <w:color w:val="auto"/>
          <w:sz w:val="24"/>
          <w:highlight w:val="none"/>
        </w:rPr>
        <w:t>后，由甲、乙双方共同组织验收、出具验收单。如甲方认为需要第三方检测机构检验，则应委托第三方专业检测机构检测并出具相应的合格证书，委托第三方机构检测费用由乙方承担。</w:t>
      </w:r>
    </w:p>
    <w:p w14:paraId="260FE776">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3、经甲方验收不合格的，应及时向乙方提出书面异议，乙方应在接到异议及检测报告后及时进行更换，直至验收合格，如因乙方供货质量原因造成的甲方受到的损失，乙方应承担相应违约责任并承担相应赔偿。</w:t>
      </w:r>
    </w:p>
    <w:p w14:paraId="74A9D85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4、如乙方交付</w:t>
      </w:r>
      <w:r>
        <w:rPr>
          <w:rFonts w:hint="eastAsia" w:ascii="仿宋_GB2312" w:hAnsi="仿宋_GB2312" w:eastAsia="仿宋_GB2312"/>
          <w:color w:val="auto"/>
          <w:sz w:val="24"/>
          <w:highlight w:val="none"/>
          <w:lang w:val="en-US" w:eastAsia="zh-CN"/>
        </w:rPr>
        <w:t>货物经检验</w:t>
      </w:r>
      <w:r>
        <w:rPr>
          <w:rFonts w:hint="eastAsia" w:ascii="仿宋_GB2312" w:hAnsi="仿宋_GB2312" w:eastAsia="仿宋_GB2312"/>
          <w:color w:val="auto"/>
          <w:sz w:val="24"/>
          <w:highlight w:val="none"/>
        </w:rPr>
        <w:t>后达不到合同或招投标文件规定的质量或技术指标要求，甲方有权提出退货，并要求乙方全额退还货款。</w:t>
      </w:r>
    </w:p>
    <w:p w14:paraId="56F7B0EA">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七、售后服务</w:t>
      </w:r>
    </w:p>
    <w:p w14:paraId="74EBE0D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上述产品的免费保修期为交货并验收合格后；</w:t>
      </w:r>
    </w:p>
    <w:p w14:paraId="57DCFE6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免费更换时间为交货并验收合格后；</w:t>
      </w:r>
    </w:p>
    <w:p w14:paraId="235366FF">
      <w:pPr>
        <w:spacing w:line="48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乙方售后服务联系人；</w:t>
      </w:r>
    </w:p>
    <w:p w14:paraId="4DDB346E">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rPr>
        <w:t>联系电话</w:t>
      </w:r>
      <w:r>
        <w:rPr>
          <w:rFonts w:hint="eastAsia" w:ascii="仿宋_GB2312" w:hAnsi="仿宋_GB2312" w:eastAsia="仿宋_GB2312"/>
          <w:color w:val="auto"/>
          <w:sz w:val="24"/>
          <w:highlight w:val="none"/>
          <w:u w:val="single"/>
        </w:rPr>
        <w:t>。</w:t>
      </w:r>
    </w:p>
    <w:p w14:paraId="33F6750F">
      <w:pPr>
        <w:numPr>
          <w:ilvl w:val="0"/>
          <w:numId w:val="7"/>
        </w:num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货款的支付</w:t>
      </w:r>
    </w:p>
    <w:p w14:paraId="79AEE5F9">
      <w:pPr>
        <w:spacing w:line="480" w:lineRule="exact"/>
        <w:ind w:firstLine="480" w:firstLineChars="200"/>
        <w:rPr>
          <w:rFonts w:hint="eastAsia" w:ascii="仿宋_GB2312" w:eastAsia="仿宋_GB2312" w:cs="仿宋_GB2312"/>
          <w:color w:val="auto"/>
          <w:sz w:val="24"/>
          <w:szCs w:val="24"/>
          <w:highlight w:val="none"/>
          <w:lang w:bidi="ar"/>
        </w:rPr>
      </w:pPr>
      <w:r>
        <w:rPr>
          <w:rFonts w:hint="eastAsia" w:ascii="仿宋_GB2312" w:hAnsi="仿宋_GB2312" w:eastAsia="仿宋_GB2312"/>
          <w:color w:val="auto"/>
          <w:sz w:val="24"/>
          <w:szCs w:val="24"/>
          <w:highlight w:val="none"/>
        </w:rPr>
        <w:t>1、</w:t>
      </w:r>
      <w:r>
        <w:rPr>
          <w:rFonts w:hint="eastAsia" w:ascii="仿宋_GB2312" w:eastAsia="仿宋_GB2312" w:cs="仿宋_GB2312"/>
          <w:color w:val="auto"/>
          <w:sz w:val="24"/>
          <w:szCs w:val="24"/>
          <w:highlight w:val="none"/>
          <w:lang w:bidi="ar"/>
        </w:rPr>
        <w:t>履约担保：是否收取履约保证金（含保函）：</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是</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否</w:t>
      </w:r>
    </w:p>
    <w:p w14:paraId="3DC5BD03">
      <w:pPr>
        <w:spacing w:line="480" w:lineRule="exact"/>
        <w:ind w:left="479" w:leftChars="228"/>
        <w:rPr>
          <w:rFonts w:hint="eastAsia" w:ascii="仿宋_GB2312" w:eastAsia="仿宋_GB2312" w:cs="仿宋_GB2312"/>
          <w:color w:val="auto"/>
          <w:sz w:val="24"/>
          <w:szCs w:val="24"/>
          <w:highlight w:val="none"/>
          <w:lang w:eastAsia="zh-CN" w:bidi="ar"/>
        </w:rPr>
      </w:pPr>
      <w:r>
        <w:rPr>
          <w:rFonts w:hint="eastAsia" w:ascii="仿宋_GB2312" w:eastAsia="仿宋_GB2312" w:cs="仿宋_GB2312"/>
          <w:color w:val="auto"/>
          <w:sz w:val="24"/>
          <w:szCs w:val="24"/>
          <w:highlight w:val="none"/>
          <w:lang w:bidi="ar"/>
        </w:rPr>
        <w:t>收取履约保证金形式：</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电汇</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支票</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履约保函原件彩色扫描件收取履约保证金（保函）金额：。</w:t>
      </w:r>
    </w:p>
    <w:p w14:paraId="0FCAB898">
      <w:pPr>
        <w:spacing w:line="480" w:lineRule="exact"/>
        <w:ind w:firstLine="480" w:firstLineChars="200"/>
        <w:rPr>
          <w:rFonts w:hint="eastAsia" w:ascii="仿宋_GB2312" w:eastAsia="仿宋_GB2312" w:cs="仿宋_GB2312"/>
          <w:color w:val="auto"/>
          <w:sz w:val="24"/>
          <w:szCs w:val="24"/>
          <w:highlight w:val="none"/>
          <w:lang w:eastAsia="zh-CN" w:bidi="ar"/>
        </w:rPr>
      </w:pPr>
      <w:r>
        <w:rPr>
          <w:rFonts w:hint="eastAsia" w:ascii="仿宋_GB2312" w:eastAsia="仿宋_GB2312" w:cs="仿宋_GB2312"/>
          <w:color w:val="auto"/>
          <w:sz w:val="24"/>
          <w:szCs w:val="24"/>
          <w:highlight w:val="none"/>
          <w:lang w:bidi="ar"/>
        </w:rPr>
        <w:t>履约担保期限：。</w:t>
      </w:r>
    </w:p>
    <w:p w14:paraId="2B78C35B">
      <w:pPr>
        <w:ind w:firstLine="480" w:firstLineChars="200"/>
        <w:rPr>
          <w:rFonts w:hint="eastAsia" w:ascii="仿宋_GB2312" w:hAnsi="仿宋_GB2312" w:eastAsia="仿宋_GB2312" w:cs="Times New Roman"/>
          <w:color w:val="auto"/>
          <w:sz w:val="24"/>
          <w:szCs w:val="20"/>
          <w:highlight w:val="none"/>
          <w:lang w:bidi="ar-SA"/>
        </w:rPr>
      </w:pPr>
      <w:r>
        <w:rPr>
          <w:rFonts w:hint="eastAsia" w:ascii="仿宋_GB2312" w:hAnsi="仿宋_GB2312" w:eastAsia="仿宋_GB2312" w:cs="Times New Roman"/>
          <w:color w:val="auto"/>
          <w:sz w:val="24"/>
          <w:szCs w:val="20"/>
          <w:highlight w:val="none"/>
          <w:lang w:bidi="ar-SA"/>
        </w:rPr>
        <w:t>2、付款方式：</w:t>
      </w:r>
    </w:p>
    <w:p w14:paraId="7B4653A6">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第一次付款：合同签订后支付合同总价30%的预付款；</w:t>
      </w:r>
    </w:p>
    <w:p w14:paraId="14497CD9">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第二次付款：货物运送至甲方指定地点后并根据甲方内部管理规定，按要求安装调试完毕，满足终验条件，乙方提交全部验收材料，通过甲方组织的验收合格后，依照财务流程支付合同总价70%。</w:t>
      </w:r>
    </w:p>
    <w:p w14:paraId="002A27AE">
      <w:pPr>
        <w:pStyle w:val="31"/>
        <w:widowControl w:val="0"/>
        <w:autoSpaceDE w:val="0"/>
        <w:autoSpaceDN w:val="0"/>
        <w:spacing w:line="480" w:lineRule="exact"/>
        <w:ind w:left="181" w:firstLine="420"/>
        <w:jc w:val="both"/>
        <w:rPr>
          <w:rFonts w:ascii="仿宋_GB2312" w:hAnsi="Times New Roman" w:eastAsia="仿宋_GB2312" w:cs="仿宋_GB2312"/>
          <w:color w:val="auto"/>
          <w:kern w:val="2"/>
          <w:sz w:val="32"/>
          <w:szCs w:val="32"/>
          <w:highlight w:val="none"/>
          <w:lang w:bidi="ar"/>
        </w:rPr>
      </w:pPr>
      <w:r>
        <w:rPr>
          <w:rFonts w:ascii="仿宋_GB2312" w:hAnsi="Times New Roman" w:eastAsia="仿宋_GB2312" w:cs="仿宋_GB2312"/>
          <w:color w:val="auto"/>
          <w:kern w:val="2"/>
          <w:sz w:val="28"/>
          <w:szCs w:val="28"/>
          <w:highlight w:val="none"/>
          <w:lang w:bidi="ar"/>
        </w:rPr>
        <w:t>合同科提示：付款方式：1、公开招标、竞争性磋商、竞争性谈判、政府集采等项目以具体的招</w:t>
      </w:r>
      <w:r>
        <w:rPr>
          <w:rFonts w:hint="eastAsia" w:ascii="仿宋_GB2312" w:eastAsia="仿宋_GB2312" w:cs="仿宋_GB2312"/>
          <w:color w:val="auto"/>
          <w:kern w:val="2"/>
          <w:sz w:val="28"/>
          <w:szCs w:val="28"/>
          <w:highlight w:val="none"/>
          <w:lang w:bidi="ar"/>
        </w:rPr>
        <w:t>投</w:t>
      </w:r>
      <w:r>
        <w:rPr>
          <w:rFonts w:ascii="仿宋_GB2312" w:hAnsi="Times New Roman" w:eastAsia="仿宋_GB2312" w:cs="仿宋_GB2312"/>
          <w:color w:val="auto"/>
          <w:kern w:val="2"/>
          <w:sz w:val="28"/>
          <w:szCs w:val="28"/>
          <w:highlight w:val="none"/>
          <w:lang w:bidi="ar"/>
        </w:rPr>
        <w:t>标文件为准。2、部门自采的项目以双方约定的为准。</w:t>
      </w:r>
    </w:p>
    <w:p w14:paraId="46AFD8B9">
      <w:pPr>
        <w:pStyle w:val="31"/>
        <w:widowControl w:val="0"/>
        <w:autoSpaceDE w:val="0"/>
        <w:autoSpaceDN w:val="0"/>
        <w:spacing w:line="480" w:lineRule="exact"/>
        <w:ind w:left="181" w:firstLine="420"/>
        <w:jc w:val="both"/>
        <w:rPr>
          <w:rFonts w:ascii="仿宋_GB2312" w:hAnsi="仿宋_GB2312" w:eastAsia="仿宋_GB2312"/>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s="Times New Roman"/>
          <w:color w:val="auto"/>
          <w:highlight w:val="none"/>
        </w:rPr>
        <w:t>甲方支付上述任何一笔款项前，乙方应提供符合甲方财务做账要求的正规增值税发票（设备类需提供增值税专用发票）</w:t>
      </w:r>
      <w:r>
        <w:rPr>
          <w:rFonts w:hint="eastAsia" w:ascii="仿宋_GB2312" w:hAnsi="仿宋_GB2312" w:eastAsia="仿宋_GB2312" w:cs="Times New Roman"/>
          <w:color w:val="auto"/>
          <w:highlight w:val="none"/>
          <w:lang w:val="en-US" w:eastAsia="zh-CN"/>
        </w:rPr>
        <w:t>和付款申请单</w:t>
      </w:r>
      <w:r>
        <w:rPr>
          <w:rFonts w:hint="eastAsia" w:ascii="仿宋_GB2312" w:hAnsi="仿宋_GB2312" w:eastAsia="仿宋_GB2312" w:cs="Times New Roman"/>
          <w:color w:val="auto"/>
          <w:highlight w:val="none"/>
        </w:rPr>
        <w:t>，否则，甲方有权拒付款项且不承担违约责任。</w:t>
      </w:r>
    </w:p>
    <w:p w14:paraId="5DCE886B">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3、乙方银行账户信息：</w:t>
      </w:r>
    </w:p>
    <w:p w14:paraId="7127194A">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rPr>
        <w:t>户名：</w:t>
      </w:r>
    </w:p>
    <w:p w14:paraId="2F4221B7">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开户银行：</w:t>
      </w:r>
    </w:p>
    <w:p w14:paraId="7A4DB63A">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lang w:val="zh-TW"/>
        </w:rPr>
        <w:t>银行账号：</w:t>
      </w:r>
    </w:p>
    <w:p w14:paraId="07ED7423">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193B3B3C">
      <w:pPr>
        <w:spacing w:line="480" w:lineRule="exact"/>
        <w:ind w:firstLine="482" w:firstLineChars="200"/>
        <w:rPr>
          <w:rFonts w:hint="eastAsia"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九、产品包装及运输</w:t>
      </w:r>
    </w:p>
    <w:p w14:paraId="0B3D2373">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１、包装必须与运输方式相适应，包装方式的确定和包装费用均由乙方负责且包装物不得回收；由于不适当的包装而造成的货物有任何的损坏由乙方负责。</w:t>
      </w:r>
    </w:p>
    <w:p w14:paraId="6891BA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2、运输途中的货物安全问题均由乙方负责，在交货过程中，发生意外事故和故障损失，如撞、刮、裂、损等均由乙方承担责任。</w:t>
      </w:r>
    </w:p>
    <w:p w14:paraId="1BC6D4F2">
      <w:pPr>
        <w:spacing w:line="480" w:lineRule="exact"/>
        <w:ind w:firstLine="480" w:firstLineChars="200"/>
        <w:rPr>
          <w:rFonts w:ascii="仿宋_GB2312" w:hAnsi="仿宋_GB2312" w:eastAsia="仿宋_GB2312"/>
          <w:color w:val="auto"/>
          <w:sz w:val="24"/>
          <w:highlight w:val="none"/>
        </w:rPr>
      </w:pPr>
      <w:r>
        <w:rPr>
          <w:rFonts w:hint="eastAsia" w:ascii="仿宋_GB2312" w:eastAsia="仿宋_GB2312" w:cs="仿宋_GB2312"/>
          <w:color w:val="auto"/>
          <w:sz w:val="24"/>
          <w:szCs w:val="24"/>
          <w:highlight w:val="none"/>
          <w:lang w:bidi="ar"/>
        </w:rPr>
        <w:t>3、提供的全部货物必须采用相应的标准的保护措施进行包装。包装应适于远距离运输，并有良好的防潮、防震、防锈和防野蛮装卸等保护措施，以确保货物安全运抵现场。乙方应承担因其包装或防护措施不妥而引起货物锈蚀、损坏或丢失的任何损失的责任和费用。</w:t>
      </w:r>
    </w:p>
    <w:p w14:paraId="65EFE740">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十、违约责任</w:t>
      </w:r>
    </w:p>
    <w:p w14:paraId="5ECE5C4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1、甲方违约责任</w:t>
      </w:r>
    </w:p>
    <w:p w14:paraId="21EF860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按协议约定履行完协议义务后，甲方无任何理由拒绝验收（遇不可抗力除外）的，乙方有权追究甲方逾期验收的违约责任，按照中国人民银行同期存款利率向乙方承担违约金。如遇特殊情况甲方要求推迟履行协议的，可事先征得乙方的同意。</w:t>
      </w:r>
    </w:p>
    <w:p w14:paraId="791BADB7">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2、乙方违约责任</w:t>
      </w:r>
    </w:p>
    <w:p w14:paraId="0D55EB1E">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167FF3E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2）在履行合同过程中，如果乙方遇到妨碍按时交货和提供服务的情况时，应及时以书面形式将拖延的事实，可能拖延的时间和原因通知甲方</w:t>
      </w:r>
      <w:r>
        <w:rPr>
          <w:rFonts w:hint="eastAsia" w:ascii="仿宋_GB2312" w:hAnsi="仿宋_GB2312" w:eastAsia="仿宋_GB2312"/>
          <w:color w:val="auto"/>
          <w:sz w:val="24"/>
          <w:highlight w:val="none"/>
          <w:lang w:eastAsia="zh-CN"/>
        </w:rPr>
        <w:t>，并附上相关证明材料</w:t>
      </w:r>
      <w:r>
        <w:rPr>
          <w:rFonts w:hint="eastAsia" w:ascii="仿宋_GB2312" w:hAnsi="仿宋_GB2312" w:eastAsia="仿宋_GB2312"/>
          <w:color w:val="auto"/>
          <w:sz w:val="24"/>
          <w:highlight w:val="none"/>
        </w:rPr>
        <w:t>。甲方在收到乙方通知后，应尽快对情况进行评价，并于7日内确定是否同意延长交货时间以及是否收取误期赔偿费。乙方延期交货应通过签订补充协议的方式经甲方盖章确认。</w:t>
      </w:r>
    </w:p>
    <w:p w14:paraId="2DEDE0B3">
      <w:pPr>
        <w:spacing w:line="52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3）乙方所交产品品种、型号、规格、质量、性能不符合合同规定的，由乙方负责</w:t>
      </w:r>
      <w:r>
        <w:rPr>
          <w:rFonts w:hint="eastAsia" w:ascii="仿宋_GB2312" w:hAnsi="仿宋_GB2312" w:eastAsia="仿宋_GB2312"/>
          <w:color w:val="auto"/>
          <w:sz w:val="24"/>
          <w:highlight w:val="none"/>
          <w:lang w:val="en-US" w:eastAsia="zh-CN"/>
        </w:rPr>
        <w:t>在收到甲方通知之日起5日内</w:t>
      </w:r>
      <w:r>
        <w:rPr>
          <w:rFonts w:hint="eastAsia" w:ascii="仿宋_GB2312" w:hAnsi="仿宋_GB2312" w:eastAsia="仿宋_GB2312"/>
          <w:color w:val="auto"/>
          <w:sz w:val="24"/>
          <w:highlight w:val="none"/>
        </w:rPr>
        <w:t>包换或包修，并承担修理、调换或退货而支付的实际费用。</w:t>
      </w:r>
      <w:r>
        <w:rPr>
          <w:rFonts w:hint="eastAsia" w:ascii="仿宋_GB2312" w:hAnsi="仿宋_GB2312" w:eastAsia="仿宋_GB2312"/>
          <w:color w:val="auto"/>
          <w:sz w:val="24"/>
          <w:highlight w:val="none"/>
          <w:lang w:val="en-US" w:eastAsia="zh-CN"/>
        </w:rPr>
        <w:t>若乙方未能在上述期限内完成修理或退换，甲方有权自行委托第三方进行修理或更换</w:t>
      </w:r>
      <w:r>
        <w:rPr>
          <w:rFonts w:hint="eastAsia" w:ascii="仿宋_GB2312" w:hAnsi="仿宋_GB2312" w:eastAsia="仿宋_GB2312"/>
          <w:color w:val="auto"/>
          <w:sz w:val="24"/>
          <w:highlight w:val="none"/>
        </w:rPr>
        <w:t>，</w:t>
      </w:r>
      <w:r>
        <w:rPr>
          <w:rFonts w:hint="eastAsia" w:ascii="仿宋_GB2312" w:hAnsi="仿宋_GB2312" w:eastAsia="仿宋_GB2312"/>
          <w:color w:val="auto"/>
          <w:sz w:val="24"/>
          <w:highlight w:val="none"/>
          <w:lang w:val="en-US" w:eastAsia="zh-CN"/>
        </w:rPr>
        <w:t>由此产生的费用由乙方承担。若经乙方两次修理或更换后仍无法达到合同约定的标准的，甲方有权单方解除合同，并要求乙方</w:t>
      </w:r>
      <w:r>
        <w:rPr>
          <w:rFonts w:hint="eastAsia" w:ascii="仿宋_GB2312" w:hAnsi="仿宋_GB2312" w:eastAsia="仿宋_GB2312"/>
          <w:color w:val="auto"/>
          <w:sz w:val="24"/>
          <w:highlight w:val="none"/>
        </w:rPr>
        <w:t>按合同总额的</w:t>
      </w:r>
      <w:r>
        <w:rPr>
          <w:rFonts w:hint="eastAsia" w:ascii="仿宋_GB2312" w:hAnsi="仿宋_GB2312" w:eastAsia="仿宋_GB2312"/>
          <w:color w:val="auto"/>
          <w:sz w:val="24"/>
          <w:highlight w:val="none"/>
          <w:lang w:eastAsia="zh-CN"/>
        </w:rPr>
        <w:t>20%</w:t>
      </w:r>
      <w:r>
        <w:rPr>
          <w:rFonts w:hint="eastAsia" w:ascii="仿宋_GB2312" w:hAnsi="仿宋_GB2312" w:eastAsia="仿宋_GB2312"/>
          <w:color w:val="auto"/>
          <w:sz w:val="24"/>
          <w:highlight w:val="none"/>
        </w:rPr>
        <w:t>承担违约金。</w:t>
      </w:r>
      <w:r>
        <w:rPr>
          <w:rFonts w:hint="eastAsia" w:ascii="仿宋_GB2312" w:hAnsi="仿宋_GB2312" w:eastAsia="仿宋_GB2312"/>
          <w:color w:val="auto"/>
          <w:sz w:val="24"/>
          <w:highlight w:val="none"/>
          <w:lang w:val="en-US" w:eastAsia="zh-CN"/>
        </w:rPr>
        <w:t>若乙方支付的违约金不足以弥补甲方损失的，甲方有权就不足部分另向乙方索赔。</w:t>
      </w:r>
      <w:r>
        <w:rPr>
          <w:rFonts w:hint="eastAsia" w:ascii="仿宋_GB2312" w:hAnsi="仿宋_GB2312" w:eastAsia="仿宋_GB2312"/>
          <w:color w:val="auto"/>
          <w:sz w:val="24"/>
          <w:highlight w:val="none"/>
        </w:rPr>
        <w:t>（包括但不限于第三方索赔、律师费、诉讼费、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5543B7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4B83A59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26116C6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6）</w:t>
      </w:r>
      <w:r>
        <w:rPr>
          <w:rFonts w:hint="eastAsia" w:ascii="仿宋_GB2312" w:hAnsi="仿宋_GB2312" w:eastAsia="仿宋_GB2312"/>
          <w:color w:val="auto"/>
          <w:sz w:val="24"/>
          <w:highlight w:val="none"/>
        </w:rPr>
        <w:t>本合同签订后，乙方不得以货物市场价格上涨等各种理由断货、中止供货或要求甲方调价，否则，甲方有权解除合同并拒绝支付任何合同款项，乙方向甲方支付合同总价20%的违约金。</w:t>
      </w:r>
    </w:p>
    <w:p w14:paraId="77A2325D">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十一、不可抗力</w:t>
      </w:r>
    </w:p>
    <w:p w14:paraId="7591E47F">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14:paraId="61985EF7">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41027CC8">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十二、争议解决</w:t>
      </w:r>
    </w:p>
    <w:p w14:paraId="75DD2E59">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本合同如发生纠纷，当事人双方应当及时协商解决，协商不成时，双方均可向甲方所在地人民法院起诉。</w:t>
      </w:r>
    </w:p>
    <w:p w14:paraId="0D909860">
      <w:pPr>
        <w:spacing w:line="480" w:lineRule="exact"/>
        <w:ind w:firstLine="482" w:firstLineChars="200"/>
        <w:rPr>
          <w:rFonts w:hint="eastAsia" w:ascii="仿宋_GB2312" w:hAnsi="仿宋_GB2312" w:eastAsia="仿宋_GB2312" w:cs="Bookman Old Style"/>
          <w:b/>
          <w:bCs/>
          <w:color w:val="auto"/>
          <w:sz w:val="24"/>
          <w:highlight w:val="none"/>
        </w:rPr>
      </w:pPr>
      <w:r>
        <w:rPr>
          <w:rFonts w:hint="eastAsia" w:ascii="仿宋_GB2312" w:hAnsi="仿宋_GB2312" w:eastAsia="仿宋_GB2312" w:cs="Bookman Old Style"/>
          <w:b/>
          <w:bCs/>
          <w:color w:val="auto"/>
          <w:sz w:val="24"/>
          <w:highlight w:val="none"/>
        </w:rPr>
        <w:t>十三、合同的文本及生效</w:t>
      </w:r>
    </w:p>
    <w:p w14:paraId="510C0899">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1、本合同一式陆份，甲方执肆份、乙方执贰份，具有同等法律效力</w:t>
      </w:r>
      <w:r>
        <w:rPr>
          <w:rFonts w:hint="eastAsia" w:ascii="仿宋_GB2312" w:eastAsia="仿宋_GB2312" w:cs="仿宋_GB2312"/>
          <w:bCs/>
          <w:color w:val="auto"/>
          <w:sz w:val="24"/>
          <w:szCs w:val="24"/>
          <w:highlight w:val="none"/>
          <w:lang w:bidi="ar"/>
        </w:rPr>
        <w:t>（若甲乙双方采取线上签约方式，则不涉及此条款）</w:t>
      </w:r>
      <w:r>
        <w:rPr>
          <w:rFonts w:hint="eastAsia" w:ascii="仿宋_GB2312" w:hAnsi="仿宋_GB2312" w:eastAsia="仿宋_GB2312" w:cs="Bookman Old Style"/>
          <w:bCs/>
          <w:color w:val="auto"/>
          <w:sz w:val="24"/>
          <w:highlight w:val="none"/>
        </w:rPr>
        <w:t>。</w:t>
      </w:r>
    </w:p>
    <w:p w14:paraId="34A6895E">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2、本合同经双方法定代表人</w:t>
      </w:r>
      <w:r>
        <w:rPr>
          <w:rFonts w:hint="eastAsia" w:ascii="仿宋_GB2312" w:eastAsia="仿宋_GB2312" w:cs="仿宋_GB2312"/>
          <w:bCs/>
          <w:color w:val="auto"/>
          <w:sz w:val="24"/>
          <w:szCs w:val="24"/>
          <w:highlight w:val="none"/>
          <w:lang w:bidi="ar"/>
        </w:rPr>
        <w:t>或委托代理人签字且单位盖章之日</w:t>
      </w:r>
      <w:r>
        <w:rPr>
          <w:rFonts w:ascii="仿宋_GB2312" w:eastAsia="仿宋_GB2312" w:cs="仿宋_GB2312"/>
          <w:bCs/>
          <w:color w:val="auto"/>
          <w:sz w:val="24"/>
          <w:szCs w:val="24"/>
          <w:highlight w:val="none"/>
          <w:lang w:bidi="ar"/>
        </w:rPr>
        <w:t>起</w:t>
      </w:r>
      <w:r>
        <w:rPr>
          <w:rFonts w:hint="eastAsia" w:ascii="仿宋_GB2312" w:hAnsi="仿宋_GB2312" w:eastAsia="仿宋_GB2312" w:cs="Bookman Old Style"/>
          <w:bCs/>
          <w:color w:val="auto"/>
          <w:sz w:val="24"/>
          <w:highlight w:val="none"/>
        </w:rPr>
        <w:t>成立生效。</w:t>
      </w:r>
    </w:p>
    <w:p w14:paraId="5B1BA24B">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3、合同内容如遇国家法律法规及政策另有规定的，从其规定。</w:t>
      </w:r>
    </w:p>
    <w:p w14:paraId="1B34D40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十四、其他约定事项</w:t>
      </w:r>
    </w:p>
    <w:p w14:paraId="6CAD41F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1、和本合同相关的双方往来函件（包括传真件、电子邮件）与原件具有同等的法律效力，修改无效。</w:t>
      </w:r>
    </w:p>
    <w:p w14:paraId="444F92DE">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2、与本合同有关的</w:t>
      </w:r>
      <w:r>
        <w:rPr>
          <w:rFonts w:hint="eastAsia" w:ascii="仿宋_GB2312" w:hAnsi="仿宋_GB2312" w:eastAsia="仿宋_GB2312" w:cs="Bookman Old Style"/>
          <w:color w:val="auto"/>
          <w:sz w:val="24"/>
          <w:highlight w:val="none"/>
          <w:lang w:val="en-US" w:eastAsia="zh-CN"/>
        </w:rPr>
        <w:t>补充协议、</w:t>
      </w:r>
      <w:r>
        <w:rPr>
          <w:rFonts w:hint="eastAsia" w:ascii="仿宋_GB2312" w:hAnsi="仿宋_GB2312" w:eastAsia="仿宋_GB2312" w:cs="Bookman Old Style"/>
          <w:color w:val="auto"/>
          <w:sz w:val="24"/>
          <w:highlight w:val="none"/>
        </w:rPr>
        <w:t>招投标文件、答疑附件、合同附件、中标（成交）通知书均是本合同不可分割的组成部分，与本合同具有同等法律效力，其他未尽事宜从其规定。</w:t>
      </w:r>
    </w:p>
    <w:p w14:paraId="33F288DF">
      <w:pPr>
        <w:pStyle w:val="10"/>
        <w:autoSpaceDE w:val="0"/>
        <w:autoSpaceDN w:val="0"/>
        <w:spacing w:line="480" w:lineRule="exact"/>
        <w:ind w:firstLine="48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3、双方明确：本合同任何一方不得对招标文件确定的事项和中标人投标文件作实质性修改。如任何一方修改均为无效条款，该条款应以招标文件约定为准，招标文件未约定以中标通知书、投标文件为准。</w:t>
      </w:r>
    </w:p>
    <w:p w14:paraId="7ADB06B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21A79FA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s="Bookman Old Style"/>
          <w:color w:val="auto"/>
          <w:sz w:val="24"/>
          <w:highlight w:val="none"/>
        </w:rPr>
        <w:t>5、本合同首部双方的联系方式及地址均为双方有效的送达地址，如有一方地址发生变更，应在变更后当日向对方书面通知，如因变更方未及时通知，相对方按合同尾部地址送达的，视为送达成功。</w:t>
      </w:r>
    </w:p>
    <w:p w14:paraId="5E4F451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6C5E2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4E754198">
      <w:pPr>
        <w:spacing w:line="480" w:lineRule="exact"/>
        <w:ind w:firstLine="360" w:firstLineChars="150"/>
        <w:rPr>
          <w:rFonts w:hint="eastAsia" w:ascii="仿宋_GB2312" w:hAnsi="仿宋_GB2312" w:eastAsia="仿宋_GB2312"/>
          <w:color w:val="auto"/>
          <w:sz w:val="24"/>
          <w:highlight w:val="none"/>
        </w:rPr>
      </w:pPr>
    </w:p>
    <w:p w14:paraId="5560EC2D">
      <w:pPr>
        <w:spacing w:line="480" w:lineRule="exact"/>
        <w:ind w:firstLine="360" w:firstLineChars="150"/>
        <w:rPr>
          <w:rFonts w:hint="eastAsia" w:ascii="仿宋_GB2312" w:hAnsi="仿宋_GB2312" w:eastAsia="仿宋_GB2312" w:cs="Bookman Old Style"/>
          <w:color w:val="auto"/>
          <w:sz w:val="24"/>
          <w:highlight w:val="none"/>
        </w:rPr>
      </w:pPr>
      <w:r>
        <w:rPr>
          <w:rFonts w:hint="eastAsia" w:ascii="仿宋_GB2312" w:hAnsi="仿宋_GB2312" w:eastAsia="仿宋_GB2312"/>
          <w:color w:val="auto"/>
          <w:sz w:val="24"/>
          <w:highlight w:val="none"/>
        </w:rPr>
        <w:t>（以下无正文，为本合同签署页）</w:t>
      </w:r>
    </w:p>
    <w:p w14:paraId="228F9E51">
      <w:pPr>
        <w:spacing w:line="480" w:lineRule="exact"/>
        <w:rPr>
          <w:rFonts w:hint="eastAsia" w:ascii="仿宋_GB2312" w:hAnsi="仿宋_GB2312" w:eastAsia="仿宋_GB2312"/>
          <w:color w:val="auto"/>
          <w:sz w:val="24"/>
          <w:highlight w:val="none"/>
        </w:rPr>
      </w:pPr>
    </w:p>
    <w:p w14:paraId="5D7B179E">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甲方（盖章）：乙方（盖章）：</w:t>
      </w:r>
    </w:p>
    <w:p w14:paraId="385E5AAF">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法定代表人或授权代表（签字）：法定代表人或授权代表（签字）：</w:t>
      </w:r>
    </w:p>
    <w:p w14:paraId="7439A6EC">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地址：地址：</w:t>
      </w:r>
    </w:p>
    <w:p w14:paraId="457D83DD">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电话：电话：</w:t>
      </w:r>
    </w:p>
    <w:p w14:paraId="2BE840D9">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日期：日期：</w:t>
      </w:r>
    </w:p>
    <w:p w14:paraId="678D14F0">
      <w:pPr>
        <w:rPr>
          <w:color w:val="auto"/>
          <w:highlight w:val="none"/>
        </w:rPr>
      </w:pPr>
    </w:p>
    <w:p w14:paraId="255E2DA9">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附件1：技术参数清单</w:t>
      </w:r>
    </w:p>
    <w:p w14:paraId="6542424B">
      <w:pPr>
        <w:rPr>
          <w:rFonts w:hint="eastAsia"/>
          <w:color w:val="auto"/>
          <w:highlight w:val="none"/>
        </w:rPr>
      </w:pPr>
    </w:p>
    <w:p w14:paraId="1B153104">
      <w:pPr>
        <w:spacing w:line="500" w:lineRule="exact"/>
        <w:rPr>
          <w:rFonts w:ascii="仿宋" w:hAnsi="仿宋" w:eastAsia="仿宋" w:cs="仿宋"/>
          <w:b/>
          <w:color w:val="auto"/>
          <w:sz w:val="44"/>
          <w:szCs w:val="44"/>
          <w:highlight w:val="none"/>
        </w:rPr>
      </w:pPr>
      <w:r>
        <w:rPr>
          <w:rFonts w:hint="eastAsia" w:ascii="仿宋" w:hAnsi="仿宋" w:eastAsia="仿宋" w:cs="仿宋"/>
          <w:color w:val="auto"/>
          <w:sz w:val="28"/>
          <w:szCs w:val="28"/>
          <w:highlight w:val="none"/>
        </w:rPr>
        <w:t>附件2：质量及服务承诺书</w:t>
      </w:r>
    </w:p>
    <w:p w14:paraId="12D11E39">
      <w:pPr>
        <w:jc w:val="center"/>
        <w:rPr>
          <w:rFonts w:hint="eastAsia" w:ascii="仿宋_GB2312" w:hAnsi="仿宋_GB2312" w:eastAsia="仿宋_GB2312" w:cs="仿宋"/>
          <w:b/>
          <w:bCs/>
          <w:color w:val="auto"/>
          <w:sz w:val="44"/>
          <w:szCs w:val="44"/>
          <w:highlight w:val="none"/>
        </w:rPr>
      </w:pPr>
      <w:r>
        <w:rPr>
          <w:rFonts w:hint="eastAsia" w:ascii="仿宋_GB2312" w:hAnsi="仿宋_GB2312" w:eastAsia="仿宋_GB2312" w:cs="仿宋"/>
          <w:b/>
          <w:bCs/>
          <w:color w:val="auto"/>
          <w:sz w:val="44"/>
          <w:szCs w:val="44"/>
          <w:highlight w:val="none"/>
        </w:rPr>
        <w:t>质量及服务承诺书</w:t>
      </w:r>
    </w:p>
    <w:p w14:paraId="22727885">
      <w:pPr>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30"/>
          <w:szCs w:val="30"/>
          <w:highlight w:val="none"/>
        </w:rPr>
        <w:t>　</w:t>
      </w:r>
    </w:p>
    <w:p w14:paraId="2D0FDAB6">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对于贵单位采购</w:t>
      </w:r>
      <w:r>
        <w:rPr>
          <w:rFonts w:hint="eastAsia" w:ascii="仿宋_GB2312" w:hAnsi="仿宋_GB2312" w:eastAsia="仿宋_GB2312" w:cs="仿宋"/>
          <w:color w:val="auto"/>
          <w:sz w:val="24"/>
          <w:szCs w:val="24"/>
          <w:highlight w:val="none"/>
          <w:u w:val="single"/>
        </w:rPr>
        <w:t>新疆维吾尔自治区民政康复中心医疗条件改造提升项目</w:t>
      </w:r>
      <w:r>
        <w:rPr>
          <w:rFonts w:hint="eastAsia" w:ascii="仿宋_GB2312" w:hAnsi="仿宋_GB2312" w:eastAsia="仿宋_GB2312" w:cs="仿宋"/>
          <w:color w:val="auto"/>
          <w:sz w:val="24"/>
          <w:szCs w:val="24"/>
          <w:highlight w:val="none"/>
        </w:rPr>
        <w:t>项目，我公司在售后服务方面做如下承诺：　　</w:t>
      </w:r>
    </w:p>
    <w:p w14:paraId="38729BE8">
      <w:pPr>
        <w:numPr>
          <w:ilvl w:val="0"/>
          <w:numId w:val="8"/>
        </w:num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都有合格的《质量检测报告》和相关的产品合格证，符合国家的相关规定； 并保证及时提供所需的检测报告、合格证明等相关证件，并保证所有证件真实、合法、有效。我公司对产品质量实行三包，即：包退、包换、包修；　　</w:t>
      </w:r>
    </w:p>
    <w:p w14:paraId="3DE12A57">
      <w:pPr>
        <w:numPr>
          <w:ilvl w:val="0"/>
          <w:numId w:val="8"/>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合同签订后，按时交货；严格遵守国家关于标签标识方面的管理规定，保证产品外包装符合要求；</w:t>
      </w:r>
    </w:p>
    <w:p w14:paraId="4697BCD7">
      <w:p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三、本公司确保所提供的货物调试达到合同指标，产品的制造和检测均有质量记录和检测资料。如因我公司产品质量或安装质量问题造成验收不合格，我公司将及时整改直至合格为止，其间产生的费用由我公司承担；　　</w:t>
      </w:r>
    </w:p>
    <w:p w14:paraId="4C221AEB">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我公司在调试期间负责对贵单位操作、维修人员的培训，并能独立操作；对于贵单位的技术咨询，随时给予解答；</w:t>
      </w:r>
    </w:p>
    <w:p w14:paraId="687C19B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在交付设备时，本公司向贵单位交付以下资料：发货清单、产品合格证、产品使用说明书、技术资料等；当接到贵单位反映质量问题的信函或电话后，保证24小时内作出答复，并于2个日历日内派出服务人员，以最快的速度到达现场，3日内解决问题；</w:t>
      </w:r>
    </w:p>
    <w:p w14:paraId="57ADA40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我公司所有供应货物如经贵单位按合同书面确认供应品牌后，对涉及该指定货物的使用性能和质量指标的生产厂家、配方、生产工艺等不作随意更换。　　　　</w:t>
      </w:r>
    </w:p>
    <w:p w14:paraId="2B7291DD">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我公司供应货物的保质期绝不低于产品标注的保质期，如因我方供应产品质量问题，我方自愿承担由此所造成的所有损失及法律责任。　　</w:t>
      </w:r>
    </w:p>
    <w:p w14:paraId="59D51D6A">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我公司所提供的货物，出现相关证照不全、品牌不符及任何质量问题的，我公司承诺无条件退货，并在贵单位规定时间内补充合格的货物，否则自愿承担由此造成的所有损失。　　</w:t>
      </w:r>
    </w:p>
    <w:p w14:paraId="75BCAD1A">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为共同确保质量安全，我公司特向贵单位作出上述承诺，并愿意遵照执行；本承诺书在我司供货质保期内有效。　　</w:t>
      </w:r>
    </w:p>
    <w:p w14:paraId="6FBDD3CD">
      <w:pPr>
        <w:spacing w:line="540" w:lineRule="exact"/>
        <w:ind w:right="560"/>
        <w:jc w:val="center"/>
        <w:rPr>
          <w:rFonts w:hint="eastAsia" w:ascii="仿宋_GB2312" w:hAnsi="仿宋_GB2312" w:eastAsia="仿宋_GB2312" w:cs="仿宋"/>
          <w:color w:val="auto"/>
          <w:sz w:val="24"/>
          <w:szCs w:val="24"/>
          <w:highlight w:val="none"/>
        </w:rPr>
      </w:pPr>
    </w:p>
    <w:p w14:paraId="628ADD13">
      <w:pPr>
        <w:spacing w:line="540" w:lineRule="exact"/>
        <w:ind w:right="56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承诺单位（盖章）：</w:t>
      </w:r>
    </w:p>
    <w:p w14:paraId="136D0E00">
      <w:pPr>
        <w:spacing w:line="540" w:lineRule="exact"/>
        <w:ind w:right="840"/>
        <w:jc w:val="center"/>
        <w:rPr>
          <w:rFonts w:hint="eastAsia" w:ascii="仿宋_GB2312" w:hAnsi="仿宋_GB2312" w:eastAsia="仿宋_GB2312" w:cs="仿宋"/>
          <w:color w:val="auto"/>
          <w:sz w:val="24"/>
          <w:szCs w:val="24"/>
          <w:highlight w:val="none"/>
          <w:lang w:eastAsia="zh-CN"/>
        </w:rPr>
      </w:pPr>
    </w:p>
    <w:p w14:paraId="40D33EED">
      <w:pPr>
        <w:spacing w:line="540" w:lineRule="exact"/>
        <w:ind w:left="3840" w:right="840" w:hanging="3840" w:hangingChars="1600"/>
        <w:jc w:val="left"/>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24"/>
          <w:szCs w:val="24"/>
          <w:highlight w:val="none"/>
        </w:rPr>
        <w:t>法定代表人（或授权代理人）签字：</w:t>
      </w:r>
    </w:p>
    <w:p w14:paraId="4B35599F">
      <w:pPr>
        <w:spacing w:line="540" w:lineRule="exact"/>
        <w:ind w:right="840"/>
        <w:jc w:val="center"/>
        <w:rPr>
          <w:rFonts w:hint="eastAsia" w:ascii="仿宋_GB2312" w:hAnsi="仿宋_GB2312" w:eastAsia="仿宋_GB2312" w:cs="仿宋"/>
          <w:color w:val="auto"/>
          <w:sz w:val="24"/>
          <w:szCs w:val="24"/>
          <w:highlight w:val="none"/>
          <w:lang w:eastAsia="zh-CN"/>
        </w:rPr>
      </w:pPr>
    </w:p>
    <w:p w14:paraId="7D9DB1A4">
      <w:pPr>
        <w:spacing w:line="540" w:lineRule="exact"/>
        <w:ind w:firstLine="480" w:firstLineChars="200"/>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24"/>
          <w:szCs w:val="24"/>
          <w:highlight w:val="none"/>
        </w:rPr>
        <w:t>日期：</w:t>
      </w:r>
    </w:p>
    <w:p w14:paraId="34E3580E">
      <w:pPr>
        <w:rPr>
          <w:color w:val="auto"/>
          <w:highlight w:val="none"/>
        </w:rPr>
      </w:pPr>
    </w:p>
    <w:p w14:paraId="7D24F871">
      <w:pPr>
        <w:rPr>
          <w:rFonts w:hint="eastAsia" w:ascii="仿宋" w:hAnsi="仿宋" w:eastAsia="仿宋" w:cs="仿宋"/>
          <w:color w:val="auto"/>
          <w:sz w:val="30"/>
          <w:szCs w:val="30"/>
          <w:highlight w:val="none"/>
        </w:rPr>
      </w:pPr>
    </w:p>
    <w:p w14:paraId="4D3D47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CFB9C81">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附件：廉政承诺书</w:t>
      </w:r>
    </w:p>
    <w:p w14:paraId="7DC1C7A0">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廉政承诺书</w:t>
      </w:r>
    </w:p>
    <w:p w14:paraId="5669A285">
      <w:pPr>
        <w:spacing w:line="540" w:lineRule="exact"/>
        <w:ind w:firstLine="640" w:firstLineChars="200"/>
        <w:rPr>
          <w:rFonts w:hint="eastAsia" w:ascii="方正仿宋简体" w:hAnsi="方正仿宋简体" w:eastAsia="方正仿宋简体" w:cs="方正仿宋简体"/>
          <w:b w:val="0"/>
          <w:bCs w:val="0"/>
          <w:color w:val="auto"/>
          <w:sz w:val="32"/>
          <w:szCs w:val="32"/>
          <w:highlight w:val="none"/>
        </w:rPr>
      </w:pPr>
    </w:p>
    <w:p w14:paraId="2AD31A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建立廉洁自律的工作纪律，本公司作为新疆维吾尔自治区民政康复中心的供应商，在独立、客观、公正的基础上开展各项业务，杜绝发生违法、违纪和不良行为。本公司将严格按照以下措施做好各项工作，并自愿向贵校承诺如下：</w:t>
      </w:r>
    </w:p>
    <w:p w14:paraId="4FF62D3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第一条廉政内容</w:t>
      </w:r>
    </w:p>
    <w:p w14:paraId="017FFD47">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(一)严格遵守党规、党纪、国家法律、行政法规和贵校的各项规章制度，做到依法经营、诚实守信和廉洁自律；</w:t>
      </w:r>
    </w:p>
    <w:p w14:paraId="59EAEE2E">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(二)正确行使权力，不在贵校的管理、招投标活动和业务合作中发生任何违法、违规、违纪行为，不谋取不正当利益和损害贵校的利益；</w:t>
      </w:r>
    </w:p>
    <w:p w14:paraId="03A8A5C0">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(三)不以权谋私，不从事任何损害贵校利益的业务，不利用条件上的便利从事有偿居间活动；不利用条件上的便利为亲属、特定关系人谋取任何利益；</w:t>
      </w:r>
    </w:p>
    <w:p w14:paraId="0B78018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(四)坚决抵制商业贿赂，绝不向贵校的工作人员及其家人行贿或变现行贿，不以任何形式向其赠送礼金、有价证券和贵重物品、以报销、提成、回扣等方式给予任何费用；</w:t>
      </w:r>
    </w:p>
    <w:p w14:paraId="04628A92">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(五)在业务合作过程中，如出现相关人员吃、拿、卡、要等现象应立即停止并向新疆维吾尔自治区民政康复中心进行反映；</w:t>
      </w:r>
    </w:p>
    <w:p w14:paraId="7992011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（六）不以任何理由邀请新疆维吾尔自治区民政康复中心工作人员外出旅游或安排参加宴请及娱乐活动；</w:t>
      </w:r>
    </w:p>
    <w:p w14:paraId="12103DCB">
      <w:pPr>
        <w:autoSpaceDE w:val="0"/>
        <w:autoSpaceDN w:val="0"/>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七</w:t>
      </w:r>
      <w:r>
        <w:rPr>
          <w:rFonts w:hint="eastAsia" w:ascii="仿宋" w:hAnsi="仿宋" w:eastAsia="仿宋" w:cs="仿宋"/>
          <w:b w:val="0"/>
          <w:bCs w:val="0"/>
          <w:color w:val="auto"/>
          <w:sz w:val="24"/>
          <w:szCs w:val="24"/>
          <w:highlight w:val="none"/>
        </w:rPr>
        <w:t>）本公司指定业务代表洽谈业务，销售代表必须在工作时间到新疆维吾尔自治区民政康复中心指定地点联系商谈，不得到学校、学院、科室等推销任何产品，不得借故到相关领导、部门负责人及相关工作人员家中访谈并提供任何好处费。</w:t>
      </w:r>
    </w:p>
    <w:p w14:paraId="2253EAB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第二条如本公司违反上述承诺，本公司自愿承担如下责任</w:t>
      </w:r>
    </w:p>
    <w:p w14:paraId="45884BC9">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(一)如因本公司的相关行为给贵校造成损失的，本公司剩余未结款项全部归贵校所有，如不足以弥补贵校损失的，本公司继续承担赔偿责任；</w:t>
      </w:r>
    </w:p>
    <w:p w14:paraId="03DEDB5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(二)如本公司的上述行为构成犯罪的，贵校有权直接报案，依法追究本公司的全部法律责任，凡被司法机关认定行贿罪的，按照合同总价款的20%承担违约责任；</w:t>
      </w:r>
    </w:p>
    <w:p w14:paraId="0946C9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(三)本公司自愿接受被贵校列入员工黑名单的制裁，该制裁包括但不限于如下内容：</w:t>
      </w:r>
    </w:p>
    <w:p w14:paraId="265A8014">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（1）授权贵校在任何媒体对本公司的上述行为进行曝光，相关费用全部由本公司承担；</w:t>
      </w:r>
    </w:p>
    <w:p w14:paraId="77A11F66">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（2）授权贵校将本公司的上述行为作为反面案例，以任何形式在任何场所进行广泛宣传.</w:t>
      </w:r>
    </w:p>
    <w:p w14:paraId="3A41D8D1">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本公司将认真执行上述承诺事项，自愿对上述承诺内容承担法律责任、经济赔偿责任及刑事法律责任；</w:t>
      </w:r>
    </w:p>
    <w:p w14:paraId="421926BA">
      <w:pPr>
        <w:spacing w:line="540" w:lineRule="exact"/>
        <w:ind w:firstLine="480" w:firstLineChars="200"/>
        <w:rPr>
          <w:rFonts w:hint="eastAsia" w:ascii="仿宋" w:hAnsi="仿宋" w:eastAsia="仿宋" w:cs="仿宋"/>
          <w:b w:val="0"/>
          <w:bCs w:val="0"/>
          <w:color w:val="auto"/>
          <w:sz w:val="24"/>
          <w:szCs w:val="24"/>
          <w:highlight w:val="none"/>
        </w:rPr>
      </w:pPr>
    </w:p>
    <w:p w14:paraId="1E2530B6">
      <w:pPr>
        <w:spacing w:line="540" w:lineRule="exact"/>
        <w:ind w:right="560" w:firstLine="4800" w:firstLineChars="20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承诺单位（盖章）：</w:t>
      </w:r>
    </w:p>
    <w:p w14:paraId="0A2F114F">
      <w:pPr>
        <w:spacing w:line="540" w:lineRule="exact"/>
        <w:ind w:right="840"/>
        <w:jc w:val="center"/>
        <w:rPr>
          <w:rFonts w:hint="eastAsia" w:ascii="仿宋" w:hAnsi="仿宋" w:eastAsia="仿宋" w:cs="仿宋"/>
          <w:b w:val="0"/>
          <w:bCs w:val="0"/>
          <w:color w:val="auto"/>
          <w:sz w:val="24"/>
          <w:szCs w:val="24"/>
          <w:highlight w:val="none"/>
          <w:lang w:eastAsia="zh-CN"/>
        </w:rPr>
      </w:pPr>
    </w:p>
    <w:p w14:paraId="30520FB5">
      <w:pPr>
        <w:spacing w:line="540" w:lineRule="exact"/>
        <w:ind w:right="84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法定代表人（签名）：</w:t>
      </w:r>
    </w:p>
    <w:p w14:paraId="70E7D2F3">
      <w:pPr>
        <w:spacing w:line="540" w:lineRule="exact"/>
        <w:ind w:right="840"/>
        <w:jc w:val="center"/>
        <w:rPr>
          <w:rFonts w:hint="eastAsia" w:ascii="仿宋" w:hAnsi="仿宋" w:eastAsia="仿宋" w:cs="仿宋"/>
          <w:b w:val="0"/>
          <w:bCs w:val="0"/>
          <w:color w:val="auto"/>
          <w:sz w:val="24"/>
          <w:szCs w:val="24"/>
          <w:highlight w:val="none"/>
          <w:lang w:eastAsia="zh-CN"/>
        </w:rPr>
      </w:pPr>
    </w:p>
    <w:p w14:paraId="412F7111">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日期：年月日</w:t>
      </w:r>
    </w:p>
    <w:p w14:paraId="5739857E">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16C66D26">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6"/>
          <w:highlight w:val="none"/>
        </w:rPr>
        <w:t>第五部分响应文件格式</w:t>
      </w:r>
      <w:bookmarkEnd w:id="16"/>
    </w:p>
    <w:p w14:paraId="27262137">
      <w:pPr>
        <w:spacing w:line="360" w:lineRule="auto"/>
        <w:rPr>
          <w:rFonts w:hint="eastAsia" w:ascii="仿宋" w:hAnsi="仿宋" w:eastAsia="仿宋" w:cs="仿宋"/>
          <w:b/>
          <w:color w:val="auto"/>
          <w:sz w:val="24"/>
          <w:highlight w:val="none"/>
        </w:rPr>
      </w:pPr>
    </w:p>
    <w:p w14:paraId="3CB6E5A5">
      <w:pPr>
        <w:keepNext w:val="0"/>
        <w:keepLines w:val="0"/>
        <w:pageBreakBefore w:val="0"/>
        <w:widowControl w:val="0"/>
        <w:kinsoku/>
        <w:wordWrap/>
        <w:overflowPunct/>
        <w:topLinePunct w:val="0"/>
        <w:bidi w:val="0"/>
        <w:adjustRightInd/>
        <w:snapToGrid/>
        <w:spacing w:line="360" w:lineRule="auto"/>
        <w:ind w:firstLine="482" w:firstLineChars="200"/>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响应文件封面</w:t>
      </w:r>
    </w:p>
    <w:p w14:paraId="783D495C">
      <w:pPr>
        <w:pStyle w:val="10"/>
        <w:ind w:firstLine="480"/>
        <w:rPr>
          <w:rFonts w:hint="eastAsia" w:ascii="仿宋" w:hAnsi="仿宋" w:eastAsia="仿宋" w:cs="仿宋"/>
          <w:color w:val="auto"/>
          <w:sz w:val="24"/>
          <w:highlight w:val="none"/>
        </w:rPr>
      </w:pPr>
    </w:p>
    <w:p w14:paraId="47E0A1F8">
      <w:pPr>
        <w:pStyle w:val="10"/>
        <w:ind w:firstLine="480"/>
        <w:rPr>
          <w:rFonts w:hint="eastAsia" w:ascii="仿宋" w:hAnsi="仿宋" w:eastAsia="仿宋" w:cs="仿宋"/>
          <w:color w:val="auto"/>
          <w:sz w:val="24"/>
          <w:highlight w:val="none"/>
        </w:rPr>
      </w:pPr>
    </w:p>
    <w:p w14:paraId="5B18A5C4">
      <w:pPr>
        <w:pStyle w:val="10"/>
        <w:ind w:firstLine="480"/>
        <w:rPr>
          <w:rFonts w:hint="eastAsia" w:ascii="仿宋" w:hAnsi="仿宋" w:eastAsia="仿宋" w:cs="仿宋"/>
          <w:color w:val="auto"/>
          <w:sz w:val="24"/>
          <w:highlight w:val="none"/>
        </w:rPr>
      </w:pPr>
    </w:p>
    <w:p w14:paraId="4F8F7C4C">
      <w:pPr>
        <w:spacing w:line="360" w:lineRule="auto"/>
        <w:rPr>
          <w:rFonts w:hint="eastAsia" w:ascii="仿宋" w:hAnsi="仿宋" w:eastAsia="仿宋" w:cs="仿宋"/>
          <w:color w:val="auto"/>
          <w:sz w:val="28"/>
          <w:szCs w:val="28"/>
          <w:highlight w:val="none"/>
        </w:rPr>
      </w:pPr>
      <w:bookmarkStart w:id="17" w:name="_Toc30719"/>
      <w:r>
        <w:rPr>
          <w:rFonts w:hint="eastAsia" w:ascii="仿宋" w:hAnsi="仿宋" w:eastAsia="仿宋" w:cs="仿宋"/>
          <w:color w:val="auto"/>
          <w:sz w:val="28"/>
          <w:szCs w:val="28"/>
          <w:highlight w:val="none"/>
        </w:rPr>
        <w:t>（项目名称）</w:t>
      </w:r>
      <w:bookmarkEnd w:id="17"/>
    </w:p>
    <w:p w14:paraId="5E30F220">
      <w:pPr>
        <w:spacing w:line="360" w:lineRule="auto"/>
        <w:jc w:val="center"/>
        <w:rPr>
          <w:rFonts w:hint="eastAsia" w:ascii="仿宋" w:hAnsi="仿宋" w:eastAsia="仿宋" w:cs="仿宋"/>
          <w:color w:val="auto"/>
          <w:sz w:val="28"/>
          <w:szCs w:val="28"/>
          <w:highlight w:val="none"/>
        </w:rPr>
      </w:pPr>
    </w:p>
    <w:p w14:paraId="03656B2D">
      <w:pPr>
        <w:spacing w:line="360" w:lineRule="auto"/>
        <w:rPr>
          <w:rFonts w:hint="eastAsia" w:ascii="仿宋" w:hAnsi="仿宋" w:eastAsia="仿宋" w:cs="仿宋"/>
          <w:color w:val="auto"/>
          <w:sz w:val="28"/>
          <w:szCs w:val="28"/>
          <w:highlight w:val="none"/>
        </w:rPr>
      </w:pPr>
      <w:bookmarkStart w:id="18" w:name="_Toc9780"/>
      <w:r>
        <w:rPr>
          <w:rFonts w:hint="eastAsia" w:ascii="仿宋" w:hAnsi="仿宋" w:eastAsia="仿宋" w:cs="仿宋"/>
          <w:color w:val="auto"/>
          <w:sz w:val="28"/>
          <w:szCs w:val="28"/>
          <w:highlight w:val="none"/>
        </w:rPr>
        <w:t>（项目编号）</w:t>
      </w:r>
      <w:bookmarkEnd w:id="18"/>
    </w:p>
    <w:p w14:paraId="57DD4A9C">
      <w:pPr>
        <w:spacing w:line="360" w:lineRule="auto"/>
        <w:rPr>
          <w:rFonts w:hint="eastAsia" w:ascii="仿宋" w:hAnsi="仿宋" w:eastAsia="仿宋" w:cs="仿宋"/>
          <w:color w:val="auto"/>
          <w:sz w:val="28"/>
          <w:szCs w:val="28"/>
          <w:highlight w:val="none"/>
        </w:rPr>
      </w:pPr>
    </w:p>
    <w:p w14:paraId="1AF477AF">
      <w:pPr>
        <w:pStyle w:val="10"/>
        <w:rPr>
          <w:rFonts w:hint="eastAsia" w:ascii="仿宋" w:hAnsi="仿宋" w:eastAsia="仿宋" w:cs="仿宋"/>
          <w:color w:val="auto"/>
          <w:highlight w:val="none"/>
        </w:rPr>
      </w:pPr>
    </w:p>
    <w:p w14:paraId="38456B32">
      <w:pPr>
        <w:spacing w:line="360" w:lineRule="auto"/>
        <w:jc w:val="center"/>
        <w:rPr>
          <w:rFonts w:hint="eastAsia" w:ascii="仿宋" w:hAnsi="仿宋" w:eastAsia="仿宋" w:cs="仿宋"/>
          <w:color w:val="auto"/>
          <w:sz w:val="24"/>
          <w:highlight w:val="none"/>
        </w:rPr>
      </w:pPr>
    </w:p>
    <w:p w14:paraId="68A9E77C">
      <w:pPr>
        <w:spacing w:line="360" w:lineRule="auto"/>
        <w:jc w:val="center"/>
        <w:rPr>
          <w:rFonts w:hint="eastAsia" w:ascii="仿宋" w:hAnsi="仿宋" w:eastAsia="仿宋" w:cs="仿宋"/>
          <w:color w:val="auto"/>
          <w:sz w:val="24"/>
          <w:highlight w:val="none"/>
        </w:rPr>
      </w:pPr>
    </w:p>
    <w:p w14:paraId="2930D3D9">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响应文件</w:t>
      </w:r>
    </w:p>
    <w:p w14:paraId="0B6AD9BC">
      <w:pPr>
        <w:spacing w:line="360" w:lineRule="auto"/>
        <w:jc w:val="center"/>
        <w:rPr>
          <w:rFonts w:hint="eastAsia" w:ascii="仿宋" w:hAnsi="仿宋" w:eastAsia="仿宋" w:cs="仿宋"/>
          <w:color w:val="auto"/>
          <w:sz w:val="24"/>
          <w:highlight w:val="none"/>
        </w:rPr>
      </w:pPr>
    </w:p>
    <w:p w14:paraId="19C4B51F">
      <w:pPr>
        <w:spacing w:line="360" w:lineRule="auto"/>
        <w:jc w:val="center"/>
        <w:rPr>
          <w:rFonts w:hint="eastAsia" w:ascii="仿宋" w:hAnsi="仿宋" w:eastAsia="仿宋" w:cs="仿宋"/>
          <w:color w:val="auto"/>
          <w:sz w:val="24"/>
          <w:highlight w:val="none"/>
        </w:rPr>
      </w:pPr>
    </w:p>
    <w:p w14:paraId="03F7CEAD">
      <w:pPr>
        <w:pStyle w:val="10"/>
        <w:rPr>
          <w:rFonts w:hint="eastAsia" w:ascii="仿宋" w:hAnsi="仿宋" w:eastAsia="仿宋" w:cs="仿宋"/>
          <w:color w:val="auto"/>
          <w:highlight w:val="none"/>
        </w:rPr>
      </w:pPr>
    </w:p>
    <w:p w14:paraId="7BADF41E">
      <w:pPr>
        <w:spacing w:line="360" w:lineRule="auto"/>
        <w:jc w:val="center"/>
        <w:rPr>
          <w:rFonts w:hint="eastAsia" w:ascii="仿宋" w:hAnsi="仿宋" w:eastAsia="仿宋" w:cs="仿宋"/>
          <w:color w:val="auto"/>
          <w:sz w:val="28"/>
          <w:szCs w:val="28"/>
          <w:highlight w:val="none"/>
          <w:lang w:eastAsia="zh-CN"/>
        </w:rPr>
      </w:pPr>
    </w:p>
    <w:p w14:paraId="3239E525">
      <w:pPr>
        <w:spacing w:line="360" w:lineRule="auto"/>
        <w:jc w:val="left"/>
        <w:rPr>
          <w:rFonts w:hint="eastAsia" w:ascii="仿宋" w:hAnsi="仿宋" w:eastAsia="仿宋" w:cs="仿宋"/>
          <w:color w:val="auto"/>
          <w:sz w:val="28"/>
          <w:szCs w:val="28"/>
          <w:highlight w:val="none"/>
        </w:rPr>
      </w:pPr>
      <w:bookmarkStart w:id="19" w:name="_Toc134550686"/>
      <w:bookmarkStart w:id="20" w:name="_Toc25722"/>
      <w:bookmarkStart w:id="21" w:name="_Toc6759"/>
      <w:r>
        <w:rPr>
          <w:rFonts w:hint="eastAsia" w:ascii="仿宋" w:hAnsi="仿宋" w:eastAsia="仿宋" w:cs="仿宋"/>
          <w:color w:val="auto"/>
          <w:sz w:val="28"/>
          <w:szCs w:val="28"/>
          <w:highlight w:val="none"/>
        </w:rPr>
        <w:t>采购人：</w:t>
      </w:r>
      <w:bookmarkEnd w:id="19"/>
      <w:bookmarkEnd w:id="20"/>
      <w:bookmarkEnd w:id="21"/>
    </w:p>
    <w:p w14:paraId="12753BEC">
      <w:pPr>
        <w:spacing w:line="360" w:lineRule="auto"/>
        <w:jc w:val="left"/>
        <w:rPr>
          <w:rFonts w:hint="eastAsia" w:ascii="仿宋" w:hAnsi="仿宋" w:eastAsia="仿宋" w:cs="仿宋"/>
          <w:color w:val="auto"/>
          <w:sz w:val="28"/>
          <w:szCs w:val="28"/>
          <w:highlight w:val="none"/>
        </w:rPr>
      </w:pPr>
      <w:bookmarkStart w:id="22" w:name="_Toc2378"/>
      <w:bookmarkStart w:id="23" w:name="_Toc134550687"/>
      <w:bookmarkStart w:id="24" w:name="_Toc23994"/>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电子签章</w:t>
      </w:r>
      <w:r>
        <w:rPr>
          <w:rFonts w:hint="eastAsia" w:ascii="仿宋" w:hAnsi="仿宋" w:eastAsia="仿宋" w:cs="仿宋"/>
          <w:color w:val="auto"/>
          <w:sz w:val="28"/>
          <w:szCs w:val="28"/>
          <w:highlight w:val="none"/>
        </w:rPr>
        <w:t>）</w:t>
      </w:r>
      <w:bookmarkEnd w:id="22"/>
      <w:bookmarkEnd w:id="23"/>
      <w:bookmarkEnd w:id="24"/>
    </w:p>
    <w:p w14:paraId="3FDACF49">
      <w:pPr>
        <w:spacing w:line="360" w:lineRule="auto"/>
        <w:jc w:val="left"/>
        <w:rPr>
          <w:rFonts w:hint="eastAsia" w:ascii="仿宋" w:hAnsi="仿宋" w:eastAsia="仿宋" w:cs="仿宋"/>
          <w:color w:val="auto"/>
          <w:sz w:val="28"/>
          <w:szCs w:val="28"/>
          <w:highlight w:val="none"/>
        </w:rPr>
      </w:pPr>
      <w:bookmarkStart w:id="25" w:name="_Toc16989"/>
      <w:bookmarkStart w:id="26" w:name="_Toc14388"/>
      <w:bookmarkStart w:id="27" w:name="_Toc134550688"/>
      <w:r>
        <w:rPr>
          <w:rFonts w:hint="eastAsia" w:ascii="仿宋" w:hAnsi="仿宋" w:eastAsia="仿宋" w:cs="仿宋"/>
          <w:color w:val="auto"/>
          <w:sz w:val="28"/>
          <w:szCs w:val="28"/>
          <w:highlight w:val="none"/>
        </w:rPr>
        <w:t>法定代表人：（电子签名或签章）</w:t>
      </w:r>
      <w:bookmarkEnd w:id="25"/>
      <w:bookmarkEnd w:id="26"/>
      <w:bookmarkEnd w:id="27"/>
    </w:p>
    <w:p w14:paraId="1AAFA21B">
      <w:pPr>
        <w:spacing w:line="360" w:lineRule="auto"/>
        <w:jc w:val="left"/>
        <w:rPr>
          <w:rFonts w:hint="eastAsia" w:ascii="仿宋" w:hAnsi="仿宋" w:eastAsia="仿宋" w:cs="仿宋"/>
          <w:color w:val="auto"/>
          <w:sz w:val="28"/>
          <w:szCs w:val="28"/>
          <w:highlight w:val="none"/>
        </w:rPr>
      </w:pPr>
      <w:bookmarkStart w:id="28" w:name="_Toc29511"/>
      <w:bookmarkStart w:id="29" w:name="_Toc134550690"/>
      <w:bookmarkStart w:id="30" w:name="_Toc23799"/>
      <w:r>
        <w:rPr>
          <w:rFonts w:hint="eastAsia" w:ascii="仿宋" w:hAnsi="仿宋" w:eastAsia="仿宋" w:cs="仿宋"/>
          <w:color w:val="auto"/>
          <w:sz w:val="28"/>
          <w:szCs w:val="28"/>
          <w:highlight w:val="none"/>
        </w:rPr>
        <w:t>联系方式：</w:t>
      </w:r>
      <w:bookmarkEnd w:id="28"/>
      <w:bookmarkEnd w:id="29"/>
      <w:bookmarkEnd w:id="30"/>
    </w:p>
    <w:p w14:paraId="1183DBC7">
      <w:pPr>
        <w:spacing w:line="360" w:lineRule="auto"/>
        <w:jc w:val="left"/>
        <w:rPr>
          <w:rFonts w:hint="eastAsia" w:ascii="仿宋" w:hAnsi="仿宋" w:eastAsia="仿宋" w:cs="仿宋"/>
          <w:color w:val="auto"/>
          <w:sz w:val="28"/>
          <w:szCs w:val="28"/>
          <w:highlight w:val="none"/>
        </w:rPr>
      </w:pPr>
      <w:bookmarkStart w:id="31" w:name="_Toc18523"/>
      <w:bookmarkStart w:id="32" w:name="_Toc134550691"/>
      <w:bookmarkStart w:id="33" w:name="_Toc12203"/>
      <w:r>
        <w:rPr>
          <w:rFonts w:hint="eastAsia" w:ascii="仿宋" w:hAnsi="仿宋" w:eastAsia="仿宋" w:cs="仿宋"/>
          <w:color w:val="auto"/>
          <w:sz w:val="28"/>
          <w:szCs w:val="28"/>
          <w:highlight w:val="none"/>
        </w:rPr>
        <w:t>联系地址：</w:t>
      </w:r>
      <w:bookmarkEnd w:id="31"/>
      <w:bookmarkEnd w:id="32"/>
      <w:bookmarkEnd w:id="33"/>
    </w:p>
    <w:p w14:paraId="4A6779CD">
      <w:pPr>
        <w:spacing w:line="360" w:lineRule="auto"/>
        <w:jc w:val="left"/>
        <w:rPr>
          <w:rFonts w:hint="eastAsia" w:ascii="仿宋" w:hAnsi="仿宋" w:eastAsia="仿宋" w:cs="仿宋"/>
          <w:b/>
          <w:color w:val="auto"/>
          <w:sz w:val="32"/>
          <w:szCs w:val="32"/>
          <w:highlight w:val="none"/>
        </w:rPr>
      </w:pPr>
      <w:bookmarkStart w:id="34" w:name="_Toc10100"/>
      <w:bookmarkStart w:id="35" w:name="_Toc24903"/>
      <w:bookmarkStart w:id="36" w:name="_Toc134550692"/>
      <w:r>
        <w:rPr>
          <w:rFonts w:hint="eastAsia" w:ascii="仿宋" w:hAnsi="仿宋" w:eastAsia="仿宋" w:cs="仿宋"/>
          <w:color w:val="auto"/>
          <w:sz w:val="28"/>
          <w:szCs w:val="28"/>
          <w:highlight w:val="none"/>
        </w:rPr>
        <w:t>日期：年月日</w:t>
      </w:r>
      <w:bookmarkEnd w:id="34"/>
      <w:bookmarkEnd w:id="35"/>
      <w:r>
        <w:rPr>
          <w:rFonts w:hint="eastAsia" w:ascii="仿宋" w:hAnsi="仿宋" w:eastAsia="仿宋" w:cs="仿宋"/>
          <w:b/>
          <w:color w:val="auto"/>
          <w:sz w:val="32"/>
          <w:szCs w:val="32"/>
          <w:highlight w:val="none"/>
        </w:rPr>
        <w:br w:type="page"/>
      </w:r>
      <w:bookmarkStart w:id="37" w:name="_Toc19240"/>
      <w:bookmarkStart w:id="38" w:name="_Toc5037"/>
      <w:bookmarkStart w:id="39" w:name="_Toc134550693"/>
      <w:r>
        <w:rPr>
          <w:rFonts w:hint="eastAsia" w:ascii="仿宋" w:hAnsi="仿宋" w:eastAsia="仿宋" w:cs="仿宋"/>
          <w:b/>
          <w:color w:val="auto"/>
          <w:sz w:val="32"/>
          <w:szCs w:val="32"/>
          <w:highlight w:val="none"/>
        </w:rPr>
        <w:t>目录</w:t>
      </w:r>
      <w:bookmarkEnd w:id="36"/>
      <w:bookmarkEnd w:id="37"/>
      <w:bookmarkEnd w:id="38"/>
      <w:bookmarkEnd w:id="39"/>
    </w:p>
    <w:p w14:paraId="11EFA28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一、资格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w:t>
      </w:r>
    </w:p>
    <w:p w14:paraId="63865DB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349F8618">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54DF961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27C3F58A">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74141F5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44056379">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239143F6">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7BA3B99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38CA2C7B">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3ACD095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3BFF869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6D987415">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21E7D24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1F83C05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59D9F16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1A3AA8A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DBFD9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8C0682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04AFAAC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169E1ED2">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45729DC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53C372E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6AAAC908">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上述不良信用记录；（信用中国、中国政府采购网网站查询截图）</w:t>
      </w:r>
    </w:p>
    <w:p w14:paraId="360A91D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4AE0BF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9530087">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2691386D">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6D337C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二、</w:t>
      </w:r>
      <w:r>
        <w:rPr>
          <w:rFonts w:hint="eastAsia" w:ascii="仿宋" w:hAnsi="仿宋" w:eastAsia="仿宋" w:cs="仿宋"/>
          <w:bCs/>
          <w:color w:val="auto"/>
          <w:sz w:val="24"/>
          <w:szCs w:val="24"/>
          <w:highlight w:val="none"/>
          <w:lang w:eastAsia="zh-CN"/>
        </w:rPr>
        <w:t>响应文件</w:t>
      </w:r>
    </w:p>
    <w:p w14:paraId="05BF9D3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商务技术文件</w:t>
      </w:r>
    </w:p>
    <w:p w14:paraId="79DE0A3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lang w:eastAsia="zh-CN"/>
        </w:rPr>
        <w:t>函</w:t>
      </w:r>
    </w:p>
    <w:p w14:paraId="4530B2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2、报价一览表</w:t>
      </w:r>
    </w:p>
    <w:p w14:paraId="416AC46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3、分项报价表</w:t>
      </w:r>
    </w:p>
    <w:p w14:paraId="444C2A4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关于资格的声明函</w:t>
      </w:r>
    </w:p>
    <w:p w14:paraId="2E0C903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5、反商业贿赂承诺书</w:t>
      </w:r>
    </w:p>
    <w:p w14:paraId="3D459D6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6、法定代表人身份证明书</w:t>
      </w:r>
    </w:p>
    <w:p w14:paraId="0A229E6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7、法定代表人授权委托书</w:t>
      </w:r>
    </w:p>
    <w:p w14:paraId="66D6607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8、商务条款偏离表</w:t>
      </w:r>
    </w:p>
    <w:p w14:paraId="11E4F54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9、技术参数条款偏离表</w:t>
      </w:r>
    </w:p>
    <w:p w14:paraId="0173E1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近三年（202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月1日至今）</w:t>
      </w:r>
      <w:r>
        <w:rPr>
          <w:rFonts w:hint="eastAsia" w:ascii="仿宋" w:hAnsi="仿宋" w:eastAsia="仿宋" w:cs="仿宋"/>
          <w:bCs/>
          <w:color w:val="auto"/>
          <w:sz w:val="24"/>
          <w:szCs w:val="24"/>
          <w:highlight w:val="none"/>
          <w:lang w:val="en-US" w:eastAsia="zh-CN"/>
        </w:rPr>
        <w:t>类似</w:t>
      </w:r>
      <w:r>
        <w:rPr>
          <w:rFonts w:hint="eastAsia" w:ascii="仿宋" w:hAnsi="仿宋" w:eastAsia="仿宋" w:cs="仿宋"/>
          <w:bCs/>
          <w:color w:val="auto"/>
          <w:sz w:val="24"/>
          <w:szCs w:val="24"/>
          <w:highlight w:val="none"/>
          <w:lang w:eastAsia="zh-CN"/>
        </w:rPr>
        <w:t>业绩</w:t>
      </w:r>
    </w:p>
    <w:p w14:paraId="4103B9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、项目实施供货方案</w:t>
      </w:r>
    </w:p>
    <w:p w14:paraId="1165F8E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、项目实施人员</w:t>
      </w:r>
    </w:p>
    <w:p w14:paraId="45B6E91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13、本地化服务</w:t>
      </w:r>
    </w:p>
    <w:p w14:paraId="602CED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14、售后服务人员</w:t>
      </w:r>
    </w:p>
    <w:p w14:paraId="3975ED8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15、售后方案</w:t>
      </w:r>
    </w:p>
    <w:p w14:paraId="0B595A9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培训服务</w:t>
      </w:r>
    </w:p>
    <w:p w14:paraId="4114135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17、质量保证</w:t>
      </w:r>
    </w:p>
    <w:p w14:paraId="31EFEE5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18、中小微企业、残疾人福利性单位、监狱企业声明函</w:t>
      </w:r>
    </w:p>
    <w:p w14:paraId="20B8B7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lang w:eastAsia="zh-CN"/>
        </w:rPr>
        <w:t>供应商认为需要提交的其他文件</w:t>
      </w:r>
    </w:p>
    <w:p w14:paraId="659324FC">
      <w:pPr>
        <w:spacing w:line="460" w:lineRule="exact"/>
        <w:rPr>
          <w:rFonts w:hint="eastAsia" w:ascii="仿宋" w:hAnsi="仿宋" w:eastAsia="仿宋" w:cs="仿宋"/>
          <w:b/>
          <w:bCs/>
          <w:color w:val="auto"/>
          <w:sz w:val="24"/>
          <w:szCs w:val="24"/>
          <w:highlight w:val="none"/>
        </w:rPr>
      </w:pPr>
    </w:p>
    <w:p w14:paraId="3D3EE029">
      <w:p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B09C0DB">
      <w:pPr>
        <w:pStyle w:val="100"/>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auto"/>
          <w:highlight w:val="none"/>
        </w:rPr>
      </w:pPr>
      <w:r>
        <w:rPr>
          <w:rFonts w:hint="eastAsia" w:ascii="仿宋" w:hAnsi="仿宋" w:eastAsia="仿宋" w:cs="仿宋"/>
          <w:bCs/>
          <w:color w:val="auto"/>
          <w:sz w:val="24"/>
          <w:highlight w:val="none"/>
        </w:rPr>
        <w:br w:type="page"/>
      </w:r>
      <w:bookmarkStart w:id="40" w:name="_Toc15501_WPSOffice_Level1"/>
      <w:bookmarkStart w:id="41" w:name="_Toc1385_WPSOffice_Level1"/>
      <w:bookmarkStart w:id="42" w:name="_Toc8145_WPSOffice_Level1"/>
      <w:bookmarkStart w:id="43" w:name="_Toc20007_WPSOffice_Level1"/>
      <w:bookmarkStart w:id="44" w:name="_Toc13964"/>
      <w:bookmarkStart w:id="45" w:name="_Toc2777_WPSOffice_Level1"/>
      <w:bookmarkStart w:id="46" w:name="_Toc14685_WPSOffice_Level1"/>
      <w:bookmarkStart w:id="47" w:name="_Toc21330"/>
      <w:bookmarkStart w:id="48" w:name="_Toc256000059"/>
      <w:bookmarkStart w:id="49" w:name="_Toc4441"/>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、资格证明文件</w:t>
      </w:r>
      <w:bookmarkEnd w:id="40"/>
      <w:bookmarkEnd w:id="41"/>
      <w:bookmarkEnd w:id="42"/>
      <w:bookmarkEnd w:id="43"/>
      <w:bookmarkEnd w:id="44"/>
      <w:bookmarkEnd w:id="45"/>
      <w:bookmarkEnd w:id="46"/>
      <w:bookmarkEnd w:id="47"/>
    </w:p>
    <w:bookmarkEnd w:id="48"/>
    <w:p w14:paraId="57AD8D4F">
      <w:pPr>
        <w:pStyle w:val="102"/>
        <w:jc w:val="center"/>
        <w:rPr>
          <w:rFonts w:hint="eastAsia" w:ascii="仿宋" w:hAnsi="仿宋" w:eastAsia="仿宋" w:cs="仿宋"/>
          <w:color w:val="auto"/>
          <w:highlight w:val="none"/>
          <w:lang w:eastAsia="zh-CN"/>
        </w:rPr>
      </w:pPr>
      <w:bookmarkStart w:id="50" w:name="_Toc256000058"/>
      <w:bookmarkStart w:id="51" w:name="_Toc256000045"/>
      <w:r>
        <w:rPr>
          <w:rFonts w:hint="eastAsia" w:ascii="仿宋" w:hAnsi="仿宋" w:eastAsia="仿宋" w:cs="仿宋"/>
          <w:color w:val="auto"/>
          <w:highlight w:val="none"/>
        </w:rPr>
        <w:t>供应商基本情况表</w:t>
      </w:r>
      <w:bookmarkEnd w:id="50"/>
      <w:bookmarkEnd w:id="51"/>
    </w:p>
    <w:p w14:paraId="5961F028">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ab/>
      </w:r>
    </w:p>
    <w:p w14:paraId="5612D3FC">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44D0651">
      <w:pPr>
        <w:pStyle w:val="104"/>
        <w:spacing w:before="9"/>
        <w:rPr>
          <w:rFonts w:hint="eastAsia" w:ascii="仿宋" w:hAnsi="仿宋" w:eastAsia="仿宋" w:cs="仿宋"/>
          <w:color w:val="auto"/>
          <w:sz w:val="24"/>
          <w:highlight w:val="none"/>
        </w:rPr>
      </w:pPr>
    </w:p>
    <w:tbl>
      <w:tblPr>
        <w:tblStyle w:val="33"/>
        <w:tblW w:w="0" w:type="auto"/>
        <w:jc w:val="center"/>
        <w:tblLayout w:type="fixed"/>
        <w:tblCellMar>
          <w:top w:w="0" w:type="dxa"/>
          <w:left w:w="0" w:type="dxa"/>
          <w:bottom w:w="0" w:type="dxa"/>
          <w:right w:w="0" w:type="dxa"/>
        </w:tblCellMar>
      </w:tblPr>
      <w:tblGrid>
        <w:gridCol w:w="1983"/>
        <w:gridCol w:w="3572"/>
        <w:gridCol w:w="3550"/>
      </w:tblGrid>
      <w:tr w14:paraId="331E6424">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5AC6CE2C">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供应商名称</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1674155">
            <w:pPr>
              <w:pStyle w:val="104"/>
              <w:rPr>
                <w:rFonts w:hint="eastAsia" w:ascii="仿宋" w:hAnsi="仿宋" w:eastAsia="仿宋" w:cs="仿宋"/>
                <w:color w:val="auto"/>
                <w:szCs w:val="21"/>
                <w:highlight w:val="none"/>
              </w:rPr>
            </w:pPr>
          </w:p>
        </w:tc>
      </w:tr>
      <w:tr w14:paraId="372FBCDB">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3CEAD785">
            <w:pPr>
              <w:pStyle w:val="105"/>
              <w:spacing w:before="86"/>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联系地址</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08EB1034">
            <w:pPr>
              <w:pStyle w:val="104"/>
              <w:rPr>
                <w:rFonts w:hint="eastAsia" w:ascii="仿宋" w:hAnsi="仿宋" w:eastAsia="仿宋" w:cs="仿宋"/>
                <w:color w:val="auto"/>
                <w:szCs w:val="21"/>
                <w:highlight w:val="none"/>
              </w:rPr>
            </w:pPr>
          </w:p>
        </w:tc>
      </w:tr>
      <w:tr w14:paraId="1A65F452">
        <w:tblPrEx>
          <w:tblCellMar>
            <w:top w:w="0" w:type="dxa"/>
            <w:left w:w="0" w:type="dxa"/>
            <w:bottom w:w="0" w:type="dxa"/>
            <w:right w:w="0" w:type="dxa"/>
          </w:tblCellMar>
        </w:tblPrEx>
        <w:trPr>
          <w:trHeight w:val="485"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F926B41">
            <w:pPr>
              <w:pStyle w:val="105"/>
              <w:spacing w:before="84"/>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供应商从业人员数量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3BF59D7F">
            <w:pPr>
              <w:pStyle w:val="104"/>
              <w:rPr>
                <w:rFonts w:hint="eastAsia" w:ascii="仿宋" w:hAnsi="仿宋" w:eastAsia="仿宋" w:cs="仿宋"/>
                <w:color w:val="auto"/>
                <w:szCs w:val="21"/>
                <w:highlight w:val="none"/>
              </w:rPr>
            </w:pPr>
          </w:p>
        </w:tc>
      </w:tr>
      <w:tr w14:paraId="2D7B984A">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205210D4">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法定代表人</w:t>
            </w:r>
          </w:p>
        </w:tc>
        <w:tc>
          <w:tcPr>
            <w:tcW w:w="3572" w:type="dxa"/>
            <w:tcBorders>
              <w:top w:val="single" w:color="000000" w:sz="4" w:space="0"/>
              <w:left w:val="single" w:color="000000" w:sz="4" w:space="0"/>
              <w:bottom w:val="single" w:color="000000" w:sz="4" w:space="0"/>
              <w:right w:val="nil"/>
            </w:tcBorders>
            <w:noWrap w:val="0"/>
            <w:vAlign w:val="top"/>
          </w:tcPr>
          <w:p w14:paraId="0864807C">
            <w:pPr>
              <w:pStyle w:val="105"/>
              <w:spacing w:before="84"/>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姓名：职务：职称：</w:t>
            </w:r>
          </w:p>
        </w:tc>
        <w:tc>
          <w:tcPr>
            <w:tcW w:w="3550" w:type="dxa"/>
            <w:tcBorders>
              <w:top w:val="single" w:color="000000" w:sz="4" w:space="0"/>
              <w:left w:val="nil"/>
              <w:bottom w:val="single" w:color="000000" w:sz="4" w:space="0"/>
              <w:right w:val="single" w:color="000000" w:sz="4" w:space="0"/>
            </w:tcBorders>
            <w:noWrap w:val="0"/>
            <w:vAlign w:val="top"/>
          </w:tcPr>
          <w:p w14:paraId="46F51B1F">
            <w:pPr>
              <w:pStyle w:val="105"/>
              <w:spacing w:before="84"/>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33A4FA9">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029486B9">
            <w:pPr>
              <w:pStyle w:val="105"/>
              <w:spacing w:before="86"/>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负责人</w:t>
            </w:r>
          </w:p>
        </w:tc>
        <w:tc>
          <w:tcPr>
            <w:tcW w:w="3572" w:type="dxa"/>
            <w:tcBorders>
              <w:top w:val="single" w:color="000000" w:sz="4" w:space="0"/>
              <w:left w:val="single" w:color="000000" w:sz="4" w:space="0"/>
              <w:bottom w:val="single" w:color="000000" w:sz="4" w:space="0"/>
              <w:right w:val="nil"/>
            </w:tcBorders>
            <w:noWrap w:val="0"/>
            <w:vAlign w:val="top"/>
          </w:tcPr>
          <w:p w14:paraId="586477E9">
            <w:pPr>
              <w:pStyle w:val="105"/>
              <w:spacing w:before="86"/>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姓名：职务：职称：</w:t>
            </w:r>
          </w:p>
        </w:tc>
        <w:tc>
          <w:tcPr>
            <w:tcW w:w="3550" w:type="dxa"/>
            <w:tcBorders>
              <w:top w:val="single" w:color="000000" w:sz="4" w:space="0"/>
              <w:left w:val="nil"/>
              <w:bottom w:val="single" w:color="000000" w:sz="4" w:space="0"/>
              <w:right w:val="single" w:color="000000" w:sz="4" w:space="0"/>
            </w:tcBorders>
            <w:noWrap w:val="0"/>
            <w:vAlign w:val="top"/>
          </w:tcPr>
          <w:p w14:paraId="58C7F8C2">
            <w:pPr>
              <w:pStyle w:val="105"/>
              <w:spacing w:before="86"/>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574B657">
        <w:tblPrEx>
          <w:tblCellMar>
            <w:top w:w="0" w:type="dxa"/>
            <w:left w:w="0" w:type="dxa"/>
            <w:bottom w:w="0" w:type="dxa"/>
            <w:right w:w="0" w:type="dxa"/>
          </w:tblCellMar>
        </w:tblPrEx>
        <w:trPr>
          <w:trHeight w:val="727"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6D326296">
            <w:pPr>
              <w:pStyle w:val="105"/>
              <w:spacing w:before="5"/>
              <w:jc w:val="both"/>
              <w:rPr>
                <w:rFonts w:hint="eastAsia" w:ascii="仿宋" w:hAnsi="仿宋" w:eastAsia="仿宋" w:cs="仿宋"/>
                <w:color w:val="auto"/>
                <w:kern w:val="2"/>
                <w:sz w:val="21"/>
                <w:szCs w:val="21"/>
                <w:highlight w:val="none"/>
              </w:rPr>
            </w:pPr>
          </w:p>
          <w:p w14:paraId="71446588">
            <w:pPr>
              <w:pStyle w:val="105"/>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联系方式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D52A4CE">
            <w:pPr>
              <w:pStyle w:val="105"/>
              <w:tabs>
                <w:tab w:val="left" w:pos="3735"/>
              </w:tabs>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联系人：</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电话：</w:t>
            </w:r>
          </w:p>
          <w:p w14:paraId="30345EB4">
            <w:pPr>
              <w:pStyle w:val="105"/>
              <w:tabs>
                <w:tab w:val="left" w:pos="3673"/>
              </w:tabs>
              <w:spacing w:before="8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传真：邮</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箱：</w:t>
            </w:r>
          </w:p>
        </w:tc>
      </w:tr>
      <w:tr w14:paraId="71AEA8DC">
        <w:tblPrEx>
          <w:tblCellMar>
            <w:top w:w="0" w:type="dxa"/>
            <w:left w:w="0" w:type="dxa"/>
            <w:bottom w:w="0" w:type="dxa"/>
            <w:right w:w="0" w:type="dxa"/>
          </w:tblCellMar>
        </w:tblPrEx>
        <w:trPr>
          <w:trHeight w:val="673"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8C0A53F">
            <w:pPr>
              <w:pStyle w:val="105"/>
              <w:spacing w:before="84"/>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基本账户</w:t>
            </w:r>
          </w:p>
        </w:tc>
        <w:tc>
          <w:tcPr>
            <w:tcW w:w="3572" w:type="dxa"/>
            <w:tcBorders>
              <w:top w:val="single" w:color="000000" w:sz="4" w:space="0"/>
              <w:left w:val="single" w:color="000000" w:sz="4" w:space="0"/>
              <w:bottom w:val="single" w:color="000000" w:sz="4" w:space="0"/>
              <w:right w:val="nil"/>
            </w:tcBorders>
            <w:noWrap w:val="0"/>
            <w:vAlign w:val="top"/>
          </w:tcPr>
          <w:p w14:paraId="07AF4E9A">
            <w:pPr>
              <w:pStyle w:val="105"/>
              <w:spacing w:before="84"/>
              <w:ind w:left="3041" w:leftChars="48" w:hanging="2940" w:hangingChars="14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名称：</w:t>
            </w:r>
          </w:p>
        </w:tc>
        <w:tc>
          <w:tcPr>
            <w:tcW w:w="3550" w:type="dxa"/>
            <w:tcBorders>
              <w:top w:val="single" w:color="000000" w:sz="4" w:space="0"/>
              <w:left w:val="nil"/>
              <w:bottom w:val="single" w:color="000000" w:sz="4" w:space="0"/>
              <w:right w:val="single" w:color="000000" w:sz="4" w:space="0"/>
            </w:tcBorders>
            <w:noWrap w:val="0"/>
            <w:vAlign w:val="top"/>
          </w:tcPr>
          <w:p w14:paraId="1BABB4BF">
            <w:pPr>
              <w:pStyle w:val="105"/>
              <w:spacing w:before="84"/>
              <w:ind w:left="105"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账号：</w:t>
            </w:r>
          </w:p>
        </w:tc>
      </w:tr>
      <w:tr w14:paraId="15E5380F">
        <w:tblPrEx>
          <w:tblCellMar>
            <w:top w:w="0" w:type="dxa"/>
            <w:left w:w="0" w:type="dxa"/>
            <w:bottom w:w="0" w:type="dxa"/>
            <w:right w:w="0" w:type="dxa"/>
          </w:tblCellMar>
        </w:tblPrEx>
        <w:trPr>
          <w:trHeight w:val="298" w:hRule="exact"/>
          <w:jc w:val="center"/>
        </w:trPr>
        <w:tc>
          <w:tcPr>
            <w:tcW w:w="1983" w:type="dxa"/>
            <w:vMerge w:val="restart"/>
            <w:tcBorders>
              <w:top w:val="single" w:color="000000" w:sz="4" w:space="0"/>
              <w:left w:val="single" w:color="000000" w:sz="4" w:space="0"/>
              <w:bottom w:val="single" w:color="000000" w:sz="4" w:space="0"/>
              <w:right w:val="single" w:color="000000" w:sz="4" w:space="0"/>
            </w:tcBorders>
            <w:noWrap w:val="0"/>
            <w:vAlign w:val="top"/>
          </w:tcPr>
          <w:p w14:paraId="5D75587B">
            <w:pPr>
              <w:pStyle w:val="105"/>
              <w:rPr>
                <w:rFonts w:hint="eastAsia" w:ascii="仿宋" w:hAnsi="仿宋" w:eastAsia="仿宋" w:cs="仿宋"/>
                <w:color w:val="auto"/>
                <w:kern w:val="2"/>
                <w:sz w:val="21"/>
                <w:szCs w:val="21"/>
                <w:highlight w:val="none"/>
              </w:rPr>
            </w:pPr>
          </w:p>
          <w:p w14:paraId="60AE0F82">
            <w:pPr>
              <w:pStyle w:val="105"/>
              <w:rPr>
                <w:rFonts w:hint="eastAsia" w:ascii="仿宋" w:hAnsi="仿宋" w:eastAsia="仿宋" w:cs="仿宋"/>
                <w:color w:val="auto"/>
                <w:kern w:val="2"/>
                <w:sz w:val="21"/>
                <w:szCs w:val="21"/>
                <w:highlight w:val="none"/>
              </w:rPr>
            </w:pPr>
          </w:p>
          <w:p w14:paraId="55710758">
            <w:pPr>
              <w:pStyle w:val="105"/>
              <w:rPr>
                <w:rFonts w:hint="eastAsia" w:ascii="仿宋" w:hAnsi="仿宋" w:eastAsia="仿宋" w:cs="仿宋"/>
                <w:color w:val="auto"/>
                <w:kern w:val="2"/>
                <w:sz w:val="21"/>
                <w:szCs w:val="21"/>
                <w:highlight w:val="none"/>
              </w:rPr>
            </w:pPr>
          </w:p>
          <w:p w14:paraId="3FA94019">
            <w:pPr>
              <w:pStyle w:val="105"/>
              <w:rPr>
                <w:rFonts w:hint="eastAsia" w:ascii="仿宋" w:hAnsi="仿宋" w:eastAsia="仿宋" w:cs="仿宋"/>
                <w:color w:val="auto"/>
                <w:kern w:val="2"/>
                <w:sz w:val="21"/>
                <w:szCs w:val="21"/>
                <w:highlight w:val="none"/>
              </w:rPr>
            </w:pPr>
          </w:p>
          <w:p w14:paraId="04DDF14D">
            <w:pPr>
              <w:pStyle w:val="105"/>
              <w:rPr>
                <w:rFonts w:hint="eastAsia" w:ascii="仿宋" w:hAnsi="仿宋" w:eastAsia="仿宋" w:cs="仿宋"/>
                <w:color w:val="auto"/>
                <w:kern w:val="2"/>
                <w:sz w:val="21"/>
                <w:szCs w:val="21"/>
                <w:highlight w:val="none"/>
              </w:rPr>
            </w:pPr>
          </w:p>
          <w:p w14:paraId="3DF2268B">
            <w:pPr>
              <w:pStyle w:val="105"/>
              <w:spacing w:before="6"/>
              <w:rPr>
                <w:rFonts w:hint="eastAsia" w:ascii="仿宋" w:hAnsi="仿宋" w:eastAsia="仿宋" w:cs="仿宋"/>
                <w:color w:val="auto"/>
                <w:kern w:val="2"/>
                <w:sz w:val="21"/>
                <w:szCs w:val="21"/>
                <w:highlight w:val="none"/>
              </w:rPr>
            </w:pPr>
          </w:p>
          <w:p w14:paraId="1BCC8881">
            <w:pPr>
              <w:pStyle w:val="105"/>
              <w:ind w:left="10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供应商关联情况</w:t>
            </w:r>
          </w:p>
        </w:tc>
        <w:tc>
          <w:tcPr>
            <w:tcW w:w="7122" w:type="dxa"/>
            <w:gridSpan w:val="2"/>
            <w:tcBorders>
              <w:top w:val="single" w:color="000000" w:sz="4" w:space="0"/>
              <w:left w:val="single" w:color="000000" w:sz="4" w:space="0"/>
              <w:bottom w:val="nil"/>
              <w:right w:val="single" w:color="000000" w:sz="4" w:space="0"/>
            </w:tcBorders>
            <w:noWrap w:val="0"/>
            <w:vAlign w:val="top"/>
          </w:tcPr>
          <w:p w14:paraId="4530FDA9">
            <w:pPr>
              <w:pStyle w:val="105"/>
              <w:spacing w:line="24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1：与我公司单位负责人为同一人的其他单位名称：</w:t>
            </w:r>
          </w:p>
        </w:tc>
      </w:tr>
      <w:tr w14:paraId="3E8484C4">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79CE">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1400DEF9">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□无；</w:t>
            </w:r>
          </w:p>
        </w:tc>
      </w:tr>
      <w:tr w14:paraId="1A998032">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4A6E1">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4BFE460C">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有：。</w:t>
            </w:r>
          </w:p>
        </w:tc>
      </w:tr>
      <w:tr w14:paraId="5F5C251E">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4AE6C">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85BE8E4">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2、与我公司存在控股、管理关系的其他单位的名称：</w:t>
            </w:r>
          </w:p>
        </w:tc>
      </w:tr>
      <w:tr w14:paraId="1BAD7547">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EBD0">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7CBBF83F">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□无；</w:t>
            </w:r>
          </w:p>
        </w:tc>
      </w:tr>
      <w:tr w14:paraId="13F9E3CD">
        <w:tblPrEx>
          <w:tblCellMar>
            <w:top w:w="0" w:type="dxa"/>
            <w:left w:w="0" w:type="dxa"/>
            <w:bottom w:w="0" w:type="dxa"/>
            <w:right w:w="0" w:type="dxa"/>
          </w:tblCellMar>
        </w:tblPrEx>
        <w:trPr>
          <w:trHeight w:val="335"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B680E">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0C833A4">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有：。</w:t>
            </w:r>
          </w:p>
        </w:tc>
      </w:tr>
      <w:tr w14:paraId="5151CF42">
        <w:tblPrEx>
          <w:tblCellMar>
            <w:top w:w="0" w:type="dxa"/>
            <w:left w:w="0" w:type="dxa"/>
            <w:bottom w:w="0" w:type="dxa"/>
            <w:right w:w="0" w:type="dxa"/>
          </w:tblCellMar>
        </w:tblPrEx>
        <w:trPr>
          <w:trHeight w:val="358"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F17DD">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10A30F2E">
            <w:pPr>
              <w:pStyle w:val="105"/>
              <w:spacing w:before="8"/>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备注：</w:t>
            </w:r>
          </w:p>
        </w:tc>
      </w:tr>
      <w:tr w14:paraId="5D680E19">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6342">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0B27EE70">
            <w:pPr>
              <w:pStyle w:val="105"/>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1、“单位负责人”是指单位法定代表人或者法律、行政法规规定代表</w:t>
            </w:r>
          </w:p>
        </w:tc>
      </w:tr>
      <w:tr w14:paraId="3DB27437">
        <w:tblPrEx>
          <w:tblCellMar>
            <w:top w:w="0" w:type="dxa"/>
            <w:left w:w="0" w:type="dxa"/>
            <w:bottom w:w="0" w:type="dxa"/>
            <w:right w:w="0" w:type="dxa"/>
          </w:tblCellMar>
        </w:tblPrEx>
        <w:trPr>
          <w:trHeight w:val="35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6040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D801DD0">
            <w:pPr>
              <w:pStyle w:val="105"/>
              <w:spacing w:before="4"/>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单位行使职权的主要负责人。</w:t>
            </w:r>
          </w:p>
        </w:tc>
      </w:tr>
      <w:tr w14:paraId="4AE26200">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2CCD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B8E690F">
            <w:pPr>
              <w:pStyle w:val="105"/>
              <w:spacing w:before="9"/>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2、本条所规定的控股、管理关系仅限于直接控股、直接管理关系，不</w:t>
            </w:r>
          </w:p>
        </w:tc>
      </w:tr>
      <w:tr w14:paraId="6C9FD7D0">
        <w:tblPrEx>
          <w:tblCellMar>
            <w:top w:w="0" w:type="dxa"/>
            <w:left w:w="0" w:type="dxa"/>
            <w:bottom w:w="0" w:type="dxa"/>
            <w:right w:w="0" w:type="dxa"/>
          </w:tblCellMar>
        </w:tblPrEx>
        <w:trPr>
          <w:trHeight w:val="359"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5BEC">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single" w:color="000000" w:sz="4" w:space="0"/>
              <w:right w:val="single" w:color="000000" w:sz="4" w:space="0"/>
            </w:tcBorders>
            <w:noWrap w:val="0"/>
            <w:vAlign w:val="top"/>
          </w:tcPr>
          <w:p w14:paraId="7AC9BD6F">
            <w:pPr>
              <w:pStyle w:val="105"/>
              <w:spacing w:before="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包括间接的控股或管理关系。</w:t>
            </w:r>
          </w:p>
        </w:tc>
      </w:tr>
    </w:tbl>
    <w:p w14:paraId="65F14986">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供应商名称[电子章]：</w:t>
      </w:r>
    </w:p>
    <w:p w14:paraId="4BB17E2D">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法定代表人或其委托代理人（签字或电子签章）：</w:t>
      </w:r>
    </w:p>
    <w:p w14:paraId="2F12777E">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日期：</w:t>
      </w:r>
    </w:p>
    <w:p w14:paraId="62082E81">
      <w:pPr>
        <w:spacing w:line="460" w:lineRule="atLeas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lang w:val="en-US" w:eastAsia="zh-CN"/>
        </w:rPr>
        <w:t>证明资料：</w:t>
      </w:r>
    </w:p>
    <w:p w14:paraId="69C7CAF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4EA8FC18">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1D0F52B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69F9F979">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22DFB3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61BEC7B9">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5795F78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0881B9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06C7A9B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6619C2CE">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44198965">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4）缴纳社会保障资金证明：提供社保机构出具的近三月内任意一月的社保缴纳证明，当月新成立公司无需提供；</w:t>
      </w:r>
    </w:p>
    <w:p w14:paraId="741F295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794104AA">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18C0F7C8">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132FB93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75BC047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7D507E72">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313AFB7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D402BB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72B9A1F6">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082604F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5E6A169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0306F84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2409A933">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上述不良信用记录；（信用中国、中国政府采购网网站查询截图）</w:t>
      </w:r>
    </w:p>
    <w:p w14:paraId="456F31B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0649655">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65D79F9F">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5767D7C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38DEF86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864618E">
      <w:pPr>
        <w:widowControl/>
        <w:spacing w:line="360" w:lineRule="auto"/>
        <w:rPr>
          <w:rFonts w:hint="eastAsia" w:ascii="仿宋" w:hAnsi="仿宋" w:eastAsia="仿宋" w:cs="仿宋"/>
          <w:b/>
          <w:bCs/>
          <w:color w:val="auto"/>
          <w:kern w:val="2"/>
          <w:sz w:val="24"/>
          <w:szCs w:val="20"/>
          <w:highlight w:val="none"/>
          <w:lang w:eastAsia="zh-CN"/>
        </w:rPr>
      </w:pPr>
      <w:r>
        <w:rPr>
          <w:rFonts w:hint="eastAsia" w:ascii="仿宋" w:hAnsi="仿宋" w:eastAsia="仿宋" w:cs="仿宋"/>
          <w:b/>
          <w:bCs/>
          <w:color w:val="auto"/>
          <w:kern w:val="2"/>
          <w:sz w:val="32"/>
          <w:szCs w:val="32"/>
          <w:highlight w:val="none"/>
        </w:rPr>
        <w:t>二、</w:t>
      </w:r>
      <w:r>
        <w:rPr>
          <w:rFonts w:hint="eastAsia" w:ascii="仿宋" w:hAnsi="仿宋" w:eastAsia="仿宋" w:cs="仿宋"/>
          <w:b/>
          <w:bCs/>
          <w:color w:val="auto"/>
          <w:kern w:val="2"/>
          <w:sz w:val="32"/>
          <w:szCs w:val="32"/>
          <w:highlight w:val="none"/>
          <w:lang w:eastAsia="zh-CN"/>
        </w:rPr>
        <w:t>响应文件</w:t>
      </w:r>
    </w:p>
    <w:p w14:paraId="333EEB0C">
      <w:pPr>
        <w:pStyle w:val="2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auto"/>
          <w:sz w:val="30"/>
          <w:szCs w:val="30"/>
          <w:highlight w:val="none"/>
        </w:rPr>
      </w:pPr>
      <w:bookmarkStart w:id="52" w:name="_Toc16638"/>
      <w:bookmarkStart w:id="53" w:name="_Toc1420"/>
      <w:r>
        <w:rPr>
          <w:rFonts w:hint="eastAsia" w:ascii="仿宋" w:hAnsi="仿宋" w:eastAsia="仿宋" w:cs="仿宋"/>
          <w:color w:val="auto"/>
          <w:sz w:val="30"/>
          <w:szCs w:val="30"/>
          <w:highlight w:val="none"/>
          <w:lang w:val="en-US" w:eastAsia="zh-CN"/>
        </w:rPr>
        <w:t>1、响应</w:t>
      </w:r>
      <w:r>
        <w:rPr>
          <w:rFonts w:hint="eastAsia" w:ascii="仿宋" w:hAnsi="仿宋" w:eastAsia="仿宋" w:cs="仿宋"/>
          <w:color w:val="auto"/>
          <w:sz w:val="30"/>
          <w:szCs w:val="30"/>
          <w:highlight w:val="none"/>
        </w:rPr>
        <w:t>函</w:t>
      </w:r>
      <w:bookmarkEnd w:id="52"/>
      <w:bookmarkEnd w:id="53"/>
    </w:p>
    <w:p w14:paraId="3072E21B">
      <w:pPr>
        <w:adjustRightInd w:val="0"/>
        <w:snapToGrid w:val="0"/>
        <w:spacing w:line="360" w:lineRule="auto"/>
        <w:ind w:right="630" w:right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（采购人或采购代理机构）：</w:t>
      </w:r>
    </w:p>
    <w:p w14:paraId="3E2C0C1D">
      <w:pPr>
        <w:adjustRightInd w:val="0"/>
        <w:snapToGrid w:val="0"/>
        <w:spacing w:line="360" w:lineRule="auto"/>
        <w:ind w:right="-21" w:rightChars="-1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w:t>
      </w:r>
      <w:r>
        <w:rPr>
          <w:rFonts w:hint="eastAsia" w:ascii="仿宋" w:hAnsi="仿宋" w:eastAsia="仿宋" w:cs="仿宋"/>
          <w:color w:val="auto"/>
          <w:sz w:val="24"/>
          <w:highlight w:val="none"/>
          <w:lang w:eastAsia="zh-CN"/>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提交加密电子响应文件一份，并以形式出具的金额为人民币元的</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保证金。</w:t>
      </w:r>
    </w:p>
    <w:p w14:paraId="386C8DB7">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2054E25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总价详见报价一览表。</w:t>
      </w:r>
    </w:p>
    <w:p w14:paraId="348B4B3E">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（2）本项目有效期为自递交响应文件截止之日起个日历日。</w:t>
      </w:r>
    </w:p>
    <w:p w14:paraId="37722E1F">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文件，包括所有补充通知（如有）。</w:t>
      </w:r>
    </w:p>
    <w:p w14:paraId="2486C6AC">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（4）在规定的时间后，遵守</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文件中有关保证金的规定。</w:t>
      </w:r>
    </w:p>
    <w:p w14:paraId="7B9201C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（5）在领取中标（成交）通知书的同时按</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文件规定的形式，向贵方一次性支付代理服务费。</w:t>
      </w:r>
    </w:p>
    <w:p w14:paraId="278D015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（6）按照贵方要求，提供与其响应有关的一切数据或资料，完全理解贵方不一定接受最低价的响应。</w:t>
      </w:r>
    </w:p>
    <w:p w14:paraId="57DC4AC3">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（7）按照</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文件的规定履行合同责任和义务。</w:t>
      </w:r>
    </w:p>
    <w:p w14:paraId="4756D7F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（8）我方承诺响应文件中的证明材料真实、合法、有效。</w:t>
      </w:r>
    </w:p>
    <w:p w14:paraId="7EE02872">
      <w:pPr>
        <w:tabs>
          <w:tab w:val="left" w:pos="10467"/>
        </w:tabs>
        <w:adjustRightInd w:val="0"/>
        <w:snapToGrid w:val="0"/>
        <w:spacing w:line="360" w:lineRule="auto"/>
        <w:ind w:right="1050" w:rightChars="500"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与本会议有关的一切往来通讯请寄：</w:t>
      </w:r>
    </w:p>
    <w:p w14:paraId="0AFA079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p>
    <w:p w14:paraId="350D64A7">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w:t>
      </w:r>
    </w:p>
    <w:p w14:paraId="328A36F1">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w:t>
      </w:r>
    </w:p>
    <w:p w14:paraId="3D345A52">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p>
    <w:p w14:paraId="45D5CF0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邮箱：</w:t>
      </w:r>
    </w:p>
    <w:p w14:paraId="3F23C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75A81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p>
    <w:p w14:paraId="2C08E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1B0BBB86">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说明：除可填报项目外，对本</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函的任何修改将被视为非实质性响应，从而导致该</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被拒绝。</w:t>
      </w:r>
    </w:p>
    <w:p w14:paraId="5FED3D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bookmarkStart w:id="54" w:name="_Toc29696"/>
      <w:bookmarkStart w:id="55" w:name="_Toc5014_WPSOffice_Level1"/>
    </w:p>
    <w:p w14:paraId="26CB85B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p>
    <w:p w14:paraId="67E209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报价一览表</w:t>
      </w:r>
      <w:bookmarkEnd w:id="54"/>
      <w:bookmarkEnd w:id="55"/>
    </w:p>
    <w:p w14:paraId="2FB4CA00">
      <w:pPr>
        <w:adjustRightInd w:val="0"/>
        <w:snapToGrid w:val="0"/>
        <w:spacing w:line="360" w:lineRule="auto"/>
        <w:ind w:right="105" w:rightChars="50" w:firstLine="479"/>
        <w:jc w:val="left"/>
        <w:rPr>
          <w:rFonts w:hint="eastAsia" w:ascii="仿宋" w:hAnsi="仿宋" w:eastAsia="仿宋" w:cs="仿宋"/>
          <w:b/>
          <w:bCs/>
          <w:color w:val="auto"/>
          <w:szCs w:val="21"/>
          <w:highlight w:val="none"/>
        </w:rPr>
      </w:pPr>
    </w:p>
    <w:p w14:paraId="05B37618">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项目名称：项目编号：</w:t>
      </w:r>
    </w:p>
    <w:p w14:paraId="57CC9259">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报价单位：人民币</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元</w:t>
      </w:r>
    </w:p>
    <w:tbl>
      <w:tblPr>
        <w:tblStyle w:val="3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4848"/>
      </w:tblGrid>
      <w:tr w14:paraId="542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50" w:type="dxa"/>
            <w:noWrap w:val="0"/>
            <w:vAlign w:val="center"/>
          </w:tcPr>
          <w:p w14:paraId="3DB0FA21">
            <w:pPr>
              <w:tabs>
                <w:tab w:val="left" w:pos="9135"/>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848" w:type="dxa"/>
            <w:noWrap w:val="0"/>
            <w:vAlign w:val="center"/>
          </w:tcPr>
          <w:p w14:paraId="2B42E8FC">
            <w:pPr>
              <w:pStyle w:val="32"/>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6B3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950" w:type="dxa"/>
            <w:noWrap w:val="0"/>
            <w:vAlign w:val="center"/>
          </w:tcPr>
          <w:p w14:paraId="7ACB1518">
            <w:pPr>
              <w:tabs>
                <w:tab w:val="left" w:pos="9135"/>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w:t>
            </w:r>
          </w:p>
        </w:tc>
        <w:tc>
          <w:tcPr>
            <w:tcW w:w="4848" w:type="dxa"/>
            <w:noWrap w:val="0"/>
            <w:vAlign w:val="center"/>
          </w:tcPr>
          <w:p w14:paraId="31324276">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大写（元）：；</w:t>
            </w:r>
          </w:p>
          <w:p w14:paraId="2277C642">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小写（元）：</w:t>
            </w:r>
            <w:bookmarkStart w:id="56" w:name="OLE_LINK51"/>
            <w:r>
              <w:rPr>
                <w:rFonts w:hint="eastAsia" w:ascii="仿宋" w:hAnsi="仿宋" w:eastAsia="仿宋" w:cs="仿宋"/>
                <w:color w:val="auto"/>
                <w:sz w:val="24"/>
                <w:szCs w:val="24"/>
                <w:highlight w:val="none"/>
              </w:rPr>
              <w:t>；</w:t>
            </w:r>
            <w:bookmarkEnd w:id="56"/>
          </w:p>
        </w:tc>
      </w:tr>
      <w:tr w14:paraId="4C6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950" w:type="dxa"/>
            <w:noWrap w:val="0"/>
            <w:vAlign w:val="center"/>
          </w:tcPr>
          <w:p w14:paraId="6BE9FA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供货期</w:t>
            </w:r>
          </w:p>
        </w:tc>
        <w:tc>
          <w:tcPr>
            <w:tcW w:w="4848" w:type="dxa"/>
            <w:noWrap w:val="0"/>
            <w:vAlign w:val="center"/>
          </w:tcPr>
          <w:p w14:paraId="438DC573">
            <w:pPr>
              <w:tabs>
                <w:tab w:val="left" w:pos="9135"/>
              </w:tabs>
              <w:spacing w:line="360" w:lineRule="auto"/>
              <w:rPr>
                <w:rFonts w:hint="eastAsia" w:ascii="仿宋" w:hAnsi="仿宋" w:eastAsia="仿宋" w:cs="仿宋"/>
                <w:color w:val="auto"/>
                <w:sz w:val="24"/>
                <w:szCs w:val="24"/>
                <w:highlight w:val="none"/>
              </w:rPr>
            </w:pPr>
          </w:p>
        </w:tc>
      </w:tr>
      <w:tr w14:paraId="64C7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50" w:type="dxa"/>
            <w:noWrap w:val="0"/>
            <w:vAlign w:val="center"/>
          </w:tcPr>
          <w:p w14:paraId="5C32F5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848" w:type="dxa"/>
            <w:noWrap w:val="0"/>
            <w:vAlign w:val="center"/>
          </w:tcPr>
          <w:p w14:paraId="665A3BC0">
            <w:pPr>
              <w:tabs>
                <w:tab w:val="left" w:pos="9135"/>
              </w:tabs>
              <w:spacing w:line="360" w:lineRule="auto"/>
              <w:ind w:firstLine="0" w:firstLineChars="0"/>
              <w:rPr>
                <w:rFonts w:hint="eastAsia" w:ascii="仿宋" w:hAnsi="仿宋" w:eastAsia="仿宋" w:cs="仿宋"/>
                <w:color w:val="auto"/>
                <w:sz w:val="24"/>
                <w:szCs w:val="24"/>
                <w:highlight w:val="none"/>
              </w:rPr>
            </w:pPr>
          </w:p>
        </w:tc>
      </w:tr>
      <w:tr w14:paraId="7969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98" w:type="dxa"/>
            <w:gridSpan w:val="2"/>
            <w:noWrap w:val="0"/>
            <w:vAlign w:val="center"/>
          </w:tcPr>
          <w:p w14:paraId="73B59F6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w:t>
            </w:r>
            <w:r>
              <w:rPr>
                <w:rFonts w:hint="eastAsia" w:ascii="仿宋" w:hAnsi="仿宋" w:eastAsia="仿宋" w:cs="仿宋"/>
                <w:color w:val="auto"/>
                <w:sz w:val="24"/>
                <w:szCs w:val="24"/>
                <w:highlight w:val="none"/>
                <w:lang w:val="zh-TW"/>
              </w:rPr>
              <w:t>但不限于</w:t>
            </w:r>
            <w:r>
              <w:rPr>
                <w:rFonts w:hint="eastAsia" w:ascii="仿宋" w:hAnsi="仿宋" w:eastAsia="仿宋" w:cs="仿宋"/>
                <w:color w:val="auto"/>
                <w:sz w:val="24"/>
                <w:szCs w:val="24"/>
                <w:highlight w:val="none"/>
              </w:rPr>
              <w:t>全部货品的供给、税费、包装费、运输、配送、装卸等和保险费，以及已支付或将支付的营业税和其它税费等所有费用</w:t>
            </w:r>
            <w:r>
              <w:rPr>
                <w:rFonts w:hint="eastAsia" w:ascii="仿宋" w:hAnsi="仿宋" w:eastAsia="仿宋" w:cs="仿宋"/>
                <w:color w:val="auto"/>
                <w:sz w:val="24"/>
                <w:szCs w:val="24"/>
                <w:highlight w:val="none"/>
                <w:lang w:val="zh-TW"/>
              </w:rPr>
              <w:t>，最终达到甲方使用要求。</w:t>
            </w:r>
          </w:p>
        </w:tc>
      </w:tr>
    </w:tbl>
    <w:p w14:paraId="41F5B643">
      <w:pPr>
        <w:pStyle w:val="81"/>
        <w:spacing w:line="44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注：1.表中大小写不一致时，以大写为准。</w:t>
      </w:r>
    </w:p>
    <w:p w14:paraId="61D026AD">
      <w:pPr>
        <w:spacing w:line="440" w:lineRule="exact"/>
        <w:rPr>
          <w:rFonts w:hint="eastAsia" w:ascii="仿宋" w:hAnsi="仿宋" w:eastAsia="仿宋" w:cs="仿宋"/>
          <w:bCs/>
          <w:color w:val="auto"/>
          <w:sz w:val="24"/>
          <w:szCs w:val="24"/>
          <w:highlight w:val="none"/>
        </w:rPr>
      </w:pPr>
    </w:p>
    <w:p w14:paraId="42753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D8437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p>
    <w:p w14:paraId="5F5657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0E7364C0">
      <w:pPr>
        <w:spacing w:line="440" w:lineRule="exact"/>
        <w:rPr>
          <w:rFonts w:hint="eastAsia" w:ascii="仿宋" w:hAnsi="仿宋" w:eastAsia="仿宋" w:cs="仿宋"/>
          <w:b/>
          <w:bCs/>
          <w:color w:val="auto"/>
          <w:sz w:val="24"/>
          <w:szCs w:val="24"/>
          <w:highlight w:val="none"/>
        </w:rPr>
      </w:pPr>
    </w:p>
    <w:p w14:paraId="74E771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sectPr>
          <w:footerReference r:id="rId5" w:type="default"/>
          <w:pgSz w:w="11906" w:h="16838"/>
          <w:pgMar w:top="1418" w:right="1196" w:bottom="1418" w:left="1701" w:header="851" w:footer="590" w:gutter="0"/>
          <w:pgNumType w:fmt="decimal"/>
          <w:cols w:space="720" w:num="1"/>
          <w:docGrid w:linePitch="312" w:charSpace="-1185"/>
        </w:sectPr>
      </w:pPr>
    </w:p>
    <w:p w14:paraId="5A45A5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分项报价表</w:t>
      </w:r>
      <w:r>
        <w:rPr>
          <w:rFonts w:hint="eastAsia" w:ascii="仿宋" w:hAnsi="仿宋" w:eastAsia="仿宋" w:cs="仿宋"/>
          <w:b/>
          <w:color w:val="auto"/>
          <w:sz w:val="30"/>
          <w:szCs w:val="30"/>
          <w:highlight w:val="none"/>
          <w:lang w:val="en-US" w:eastAsia="zh-CN"/>
        </w:rPr>
        <w:t>-1</w:t>
      </w:r>
    </w:p>
    <w:p w14:paraId="7EA82CC0">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项目编号：</w:t>
      </w:r>
    </w:p>
    <w:p w14:paraId="6C1BAE86">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　　　　　　　　　　</w:t>
      </w:r>
    </w:p>
    <w:tbl>
      <w:tblPr>
        <w:tblStyle w:val="34"/>
        <w:tblW w:w="14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5"/>
        <w:gridCol w:w="1818"/>
        <w:gridCol w:w="1219"/>
        <w:gridCol w:w="1345"/>
        <w:gridCol w:w="1345"/>
        <w:gridCol w:w="1348"/>
        <w:gridCol w:w="929"/>
        <w:gridCol w:w="834"/>
        <w:gridCol w:w="1233"/>
        <w:gridCol w:w="1067"/>
        <w:gridCol w:w="1209"/>
      </w:tblGrid>
      <w:tr w14:paraId="660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noWrap w:val="0"/>
            <w:vAlign w:val="center"/>
          </w:tcPr>
          <w:p w14:paraId="17AEE9B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75" w:type="dxa"/>
            <w:noWrap w:val="0"/>
            <w:vAlign w:val="center"/>
          </w:tcPr>
          <w:p w14:paraId="1DBB0705">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设备名称</w:t>
            </w:r>
          </w:p>
        </w:tc>
        <w:tc>
          <w:tcPr>
            <w:tcW w:w="1818" w:type="dxa"/>
            <w:noWrap w:val="0"/>
            <w:vAlign w:val="center"/>
          </w:tcPr>
          <w:p w14:paraId="7C2FB67C">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组成设备名称</w:t>
            </w:r>
          </w:p>
        </w:tc>
        <w:tc>
          <w:tcPr>
            <w:tcW w:w="1219" w:type="dxa"/>
            <w:noWrap w:val="0"/>
            <w:vAlign w:val="center"/>
          </w:tcPr>
          <w:p w14:paraId="3DE3AC11">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345" w:type="dxa"/>
            <w:noWrap w:val="0"/>
            <w:vAlign w:val="center"/>
          </w:tcPr>
          <w:p w14:paraId="683C741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1345" w:type="dxa"/>
            <w:noWrap w:val="0"/>
            <w:vAlign w:val="center"/>
          </w:tcPr>
          <w:p w14:paraId="418496B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生产厂家或产地</w:t>
            </w:r>
          </w:p>
        </w:tc>
        <w:tc>
          <w:tcPr>
            <w:tcW w:w="1348" w:type="dxa"/>
            <w:noWrap w:val="0"/>
            <w:vAlign w:val="center"/>
          </w:tcPr>
          <w:p w14:paraId="1BE446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w:t>
            </w:r>
          </w:p>
        </w:tc>
        <w:tc>
          <w:tcPr>
            <w:tcW w:w="929" w:type="dxa"/>
            <w:noWrap w:val="0"/>
            <w:vAlign w:val="center"/>
          </w:tcPr>
          <w:p w14:paraId="22DBA400">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834" w:type="dxa"/>
            <w:noWrap w:val="0"/>
            <w:vAlign w:val="center"/>
          </w:tcPr>
          <w:p w14:paraId="7C7BA71E">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233" w:type="dxa"/>
            <w:noWrap w:val="0"/>
            <w:vAlign w:val="center"/>
          </w:tcPr>
          <w:p w14:paraId="5DEE7DE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含税单价（元）</w:t>
            </w:r>
          </w:p>
        </w:tc>
        <w:tc>
          <w:tcPr>
            <w:tcW w:w="1067" w:type="dxa"/>
            <w:noWrap w:val="0"/>
            <w:vAlign w:val="center"/>
          </w:tcPr>
          <w:p w14:paraId="0312ABE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p w14:paraId="26205952">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1209" w:type="dxa"/>
            <w:noWrap w:val="0"/>
            <w:vAlign w:val="center"/>
          </w:tcPr>
          <w:p w14:paraId="3057231B">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5567B588">
            <w:pP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国产或进口</w:t>
            </w:r>
            <w:r>
              <w:rPr>
                <w:rFonts w:hint="eastAsia" w:ascii="仿宋" w:hAnsi="仿宋" w:eastAsia="仿宋" w:cs="仿宋"/>
                <w:color w:val="auto"/>
                <w:kern w:val="0"/>
                <w:sz w:val="24"/>
                <w:szCs w:val="24"/>
                <w:highlight w:val="none"/>
                <w:lang w:eastAsia="zh-CN"/>
              </w:rPr>
              <w:t>）</w:t>
            </w:r>
          </w:p>
        </w:tc>
      </w:tr>
      <w:tr w14:paraId="0444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05" w:type="dxa"/>
            <w:noWrap w:val="0"/>
            <w:vAlign w:val="center"/>
          </w:tcPr>
          <w:p w14:paraId="7E2A34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75" w:type="dxa"/>
            <w:noWrap w:val="0"/>
            <w:vAlign w:val="center"/>
          </w:tcPr>
          <w:p w14:paraId="4E78291B">
            <w:pPr>
              <w:jc w:val="center"/>
              <w:rPr>
                <w:rFonts w:hint="eastAsia" w:ascii="仿宋" w:hAnsi="仿宋" w:eastAsia="仿宋" w:cs="仿宋"/>
                <w:i w:val="0"/>
                <w:iCs w:val="0"/>
                <w:color w:val="auto"/>
                <w:kern w:val="2"/>
                <w:sz w:val="24"/>
                <w:szCs w:val="24"/>
                <w:highlight w:val="none"/>
                <w:u w:val="none"/>
                <w:lang w:val="en-US" w:eastAsia="zh-CN" w:bidi="ar-SA"/>
              </w:rPr>
            </w:pPr>
          </w:p>
        </w:tc>
        <w:tc>
          <w:tcPr>
            <w:tcW w:w="1818" w:type="dxa"/>
            <w:noWrap w:val="0"/>
            <w:vAlign w:val="center"/>
          </w:tcPr>
          <w:p w14:paraId="30122395">
            <w:pPr>
              <w:jc w:val="center"/>
              <w:rPr>
                <w:rFonts w:hint="eastAsia" w:ascii="仿宋" w:hAnsi="仿宋" w:eastAsia="仿宋" w:cs="仿宋"/>
                <w:i w:val="0"/>
                <w:iCs w:val="0"/>
                <w:color w:val="auto"/>
                <w:kern w:val="2"/>
                <w:sz w:val="24"/>
                <w:szCs w:val="24"/>
                <w:highlight w:val="none"/>
                <w:u w:val="none"/>
                <w:lang w:val="en-US" w:eastAsia="zh-CN" w:bidi="ar-SA"/>
              </w:rPr>
            </w:pPr>
          </w:p>
        </w:tc>
        <w:tc>
          <w:tcPr>
            <w:tcW w:w="1219" w:type="dxa"/>
            <w:noWrap w:val="0"/>
            <w:vAlign w:val="center"/>
          </w:tcPr>
          <w:p w14:paraId="55A02708">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7A08507A">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031833ED">
            <w:pPr>
              <w:spacing w:line="400" w:lineRule="atLeast"/>
              <w:jc w:val="center"/>
              <w:rPr>
                <w:rFonts w:hint="eastAsia" w:ascii="仿宋" w:hAnsi="仿宋" w:eastAsia="仿宋" w:cs="仿宋"/>
                <w:color w:val="auto"/>
                <w:kern w:val="0"/>
                <w:sz w:val="24"/>
                <w:szCs w:val="24"/>
                <w:highlight w:val="none"/>
              </w:rPr>
            </w:pPr>
          </w:p>
        </w:tc>
        <w:tc>
          <w:tcPr>
            <w:tcW w:w="1348" w:type="dxa"/>
            <w:noWrap w:val="0"/>
            <w:vAlign w:val="center"/>
          </w:tcPr>
          <w:p w14:paraId="35A1ADFD">
            <w:pPr>
              <w:spacing w:line="400" w:lineRule="atLeast"/>
              <w:jc w:val="center"/>
              <w:rPr>
                <w:rFonts w:hint="eastAsia" w:ascii="仿宋" w:hAnsi="仿宋" w:eastAsia="仿宋" w:cs="仿宋"/>
                <w:color w:val="auto"/>
                <w:kern w:val="0"/>
                <w:sz w:val="24"/>
                <w:szCs w:val="24"/>
                <w:highlight w:val="none"/>
              </w:rPr>
            </w:pPr>
          </w:p>
        </w:tc>
        <w:tc>
          <w:tcPr>
            <w:tcW w:w="929" w:type="dxa"/>
            <w:noWrap w:val="0"/>
            <w:vAlign w:val="center"/>
          </w:tcPr>
          <w:p w14:paraId="7C9DE7D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834" w:type="dxa"/>
            <w:noWrap w:val="0"/>
            <w:vAlign w:val="center"/>
          </w:tcPr>
          <w:p w14:paraId="607F4C3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233" w:type="dxa"/>
            <w:noWrap w:val="0"/>
            <w:vAlign w:val="center"/>
          </w:tcPr>
          <w:p w14:paraId="6E6B359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067" w:type="dxa"/>
            <w:noWrap w:val="0"/>
            <w:vAlign w:val="center"/>
          </w:tcPr>
          <w:p w14:paraId="309125D0">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1209" w:type="dxa"/>
            <w:noWrap w:val="0"/>
            <w:vAlign w:val="center"/>
          </w:tcPr>
          <w:p w14:paraId="57406C52">
            <w:pPr>
              <w:jc w:val="center"/>
              <w:textAlignment w:val="center"/>
              <w:rPr>
                <w:rFonts w:hint="eastAsia" w:ascii="仿宋" w:hAnsi="仿宋" w:eastAsia="仿宋" w:cs="仿宋"/>
                <w:color w:val="auto"/>
                <w:kern w:val="0"/>
                <w:sz w:val="24"/>
                <w:szCs w:val="24"/>
                <w:highlight w:val="none"/>
              </w:rPr>
            </w:pPr>
          </w:p>
        </w:tc>
      </w:tr>
      <w:tr w14:paraId="777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5" w:type="dxa"/>
            <w:noWrap w:val="0"/>
            <w:vAlign w:val="center"/>
          </w:tcPr>
          <w:p w14:paraId="7A9C8C00">
            <w:pPr>
              <w:spacing w:line="400" w:lineRule="atLeast"/>
              <w:jc w:val="center"/>
              <w:rPr>
                <w:rFonts w:hint="eastAsia" w:ascii="仿宋" w:hAnsi="仿宋" w:eastAsia="仿宋" w:cs="仿宋"/>
                <w:color w:val="auto"/>
                <w:kern w:val="0"/>
                <w:sz w:val="24"/>
                <w:szCs w:val="24"/>
                <w:highlight w:val="none"/>
              </w:rPr>
            </w:pPr>
          </w:p>
        </w:tc>
        <w:tc>
          <w:tcPr>
            <w:tcW w:w="8850" w:type="dxa"/>
            <w:gridSpan w:val="6"/>
            <w:noWrap w:val="0"/>
            <w:vAlign w:val="center"/>
          </w:tcPr>
          <w:p w14:paraId="55358543">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总报价</w:t>
            </w:r>
          </w:p>
        </w:tc>
        <w:tc>
          <w:tcPr>
            <w:tcW w:w="5272" w:type="dxa"/>
            <w:gridSpan w:val="5"/>
            <w:noWrap w:val="0"/>
            <w:vAlign w:val="center"/>
          </w:tcPr>
          <w:p w14:paraId="5F0E22F1">
            <w:pPr>
              <w:spacing w:line="40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p>
          <w:p w14:paraId="0FE94E5E">
            <w:pPr>
              <w:spacing w:line="400" w:lineRule="atLeas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小写：</w:t>
            </w:r>
            <w:r>
              <w:rPr>
                <w:rFonts w:hint="eastAsia" w:ascii="仿宋" w:hAnsi="仿宋" w:eastAsia="仿宋" w:cs="仿宋"/>
                <w:color w:val="auto"/>
                <w:kern w:val="0"/>
                <w:sz w:val="24"/>
                <w:szCs w:val="24"/>
                <w:highlight w:val="none"/>
                <w:lang w:val="en-US" w:eastAsia="zh-CN"/>
              </w:rPr>
              <w:t>元</w:t>
            </w:r>
          </w:p>
        </w:tc>
      </w:tr>
    </w:tbl>
    <w:p w14:paraId="7A03E9F0">
      <w:pPr>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说明：分项报价表内容满足询价文件中“采购需求”的要求，且没有缺项漏项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需逐一列出所供产品的生产厂家及品牌规格参数，医疗设备需附产品注册证，否则报价无效</w:t>
      </w:r>
      <w:r>
        <w:rPr>
          <w:rFonts w:hint="eastAsia" w:ascii="仿宋" w:hAnsi="仿宋" w:eastAsia="仿宋" w:cs="仿宋"/>
          <w:color w:val="auto"/>
          <w:sz w:val="24"/>
          <w:szCs w:val="24"/>
          <w:highlight w:val="none"/>
          <w:lang w:val="zh-TW"/>
        </w:rPr>
        <w:t>。</w:t>
      </w:r>
    </w:p>
    <w:p w14:paraId="69B59BF9">
      <w:pPr>
        <w:pStyle w:val="10"/>
        <w:rPr>
          <w:rFonts w:hint="eastAsia"/>
          <w:color w:val="auto"/>
          <w:highlight w:val="none"/>
          <w:lang w:val="zh-TW"/>
        </w:rPr>
      </w:pPr>
    </w:p>
    <w:p w14:paraId="585D20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66400E1">
      <w:pPr>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u w:val="single"/>
        </w:rPr>
        <w:t>　　　　　　　　　　　　</w:t>
      </w:r>
    </w:p>
    <w:p w14:paraId="255FB08D">
      <w:pPr>
        <w:pStyle w:val="14"/>
        <w:ind w:left="0"/>
        <w:rPr>
          <w:rFonts w:hint="eastAsia" w:ascii="仿宋" w:hAnsi="仿宋" w:eastAsia="仿宋" w:cs="仿宋"/>
          <w:color w:val="auto"/>
          <w:sz w:val="24"/>
          <w:szCs w:val="24"/>
          <w:highlight w:val="none"/>
        </w:rPr>
        <w:sectPr>
          <w:pgSz w:w="16838" w:h="11906" w:orient="landscape"/>
          <w:pgMar w:top="1701" w:right="1418" w:bottom="1196" w:left="1418" w:header="851" w:footer="590" w:gutter="0"/>
          <w:pgNumType w:fmt="decimal"/>
          <w:cols w:space="720" w:num="1"/>
          <w:docGrid w:linePitch="312" w:charSpace="-1185"/>
        </w:sectPr>
      </w:pPr>
      <w:r>
        <w:rPr>
          <w:rFonts w:hint="eastAsia" w:ascii="仿宋" w:hAnsi="仿宋" w:eastAsia="仿宋" w:cs="仿宋"/>
          <w:color w:val="auto"/>
          <w:sz w:val="24"/>
          <w:szCs w:val="24"/>
          <w:highlight w:val="none"/>
        </w:rPr>
        <w:t>日期：年月日</w:t>
      </w:r>
    </w:p>
    <w:p w14:paraId="479E41F7">
      <w:pPr>
        <w:rPr>
          <w:rFonts w:hint="eastAsia"/>
        </w:rPr>
      </w:pPr>
    </w:p>
    <w:p w14:paraId="3977C93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关于资格的声明函</w:t>
      </w:r>
    </w:p>
    <w:p w14:paraId="31D3E0B8">
      <w:pPr>
        <w:spacing w:line="360" w:lineRule="auto"/>
        <w:ind w:firstLine="480"/>
        <w:rPr>
          <w:rFonts w:hint="eastAsia" w:ascii="仿宋" w:hAnsi="仿宋" w:eastAsia="仿宋" w:cs="仿宋"/>
          <w:color w:val="auto"/>
          <w:sz w:val="24"/>
          <w:highlight w:val="none"/>
        </w:rPr>
      </w:pPr>
    </w:p>
    <w:p w14:paraId="2D3E07E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新疆恒达壹品项目管理咨询有限公司</w:t>
      </w:r>
      <w:r>
        <w:rPr>
          <w:rFonts w:hint="eastAsia" w:ascii="仿宋" w:hAnsi="仿宋" w:eastAsia="仿宋" w:cs="仿宋"/>
          <w:color w:val="auto"/>
          <w:sz w:val="24"/>
          <w:highlight w:val="none"/>
        </w:rPr>
        <w:t>：</w:t>
      </w:r>
    </w:p>
    <w:p w14:paraId="43B85C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关于贵方年月日（项目编号）</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公告关于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的项目，本签字人愿意参加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，并有能力提供</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项目中的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u w:val="single"/>
        </w:rPr>
        <w:t>内容）</w:t>
      </w:r>
      <w:r>
        <w:rPr>
          <w:rFonts w:hint="eastAsia" w:ascii="仿宋" w:hAnsi="仿宋" w:eastAsia="仿宋" w:cs="仿宋"/>
          <w:color w:val="auto"/>
          <w:sz w:val="24"/>
          <w:highlight w:val="none"/>
        </w:rPr>
        <w:t>相关服务，并保证所提交的所有文件和说明是真实和准确的。</w:t>
      </w:r>
    </w:p>
    <w:p w14:paraId="7BB30F53">
      <w:pPr>
        <w:spacing w:line="360" w:lineRule="auto"/>
        <w:ind w:firstLine="480"/>
        <w:rPr>
          <w:rFonts w:hint="eastAsia" w:ascii="仿宋" w:hAnsi="仿宋" w:eastAsia="仿宋" w:cs="仿宋"/>
          <w:color w:val="auto"/>
          <w:sz w:val="24"/>
          <w:highlight w:val="none"/>
        </w:rPr>
      </w:pPr>
    </w:p>
    <w:p w14:paraId="2BB19FB6">
      <w:pPr>
        <w:spacing w:line="360" w:lineRule="auto"/>
        <w:ind w:firstLine="480"/>
        <w:rPr>
          <w:rFonts w:hint="eastAsia" w:ascii="仿宋" w:hAnsi="仿宋" w:eastAsia="仿宋" w:cs="仿宋"/>
          <w:color w:val="auto"/>
          <w:sz w:val="24"/>
          <w:highlight w:val="none"/>
        </w:rPr>
      </w:pPr>
    </w:p>
    <w:p w14:paraId="2A1A1802">
      <w:pPr>
        <w:spacing w:line="360" w:lineRule="auto"/>
        <w:ind w:firstLine="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签字人姓名、职务：</w:t>
      </w:r>
    </w:p>
    <w:p w14:paraId="2837FE42">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地址：受权签署本资格文件人：</w:t>
      </w:r>
      <w:r>
        <w:rPr>
          <w:rFonts w:hint="eastAsia" w:ascii="仿宋" w:hAnsi="仿宋" w:eastAsia="仿宋" w:cs="仿宋"/>
          <w:color w:val="auto"/>
          <w:sz w:val="24"/>
          <w:highlight w:val="none"/>
          <w:u w:val="single"/>
        </w:rPr>
        <w:t>（授权人姓名）</w:t>
      </w:r>
    </w:p>
    <w:p w14:paraId="277D96E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p>
    <w:p w14:paraId="6B926721">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邮编：电话：</w:t>
      </w:r>
    </w:p>
    <w:p w14:paraId="21F02090">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供应商盖章：</w:t>
      </w:r>
    </w:p>
    <w:p w14:paraId="0D225447">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p w14:paraId="7049BBD7">
      <w:pPr>
        <w:spacing w:line="360" w:lineRule="auto"/>
        <w:jc w:val="center"/>
        <w:rPr>
          <w:rFonts w:hint="eastAsia" w:ascii="仿宋" w:hAnsi="仿宋" w:eastAsia="仿宋" w:cs="仿宋"/>
          <w:color w:val="auto"/>
          <w:sz w:val="24"/>
          <w:highlight w:val="none"/>
          <w:lang w:val="en-US" w:eastAsia="zh-CN"/>
        </w:rPr>
      </w:pPr>
    </w:p>
    <w:p w14:paraId="1E01509C">
      <w:pPr>
        <w:pStyle w:val="12"/>
        <w:rPr>
          <w:rFonts w:hint="eastAsia" w:ascii="仿宋" w:hAnsi="仿宋" w:eastAsia="仿宋" w:cs="仿宋"/>
          <w:color w:val="auto"/>
          <w:highlight w:val="none"/>
        </w:rPr>
      </w:pPr>
    </w:p>
    <w:p w14:paraId="77667766">
      <w:pPr>
        <w:rPr>
          <w:rFonts w:hint="eastAsia" w:ascii="仿宋" w:hAnsi="仿宋" w:eastAsia="仿宋" w:cs="仿宋"/>
          <w:color w:val="auto"/>
          <w:highlight w:val="none"/>
        </w:rPr>
      </w:pPr>
    </w:p>
    <w:p w14:paraId="48AFEFB4">
      <w:pPr>
        <w:pStyle w:val="12"/>
        <w:rPr>
          <w:rFonts w:hint="eastAsia" w:ascii="仿宋" w:hAnsi="仿宋" w:eastAsia="仿宋" w:cs="仿宋"/>
          <w:color w:val="auto"/>
          <w:highlight w:val="none"/>
        </w:rPr>
      </w:pPr>
    </w:p>
    <w:p w14:paraId="4E43B474">
      <w:pPr>
        <w:rPr>
          <w:rFonts w:hint="eastAsia" w:ascii="仿宋" w:hAnsi="仿宋" w:eastAsia="仿宋" w:cs="仿宋"/>
          <w:color w:val="auto"/>
          <w:highlight w:val="none"/>
        </w:rPr>
      </w:pPr>
    </w:p>
    <w:p w14:paraId="526CB9DE">
      <w:pPr>
        <w:pStyle w:val="12"/>
        <w:rPr>
          <w:rFonts w:hint="eastAsia" w:ascii="仿宋" w:hAnsi="仿宋" w:eastAsia="仿宋" w:cs="仿宋"/>
          <w:color w:val="auto"/>
          <w:highlight w:val="none"/>
        </w:rPr>
      </w:pPr>
    </w:p>
    <w:p w14:paraId="2FEFA602">
      <w:pPr>
        <w:rPr>
          <w:rFonts w:hint="eastAsia" w:ascii="仿宋" w:hAnsi="仿宋" w:eastAsia="仿宋" w:cs="仿宋"/>
          <w:color w:val="auto"/>
          <w:highlight w:val="none"/>
        </w:rPr>
      </w:pPr>
    </w:p>
    <w:p w14:paraId="7672E537">
      <w:pPr>
        <w:pStyle w:val="12"/>
        <w:rPr>
          <w:rFonts w:hint="eastAsia" w:ascii="仿宋" w:hAnsi="仿宋" w:eastAsia="仿宋" w:cs="仿宋"/>
          <w:color w:val="auto"/>
          <w:highlight w:val="none"/>
        </w:rPr>
      </w:pPr>
    </w:p>
    <w:p w14:paraId="27A13A4E">
      <w:pPr>
        <w:rPr>
          <w:rFonts w:hint="eastAsia" w:ascii="仿宋" w:hAnsi="仿宋" w:eastAsia="仿宋" w:cs="仿宋"/>
          <w:color w:val="auto"/>
          <w:highlight w:val="none"/>
        </w:rPr>
      </w:pPr>
    </w:p>
    <w:p w14:paraId="73A5579A">
      <w:pPr>
        <w:pStyle w:val="12"/>
        <w:rPr>
          <w:rFonts w:hint="eastAsia" w:ascii="仿宋" w:hAnsi="仿宋" w:eastAsia="仿宋" w:cs="仿宋"/>
          <w:color w:val="auto"/>
          <w:highlight w:val="none"/>
        </w:rPr>
      </w:pPr>
    </w:p>
    <w:p w14:paraId="5724090B">
      <w:pPr>
        <w:rPr>
          <w:rFonts w:hint="eastAsia" w:ascii="仿宋" w:hAnsi="仿宋" w:eastAsia="仿宋" w:cs="仿宋"/>
          <w:color w:val="auto"/>
          <w:highlight w:val="none"/>
        </w:rPr>
      </w:pPr>
    </w:p>
    <w:p w14:paraId="469245A8">
      <w:pPr>
        <w:pStyle w:val="12"/>
        <w:rPr>
          <w:rFonts w:hint="eastAsia" w:ascii="仿宋" w:hAnsi="仿宋" w:eastAsia="仿宋" w:cs="仿宋"/>
          <w:color w:val="auto"/>
          <w:highlight w:val="none"/>
        </w:rPr>
      </w:pPr>
    </w:p>
    <w:p w14:paraId="48521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5、</w:t>
      </w:r>
      <w:r>
        <w:rPr>
          <w:rFonts w:hint="eastAsia" w:ascii="仿宋" w:hAnsi="仿宋" w:eastAsia="仿宋" w:cs="仿宋"/>
          <w:b/>
          <w:color w:val="auto"/>
          <w:sz w:val="30"/>
          <w:szCs w:val="30"/>
          <w:highlight w:val="none"/>
        </w:rPr>
        <w:t>反商业贿赂承诺书</w:t>
      </w:r>
    </w:p>
    <w:p w14:paraId="72C1A64C">
      <w:pPr>
        <w:pStyle w:val="3"/>
        <w:rPr>
          <w:rFonts w:hint="eastAsia" w:ascii="仿宋" w:hAnsi="仿宋" w:eastAsia="仿宋" w:cs="仿宋"/>
          <w:color w:val="auto"/>
          <w:highlight w:val="none"/>
        </w:rPr>
      </w:pPr>
    </w:p>
    <w:p w14:paraId="6AF9A54C">
      <w:pPr>
        <w:pStyle w:val="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过程中，不给予国家工作人员以及</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2C55F9C">
      <w:pPr>
        <w:pStyle w:val="3"/>
        <w:ind w:firstLine="480"/>
        <w:rPr>
          <w:rFonts w:hint="eastAsia" w:ascii="仿宋" w:hAnsi="仿宋" w:eastAsia="仿宋" w:cs="仿宋"/>
          <w:color w:val="auto"/>
          <w:sz w:val="24"/>
          <w:szCs w:val="24"/>
          <w:highlight w:val="none"/>
        </w:rPr>
      </w:pPr>
    </w:p>
    <w:p w14:paraId="63495166">
      <w:pPr>
        <w:pStyle w:val="2"/>
        <w:rPr>
          <w:rFonts w:hint="eastAsia" w:ascii="仿宋" w:hAnsi="仿宋" w:eastAsia="仿宋" w:cs="仿宋"/>
          <w:color w:val="auto"/>
          <w:sz w:val="24"/>
          <w:szCs w:val="24"/>
          <w:highlight w:val="none"/>
        </w:rPr>
      </w:pPr>
    </w:p>
    <w:p w14:paraId="73464B0B">
      <w:pPr>
        <w:rPr>
          <w:rFonts w:hint="eastAsia" w:ascii="仿宋" w:hAnsi="仿宋" w:eastAsia="仿宋" w:cs="仿宋"/>
          <w:color w:val="auto"/>
          <w:sz w:val="24"/>
          <w:szCs w:val="24"/>
          <w:highlight w:val="none"/>
        </w:rPr>
      </w:pPr>
    </w:p>
    <w:p w14:paraId="7061B284">
      <w:pPr>
        <w:pStyle w:val="10"/>
        <w:rPr>
          <w:rFonts w:hint="eastAsia" w:ascii="仿宋" w:hAnsi="仿宋" w:eastAsia="仿宋" w:cs="仿宋"/>
          <w:color w:val="auto"/>
          <w:sz w:val="24"/>
          <w:szCs w:val="24"/>
          <w:highlight w:val="none"/>
        </w:rPr>
      </w:pPr>
    </w:p>
    <w:p w14:paraId="7682E140">
      <w:pPr>
        <w:pStyle w:val="15"/>
        <w:rPr>
          <w:rFonts w:hint="eastAsia" w:ascii="仿宋" w:hAnsi="仿宋" w:eastAsia="仿宋" w:cs="仿宋"/>
          <w:color w:val="auto"/>
          <w:highlight w:val="none"/>
        </w:rPr>
      </w:pPr>
    </w:p>
    <w:p w14:paraId="17A4323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7F33455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p>
    <w:p w14:paraId="4B40FD3D">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21B69B36">
      <w:pPr>
        <w:spacing w:line="360" w:lineRule="auto"/>
        <w:ind w:firstLine="420"/>
        <w:rPr>
          <w:rFonts w:hint="eastAsia" w:ascii="仿宋" w:hAnsi="仿宋" w:eastAsia="仿宋" w:cs="仿宋"/>
          <w:color w:val="auto"/>
          <w:sz w:val="24"/>
          <w:highlight w:val="none"/>
        </w:rPr>
      </w:pPr>
    </w:p>
    <w:p w14:paraId="2714FFA7">
      <w:pPr>
        <w:spacing w:line="360" w:lineRule="auto"/>
        <w:jc w:val="left"/>
        <w:rPr>
          <w:rFonts w:hint="eastAsia" w:ascii="仿宋" w:hAnsi="仿宋" w:eastAsia="仿宋" w:cs="仿宋"/>
          <w:b/>
          <w:color w:val="auto"/>
          <w:sz w:val="30"/>
          <w:szCs w:val="30"/>
          <w:highlight w:val="none"/>
        </w:rPr>
      </w:pPr>
    </w:p>
    <w:p w14:paraId="1FBE83D8">
      <w:pPr>
        <w:pStyle w:val="12"/>
        <w:rPr>
          <w:rFonts w:hint="eastAsia" w:ascii="仿宋" w:hAnsi="仿宋" w:eastAsia="仿宋" w:cs="仿宋"/>
          <w:color w:val="auto"/>
          <w:highlight w:val="none"/>
        </w:rPr>
      </w:pPr>
    </w:p>
    <w:p w14:paraId="4F0B69BB">
      <w:pPr>
        <w:rPr>
          <w:rFonts w:hint="eastAsia" w:ascii="仿宋" w:hAnsi="仿宋" w:eastAsia="仿宋" w:cs="仿宋"/>
          <w:color w:val="auto"/>
          <w:highlight w:val="none"/>
        </w:rPr>
      </w:pPr>
    </w:p>
    <w:p w14:paraId="031EF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7" w:name="_Toc16720"/>
      <w:bookmarkStart w:id="58" w:name="_Toc31475"/>
      <w:r>
        <w:rPr>
          <w:rFonts w:hint="eastAsia" w:ascii="仿宋" w:hAnsi="仿宋" w:eastAsia="仿宋" w:cs="仿宋"/>
          <w:b/>
          <w:color w:val="auto"/>
          <w:sz w:val="30"/>
          <w:szCs w:val="30"/>
          <w:highlight w:val="none"/>
        </w:rPr>
        <w:br w:type="page"/>
      </w:r>
      <w:bookmarkEnd w:id="57"/>
      <w:bookmarkEnd w:id="58"/>
      <w:r>
        <w:rPr>
          <w:rFonts w:hint="eastAsia" w:ascii="仿宋" w:hAnsi="仿宋" w:eastAsia="仿宋" w:cs="仿宋"/>
          <w:b/>
          <w:color w:val="auto"/>
          <w:sz w:val="30"/>
          <w:szCs w:val="30"/>
          <w:highlight w:val="none"/>
          <w:lang w:val="en-US" w:eastAsia="zh-CN"/>
        </w:rPr>
        <w:t>6、</w:t>
      </w:r>
      <w:r>
        <w:rPr>
          <w:rFonts w:hint="eastAsia" w:ascii="仿宋" w:hAnsi="仿宋" w:eastAsia="仿宋" w:cs="仿宋"/>
          <w:b/>
          <w:bCs/>
          <w:color w:val="auto"/>
          <w:sz w:val="30"/>
          <w:szCs w:val="30"/>
          <w:highlight w:val="none"/>
        </w:rPr>
        <w:t>法定代表人身份证明书</w:t>
      </w:r>
    </w:p>
    <w:p w14:paraId="5CC90FB9">
      <w:pPr>
        <w:spacing w:line="360" w:lineRule="auto"/>
        <w:rPr>
          <w:rFonts w:hint="eastAsia" w:ascii="仿宋" w:hAnsi="仿宋" w:eastAsia="仿宋" w:cs="仿宋"/>
          <w:color w:val="auto"/>
          <w:sz w:val="24"/>
          <w:highlight w:val="none"/>
        </w:rPr>
      </w:pPr>
    </w:p>
    <w:p w14:paraId="25D4B411">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单位名称：</w:t>
      </w:r>
    </w:p>
    <w:p w14:paraId="3D3BFC6A">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企业类型：</w:t>
      </w:r>
    </w:p>
    <w:p w14:paraId="37CCA283">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地址：</w:t>
      </w:r>
    </w:p>
    <w:p w14:paraId="6B259A77">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营业期限：</w:t>
      </w:r>
    </w:p>
    <w:p w14:paraId="74AE7235">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成立时间：</w:t>
      </w:r>
    </w:p>
    <w:p w14:paraId="1C593CA0">
      <w:pPr>
        <w:spacing w:line="360" w:lineRule="auto"/>
        <w:ind w:firstLine="840" w:firstLineChars="400"/>
        <w:rPr>
          <w:rFonts w:hint="eastAsia" w:ascii="仿宋" w:hAnsi="仿宋" w:eastAsia="仿宋" w:cs="仿宋"/>
          <w:color w:val="auto"/>
          <w:szCs w:val="21"/>
          <w:highlight w:val="none"/>
        </w:rPr>
      </w:pPr>
    </w:p>
    <w:p w14:paraId="67532BEF">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姓名：，性别：，出生日期：，现任职务：，系（供应商名称）的法定代表人（或非法人组织负责人）。</w:t>
      </w:r>
    </w:p>
    <w:p w14:paraId="137313A9">
      <w:pPr>
        <w:rPr>
          <w:rFonts w:hint="eastAsia" w:ascii="仿宋" w:hAnsi="仿宋" w:eastAsia="仿宋" w:cs="仿宋"/>
          <w:color w:val="auto"/>
          <w:sz w:val="24"/>
          <w:szCs w:val="24"/>
          <w:highlight w:val="none"/>
          <w:lang w:eastAsia="zh-CN"/>
        </w:rPr>
      </w:pPr>
    </w:p>
    <w:p w14:paraId="61D5D2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09D9D36">
      <w:pPr>
        <w:rPr>
          <w:rFonts w:hint="eastAsia" w:ascii="仿宋" w:hAnsi="仿宋" w:eastAsia="仿宋" w:cs="仿宋"/>
          <w:color w:val="auto"/>
          <w:szCs w:val="21"/>
          <w:highlight w:val="none"/>
        </w:rPr>
      </w:pPr>
    </w:p>
    <w:p w14:paraId="3D446B5E">
      <w:pPr>
        <w:rPr>
          <w:rFonts w:hint="eastAsia" w:ascii="仿宋" w:hAnsi="仿宋" w:eastAsia="仿宋" w:cs="仿宋"/>
          <w:color w:val="auto"/>
          <w:szCs w:val="21"/>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68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noWrap w:val="0"/>
            <w:vAlign w:val="top"/>
          </w:tcPr>
          <w:p w14:paraId="3CD84825">
            <w:pPr>
              <w:jc w:val="center"/>
              <w:rPr>
                <w:rFonts w:hint="eastAsia" w:ascii="仿宋" w:hAnsi="仿宋" w:eastAsia="仿宋" w:cs="仿宋"/>
                <w:color w:val="auto"/>
                <w:sz w:val="24"/>
                <w:highlight w:val="none"/>
              </w:rPr>
            </w:pPr>
          </w:p>
          <w:p w14:paraId="3779B9A8">
            <w:pPr>
              <w:jc w:val="center"/>
              <w:rPr>
                <w:rFonts w:hint="eastAsia" w:ascii="仿宋" w:hAnsi="仿宋" w:eastAsia="仿宋" w:cs="仿宋"/>
                <w:color w:val="auto"/>
                <w:sz w:val="24"/>
                <w:highlight w:val="none"/>
              </w:rPr>
            </w:pPr>
          </w:p>
          <w:p w14:paraId="749E9F65">
            <w:pPr>
              <w:jc w:val="center"/>
              <w:rPr>
                <w:rFonts w:hint="eastAsia" w:ascii="仿宋" w:hAnsi="仿宋" w:eastAsia="仿宋" w:cs="仿宋"/>
                <w:color w:val="auto"/>
                <w:sz w:val="24"/>
                <w:highlight w:val="none"/>
              </w:rPr>
            </w:pPr>
          </w:p>
          <w:p w14:paraId="70C7787A">
            <w:pPr>
              <w:jc w:val="center"/>
              <w:rPr>
                <w:rFonts w:hint="eastAsia" w:ascii="仿宋" w:hAnsi="仿宋" w:eastAsia="仿宋" w:cs="仿宋"/>
                <w:color w:val="auto"/>
                <w:sz w:val="24"/>
                <w:highlight w:val="none"/>
              </w:rPr>
            </w:pPr>
          </w:p>
          <w:p w14:paraId="3EF1F369">
            <w:pPr>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（法定代表人（或非法人组织负责人）身份证正、反面复印件）</w:t>
            </w:r>
          </w:p>
        </w:tc>
      </w:tr>
    </w:tbl>
    <w:p w14:paraId="0DE19EED">
      <w:pPr>
        <w:spacing w:line="360" w:lineRule="auto"/>
        <w:rPr>
          <w:rFonts w:hint="eastAsia" w:ascii="仿宋" w:hAnsi="仿宋" w:eastAsia="仿宋" w:cs="仿宋"/>
          <w:color w:val="auto"/>
          <w:sz w:val="24"/>
          <w:highlight w:val="none"/>
        </w:rPr>
      </w:pPr>
    </w:p>
    <w:p w14:paraId="69371B5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6215E1C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2382657D">
      <w:pPr>
        <w:keepNext w:val="0"/>
        <w:keepLines w:val="0"/>
        <w:pageBreakBefore w:val="0"/>
        <w:widowControl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5FF0E324">
      <w:pPr>
        <w:keepNext w:val="0"/>
        <w:keepLines w:val="0"/>
        <w:pageBreakBefore w:val="0"/>
        <w:widowControl w:val="0"/>
        <w:kinsoku/>
        <w:wordWrap/>
        <w:overflowPunct/>
        <w:topLinePunct w:val="0"/>
        <w:autoSpaceDE/>
        <w:autoSpaceDN/>
        <w:bidi w:val="0"/>
        <w:adjustRightInd w:val="0"/>
        <w:snapToGrid w:val="0"/>
        <w:spacing w:line="480" w:lineRule="auto"/>
        <w:ind w:right="105" w:rightChars="5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66593F6B">
      <w:pPr>
        <w:spacing w:line="360" w:lineRule="auto"/>
        <w:ind w:firstLine="420"/>
        <w:rPr>
          <w:rFonts w:hint="eastAsia" w:ascii="仿宋" w:hAnsi="仿宋" w:eastAsia="仿宋" w:cs="仿宋"/>
          <w:color w:val="auto"/>
          <w:sz w:val="24"/>
          <w:highlight w:val="none"/>
        </w:rPr>
      </w:pPr>
    </w:p>
    <w:p w14:paraId="53D9988B">
      <w:pPr>
        <w:spacing w:line="360" w:lineRule="auto"/>
        <w:rPr>
          <w:rFonts w:hint="eastAsia" w:ascii="仿宋" w:hAnsi="仿宋" w:eastAsia="仿宋" w:cs="仿宋"/>
          <w:color w:val="auto"/>
          <w:sz w:val="24"/>
          <w:highlight w:val="none"/>
        </w:rPr>
      </w:pPr>
    </w:p>
    <w:p w14:paraId="44C9D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9" w:name="_Toc20397"/>
      <w:bookmarkStart w:id="60" w:name="_Toc2174"/>
      <w:r>
        <w:rPr>
          <w:rFonts w:hint="eastAsia" w:ascii="仿宋" w:hAnsi="仿宋" w:eastAsia="仿宋" w:cs="仿宋"/>
          <w:b/>
          <w:color w:val="auto"/>
          <w:sz w:val="30"/>
          <w:szCs w:val="30"/>
          <w:highlight w:val="none"/>
        </w:rPr>
        <w:br w:type="page"/>
      </w:r>
      <w:bookmarkEnd w:id="59"/>
      <w:bookmarkEnd w:id="60"/>
      <w:r>
        <w:rPr>
          <w:rFonts w:hint="eastAsia" w:ascii="仿宋" w:hAnsi="仿宋" w:eastAsia="仿宋" w:cs="仿宋"/>
          <w:b/>
          <w:color w:val="auto"/>
          <w:sz w:val="30"/>
          <w:szCs w:val="30"/>
          <w:highlight w:val="none"/>
          <w:lang w:val="en-US" w:eastAsia="zh-CN"/>
        </w:rPr>
        <w:t>7、</w:t>
      </w:r>
      <w:r>
        <w:rPr>
          <w:rFonts w:hint="eastAsia" w:ascii="仿宋" w:hAnsi="仿宋" w:eastAsia="仿宋" w:cs="仿宋"/>
          <w:b/>
          <w:bCs/>
          <w:color w:val="auto"/>
          <w:sz w:val="30"/>
          <w:szCs w:val="30"/>
          <w:highlight w:val="none"/>
        </w:rPr>
        <w:t>法定代表人授权委托书</w:t>
      </w:r>
    </w:p>
    <w:p w14:paraId="000C851A">
      <w:pPr>
        <w:spacing w:line="360" w:lineRule="auto"/>
        <w:ind w:firstLine="420" w:firstLineChars="200"/>
        <w:rPr>
          <w:rFonts w:hint="eastAsia" w:ascii="仿宋" w:hAnsi="仿宋" w:eastAsia="仿宋" w:cs="仿宋"/>
          <w:color w:val="auto"/>
          <w:szCs w:val="21"/>
          <w:highlight w:val="none"/>
        </w:rPr>
      </w:pPr>
    </w:p>
    <w:p w14:paraId="5E8AB97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（公司名称）</w:t>
      </w:r>
      <w:r>
        <w:rPr>
          <w:rFonts w:hint="eastAsia" w:ascii="仿宋" w:hAnsi="仿宋" w:eastAsia="仿宋" w:cs="仿宋"/>
          <w:color w:val="auto"/>
          <w:sz w:val="24"/>
          <w:highlight w:val="none"/>
        </w:rPr>
        <w:t>，在下面签字的法定代表人</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，代表本公司授权在下面签字的</w:t>
      </w:r>
      <w:r>
        <w:rPr>
          <w:rFonts w:hint="eastAsia" w:ascii="仿宋" w:hAnsi="仿宋" w:eastAsia="仿宋" w:cs="仿宋"/>
          <w:color w:val="auto"/>
          <w:sz w:val="24"/>
          <w:highlight w:val="none"/>
          <w:u w:val="single"/>
        </w:rPr>
        <w:t>（委托代理人的姓名、职务）</w:t>
      </w:r>
      <w:r>
        <w:rPr>
          <w:rFonts w:hint="eastAsia" w:ascii="仿宋" w:hAnsi="仿宋" w:eastAsia="仿宋" w:cs="仿宋"/>
          <w:color w:val="auto"/>
          <w:sz w:val="24"/>
          <w:highlight w:val="none"/>
        </w:rPr>
        <w:t>为本公司的合法代理人，就</w:t>
      </w:r>
      <w:r>
        <w:rPr>
          <w:rFonts w:hint="eastAsia" w:ascii="仿宋" w:hAnsi="仿宋" w:eastAsia="仿宋" w:cs="仿宋"/>
          <w:color w:val="auto"/>
          <w:sz w:val="24"/>
          <w:highlight w:val="none"/>
          <w:u w:val="single"/>
        </w:rPr>
        <w:t>（项目名称/编号）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，以本公司的名义处理一切与之有关的事务。</w:t>
      </w:r>
    </w:p>
    <w:p w14:paraId="696514A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本授权书于年月日签字生效，特此声明。</w:t>
      </w:r>
    </w:p>
    <w:tbl>
      <w:tblPr>
        <w:tblStyle w:val="33"/>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2D15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6D1558DF">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4BD719DC">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0D09F836">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法定代表人身份证正、反面复印件</w:t>
            </w:r>
          </w:p>
        </w:tc>
        <w:tc>
          <w:tcPr>
            <w:tcW w:w="4429" w:type="dxa"/>
            <w:noWrap w:val="0"/>
            <w:vAlign w:val="top"/>
          </w:tcPr>
          <w:p w14:paraId="1DA911FE">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1EF03F8D">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78BB6124">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委托代理人身份证正、反面复印件</w:t>
            </w:r>
          </w:p>
        </w:tc>
      </w:tr>
    </w:tbl>
    <w:p w14:paraId="49358066">
      <w:pPr>
        <w:adjustRightInd w:val="0"/>
        <w:snapToGrid w:val="0"/>
        <w:spacing w:line="360" w:lineRule="auto"/>
        <w:ind w:right="-21" w:rightChars="-10"/>
        <w:rPr>
          <w:rFonts w:hint="eastAsia" w:ascii="仿宋" w:hAnsi="仿宋" w:eastAsia="仿宋" w:cs="仿宋"/>
          <w:color w:val="auto"/>
          <w:sz w:val="24"/>
          <w:highlight w:val="none"/>
        </w:rPr>
      </w:pPr>
    </w:p>
    <w:p w14:paraId="341FF15E">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w:t>
      </w:r>
    </w:p>
    <w:p w14:paraId="331C05FB">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p>
    <w:p w14:paraId="5CF5E504">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电话：</w:t>
      </w:r>
    </w:p>
    <w:p w14:paraId="780497A9">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日期:</w:t>
      </w:r>
    </w:p>
    <w:p w14:paraId="0DF64CB8">
      <w:pPr>
        <w:rPr>
          <w:rFonts w:hint="eastAsia" w:ascii="仿宋" w:hAnsi="仿宋" w:eastAsia="仿宋" w:cs="仿宋"/>
          <w:b/>
          <w:color w:val="auto"/>
          <w:sz w:val="30"/>
          <w:szCs w:val="30"/>
          <w:highlight w:val="none"/>
          <w:lang w:val="en-US" w:eastAsia="zh-CN"/>
        </w:rPr>
      </w:pPr>
      <w:bookmarkStart w:id="61" w:name="_Toc15660"/>
      <w:bookmarkStart w:id="62" w:name="_Toc19431"/>
      <w:bookmarkStart w:id="63" w:name="_Toc3579"/>
      <w:bookmarkStart w:id="64" w:name="_Toc10131"/>
      <w:bookmarkStart w:id="65" w:name="_Toc20884"/>
      <w:r>
        <w:rPr>
          <w:rFonts w:hint="eastAsia" w:ascii="仿宋" w:hAnsi="仿宋" w:eastAsia="仿宋" w:cs="仿宋"/>
          <w:b/>
          <w:color w:val="auto"/>
          <w:sz w:val="30"/>
          <w:szCs w:val="30"/>
          <w:highlight w:val="none"/>
          <w:lang w:val="en-US" w:eastAsia="zh-CN"/>
        </w:rPr>
        <w:br w:type="page"/>
      </w:r>
    </w:p>
    <w:p w14:paraId="55DC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商务条款偏离表</w:t>
      </w:r>
      <w:bookmarkEnd w:id="61"/>
      <w:bookmarkEnd w:id="62"/>
    </w:p>
    <w:p w14:paraId="66C8898E">
      <w:pPr>
        <w:pStyle w:val="62"/>
        <w:keepNext w:val="0"/>
        <w:keepLines w:val="0"/>
        <w:pageBreakBefore w:val="0"/>
        <w:widowControl/>
        <w:kinsoku/>
        <w:wordWrap/>
        <w:overflowPunct w:val="0"/>
        <w:topLinePunct w:val="0"/>
        <w:autoSpaceDE w:val="0"/>
        <w:autoSpaceDN w:val="0"/>
        <w:bidi w:val="0"/>
        <w:adjustRightInd w:val="0"/>
        <w:snapToGrid/>
        <w:spacing w:line="500" w:lineRule="exact"/>
        <w:ind w:left="0"/>
        <w:textAlignment w:val="baseline"/>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t>供应商名称：项目编号：</w:t>
      </w:r>
    </w:p>
    <w:tbl>
      <w:tblPr>
        <w:tblStyle w:val="33"/>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35"/>
        <w:gridCol w:w="2925"/>
        <w:gridCol w:w="1294"/>
        <w:gridCol w:w="1310"/>
      </w:tblGrid>
      <w:tr w14:paraId="2C68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5BCEFDC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835" w:type="dxa"/>
            <w:noWrap w:val="0"/>
            <w:vAlign w:val="center"/>
          </w:tcPr>
          <w:p w14:paraId="5DC89D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文件的商务条款</w:t>
            </w:r>
          </w:p>
        </w:tc>
        <w:tc>
          <w:tcPr>
            <w:tcW w:w="2925" w:type="dxa"/>
            <w:noWrap w:val="0"/>
            <w:vAlign w:val="center"/>
          </w:tcPr>
          <w:p w14:paraId="3EB3757F">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响应文件的商务条款</w:t>
            </w:r>
          </w:p>
        </w:tc>
        <w:tc>
          <w:tcPr>
            <w:tcW w:w="1294" w:type="dxa"/>
            <w:noWrap w:val="0"/>
            <w:vAlign w:val="center"/>
          </w:tcPr>
          <w:p w14:paraId="1675EB2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偏离</w:t>
            </w:r>
          </w:p>
        </w:tc>
        <w:tc>
          <w:tcPr>
            <w:tcW w:w="1310" w:type="dxa"/>
            <w:noWrap w:val="0"/>
            <w:vAlign w:val="center"/>
          </w:tcPr>
          <w:p w14:paraId="0122BD2A">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85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49075D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35" w:type="dxa"/>
            <w:noWrap w:val="0"/>
            <w:vAlign w:val="top"/>
          </w:tcPr>
          <w:p w14:paraId="3A2B1084">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交货期</w:t>
            </w:r>
          </w:p>
        </w:tc>
        <w:tc>
          <w:tcPr>
            <w:tcW w:w="2925" w:type="dxa"/>
            <w:noWrap w:val="0"/>
            <w:vAlign w:val="top"/>
          </w:tcPr>
          <w:p w14:paraId="139DDEF7">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35E86C3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4996603">
            <w:pPr>
              <w:pStyle w:val="62"/>
              <w:spacing w:line="500" w:lineRule="exact"/>
              <w:jc w:val="center"/>
              <w:rPr>
                <w:rFonts w:hint="eastAsia" w:ascii="仿宋" w:hAnsi="仿宋" w:eastAsia="仿宋" w:cs="仿宋"/>
                <w:color w:val="auto"/>
                <w:highlight w:val="none"/>
              </w:rPr>
            </w:pPr>
          </w:p>
        </w:tc>
      </w:tr>
      <w:tr w14:paraId="0663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BAA97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35" w:type="dxa"/>
            <w:noWrap w:val="0"/>
            <w:vAlign w:val="top"/>
          </w:tcPr>
          <w:p w14:paraId="48F9694E">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质保期</w:t>
            </w:r>
          </w:p>
        </w:tc>
        <w:tc>
          <w:tcPr>
            <w:tcW w:w="2925" w:type="dxa"/>
            <w:noWrap w:val="0"/>
            <w:vAlign w:val="top"/>
          </w:tcPr>
          <w:p w14:paraId="61581A2D">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062F3395">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44AA57F">
            <w:pPr>
              <w:pStyle w:val="62"/>
              <w:spacing w:line="500" w:lineRule="exact"/>
              <w:jc w:val="center"/>
              <w:rPr>
                <w:rFonts w:hint="eastAsia" w:ascii="仿宋" w:hAnsi="仿宋" w:eastAsia="仿宋" w:cs="仿宋"/>
                <w:color w:val="auto"/>
                <w:highlight w:val="none"/>
              </w:rPr>
            </w:pPr>
          </w:p>
        </w:tc>
      </w:tr>
      <w:tr w14:paraId="6A3D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F0F354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35" w:type="dxa"/>
            <w:noWrap w:val="0"/>
            <w:vAlign w:val="top"/>
          </w:tcPr>
          <w:p w14:paraId="647A71B5">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kern w:val="0"/>
                <w:sz w:val="24"/>
                <w:highlight w:val="none"/>
                <w:lang w:val="en-US" w:eastAsia="zh-CN" w:bidi="ar-SA"/>
              </w:rPr>
              <w:t>供货要求</w:t>
            </w:r>
          </w:p>
        </w:tc>
        <w:tc>
          <w:tcPr>
            <w:tcW w:w="2925" w:type="dxa"/>
            <w:noWrap w:val="0"/>
            <w:vAlign w:val="top"/>
          </w:tcPr>
          <w:p w14:paraId="36ABD4A3">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781911D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7DBEE79A">
            <w:pPr>
              <w:pStyle w:val="62"/>
              <w:spacing w:line="500" w:lineRule="exact"/>
              <w:jc w:val="center"/>
              <w:rPr>
                <w:rFonts w:hint="eastAsia" w:ascii="仿宋" w:hAnsi="仿宋" w:eastAsia="仿宋" w:cs="仿宋"/>
                <w:color w:val="auto"/>
                <w:highlight w:val="none"/>
              </w:rPr>
            </w:pPr>
          </w:p>
        </w:tc>
      </w:tr>
      <w:tr w14:paraId="17E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4E0F3B0">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835" w:type="dxa"/>
            <w:noWrap w:val="0"/>
            <w:vAlign w:val="top"/>
          </w:tcPr>
          <w:p w14:paraId="70EBEDEE">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有效期</w:t>
            </w:r>
          </w:p>
        </w:tc>
        <w:tc>
          <w:tcPr>
            <w:tcW w:w="2925" w:type="dxa"/>
            <w:noWrap w:val="0"/>
            <w:vAlign w:val="top"/>
          </w:tcPr>
          <w:p w14:paraId="7D9B78C1">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79EBBB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90DDC38">
            <w:pPr>
              <w:pStyle w:val="62"/>
              <w:spacing w:line="500" w:lineRule="exact"/>
              <w:jc w:val="center"/>
              <w:rPr>
                <w:rFonts w:hint="eastAsia" w:ascii="仿宋" w:hAnsi="仿宋" w:eastAsia="仿宋" w:cs="仿宋"/>
                <w:color w:val="auto"/>
                <w:highlight w:val="none"/>
              </w:rPr>
            </w:pPr>
          </w:p>
        </w:tc>
      </w:tr>
      <w:tr w14:paraId="152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4" w:type="dxa"/>
            <w:noWrap w:val="0"/>
            <w:vAlign w:val="top"/>
          </w:tcPr>
          <w:p w14:paraId="405D2785">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835" w:type="dxa"/>
            <w:noWrap w:val="0"/>
            <w:vAlign w:val="top"/>
          </w:tcPr>
          <w:p w14:paraId="70F21BFB">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保证金</w:t>
            </w:r>
          </w:p>
        </w:tc>
        <w:tc>
          <w:tcPr>
            <w:tcW w:w="2925" w:type="dxa"/>
            <w:noWrap w:val="0"/>
            <w:vAlign w:val="top"/>
          </w:tcPr>
          <w:p w14:paraId="3C3B309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BFABEA4">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1CC6778">
            <w:pPr>
              <w:pStyle w:val="62"/>
              <w:spacing w:line="500" w:lineRule="exact"/>
              <w:jc w:val="center"/>
              <w:rPr>
                <w:rFonts w:hint="eastAsia" w:ascii="仿宋" w:hAnsi="仿宋" w:eastAsia="仿宋" w:cs="仿宋"/>
                <w:color w:val="auto"/>
                <w:highlight w:val="none"/>
              </w:rPr>
            </w:pPr>
          </w:p>
        </w:tc>
      </w:tr>
      <w:tr w14:paraId="3C6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AC61A1">
            <w:pPr>
              <w:pStyle w:val="62"/>
              <w:spacing w:line="500" w:lineRule="exact"/>
              <w:jc w:val="center"/>
              <w:rPr>
                <w:rFonts w:hint="eastAsia" w:ascii="仿宋" w:hAnsi="仿宋" w:eastAsia="仿宋" w:cs="仿宋"/>
                <w:color w:val="auto"/>
                <w:highlight w:val="none"/>
              </w:rPr>
            </w:pPr>
          </w:p>
        </w:tc>
        <w:tc>
          <w:tcPr>
            <w:tcW w:w="2835" w:type="dxa"/>
            <w:noWrap w:val="0"/>
            <w:vAlign w:val="top"/>
          </w:tcPr>
          <w:p w14:paraId="36B069A5">
            <w:pPr>
              <w:pStyle w:val="62"/>
              <w:spacing w:line="500" w:lineRule="exact"/>
              <w:jc w:val="center"/>
              <w:rPr>
                <w:rFonts w:hint="eastAsia" w:ascii="仿宋" w:hAnsi="仿宋" w:eastAsia="仿宋" w:cs="仿宋"/>
                <w:color w:val="auto"/>
                <w:highlight w:val="none"/>
              </w:rPr>
            </w:pPr>
          </w:p>
        </w:tc>
        <w:tc>
          <w:tcPr>
            <w:tcW w:w="2925" w:type="dxa"/>
            <w:noWrap w:val="0"/>
            <w:vAlign w:val="top"/>
          </w:tcPr>
          <w:p w14:paraId="5058054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41FFECD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2D2A7E5">
            <w:pPr>
              <w:pStyle w:val="62"/>
              <w:spacing w:line="500" w:lineRule="exact"/>
              <w:jc w:val="center"/>
              <w:rPr>
                <w:rFonts w:hint="eastAsia" w:ascii="仿宋" w:hAnsi="仿宋" w:eastAsia="仿宋" w:cs="仿宋"/>
                <w:color w:val="auto"/>
                <w:highlight w:val="none"/>
              </w:rPr>
            </w:pPr>
          </w:p>
        </w:tc>
      </w:tr>
      <w:tr w14:paraId="54D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6AC802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835" w:type="dxa"/>
            <w:noWrap w:val="0"/>
            <w:vAlign w:val="top"/>
          </w:tcPr>
          <w:p w14:paraId="4B6706A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925" w:type="dxa"/>
            <w:noWrap w:val="0"/>
            <w:vAlign w:val="top"/>
          </w:tcPr>
          <w:p w14:paraId="3DD4ADF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294" w:type="dxa"/>
            <w:noWrap w:val="0"/>
            <w:vAlign w:val="top"/>
          </w:tcPr>
          <w:p w14:paraId="0BA47D18">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10" w:type="dxa"/>
            <w:noWrap w:val="0"/>
            <w:vAlign w:val="top"/>
          </w:tcPr>
          <w:p w14:paraId="27DDE5C6">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r>
    </w:tbl>
    <w:p w14:paraId="5385882B">
      <w:pPr>
        <w:pStyle w:val="62"/>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注：若有偏离，请将具体偏离条款在”偏离”一栏中详细说明；若无偏离，请在”偏离”一栏中标注”无”字样.</w:t>
      </w:r>
    </w:p>
    <w:p w14:paraId="1E8AEF49">
      <w:pPr>
        <w:pStyle w:val="62"/>
        <w:spacing w:line="500" w:lineRule="exact"/>
        <w:ind w:left="480" w:firstLine="480"/>
        <w:rPr>
          <w:rFonts w:hint="eastAsia" w:ascii="仿宋" w:hAnsi="仿宋" w:eastAsia="仿宋" w:cs="仿宋"/>
          <w:color w:val="auto"/>
          <w:highlight w:val="none"/>
        </w:rPr>
      </w:pPr>
    </w:p>
    <w:p w14:paraId="4E272AD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2DCDFE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p>
    <w:p w14:paraId="0D54A63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6667F0A6">
      <w:pPr>
        <w:pStyle w:val="10"/>
        <w:rPr>
          <w:rFonts w:hint="eastAsia" w:ascii="仿宋" w:hAnsi="仿宋" w:eastAsia="仿宋" w:cs="仿宋"/>
          <w:color w:val="auto"/>
          <w:highlight w:val="none"/>
        </w:rPr>
      </w:pPr>
    </w:p>
    <w:p w14:paraId="649C0567">
      <w:pPr>
        <w:pStyle w:val="102"/>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color w:val="auto"/>
          <w:sz w:val="30"/>
          <w:szCs w:val="30"/>
          <w:highlight w:val="none"/>
        </w:rPr>
        <w:br w:type="page"/>
      </w:r>
      <w:bookmarkEnd w:id="63"/>
      <w:bookmarkEnd w:id="64"/>
      <w:bookmarkEnd w:id="65"/>
      <w:r>
        <w:rPr>
          <w:rFonts w:hint="eastAsia" w:ascii="仿宋" w:hAnsi="仿宋" w:eastAsia="仿宋" w:cs="仿宋"/>
          <w:b/>
          <w:bCs/>
          <w:color w:val="auto"/>
          <w:kern w:val="2"/>
          <w:sz w:val="30"/>
          <w:szCs w:val="30"/>
          <w:highlight w:val="none"/>
          <w:lang w:val="en-US" w:eastAsia="zh-CN" w:bidi="ar-SA"/>
        </w:rPr>
        <w:t>9、技术参数条款偏离表</w:t>
      </w:r>
    </w:p>
    <w:p w14:paraId="1B4AE8D9">
      <w:pPr>
        <w:pStyle w:val="120"/>
        <w:spacing w:line="360" w:lineRule="auto"/>
        <w:ind w:left="0" w:leftChars="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供应商名称：项目编号：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FE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0D496D94">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101" w:type="dxa"/>
            <w:tcBorders>
              <w:top w:val="single" w:color="auto" w:sz="12" w:space="0"/>
            </w:tcBorders>
            <w:noWrap w:val="0"/>
            <w:vAlign w:val="center"/>
          </w:tcPr>
          <w:p w14:paraId="7AF1C937">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021" w:type="dxa"/>
            <w:tcBorders>
              <w:top w:val="single" w:color="auto" w:sz="12" w:space="0"/>
            </w:tcBorders>
            <w:noWrap w:val="0"/>
            <w:vAlign w:val="center"/>
          </w:tcPr>
          <w:p w14:paraId="430866C3">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707" w:type="dxa"/>
            <w:tcBorders>
              <w:top w:val="single" w:color="auto" w:sz="12" w:space="0"/>
            </w:tcBorders>
            <w:noWrap w:val="0"/>
            <w:vAlign w:val="center"/>
          </w:tcPr>
          <w:p w14:paraId="432005A8">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文件技术规范、要求</w:t>
            </w:r>
          </w:p>
        </w:tc>
        <w:tc>
          <w:tcPr>
            <w:tcW w:w="1337" w:type="dxa"/>
            <w:tcBorders>
              <w:top w:val="single" w:color="auto" w:sz="12" w:space="0"/>
            </w:tcBorders>
            <w:noWrap w:val="0"/>
            <w:vAlign w:val="center"/>
          </w:tcPr>
          <w:p w14:paraId="5669D81F">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响应文件对应规范</w:t>
            </w:r>
          </w:p>
        </w:tc>
        <w:tc>
          <w:tcPr>
            <w:tcW w:w="1337" w:type="dxa"/>
            <w:tcBorders>
              <w:top w:val="single" w:color="auto" w:sz="12" w:space="0"/>
            </w:tcBorders>
            <w:noWrap w:val="0"/>
            <w:vAlign w:val="center"/>
          </w:tcPr>
          <w:p w14:paraId="60F99327">
            <w:pPr>
              <w:pStyle w:val="121"/>
              <w:tabs>
                <w:tab w:val="left" w:pos="1337"/>
              </w:tabs>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偏</w:t>
            </w:r>
            <w:r>
              <w:rPr>
                <w:rFonts w:hint="eastAsia" w:ascii="仿宋" w:hAnsi="仿宋" w:eastAsia="仿宋" w:cs="仿宋"/>
                <w:bCs/>
                <w:color w:val="auto"/>
                <w:sz w:val="24"/>
                <w:highlight w:val="none"/>
                <w:lang w:eastAsia="zh-CN"/>
              </w:rPr>
              <w:t>离</w:t>
            </w:r>
          </w:p>
        </w:tc>
        <w:tc>
          <w:tcPr>
            <w:tcW w:w="977" w:type="dxa"/>
            <w:tcBorders>
              <w:top w:val="single" w:color="auto" w:sz="12" w:space="0"/>
              <w:right w:val="single" w:color="auto" w:sz="12" w:space="0"/>
            </w:tcBorders>
            <w:noWrap w:val="0"/>
            <w:vAlign w:val="center"/>
          </w:tcPr>
          <w:p w14:paraId="3D831A51">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5BF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5EE052AF">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3FB406BC">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0489837F">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6D71DC4">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D4C302B">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9418EB5">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30B67722">
            <w:pPr>
              <w:pStyle w:val="121"/>
              <w:tabs>
                <w:tab w:val="left" w:pos="1337"/>
              </w:tabs>
              <w:spacing w:line="360" w:lineRule="auto"/>
              <w:jc w:val="center"/>
              <w:rPr>
                <w:rFonts w:hint="eastAsia" w:ascii="仿宋" w:hAnsi="仿宋" w:eastAsia="仿宋" w:cs="仿宋"/>
                <w:color w:val="auto"/>
                <w:sz w:val="24"/>
                <w:highlight w:val="none"/>
              </w:rPr>
            </w:pPr>
          </w:p>
        </w:tc>
      </w:tr>
      <w:tr w14:paraId="08D9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4463E224">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6661A9B7">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155FEEE">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76F99A66">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05F6DF2A">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C7F0D63">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586A8DD7">
            <w:pPr>
              <w:pStyle w:val="121"/>
              <w:tabs>
                <w:tab w:val="left" w:pos="1337"/>
              </w:tabs>
              <w:spacing w:line="360" w:lineRule="auto"/>
              <w:jc w:val="center"/>
              <w:rPr>
                <w:rFonts w:hint="eastAsia" w:ascii="仿宋" w:hAnsi="仿宋" w:eastAsia="仿宋" w:cs="仿宋"/>
                <w:color w:val="auto"/>
                <w:sz w:val="24"/>
                <w:highlight w:val="none"/>
              </w:rPr>
            </w:pPr>
          </w:p>
        </w:tc>
      </w:tr>
      <w:tr w14:paraId="25D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04321F56">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E1FDEC4">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29B5141">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168A0F0F">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B62225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7F8AFCAE">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265B6DD9">
            <w:pPr>
              <w:pStyle w:val="121"/>
              <w:tabs>
                <w:tab w:val="left" w:pos="1337"/>
              </w:tabs>
              <w:spacing w:line="360" w:lineRule="auto"/>
              <w:jc w:val="center"/>
              <w:rPr>
                <w:rFonts w:hint="eastAsia" w:ascii="仿宋" w:hAnsi="仿宋" w:eastAsia="仿宋" w:cs="仿宋"/>
                <w:color w:val="auto"/>
                <w:sz w:val="24"/>
                <w:highlight w:val="none"/>
              </w:rPr>
            </w:pPr>
          </w:p>
        </w:tc>
      </w:tr>
      <w:tr w14:paraId="64E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7D689D22">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10D6DDE">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493B92DA">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505B061">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328174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4CAB50C">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14481BD9">
            <w:pPr>
              <w:pStyle w:val="121"/>
              <w:tabs>
                <w:tab w:val="left" w:pos="1337"/>
              </w:tabs>
              <w:spacing w:line="360" w:lineRule="auto"/>
              <w:jc w:val="center"/>
              <w:rPr>
                <w:rFonts w:hint="eastAsia" w:ascii="仿宋" w:hAnsi="仿宋" w:eastAsia="仿宋" w:cs="仿宋"/>
                <w:color w:val="auto"/>
                <w:sz w:val="24"/>
                <w:highlight w:val="none"/>
              </w:rPr>
            </w:pPr>
          </w:p>
        </w:tc>
      </w:tr>
      <w:tr w14:paraId="75F8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14:paraId="296375A8">
            <w:pPr>
              <w:pStyle w:val="121"/>
              <w:tabs>
                <w:tab w:val="left" w:pos="1337"/>
              </w:tabs>
              <w:spacing w:line="360" w:lineRule="auto"/>
              <w:jc w:val="center"/>
              <w:rPr>
                <w:rFonts w:hint="eastAsia" w:ascii="仿宋" w:hAnsi="仿宋" w:eastAsia="仿宋" w:cs="仿宋"/>
                <w:color w:val="auto"/>
                <w:sz w:val="24"/>
                <w:highlight w:val="none"/>
              </w:rPr>
            </w:pPr>
          </w:p>
        </w:tc>
        <w:tc>
          <w:tcPr>
            <w:tcW w:w="2101" w:type="dxa"/>
            <w:tcBorders>
              <w:bottom w:val="single" w:color="auto" w:sz="12" w:space="0"/>
            </w:tcBorders>
            <w:noWrap w:val="0"/>
            <w:vAlign w:val="center"/>
          </w:tcPr>
          <w:p w14:paraId="058D92CB">
            <w:pPr>
              <w:pStyle w:val="121"/>
              <w:tabs>
                <w:tab w:val="left" w:pos="1337"/>
              </w:tabs>
              <w:spacing w:line="360" w:lineRule="auto"/>
              <w:jc w:val="center"/>
              <w:rPr>
                <w:rFonts w:hint="eastAsia" w:ascii="仿宋" w:hAnsi="仿宋" w:eastAsia="仿宋" w:cs="仿宋"/>
                <w:color w:val="auto"/>
                <w:sz w:val="24"/>
                <w:highlight w:val="none"/>
              </w:rPr>
            </w:pPr>
          </w:p>
        </w:tc>
        <w:tc>
          <w:tcPr>
            <w:tcW w:w="1021" w:type="dxa"/>
            <w:tcBorders>
              <w:bottom w:val="single" w:color="auto" w:sz="12" w:space="0"/>
            </w:tcBorders>
            <w:noWrap w:val="0"/>
            <w:vAlign w:val="center"/>
          </w:tcPr>
          <w:p w14:paraId="42126B56">
            <w:pPr>
              <w:pStyle w:val="121"/>
              <w:tabs>
                <w:tab w:val="left" w:pos="1337"/>
              </w:tabs>
              <w:spacing w:line="360" w:lineRule="auto"/>
              <w:jc w:val="center"/>
              <w:rPr>
                <w:rFonts w:hint="eastAsia" w:ascii="仿宋" w:hAnsi="仿宋" w:eastAsia="仿宋" w:cs="仿宋"/>
                <w:color w:val="auto"/>
                <w:sz w:val="24"/>
                <w:highlight w:val="none"/>
              </w:rPr>
            </w:pPr>
          </w:p>
        </w:tc>
        <w:tc>
          <w:tcPr>
            <w:tcW w:w="1707" w:type="dxa"/>
            <w:tcBorders>
              <w:bottom w:val="single" w:color="auto" w:sz="12" w:space="0"/>
            </w:tcBorders>
            <w:noWrap w:val="0"/>
            <w:vAlign w:val="center"/>
          </w:tcPr>
          <w:p w14:paraId="0F8D8C8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243185D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5D06BAAD">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bottom w:val="single" w:color="auto" w:sz="12" w:space="0"/>
              <w:right w:val="single" w:color="auto" w:sz="12" w:space="0"/>
            </w:tcBorders>
            <w:noWrap w:val="0"/>
            <w:vAlign w:val="center"/>
          </w:tcPr>
          <w:p w14:paraId="30D76817">
            <w:pPr>
              <w:pStyle w:val="121"/>
              <w:tabs>
                <w:tab w:val="left" w:pos="1337"/>
              </w:tabs>
              <w:spacing w:line="360" w:lineRule="auto"/>
              <w:jc w:val="center"/>
              <w:rPr>
                <w:rFonts w:hint="eastAsia" w:ascii="仿宋" w:hAnsi="仿宋" w:eastAsia="仿宋" w:cs="仿宋"/>
                <w:color w:val="auto"/>
                <w:sz w:val="24"/>
                <w:highlight w:val="none"/>
              </w:rPr>
            </w:pPr>
          </w:p>
        </w:tc>
      </w:tr>
    </w:tbl>
    <w:p w14:paraId="54365928">
      <w:pPr>
        <w:pStyle w:val="121"/>
        <w:spacing w:line="360" w:lineRule="auto"/>
        <w:ind w:left="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说明：供应商</w:t>
      </w:r>
      <w:r>
        <w:rPr>
          <w:rFonts w:hint="eastAsia" w:ascii="仿宋" w:hAnsi="仿宋" w:eastAsia="仿宋" w:cs="仿宋"/>
          <w:color w:val="auto"/>
          <w:sz w:val="24"/>
          <w:highlight w:val="none"/>
          <w:lang w:eastAsia="zh-CN"/>
        </w:rPr>
        <w:t>须与本询价文件第三部分采购需求中技术指标要求应逐条填写偏离表。</w:t>
      </w:r>
    </w:p>
    <w:p w14:paraId="5616A17D">
      <w:pPr>
        <w:spacing w:line="520" w:lineRule="exact"/>
        <w:ind w:firstLine="2280" w:firstLineChars="950"/>
        <w:rPr>
          <w:rFonts w:hint="eastAsia" w:ascii="仿宋" w:hAnsi="仿宋" w:eastAsia="仿宋" w:cs="仿宋"/>
          <w:color w:val="auto"/>
          <w:sz w:val="24"/>
          <w:highlight w:val="none"/>
          <w:lang w:eastAsia="zh-CN"/>
        </w:rPr>
      </w:pPr>
    </w:p>
    <w:p w14:paraId="11352F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电子章</w:t>
      </w:r>
      <w:r>
        <w:rPr>
          <w:rFonts w:hint="eastAsia" w:ascii="仿宋" w:hAnsi="仿宋" w:eastAsia="仿宋" w:cs="仿宋"/>
          <w:color w:val="auto"/>
          <w:sz w:val="24"/>
          <w:highlight w:val="none"/>
          <w:shd w:val="clear" w:color="auto" w:fill="auto"/>
        </w:rPr>
        <w:t>）：</w:t>
      </w:r>
    </w:p>
    <w:p w14:paraId="18CCBC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人(签字或</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lang w:eastAsia="zh-CN"/>
        </w:rPr>
        <w:t>)：</w:t>
      </w:r>
    </w:p>
    <w:p w14:paraId="6FB8809E">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19050B7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p>
    <w:p w14:paraId="0D787AE8">
      <w:pPr>
        <w:pStyle w:val="12"/>
        <w:rPr>
          <w:rFonts w:hint="eastAsia" w:ascii="仿宋" w:hAnsi="仿宋" w:eastAsia="仿宋" w:cs="仿宋"/>
          <w:color w:val="auto"/>
          <w:highlight w:val="none"/>
          <w:lang w:eastAsia="zh-CN"/>
        </w:rPr>
      </w:pPr>
    </w:p>
    <w:p w14:paraId="5E4DA035">
      <w:pPr>
        <w:rPr>
          <w:rFonts w:hint="eastAsia"/>
          <w:color w:val="auto"/>
          <w:highlight w:val="none"/>
        </w:rPr>
      </w:pPr>
    </w:p>
    <w:p w14:paraId="136B55AF">
      <w:pPr>
        <w:widowControl/>
        <w:jc w:val="left"/>
        <w:rPr>
          <w:rFonts w:hint="eastAsia" w:ascii="仿宋" w:hAnsi="仿宋" w:eastAsia="仿宋" w:cs="仿宋"/>
          <w:b/>
          <w:color w:val="auto"/>
          <w:sz w:val="24"/>
          <w:szCs w:val="24"/>
          <w:highlight w:val="none"/>
        </w:rPr>
      </w:pPr>
    </w:p>
    <w:bookmarkEnd w:id="49"/>
    <w:p w14:paraId="5F078D21">
      <w:pPr>
        <w:rPr>
          <w:rFonts w:hint="eastAsia" w:ascii="仿宋" w:hAnsi="仿宋" w:eastAsia="仿宋" w:cs="仿宋"/>
          <w:b/>
          <w:bCs/>
          <w:color w:val="auto"/>
          <w:sz w:val="30"/>
          <w:szCs w:val="30"/>
          <w:highlight w:val="none"/>
          <w:lang w:val="en-US" w:eastAsia="zh-CN"/>
        </w:rPr>
      </w:pPr>
      <w:bookmarkStart w:id="66" w:name="_Hlk78746508"/>
      <w:bookmarkStart w:id="67" w:name="_Toc13495"/>
      <w:bookmarkStart w:id="68" w:name="_Toc31169"/>
      <w:bookmarkStart w:id="69" w:name="_Toc3574"/>
      <w:r>
        <w:rPr>
          <w:rFonts w:hint="eastAsia" w:ascii="仿宋" w:hAnsi="仿宋" w:eastAsia="仿宋" w:cs="仿宋"/>
          <w:b/>
          <w:bCs/>
          <w:color w:val="auto"/>
          <w:sz w:val="30"/>
          <w:szCs w:val="30"/>
          <w:highlight w:val="none"/>
          <w:lang w:val="en-US" w:eastAsia="zh-CN"/>
        </w:rPr>
        <w:br w:type="page"/>
      </w:r>
    </w:p>
    <w:p w14:paraId="60F95D8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lang w:val="en-US" w:eastAsia="zh-CN"/>
        </w:rPr>
        <w:t>10、供应商</w:t>
      </w:r>
      <w:r>
        <w:rPr>
          <w:rFonts w:hint="eastAsia" w:ascii="仿宋" w:hAnsi="仿宋" w:eastAsia="仿宋" w:cs="仿宋"/>
          <w:b/>
          <w:bCs/>
          <w:color w:val="auto"/>
          <w:sz w:val="30"/>
          <w:szCs w:val="30"/>
          <w:highlight w:val="none"/>
        </w:rPr>
        <w:t>近三</w:t>
      </w:r>
      <w:r>
        <w:rPr>
          <w:rFonts w:hint="eastAsia" w:ascii="仿宋" w:hAnsi="仿宋" w:eastAsia="仿宋" w:cs="仿宋"/>
          <w:b/>
          <w:color w:val="auto"/>
          <w:sz w:val="30"/>
          <w:szCs w:val="30"/>
          <w:highlight w:val="none"/>
        </w:rPr>
        <w:t>年（202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6</w:t>
      </w:r>
      <w:r>
        <w:rPr>
          <w:rFonts w:hint="eastAsia" w:ascii="仿宋" w:hAnsi="仿宋" w:eastAsia="仿宋" w:cs="仿宋"/>
          <w:b/>
          <w:color w:val="auto"/>
          <w:sz w:val="30"/>
          <w:szCs w:val="30"/>
          <w:highlight w:val="none"/>
        </w:rPr>
        <w:t>月1日至今）</w:t>
      </w:r>
      <w:r>
        <w:rPr>
          <w:rFonts w:hint="eastAsia" w:ascii="仿宋" w:hAnsi="仿宋" w:eastAsia="仿宋" w:cs="仿宋"/>
          <w:b/>
          <w:color w:val="auto"/>
          <w:sz w:val="30"/>
          <w:szCs w:val="30"/>
          <w:highlight w:val="none"/>
          <w:lang w:val="en-US" w:eastAsia="zh-CN"/>
        </w:rPr>
        <w:t>类似</w:t>
      </w:r>
      <w:r>
        <w:rPr>
          <w:rFonts w:hint="eastAsia" w:ascii="仿宋" w:hAnsi="仿宋" w:eastAsia="仿宋" w:cs="仿宋"/>
          <w:b/>
          <w:color w:val="auto"/>
          <w:sz w:val="30"/>
          <w:szCs w:val="30"/>
          <w:highlight w:val="none"/>
        </w:rPr>
        <w:t>业绩</w:t>
      </w:r>
    </w:p>
    <w:tbl>
      <w:tblPr>
        <w:tblStyle w:val="33"/>
        <w:tblpPr w:leftFromText="180" w:rightFromText="180" w:vertAnchor="text" w:horzAnchor="margin" w:tblpXSpec="center" w:tblpY="267"/>
        <w:tblOverlap w:val="never"/>
        <w:tblW w:w="98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55257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A06E487">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8050CEE">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2A4DF8B">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采购</w:t>
            </w:r>
            <w:r>
              <w:rPr>
                <w:rFonts w:hint="eastAsia" w:ascii="仿宋" w:hAnsi="仿宋" w:eastAsia="仿宋" w:cs="仿宋"/>
                <w:color w:val="auto"/>
                <w:highlight w:val="none"/>
                <w:lang w:eastAsia="zh-CN"/>
              </w:rPr>
              <w:t>单位</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4752418">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CC6E0A">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A322662">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FB80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9E3BB38">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5E257A4">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7AA8E89">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A07E94B">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4273149">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25F9A85">
            <w:pPr>
              <w:pStyle w:val="62"/>
              <w:spacing w:line="360" w:lineRule="auto"/>
              <w:jc w:val="center"/>
              <w:rPr>
                <w:rFonts w:hint="eastAsia" w:ascii="仿宋" w:hAnsi="仿宋" w:eastAsia="仿宋" w:cs="仿宋"/>
                <w:color w:val="auto"/>
                <w:highlight w:val="none"/>
              </w:rPr>
            </w:pPr>
          </w:p>
        </w:tc>
      </w:tr>
      <w:tr w14:paraId="306F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7B0D5E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17BCAE0">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3CE20CB">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F0A33D4">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E8E7416">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0FC7C20">
            <w:pPr>
              <w:pStyle w:val="62"/>
              <w:spacing w:line="360" w:lineRule="auto"/>
              <w:jc w:val="center"/>
              <w:rPr>
                <w:rFonts w:hint="eastAsia" w:ascii="仿宋" w:hAnsi="仿宋" w:eastAsia="仿宋" w:cs="仿宋"/>
                <w:color w:val="auto"/>
                <w:highlight w:val="none"/>
              </w:rPr>
            </w:pPr>
          </w:p>
        </w:tc>
      </w:tr>
      <w:tr w14:paraId="04A57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31B0534">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E27292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CB32F4D">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309F7BD">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FE2C3D">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EB1D8D">
            <w:pPr>
              <w:pStyle w:val="62"/>
              <w:spacing w:line="360" w:lineRule="auto"/>
              <w:jc w:val="center"/>
              <w:rPr>
                <w:rFonts w:hint="eastAsia" w:ascii="仿宋" w:hAnsi="仿宋" w:eastAsia="仿宋" w:cs="仿宋"/>
                <w:color w:val="auto"/>
                <w:highlight w:val="none"/>
              </w:rPr>
            </w:pPr>
          </w:p>
        </w:tc>
      </w:tr>
      <w:tr w14:paraId="5D1868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1ABA84D">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4C765D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47083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3F6708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27B8E7">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A0FC11">
            <w:pPr>
              <w:pStyle w:val="62"/>
              <w:spacing w:line="360" w:lineRule="auto"/>
              <w:jc w:val="center"/>
              <w:rPr>
                <w:rFonts w:hint="eastAsia" w:ascii="仿宋" w:hAnsi="仿宋" w:eastAsia="仿宋" w:cs="仿宋"/>
                <w:color w:val="auto"/>
                <w:highlight w:val="none"/>
              </w:rPr>
            </w:pPr>
          </w:p>
        </w:tc>
      </w:tr>
      <w:tr w14:paraId="0E4B2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86F268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1BBBDB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F9092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BC8A8EA">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FE6E5F4">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4418B0C">
            <w:pPr>
              <w:pStyle w:val="62"/>
              <w:spacing w:line="360" w:lineRule="auto"/>
              <w:jc w:val="center"/>
              <w:rPr>
                <w:rFonts w:hint="eastAsia" w:ascii="仿宋" w:hAnsi="仿宋" w:eastAsia="仿宋" w:cs="仿宋"/>
                <w:color w:val="auto"/>
                <w:highlight w:val="none"/>
              </w:rPr>
            </w:pPr>
          </w:p>
        </w:tc>
      </w:tr>
      <w:tr w14:paraId="3CCC4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FECBB7E">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D223CE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6D26D68">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0E2E35F">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D8525E1">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DEBCCEF">
            <w:pPr>
              <w:pStyle w:val="62"/>
              <w:spacing w:line="360" w:lineRule="auto"/>
              <w:jc w:val="center"/>
              <w:rPr>
                <w:rFonts w:hint="eastAsia" w:ascii="仿宋" w:hAnsi="仿宋" w:eastAsia="仿宋" w:cs="仿宋"/>
                <w:color w:val="auto"/>
                <w:highlight w:val="none"/>
              </w:rPr>
            </w:pPr>
          </w:p>
        </w:tc>
      </w:tr>
      <w:tr w14:paraId="2E5F3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A1F3616">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A8CD8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CF930CC">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70E4649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1EE6EFC">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3F55191">
            <w:pPr>
              <w:pStyle w:val="62"/>
              <w:spacing w:line="360" w:lineRule="auto"/>
              <w:jc w:val="center"/>
              <w:rPr>
                <w:rFonts w:hint="eastAsia" w:ascii="仿宋" w:hAnsi="仿宋" w:eastAsia="仿宋" w:cs="仿宋"/>
                <w:color w:val="auto"/>
                <w:highlight w:val="none"/>
              </w:rPr>
            </w:pPr>
          </w:p>
        </w:tc>
      </w:tr>
    </w:tbl>
    <w:p w14:paraId="50220A0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提供近三年（2022年0</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月01日-至今）已完成或正在进行的类似项目供货业绩，须提供业绩合同或中标通知书原件彩色扫描件加盖公章。</w:t>
      </w:r>
    </w:p>
    <w:p w14:paraId="2843815F">
      <w:pPr>
        <w:rPr>
          <w:rFonts w:hint="eastAsia" w:ascii="仿宋" w:hAnsi="仿宋" w:eastAsia="仿宋" w:cs="仿宋"/>
          <w:color w:val="auto"/>
          <w:highlight w:val="none"/>
        </w:rPr>
      </w:pPr>
    </w:p>
    <w:p w14:paraId="24100C10">
      <w:pPr>
        <w:rPr>
          <w:rFonts w:hint="eastAsia" w:ascii="仿宋" w:hAnsi="仿宋" w:eastAsia="仿宋" w:cs="仿宋"/>
          <w:color w:val="auto"/>
          <w:highlight w:val="none"/>
        </w:rPr>
      </w:pPr>
    </w:p>
    <w:p w14:paraId="22AB84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3DED12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p>
    <w:p w14:paraId="45D98B7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bookmarkEnd w:id="66"/>
    <w:p w14:paraId="58DA1C71">
      <w:pPr>
        <w:pStyle w:val="10"/>
        <w:rPr>
          <w:rFonts w:hint="eastAsia" w:ascii="仿宋" w:hAnsi="仿宋" w:eastAsia="仿宋" w:cs="仿宋"/>
          <w:color w:val="auto"/>
          <w:highlight w:val="none"/>
          <w:u w:val="single"/>
        </w:rPr>
      </w:pPr>
    </w:p>
    <w:p w14:paraId="05057C43">
      <w:pPr>
        <w:pStyle w:val="15"/>
        <w:rPr>
          <w:rFonts w:hint="eastAsia" w:ascii="仿宋" w:hAnsi="仿宋" w:eastAsia="仿宋" w:cs="仿宋"/>
          <w:color w:val="auto"/>
          <w:highlight w:val="none"/>
        </w:rPr>
      </w:pPr>
    </w:p>
    <w:p w14:paraId="63FDBEFC">
      <w:pPr>
        <w:spacing w:line="360" w:lineRule="auto"/>
        <w:jc w:val="center"/>
        <w:rPr>
          <w:rFonts w:hint="eastAsia" w:ascii="仿宋" w:hAnsi="仿宋" w:eastAsia="仿宋" w:cs="仿宋"/>
          <w:b/>
          <w:color w:val="auto"/>
          <w:sz w:val="30"/>
          <w:szCs w:val="30"/>
          <w:highlight w:val="none"/>
        </w:rPr>
      </w:pPr>
    </w:p>
    <w:p w14:paraId="1F0C9FF4">
      <w:pPr>
        <w:spacing w:line="360" w:lineRule="auto"/>
        <w:rPr>
          <w:rFonts w:hint="eastAsia" w:ascii="仿宋" w:hAnsi="仿宋" w:eastAsia="仿宋" w:cs="仿宋"/>
          <w:b/>
          <w:color w:val="auto"/>
          <w:sz w:val="30"/>
          <w:szCs w:val="30"/>
          <w:highlight w:val="none"/>
        </w:rPr>
      </w:pPr>
    </w:p>
    <w:p w14:paraId="389FB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bCs w:val="0"/>
          <w:color w:val="auto"/>
          <w:kern w:val="2"/>
          <w:sz w:val="30"/>
          <w:szCs w:val="30"/>
          <w:highlight w:val="none"/>
          <w:lang w:val="en-US" w:eastAsia="zh-CN" w:bidi="ar-SA"/>
        </w:rPr>
      </w:pPr>
      <w:bookmarkStart w:id="70" w:name="_Toc5541"/>
      <w:bookmarkStart w:id="71" w:name="_Toc29460"/>
    </w:p>
    <w:p w14:paraId="36D8D8A3">
      <w:pPr>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30"/>
          <w:szCs w:val="30"/>
          <w:highlight w:val="none"/>
        </w:rPr>
        <w:br w:type="page"/>
      </w:r>
      <w:bookmarkEnd w:id="70"/>
      <w:bookmarkEnd w:id="71"/>
      <w:bookmarkStart w:id="72" w:name="_Toc29174"/>
      <w:bookmarkStart w:id="73" w:name="_Toc29312"/>
      <w:bookmarkStart w:id="74" w:name="_Toc2098"/>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项目实施供货方案</w:t>
      </w:r>
    </w:p>
    <w:p w14:paraId="39C38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本项目特点，提供项目实施供货方案，包含但不仅限于：①实施供货计划、②供应进度安排、③人员安排组织；④供应货物质量保障、⑤货物包装方案、⑥货物交付及验收；所提供的方案全面内容可行、充实，且利于项目实施；</w:t>
      </w:r>
    </w:p>
    <w:p w14:paraId="326B34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B9EEB6F">
      <w:pPr>
        <w:rPr>
          <w:rFonts w:hint="eastAsia"/>
          <w:color w:val="auto"/>
          <w:highlight w:val="none"/>
        </w:rPr>
      </w:pPr>
    </w:p>
    <w:p w14:paraId="65067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rPr>
        <w:t>项目实施人员</w:t>
      </w:r>
    </w:p>
    <w:p w14:paraId="55A8BF5B">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提供服务本项目人员至少</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人，承担设备的软硬件安装、调试工作，须提供人员的身份证、学历证原件彩色扫描件加盖公章</w:t>
      </w:r>
      <w:r>
        <w:rPr>
          <w:rFonts w:hint="eastAsia" w:ascii="仿宋" w:hAnsi="仿宋" w:eastAsia="仿宋" w:cs="仿宋"/>
          <w:color w:val="auto"/>
          <w:kern w:val="0"/>
          <w:sz w:val="24"/>
          <w:szCs w:val="24"/>
          <w:highlight w:val="none"/>
          <w:lang w:eastAsia="zh-CN" w:bidi="ar"/>
        </w:rPr>
        <w:t>。</w:t>
      </w:r>
    </w:p>
    <w:p w14:paraId="6E59B1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AD377DD">
      <w:pPr>
        <w:pStyle w:val="10"/>
        <w:ind w:firstLine="480"/>
        <w:rPr>
          <w:rFonts w:hint="eastAsia" w:ascii="仿宋" w:hAnsi="仿宋" w:eastAsia="仿宋" w:cs="仿宋"/>
          <w:color w:val="auto"/>
          <w:sz w:val="24"/>
          <w:highlight w:val="none"/>
        </w:rPr>
      </w:pPr>
    </w:p>
    <w:p w14:paraId="221F3AB6">
      <w:pPr>
        <w:rPr>
          <w:rFonts w:hint="eastAsia"/>
          <w:color w:val="auto"/>
          <w:highlight w:val="none"/>
        </w:rPr>
      </w:pPr>
    </w:p>
    <w:p w14:paraId="53A8B078">
      <w:pPr>
        <w:rPr>
          <w:rFonts w:hint="eastAsia" w:ascii="仿宋" w:hAnsi="仿宋" w:eastAsia="仿宋" w:cs="仿宋"/>
          <w:color w:val="auto"/>
          <w:sz w:val="24"/>
          <w:highlight w:val="none"/>
        </w:rPr>
      </w:pPr>
    </w:p>
    <w:p w14:paraId="22BF6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rPr>
        <w:t>、本地化服务</w:t>
      </w:r>
    </w:p>
    <w:p w14:paraId="7F033C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能够提供本地化技术支持和服务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须提供证明材料（如承诺书或购房合同或租赁合同的原件彩色扫描件）。</w:t>
      </w:r>
    </w:p>
    <w:p w14:paraId="6F560E8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0BFFA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7F87B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14</w:t>
      </w:r>
      <w:r>
        <w:rPr>
          <w:rFonts w:hint="eastAsia" w:ascii="仿宋" w:hAnsi="仿宋" w:eastAsia="仿宋" w:cs="仿宋"/>
          <w:b/>
          <w:bCs/>
          <w:color w:val="auto"/>
          <w:sz w:val="30"/>
          <w:szCs w:val="30"/>
          <w:highlight w:val="none"/>
        </w:rPr>
        <w:t>、售后服务人员</w:t>
      </w:r>
    </w:p>
    <w:p w14:paraId="7AEBB075">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提供专业售后服务人员至少</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人，提供</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人得基础分</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分,不足</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人不得分，每增加1人加</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分，本项满分</w:t>
      </w: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分。</w:t>
      </w:r>
    </w:p>
    <w:p w14:paraId="2D477AB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售后服务人员须提供人员的身份证、学历证原件彩色扫描件。未提供或提供不全不得分。</w:t>
      </w:r>
      <w:r>
        <w:rPr>
          <w:rFonts w:hint="eastAsia" w:ascii="仿宋" w:hAnsi="仿宋" w:eastAsia="仿宋" w:cs="仿宋"/>
          <w:color w:val="auto"/>
          <w:sz w:val="24"/>
          <w:szCs w:val="24"/>
          <w:highlight w:val="none"/>
        </w:rPr>
        <w:t>格式自拟</w:t>
      </w:r>
    </w:p>
    <w:p w14:paraId="30E6A552">
      <w:pPr>
        <w:pStyle w:val="30"/>
        <w:rPr>
          <w:rFonts w:hint="eastAsia" w:ascii="仿宋" w:hAnsi="仿宋" w:eastAsia="仿宋" w:cs="仿宋"/>
          <w:color w:val="auto"/>
          <w:highlight w:val="none"/>
        </w:rPr>
      </w:pPr>
    </w:p>
    <w:p w14:paraId="0E24B43B">
      <w:pPr>
        <w:pStyle w:val="30"/>
        <w:rPr>
          <w:rFonts w:hint="eastAsia" w:ascii="仿宋" w:hAnsi="仿宋" w:eastAsia="仿宋" w:cs="仿宋"/>
          <w:color w:val="auto"/>
          <w:highlight w:val="none"/>
        </w:rPr>
      </w:pPr>
    </w:p>
    <w:p w14:paraId="49A92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23345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15、</w:t>
      </w:r>
      <w:r>
        <w:rPr>
          <w:rFonts w:hint="eastAsia" w:ascii="仿宋" w:hAnsi="仿宋" w:eastAsia="仿宋" w:cs="仿宋"/>
          <w:b/>
          <w:bCs/>
          <w:color w:val="auto"/>
          <w:sz w:val="30"/>
          <w:szCs w:val="30"/>
          <w:highlight w:val="none"/>
        </w:rPr>
        <w:t>售后方案</w:t>
      </w:r>
    </w:p>
    <w:p w14:paraId="79B95599">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供应商具有优质的售后服务措施和零配件的供应方案，售后服务方案包含但不限于①售后服务方案及人员安排；②响应时间（接到报修通知后2小时内到达现场，24小时内解决问题）；③计划；④备品备件库存</w:t>
      </w:r>
      <w:r>
        <w:rPr>
          <w:rFonts w:hint="eastAsia" w:ascii="仿宋" w:hAnsi="仿宋" w:eastAsia="仿宋" w:cs="仿宋"/>
          <w:color w:val="auto"/>
          <w:kern w:val="0"/>
          <w:sz w:val="24"/>
          <w:szCs w:val="24"/>
          <w:highlight w:val="none"/>
          <w:lang w:val="en-US" w:eastAsia="zh-CN" w:bidi="ar"/>
        </w:rPr>
        <w:t>及</w:t>
      </w:r>
      <w:r>
        <w:rPr>
          <w:rFonts w:hint="eastAsia" w:ascii="仿宋" w:hAnsi="仿宋" w:eastAsia="仿宋" w:cs="仿宋"/>
          <w:color w:val="auto"/>
          <w:kern w:val="0"/>
          <w:sz w:val="24"/>
          <w:szCs w:val="24"/>
          <w:highlight w:val="none"/>
          <w:lang w:eastAsia="zh-CN" w:bidi="ar"/>
        </w:rPr>
        <w:t>保障措施（对退换货、补单、供货，返修时等情况）等。</w:t>
      </w:r>
    </w:p>
    <w:p w14:paraId="607F1876">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格式自拟</w:t>
      </w:r>
    </w:p>
    <w:p w14:paraId="0D1776A3">
      <w:pPr>
        <w:pStyle w:val="30"/>
        <w:ind w:firstLine="480" w:firstLineChars="200"/>
        <w:rPr>
          <w:rFonts w:hint="eastAsia" w:ascii="仿宋" w:hAnsi="仿宋" w:eastAsia="仿宋" w:cs="仿宋"/>
          <w:color w:val="auto"/>
          <w:sz w:val="24"/>
          <w:szCs w:val="24"/>
          <w:highlight w:val="none"/>
        </w:rPr>
      </w:pPr>
    </w:p>
    <w:p w14:paraId="1828C4B4">
      <w:pPr>
        <w:pStyle w:val="30"/>
        <w:ind w:firstLine="480" w:firstLineChars="200"/>
        <w:rPr>
          <w:rFonts w:hint="eastAsia" w:ascii="仿宋" w:hAnsi="仿宋" w:eastAsia="仿宋" w:cs="仿宋"/>
          <w:color w:val="auto"/>
          <w:sz w:val="24"/>
          <w:szCs w:val="24"/>
          <w:highlight w:val="none"/>
        </w:rPr>
      </w:pPr>
    </w:p>
    <w:p w14:paraId="42949B69">
      <w:pPr>
        <w:pStyle w:val="30"/>
        <w:ind w:firstLine="480" w:firstLineChars="200"/>
        <w:rPr>
          <w:rFonts w:hint="eastAsia" w:ascii="仿宋" w:hAnsi="仿宋" w:eastAsia="仿宋" w:cs="仿宋"/>
          <w:color w:val="auto"/>
          <w:sz w:val="24"/>
          <w:szCs w:val="24"/>
          <w:highlight w:val="none"/>
        </w:rPr>
      </w:pPr>
    </w:p>
    <w:p w14:paraId="333CA22F">
      <w:pPr>
        <w:pStyle w:val="30"/>
        <w:ind w:firstLine="480" w:firstLineChars="200"/>
        <w:rPr>
          <w:rFonts w:hint="eastAsia" w:ascii="仿宋" w:hAnsi="仿宋" w:eastAsia="仿宋" w:cs="仿宋"/>
          <w:color w:val="auto"/>
          <w:sz w:val="24"/>
          <w:szCs w:val="24"/>
          <w:highlight w:val="none"/>
        </w:rPr>
      </w:pPr>
    </w:p>
    <w:p w14:paraId="2CBEC29F">
      <w:pPr>
        <w:pStyle w:val="30"/>
        <w:ind w:firstLine="480" w:firstLineChars="200"/>
        <w:rPr>
          <w:rFonts w:hint="eastAsia" w:ascii="仿宋" w:hAnsi="仿宋" w:eastAsia="仿宋" w:cs="仿宋"/>
          <w:color w:val="auto"/>
          <w:sz w:val="24"/>
          <w:szCs w:val="24"/>
          <w:highlight w:val="none"/>
        </w:rPr>
      </w:pPr>
    </w:p>
    <w:p w14:paraId="6450B2C8">
      <w:pPr>
        <w:pStyle w:val="30"/>
        <w:ind w:firstLine="480" w:firstLineChars="200"/>
        <w:rPr>
          <w:rFonts w:hint="eastAsia" w:ascii="仿宋" w:hAnsi="仿宋" w:eastAsia="仿宋" w:cs="仿宋"/>
          <w:color w:val="auto"/>
          <w:sz w:val="24"/>
          <w:szCs w:val="24"/>
          <w:highlight w:val="none"/>
        </w:rPr>
      </w:pPr>
    </w:p>
    <w:p w14:paraId="0708CAFC">
      <w:pPr>
        <w:pStyle w:val="30"/>
        <w:numPr>
          <w:ilvl w:val="0"/>
          <w:numId w:val="0"/>
        </w:numPr>
        <w:jc w:val="center"/>
        <w:rPr>
          <w:rFonts w:hint="eastAsia" w:ascii="仿宋" w:hAnsi="仿宋" w:eastAsia="仿宋" w:cs="仿宋"/>
          <w:b/>
          <w:bCs/>
          <w:color w:val="auto"/>
          <w:kern w:val="2"/>
          <w:sz w:val="28"/>
          <w:szCs w:val="28"/>
          <w:highlight w:val="none"/>
          <w:lang w:bidi="ar-SA"/>
        </w:rPr>
      </w:pPr>
      <w:r>
        <w:rPr>
          <w:rFonts w:hint="eastAsia" w:ascii="仿宋" w:hAnsi="仿宋" w:eastAsia="仿宋" w:cs="仿宋"/>
          <w:b/>
          <w:bCs/>
          <w:color w:val="auto"/>
          <w:kern w:val="2"/>
          <w:sz w:val="28"/>
          <w:szCs w:val="28"/>
          <w:highlight w:val="none"/>
          <w:lang w:val="en-US" w:eastAsia="zh-CN" w:bidi="ar-SA"/>
        </w:rPr>
        <w:t>16、</w:t>
      </w:r>
      <w:r>
        <w:rPr>
          <w:rFonts w:hint="eastAsia" w:ascii="仿宋" w:hAnsi="仿宋" w:eastAsia="仿宋" w:cs="仿宋"/>
          <w:b/>
          <w:bCs/>
          <w:color w:val="auto"/>
          <w:kern w:val="2"/>
          <w:sz w:val="28"/>
          <w:szCs w:val="28"/>
          <w:highlight w:val="none"/>
          <w:lang w:bidi="ar-SA"/>
        </w:rPr>
        <w:t>培训服务</w:t>
      </w:r>
    </w:p>
    <w:p w14:paraId="42638CAB">
      <w:pPr>
        <w:pStyle w:val="30"/>
        <w:numPr>
          <w:ilvl w:val="0"/>
          <w:numId w:val="0"/>
        </w:numPr>
        <w:ind w:firstLine="480" w:firstLineChars="200"/>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根据采购人要求提供相关内容培训，培训方案包括：①设备的操作使用；②设备的日常保养；③设备安全注意事项；④设备简易故障排除；⑤培训形式；⑥培训人员配备等。</w:t>
      </w:r>
    </w:p>
    <w:p w14:paraId="5FF5DE2B">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p w14:paraId="03041053">
      <w:pPr>
        <w:pStyle w:val="30"/>
        <w:rPr>
          <w:rFonts w:ascii="仿宋" w:hAnsi="仿宋" w:eastAsia="仿宋" w:cs="仿宋"/>
          <w:color w:val="auto"/>
          <w:highlight w:val="none"/>
        </w:rPr>
      </w:pPr>
    </w:p>
    <w:p w14:paraId="312C8113">
      <w:pPr>
        <w:pStyle w:val="30"/>
        <w:rPr>
          <w:rFonts w:ascii="仿宋" w:hAnsi="仿宋" w:eastAsia="仿宋" w:cs="仿宋"/>
          <w:color w:val="auto"/>
          <w:highlight w:val="none"/>
        </w:rPr>
      </w:pPr>
    </w:p>
    <w:p w14:paraId="6E88082E">
      <w:pPr>
        <w:pStyle w:val="30"/>
        <w:rPr>
          <w:rFonts w:ascii="仿宋" w:hAnsi="仿宋" w:eastAsia="仿宋" w:cs="仿宋"/>
          <w:color w:val="auto"/>
          <w:highlight w:val="none"/>
        </w:rPr>
      </w:pPr>
    </w:p>
    <w:p w14:paraId="5E066ECE">
      <w:pPr>
        <w:pStyle w:val="30"/>
        <w:rPr>
          <w:rFonts w:ascii="仿宋" w:hAnsi="仿宋" w:eastAsia="仿宋" w:cs="仿宋"/>
          <w:color w:val="auto"/>
          <w:highlight w:val="none"/>
        </w:rPr>
      </w:pPr>
    </w:p>
    <w:p w14:paraId="4FFEE965">
      <w:pPr>
        <w:pStyle w:val="30"/>
        <w:numPr>
          <w:ilvl w:val="0"/>
          <w:numId w:val="0"/>
        </w:numPr>
        <w:jc w:val="center"/>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val="en-US" w:eastAsia="zh-CN"/>
        </w:rPr>
        <w:t>17</w:t>
      </w:r>
      <w:r>
        <w:rPr>
          <w:rFonts w:hint="eastAsia" w:ascii="仿宋" w:hAnsi="仿宋" w:eastAsia="仿宋" w:cs="仿宋"/>
          <w:b/>
          <w:bCs/>
          <w:color w:val="auto"/>
          <w:kern w:val="2"/>
          <w:sz w:val="28"/>
          <w:szCs w:val="28"/>
          <w:highlight w:val="none"/>
        </w:rPr>
        <w:t>、质量保证</w:t>
      </w:r>
    </w:p>
    <w:p w14:paraId="58C3FA11">
      <w:pPr>
        <w:pStyle w:val="30"/>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所投设备的质量检测报告，提供的质检报告须为有效期内的由国家质量技术监督管理职能部门或国家质量技术监督管理职能部门授权认可的第三方检测机构出具的产品质检报告，报告须体现产品名称，设备或功能参数等（检测报告须符合国家标准，提供检测报告原件彩色扫描件加盖公章）</w:t>
      </w:r>
      <w:r>
        <w:rPr>
          <w:rFonts w:hint="eastAsia" w:ascii="仿宋" w:hAnsi="仿宋" w:eastAsia="仿宋" w:cs="仿宋"/>
          <w:color w:val="auto"/>
          <w:sz w:val="24"/>
          <w:szCs w:val="24"/>
          <w:highlight w:val="none"/>
          <w:lang w:eastAsia="zh-CN"/>
        </w:rPr>
        <w:t>。</w:t>
      </w:r>
    </w:p>
    <w:p w14:paraId="577D25F0">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bookmarkEnd w:id="72"/>
    <w:bookmarkEnd w:id="73"/>
    <w:bookmarkEnd w:id="74"/>
    <w:p w14:paraId="3E61D58B">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5A04C4FF">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18、中小微企业、残疾人福利性单位、监狱企业声明函</w:t>
      </w:r>
      <w:bookmarkEnd w:id="67"/>
      <w:bookmarkEnd w:id="68"/>
      <w:bookmarkEnd w:id="69"/>
    </w:p>
    <w:p w14:paraId="27A35330">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18.1、企业类型声明函（货物）</w:t>
      </w:r>
    </w:p>
    <w:p w14:paraId="62C10134">
      <w:pPr>
        <w:rPr>
          <w:rFonts w:hint="eastAsia"/>
          <w:color w:val="auto"/>
          <w:highlight w:val="none"/>
        </w:rPr>
      </w:pPr>
    </w:p>
    <w:p w14:paraId="3ABB418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7961EDF0">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，从业人员人，营业收入为万元，资产总额为万元</w:t>
      </w:r>
      <w:r>
        <w:rPr>
          <w:rFonts w:hint="eastAsia" w:ascii="仿宋" w:hAnsi="仿宋" w:eastAsia="仿宋" w:cs="仿宋"/>
          <w:color w:val="auto"/>
          <w:kern w:val="0"/>
          <w:sz w:val="24"/>
          <w:szCs w:val="24"/>
          <w:highlight w:val="none"/>
          <w:vertAlign w:val="superscript"/>
        </w:rPr>
        <w:t>1</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4F17F2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，从业人员人，营业收为万元，资产总额为万元，属于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7C11574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7BB28E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35BF16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64F2D488">
      <w:pPr>
        <w:widowControl/>
        <w:wordWrap w:val="0"/>
        <w:spacing w:line="360" w:lineRule="auto"/>
        <w:ind w:firstLine="480" w:firstLineChars="200"/>
        <w:jc w:val="right"/>
        <w:rPr>
          <w:rFonts w:hint="eastAsia" w:ascii="仿宋" w:hAnsi="仿宋" w:eastAsia="仿宋" w:cs="仿宋"/>
          <w:color w:val="auto"/>
          <w:kern w:val="0"/>
          <w:sz w:val="24"/>
          <w:szCs w:val="24"/>
          <w:highlight w:val="none"/>
        </w:rPr>
      </w:pPr>
    </w:p>
    <w:p w14:paraId="3FE013C0">
      <w:pPr>
        <w:widowControl/>
        <w:wordWrap w:val="0"/>
        <w:spacing w:line="360" w:lineRule="auto"/>
        <w:ind w:firstLine="480" w:firstLineChars="200"/>
        <w:jc w:val="righ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szCs w:val="24"/>
          <w:highlight w:val="none"/>
        </w:rPr>
        <w:t>）：</w:t>
      </w:r>
    </w:p>
    <w:p w14:paraId="41CBBE04">
      <w:pPr>
        <w:widowControl/>
        <w:wordWrap w:val="0"/>
        <w:spacing w:line="360" w:lineRule="auto"/>
        <w:ind w:right="480"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76E698FB">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35D17361">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56D08C95">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6F26F822">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1981DA3F">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2"/>
          <w:szCs w:val="22"/>
          <w:highlight w:val="none"/>
        </w:rPr>
        <w:t>从业人员、营业收入、资产总额填报上一年度数据，无上一年度数据的新成立企业可不填报。（若</w:t>
      </w:r>
      <w:r>
        <w:rPr>
          <w:rFonts w:hint="eastAsia" w:ascii="仿宋" w:hAnsi="仿宋" w:eastAsia="仿宋" w:cs="仿宋"/>
          <w:color w:val="auto"/>
          <w:kern w:val="0"/>
          <w:sz w:val="22"/>
          <w:szCs w:val="22"/>
          <w:highlight w:val="none"/>
          <w:lang w:eastAsia="zh-CN"/>
        </w:rPr>
        <w:t>响应</w:t>
      </w:r>
      <w:r>
        <w:rPr>
          <w:rFonts w:hint="eastAsia" w:ascii="仿宋" w:hAnsi="仿宋" w:eastAsia="仿宋" w:cs="仿宋"/>
          <w:color w:val="auto"/>
          <w:kern w:val="0"/>
          <w:sz w:val="22"/>
          <w:szCs w:val="22"/>
          <w:highlight w:val="none"/>
        </w:rPr>
        <w:t>文件中无上述文件，则在评审时不考虑对该小、微企业的相关优惠。）</w:t>
      </w:r>
    </w:p>
    <w:p w14:paraId="7E12C9CC">
      <w:pPr>
        <w:ind w:firstLine="440" w:firstLineChars="20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说明：1、标的名称填写为采购清单（采购目录）中各项货物名称，</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须全部填报，不得缺项、漏项；2、《中小企业声明函》内容填写厂家信息，落款</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盖章即可。</w:t>
      </w:r>
    </w:p>
    <w:p w14:paraId="5A9BED78">
      <w:pPr>
        <w:pStyle w:val="118"/>
        <w:spacing w:line="440" w:lineRule="exact"/>
        <w:ind w:firstLine="420"/>
        <w:rPr>
          <w:rFonts w:hint="eastAsia" w:ascii="仿宋" w:hAnsi="仿宋" w:eastAsia="仿宋" w:cs="仿宋"/>
          <w:b/>
          <w:bCs/>
          <w:color w:val="auto"/>
          <w:spacing w:val="6"/>
          <w:kern w:val="0"/>
          <w:sz w:val="28"/>
          <w:szCs w:val="28"/>
          <w:highlight w:val="none"/>
        </w:rPr>
      </w:pPr>
    </w:p>
    <w:p w14:paraId="3F125E15">
      <w:pPr>
        <w:rPr>
          <w:rFonts w:hint="eastAsia" w:ascii="仿宋" w:hAnsi="仿宋" w:eastAsia="仿宋" w:cs="仿宋"/>
          <w:bCs/>
          <w:color w:val="auto"/>
          <w:spacing w:val="6"/>
          <w:sz w:val="28"/>
          <w:szCs w:val="28"/>
          <w:highlight w:val="none"/>
          <w:lang w:val="en-US" w:eastAsia="zh-CN"/>
        </w:rPr>
      </w:pPr>
      <w:r>
        <w:rPr>
          <w:rFonts w:hint="eastAsia" w:ascii="仿宋" w:hAnsi="仿宋" w:eastAsia="仿宋" w:cs="仿宋"/>
          <w:bCs/>
          <w:color w:val="auto"/>
          <w:spacing w:val="6"/>
          <w:sz w:val="28"/>
          <w:szCs w:val="28"/>
          <w:highlight w:val="none"/>
          <w:lang w:val="en-US" w:eastAsia="zh-CN"/>
        </w:rPr>
        <w:br w:type="page"/>
      </w:r>
    </w:p>
    <w:p w14:paraId="5227494B">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18.2、监狱企业声明函</w:t>
      </w:r>
    </w:p>
    <w:p w14:paraId="0319B039">
      <w:pPr>
        <w:pStyle w:val="118"/>
        <w:spacing w:line="440" w:lineRule="exact"/>
        <w:rPr>
          <w:rFonts w:hint="eastAsia" w:ascii="仿宋" w:hAnsi="仿宋" w:eastAsia="仿宋" w:cs="仿宋"/>
          <w:b/>
          <w:color w:val="auto"/>
          <w:spacing w:val="6"/>
          <w:sz w:val="30"/>
          <w:szCs w:val="30"/>
          <w:highlight w:val="none"/>
        </w:rPr>
      </w:pPr>
    </w:p>
    <w:p w14:paraId="1487E2C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（监狱企业适用）</w:t>
      </w:r>
    </w:p>
    <w:p w14:paraId="3678A09B">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本公司郑重声明，根据《关于政府采购支持监狱企业发展有关问题的通知》（财库[2014]68号）的规定，本公司为监狱企业。</w:t>
      </w:r>
    </w:p>
    <w:p w14:paraId="3886E7E8">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本公司参加______单位的______项目采购活动，采购活动提供本企业（填写制造的货物，由本企业承担工程、提供服务）。</w:t>
      </w:r>
    </w:p>
    <w:p w14:paraId="4B589854">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本条所称货物不包括使用大型企业注册商标的货物和服务。</w:t>
      </w:r>
    </w:p>
    <w:p w14:paraId="6141D279">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本公司对上述声明的真实性负责。如有虚假，将依法承担相应责任。</w:t>
      </w:r>
    </w:p>
    <w:p w14:paraId="06984337">
      <w:pPr>
        <w:spacing w:line="360" w:lineRule="auto"/>
        <w:ind w:firstLine="4860" w:firstLineChars="2025"/>
        <w:rPr>
          <w:rFonts w:hint="eastAsia" w:ascii="仿宋" w:hAnsi="仿宋" w:eastAsia="仿宋" w:cs="仿宋"/>
          <w:color w:val="auto"/>
          <w:kern w:val="0"/>
          <w:sz w:val="24"/>
          <w:szCs w:val="24"/>
          <w:highlight w:val="none"/>
        </w:rPr>
      </w:pPr>
    </w:p>
    <w:p w14:paraId="1159DF71">
      <w:pPr>
        <w:spacing w:line="440" w:lineRule="exact"/>
        <w:ind w:firstLine="600"/>
        <w:rPr>
          <w:rFonts w:hint="eastAsia" w:ascii="仿宋" w:hAnsi="仿宋" w:eastAsia="仿宋" w:cs="仿宋"/>
          <w:color w:val="auto"/>
          <w:sz w:val="24"/>
          <w:szCs w:val="24"/>
          <w:highlight w:val="none"/>
        </w:rPr>
      </w:pPr>
    </w:p>
    <w:p w14:paraId="382D47B2">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14:paraId="62C966CA">
      <w:pPr>
        <w:spacing w:line="400" w:lineRule="atLeast"/>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法定代表人（电子签名或签章）：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14:paraId="5D0ABC0F">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3822E849">
      <w:pPr>
        <w:spacing w:line="360" w:lineRule="auto"/>
        <w:ind w:firstLine="480" w:firstLineChars="200"/>
        <w:rPr>
          <w:rFonts w:hint="eastAsia" w:ascii="仿宋" w:hAnsi="仿宋" w:eastAsia="仿宋" w:cs="仿宋"/>
          <w:color w:val="auto"/>
          <w:kern w:val="0"/>
          <w:sz w:val="24"/>
          <w:szCs w:val="24"/>
          <w:highlight w:val="none"/>
        </w:rPr>
      </w:pPr>
    </w:p>
    <w:p w14:paraId="127F690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注：后附监狱企业资格证明文件</w:t>
      </w:r>
    </w:p>
    <w:p w14:paraId="7CE4DC19">
      <w:pPr>
        <w:spacing w:line="44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1.省级以上监狱管理局、戒毒管理局（含新疆生产建设兵团）出具的属于监狱企业的证明文件；</w:t>
      </w:r>
    </w:p>
    <w:p w14:paraId="2D13C5F7">
      <w:pPr>
        <w:tabs>
          <w:tab w:val="left" w:pos="2880"/>
        </w:tabs>
        <w:spacing w:line="460" w:lineRule="atLeast"/>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2.证明材料加盖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05F9A2CF">
      <w:p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（若响应性文件中无上述证明文件，则在评审时不考虑对该监狱企业的相关优惠。）</w:t>
      </w:r>
    </w:p>
    <w:p w14:paraId="5EB98874">
      <w:pPr>
        <w:tabs>
          <w:tab w:val="left" w:pos="3600"/>
        </w:tabs>
        <w:adjustRightInd w:val="0"/>
        <w:snapToGrid w:val="0"/>
        <w:spacing w:line="440" w:lineRule="exact"/>
        <w:jc w:val="center"/>
        <w:rPr>
          <w:rFonts w:hint="eastAsia" w:ascii="仿宋" w:hAnsi="仿宋" w:eastAsia="仿宋" w:cs="仿宋"/>
          <w:color w:val="auto"/>
          <w:sz w:val="24"/>
          <w:szCs w:val="24"/>
          <w:highlight w:val="none"/>
        </w:rPr>
      </w:pPr>
    </w:p>
    <w:p w14:paraId="38F55D9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309EC394">
      <w:pPr>
        <w:pStyle w:val="118"/>
        <w:adjustRightInd w:val="0"/>
        <w:snapToGrid w:val="0"/>
        <w:spacing w:line="360" w:lineRule="auto"/>
        <w:ind w:right="24"/>
        <w:rPr>
          <w:rFonts w:hint="eastAsia" w:ascii="仿宋" w:hAnsi="仿宋" w:eastAsia="仿宋" w:cs="仿宋"/>
          <w:b/>
          <w:color w:val="auto"/>
          <w:highlight w:val="none"/>
        </w:rPr>
      </w:pPr>
    </w:p>
    <w:p w14:paraId="33F520FB">
      <w:pPr>
        <w:pStyle w:val="118"/>
        <w:spacing w:line="440" w:lineRule="exact"/>
        <w:ind w:firstLine="420"/>
        <w:jc w:val="center"/>
        <w:rPr>
          <w:rFonts w:hint="eastAsia" w:ascii="仿宋" w:hAnsi="仿宋" w:eastAsia="仿宋" w:cs="仿宋"/>
          <w:b/>
          <w:color w:val="auto"/>
          <w:highlight w:val="none"/>
        </w:rPr>
      </w:pPr>
    </w:p>
    <w:p w14:paraId="0FCBCE78">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0CDAA24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18.3、残疾人福利性单位声明函</w:t>
      </w:r>
    </w:p>
    <w:p w14:paraId="595FFC1C">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672E5A96">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E65808">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7D01D75B">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086B97E5">
      <w:pPr>
        <w:widowControl/>
        <w:adjustRightInd w:val="0"/>
        <w:snapToGrid w:val="0"/>
        <w:spacing w:line="360" w:lineRule="auto"/>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w:t>
      </w:r>
      <w:r>
        <w:rPr>
          <w:rFonts w:hint="eastAsia" w:ascii="仿宋" w:hAnsi="仿宋" w:eastAsia="仿宋" w:cs="仿宋"/>
          <w:color w:val="auto"/>
          <w:sz w:val="24"/>
          <w:highlight w:val="none"/>
        </w:rPr>
        <w:t>电子签章</w:t>
      </w:r>
      <w:r>
        <w:rPr>
          <w:rFonts w:hint="eastAsia" w:ascii="仿宋" w:hAnsi="仿宋" w:eastAsia="仿宋" w:cs="仿宋"/>
          <w:color w:val="auto"/>
          <w:spacing w:val="6"/>
          <w:kern w:val="0"/>
          <w:sz w:val="24"/>
          <w:szCs w:val="24"/>
          <w:highlight w:val="none"/>
        </w:rPr>
        <w:t>）：</w:t>
      </w:r>
    </w:p>
    <w:p w14:paraId="65BA935B">
      <w:pPr>
        <w:widowControl/>
        <w:adjustRightInd w:val="0"/>
        <w:snapToGrid w:val="0"/>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kern w:val="0"/>
          <w:sz w:val="24"/>
          <w:szCs w:val="24"/>
          <w:highlight w:val="none"/>
        </w:rPr>
        <w:t>日期：</w:t>
      </w:r>
    </w:p>
    <w:p w14:paraId="15B1BC54">
      <w:pPr>
        <w:spacing w:line="400" w:lineRule="atLeast"/>
        <w:ind w:firstLine="3730"/>
        <w:rPr>
          <w:rFonts w:hint="eastAsia" w:ascii="仿宋" w:hAnsi="仿宋" w:eastAsia="仿宋" w:cs="仿宋"/>
          <w:color w:val="auto"/>
          <w:sz w:val="24"/>
          <w:szCs w:val="24"/>
          <w:highlight w:val="none"/>
        </w:rPr>
      </w:pPr>
    </w:p>
    <w:p w14:paraId="02E7703A">
      <w:pPr>
        <w:pStyle w:val="10"/>
        <w:rPr>
          <w:rFonts w:hint="eastAsia" w:ascii="仿宋" w:hAnsi="仿宋" w:eastAsia="仿宋" w:cs="仿宋"/>
          <w:color w:val="auto"/>
          <w:highlight w:val="none"/>
        </w:rPr>
      </w:pPr>
    </w:p>
    <w:p w14:paraId="39647B3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60F82378">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467EF2B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19、供应商认为需要提交的其他文件</w:t>
      </w:r>
    </w:p>
    <w:p w14:paraId="540F1729">
      <w:pPr>
        <w:rPr>
          <w:rFonts w:hint="eastAsia"/>
          <w:color w:val="auto"/>
          <w:highlight w:val="none"/>
        </w:rPr>
      </w:pPr>
    </w:p>
    <w:p w14:paraId="54A1C4C8">
      <w:pPr>
        <w:rPr>
          <w:rFonts w:ascii="仿宋" w:hAnsi="仿宋" w:eastAsia="仿宋"/>
          <w:color w:val="auto"/>
          <w:kern w:val="0"/>
          <w:sz w:val="24"/>
          <w:highlight w:val="none"/>
        </w:rPr>
      </w:pPr>
      <w:r>
        <w:rPr>
          <w:rFonts w:hint="eastAsia" w:ascii="仿宋" w:hAnsi="仿宋" w:eastAsia="仿宋"/>
          <w:color w:val="auto"/>
          <w:kern w:val="0"/>
          <w:sz w:val="24"/>
          <w:highlight w:val="none"/>
        </w:rPr>
        <w:t>1、保证金凭证</w:t>
      </w:r>
    </w:p>
    <w:p w14:paraId="7C9F24C8">
      <w:pPr>
        <w:rPr>
          <w:rFonts w:hint="eastAsia" w:ascii="仿宋" w:hAnsi="仿宋" w:eastAsia="仿宋"/>
          <w:color w:val="auto"/>
          <w:kern w:val="0"/>
          <w:sz w:val="24"/>
          <w:highlight w:val="none"/>
          <w:lang w:val="en-US"/>
        </w:rPr>
      </w:pPr>
      <w:r>
        <w:rPr>
          <w:rFonts w:hint="eastAsia" w:ascii="仿宋" w:hAnsi="仿宋" w:eastAsia="仿宋"/>
          <w:color w:val="auto"/>
          <w:kern w:val="0"/>
          <w:sz w:val="24"/>
          <w:highlight w:val="none"/>
        </w:rPr>
        <w:t>2、供应商认为应提交的其他材料，可在此附件中提交。</w:t>
      </w:r>
    </w:p>
    <w:sectPr>
      <w:pgSz w:w="11906" w:h="16838"/>
      <w:pgMar w:top="1418" w:right="1196" w:bottom="1418" w:left="1701" w:header="851" w:footer="590" w:gutter="0"/>
      <w:pgNumType w:fmt="decimal"/>
      <w:cols w:space="720" w:num="1"/>
      <w:docGrid w:linePitch="312" w:charSpace="-1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394A">
    <w:pPr>
      <w:pStyle w:val="23"/>
      <w:ind w:right="108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8BF6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08BF6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50AE">
    <w:pPr>
      <w:pStyle w:val="23"/>
      <w:ind w:right="108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D51EB">
                          <w:pPr>
                            <w:pStyle w:val="2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1PSOEBAADBAwAADgAAAGRycy9lMm9Eb2MueG1srVPNjtMwEL4j8Q6W&#10;7zRpk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uX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UjU9I4QEAAMEDAAAOAAAA&#10;AAAAAAEAIAAAAB4BAABkcnMvZTJvRG9jLnhtbFBLBQYAAAAABgAGAFkBAABxBQAAAAA=&#10;">
              <v:fill on="f" focussize="0,0"/>
              <v:stroke on="f"/>
              <v:imagedata o:title=""/>
              <o:lock v:ext="edit" aspectratio="f"/>
              <v:textbox inset="0mm,0mm,0mm,0mm" style="mso-fit-shape-to-text:t;">
                <w:txbxContent>
                  <w:p w14:paraId="2BAD51EB">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AE69">
    <w:pPr>
      <w:pStyle w:val="24"/>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B52B9322"/>
    <w:multiLevelType w:val="singleLevel"/>
    <w:tmpl w:val="B52B9322"/>
    <w:lvl w:ilvl="0" w:tentative="0">
      <w:start w:val="29"/>
      <w:numFmt w:val="decimal"/>
      <w:suff w:val="space"/>
      <w:lvlText w:val="%1."/>
      <w:lvlJc w:val="left"/>
      <w:rPr>
        <w:rFonts w:hint="default"/>
        <w:b/>
        <w:bCs/>
      </w:rPr>
    </w:lvl>
  </w:abstractNum>
  <w:abstractNum w:abstractNumId="2">
    <w:nsid w:val="EFCD094D"/>
    <w:multiLevelType w:val="singleLevel"/>
    <w:tmpl w:val="EFCD094D"/>
    <w:lvl w:ilvl="0" w:tentative="0">
      <w:start w:val="8"/>
      <w:numFmt w:val="chineseCounting"/>
      <w:suff w:val="nothing"/>
      <w:lvlText w:val="%1、"/>
      <w:lvlJc w:val="left"/>
      <w:rPr>
        <w:rFonts w:hint="eastAsia"/>
      </w:rPr>
    </w:lvl>
  </w:abstractNum>
  <w:abstractNum w:abstractNumId="3">
    <w:nsid w:val="00000000"/>
    <w:multiLevelType w:val="singleLevel"/>
    <w:tmpl w:val="00000000"/>
    <w:lvl w:ilvl="0" w:tentative="0">
      <w:start w:val="2"/>
      <w:numFmt w:val="decimal"/>
      <w:suff w:val="nothing"/>
      <w:lvlText w:val="%1、"/>
      <w:lvlJc w:val="left"/>
    </w:lvl>
  </w:abstractNum>
  <w:abstractNum w:abstractNumId="4">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9B683D"/>
    <w:multiLevelType w:val="singleLevel"/>
    <w:tmpl w:val="3A9B683D"/>
    <w:lvl w:ilvl="0" w:tentative="0">
      <w:start w:val="1"/>
      <w:numFmt w:val="chineseCounting"/>
      <w:suff w:val="space"/>
      <w:lvlText w:val="%1、"/>
      <w:lvlJc w:val="left"/>
      <w:rPr>
        <w:rFonts w:hint="eastAsia"/>
      </w:rPr>
    </w:lvl>
  </w:abstractNum>
  <w:abstractNum w:abstractNumId="6">
    <w:nsid w:val="482462E9"/>
    <w:multiLevelType w:val="singleLevel"/>
    <w:tmpl w:val="482462E9"/>
    <w:lvl w:ilvl="0" w:tentative="0">
      <w:start w:val="2"/>
      <w:numFmt w:val="chineseCounting"/>
      <w:suff w:val="nothing"/>
      <w:lvlText w:val="%1、"/>
      <w:lvlJc w:val="left"/>
      <w:rPr>
        <w:rFonts w:hint="eastAsia"/>
      </w:rPr>
    </w:lvl>
  </w:abstractNum>
  <w:abstractNum w:abstractNumId="7">
    <w:nsid w:val="5A324592"/>
    <w:multiLevelType w:val="multilevel"/>
    <w:tmpl w:val="5A32459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60ECA9A9"/>
    <w:multiLevelType w:val="singleLevel"/>
    <w:tmpl w:val="60ECA9A9"/>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8"/>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676FD0"/>
    <w:rsid w:val="0000107A"/>
    <w:rsid w:val="000010E2"/>
    <w:rsid w:val="00002870"/>
    <w:rsid w:val="00003E9B"/>
    <w:rsid w:val="00004CAD"/>
    <w:rsid w:val="00004D70"/>
    <w:rsid w:val="000052D0"/>
    <w:rsid w:val="00006097"/>
    <w:rsid w:val="00007402"/>
    <w:rsid w:val="00012698"/>
    <w:rsid w:val="000135AB"/>
    <w:rsid w:val="00013F60"/>
    <w:rsid w:val="00014CD6"/>
    <w:rsid w:val="00015255"/>
    <w:rsid w:val="0001732D"/>
    <w:rsid w:val="00017C9E"/>
    <w:rsid w:val="00017E78"/>
    <w:rsid w:val="00020659"/>
    <w:rsid w:val="00021743"/>
    <w:rsid w:val="0002181E"/>
    <w:rsid w:val="000233CA"/>
    <w:rsid w:val="00025376"/>
    <w:rsid w:val="00026ABA"/>
    <w:rsid w:val="0002738D"/>
    <w:rsid w:val="00027750"/>
    <w:rsid w:val="00027B31"/>
    <w:rsid w:val="000302F9"/>
    <w:rsid w:val="000306A7"/>
    <w:rsid w:val="00031258"/>
    <w:rsid w:val="000315BE"/>
    <w:rsid w:val="0003460A"/>
    <w:rsid w:val="00034E0E"/>
    <w:rsid w:val="00040740"/>
    <w:rsid w:val="00040CBD"/>
    <w:rsid w:val="000418B8"/>
    <w:rsid w:val="00043070"/>
    <w:rsid w:val="000448BF"/>
    <w:rsid w:val="00046131"/>
    <w:rsid w:val="00047539"/>
    <w:rsid w:val="00047BAA"/>
    <w:rsid w:val="0005025E"/>
    <w:rsid w:val="000536E3"/>
    <w:rsid w:val="00054C75"/>
    <w:rsid w:val="0005580A"/>
    <w:rsid w:val="00056451"/>
    <w:rsid w:val="000564C0"/>
    <w:rsid w:val="00056620"/>
    <w:rsid w:val="000570F9"/>
    <w:rsid w:val="00057378"/>
    <w:rsid w:val="00060822"/>
    <w:rsid w:val="00060A5B"/>
    <w:rsid w:val="000633D0"/>
    <w:rsid w:val="00064036"/>
    <w:rsid w:val="000660FB"/>
    <w:rsid w:val="000663C0"/>
    <w:rsid w:val="00066A78"/>
    <w:rsid w:val="00066EC2"/>
    <w:rsid w:val="0007044F"/>
    <w:rsid w:val="0007076E"/>
    <w:rsid w:val="00070922"/>
    <w:rsid w:val="00071227"/>
    <w:rsid w:val="00071834"/>
    <w:rsid w:val="00072559"/>
    <w:rsid w:val="000754E2"/>
    <w:rsid w:val="0007638E"/>
    <w:rsid w:val="000765DB"/>
    <w:rsid w:val="00077107"/>
    <w:rsid w:val="0007732A"/>
    <w:rsid w:val="000775E0"/>
    <w:rsid w:val="00077E2A"/>
    <w:rsid w:val="00077E8E"/>
    <w:rsid w:val="00077FCD"/>
    <w:rsid w:val="000800E9"/>
    <w:rsid w:val="00080603"/>
    <w:rsid w:val="000817BC"/>
    <w:rsid w:val="00081B00"/>
    <w:rsid w:val="000822F2"/>
    <w:rsid w:val="00083430"/>
    <w:rsid w:val="00083538"/>
    <w:rsid w:val="0008379D"/>
    <w:rsid w:val="000837A6"/>
    <w:rsid w:val="00083DE9"/>
    <w:rsid w:val="00084473"/>
    <w:rsid w:val="00085568"/>
    <w:rsid w:val="00086342"/>
    <w:rsid w:val="00086A61"/>
    <w:rsid w:val="000920D6"/>
    <w:rsid w:val="00092116"/>
    <w:rsid w:val="00092588"/>
    <w:rsid w:val="00093507"/>
    <w:rsid w:val="000944D6"/>
    <w:rsid w:val="000972CA"/>
    <w:rsid w:val="00097AFC"/>
    <w:rsid w:val="000A1EE5"/>
    <w:rsid w:val="000A3C66"/>
    <w:rsid w:val="000A5DA7"/>
    <w:rsid w:val="000A65A4"/>
    <w:rsid w:val="000A7386"/>
    <w:rsid w:val="000B418C"/>
    <w:rsid w:val="000B4864"/>
    <w:rsid w:val="000B5477"/>
    <w:rsid w:val="000B7206"/>
    <w:rsid w:val="000B76BD"/>
    <w:rsid w:val="000B779E"/>
    <w:rsid w:val="000B7B2C"/>
    <w:rsid w:val="000B7B9D"/>
    <w:rsid w:val="000C22D6"/>
    <w:rsid w:val="000C3BAE"/>
    <w:rsid w:val="000C4E72"/>
    <w:rsid w:val="000C51D1"/>
    <w:rsid w:val="000C5D7B"/>
    <w:rsid w:val="000C6812"/>
    <w:rsid w:val="000C7056"/>
    <w:rsid w:val="000C7A22"/>
    <w:rsid w:val="000C7EC2"/>
    <w:rsid w:val="000D0630"/>
    <w:rsid w:val="000D1DB7"/>
    <w:rsid w:val="000D35B8"/>
    <w:rsid w:val="000D6F54"/>
    <w:rsid w:val="000D720C"/>
    <w:rsid w:val="000E0129"/>
    <w:rsid w:val="000E0660"/>
    <w:rsid w:val="000E07FD"/>
    <w:rsid w:val="000E0BFD"/>
    <w:rsid w:val="000E1261"/>
    <w:rsid w:val="000E1965"/>
    <w:rsid w:val="000E232D"/>
    <w:rsid w:val="000E2995"/>
    <w:rsid w:val="000E31B6"/>
    <w:rsid w:val="000E35B9"/>
    <w:rsid w:val="000E4F78"/>
    <w:rsid w:val="000E5744"/>
    <w:rsid w:val="000E5B99"/>
    <w:rsid w:val="000E5F3E"/>
    <w:rsid w:val="000E6A74"/>
    <w:rsid w:val="000E77F2"/>
    <w:rsid w:val="000E7921"/>
    <w:rsid w:val="000E7DFD"/>
    <w:rsid w:val="000E7EBC"/>
    <w:rsid w:val="000F06DC"/>
    <w:rsid w:val="000F332B"/>
    <w:rsid w:val="000F4571"/>
    <w:rsid w:val="000F45F8"/>
    <w:rsid w:val="000F5091"/>
    <w:rsid w:val="000F5097"/>
    <w:rsid w:val="000F5F6B"/>
    <w:rsid w:val="00100410"/>
    <w:rsid w:val="00100E52"/>
    <w:rsid w:val="00101DC5"/>
    <w:rsid w:val="001021DF"/>
    <w:rsid w:val="00104792"/>
    <w:rsid w:val="00104CF4"/>
    <w:rsid w:val="00104D48"/>
    <w:rsid w:val="00104ECC"/>
    <w:rsid w:val="00105BE4"/>
    <w:rsid w:val="00106733"/>
    <w:rsid w:val="00107A33"/>
    <w:rsid w:val="00107F10"/>
    <w:rsid w:val="00107F8B"/>
    <w:rsid w:val="001115D1"/>
    <w:rsid w:val="00111EE7"/>
    <w:rsid w:val="001126C6"/>
    <w:rsid w:val="00112E5A"/>
    <w:rsid w:val="00114704"/>
    <w:rsid w:val="00116023"/>
    <w:rsid w:val="00116247"/>
    <w:rsid w:val="001166BD"/>
    <w:rsid w:val="00116FB0"/>
    <w:rsid w:val="00117289"/>
    <w:rsid w:val="001178D6"/>
    <w:rsid w:val="00120AB5"/>
    <w:rsid w:val="00120B34"/>
    <w:rsid w:val="00120B4C"/>
    <w:rsid w:val="00121527"/>
    <w:rsid w:val="0012159F"/>
    <w:rsid w:val="00121791"/>
    <w:rsid w:val="0012262E"/>
    <w:rsid w:val="00122701"/>
    <w:rsid w:val="0012301F"/>
    <w:rsid w:val="0012303F"/>
    <w:rsid w:val="001261AB"/>
    <w:rsid w:val="00126FED"/>
    <w:rsid w:val="00130C60"/>
    <w:rsid w:val="0013133C"/>
    <w:rsid w:val="00131881"/>
    <w:rsid w:val="00136B38"/>
    <w:rsid w:val="00140B8E"/>
    <w:rsid w:val="001419FB"/>
    <w:rsid w:val="00145E09"/>
    <w:rsid w:val="00146418"/>
    <w:rsid w:val="001475D6"/>
    <w:rsid w:val="0015077D"/>
    <w:rsid w:val="00150E48"/>
    <w:rsid w:val="00151091"/>
    <w:rsid w:val="0015140A"/>
    <w:rsid w:val="00153404"/>
    <w:rsid w:val="00153530"/>
    <w:rsid w:val="0015357D"/>
    <w:rsid w:val="00154BA3"/>
    <w:rsid w:val="00154EC6"/>
    <w:rsid w:val="00154FC3"/>
    <w:rsid w:val="001551AD"/>
    <w:rsid w:val="00155A8B"/>
    <w:rsid w:val="00155E50"/>
    <w:rsid w:val="00156CA3"/>
    <w:rsid w:val="00157018"/>
    <w:rsid w:val="001572BC"/>
    <w:rsid w:val="00157F2A"/>
    <w:rsid w:val="001601CF"/>
    <w:rsid w:val="001603A8"/>
    <w:rsid w:val="001603A9"/>
    <w:rsid w:val="00160F6F"/>
    <w:rsid w:val="00162FCB"/>
    <w:rsid w:val="00165D8B"/>
    <w:rsid w:val="00176F7E"/>
    <w:rsid w:val="00177860"/>
    <w:rsid w:val="001822EE"/>
    <w:rsid w:val="0018316C"/>
    <w:rsid w:val="00184ABD"/>
    <w:rsid w:val="00185AF2"/>
    <w:rsid w:val="00186047"/>
    <w:rsid w:val="00187067"/>
    <w:rsid w:val="001878BC"/>
    <w:rsid w:val="0019079D"/>
    <w:rsid w:val="001918C6"/>
    <w:rsid w:val="00192972"/>
    <w:rsid w:val="00192A6C"/>
    <w:rsid w:val="00192EF9"/>
    <w:rsid w:val="00194248"/>
    <w:rsid w:val="00194DCC"/>
    <w:rsid w:val="0019562B"/>
    <w:rsid w:val="0019582D"/>
    <w:rsid w:val="001A0E6A"/>
    <w:rsid w:val="001A1D1A"/>
    <w:rsid w:val="001A3760"/>
    <w:rsid w:val="001A4CB7"/>
    <w:rsid w:val="001A5107"/>
    <w:rsid w:val="001A5258"/>
    <w:rsid w:val="001A5844"/>
    <w:rsid w:val="001A65A0"/>
    <w:rsid w:val="001A66DA"/>
    <w:rsid w:val="001A6D9E"/>
    <w:rsid w:val="001A6EA2"/>
    <w:rsid w:val="001B1AE6"/>
    <w:rsid w:val="001B1B6A"/>
    <w:rsid w:val="001B315F"/>
    <w:rsid w:val="001B38DB"/>
    <w:rsid w:val="001B4854"/>
    <w:rsid w:val="001B5507"/>
    <w:rsid w:val="001B5966"/>
    <w:rsid w:val="001B5D3E"/>
    <w:rsid w:val="001B6E2B"/>
    <w:rsid w:val="001B7C32"/>
    <w:rsid w:val="001C28F4"/>
    <w:rsid w:val="001C3873"/>
    <w:rsid w:val="001C518E"/>
    <w:rsid w:val="001C53A6"/>
    <w:rsid w:val="001C7016"/>
    <w:rsid w:val="001D0400"/>
    <w:rsid w:val="001D0C11"/>
    <w:rsid w:val="001D0FDC"/>
    <w:rsid w:val="001D107D"/>
    <w:rsid w:val="001D113E"/>
    <w:rsid w:val="001D1215"/>
    <w:rsid w:val="001D2265"/>
    <w:rsid w:val="001D22E4"/>
    <w:rsid w:val="001D31FD"/>
    <w:rsid w:val="001D3B3F"/>
    <w:rsid w:val="001D3C2D"/>
    <w:rsid w:val="001D413B"/>
    <w:rsid w:val="001D4346"/>
    <w:rsid w:val="001D5DEA"/>
    <w:rsid w:val="001D73C3"/>
    <w:rsid w:val="001D752D"/>
    <w:rsid w:val="001D7A7B"/>
    <w:rsid w:val="001E0364"/>
    <w:rsid w:val="001E1107"/>
    <w:rsid w:val="001E1118"/>
    <w:rsid w:val="001E2620"/>
    <w:rsid w:val="001E2956"/>
    <w:rsid w:val="001E3721"/>
    <w:rsid w:val="001E4282"/>
    <w:rsid w:val="001E5AE3"/>
    <w:rsid w:val="001E6357"/>
    <w:rsid w:val="001E745B"/>
    <w:rsid w:val="001F0248"/>
    <w:rsid w:val="001F02CB"/>
    <w:rsid w:val="001F0504"/>
    <w:rsid w:val="001F1138"/>
    <w:rsid w:val="001F145D"/>
    <w:rsid w:val="001F307B"/>
    <w:rsid w:val="001F4100"/>
    <w:rsid w:val="001F4ABB"/>
    <w:rsid w:val="001F5231"/>
    <w:rsid w:val="002001EB"/>
    <w:rsid w:val="002009BD"/>
    <w:rsid w:val="00200A4C"/>
    <w:rsid w:val="00201010"/>
    <w:rsid w:val="00201B1C"/>
    <w:rsid w:val="0020371E"/>
    <w:rsid w:val="00203ADF"/>
    <w:rsid w:val="00204561"/>
    <w:rsid w:val="00204B0A"/>
    <w:rsid w:val="00204BF3"/>
    <w:rsid w:val="00204D32"/>
    <w:rsid w:val="002067B0"/>
    <w:rsid w:val="002117F9"/>
    <w:rsid w:val="00212608"/>
    <w:rsid w:val="002142A7"/>
    <w:rsid w:val="00215488"/>
    <w:rsid w:val="00215FDD"/>
    <w:rsid w:val="00216EE1"/>
    <w:rsid w:val="00217A7A"/>
    <w:rsid w:val="0022070B"/>
    <w:rsid w:val="00222868"/>
    <w:rsid w:val="00222B72"/>
    <w:rsid w:val="00223B8A"/>
    <w:rsid w:val="002251B8"/>
    <w:rsid w:val="00225E54"/>
    <w:rsid w:val="0023334E"/>
    <w:rsid w:val="0023341C"/>
    <w:rsid w:val="00237B4C"/>
    <w:rsid w:val="00237D5A"/>
    <w:rsid w:val="002407C7"/>
    <w:rsid w:val="002412D0"/>
    <w:rsid w:val="00241330"/>
    <w:rsid w:val="00242D6A"/>
    <w:rsid w:val="00243F87"/>
    <w:rsid w:val="002442F4"/>
    <w:rsid w:val="00246923"/>
    <w:rsid w:val="00246CD4"/>
    <w:rsid w:val="00247B3E"/>
    <w:rsid w:val="00250F98"/>
    <w:rsid w:val="002517E5"/>
    <w:rsid w:val="0025180B"/>
    <w:rsid w:val="00254137"/>
    <w:rsid w:val="00254A4B"/>
    <w:rsid w:val="00255452"/>
    <w:rsid w:val="00255579"/>
    <w:rsid w:val="0025563F"/>
    <w:rsid w:val="00260177"/>
    <w:rsid w:val="002606DA"/>
    <w:rsid w:val="00260C31"/>
    <w:rsid w:val="0026140D"/>
    <w:rsid w:val="00261DFF"/>
    <w:rsid w:val="002622DA"/>
    <w:rsid w:val="00262536"/>
    <w:rsid w:val="0026316F"/>
    <w:rsid w:val="00263866"/>
    <w:rsid w:val="002638E4"/>
    <w:rsid w:val="00263924"/>
    <w:rsid w:val="002643ED"/>
    <w:rsid w:val="00264B57"/>
    <w:rsid w:val="00267CA0"/>
    <w:rsid w:val="00267CF3"/>
    <w:rsid w:val="002705BD"/>
    <w:rsid w:val="00270AE0"/>
    <w:rsid w:val="00270E2B"/>
    <w:rsid w:val="00272E18"/>
    <w:rsid w:val="00273053"/>
    <w:rsid w:val="00274337"/>
    <w:rsid w:val="002757CC"/>
    <w:rsid w:val="00277063"/>
    <w:rsid w:val="0027727F"/>
    <w:rsid w:val="002775CA"/>
    <w:rsid w:val="00280182"/>
    <w:rsid w:val="0028171D"/>
    <w:rsid w:val="00282A66"/>
    <w:rsid w:val="00282FFF"/>
    <w:rsid w:val="00284544"/>
    <w:rsid w:val="00284A39"/>
    <w:rsid w:val="0028620C"/>
    <w:rsid w:val="00286FC4"/>
    <w:rsid w:val="00287039"/>
    <w:rsid w:val="00287785"/>
    <w:rsid w:val="0028798B"/>
    <w:rsid w:val="00287FE8"/>
    <w:rsid w:val="002906CF"/>
    <w:rsid w:val="002909FF"/>
    <w:rsid w:val="00291C0E"/>
    <w:rsid w:val="00292018"/>
    <w:rsid w:val="00293063"/>
    <w:rsid w:val="0029324A"/>
    <w:rsid w:val="00293F94"/>
    <w:rsid w:val="0029485A"/>
    <w:rsid w:val="00295637"/>
    <w:rsid w:val="00296438"/>
    <w:rsid w:val="00296839"/>
    <w:rsid w:val="002972F5"/>
    <w:rsid w:val="002A0B68"/>
    <w:rsid w:val="002A13A6"/>
    <w:rsid w:val="002A218F"/>
    <w:rsid w:val="002A5A24"/>
    <w:rsid w:val="002A6D7C"/>
    <w:rsid w:val="002A72FE"/>
    <w:rsid w:val="002A7744"/>
    <w:rsid w:val="002A775D"/>
    <w:rsid w:val="002B0487"/>
    <w:rsid w:val="002B1D61"/>
    <w:rsid w:val="002B2409"/>
    <w:rsid w:val="002B2D13"/>
    <w:rsid w:val="002B3159"/>
    <w:rsid w:val="002B73DF"/>
    <w:rsid w:val="002C03BC"/>
    <w:rsid w:val="002C1E3B"/>
    <w:rsid w:val="002C20DF"/>
    <w:rsid w:val="002C2E81"/>
    <w:rsid w:val="002C3054"/>
    <w:rsid w:val="002C338D"/>
    <w:rsid w:val="002C3AFA"/>
    <w:rsid w:val="002C3B22"/>
    <w:rsid w:val="002C4797"/>
    <w:rsid w:val="002C602D"/>
    <w:rsid w:val="002C6FB2"/>
    <w:rsid w:val="002C7346"/>
    <w:rsid w:val="002D00BD"/>
    <w:rsid w:val="002D32AD"/>
    <w:rsid w:val="002D4B42"/>
    <w:rsid w:val="002D5184"/>
    <w:rsid w:val="002D5335"/>
    <w:rsid w:val="002D5865"/>
    <w:rsid w:val="002D5CED"/>
    <w:rsid w:val="002D62AD"/>
    <w:rsid w:val="002E0E16"/>
    <w:rsid w:val="002E12B5"/>
    <w:rsid w:val="002E1D70"/>
    <w:rsid w:val="002E2638"/>
    <w:rsid w:val="002E29ED"/>
    <w:rsid w:val="002E2C16"/>
    <w:rsid w:val="002E5C51"/>
    <w:rsid w:val="002E65E5"/>
    <w:rsid w:val="002E69AF"/>
    <w:rsid w:val="002E79E4"/>
    <w:rsid w:val="002F0E9F"/>
    <w:rsid w:val="002F1139"/>
    <w:rsid w:val="002F1218"/>
    <w:rsid w:val="002F1D1F"/>
    <w:rsid w:val="002F1EDB"/>
    <w:rsid w:val="002F20EB"/>
    <w:rsid w:val="002F2ACE"/>
    <w:rsid w:val="002F350B"/>
    <w:rsid w:val="002F6559"/>
    <w:rsid w:val="002F68C4"/>
    <w:rsid w:val="002F794F"/>
    <w:rsid w:val="00300DA9"/>
    <w:rsid w:val="0030202B"/>
    <w:rsid w:val="003031F3"/>
    <w:rsid w:val="00303609"/>
    <w:rsid w:val="00304C87"/>
    <w:rsid w:val="00306CFC"/>
    <w:rsid w:val="00307753"/>
    <w:rsid w:val="00310062"/>
    <w:rsid w:val="0031092E"/>
    <w:rsid w:val="00311259"/>
    <w:rsid w:val="003130D2"/>
    <w:rsid w:val="003177B0"/>
    <w:rsid w:val="0032060D"/>
    <w:rsid w:val="00320D7C"/>
    <w:rsid w:val="00322A90"/>
    <w:rsid w:val="003254BF"/>
    <w:rsid w:val="003262BF"/>
    <w:rsid w:val="0033074A"/>
    <w:rsid w:val="00330E78"/>
    <w:rsid w:val="00331261"/>
    <w:rsid w:val="0033253D"/>
    <w:rsid w:val="003325D4"/>
    <w:rsid w:val="00332D0D"/>
    <w:rsid w:val="00332F50"/>
    <w:rsid w:val="003330C1"/>
    <w:rsid w:val="0033400D"/>
    <w:rsid w:val="0033443A"/>
    <w:rsid w:val="00335BDC"/>
    <w:rsid w:val="00335D54"/>
    <w:rsid w:val="00336505"/>
    <w:rsid w:val="00336A4F"/>
    <w:rsid w:val="00337751"/>
    <w:rsid w:val="00340DFD"/>
    <w:rsid w:val="00340F3E"/>
    <w:rsid w:val="003410A5"/>
    <w:rsid w:val="00341B3F"/>
    <w:rsid w:val="003422A5"/>
    <w:rsid w:val="0034330F"/>
    <w:rsid w:val="0034358C"/>
    <w:rsid w:val="0034438B"/>
    <w:rsid w:val="00344571"/>
    <w:rsid w:val="00344A43"/>
    <w:rsid w:val="00344D00"/>
    <w:rsid w:val="00346C1D"/>
    <w:rsid w:val="00347136"/>
    <w:rsid w:val="00350693"/>
    <w:rsid w:val="00350FCB"/>
    <w:rsid w:val="003515C5"/>
    <w:rsid w:val="003519BC"/>
    <w:rsid w:val="00351C84"/>
    <w:rsid w:val="00352F8C"/>
    <w:rsid w:val="00353120"/>
    <w:rsid w:val="00353785"/>
    <w:rsid w:val="00354515"/>
    <w:rsid w:val="00354A93"/>
    <w:rsid w:val="00354B9D"/>
    <w:rsid w:val="003560D2"/>
    <w:rsid w:val="00357642"/>
    <w:rsid w:val="00357FA2"/>
    <w:rsid w:val="00357FDB"/>
    <w:rsid w:val="00360733"/>
    <w:rsid w:val="0036154E"/>
    <w:rsid w:val="00361986"/>
    <w:rsid w:val="0036223F"/>
    <w:rsid w:val="00362A64"/>
    <w:rsid w:val="00363D75"/>
    <w:rsid w:val="00367854"/>
    <w:rsid w:val="00371452"/>
    <w:rsid w:val="00372D4B"/>
    <w:rsid w:val="003735A2"/>
    <w:rsid w:val="003741E8"/>
    <w:rsid w:val="00374B3A"/>
    <w:rsid w:val="00374CD0"/>
    <w:rsid w:val="00374E7C"/>
    <w:rsid w:val="003757FE"/>
    <w:rsid w:val="00375FAB"/>
    <w:rsid w:val="003763B6"/>
    <w:rsid w:val="00377282"/>
    <w:rsid w:val="0038215B"/>
    <w:rsid w:val="00382BA2"/>
    <w:rsid w:val="00382C7D"/>
    <w:rsid w:val="003843EE"/>
    <w:rsid w:val="00384C45"/>
    <w:rsid w:val="00384C7B"/>
    <w:rsid w:val="0038553D"/>
    <w:rsid w:val="00385E17"/>
    <w:rsid w:val="00385E8B"/>
    <w:rsid w:val="00386939"/>
    <w:rsid w:val="00387C57"/>
    <w:rsid w:val="0039272A"/>
    <w:rsid w:val="00393107"/>
    <w:rsid w:val="00393572"/>
    <w:rsid w:val="00393D5E"/>
    <w:rsid w:val="00396C74"/>
    <w:rsid w:val="003A02D0"/>
    <w:rsid w:val="003A057F"/>
    <w:rsid w:val="003A22B6"/>
    <w:rsid w:val="003A2990"/>
    <w:rsid w:val="003A33EA"/>
    <w:rsid w:val="003A3FE0"/>
    <w:rsid w:val="003A4614"/>
    <w:rsid w:val="003A55C3"/>
    <w:rsid w:val="003A6EB2"/>
    <w:rsid w:val="003A7613"/>
    <w:rsid w:val="003B1D6C"/>
    <w:rsid w:val="003B246E"/>
    <w:rsid w:val="003B2813"/>
    <w:rsid w:val="003B3B80"/>
    <w:rsid w:val="003B3BE5"/>
    <w:rsid w:val="003B4866"/>
    <w:rsid w:val="003B4A5D"/>
    <w:rsid w:val="003B6E5A"/>
    <w:rsid w:val="003C0E2B"/>
    <w:rsid w:val="003C2E0B"/>
    <w:rsid w:val="003C2F77"/>
    <w:rsid w:val="003C4C9F"/>
    <w:rsid w:val="003C57F0"/>
    <w:rsid w:val="003C5E79"/>
    <w:rsid w:val="003C69A1"/>
    <w:rsid w:val="003C7A19"/>
    <w:rsid w:val="003C7D86"/>
    <w:rsid w:val="003C7F77"/>
    <w:rsid w:val="003D02B3"/>
    <w:rsid w:val="003D16BC"/>
    <w:rsid w:val="003D45E7"/>
    <w:rsid w:val="003D6BCA"/>
    <w:rsid w:val="003D6BFE"/>
    <w:rsid w:val="003E0F10"/>
    <w:rsid w:val="003E0F16"/>
    <w:rsid w:val="003E255A"/>
    <w:rsid w:val="003E2C31"/>
    <w:rsid w:val="003E3BA1"/>
    <w:rsid w:val="003E42CE"/>
    <w:rsid w:val="003E443D"/>
    <w:rsid w:val="003E4DD5"/>
    <w:rsid w:val="003E4F7E"/>
    <w:rsid w:val="003E519C"/>
    <w:rsid w:val="003E7758"/>
    <w:rsid w:val="003F0346"/>
    <w:rsid w:val="003F1A15"/>
    <w:rsid w:val="003F2EB9"/>
    <w:rsid w:val="003F3D7B"/>
    <w:rsid w:val="003F455E"/>
    <w:rsid w:val="003F5130"/>
    <w:rsid w:val="003F7237"/>
    <w:rsid w:val="003F7528"/>
    <w:rsid w:val="00400A28"/>
    <w:rsid w:val="00400BF3"/>
    <w:rsid w:val="004011C5"/>
    <w:rsid w:val="0040146E"/>
    <w:rsid w:val="00402DD2"/>
    <w:rsid w:val="0040336A"/>
    <w:rsid w:val="00403791"/>
    <w:rsid w:val="00406379"/>
    <w:rsid w:val="00411395"/>
    <w:rsid w:val="0041206A"/>
    <w:rsid w:val="00413D20"/>
    <w:rsid w:val="00414BA1"/>
    <w:rsid w:val="00415BCA"/>
    <w:rsid w:val="00416326"/>
    <w:rsid w:val="00416965"/>
    <w:rsid w:val="00417B24"/>
    <w:rsid w:val="00420B65"/>
    <w:rsid w:val="00420C5D"/>
    <w:rsid w:val="00420E78"/>
    <w:rsid w:val="0042111D"/>
    <w:rsid w:val="004212F2"/>
    <w:rsid w:val="0042131F"/>
    <w:rsid w:val="004220AC"/>
    <w:rsid w:val="004229A9"/>
    <w:rsid w:val="00423B94"/>
    <w:rsid w:val="0042595B"/>
    <w:rsid w:val="0043023A"/>
    <w:rsid w:val="00431CA0"/>
    <w:rsid w:val="0043274E"/>
    <w:rsid w:val="004331BA"/>
    <w:rsid w:val="004335A8"/>
    <w:rsid w:val="004355B0"/>
    <w:rsid w:val="00435E4E"/>
    <w:rsid w:val="00435FAA"/>
    <w:rsid w:val="0043695B"/>
    <w:rsid w:val="004452C0"/>
    <w:rsid w:val="00445FAB"/>
    <w:rsid w:val="00446342"/>
    <w:rsid w:val="00447C4A"/>
    <w:rsid w:val="00450852"/>
    <w:rsid w:val="00450B79"/>
    <w:rsid w:val="00451987"/>
    <w:rsid w:val="00451D45"/>
    <w:rsid w:val="00453B13"/>
    <w:rsid w:val="00454440"/>
    <w:rsid w:val="00454C18"/>
    <w:rsid w:val="00456977"/>
    <w:rsid w:val="0045716E"/>
    <w:rsid w:val="004572AA"/>
    <w:rsid w:val="0045758D"/>
    <w:rsid w:val="0046009E"/>
    <w:rsid w:val="00460414"/>
    <w:rsid w:val="00460D5D"/>
    <w:rsid w:val="00460D8E"/>
    <w:rsid w:val="00462A68"/>
    <w:rsid w:val="00466DBA"/>
    <w:rsid w:val="00470473"/>
    <w:rsid w:val="00471FBC"/>
    <w:rsid w:val="00473109"/>
    <w:rsid w:val="004745E2"/>
    <w:rsid w:val="00474C8E"/>
    <w:rsid w:val="00475E66"/>
    <w:rsid w:val="004763E1"/>
    <w:rsid w:val="0047780E"/>
    <w:rsid w:val="004819B6"/>
    <w:rsid w:val="00481EFE"/>
    <w:rsid w:val="0048334D"/>
    <w:rsid w:val="00483847"/>
    <w:rsid w:val="0048407B"/>
    <w:rsid w:val="004848A3"/>
    <w:rsid w:val="00485F17"/>
    <w:rsid w:val="004864FB"/>
    <w:rsid w:val="00487243"/>
    <w:rsid w:val="0048751B"/>
    <w:rsid w:val="00487943"/>
    <w:rsid w:val="004933C7"/>
    <w:rsid w:val="00494607"/>
    <w:rsid w:val="00496A30"/>
    <w:rsid w:val="004A02C0"/>
    <w:rsid w:val="004A150F"/>
    <w:rsid w:val="004A2667"/>
    <w:rsid w:val="004A29F9"/>
    <w:rsid w:val="004A57B6"/>
    <w:rsid w:val="004A67D4"/>
    <w:rsid w:val="004A7B0F"/>
    <w:rsid w:val="004A7BBB"/>
    <w:rsid w:val="004B0585"/>
    <w:rsid w:val="004B2250"/>
    <w:rsid w:val="004B39C4"/>
    <w:rsid w:val="004B3AA9"/>
    <w:rsid w:val="004B3F91"/>
    <w:rsid w:val="004B65E8"/>
    <w:rsid w:val="004B76FF"/>
    <w:rsid w:val="004B7E3F"/>
    <w:rsid w:val="004C1C72"/>
    <w:rsid w:val="004C1E15"/>
    <w:rsid w:val="004C235D"/>
    <w:rsid w:val="004C2556"/>
    <w:rsid w:val="004C2F88"/>
    <w:rsid w:val="004C46D5"/>
    <w:rsid w:val="004C494A"/>
    <w:rsid w:val="004C62D6"/>
    <w:rsid w:val="004C7F3A"/>
    <w:rsid w:val="004D1951"/>
    <w:rsid w:val="004D19C6"/>
    <w:rsid w:val="004D26F8"/>
    <w:rsid w:val="004D539E"/>
    <w:rsid w:val="004D5486"/>
    <w:rsid w:val="004D607A"/>
    <w:rsid w:val="004D6E27"/>
    <w:rsid w:val="004D74E7"/>
    <w:rsid w:val="004E00F6"/>
    <w:rsid w:val="004E1BE0"/>
    <w:rsid w:val="004E399B"/>
    <w:rsid w:val="004E3F37"/>
    <w:rsid w:val="004E4B25"/>
    <w:rsid w:val="004E5668"/>
    <w:rsid w:val="004E7BFD"/>
    <w:rsid w:val="004F023A"/>
    <w:rsid w:val="004F1764"/>
    <w:rsid w:val="004F257E"/>
    <w:rsid w:val="004F40F1"/>
    <w:rsid w:val="004F48C4"/>
    <w:rsid w:val="004F4A99"/>
    <w:rsid w:val="004F4ED3"/>
    <w:rsid w:val="004F5686"/>
    <w:rsid w:val="004F6906"/>
    <w:rsid w:val="004F7EF4"/>
    <w:rsid w:val="00500510"/>
    <w:rsid w:val="0050242C"/>
    <w:rsid w:val="00503983"/>
    <w:rsid w:val="00503AA7"/>
    <w:rsid w:val="00506470"/>
    <w:rsid w:val="0050778D"/>
    <w:rsid w:val="00511040"/>
    <w:rsid w:val="005122D2"/>
    <w:rsid w:val="00513335"/>
    <w:rsid w:val="00514CF7"/>
    <w:rsid w:val="00515222"/>
    <w:rsid w:val="005154B3"/>
    <w:rsid w:val="005156E2"/>
    <w:rsid w:val="005159D6"/>
    <w:rsid w:val="00516ED6"/>
    <w:rsid w:val="00517892"/>
    <w:rsid w:val="00520414"/>
    <w:rsid w:val="00520748"/>
    <w:rsid w:val="00520A21"/>
    <w:rsid w:val="0052121D"/>
    <w:rsid w:val="00521825"/>
    <w:rsid w:val="005220AF"/>
    <w:rsid w:val="00522264"/>
    <w:rsid w:val="005222E1"/>
    <w:rsid w:val="00522CBF"/>
    <w:rsid w:val="00523399"/>
    <w:rsid w:val="00523CC5"/>
    <w:rsid w:val="005244BC"/>
    <w:rsid w:val="00524B63"/>
    <w:rsid w:val="0052748F"/>
    <w:rsid w:val="00527759"/>
    <w:rsid w:val="00527A45"/>
    <w:rsid w:val="00527BE5"/>
    <w:rsid w:val="00530C9B"/>
    <w:rsid w:val="00530E16"/>
    <w:rsid w:val="00531F28"/>
    <w:rsid w:val="00534337"/>
    <w:rsid w:val="005353C6"/>
    <w:rsid w:val="005357E9"/>
    <w:rsid w:val="00537C09"/>
    <w:rsid w:val="00540898"/>
    <w:rsid w:val="005421AD"/>
    <w:rsid w:val="00543C43"/>
    <w:rsid w:val="00544A3D"/>
    <w:rsid w:val="00544F36"/>
    <w:rsid w:val="00545595"/>
    <w:rsid w:val="00546226"/>
    <w:rsid w:val="00546C98"/>
    <w:rsid w:val="00552019"/>
    <w:rsid w:val="005534D6"/>
    <w:rsid w:val="005538AA"/>
    <w:rsid w:val="005538B9"/>
    <w:rsid w:val="00553C41"/>
    <w:rsid w:val="00553FB7"/>
    <w:rsid w:val="00554F7B"/>
    <w:rsid w:val="00555605"/>
    <w:rsid w:val="00555BC0"/>
    <w:rsid w:val="00557153"/>
    <w:rsid w:val="00557F3C"/>
    <w:rsid w:val="00561465"/>
    <w:rsid w:val="00562385"/>
    <w:rsid w:val="0056254F"/>
    <w:rsid w:val="00562710"/>
    <w:rsid w:val="00563752"/>
    <w:rsid w:val="00564343"/>
    <w:rsid w:val="005644B0"/>
    <w:rsid w:val="00565172"/>
    <w:rsid w:val="005658F8"/>
    <w:rsid w:val="00571365"/>
    <w:rsid w:val="005723E8"/>
    <w:rsid w:val="00572EE9"/>
    <w:rsid w:val="00573A39"/>
    <w:rsid w:val="00574B52"/>
    <w:rsid w:val="00577008"/>
    <w:rsid w:val="00577C3C"/>
    <w:rsid w:val="0058219C"/>
    <w:rsid w:val="00582584"/>
    <w:rsid w:val="00582680"/>
    <w:rsid w:val="00582702"/>
    <w:rsid w:val="00583271"/>
    <w:rsid w:val="00583ACD"/>
    <w:rsid w:val="00583DE3"/>
    <w:rsid w:val="005845AC"/>
    <w:rsid w:val="00587B1B"/>
    <w:rsid w:val="00587DED"/>
    <w:rsid w:val="00591C66"/>
    <w:rsid w:val="00595AFF"/>
    <w:rsid w:val="0059615B"/>
    <w:rsid w:val="005A020F"/>
    <w:rsid w:val="005A07A9"/>
    <w:rsid w:val="005A0CE2"/>
    <w:rsid w:val="005A0E7C"/>
    <w:rsid w:val="005A26B7"/>
    <w:rsid w:val="005A2BA0"/>
    <w:rsid w:val="005A2D67"/>
    <w:rsid w:val="005A32BF"/>
    <w:rsid w:val="005A3FB2"/>
    <w:rsid w:val="005A6339"/>
    <w:rsid w:val="005A6C3F"/>
    <w:rsid w:val="005A6F60"/>
    <w:rsid w:val="005A7705"/>
    <w:rsid w:val="005A7BB7"/>
    <w:rsid w:val="005B00D6"/>
    <w:rsid w:val="005B01B0"/>
    <w:rsid w:val="005B1642"/>
    <w:rsid w:val="005B3FCC"/>
    <w:rsid w:val="005B6530"/>
    <w:rsid w:val="005B6B87"/>
    <w:rsid w:val="005B7D19"/>
    <w:rsid w:val="005B7ED4"/>
    <w:rsid w:val="005C0699"/>
    <w:rsid w:val="005C0C92"/>
    <w:rsid w:val="005C271C"/>
    <w:rsid w:val="005C364D"/>
    <w:rsid w:val="005C3BAE"/>
    <w:rsid w:val="005C4ABA"/>
    <w:rsid w:val="005C52A3"/>
    <w:rsid w:val="005C73F2"/>
    <w:rsid w:val="005D1DA3"/>
    <w:rsid w:val="005D3534"/>
    <w:rsid w:val="005D48F1"/>
    <w:rsid w:val="005D58A6"/>
    <w:rsid w:val="005D65D6"/>
    <w:rsid w:val="005D6BFB"/>
    <w:rsid w:val="005D7FA5"/>
    <w:rsid w:val="005E0A6D"/>
    <w:rsid w:val="005E1CF3"/>
    <w:rsid w:val="005E1DE2"/>
    <w:rsid w:val="005E23BC"/>
    <w:rsid w:val="005E2452"/>
    <w:rsid w:val="005E31D6"/>
    <w:rsid w:val="005E33BD"/>
    <w:rsid w:val="005E3E42"/>
    <w:rsid w:val="005E5645"/>
    <w:rsid w:val="005E6A97"/>
    <w:rsid w:val="005F0986"/>
    <w:rsid w:val="005F40C9"/>
    <w:rsid w:val="005F422D"/>
    <w:rsid w:val="005F4BCA"/>
    <w:rsid w:val="005F52BC"/>
    <w:rsid w:val="005F5C7E"/>
    <w:rsid w:val="005F5F68"/>
    <w:rsid w:val="006002D0"/>
    <w:rsid w:val="00601644"/>
    <w:rsid w:val="00601CE0"/>
    <w:rsid w:val="00603458"/>
    <w:rsid w:val="006035CA"/>
    <w:rsid w:val="00603721"/>
    <w:rsid w:val="00603EDE"/>
    <w:rsid w:val="006042A3"/>
    <w:rsid w:val="00610039"/>
    <w:rsid w:val="00610051"/>
    <w:rsid w:val="00610361"/>
    <w:rsid w:val="00612623"/>
    <w:rsid w:val="006147D1"/>
    <w:rsid w:val="00614888"/>
    <w:rsid w:val="006162C1"/>
    <w:rsid w:val="00617667"/>
    <w:rsid w:val="0062038E"/>
    <w:rsid w:val="00620B47"/>
    <w:rsid w:val="00620DE4"/>
    <w:rsid w:val="006215B4"/>
    <w:rsid w:val="00622BCC"/>
    <w:rsid w:val="00623269"/>
    <w:rsid w:val="00623412"/>
    <w:rsid w:val="00623967"/>
    <w:rsid w:val="006245E4"/>
    <w:rsid w:val="00625901"/>
    <w:rsid w:val="00626EBC"/>
    <w:rsid w:val="0063092D"/>
    <w:rsid w:val="00630C1D"/>
    <w:rsid w:val="00630E85"/>
    <w:rsid w:val="00631C5A"/>
    <w:rsid w:val="00632171"/>
    <w:rsid w:val="0063342B"/>
    <w:rsid w:val="00633512"/>
    <w:rsid w:val="006336CB"/>
    <w:rsid w:val="00633E47"/>
    <w:rsid w:val="00633E5A"/>
    <w:rsid w:val="006342BE"/>
    <w:rsid w:val="00634406"/>
    <w:rsid w:val="00635373"/>
    <w:rsid w:val="00640A7E"/>
    <w:rsid w:val="00641193"/>
    <w:rsid w:val="00641C7B"/>
    <w:rsid w:val="00642CF0"/>
    <w:rsid w:val="00642EBB"/>
    <w:rsid w:val="006449E1"/>
    <w:rsid w:val="00644C59"/>
    <w:rsid w:val="00645852"/>
    <w:rsid w:val="00645C9A"/>
    <w:rsid w:val="006460B0"/>
    <w:rsid w:val="00647F2F"/>
    <w:rsid w:val="006507B9"/>
    <w:rsid w:val="00650B46"/>
    <w:rsid w:val="006511FC"/>
    <w:rsid w:val="00651B75"/>
    <w:rsid w:val="00652B35"/>
    <w:rsid w:val="00653152"/>
    <w:rsid w:val="006535F4"/>
    <w:rsid w:val="00653ACC"/>
    <w:rsid w:val="00655541"/>
    <w:rsid w:val="006574A8"/>
    <w:rsid w:val="00662652"/>
    <w:rsid w:val="00664021"/>
    <w:rsid w:val="006659EB"/>
    <w:rsid w:val="00666557"/>
    <w:rsid w:val="00666592"/>
    <w:rsid w:val="006666A5"/>
    <w:rsid w:val="0067152E"/>
    <w:rsid w:val="0067183E"/>
    <w:rsid w:val="00672337"/>
    <w:rsid w:val="00674A4F"/>
    <w:rsid w:val="0067623D"/>
    <w:rsid w:val="00676FD0"/>
    <w:rsid w:val="00677427"/>
    <w:rsid w:val="00680642"/>
    <w:rsid w:val="00680B40"/>
    <w:rsid w:val="00680F2A"/>
    <w:rsid w:val="00684331"/>
    <w:rsid w:val="00684A22"/>
    <w:rsid w:val="00687814"/>
    <w:rsid w:val="006878CC"/>
    <w:rsid w:val="00687D6F"/>
    <w:rsid w:val="00690308"/>
    <w:rsid w:val="0069048C"/>
    <w:rsid w:val="006904F5"/>
    <w:rsid w:val="006931FA"/>
    <w:rsid w:val="00693347"/>
    <w:rsid w:val="006935B2"/>
    <w:rsid w:val="00693EA6"/>
    <w:rsid w:val="006944C9"/>
    <w:rsid w:val="00694501"/>
    <w:rsid w:val="006945C4"/>
    <w:rsid w:val="00694CE3"/>
    <w:rsid w:val="00696E6E"/>
    <w:rsid w:val="006A0A7B"/>
    <w:rsid w:val="006A28F0"/>
    <w:rsid w:val="006A2AA2"/>
    <w:rsid w:val="006A4343"/>
    <w:rsid w:val="006A45E7"/>
    <w:rsid w:val="006A5254"/>
    <w:rsid w:val="006A58DE"/>
    <w:rsid w:val="006A71D9"/>
    <w:rsid w:val="006A7FE4"/>
    <w:rsid w:val="006B04AB"/>
    <w:rsid w:val="006B0801"/>
    <w:rsid w:val="006B0A8C"/>
    <w:rsid w:val="006B1989"/>
    <w:rsid w:val="006B2A1F"/>
    <w:rsid w:val="006B3273"/>
    <w:rsid w:val="006B3929"/>
    <w:rsid w:val="006B5A62"/>
    <w:rsid w:val="006B72EB"/>
    <w:rsid w:val="006B76FA"/>
    <w:rsid w:val="006C0137"/>
    <w:rsid w:val="006C066C"/>
    <w:rsid w:val="006C1480"/>
    <w:rsid w:val="006C1FA0"/>
    <w:rsid w:val="006C2882"/>
    <w:rsid w:val="006C2C7D"/>
    <w:rsid w:val="006C45D5"/>
    <w:rsid w:val="006C5C19"/>
    <w:rsid w:val="006C63E6"/>
    <w:rsid w:val="006C77BF"/>
    <w:rsid w:val="006C7FFE"/>
    <w:rsid w:val="006D094E"/>
    <w:rsid w:val="006D0EE6"/>
    <w:rsid w:val="006D2156"/>
    <w:rsid w:val="006D2F9F"/>
    <w:rsid w:val="006D3DE0"/>
    <w:rsid w:val="006D4F05"/>
    <w:rsid w:val="006D5630"/>
    <w:rsid w:val="006D5901"/>
    <w:rsid w:val="006D5908"/>
    <w:rsid w:val="006D613A"/>
    <w:rsid w:val="006D6808"/>
    <w:rsid w:val="006D6B86"/>
    <w:rsid w:val="006D72E5"/>
    <w:rsid w:val="006D73F0"/>
    <w:rsid w:val="006D7A90"/>
    <w:rsid w:val="006E0DAD"/>
    <w:rsid w:val="006E1BC1"/>
    <w:rsid w:val="006E2A80"/>
    <w:rsid w:val="006E47FA"/>
    <w:rsid w:val="006E57BF"/>
    <w:rsid w:val="006E67C3"/>
    <w:rsid w:val="006F03C7"/>
    <w:rsid w:val="006F0F76"/>
    <w:rsid w:val="006F108B"/>
    <w:rsid w:val="006F2341"/>
    <w:rsid w:val="006F2FA5"/>
    <w:rsid w:val="006F3C41"/>
    <w:rsid w:val="006F3F41"/>
    <w:rsid w:val="006F4574"/>
    <w:rsid w:val="006F5A69"/>
    <w:rsid w:val="006F5D94"/>
    <w:rsid w:val="006F649F"/>
    <w:rsid w:val="006F6EEB"/>
    <w:rsid w:val="007002C3"/>
    <w:rsid w:val="00702A0F"/>
    <w:rsid w:val="00702BB9"/>
    <w:rsid w:val="00704783"/>
    <w:rsid w:val="00705C49"/>
    <w:rsid w:val="007067C1"/>
    <w:rsid w:val="00706A2F"/>
    <w:rsid w:val="00707B14"/>
    <w:rsid w:val="007103B0"/>
    <w:rsid w:val="007105B5"/>
    <w:rsid w:val="00710A71"/>
    <w:rsid w:val="0071180E"/>
    <w:rsid w:val="00713BA7"/>
    <w:rsid w:val="00714668"/>
    <w:rsid w:val="00715188"/>
    <w:rsid w:val="0072156F"/>
    <w:rsid w:val="007224A6"/>
    <w:rsid w:val="00722A5C"/>
    <w:rsid w:val="00722E70"/>
    <w:rsid w:val="00723349"/>
    <w:rsid w:val="00723D85"/>
    <w:rsid w:val="00724751"/>
    <w:rsid w:val="00724BE4"/>
    <w:rsid w:val="007256FD"/>
    <w:rsid w:val="00725711"/>
    <w:rsid w:val="00726126"/>
    <w:rsid w:val="00731DEA"/>
    <w:rsid w:val="00732AAA"/>
    <w:rsid w:val="00732D03"/>
    <w:rsid w:val="0073349B"/>
    <w:rsid w:val="007337C4"/>
    <w:rsid w:val="00734A81"/>
    <w:rsid w:val="00734C05"/>
    <w:rsid w:val="00734DD8"/>
    <w:rsid w:val="0073747E"/>
    <w:rsid w:val="00737C1D"/>
    <w:rsid w:val="007418D5"/>
    <w:rsid w:val="007431D1"/>
    <w:rsid w:val="0074457E"/>
    <w:rsid w:val="00745252"/>
    <w:rsid w:val="007505FD"/>
    <w:rsid w:val="00750F7F"/>
    <w:rsid w:val="00751AB5"/>
    <w:rsid w:val="0075285B"/>
    <w:rsid w:val="007541D7"/>
    <w:rsid w:val="00754416"/>
    <w:rsid w:val="007547AD"/>
    <w:rsid w:val="007572BE"/>
    <w:rsid w:val="00757BB9"/>
    <w:rsid w:val="00757C41"/>
    <w:rsid w:val="0076091F"/>
    <w:rsid w:val="007613AF"/>
    <w:rsid w:val="0076177F"/>
    <w:rsid w:val="007620ED"/>
    <w:rsid w:val="0076324B"/>
    <w:rsid w:val="00764C12"/>
    <w:rsid w:val="00765197"/>
    <w:rsid w:val="00767123"/>
    <w:rsid w:val="007704BB"/>
    <w:rsid w:val="007705BE"/>
    <w:rsid w:val="00770CD7"/>
    <w:rsid w:val="00770E97"/>
    <w:rsid w:val="00771B0A"/>
    <w:rsid w:val="0077306E"/>
    <w:rsid w:val="00773571"/>
    <w:rsid w:val="0077427A"/>
    <w:rsid w:val="0077538C"/>
    <w:rsid w:val="00775FD7"/>
    <w:rsid w:val="00776720"/>
    <w:rsid w:val="0077746B"/>
    <w:rsid w:val="007813CE"/>
    <w:rsid w:val="00781D20"/>
    <w:rsid w:val="007831E9"/>
    <w:rsid w:val="0078336C"/>
    <w:rsid w:val="00783606"/>
    <w:rsid w:val="00783CB8"/>
    <w:rsid w:val="007848DB"/>
    <w:rsid w:val="00784FCE"/>
    <w:rsid w:val="00785FE1"/>
    <w:rsid w:val="00786985"/>
    <w:rsid w:val="00787249"/>
    <w:rsid w:val="00787BA3"/>
    <w:rsid w:val="00790737"/>
    <w:rsid w:val="00791941"/>
    <w:rsid w:val="007924A2"/>
    <w:rsid w:val="00793C90"/>
    <w:rsid w:val="00793DE2"/>
    <w:rsid w:val="007945A8"/>
    <w:rsid w:val="00794776"/>
    <w:rsid w:val="007A1F9C"/>
    <w:rsid w:val="007A3214"/>
    <w:rsid w:val="007A4651"/>
    <w:rsid w:val="007A6ADE"/>
    <w:rsid w:val="007A6EAB"/>
    <w:rsid w:val="007A7842"/>
    <w:rsid w:val="007A795E"/>
    <w:rsid w:val="007B0977"/>
    <w:rsid w:val="007B19D7"/>
    <w:rsid w:val="007B249C"/>
    <w:rsid w:val="007B252A"/>
    <w:rsid w:val="007B30C5"/>
    <w:rsid w:val="007B43AB"/>
    <w:rsid w:val="007B712D"/>
    <w:rsid w:val="007B75F3"/>
    <w:rsid w:val="007B7763"/>
    <w:rsid w:val="007C0139"/>
    <w:rsid w:val="007C1919"/>
    <w:rsid w:val="007C3282"/>
    <w:rsid w:val="007C3412"/>
    <w:rsid w:val="007C61BA"/>
    <w:rsid w:val="007C6C0C"/>
    <w:rsid w:val="007C6C6D"/>
    <w:rsid w:val="007D319D"/>
    <w:rsid w:val="007D37F4"/>
    <w:rsid w:val="007D3ABD"/>
    <w:rsid w:val="007D3DA9"/>
    <w:rsid w:val="007D5D08"/>
    <w:rsid w:val="007D6DCB"/>
    <w:rsid w:val="007E038C"/>
    <w:rsid w:val="007E1D54"/>
    <w:rsid w:val="007E5445"/>
    <w:rsid w:val="007E5C0E"/>
    <w:rsid w:val="007E5C91"/>
    <w:rsid w:val="007E67E4"/>
    <w:rsid w:val="007E7537"/>
    <w:rsid w:val="007F1079"/>
    <w:rsid w:val="007F1091"/>
    <w:rsid w:val="007F10CA"/>
    <w:rsid w:val="007F1A8A"/>
    <w:rsid w:val="007F1DDD"/>
    <w:rsid w:val="007F292B"/>
    <w:rsid w:val="007F2AEE"/>
    <w:rsid w:val="007F2CCB"/>
    <w:rsid w:val="007F321C"/>
    <w:rsid w:val="007F32C2"/>
    <w:rsid w:val="007F50C7"/>
    <w:rsid w:val="007F5704"/>
    <w:rsid w:val="007F62C6"/>
    <w:rsid w:val="007F6D29"/>
    <w:rsid w:val="007F6EB9"/>
    <w:rsid w:val="007F7462"/>
    <w:rsid w:val="007F7E54"/>
    <w:rsid w:val="007F7EFD"/>
    <w:rsid w:val="008012B0"/>
    <w:rsid w:val="008021EF"/>
    <w:rsid w:val="00803AC9"/>
    <w:rsid w:val="008041AC"/>
    <w:rsid w:val="00804C22"/>
    <w:rsid w:val="00804D76"/>
    <w:rsid w:val="0080673B"/>
    <w:rsid w:val="00807519"/>
    <w:rsid w:val="0081085B"/>
    <w:rsid w:val="00812399"/>
    <w:rsid w:val="00812895"/>
    <w:rsid w:val="00813B4B"/>
    <w:rsid w:val="00813C4E"/>
    <w:rsid w:val="00813E1B"/>
    <w:rsid w:val="008142E0"/>
    <w:rsid w:val="0081486C"/>
    <w:rsid w:val="0081770F"/>
    <w:rsid w:val="00825607"/>
    <w:rsid w:val="00825F18"/>
    <w:rsid w:val="00826ACD"/>
    <w:rsid w:val="00827423"/>
    <w:rsid w:val="0083071E"/>
    <w:rsid w:val="008328F4"/>
    <w:rsid w:val="00833276"/>
    <w:rsid w:val="00833688"/>
    <w:rsid w:val="008358CE"/>
    <w:rsid w:val="0083689B"/>
    <w:rsid w:val="00836A46"/>
    <w:rsid w:val="008404C7"/>
    <w:rsid w:val="00841AA3"/>
    <w:rsid w:val="00843D77"/>
    <w:rsid w:val="008440D9"/>
    <w:rsid w:val="008441D1"/>
    <w:rsid w:val="00845B6A"/>
    <w:rsid w:val="00846F80"/>
    <w:rsid w:val="0084709D"/>
    <w:rsid w:val="0084712C"/>
    <w:rsid w:val="0084750D"/>
    <w:rsid w:val="008475EA"/>
    <w:rsid w:val="00850919"/>
    <w:rsid w:val="00850A14"/>
    <w:rsid w:val="00851650"/>
    <w:rsid w:val="00851F1C"/>
    <w:rsid w:val="00852837"/>
    <w:rsid w:val="00852FB5"/>
    <w:rsid w:val="008540B0"/>
    <w:rsid w:val="00854F0A"/>
    <w:rsid w:val="0085500D"/>
    <w:rsid w:val="00856269"/>
    <w:rsid w:val="0085650A"/>
    <w:rsid w:val="00856B96"/>
    <w:rsid w:val="0085712F"/>
    <w:rsid w:val="00857252"/>
    <w:rsid w:val="00857BF6"/>
    <w:rsid w:val="008603AC"/>
    <w:rsid w:val="00861506"/>
    <w:rsid w:val="008615C8"/>
    <w:rsid w:val="008622AA"/>
    <w:rsid w:val="008624D8"/>
    <w:rsid w:val="0086267B"/>
    <w:rsid w:val="00862A08"/>
    <w:rsid w:val="00865B49"/>
    <w:rsid w:val="00866DA3"/>
    <w:rsid w:val="008701A3"/>
    <w:rsid w:val="00872045"/>
    <w:rsid w:val="00872B63"/>
    <w:rsid w:val="00873A31"/>
    <w:rsid w:val="00874E9C"/>
    <w:rsid w:val="00876AD1"/>
    <w:rsid w:val="0087761D"/>
    <w:rsid w:val="00877760"/>
    <w:rsid w:val="00885320"/>
    <w:rsid w:val="008854A0"/>
    <w:rsid w:val="00887BFA"/>
    <w:rsid w:val="00887EDD"/>
    <w:rsid w:val="00892755"/>
    <w:rsid w:val="00893553"/>
    <w:rsid w:val="00893F22"/>
    <w:rsid w:val="0089543C"/>
    <w:rsid w:val="00895A42"/>
    <w:rsid w:val="00896273"/>
    <w:rsid w:val="00897EDA"/>
    <w:rsid w:val="008A35C4"/>
    <w:rsid w:val="008A3B13"/>
    <w:rsid w:val="008A750D"/>
    <w:rsid w:val="008B02E7"/>
    <w:rsid w:val="008B2CA3"/>
    <w:rsid w:val="008B52BE"/>
    <w:rsid w:val="008B55D0"/>
    <w:rsid w:val="008B6666"/>
    <w:rsid w:val="008B7062"/>
    <w:rsid w:val="008B752F"/>
    <w:rsid w:val="008B7D09"/>
    <w:rsid w:val="008C0563"/>
    <w:rsid w:val="008C356A"/>
    <w:rsid w:val="008C3789"/>
    <w:rsid w:val="008C4871"/>
    <w:rsid w:val="008C4E2F"/>
    <w:rsid w:val="008C54FD"/>
    <w:rsid w:val="008D01A8"/>
    <w:rsid w:val="008D0A7B"/>
    <w:rsid w:val="008D0B7C"/>
    <w:rsid w:val="008D1326"/>
    <w:rsid w:val="008D2751"/>
    <w:rsid w:val="008D363D"/>
    <w:rsid w:val="008D48A6"/>
    <w:rsid w:val="008D6E81"/>
    <w:rsid w:val="008D729F"/>
    <w:rsid w:val="008E05A9"/>
    <w:rsid w:val="008E05F2"/>
    <w:rsid w:val="008E094E"/>
    <w:rsid w:val="008E1371"/>
    <w:rsid w:val="008E3590"/>
    <w:rsid w:val="008E51FE"/>
    <w:rsid w:val="008E61DB"/>
    <w:rsid w:val="008E6F47"/>
    <w:rsid w:val="008E6F92"/>
    <w:rsid w:val="008F1240"/>
    <w:rsid w:val="008F1F9D"/>
    <w:rsid w:val="008F293F"/>
    <w:rsid w:val="008F3F4F"/>
    <w:rsid w:val="008F493A"/>
    <w:rsid w:val="008F4F6B"/>
    <w:rsid w:val="008F5C9C"/>
    <w:rsid w:val="008F66EE"/>
    <w:rsid w:val="008F68DD"/>
    <w:rsid w:val="008F6FEB"/>
    <w:rsid w:val="008F71D7"/>
    <w:rsid w:val="00901919"/>
    <w:rsid w:val="009026E0"/>
    <w:rsid w:val="00902B80"/>
    <w:rsid w:val="00903009"/>
    <w:rsid w:val="00903A78"/>
    <w:rsid w:val="009043A8"/>
    <w:rsid w:val="00904A4E"/>
    <w:rsid w:val="00905E8D"/>
    <w:rsid w:val="009063E0"/>
    <w:rsid w:val="009069E9"/>
    <w:rsid w:val="0090743F"/>
    <w:rsid w:val="00911774"/>
    <w:rsid w:val="0091194E"/>
    <w:rsid w:val="009132BA"/>
    <w:rsid w:val="00914E25"/>
    <w:rsid w:val="0092046C"/>
    <w:rsid w:val="00924094"/>
    <w:rsid w:val="009241C0"/>
    <w:rsid w:val="00924404"/>
    <w:rsid w:val="00924476"/>
    <w:rsid w:val="009248D2"/>
    <w:rsid w:val="00924BCE"/>
    <w:rsid w:val="00925178"/>
    <w:rsid w:val="00926A7A"/>
    <w:rsid w:val="00927002"/>
    <w:rsid w:val="0093529B"/>
    <w:rsid w:val="00935A95"/>
    <w:rsid w:val="00935E31"/>
    <w:rsid w:val="0093619C"/>
    <w:rsid w:val="00936346"/>
    <w:rsid w:val="0093787D"/>
    <w:rsid w:val="0093796F"/>
    <w:rsid w:val="00937C04"/>
    <w:rsid w:val="0094214B"/>
    <w:rsid w:val="00942B86"/>
    <w:rsid w:val="00943282"/>
    <w:rsid w:val="009439D7"/>
    <w:rsid w:val="009450A0"/>
    <w:rsid w:val="0094629E"/>
    <w:rsid w:val="00947075"/>
    <w:rsid w:val="009520E1"/>
    <w:rsid w:val="00952211"/>
    <w:rsid w:val="0095260D"/>
    <w:rsid w:val="00953D5A"/>
    <w:rsid w:val="00954BBE"/>
    <w:rsid w:val="0095599D"/>
    <w:rsid w:val="00955A03"/>
    <w:rsid w:val="0095605D"/>
    <w:rsid w:val="00956A0F"/>
    <w:rsid w:val="009573A5"/>
    <w:rsid w:val="00957974"/>
    <w:rsid w:val="009622B3"/>
    <w:rsid w:val="00962399"/>
    <w:rsid w:val="00962690"/>
    <w:rsid w:val="009631E4"/>
    <w:rsid w:val="00964BF6"/>
    <w:rsid w:val="009656FD"/>
    <w:rsid w:val="0096676C"/>
    <w:rsid w:val="00970456"/>
    <w:rsid w:val="00971709"/>
    <w:rsid w:val="00971C10"/>
    <w:rsid w:val="00972C4B"/>
    <w:rsid w:val="009730F1"/>
    <w:rsid w:val="009734C1"/>
    <w:rsid w:val="0097482A"/>
    <w:rsid w:val="00974CED"/>
    <w:rsid w:val="0098087D"/>
    <w:rsid w:val="00981880"/>
    <w:rsid w:val="009820F3"/>
    <w:rsid w:val="00982625"/>
    <w:rsid w:val="00982B46"/>
    <w:rsid w:val="00982E3C"/>
    <w:rsid w:val="009833F2"/>
    <w:rsid w:val="0098604F"/>
    <w:rsid w:val="009871EF"/>
    <w:rsid w:val="009873DA"/>
    <w:rsid w:val="0099121F"/>
    <w:rsid w:val="009923A1"/>
    <w:rsid w:val="009928E5"/>
    <w:rsid w:val="00992B98"/>
    <w:rsid w:val="009932F6"/>
    <w:rsid w:val="0099645C"/>
    <w:rsid w:val="00996C12"/>
    <w:rsid w:val="00996C57"/>
    <w:rsid w:val="00997FEE"/>
    <w:rsid w:val="009A08FA"/>
    <w:rsid w:val="009A150C"/>
    <w:rsid w:val="009A2007"/>
    <w:rsid w:val="009A41F5"/>
    <w:rsid w:val="009A4678"/>
    <w:rsid w:val="009A53C6"/>
    <w:rsid w:val="009A62A9"/>
    <w:rsid w:val="009B05A9"/>
    <w:rsid w:val="009B076D"/>
    <w:rsid w:val="009B0B2B"/>
    <w:rsid w:val="009B0F0B"/>
    <w:rsid w:val="009B10F3"/>
    <w:rsid w:val="009B1402"/>
    <w:rsid w:val="009B186E"/>
    <w:rsid w:val="009B32E9"/>
    <w:rsid w:val="009B44C4"/>
    <w:rsid w:val="009B4E1D"/>
    <w:rsid w:val="009B5754"/>
    <w:rsid w:val="009B6312"/>
    <w:rsid w:val="009B6588"/>
    <w:rsid w:val="009B69F5"/>
    <w:rsid w:val="009B7485"/>
    <w:rsid w:val="009C0E57"/>
    <w:rsid w:val="009C222D"/>
    <w:rsid w:val="009C2B19"/>
    <w:rsid w:val="009C38DA"/>
    <w:rsid w:val="009C5031"/>
    <w:rsid w:val="009C5D67"/>
    <w:rsid w:val="009C75A8"/>
    <w:rsid w:val="009D09A2"/>
    <w:rsid w:val="009D1E1A"/>
    <w:rsid w:val="009D2056"/>
    <w:rsid w:val="009D255F"/>
    <w:rsid w:val="009D27DF"/>
    <w:rsid w:val="009D36EA"/>
    <w:rsid w:val="009D3A10"/>
    <w:rsid w:val="009D42A0"/>
    <w:rsid w:val="009D489B"/>
    <w:rsid w:val="009D7ABA"/>
    <w:rsid w:val="009E077A"/>
    <w:rsid w:val="009E2272"/>
    <w:rsid w:val="009E243E"/>
    <w:rsid w:val="009E2567"/>
    <w:rsid w:val="009E2CFA"/>
    <w:rsid w:val="009E43A0"/>
    <w:rsid w:val="009E450C"/>
    <w:rsid w:val="009E45C9"/>
    <w:rsid w:val="009E531C"/>
    <w:rsid w:val="009E5CDA"/>
    <w:rsid w:val="009E763D"/>
    <w:rsid w:val="009F1233"/>
    <w:rsid w:val="009F1607"/>
    <w:rsid w:val="009F301A"/>
    <w:rsid w:val="009F4FD3"/>
    <w:rsid w:val="009F589A"/>
    <w:rsid w:val="009F6F72"/>
    <w:rsid w:val="009F7B2C"/>
    <w:rsid w:val="009F7E7F"/>
    <w:rsid w:val="00A00403"/>
    <w:rsid w:val="00A00E2F"/>
    <w:rsid w:val="00A021E8"/>
    <w:rsid w:val="00A02CBA"/>
    <w:rsid w:val="00A031B7"/>
    <w:rsid w:val="00A03E1B"/>
    <w:rsid w:val="00A06076"/>
    <w:rsid w:val="00A0670C"/>
    <w:rsid w:val="00A07412"/>
    <w:rsid w:val="00A074A9"/>
    <w:rsid w:val="00A07C31"/>
    <w:rsid w:val="00A07CD5"/>
    <w:rsid w:val="00A10A72"/>
    <w:rsid w:val="00A10D17"/>
    <w:rsid w:val="00A11C58"/>
    <w:rsid w:val="00A12C81"/>
    <w:rsid w:val="00A17026"/>
    <w:rsid w:val="00A17906"/>
    <w:rsid w:val="00A20FC9"/>
    <w:rsid w:val="00A21633"/>
    <w:rsid w:val="00A218A0"/>
    <w:rsid w:val="00A21B55"/>
    <w:rsid w:val="00A21DFD"/>
    <w:rsid w:val="00A22672"/>
    <w:rsid w:val="00A235FE"/>
    <w:rsid w:val="00A23885"/>
    <w:rsid w:val="00A238D0"/>
    <w:rsid w:val="00A24BD2"/>
    <w:rsid w:val="00A25B63"/>
    <w:rsid w:val="00A25E64"/>
    <w:rsid w:val="00A25F6C"/>
    <w:rsid w:val="00A27E72"/>
    <w:rsid w:val="00A27F51"/>
    <w:rsid w:val="00A33587"/>
    <w:rsid w:val="00A33893"/>
    <w:rsid w:val="00A33ADF"/>
    <w:rsid w:val="00A3497F"/>
    <w:rsid w:val="00A35A15"/>
    <w:rsid w:val="00A36918"/>
    <w:rsid w:val="00A36A8B"/>
    <w:rsid w:val="00A36BC3"/>
    <w:rsid w:val="00A37728"/>
    <w:rsid w:val="00A40C2E"/>
    <w:rsid w:val="00A41499"/>
    <w:rsid w:val="00A41C9C"/>
    <w:rsid w:val="00A4316C"/>
    <w:rsid w:val="00A432E7"/>
    <w:rsid w:val="00A43A7A"/>
    <w:rsid w:val="00A474AA"/>
    <w:rsid w:val="00A50ECD"/>
    <w:rsid w:val="00A52386"/>
    <w:rsid w:val="00A530EA"/>
    <w:rsid w:val="00A534BC"/>
    <w:rsid w:val="00A53CD1"/>
    <w:rsid w:val="00A5435A"/>
    <w:rsid w:val="00A5468F"/>
    <w:rsid w:val="00A5479D"/>
    <w:rsid w:val="00A54C8C"/>
    <w:rsid w:val="00A55A31"/>
    <w:rsid w:val="00A56122"/>
    <w:rsid w:val="00A5619A"/>
    <w:rsid w:val="00A56A1A"/>
    <w:rsid w:val="00A60041"/>
    <w:rsid w:val="00A608F1"/>
    <w:rsid w:val="00A60986"/>
    <w:rsid w:val="00A617AA"/>
    <w:rsid w:val="00A618AA"/>
    <w:rsid w:val="00A6231F"/>
    <w:rsid w:val="00A6472E"/>
    <w:rsid w:val="00A64AC6"/>
    <w:rsid w:val="00A667A7"/>
    <w:rsid w:val="00A676B7"/>
    <w:rsid w:val="00A7095C"/>
    <w:rsid w:val="00A709DD"/>
    <w:rsid w:val="00A71E00"/>
    <w:rsid w:val="00A72304"/>
    <w:rsid w:val="00A72751"/>
    <w:rsid w:val="00A72866"/>
    <w:rsid w:val="00A746F0"/>
    <w:rsid w:val="00A753F4"/>
    <w:rsid w:val="00A756E0"/>
    <w:rsid w:val="00A75EF3"/>
    <w:rsid w:val="00A7743E"/>
    <w:rsid w:val="00A80182"/>
    <w:rsid w:val="00A803EB"/>
    <w:rsid w:val="00A8255E"/>
    <w:rsid w:val="00A846C0"/>
    <w:rsid w:val="00A86614"/>
    <w:rsid w:val="00A876A1"/>
    <w:rsid w:val="00A90A42"/>
    <w:rsid w:val="00A922A5"/>
    <w:rsid w:val="00A92EC4"/>
    <w:rsid w:val="00A93447"/>
    <w:rsid w:val="00A935BA"/>
    <w:rsid w:val="00A93ED7"/>
    <w:rsid w:val="00A944E6"/>
    <w:rsid w:val="00A94B92"/>
    <w:rsid w:val="00A97271"/>
    <w:rsid w:val="00A97310"/>
    <w:rsid w:val="00A978A2"/>
    <w:rsid w:val="00AA0923"/>
    <w:rsid w:val="00AA1796"/>
    <w:rsid w:val="00AA2E40"/>
    <w:rsid w:val="00AA3D6D"/>
    <w:rsid w:val="00AA57E9"/>
    <w:rsid w:val="00AA65E9"/>
    <w:rsid w:val="00AA6767"/>
    <w:rsid w:val="00AA69A4"/>
    <w:rsid w:val="00AA7AD9"/>
    <w:rsid w:val="00AB1AD1"/>
    <w:rsid w:val="00AB1FD3"/>
    <w:rsid w:val="00AB3A43"/>
    <w:rsid w:val="00AB62C4"/>
    <w:rsid w:val="00AB6D09"/>
    <w:rsid w:val="00AB6E1C"/>
    <w:rsid w:val="00AB7361"/>
    <w:rsid w:val="00AC1A48"/>
    <w:rsid w:val="00AC36D8"/>
    <w:rsid w:val="00AC40AF"/>
    <w:rsid w:val="00AC475C"/>
    <w:rsid w:val="00AC612E"/>
    <w:rsid w:val="00AC7BC7"/>
    <w:rsid w:val="00AC7F5A"/>
    <w:rsid w:val="00AD05F5"/>
    <w:rsid w:val="00AD1884"/>
    <w:rsid w:val="00AD18BF"/>
    <w:rsid w:val="00AD23DE"/>
    <w:rsid w:val="00AD579F"/>
    <w:rsid w:val="00AD587D"/>
    <w:rsid w:val="00AD6472"/>
    <w:rsid w:val="00AD6D27"/>
    <w:rsid w:val="00AE1414"/>
    <w:rsid w:val="00AE1648"/>
    <w:rsid w:val="00AE6182"/>
    <w:rsid w:val="00AE73DB"/>
    <w:rsid w:val="00AF12B4"/>
    <w:rsid w:val="00AF2716"/>
    <w:rsid w:val="00AF2CA0"/>
    <w:rsid w:val="00AF393C"/>
    <w:rsid w:val="00AF3E9E"/>
    <w:rsid w:val="00AF4E25"/>
    <w:rsid w:val="00AF4E2E"/>
    <w:rsid w:val="00AF6E12"/>
    <w:rsid w:val="00AF6E61"/>
    <w:rsid w:val="00AF77A2"/>
    <w:rsid w:val="00B00805"/>
    <w:rsid w:val="00B00C96"/>
    <w:rsid w:val="00B010E3"/>
    <w:rsid w:val="00B01DBC"/>
    <w:rsid w:val="00B022AD"/>
    <w:rsid w:val="00B022C4"/>
    <w:rsid w:val="00B02CBC"/>
    <w:rsid w:val="00B04EE5"/>
    <w:rsid w:val="00B06341"/>
    <w:rsid w:val="00B06F33"/>
    <w:rsid w:val="00B0723C"/>
    <w:rsid w:val="00B0750E"/>
    <w:rsid w:val="00B10B7D"/>
    <w:rsid w:val="00B1105C"/>
    <w:rsid w:val="00B11D34"/>
    <w:rsid w:val="00B16320"/>
    <w:rsid w:val="00B20087"/>
    <w:rsid w:val="00B200F5"/>
    <w:rsid w:val="00B20DB2"/>
    <w:rsid w:val="00B213DA"/>
    <w:rsid w:val="00B21DDA"/>
    <w:rsid w:val="00B22261"/>
    <w:rsid w:val="00B2239C"/>
    <w:rsid w:val="00B231C3"/>
    <w:rsid w:val="00B2395A"/>
    <w:rsid w:val="00B25416"/>
    <w:rsid w:val="00B268A4"/>
    <w:rsid w:val="00B27035"/>
    <w:rsid w:val="00B275B0"/>
    <w:rsid w:val="00B27B0D"/>
    <w:rsid w:val="00B30185"/>
    <w:rsid w:val="00B30808"/>
    <w:rsid w:val="00B30A88"/>
    <w:rsid w:val="00B30FD3"/>
    <w:rsid w:val="00B310C8"/>
    <w:rsid w:val="00B31ECF"/>
    <w:rsid w:val="00B32470"/>
    <w:rsid w:val="00B3331D"/>
    <w:rsid w:val="00B340F0"/>
    <w:rsid w:val="00B34E0E"/>
    <w:rsid w:val="00B35408"/>
    <w:rsid w:val="00B36A1C"/>
    <w:rsid w:val="00B40290"/>
    <w:rsid w:val="00B45F4E"/>
    <w:rsid w:val="00B472F6"/>
    <w:rsid w:val="00B516C2"/>
    <w:rsid w:val="00B52516"/>
    <w:rsid w:val="00B537FA"/>
    <w:rsid w:val="00B547FA"/>
    <w:rsid w:val="00B55374"/>
    <w:rsid w:val="00B554CF"/>
    <w:rsid w:val="00B560E3"/>
    <w:rsid w:val="00B56678"/>
    <w:rsid w:val="00B57637"/>
    <w:rsid w:val="00B60536"/>
    <w:rsid w:val="00B623EB"/>
    <w:rsid w:val="00B634E4"/>
    <w:rsid w:val="00B64922"/>
    <w:rsid w:val="00B64B64"/>
    <w:rsid w:val="00B65816"/>
    <w:rsid w:val="00B65E29"/>
    <w:rsid w:val="00B6604A"/>
    <w:rsid w:val="00B66B15"/>
    <w:rsid w:val="00B66FFB"/>
    <w:rsid w:val="00B714D7"/>
    <w:rsid w:val="00B72539"/>
    <w:rsid w:val="00B72A13"/>
    <w:rsid w:val="00B72E8C"/>
    <w:rsid w:val="00B73255"/>
    <w:rsid w:val="00B73332"/>
    <w:rsid w:val="00B74A16"/>
    <w:rsid w:val="00B75A77"/>
    <w:rsid w:val="00B76FA1"/>
    <w:rsid w:val="00B80FAE"/>
    <w:rsid w:val="00B81480"/>
    <w:rsid w:val="00B826D2"/>
    <w:rsid w:val="00B8361F"/>
    <w:rsid w:val="00B83D84"/>
    <w:rsid w:val="00B83ED3"/>
    <w:rsid w:val="00B84301"/>
    <w:rsid w:val="00B84EA4"/>
    <w:rsid w:val="00B86D49"/>
    <w:rsid w:val="00B91ACE"/>
    <w:rsid w:val="00B92375"/>
    <w:rsid w:val="00B932A4"/>
    <w:rsid w:val="00B9596E"/>
    <w:rsid w:val="00B95D6C"/>
    <w:rsid w:val="00BA06D8"/>
    <w:rsid w:val="00BA1130"/>
    <w:rsid w:val="00BA136E"/>
    <w:rsid w:val="00BA1820"/>
    <w:rsid w:val="00BA3170"/>
    <w:rsid w:val="00BA7197"/>
    <w:rsid w:val="00BB2283"/>
    <w:rsid w:val="00BB295B"/>
    <w:rsid w:val="00BB2EA5"/>
    <w:rsid w:val="00BB2F2A"/>
    <w:rsid w:val="00BB2FB6"/>
    <w:rsid w:val="00BB3CD4"/>
    <w:rsid w:val="00BB4349"/>
    <w:rsid w:val="00BB5D11"/>
    <w:rsid w:val="00BB7D2E"/>
    <w:rsid w:val="00BC1993"/>
    <w:rsid w:val="00BC2757"/>
    <w:rsid w:val="00BC2C35"/>
    <w:rsid w:val="00BC31A1"/>
    <w:rsid w:val="00BC35AC"/>
    <w:rsid w:val="00BC38DD"/>
    <w:rsid w:val="00BC4567"/>
    <w:rsid w:val="00BC7400"/>
    <w:rsid w:val="00BD00D8"/>
    <w:rsid w:val="00BD033D"/>
    <w:rsid w:val="00BD0453"/>
    <w:rsid w:val="00BD06F8"/>
    <w:rsid w:val="00BD0E2A"/>
    <w:rsid w:val="00BD0E4F"/>
    <w:rsid w:val="00BD28E8"/>
    <w:rsid w:val="00BD3B74"/>
    <w:rsid w:val="00BD3E22"/>
    <w:rsid w:val="00BD550A"/>
    <w:rsid w:val="00BE033E"/>
    <w:rsid w:val="00BE20AB"/>
    <w:rsid w:val="00BE2620"/>
    <w:rsid w:val="00BE2C28"/>
    <w:rsid w:val="00BE3EDE"/>
    <w:rsid w:val="00BE52FB"/>
    <w:rsid w:val="00BE5566"/>
    <w:rsid w:val="00BF00B2"/>
    <w:rsid w:val="00BF0DAD"/>
    <w:rsid w:val="00BF43B9"/>
    <w:rsid w:val="00BF4BA1"/>
    <w:rsid w:val="00BF761D"/>
    <w:rsid w:val="00BF7989"/>
    <w:rsid w:val="00BF7BC5"/>
    <w:rsid w:val="00C0008A"/>
    <w:rsid w:val="00C01845"/>
    <w:rsid w:val="00C02196"/>
    <w:rsid w:val="00C0260D"/>
    <w:rsid w:val="00C02A45"/>
    <w:rsid w:val="00C03313"/>
    <w:rsid w:val="00C03BF7"/>
    <w:rsid w:val="00C04117"/>
    <w:rsid w:val="00C05864"/>
    <w:rsid w:val="00C0636F"/>
    <w:rsid w:val="00C06952"/>
    <w:rsid w:val="00C06AE2"/>
    <w:rsid w:val="00C06FE8"/>
    <w:rsid w:val="00C07979"/>
    <w:rsid w:val="00C10456"/>
    <w:rsid w:val="00C109FB"/>
    <w:rsid w:val="00C11818"/>
    <w:rsid w:val="00C12651"/>
    <w:rsid w:val="00C13052"/>
    <w:rsid w:val="00C1318E"/>
    <w:rsid w:val="00C133FA"/>
    <w:rsid w:val="00C160A8"/>
    <w:rsid w:val="00C17E8F"/>
    <w:rsid w:val="00C20660"/>
    <w:rsid w:val="00C212DF"/>
    <w:rsid w:val="00C22562"/>
    <w:rsid w:val="00C239D1"/>
    <w:rsid w:val="00C24362"/>
    <w:rsid w:val="00C26475"/>
    <w:rsid w:val="00C265CF"/>
    <w:rsid w:val="00C2723A"/>
    <w:rsid w:val="00C27F92"/>
    <w:rsid w:val="00C304B9"/>
    <w:rsid w:val="00C3098B"/>
    <w:rsid w:val="00C32280"/>
    <w:rsid w:val="00C33293"/>
    <w:rsid w:val="00C3686A"/>
    <w:rsid w:val="00C376D0"/>
    <w:rsid w:val="00C416AC"/>
    <w:rsid w:val="00C419BF"/>
    <w:rsid w:val="00C42C30"/>
    <w:rsid w:val="00C4382C"/>
    <w:rsid w:val="00C43E1E"/>
    <w:rsid w:val="00C44104"/>
    <w:rsid w:val="00C44A6A"/>
    <w:rsid w:val="00C44BF9"/>
    <w:rsid w:val="00C45F80"/>
    <w:rsid w:val="00C46BEA"/>
    <w:rsid w:val="00C47FE3"/>
    <w:rsid w:val="00C50683"/>
    <w:rsid w:val="00C508F6"/>
    <w:rsid w:val="00C50C7E"/>
    <w:rsid w:val="00C51C48"/>
    <w:rsid w:val="00C51EB3"/>
    <w:rsid w:val="00C52F39"/>
    <w:rsid w:val="00C53D4D"/>
    <w:rsid w:val="00C53EE1"/>
    <w:rsid w:val="00C562EA"/>
    <w:rsid w:val="00C564B4"/>
    <w:rsid w:val="00C60C66"/>
    <w:rsid w:val="00C61C5C"/>
    <w:rsid w:val="00C6234D"/>
    <w:rsid w:val="00C6418C"/>
    <w:rsid w:val="00C64A5D"/>
    <w:rsid w:val="00C64BAB"/>
    <w:rsid w:val="00C73E82"/>
    <w:rsid w:val="00C761CC"/>
    <w:rsid w:val="00C77542"/>
    <w:rsid w:val="00C77D6C"/>
    <w:rsid w:val="00C77E7B"/>
    <w:rsid w:val="00C80671"/>
    <w:rsid w:val="00C80B34"/>
    <w:rsid w:val="00C82251"/>
    <w:rsid w:val="00C8319B"/>
    <w:rsid w:val="00C84C55"/>
    <w:rsid w:val="00C90067"/>
    <w:rsid w:val="00C90F0B"/>
    <w:rsid w:val="00C9101A"/>
    <w:rsid w:val="00C91D66"/>
    <w:rsid w:val="00C9275C"/>
    <w:rsid w:val="00C9279C"/>
    <w:rsid w:val="00C92C26"/>
    <w:rsid w:val="00C93D7B"/>
    <w:rsid w:val="00C94B6F"/>
    <w:rsid w:val="00C964BC"/>
    <w:rsid w:val="00CA1242"/>
    <w:rsid w:val="00CA4679"/>
    <w:rsid w:val="00CA5243"/>
    <w:rsid w:val="00CA707B"/>
    <w:rsid w:val="00CB0946"/>
    <w:rsid w:val="00CB1472"/>
    <w:rsid w:val="00CB2946"/>
    <w:rsid w:val="00CB3786"/>
    <w:rsid w:val="00CB4F13"/>
    <w:rsid w:val="00CB618D"/>
    <w:rsid w:val="00CC2733"/>
    <w:rsid w:val="00CC354C"/>
    <w:rsid w:val="00CC4580"/>
    <w:rsid w:val="00CC4B35"/>
    <w:rsid w:val="00CC56A0"/>
    <w:rsid w:val="00CC57D3"/>
    <w:rsid w:val="00CC61BB"/>
    <w:rsid w:val="00CC6DF9"/>
    <w:rsid w:val="00CC7144"/>
    <w:rsid w:val="00CD1597"/>
    <w:rsid w:val="00CD2C16"/>
    <w:rsid w:val="00CD4200"/>
    <w:rsid w:val="00CD44BA"/>
    <w:rsid w:val="00CD504F"/>
    <w:rsid w:val="00CD548A"/>
    <w:rsid w:val="00CD556C"/>
    <w:rsid w:val="00CD683F"/>
    <w:rsid w:val="00CD71BF"/>
    <w:rsid w:val="00CD776F"/>
    <w:rsid w:val="00CE0567"/>
    <w:rsid w:val="00CE118F"/>
    <w:rsid w:val="00CE15F5"/>
    <w:rsid w:val="00CE167A"/>
    <w:rsid w:val="00CE3D49"/>
    <w:rsid w:val="00CE4B9D"/>
    <w:rsid w:val="00CE4E34"/>
    <w:rsid w:val="00CE5A8B"/>
    <w:rsid w:val="00CE66AF"/>
    <w:rsid w:val="00CE7C5F"/>
    <w:rsid w:val="00CF0DB5"/>
    <w:rsid w:val="00CF1731"/>
    <w:rsid w:val="00CF1836"/>
    <w:rsid w:val="00CF1C9D"/>
    <w:rsid w:val="00CF1FA1"/>
    <w:rsid w:val="00CF34BA"/>
    <w:rsid w:val="00CF38BB"/>
    <w:rsid w:val="00CF398E"/>
    <w:rsid w:val="00CF3B1C"/>
    <w:rsid w:val="00CF3FCE"/>
    <w:rsid w:val="00CF7525"/>
    <w:rsid w:val="00CF7FEF"/>
    <w:rsid w:val="00D00561"/>
    <w:rsid w:val="00D0057E"/>
    <w:rsid w:val="00D008B9"/>
    <w:rsid w:val="00D01883"/>
    <w:rsid w:val="00D0290D"/>
    <w:rsid w:val="00D04208"/>
    <w:rsid w:val="00D06CAA"/>
    <w:rsid w:val="00D13199"/>
    <w:rsid w:val="00D1416F"/>
    <w:rsid w:val="00D14B69"/>
    <w:rsid w:val="00D16179"/>
    <w:rsid w:val="00D164F9"/>
    <w:rsid w:val="00D20C86"/>
    <w:rsid w:val="00D22B57"/>
    <w:rsid w:val="00D23013"/>
    <w:rsid w:val="00D2402A"/>
    <w:rsid w:val="00D259B4"/>
    <w:rsid w:val="00D25CD7"/>
    <w:rsid w:val="00D26031"/>
    <w:rsid w:val="00D2661D"/>
    <w:rsid w:val="00D305A2"/>
    <w:rsid w:val="00D307F7"/>
    <w:rsid w:val="00D315DF"/>
    <w:rsid w:val="00D343E6"/>
    <w:rsid w:val="00D34684"/>
    <w:rsid w:val="00D35651"/>
    <w:rsid w:val="00D36581"/>
    <w:rsid w:val="00D36F37"/>
    <w:rsid w:val="00D37C78"/>
    <w:rsid w:val="00D37C87"/>
    <w:rsid w:val="00D37D57"/>
    <w:rsid w:val="00D37E50"/>
    <w:rsid w:val="00D400B6"/>
    <w:rsid w:val="00D41561"/>
    <w:rsid w:val="00D41BF5"/>
    <w:rsid w:val="00D41F90"/>
    <w:rsid w:val="00D42DE1"/>
    <w:rsid w:val="00D43418"/>
    <w:rsid w:val="00D442E7"/>
    <w:rsid w:val="00D46FBE"/>
    <w:rsid w:val="00D507EC"/>
    <w:rsid w:val="00D562AE"/>
    <w:rsid w:val="00D56A3C"/>
    <w:rsid w:val="00D56D20"/>
    <w:rsid w:val="00D56E1E"/>
    <w:rsid w:val="00D61A51"/>
    <w:rsid w:val="00D61D43"/>
    <w:rsid w:val="00D6255C"/>
    <w:rsid w:val="00D62A99"/>
    <w:rsid w:val="00D62CCE"/>
    <w:rsid w:val="00D63D99"/>
    <w:rsid w:val="00D65513"/>
    <w:rsid w:val="00D65784"/>
    <w:rsid w:val="00D7176D"/>
    <w:rsid w:val="00D733AF"/>
    <w:rsid w:val="00D734E5"/>
    <w:rsid w:val="00D7454C"/>
    <w:rsid w:val="00D74701"/>
    <w:rsid w:val="00D74F32"/>
    <w:rsid w:val="00D74F37"/>
    <w:rsid w:val="00D75383"/>
    <w:rsid w:val="00D75F17"/>
    <w:rsid w:val="00D76A28"/>
    <w:rsid w:val="00D76BFE"/>
    <w:rsid w:val="00D77971"/>
    <w:rsid w:val="00D82085"/>
    <w:rsid w:val="00D841FE"/>
    <w:rsid w:val="00D85378"/>
    <w:rsid w:val="00D85FF1"/>
    <w:rsid w:val="00D86177"/>
    <w:rsid w:val="00D87473"/>
    <w:rsid w:val="00D907E7"/>
    <w:rsid w:val="00D91E45"/>
    <w:rsid w:val="00D92E07"/>
    <w:rsid w:val="00D945B5"/>
    <w:rsid w:val="00D955FD"/>
    <w:rsid w:val="00D97D4B"/>
    <w:rsid w:val="00DA066B"/>
    <w:rsid w:val="00DA11C1"/>
    <w:rsid w:val="00DA3C67"/>
    <w:rsid w:val="00DA4F72"/>
    <w:rsid w:val="00DA5E7D"/>
    <w:rsid w:val="00DA69DA"/>
    <w:rsid w:val="00DA6BBC"/>
    <w:rsid w:val="00DA7A25"/>
    <w:rsid w:val="00DA7AC5"/>
    <w:rsid w:val="00DA7F25"/>
    <w:rsid w:val="00DB00C4"/>
    <w:rsid w:val="00DB0E6E"/>
    <w:rsid w:val="00DB1C5E"/>
    <w:rsid w:val="00DB2FEA"/>
    <w:rsid w:val="00DB30AF"/>
    <w:rsid w:val="00DB445B"/>
    <w:rsid w:val="00DB463A"/>
    <w:rsid w:val="00DB4729"/>
    <w:rsid w:val="00DB5867"/>
    <w:rsid w:val="00DB7D1A"/>
    <w:rsid w:val="00DC0FDE"/>
    <w:rsid w:val="00DC1A7D"/>
    <w:rsid w:val="00DC3238"/>
    <w:rsid w:val="00DC3737"/>
    <w:rsid w:val="00DC5276"/>
    <w:rsid w:val="00DC5825"/>
    <w:rsid w:val="00DC7B5F"/>
    <w:rsid w:val="00DD1BAA"/>
    <w:rsid w:val="00DD39F9"/>
    <w:rsid w:val="00DD3D40"/>
    <w:rsid w:val="00DD5B10"/>
    <w:rsid w:val="00DD5E42"/>
    <w:rsid w:val="00DD654F"/>
    <w:rsid w:val="00DD6AB2"/>
    <w:rsid w:val="00DE054D"/>
    <w:rsid w:val="00DE152F"/>
    <w:rsid w:val="00DE2A1B"/>
    <w:rsid w:val="00DE422F"/>
    <w:rsid w:val="00DE61BD"/>
    <w:rsid w:val="00DE7048"/>
    <w:rsid w:val="00DE7294"/>
    <w:rsid w:val="00DF06F2"/>
    <w:rsid w:val="00DF1946"/>
    <w:rsid w:val="00DF2348"/>
    <w:rsid w:val="00DF274B"/>
    <w:rsid w:val="00DF2A28"/>
    <w:rsid w:val="00DF2CC7"/>
    <w:rsid w:val="00DF320E"/>
    <w:rsid w:val="00DF4370"/>
    <w:rsid w:val="00DF44AD"/>
    <w:rsid w:val="00DF4660"/>
    <w:rsid w:val="00DF4FE0"/>
    <w:rsid w:val="00DF53D7"/>
    <w:rsid w:val="00DF7188"/>
    <w:rsid w:val="00DF7533"/>
    <w:rsid w:val="00DF7570"/>
    <w:rsid w:val="00E02DD7"/>
    <w:rsid w:val="00E04611"/>
    <w:rsid w:val="00E04CF5"/>
    <w:rsid w:val="00E05B15"/>
    <w:rsid w:val="00E063CF"/>
    <w:rsid w:val="00E067A5"/>
    <w:rsid w:val="00E06F28"/>
    <w:rsid w:val="00E10E1E"/>
    <w:rsid w:val="00E10E3D"/>
    <w:rsid w:val="00E12199"/>
    <w:rsid w:val="00E13F5E"/>
    <w:rsid w:val="00E14DDF"/>
    <w:rsid w:val="00E17C43"/>
    <w:rsid w:val="00E20725"/>
    <w:rsid w:val="00E21866"/>
    <w:rsid w:val="00E21CA4"/>
    <w:rsid w:val="00E2237E"/>
    <w:rsid w:val="00E22964"/>
    <w:rsid w:val="00E237A4"/>
    <w:rsid w:val="00E24723"/>
    <w:rsid w:val="00E26C18"/>
    <w:rsid w:val="00E3140A"/>
    <w:rsid w:val="00E31AF5"/>
    <w:rsid w:val="00E31D2F"/>
    <w:rsid w:val="00E31DB2"/>
    <w:rsid w:val="00E33303"/>
    <w:rsid w:val="00E33BDF"/>
    <w:rsid w:val="00E33E57"/>
    <w:rsid w:val="00E33EF4"/>
    <w:rsid w:val="00E34340"/>
    <w:rsid w:val="00E34366"/>
    <w:rsid w:val="00E34533"/>
    <w:rsid w:val="00E34D6B"/>
    <w:rsid w:val="00E35846"/>
    <w:rsid w:val="00E35B46"/>
    <w:rsid w:val="00E361C6"/>
    <w:rsid w:val="00E3698D"/>
    <w:rsid w:val="00E404EC"/>
    <w:rsid w:val="00E40735"/>
    <w:rsid w:val="00E4096C"/>
    <w:rsid w:val="00E417AC"/>
    <w:rsid w:val="00E41868"/>
    <w:rsid w:val="00E450F8"/>
    <w:rsid w:val="00E45385"/>
    <w:rsid w:val="00E45B8F"/>
    <w:rsid w:val="00E45DC7"/>
    <w:rsid w:val="00E46158"/>
    <w:rsid w:val="00E46284"/>
    <w:rsid w:val="00E4689C"/>
    <w:rsid w:val="00E474C6"/>
    <w:rsid w:val="00E511D0"/>
    <w:rsid w:val="00E52A3C"/>
    <w:rsid w:val="00E52D6E"/>
    <w:rsid w:val="00E53BFB"/>
    <w:rsid w:val="00E55DDE"/>
    <w:rsid w:val="00E5646C"/>
    <w:rsid w:val="00E611A1"/>
    <w:rsid w:val="00E62613"/>
    <w:rsid w:val="00E630B4"/>
    <w:rsid w:val="00E643FC"/>
    <w:rsid w:val="00E6780E"/>
    <w:rsid w:val="00E67FE0"/>
    <w:rsid w:val="00E70069"/>
    <w:rsid w:val="00E710C1"/>
    <w:rsid w:val="00E725D4"/>
    <w:rsid w:val="00E74ED0"/>
    <w:rsid w:val="00E76BB7"/>
    <w:rsid w:val="00E82455"/>
    <w:rsid w:val="00E838BE"/>
    <w:rsid w:val="00E84697"/>
    <w:rsid w:val="00E846F3"/>
    <w:rsid w:val="00E85095"/>
    <w:rsid w:val="00E853D7"/>
    <w:rsid w:val="00E871A6"/>
    <w:rsid w:val="00E901DB"/>
    <w:rsid w:val="00E90B33"/>
    <w:rsid w:val="00E90DE9"/>
    <w:rsid w:val="00E910D4"/>
    <w:rsid w:val="00E917E2"/>
    <w:rsid w:val="00E924FD"/>
    <w:rsid w:val="00E92AE7"/>
    <w:rsid w:val="00E935DD"/>
    <w:rsid w:val="00E9372C"/>
    <w:rsid w:val="00E93D5B"/>
    <w:rsid w:val="00E95809"/>
    <w:rsid w:val="00E95C51"/>
    <w:rsid w:val="00E96025"/>
    <w:rsid w:val="00E97BD5"/>
    <w:rsid w:val="00E97D25"/>
    <w:rsid w:val="00EA0728"/>
    <w:rsid w:val="00EA1F26"/>
    <w:rsid w:val="00EA30E0"/>
    <w:rsid w:val="00EA44BE"/>
    <w:rsid w:val="00EA4943"/>
    <w:rsid w:val="00EA5064"/>
    <w:rsid w:val="00EA5D99"/>
    <w:rsid w:val="00EA6B1A"/>
    <w:rsid w:val="00EA6B3F"/>
    <w:rsid w:val="00EA6CBA"/>
    <w:rsid w:val="00EB07E7"/>
    <w:rsid w:val="00EB0D7A"/>
    <w:rsid w:val="00EB129E"/>
    <w:rsid w:val="00EB24C6"/>
    <w:rsid w:val="00EB2C16"/>
    <w:rsid w:val="00EB4835"/>
    <w:rsid w:val="00EB4C9D"/>
    <w:rsid w:val="00EB6429"/>
    <w:rsid w:val="00EB666F"/>
    <w:rsid w:val="00EC133C"/>
    <w:rsid w:val="00EC209F"/>
    <w:rsid w:val="00EC3562"/>
    <w:rsid w:val="00EC3F8E"/>
    <w:rsid w:val="00EC5611"/>
    <w:rsid w:val="00EC64BC"/>
    <w:rsid w:val="00EC7751"/>
    <w:rsid w:val="00ED0E5B"/>
    <w:rsid w:val="00ED3321"/>
    <w:rsid w:val="00ED3867"/>
    <w:rsid w:val="00ED46A4"/>
    <w:rsid w:val="00ED4761"/>
    <w:rsid w:val="00ED5A4B"/>
    <w:rsid w:val="00EE0AAE"/>
    <w:rsid w:val="00EE29B2"/>
    <w:rsid w:val="00EE2A54"/>
    <w:rsid w:val="00EE39FE"/>
    <w:rsid w:val="00EE3E6E"/>
    <w:rsid w:val="00EE4687"/>
    <w:rsid w:val="00EE511A"/>
    <w:rsid w:val="00EE5968"/>
    <w:rsid w:val="00EE6859"/>
    <w:rsid w:val="00EE68DE"/>
    <w:rsid w:val="00EE701B"/>
    <w:rsid w:val="00EE75D4"/>
    <w:rsid w:val="00EF0E62"/>
    <w:rsid w:val="00EF0F45"/>
    <w:rsid w:val="00EF1AE8"/>
    <w:rsid w:val="00EF2825"/>
    <w:rsid w:val="00EF4DD1"/>
    <w:rsid w:val="00EF6E29"/>
    <w:rsid w:val="00EF7F53"/>
    <w:rsid w:val="00F010DC"/>
    <w:rsid w:val="00F0144D"/>
    <w:rsid w:val="00F01817"/>
    <w:rsid w:val="00F01C25"/>
    <w:rsid w:val="00F01CF1"/>
    <w:rsid w:val="00F023CB"/>
    <w:rsid w:val="00F0302F"/>
    <w:rsid w:val="00F03DA2"/>
    <w:rsid w:val="00F04C24"/>
    <w:rsid w:val="00F05BF2"/>
    <w:rsid w:val="00F06D1B"/>
    <w:rsid w:val="00F1005E"/>
    <w:rsid w:val="00F103CD"/>
    <w:rsid w:val="00F10847"/>
    <w:rsid w:val="00F10979"/>
    <w:rsid w:val="00F10BAD"/>
    <w:rsid w:val="00F117E5"/>
    <w:rsid w:val="00F120A0"/>
    <w:rsid w:val="00F13945"/>
    <w:rsid w:val="00F152CF"/>
    <w:rsid w:val="00F154B4"/>
    <w:rsid w:val="00F20336"/>
    <w:rsid w:val="00F20A48"/>
    <w:rsid w:val="00F20F94"/>
    <w:rsid w:val="00F2733E"/>
    <w:rsid w:val="00F30536"/>
    <w:rsid w:val="00F30EDA"/>
    <w:rsid w:val="00F32F41"/>
    <w:rsid w:val="00F33275"/>
    <w:rsid w:val="00F33ABA"/>
    <w:rsid w:val="00F3451A"/>
    <w:rsid w:val="00F35ABB"/>
    <w:rsid w:val="00F35B7A"/>
    <w:rsid w:val="00F36FE0"/>
    <w:rsid w:val="00F37265"/>
    <w:rsid w:val="00F378E1"/>
    <w:rsid w:val="00F407A4"/>
    <w:rsid w:val="00F4091A"/>
    <w:rsid w:val="00F40DC0"/>
    <w:rsid w:val="00F418B9"/>
    <w:rsid w:val="00F4201F"/>
    <w:rsid w:val="00F42C55"/>
    <w:rsid w:val="00F42D7F"/>
    <w:rsid w:val="00F4351D"/>
    <w:rsid w:val="00F4629A"/>
    <w:rsid w:val="00F46BAC"/>
    <w:rsid w:val="00F5097E"/>
    <w:rsid w:val="00F50E81"/>
    <w:rsid w:val="00F51103"/>
    <w:rsid w:val="00F51D06"/>
    <w:rsid w:val="00F5343C"/>
    <w:rsid w:val="00F540E7"/>
    <w:rsid w:val="00F54EB9"/>
    <w:rsid w:val="00F54FBA"/>
    <w:rsid w:val="00F55305"/>
    <w:rsid w:val="00F5533A"/>
    <w:rsid w:val="00F57122"/>
    <w:rsid w:val="00F60A50"/>
    <w:rsid w:val="00F61A3C"/>
    <w:rsid w:val="00F61D7A"/>
    <w:rsid w:val="00F64B1A"/>
    <w:rsid w:val="00F66554"/>
    <w:rsid w:val="00F66A5F"/>
    <w:rsid w:val="00F70093"/>
    <w:rsid w:val="00F7013D"/>
    <w:rsid w:val="00F71061"/>
    <w:rsid w:val="00F7263E"/>
    <w:rsid w:val="00F72EC2"/>
    <w:rsid w:val="00F73910"/>
    <w:rsid w:val="00F74336"/>
    <w:rsid w:val="00F762C6"/>
    <w:rsid w:val="00F764A1"/>
    <w:rsid w:val="00F76652"/>
    <w:rsid w:val="00F7668A"/>
    <w:rsid w:val="00F76F3E"/>
    <w:rsid w:val="00F8162D"/>
    <w:rsid w:val="00F81FAD"/>
    <w:rsid w:val="00F8379D"/>
    <w:rsid w:val="00F86358"/>
    <w:rsid w:val="00F86E7F"/>
    <w:rsid w:val="00F8741D"/>
    <w:rsid w:val="00F87DC3"/>
    <w:rsid w:val="00F91366"/>
    <w:rsid w:val="00F9409E"/>
    <w:rsid w:val="00F9497A"/>
    <w:rsid w:val="00F95DC9"/>
    <w:rsid w:val="00F96526"/>
    <w:rsid w:val="00FA2057"/>
    <w:rsid w:val="00FA3971"/>
    <w:rsid w:val="00FA73B3"/>
    <w:rsid w:val="00FB0767"/>
    <w:rsid w:val="00FB1616"/>
    <w:rsid w:val="00FB1649"/>
    <w:rsid w:val="00FB2417"/>
    <w:rsid w:val="00FB5D2B"/>
    <w:rsid w:val="00FB5F82"/>
    <w:rsid w:val="00FB6A12"/>
    <w:rsid w:val="00FC472A"/>
    <w:rsid w:val="00FD06D4"/>
    <w:rsid w:val="00FD0878"/>
    <w:rsid w:val="00FD08B5"/>
    <w:rsid w:val="00FD16B4"/>
    <w:rsid w:val="00FD17A7"/>
    <w:rsid w:val="00FD28AD"/>
    <w:rsid w:val="00FD30BB"/>
    <w:rsid w:val="00FD4062"/>
    <w:rsid w:val="00FD4231"/>
    <w:rsid w:val="00FD54BA"/>
    <w:rsid w:val="00FD6C0E"/>
    <w:rsid w:val="00FD6D15"/>
    <w:rsid w:val="00FD70F5"/>
    <w:rsid w:val="00FD73AD"/>
    <w:rsid w:val="00FD73E4"/>
    <w:rsid w:val="00FD76AF"/>
    <w:rsid w:val="00FD7CC8"/>
    <w:rsid w:val="00FD7DCD"/>
    <w:rsid w:val="00FE12E6"/>
    <w:rsid w:val="00FE1909"/>
    <w:rsid w:val="00FE1C69"/>
    <w:rsid w:val="00FE2FAA"/>
    <w:rsid w:val="00FE3B9A"/>
    <w:rsid w:val="00FE4430"/>
    <w:rsid w:val="00FE5081"/>
    <w:rsid w:val="00FE547A"/>
    <w:rsid w:val="00FE54AB"/>
    <w:rsid w:val="00FE733C"/>
    <w:rsid w:val="00FE756A"/>
    <w:rsid w:val="00FE7EA5"/>
    <w:rsid w:val="00FE7EF3"/>
    <w:rsid w:val="00FE7F91"/>
    <w:rsid w:val="00FF0506"/>
    <w:rsid w:val="00FF0814"/>
    <w:rsid w:val="00FF0F98"/>
    <w:rsid w:val="00FF14A7"/>
    <w:rsid w:val="00FF3CC0"/>
    <w:rsid w:val="00FF47DD"/>
    <w:rsid w:val="00FF4AA2"/>
    <w:rsid w:val="00FF64B0"/>
    <w:rsid w:val="00FF6E30"/>
    <w:rsid w:val="00FF72D6"/>
    <w:rsid w:val="017367E9"/>
    <w:rsid w:val="01761B79"/>
    <w:rsid w:val="01906DE3"/>
    <w:rsid w:val="01975E62"/>
    <w:rsid w:val="01C04FD3"/>
    <w:rsid w:val="02147A4D"/>
    <w:rsid w:val="022C20CD"/>
    <w:rsid w:val="027D37A4"/>
    <w:rsid w:val="02DE6813"/>
    <w:rsid w:val="02EC3DBB"/>
    <w:rsid w:val="02F64040"/>
    <w:rsid w:val="02F64819"/>
    <w:rsid w:val="02FB69F2"/>
    <w:rsid w:val="03245D9D"/>
    <w:rsid w:val="03257445"/>
    <w:rsid w:val="033755DF"/>
    <w:rsid w:val="03A500AF"/>
    <w:rsid w:val="03C55ACE"/>
    <w:rsid w:val="03D21873"/>
    <w:rsid w:val="03F953DD"/>
    <w:rsid w:val="0428630E"/>
    <w:rsid w:val="04310216"/>
    <w:rsid w:val="04385CE0"/>
    <w:rsid w:val="043B2F16"/>
    <w:rsid w:val="04590B6A"/>
    <w:rsid w:val="04C93B69"/>
    <w:rsid w:val="04ED001A"/>
    <w:rsid w:val="051E5B3E"/>
    <w:rsid w:val="0526698B"/>
    <w:rsid w:val="054057CF"/>
    <w:rsid w:val="0548214F"/>
    <w:rsid w:val="055E7919"/>
    <w:rsid w:val="05675622"/>
    <w:rsid w:val="05687CD1"/>
    <w:rsid w:val="05703F82"/>
    <w:rsid w:val="05C46D84"/>
    <w:rsid w:val="05C8786C"/>
    <w:rsid w:val="05CE6BFF"/>
    <w:rsid w:val="062A1F4A"/>
    <w:rsid w:val="064E7CEC"/>
    <w:rsid w:val="0666006F"/>
    <w:rsid w:val="067B2B16"/>
    <w:rsid w:val="06A15B48"/>
    <w:rsid w:val="06BA061D"/>
    <w:rsid w:val="06BC4F06"/>
    <w:rsid w:val="06FB026C"/>
    <w:rsid w:val="07273E17"/>
    <w:rsid w:val="072D6B36"/>
    <w:rsid w:val="07561B9E"/>
    <w:rsid w:val="076334CA"/>
    <w:rsid w:val="07691ADF"/>
    <w:rsid w:val="07F54170"/>
    <w:rsid w:val="080F57EE"/>
    <w:rsid w:val="081215E2"/>
    <w:rsid w:val="083345B5"/>
    <w:rsid w:val="08423ABD"/>
    <w:rsid w:val="08964F11"/>
    <w:rsid w:val="08971E19"/>
    <w:rsid w:val="089F5EED"/>
    <w:rsid w:val="08BB636A"/>
    <w:rsid w:val="08C44A69"/>
    <w:rsid w:val="08E20F87"/>
    <w:rsid w:val="08F07C31"/>
    <w:rsid w:val="0919443A"/>
    <w:rsid w:val="09533A35"/>
    <w:rsid w:val="09905A49"/>
    <w:rsid w:val="09C821D5"/>
    <w:rsid w:val="09D2659F"/>
    <w:rsid w:val="0A1042DF"/>
    <w:rsid w:val="0A2C0411"/>
    <w:rsid w:val="0A2D396D"/>
    <w:rsid w:val="0A380803"/>
    <w:rsid w:val="0A4E4BF5"/>
    <w:rsid w:val="0A594281"/>
    <w:rsid w:val="0A6A19B7"/>
    <w:rsid w:val="0A8C7FBE"/>
    <w:rsid w:val="0A8F13E6"/>
    <w:rsid w:val="0AA34C31"/>
    <w:rsid w:val="0AAB58FA"/>
    <w:rsid w:val="0AC323F5"/>
    <w:rsid w:val="0B2C1180"/>
    <w:rsid w:val="0B731E5B"/>
    <w:rsid w:val="0B7C2DAB"/>
    <w:rsid w:val="0BCF4299"/>
    <w:rsid w:val="0C1048BB"/>
    <w:rsid w:val="0C105CA9"/>
    <w:rsid w:val="0C337FFD"/>
    <w:rsid w:val="0C8221A1"/>
    <w:rsid w:val="0CA13DE8"/>
    <w:rsid w:val="0D1C592A"/>
    <w:rsid w:val="0D652864"/>
    <w:rsid w:val="0D81263F"/>
    <w:rsid w:val="0D8713A0"/>
    <w:rsid w:val="0D8F4EEB"/>
    <w:rsid w:val="0DA725BF"/>
    <w:rsid w:val="0DAE5F61"/>
    <w:rsid w:val="0DBA17E8"/>
    <w:rsid w:val="0DDB2390"/>
    <w:rsid w:val="0E2903F1"/>
    <w:rsid w:val="0E2C060C"/>
    <w:rsid w:val="0E312FAD"/>
    <w:rsid w:val="0E381EDB"/>
    <w:rsid w:val="0E813BB2"/>
    <w:rsid w:val="0EA305AB"/>
    <w:rsid w:val="0EC27334"/>
    <w:rsid w:val="0F194B54"/>
    <w:rsid w:val="0F2A57D0"/>
    <w:rsid w:val="0F40581B"/>
    <w:rsid w:val="0F426B16"/>
    <w:rsid w:val="0F6634D4"/>
    <w:rsid w:val="0F6A42A4"/>
    <w:rsid w:val="0F7D4657"/>
    <w:rsid w:val="0FAE3348"/>
    <w:rsid w:val="0FDB6054"/>
    <w:rsid w:val="0FEF4B78"/>
    <w:rsid w:val="10497553"/>
    <w:rsid w:val="10756DCA"/>
    <w:rsid w:val="10843FAB"/>
    <w:rsid w:val="10C34A38"/>
    <w:rsid w:val="113414AA"/>
    <w:rsid w:val="11692E07"/>
    <w:rsid w:val="116C4AAE"/>
    <w:rsid w:val="11B91EE0"/>
    <w:rsid w:val="11D566EF"/>
    <w:rsid w:val="11EE0EB5"/>
    <w:rsid w:val="124A5A13"/>
    <w:rsid w:val="125C4F23"/>
    <w:rsid w:val="127C60A1"/>
    <w:rsid w:val="12837680"/>
    <w:rsid w:val="128F7CF2"/>
    <w:rsid w:val="12A13D4A"/>
    <w:rsid w:val="12AF4536"/>
    <w:rsid w:val="12C859D3"/>
    <w:rsid w:val="12D62FF1"/>
    <w:rsid w:val="12F346F4"/>
    <w:rsid w:val="12FF3020"/>
    <w:rsid w:val="130C7CD3"/>
    <w:rsid w:val="13201BEB"/>
    <w:rsid w:val="135E4EDF"/>
    <w:rsid w:val="136A5B2B"/>
    <w:rsid w:val="137D4AB6"/>
    <w:rsid w:val="13BA02E8"/>
    <w:rsid w:val="13C035EB"/>
    <w:rsid w:val="13E334E7"/>
    <w:rsid w:val="13F06E51"/>
    <w:rsid w:val="140F6B5E"/>
    <w:rsid w:val="141A5F16"/>
    <w:rsid w:val="142D6FA1"/>
    <w:rsid w:val="14540736"/>
    <w:rsid w:val="14725B6E"/>
    <w:rsid w:val="14752A35"/>
    <w:rsid w:val="147577A2"/>
    <w:rsid w:val="14EC1179"/>
    <w:rsid w:val="15274591"/>
    <w:rsid w:val="156D4E90"/>
    <w:rsid w:val="157D2BE0"/>
    <w:rsid w:val="15A16F7D"/>
    <w:rsid w:val="15CA21B7"/>
    <w:rsid w:val="15CA6308"/>
    <w:rsid w:val="15CE0282"/>
    <w:rsid w:val="15D8200E"/>
    <w:rsid w:val="162B7750"/>
    <w:rsid w:val="16513E22"/>
    <w:rsid w:val="165B5AB6"/>
    <w:rsid w:val="16671B37"/>
    <w:rsid w:val="16975C4F"/>
    <w:rsid w:val="16D621CD"/>
    <w:rsid w:val="173A77F7"/>
    <w:rsid w:val="17442248"/>
    <w:rsid w:val="177578CE"/>
    <w:rsid w:val="17AF12B0"/>
    <w:rsid w:val="17C73DE1"/>
    <w:rsid w:val="17EC1D90"/>
    <w:rsid w:val="181857F1"/>
    <w:rsid w:val="18320C86"/>
    <w:rsid w:val="183C349C"/>
    <w:rsid w:val="187F666C"/>
    <w:rsid w:val="18817378"/>
    <w:rsid w:val="18E71ABD"/>
    <w:rsid w:val="192052D2"/>
    <w:rsid w:val="196053C8"/>
    <w:rsid w:val="196554D0"/>
    <w:rsid w:val="19700015"/>
    <w:rsid w:val="1989032F"/>
    <w:rsid w:val="19A9723A"/>
    <w:rsid w:val="19B116AD"/>
    <w:rsid w:val="1A0101B9"/>
    <w:rsid w:val="1A226E53"/>
    <w:rsid w:val="1A790F1E"/>
    <w:rsid w:val="1A7D513E"/>
    <w:rsid w:val="1A916CD3"/>
    <w:rsid w:val="1AAC4EDE"/>
    <w:rsid w:val="1AD2170B"/>
    <w:rsid w:val="1AD62246"/>
    <w:rsid w:val="1AE076C7"/>
    <w:rsid w:val="1AF241BB"/>
    <w:rsid w:val="1B1E3775"/>
    <w:rsid w:val="1B252E1B"/>
    <w:rsid w:val="1B2F41DB"/>
    <w:rsid w:val="1B603543"/>
    <w:rsid w:val="1B7C12F7"/>
    <w:rsid w:val="1B8023F3"/>
    <w:rsid w:val="1B8E685A"/>
    <w:rsid w:val="1BAA1E5B"/>
    <w:rsid w:val="1BB03A84"/>
    <w:rsid w:val="1BCF270A"/>
    <w:rsid w:val="1BFF71F2"/>
    <w:rsid w:val="1C4363E0"/>
    <w:rsid w:val="1C48300F"/>
    <w:rsid w:val="1C502EA6"/>
    <w:rsid w:val="1CE760D3"/>
    <w:rsid w:val="1CF540E9"/>
    <w:rsid w:val="1D0600A4"/>
    <w:rsid w:val="1D2A3AED"/>
    <w:rsid w:val="1D4A4435"/>
    <w:rsid w:val="1D5675F2"/>
    <w:rsid w:val="1D597A8F"/>
    <w:rsid w:val="1D6E3F43"/>
    <w:rsid w:val="1DB96E42"/>
    <w:rsid w:val="1DBD2D42"/>
    <w:rsid w:val="1DC55B0F"/>
    <w:rsid w:val="1DD146A6"/>
    <w:rsid w:val="1DE83057"/>
    <w:rsid w:val="1DF012E9"/>
    <w:rsid w:val="1E1C321D"/>
    <w:rsid w:val="1E37175C"/>
    <w:rsid w:val="1E38363E"/>
    <w:rsid w:val="1E672DC4"/>
    <w:rsid w:val="1EBE231E"/>
    <w:rsid w:val="1F0500FE"/>
    <w:rsid w:val="1F581228"/>
    <w:rsid w:val="1F685A5C"/>
    <w:rsid w:val="1F9F061F"/>
    <w:rsid w:val="1FA16E10"/>
    <w:rsid w:val="1FA80AFA"/>
    <w:rsid w:val="1FCE4638"/>
    <w:rsid w:val="201B3793"/>
    <w:rsid w:val="20364FD1"/>
    <w:rsid w:val="205D4E0F"/>
    <w:rsid w:val="2096008A"/>
    <w:rsid w:val="20BB143F"/>
    <w:rsid w:val="20C271DD"/>
    <w:rsid w:val="20C9797F"/>
    <w:rsid w:val="20FC1025"/>
    <w:rsid w:val="211803A6"/>
    <w:rsid w:val="212743C7"/>
    <w:rsid w:val="21371ABB"/>
    <w:rsid w:val="214A157D"/>
    <w:rsid w:val="215E7C50"/>
    <w:rsid w:val="217923BA"/>
    <w:rsid w:val="21921152"/>
    <w:rsid w:val="21C55A13"/>
    <w:rsid w:val="21FE0EA7"/>
    <w:rsid w:val="226D315B"/>
    <w:rsid w:val="22835243"/>
    <w:rsid w:val="22A172F0"/>
    <w:rsid w:val="22B0515E"/>
    <w:rsid w:val="22C34C3F"/>
    <w:rsid w:val="230F189F"/>
    <w:rsid w:val="23230E91"/>
    <w:rsid w:val="233C65C1"/>
    <w:rsid w:val="23424572"/>
    <w:rsid w:val="23456E3F"/>
    <w:rsid w:val="235C6C70"/>
    <w:rsid w:val="23894069"/>
    <w:rsid w:val="23981F77"/>
    <w:rsid w:val="23B302FF"/>
    <w:rsid w:val="23C32FCA"/>
    <w:rsid w:val="23C860B3"/>
    <w:rsid w:val="23E570A9"/>
    <w:rsid w:val="23F1033F"/>
    <w:rsid w:val="23F61864"/>
    <w:rsid w:val="24265436"/>
    <w:rsid w:val="24495070"/>
    <w:rsid w:val="246937B1"/>
    <w:rsid w:val="24843087"/>
    <w:rsid w:val="24D56C6A"/>
    <w:rsid w:val="24D91F57"/>
    <w:rsid w:val="2500187D"/>
    <w:rsid w:val="25615D50"/>
    <w:rsid w:val="25623FEF"/>
    <w:rsid w:val="25A83D26"/>
    <w:rsid w:val="25AB07BF"/>
    <w:rsid w:val="25B01C04"/>
    <w:rsid w:val="25E34D06"/>
    <w:rsid w:val="262C35EC"/>
    <w:rsid w:val="26530A43"/>
    <w:rsid w:val="26875139"/>
    <w:rsid w:val="268E70FB"/>
    <w:rsid w:val="26C90EDC"/>
    <w:rsid w:val="26D02F42"/>
    <w:rsid w:val="26D07A6A"/>
    <w:rsid w:val="26DB0483"/>
    <w:rsid w:val="27146BCE"/>
    <w:rsid w:val="271D7E59"/>
    <w:rsid w:val="27322DE3"/>
    <w:rsid w:val="27355840"/>
    <w:rsid w:val="277D4FA2"/>
    <w:rsid w:val="280E605F"/>
    <w:rsid w:val="28216945"/>
    <w:rsid w:val="28291A98"/>
    <w:rsid w:val="2830482F"/>
    <w:rsid w:val="283D0875"/>
    <w:rsid w:val="28403AB2"/>
    <w:rsid w:val="284F6E0C"/>
    <w:rsid w:val="286435D1"/>
    <w:rsid w:val="286D1199"/>
    <w:rsid w:val="28861CD7"/>
    <w:rsid w:val="28A450B4"/>
    <w:rsid w:val="28E367E3"/>
    <w:rsid w:val="28FB33EB"/>
    <w:rsid w:val="28FD61B3"/>
    <w:rsid w:val="29154682"/>
    <w:rsid w:val="294760B8"/>
    <w:rsid w:val="29550D25"/>
    <w:rsid w:val="2961443A"/>
    <w:rsid w:val="29E004E4"/>
    <w:rsid w:val="2A133E00"/>
    <w:rsid w:val="2A35143F"/>
    <w:rsid w:val="2A87434A"/>
    <w:rsid w:val="2A8C72D2"/>
    <w:rsid w:val="2A9D4E6E"/>
    <w:rsid w:val="2AD81DA9"/>
    <w:rsid w:val="2AE97055"/>
    <w:rsid w:val="2B5209A4"/>
    <w:rsid w:val="2B5D1B5F"/>
    <w:rsid w:val="2B763D52"/>
    <w:rsid w:val="2B882146"/>
    <w:rsid w:val="2BC50D91"/>
    <w:rsid w:val="2BFF23D2"/>
    <w:rsid w:val="2C1D7055"/>
    <w:rsid w:val="2C3A34D5"/>
    <w:rsid w:val="2C5A0F68"/>
    <w:rsid w:val="2CA333CE"/>
    <w:rsid w:val="2D2B6769"/>
    <w:rsid w:val="2D3A52AC"/>
    <w:rsid w:val="2D6B130D"/>
    <w:rsid w:val="2DA46DD9"/>
    <w:rsid w:val="2DAE1460"/>
    <w:rsid w:val="2DBA5D11"/>
    <w:rsid w:val="2DCD3147"/>
    <w:rsid w:val="2DD23713"/>
    <w:rsid w:val="2DE22CAD"/>
    <w:rsid w:val="2DFC3B09"/>
    <w:rsid w:val="2E063C32"/>
    <w:rsid w:val="2E132621"/>
    <w:rsid w:val="2E34076F"/>
    <w:rsid w:val="2E6121CD"/>
    <w:rsid w:val="2E6C46D4"/>
    <w:rsid w:val="2EAC48FC"/>
    <w:rsid w:val="2F5765AB"/>
    <w:rsid w:val="2F837332"/>
    <w:rsid w:val="2FAB4A93"/>
    <w:rsid w:val="2FD65AA5"/>
    <w:rsid w:val="2FD67846"/>
    <w:rsid w:val="2FE001D5"/>
    <w:rsid w:val="2FEF6855"/>
    <w:rsid w:val="2FFF765A"/>
    <w:rsid w:val="30155ADD"/>
    <w:rsid w:val="30A7222C"/>
    <w:rsid w:val="30AF4F16"/>
    <w:rsid w:val="30C04D68"/>
    <w:rsid w:val="30C8184E"/>
    <w:rsid w:val="30D86127"/>
    <w:rsid w:val="30E33F4C"/>
    <w:rsid w:val="310143A7"/>
    <w:rsid w:val="313016C5"/>
    <w:rsid w:val="31365EBB"/>
    <w:rsid w:val="3176454F"/>
    <w:rsid w:val="31D31915"/>
    <w:rsid w:val="31E63BA8"/>
    <w:rsid w:val="31E9135A"/>
    <w:rsid w:val="324C4712"/>
    <w:rsid w:val="327A0EC0"/>
    <w:rsid w:val="328006E3"/>
    <w:rsid w:val="330C4FE2"/>
    <w:rsid w:val="33474DEB"/>
    <w:rsid w:val="33697E46"/>
    <w:rsid w:val="337C2A16"/>
    <w:rsid w:val="339154E1"/>
    <w:rsid w:val="33D744F5"/>
    <w:rsid w:val="3400446B"/>
    <w:rsid w:val="3471661B"/>
    <w:rsid w:val="34721790"/>
    <w:rsid w:val="34875796"/>
    <w:rsid w:val="34D80795"/>
    <w:rsid w:val="34DC5AF1"/>
    <w:rsid w:val="35340912"/>
    <w:rsid w:val="35355955"/>
    <w:rsid w:val="35E91C56"/>
    <w:rsid w:val="35EF3D34"/>
    <w:rsid w:val="35F25380"/>
    <w:rsid w:val="360A2FA2"/>
    <w:rsid w:val="36234001"/>
    <w:rsid w:val="365657A0"/>
    <w:rsid w:val="36733057"/>
    <w:rsid w:val="368451F4"/>
    <w:rsid w:val="36AA35C5"/>
    <w:rsid w:val="36CF5F58"/>
    <w:rsid w:val="36D0714B"/>
    <w:rsid w:val="36E87CCA"/>
    <w:rsid w:val="36F02BD0"/>
    <w:rsid w:val="36FF56AE"/>
    <w:rsid w:val="374B2E06"/>
    <w:rsid w:val="376D112C"/>
    <w:rsid w:val="377D597D"/>
    <w:rsid w:val="378A04B1"/>
    <w:rsid w:val="37CF64AC"/>
    <w:rsid w:val="37F52D97"/>
    <w:rsid w:val="38586B66"/>
    <w:rsid w:val="3886629A"/>
    <w:rsid w:val="38B43C74"/>
    <w:rsid w:val="38B619EA"/>
    <w:rsid w:val="38B955D3"/>
    <w:rsid w:val="38BA438C"/>
    <w:rsid w:val="38EE5950"/>
    <w:rsid w:val="3932513B"/>
    <w:rsid w:val="39442589"/>
    <w:rsid w:val="39BB381D"/>
    <w:rsid w:val="39BF136E"/>
    <w:rsid w:val="39D37108"/>
    <w:rsid w:val="39DB4726"/>
    <w:rsid w:val="3A1228E4"/>
    <w:rsid w:val="3A3F2C02"/>
    <w:rsid w:val="3A4D4545"/>
    <w:rsid w:val="3A7531C4"/>
    <w:rsid w:val="3A7F3E04"/>
    <w:rsid w:val="3A8E6E23"/>
    <w:rsid w:val="3AA54D83"/>
    <w:rsid w:val="3AA751F1"/>
    <w:rsid w:val="3AB26D1E"/>
    <w:rsid w:val="3ACE7785"/>
    <w:rsid w:val="3AD02EC4"/>
    <w:rsid w:val="3AE40544"/>
    <w:rsid w:val="3B054C5A"/>
    <w:rsid w:val="3B1940DA"/>
    <w:rsid w:val="3B1A170F"/>
    <w:rsid w:val="3B2B6C48"/>
    <w:rsid w:val="3B303319"/>
    <w:rsid w:val="3B3551C3"/>
    <w:rsid w:val="3B42398E"/>
    <w:rsid w:val="3B4447F3"/>
    <w:rsid w:val="3B474839"/>
    <w:rsid w:val="3B5461DE"/>
    <w:rsid w:val="3B67773C"/>
    <w:rsid w:val="3B6904C5"/>
    <w:rsid w:val="3B8028A9"/>
    <w:rsid w:val="3B891DBC"/>
    <w:rsid w:val="3BA60CB3"/>
    <w:rsid w:val="3BAF628D"/>
    <w:rsid w:val="3BD117F8"/>
    <w:rsid w:val="3C1A73F5"/>
    <w:rsid w:val="3C382891"/>
    <w:rsid w:val="3C504A40"/>
    <w:rsid w:val="3CBE57F8"/>
    <w:rsid w:val="3CDE30FF"/>
    <w:rsid w:val="3D5A0F8B"/>
    <w:rsid w:val="3D7B4AF8"/>
    <w:rsid w:val="3DA71523"/>
    <w:rsid w:val="3DA9189B"/>
    <w:rsid w:val="3DB3421B"/>
    <w:rsid w:val="3DCB46B1"/>
    <w:rsid w:val="3DF326E8"/>
    <w:rsid w:val="3DFF0E27"/>
    <w:rsid w:val="3E7359A9"/>
    <w:rsid w:val="3E927592"/>
    <w:rsid w:val="3E98675F"/>
    <w:rsid w:val="3EAF54F5"/>
    <w:rsid w:val="3EB621C0"/>
    <w:rsid w:val="3EC7548D"/>
    <w:rsid w:val="3F082EB4"/>
    <w:rsid w:val="3F115944"/>
    <w:rsid w:val="3F4F5380"/>
    <w:rsid w:val="3F5B0017"/>
    <w:rsid w:val="3F5B1373"/>
    <w:rsid w:val="3F604BA8"/>
    <w:rsid w:val="3F64419B"/>
    <w:rsid w:val="3F6532BD"/>
    <w:rsid w:val="3F6F675D"/>
    <w:rsid w:val="3F7D5B4C"/>
    <w:rsid w:val="3FB825FB"/>
    <w:rsid w:val="3FF94FBF"/>
    <w:rsid w:val="4023061E"/>
    <w:rsid w:val="402512F5"/>
    <w:rsid w:val="402545F8"/>
    <w:rsid w:val="402B72E7"/>
    <w:rsid w:val="404B0467"/>
    <w:rsid w:val="4073788A"/>
    <w:rsid w:val="408E70AC"/>
    <w:rsid w:val="40C05907"/>
    <w:rsid w:val="40EB1E44"/>
    <w:rsid w:val="40FA1332"/>
    <w:rsid w:val="411918A4"/>
    <w:rsid w:val="41281AE7"/>
    <w:rsid w:val="417454AB"/>
    <w:rsid w:val="41AB26EB"/>
    <w:rsid w:val="41B71861"/>
    <w:rsid w:val="41BC6C52"/>
    <w:rsid w:val="41CD4A50"/>
    <w:rsid w:val="41D844DE"/>
    <w:rsid w:val="41F26EE8"/>
    <w:rsid w:val="4213165D"/>
    <w:rsid w:val="4228217E"/>
    <w:rsid w:val="4234796F"/>
    <w:rsid w:val="42421C0B"/>
    <w:rsid w:val="42704260"/>
    <w:rsid w:val="4277580E"/>
    <w:rsid w:val="42876CE2"/>
    <w:rsid w:val="429C4C22"/>
    <w:rsid w:val="42FB6020"/>
    <w:rsid w:val="42FE1026"/>
    <w:rsid w:val="438056A3"/>
    <w:rsid w:val="43900378"/>
    <w:rsid w:val="439A1B4B"/>
    <w:rsid w:val="439E461E"/>
    <w:rsid w:val="43B12074"/>
    <w:rsid w:val="43B34573"/>
    <w:rsid w:val="43C10389"/>
    <w:rsid w:val="44034933"/>
    <w:rsid w:val="44322FE2"/>
    <w:rsid w:val="445D2710"/>
    <w:rsid w:val="446B597A"/>
    <w:rsid w:val="44AF4F31"/>
    <w:rsid w:val="44D3620E"/>
    <w:rsid w:val="44DB48CA"/>
    <w:rsid w:val="44E60919"/>
    <w:rsid w:val="450072D4"/>
    <w:rsid w:val="45DE7DF6"/>
    <w:rsid w:val="4611354E"/>
    <w:rsid w:val="464D3E1C"/>
    <w:rsid w:val="466E7E25"/>
    <w:rsid w:val="468139D8"/>
    <w:rsid w:val="46B5693A"/>
    <w:rsid w:val="471054F8"/>
    <w:rsid w:val="47274B46"/>
    <w:rsid w:val="4747295E"/>
    <w:rsid w:val="47600768"/>
    <w:rsid w:val="47847045"/>
    <w:rsid w:val="48140F9F"/>
    <w:rsid w:val="481969F8"/>
    <w:rsid w:val="48452AAB"/>
    <w:rsid w:val="48577867"/>
    <w:rsid w:val="485F342F"/>
    <w:rsid w:val="486A137D"/>
    <w:rsid w:val="487A636D"/>
    <w:rsid w:val="48867920"/>
    <w:rsid w:val="48AE2ED5"/>
    <w:rsid w:val="48AE321A"/>
    <w:rsid w:val="48C13945"/>
    <w:rsid w:val="48EF4E15"/>
    <w:rsid w:val="48F56ABF"/>
    <w:rsid w:val="491E1C06"/>
    <w:rsid w:val="496569BC"/>
    <w:rsid w:val="49A1568E"/>
    <w:rsid w:val="49CD76D0"/>
    <w:rsid w:val="49E13AB3"/>
    <w:rsid w:val="49FB7AAA"/>
    <w:rsid w:val="4A016507"/>
    <w:rsid w:val="4A68105A"/>
    <w:rsid w:val="4A890E51"/>
    <w:rsid w:val="4A8D2388"/>
    <w:rsid w:val="4A982C56"/>
    <w:rsid w:val="4AD75A64"/>
    <w:rsid w:val="4AEC756D"/>
    <w:rsid w:val="4B1E046D"/>
    <w:rsid w:val="4B7D557C"/>
    <w:rsid w:val="4BAF49FC"/>
    <w:rsid w:val="4BC36DB8"/>
    <w:rsid w:val="4BF67D8F"/>
    <w:rsid w:val="4C071A1C"/>
    <w:rsid w:val="4C0E407D"/>
    <w:rsid w:val="4C1939D0"/>
    <w:rsid w:val="4C1E2465"/>
    <w:rsid w:val="4C391AC4"/>
    <w:rsid w:val="4C3D7544"/>
    <w:rsid w:val="4D0E4287"/>
    <w:rsid w:val="4D1344C2"/>
    <w:rsid w:val="4D150608"/>
    <w:rsid w:val="4D6322B3"/>
    <w:rsid w:val="4D720342"/>
    <w:rsid w:val="4D8252F8"/>
    <w:rsid w:val="4DBC1F35"/>
    <w:rsid w:val="4DF73EBA"/>
    <w:rsid w:val="4DFA3B89"/>
    <w:rsid w:val="4E8937F7"/>
    <w:rsid w:val="4ECE1302"/>
    <w:rsid w:val="4EFB0AFB"/>
    <w:rsid w:val="4EFF6ABD"/>
    <w:rsid w:val="4F071A96"/>
    <w:rsid w:val="4F23755B"/>
    <w:rsid w:val="4F5008D7"/>
    <w:rsid w:val="4F901D37"/>
    <w:rsid w:val="4F990716"/>
    <w:rsid w:val="4FA258AE"/>
    <w:rsid w:val="4FC62E9B"/>
    <w:rsid w:val="4FD234C3"/>
    <w:rsid w:val="4FD803B5"/>
    <w:rsid w:val="501716A5"/>
    <w:rsid w:val="501D3601"/>
    <w:rsid w:val="505E7E1F"/>
    <w:rsid w:val="50824519"/>
    <w:rsid w:val="51114E3C"/>
    <w:rsid w:val="51460047"/>
    <w:rsid w:val="51473FD6"/>
    <w:rsid w:val="51720DF7"/>
    <w:rsid w:val="51852FFB"/>
    <w:rsid w:val="52367603"/>
    <w:rsid w:val="52486C78"/>
    <w:rsid w:val="52556ED3"/>
    <w:rsid w:val="526E38F2"/>
    <w:rsid w:val="527D2DC8"/>
    <w:rsid w:val="52CC79ED"/>
    <w:rsid w:val="53010A83"/>
    <w:rsid w:val="53013C58"/>
    <w:rsid w:val="532A16EF"/>
    <w:rsid w:val="533810A3"/>
    <w:rsid w:val="53467F62"/>
    <w:rsid w:val="53546E7C"/>
    <w:rsid w:val="53785BCD"/>
    <w:rsid w:val="53793F27"/>
    <w:rsid w:val="53A048CC"/>
    <w:rsid w:val="53B33201"/>
    <w:rsid w:val="53CA493C"/>
    <w:rsid w:val="53CE7AF3"/>
    <w:rsid w:val="54A37135"/>
    <w:rsid w:val="54BF2A43"/>
    <w:rsid w:val="55320F1C"/>
    <w:rsid w:val="55351C8F"/>
    <w:rsid w:val="55597610"/>
    <w:rsid w:val="55801AFB"/>
    <w:rsid w:val="558A1438"/>
    <w:rsid w:val="55A57A34"/>
    <w:rsid w:val="55BD2326"/>
    <w:rsid w:val="55E616A8"/>
    <w:rsid w:val="55ED2633"/>
    <w:rsid w:val="56010A69"/>
    <w:rsid w:val="56056606"/>
    <w:rsid w:val="560D7A4C"/>
    <w:rsid w:val="562760D7"/>
    <w:rsid w:val="563B584F"/>
    <w:rsid w:val="56443496"/>
    <w:rsid w:val="569B748D"/>
    <w:rsid w:val="56A47A0A"/>
    <w:rsid w:val="56CA51FA"/>
    <w:rsid w:val="57070696"/>
    <w:rsid w:val="572A3118"/>
    <w:rsid w:val="574027A8"/>
    <w:rsid w:val="576511E4"/>
    <w:rsid w:val="5769267C"/>
    <w:rsid w:val="578D6857"/>
    <w:rsid w:val="57A32DC2"/>
    <w:rsid w:val="57C816F0"/>
    <w:rsid w:val="57D1482F"/>
    <w:rsid w:val="58267EF3"/>
    <w:rsid w:val="58320FA9"/>
    <w:rsid w:val="583F2FA8"/>
    <w:rsid w:val="585A4825"/>
    <w:rsid w:val="58713A5A"/>
    <w:rsid w:val="588F6FE2"/>
    <w:rsid w:val="58C30541"/>
    <w:rsid w:val="58FC6E48"/>
    <w:rsid w:val="59263C7C"/>
    <w:rsid w:val="593212FE"/>
    <w:rsid w:val="597F0694"/>
    <w:rsid w:val="59995821"/>
    <w:rsid w:val="599F5C1F"/>
    <w:rsid w:val="59E36A9C"/>
    <w:rsid w:val="59F12151"/>
    <w:rsid w:val="59F6057D"/>
    <w:rsid w:val="5A033E77"/>
    <w:rsid w:val="5A05386F"/>
    <w:rsid w:val="5A4B52A9"/>
    <w:rsid w:val="5AA42921"/>
    <w:rsid w:val="5AC00405"/>
    <w:rsid w:val="5ACD0956"/>
    <w:rsid w:val="5AD978C3"/>
    <w:rsid w:val="5AFC28FD"/>
    <w:rsid w:val="5B030C45"/>
    <w:rsid w:val="5B1D59F4"/>
    <w:rsid w:val="5B3678E5"/>
    <w:rsid w:val="5B843B48"/>
    <w:rsid w:val="5B917915"/>
    <w:rsid w:val="5BE55C2C"/>
    <w:rsid w:val="5C1803E7"/>
    <w:rsid w:val="5C9C4330"/>
    <w:rsid w:val="5CCD5897"/>
    <w:rsid w:val="5CCF5A6F"/>
    <w:rsid w:val="5CFF1AEC"/>
    <w:rsid w:val="5D3A3BF0"/>
    <w:rsid w:val="5DB97D1F"/>
    <w:rsid w:val="5DC42740"/>
    <w:rsid w:val="5DD3128F"/>
    <w:rsid w:val="5E0F4D2E"/>
    <w:rsid w:val="5E1824AD"/>
    <w:rsid w:val="5E422BFD"/>
    <w:rsid w:val="5E557E4F"/>
    <w:rsid w:val="5E842202"/>
    <w:rsid w:val="5EA70018"/>
    <w:rsid w:val="5EC32A49"/>
    <w:rsid w:val="5ECD0EA2"/>
    <w:rsid w:val="5F26235C"/>
    <w:rsid w:val="5F362755"/>
    <w:rsid w:val="5F4B4017"/>
    <w:rsid w:val="5F84127C"/>
    <w:rsid w:val="5FC279EF"/>
    <w:rsid w:val="5FC71D87"/>
    <w:rsid w:val="5FD76C25"/>
    <w:rsid w:val="5FDB7EA8"/>
    <w:rsid w:val="5FE6202E"/>
    <w:rsid w:val="60462EE0"/>
    <w:rsid w:val="605111C2"/>
    <w:rsid w:val="606D3C39"/>
    <w:rsid w:val="607E1028"/>
    <w:rsid w:val="6096403E"/>
    <w:rsid w:val="60967ED3"/>
    <w:rsid w:val="60A23D35"/>
    <w:rsid w:val="60CB7AE3"/>
    <w:rsid w:val="60CC094D"/>
    <w:rsid w:val="610A4D98"/>
    <w:rsid w:val="61335A9C"/>
    <w:rsid w:val="61386F29"/>
    <w:rsid w:val="613975DD"/>
    <w:rsid w:val="614724A5"/>
    <w:rsid w:val="61717C7C"/>
    <w:rsid w:val="618B6709"/>
    <w:rsid w:val="61CC1553"/>
    <w:rsid w:val="61E570B4"/>
    <w:rsid w:val="623E22E1"/>
    <w:rsid w:val="6248622C"/>
    <w:rsid w:val="62576DB1"/>
    <w:rsid w:val="62670A97"/>
    <w:rsid w:val="626B2421"/>
    <w:rsid w:val="6274090B"/>
    <w:rsid w:val="62971DA6"/>
    <w:rsid w:val="62A5507D"/>
    <w:rsid w:val="62A665D8"/>
    <w:rsid w:val="62B34D14"/>
    <w:rsid w:val="62BD2580"/>
    <w:rsid w:val="62BE5E10"/>
    <w:rsid w:val="62D16E61"/>
    <w:rsid w:val="62E90304"/>
    <w:rsid w:val="62E94474"/>
    <w:rsid w:val="6356778F"/>
    <w:rsid w:val="63665266"/>
    <w:rsid w:val="639332E1"/>
    <w:rsid w:val="639808F7"/>
    <w:rsid w:val="63CB051D"/>
    <w:rsid w:val="644E6EC3"/>
    <w:rsid w:val="64584186"/>
    <w:rsid w:val="647213A0"/>
    <w:rsid w:val="65444391"/>
    <w:rsid w:val="65692B10"/>
    <w:rsid w:val="656B6FA3"/>
    <w:rsid w:val="65D57105"/>
    <w:rsid w:val="65DC3CCD"/>
    <w:rsid w:val="65E81496"/>
    <w:rsid w:val="65E977F5"/>
    <w:rsid w:val="65FB4F05"/>
    <w:rsid w:val="660E2E5D"/>
    <w:rsid w:val="66702197"/>
    <w:rsid w:val="66721A79"/>
    <w:rsid w:val="667679A4"/>
    <w:rsid w:val="66C57ACB"/>
    <w:rsid w:val="66FB6196"/>
    <w:rsid w:val="6712154F"/>
    <w:rsid w:val="671A33F4"/>
    <w:rsid w:val="674C5D1D"/>
    <w:rsid w:val="676843D9"/>
    <w:rsid w:val="677A7225"/>
    <w:rsid w:val="678135EA"/>
    <w:rsid w:val="67936F1A"/>
    <w:rsid w:val="67964C4D"/>
    <w:rsid w:val="67A0509F"/>
    <w:rsid w:val="6857768D"/>
    <w:rsid w:val="689E4241"/>
    <w:rsid w:val="68BC7190"/>
    <w:rsid w:val="68F83568"/>
    <w:rsid w:val="693C4933"/>
    <w:rsid w:val="698A26C1"/>
    <w:rsid w:val="69972382"/>
    <w:rsid w:val="69A01CDB"/>
    <w:rsid w:val="69AF6012"/>
    <w:rsid w:val="69C52442"/>
    <w:rsid w:val="69E2467A"/>
    <w:rsid w:val="69E95657"/>
    <w:rsid w:val="6A05414B"/>
    <w:rsid w:val="6A0E40A4"/>
    <w:rsid w:val="6A5B5EB6"/>
    <w:rsid w:val="6A664F9F"/>
    <w:rsid w:val="6A7160D0"/>
    <w:rsid w:val="6AD77439"/>
    <w:rsid w:val="6ADA732A"/>
    <w:rsid w:val="6AF723A7"/>
    <w:rsid w:val="6B1116BB"/>
    <w:rsid w:val="6B3804DD"/>
    <w:rsid w:val="6B5B634B"/>
    <w:rsid w:val="6B740F01"/>
    <w:rsid w:val="6B8C56D6"/>
    <w:rsid w:val="6B8D7C85"/>
    <w:rsid w:val="6B8E3C2A"/>
    <w:rsid w:val="6B925E6F"/>
    <w:rsid w:val="6BCE1A00"/>
    <w:rsid w:val="6BD061D6"/>
    <w:rsid w:val="6BDC43A6"/>
    <w:rsid w:val="6BE2777C"/>
    <w:rsid w:val="6BF035F0"/>
    <w:rsid w:val="6C07661A"/>
    <w:rsid w:val="6C655215"/>
    <w:rsid w:val="6C7C3640"/>
    <w:rsid w:val="6C864EA6"/>
    <w:rsid w:val="6C982889"/>
    <w:rsid w:val="6CA47228"/>
    <w:rsid w:val="6CAE7C56"/>
    <w:rsid w:val="6CB03A06"/>
    <w:rsid w:val="6CC74A15"/>
    <w:rsid w:val="6CE2456D"/>
    <w:rsid w:val="6D56641F"/>
    <w:rsid w:val="6D5D610D"/>
    <w:rsid w:val="6D626B7A"/>
    <w:rsid w:val="6D6E68A4"/>
    <w:rsid w:val="6D8E6A7C"/>
    <w:rsid w:val="6E081DBD"/>
    <w:rsid w:val="6E17794B"/>
    <w:rsid w:val="6E4E2F9D"/>
    <w:rsid w:val="6E500C05"/>
    <w:rsid w:val="6E650E71"/>
    <w:rsid w:val="6E6A0B89"/>
    <w:rsid w:val="6E9768A5"/>
    <w:rsid w:val="6EB44CD9"/>
    <w:rsid w:val="6ED66683"/>
    <w:rsid w:val="6EDB553B"/>
    <w:rsid w:val="6F110B11"/>
    <w:rsid w:val="6F1A0916"/>
    <w:rsid w:val="6F2F7DC6"/>
    <w:rsid w:val="6F393C06"/>
    <w:rsid w:val="6F3D377B"/>
    <w:rsid w:val="6F6A3C2E"/>
    <w:rsid w:val="6FB02B95"/>
    <w:rsid w:val="6FD22BCB"/>
    <w:rsid w:val="6FEF3A03"/>
    <w:rsid w:val="700B5927"/>
    <w:rsid w:val="703D5EF5"/>
    <w:rsid w:val="7080699B"/>
    <w:rsid w:val="70A2416A"/>
    <w:rsid w:val="70B54178"/>
    <w:rsid w:val="70C4143B"/>
    <w:rsid w:val="70DC1E76"/>
    <w:rsid w:val="70E71F82"/>
    <w:rsid w:val="70EC412D"/>
    <w:rsid w:val="70F36CED"/>
    <w:rsid w:val="71111279"/>
    <w:rsid w:val="711571D0"/>
    <w:rsid w:val="711D2275"/>
    <w:rsid w:val="71914F51"/>
    <w:rsid w:val="71A55E4B"/>
    <w:rsid w:val="71BF7E29"/>
    <w:rsid w:val="71C007DA"/>
    <w:rsid w:val="72176C0A"/>
    <w:rsid w:val="721A51BD"/>
    <w:rsid w:val="721F5FBC"/>
    <w:rsid w:val="72432F32"/>
    <w:rsid w:val="72534F16"/>
    <w:rsid w:val="727B4DE6"/>
    <w:rsid w:val="727D078E"/>
    <w:rsid w:val="72851B49"/>
    <w:rsid w:val="72C5115C"/>
    <w:rsid w:val="72C61EE5"/>
    <w:rsid w:val="72EE2B49"/>
    <w:rsid w:val="72FD2B80"/>
    <w:rsid w:val="7311616A"/>
    <w:rsid w:val="73164DB6"/>
    <w:rsid w:val="73485164"/>
    <w:rsid w:val="73646831"/>
    <w:rsid w:val="736E39AB"/>
    <w:rsid w:val="73CA6863"/>
    <w:rsid w:val="73CB05D7"/>
    <w:rsid w:val="73D32269"/>
    <w:rsid w:val="73F26255"/>
    <w:rsid w:val="742B44C5"/>
    <w:rsid w:val="745F756F"/>
    <w:rsid w:val="746448E8"/>
    <w:rsid w:val="746F3C27"/>
    <w:rsid w:val="74726F95"/>
    <w:rsid w:val="74771E4A"/>
    <w:rsid w:val="74AB1EC6"/>
    <w:rsid w:val="74DC2A68"/>
    <w:rsid w:val="75024CB0"/>
    <w:rsid w:val="75104791"/>
    <w:rsid w:val="752813A9"/>
    <w:rsid w:val="753B1E04"/>
    <w:rsid w:val="754C78B8"/>
    <w:rsid w:val="756D573F"/>
    <w:rsid w:val="757D3C3B"/>
    <w:rsid w:val="75A90B07"/>
    <w:rsid w:val="75AA30D6"/>
    <w:rsid w:val="760E4842"/>
    <w:rsid w:val="76430A97"/>
    <w:rsid w:val="76536D79"/>
    <w:rsid w:val="76806C46"/>
    <w:rsid w:val="76C02894"/>
    <w:rsid w:val="76ED71B4"/>
    <w:rsid w:val="76EE5842"/>
    <w:rsid w:val="770E3FF3"/>
    <w:rsid w:val="776E4957"/>
    <w:rsid w:val="77A15B74"/>
    <w:rsid w:val="77DB1A41"/>
    <w:rsid w:val="77E33D98"/>
    <w:rsid w:val="781A7330"/>
    <w:rsid w:val="782B1858"/>
    <w:rsid w:val="78365FE9"/>
    <w:rsid w:val="78414C61"/>
    <w:rsid w:val="785A431D"/>
    <w:rsid w:val="78B502C5"/>
    <w:rsid w:val="78E91B65"/>
    <w:rsid w:val="78F80AA6"/>
    <w:rsid w:val="792D3445"/>
    <w:rsid w:val="792D3638"/>
    <w:rsid w:val="792E168A"/>
    <w:rsid w:val="796536D9"/>
    <w:rsid w:val="79A500E5"/>
    <w:rsid w:val="79A84CF6"/>
    <w:rsid w:val="79AC5601"/>
    <w:rsid w:val="79C731D1"/>
    <w:rsid w:val="79F26375"/>
    <w:rsid w:val="79FB79F0"/>
    <w:rsid w:val="7A0538B8"/>
    <w:rsid w:val="7A1958AE"/>
    <w:rsid w:val="7A6909E2"/>
    <w:rsid w:val="7A6B543C"/>
    <w:rsid w:val="7A715EAE"/>
    <w:rsid w:val="7A827EE6"/>
    <w:rsid w:val="7A863568"/>
    <w:rsid w:val="7AEF3556"/>
    <w:rsid w:val="7B5969BF"/>
    <w:rsid w:val="7B6E5D6D"/>
    <w:rsid w:val="7B790A7A"/>
    <w:rsid w:val="7B801809"/>
    <w:rsid w:val="7B9A223F"/>
    <w:rsid w:val="7B9B131C"/>
    <w:rsid w:val="7B9F6CDB"/>
    <w:rsid w:val="7BAE122A"/>
    <w:rsid w:val="7BB57030"/>
    <w:rsid w:val="7C246D74"/>
    <w:rsid w:val="7C575410"/>
    <w:rsid w:val="7C606A54"/>
    <w:rsid w:val="7C7C31CE"/>
    <w:rsid w:val="7CAC2E65"/>
    <w:rsid w:val="7CBC41CE"/>
    <w:rsid w:val="7CD86E85"/>
    <w:rsid w:val="7D11426A"/>
    <w:rsid w:val="7D15265C"/>
    <w:rsid w:val="7D1B3199"/>
    <w:rsid w:val="7D317B36"/>
    <w:rsid w:val="7D447A06"/>
    <w:rsid w:val="7D6E0039"/>
    <w:rsid w:val="7D98249E"/>
    <w:rsid w:val="7DA266AF"/>
    <w:rsid w:val="7DE26E35"/>
    <w:rsid w:val="7E154BC6"/>
    <w:rsid w:val="7E873135"/>
    <w:rsid w:val="7E98232E"/>
    <w:rsid w:val="7F301A81"/>
    <w:rsid w:val="7F374375"/>
    <w:rsid w:val="7F4C0F54"/>
    <w:rsid w:val="7FB90D50"/>
    <w:rsid w:val="7FC92441"/>
    <w:rsid w:val="7FE45A41"/>
    <w:rsid w:val="7FF13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1"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numPr>
        <w:ilvl w:val="0"/>
        <w:numId w:val="1"/>
      </w:numPr>
      <w:outlineLvl w:val="0"/>
    </w:pPr>
    <w:rPr>
      <w:b/>
    </w:rPr>
  </w:style>
  <w:style w:type="paragraph" w:styleId="5">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b/>
      <w:bCs/>
      <w:sz w:val="28"/>
      <w:szCs w:val="28"/>
    </w:rPr>
  </w:style>
  <w:style w:type="paragraph" w:styleId="8">
    <w:name w:val="heading 6"/>
    <w:basedOn w:val="1"/>
    <w:next w:val="1"/>
    <w:autoRedefine/>
    <w:qFormat/>
    <w:uiPriority w:val="0"/>
    <w:pPr>
      <w:keepNext/>
      <w:keepLines/>
      <w:numPr>
        <w:ilvl w:val="5"/>
        <w:numId w:val="2"/>
      </w:numPr>
      <w:spacing w:before="240" w:beforeLines="0" w:after="64" w:afterLines="0" w:line="317" w:lineRule="auto"/>
      <w:ind w:left="1151" w:hanging="1151"/>
      <w:outlineLvl w:val="5"/>
    </w:pPr>
    <w:rPr>
      <w:rFonts w:ascii="Arial" w:hAnsi="Arial" w:eastAsia="黑体"/>
      <w:b/>
      <w:sz w:val="24"/>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pPr>
    <w:rPr>
      <w:rFonts w:ascii="Times New Roman" w:hAnsi="Times New Roman"/>
      <w:szCs w:val="24"/>
    </w:rPr>
  </w:style>
  <w:style w:type="paragraph" w:styleId="3">
    <w:name w:val="Body Text Indent"/>
    <w:basedOn w:val="1"/>
    <w:link w:val="49"/>
    <w:autoRedefine/>
    <w:qFormat/>
    <w:uiPriority w:val="0"/>
    <w:pPr>
      <w:spacing w:after="120"/>
      <w:ind w:left="420" w:leftChars="200"/>
    </w:pPr>
  </w:style>
  <w:style w:type="paragraph" w:styleId="9">
    <w:name w:val="List 3"/>
    <w:basedOn w:val="1"/>
    <w:autoRedefine/>
    <w:qFormat/>
    <w:uiPriority w:val="0"/>
    <w:pPr>
      <w:ind w:left="100" w:leftChars="400" w:hanging="200" w:hangingChars="200"/>
    </w:pPr>
  </w:style>
  <w:style w:type="paragraph" w:styleId="10">
    <w:name w:val="Normal Indent"/>
    <w:basedOn w:val="1"/>
    <w:next w:val="1"/>
    <w:autoRedefine/>
    <w:unhideWhenUsed/>
    <w:qFormat/>
    <w:uiPriority w:val="0"/>
    <w:pPr>
      <w:ind w:firstLine="420" w:firstLineChars="200"/>
    </w:p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pPr>
    <w:rPr>
      <w:rFonts w:ascii="Arial" w:hAnsi="Arial"/>
      <w:sz w:val="24"/>
      <w:szCs w:val="21"/>
    </w:rPr>
  </w:style>
  <w:style w:type="paragraph" w:styleId="13">
    <w:name w:val="annotation text"/>
    <w:basedOn w:val="1"/>
    <w:unhideWhenUsed/>
    <w:qFormat/>
    <w:uiPriority w:val="1"/>
    <w:pPr>
      <w:jc w:val="left"/>
    </w:pPr>
  </w:style>
  <w:style w:type="paragraph" w:styleId="14">
    <w:name w:val="index 6"/>
    <w:basedOn w:val="1"/>
    <w:next w:val="1"/>
    <w:qFormat/>
    <w:uiPriority w:val="99"/>
    <w:pPr>
      <w:ind w:left="2100"/>
    </w:pPr>
  </w:style>
  <w:style w:type="paragraph" w:styleId="15">
    <w:name w:val="Body Text"/>
    <w:basedOn w:val="1"/>
    <w:next w:val="16"/>
    <w:autoRedefine/>
    <w:qFormat/>
    <w:uiPriority w:val="0"/>
    <w:pPr>
      <w:spacing w:after="120" w:afterLines="0"/>
    </w:pPr>
  </w:style>
  <w:style w:type="paragraph" w:customStyle="1" w:styleId="16">
    <w:name w:val="Default"/>
    <w:basedOn w:val="17"/>
    <w:next w:val="4"/>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styleId="17">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8">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9">
    <w:name w:val="Plain Text"/>
    <w:basedOn w:val="1"/>
    <w:next w:val="1"/>
    <w:link w:val="50"/>
    <w:autoRedefine/>
    <w:qFormat/>
    <w:uiPriority w:val="99"/>
    <w:rPr>
      <w:rFonts w:ascii="宋体" w:hAnsi="Courier New"/>
    </w:rPr>
  </w:style>
  <w:style w:type="paragraph" w:styleId="20">
    <w:name w:val="Date"/>
    <w:basedOn w:val="1"/>
    <w:next w:val="1"/>
    <w:autoRedefine/>
    <w:qFormat/>
    <w:uiPriority w:val="0"/>
    <w:pPr>
      <w:adjustRightInd w:val="0"/>
      <w:spacing w:line="360" w:lineRule="atLeast"/>
      <w:ind w:firstLine="454"/>
      <w:textAlignment w:val="baseline"/>
    </w:pPr>
    <w:rPr>
      <w:kern w:val="0"/>
    </w:rPr>
  </w:style>
  <w:style w:type="paragraph" w:styleId="21">
    <w:name w:val="Body Text Indent 2"/>
    <w:basedOn w:val="1"/>
    <w:link w:val="51"/>
    <w:autoRedefine/>
    <w:qFormat/>
    <w:uiPriority w:val="0"/>
    <w:pPr>
      <w:ind w:firstLine="480"/>
    </w:pPr>
    <w:rPr>
      <w:rFonts w:ascii="宋体" w:hAnsi="宋体"/>
      <w:sz w:val="30"/>
      <w:szCs w:val="24"/>
    </w:rPr>
  </w:style>
  <w:style w:type="paragraph" w:styleId="22">
    <w:name w:val="Balloon Text"/>
    <w:basedOn w:val="1"/>
    <w:link w:val="52"/>
    <w:autoRedefine/>
    <w:unhideWhenUsed/>
    <w:qFormat/>
    <w:uiPriority w:val="99"/>
    <w:rPr>
      <w:sz w:val="18"/>
      <w:szCs w:val="18"/>
    </w:rPr>
  </w:style>
  <w:style w:type="paragraph" w:styleId="23">
    <w:name w:val="footer"/>
    <w:basedOn w:val="1"/>
    <w:link w:val="53"/>
    <w:autoRedefine/>
    <w:qFormat/>
    <w:uiPriority w:val="99"/>
    <w:pPr>
      <w:tabs>
        <w:tab w:val="center" w:pos="4153"/>
        <w:tab w:val="right" w:pos="8306"/>
      </w:tabs>
      <w:snapToGrid w:val="0"/>
      <w:jc w:val="left"/>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unhideWhenUsed/>
    <w:qFormat/>
    <w:uiPriority w:val="39"/>
    <w:pPr>
      <w:tabs>
        <w:tab w:val="right" w:leader="dot" w:pos="8999"/>
      </w:tabs>
      <w:spacing w:line="480" w:lineRule="auto"/>
    </w:pPr>
  </w:style>
  <w:style w:type="paragraph" w:styleId="26">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27">
    <w:name w:val="footnote text"/>
    <w:basedOn w:val="1"/>
    <w:autoRedefine/>
    <w:qFormat/>
    <w:uiPriority w:val="0"/>
    <w:pPr>
      <w:snapToGrid w:val="0"/>
    </w:pPr>
    <w:rPr>
      <w:rFonts w:ascii="Calibri" w:hAnsi="Calibri"/>
      <w:sz w:val="18"/>
      <w:szCs w:val="18"/>
    </w:rPr>
  </w:style>
  <w:style w:type="paragraph" w:styleId="28">
    <w:name w:val="toc 6"/>
    <w:basedOn w:val="1"/>
    <w:next w:val="1"/>
    <w:autoRedefine/>
    <w:unhideWhenUsed/>
    <w:qFormat/>
    <w:uiPriority w:val="39"/>
    <w:pPr>
      <w:ind w:left="1050"/>
      <w:jc w:val="left"/>
    </w:pPr>
    <w:rPr>
      <w:rFonts w:ascii="Calibri" w:hAnsi="Calibri"/>
      <w:sz w:val="18"/>
      <w:szCs w:val="18"/>
    </w:rPr>
  </w:style>
  <w:style w:type="paragraph" w:styleId="29">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HTML Preformatted"/>
    <w:basedOn w:val="1"/>
    <w:link w:val="5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1">
    <w:name w:val="Normal (Web)"/>
    <w:basedOn w:val="1"/>
    <w:autoRedefine/>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Body Text First Indent"/>
    <w:basedOn w:val="15"/>
    <w:autoRedefine/>
    <w:qFormat/>
    <w:uiPriority w:val="99"/>
    <w:pPr>
      <w:spacing w:after="120"/>
      <w:ind w:firstLine="420" w:firstLineChars="100"/>
    </w:p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HTML Sample"/>
    <w:basedOn w:val="35"/>
    <w:autoRedefine/>
    <w:unhideWhenUsed/>
    <w:qFormat/>
    <w:uiPriority w:val="99"/>
    <w:rPr>
      <w:rFonts w:ascii="Courier New" w:hAnsi="Courier New"/>
    </w:rPr>
  </w:style>
  <w:style w:type="paragraph" w:customStyle="1" w:styleId="40">
    <w:name w:val="_Style 2"/>
    <w:basedOn w:val="1"/>
    <w:next w:val="1"/>
    <w:autoRedefine/>
    <w:qFormat/>
    <w:uiPriority w:val="99"/>
    <w:pPr>
      <w:ind w:firstLine="420" w:firstLineChars="200"/>
    </w:pPr>
  </w:style>
  <w:style w:type="paragraph" w:customStyle="1" w:styleId="41">
    <w:name w:val="Char Char10 Char Char Char Char"/>
    <w:basedOn w:val="1"/>
    <w:next w:val="1"/>
    <w:autoRedefine/>
    <w:qFormat/>
    <w:uiPriority w:val="0"/>
    <w:rPr>
      <w:rFonts w:ascii="Calibri" w:hAnsi="Calibri"/>
      <w:kern w:val="0"/>
    </w:rPr>
  </w:style>
  <w:style w:type="paragraph" w:customStyle="1" w:styleId="42">
    <w:name w:val="正文文本_0"/>
    <w:basedOn w:val="43"/>
    <w:autoRedefine/>
    <w:semiHidden/>
    <w:qFormat/>
    <w:uiPriority w:val="0"/>
    <w:pPr>
      <w:spacing w:before="100" w:beforeAutospacing="1" w:after="120"/>
    </w:pPr>
    <w:rPr>
      <w:rFonts w:ascii="Calibri" w:hAnsi="Calibri"/>
      <w:szCs w:val="21"/>
    </w:rPr>
  </w:style>
  <w:style w:type="paragraph" w:customStyle="1" w:styleId="43">
    <w:name w:val="正文_1_0"/>
    <w:basedOn w:val="44"/>
    <w:next w:val="46"/>
    <w:autoRedefine/>
    <w:qFormat/>
    <w:uiPriority w:val="0"/>
    <w:pPr>
      <w:widowControl w:val="0"/>
      <w:jc w:val="both"/>
    </w:pPr>
    <w:rPr>
      <w:rFonts w:ascii="Calibri" w:hAnsi="Calibri"/>
      <w:kern w:val="2"/>
      <w:sz w:val="21"/>
      <w:szCs w:val="22"/>
      <w:lang w:val="en-US" w:eastAsia="zh-CN" w:bidi="ar-SA"/>
    </w:rPr>
  </w:style>
  <w:style w:type="paragraph" w:customStyle="1" w:styleId="44">
    <w:name w:val="正文_2"/>
    <w:next w:val="4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5">
    <w:name w:val="正文文本_1"/>
    <w:basedOn w:val="43"/>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6">
    <w:name w:val="正文首行缩进1"/>
    <w:basedOn w:val="47"/>
    <w:autoRedefine/>
    <w:unhideWhenUsed/>
    <w:qFormat/>
    <w:uiPriority w:val="99"/>
    <w:pPr>
      <w:ind w:firstLine="420" w:firstLineChars="100"/>
    </w:pPr>
    <w:rPr>
      <w:szCs w:val="22"/>
    </w:rPr>
  </w:style>
  <w:style w:type="paragraph" w:customStyle="1" w:styleId="47">
    <w:name w:val="正文文本_0_0"/>
    <w:basedOn w:val="48"/>
    <w:autoRedefine/>
    <w:qFormat/>
    <w:uiPriority w:val="0"/>
    <w:pPr>
      <w:spacing w:before="100" w:beforeAutospacing="1" w:after="120"/>
    </w:pPr>
    <w:rPr>
      <w:rFonts w:ascii="Calibri" w:hAnsi="Calibri"/>
    </w:rPr>
  </w:style>
  <w:style w:type="paragraph" w:customStyle="1" w:styleId="4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正文文本缩进 Char"/>
    <w:link w:val="3"/>
    <w:autoRedefine/>
    <w:qFormat/>
    <w:uiPriority w:val="0"/>
    <w:rPr>
      <w:kern w:val="2"/>
      <w:sz w:val="21"/>
    </w:rPr>
  </w:style>
  <w:style w:type="character" w:customStyle="1" w:styleId="50">
    <w:name w:val="纯文本 Char"/>
    <w:link w:val="19"/>
    <w:autoRedefine/>
    <w:qFormat/>
    <w:uiPriority w:val="99"/>
    <w:rPr>
      <w:rFonts w:ascii="宋体" w:hAnsi="Courier New"/>
      <w:kern w:val="2"/>
      <w:sz w:val="21"/>
    </w:rPr>
  </w:style>
  <w:style w:type="character" w:customStyle="1" w:styleId="51">
    <w:name w:val="正文文本缩进 2 Char"/>
    <w:link w:val="21"/>
    <w:autoRedefine/>
    <w:qFormat/>
    <w:uiPriority w:val="0"/>
    <w:rPr>
      <w:rFonts w:ascii="宋体" w:hAnsi="宋体"/>
      <w:kern w:val="2"/>
      <w:sz w:val="30"/>
      <w:szCs w:val="24"/>
    </w:rPr>
  </w:style>
  <w:style w:type="character" w:customStyle="1" w:styleId="52">
    <w:name w:val="批注框文本 Char"/>
    <w:link w:val="22"/>
    <w:autoRedefine/>
    <w:semiHidden/>
    <w:qFormat/>
    <w:uiPriority w:val="99"/>
    <w:rPr>
      <w:kern w:val="2"/>
      <w:sz w:val="18"/>
      <w:szCs w:val="18"/>
    </w:rPr>
  </w:style>
  <w:style w:type="character" w:customStyle="1" w:styleId="53">
    <w:name w:val="页脚 Char"/>
    <w:link w:val="23"/>
    <w:autoRedefine/>
    <w:qFormat/>
    <w:uiPriority w:val="99"/>
    <w:rPr>
      <w:kern w:val="2"/>
      <w:sz w:val="18"/>
    </w:rPr>
  </w:style>
  <w:style w:type="character" w:customStyle="1" w:styleId="54">
    <w:name w:val="HTML 预设格式 Char"/>
    <w:link w:val="30"/>
    <w:autoRedefine/>
    <w:qFormat/>
    <w:uiPriority w:val="0"/>
    <w:rPr>
      <w:rFonts w:ascii="宋体" w:hAnsi="宋体" w:cs="宋体"/>
      <w:sz w:val="24"/>
      <w:szCs w:val="24"/>
    </w:rPr>
  </w:style>
  <w:style w:type="character" w:customStyle="1" w:styleId="55">
    <w:name w:val="font71"/>
    <w:basedOn w:val="35"/>
    <w:autoRedefine/>
    <w:qFormat/>
    <w:uiPriority w:val="0"/>
    <w:rPr>
      <w:rFonts w:hint="eastAsia" w:ascii="黑体" w:hAnsi="宋体" w:eastAsia="黑体" w:cs="黑体"/>
      <w:color w:val="000000"/>
      <w:sz w:val="36"/>
      <w:szCs w:val="36"/>
      <w:u w:val="none"/>
    </w:rPr>
  </w:style>
  <w:style w:type="character" w:customStyle="1" w:styleId="56">
    <w:name w:val="font51"/>
    <w:basedOn w:val="35"/>
    <w:autoRedefine/>
    <w:qFormat/>
    <w:uiPriority w:val="0"/>
    <w:rPr>
      <w:rFonts w:hint="eastAsia" w:ascii="宋体" w:hAnsi="宋体" w:eastAsia="宋体" w:cs="宋体"/>
      <w:color w:val="000000"/>
      <w:sz w:val="24"/>
      <w:szCs w:val="24"/>
      <w:u w:val="none"/>
    </w:rPr>
  </w:style>
  <w:style w:type="character" w:customStyle="1" w:styleId="57">
    <w:name w:val="font31"/>
    <w:basedOn w:val="35"/>
    <w:autoRedefine/>
    <w:qFormat/>
    <w:uiPriority w:val="0"/>
    <w:rPr>
      <w:rFonts w:hint="default" w:ascii="Times New Roman" w:hAnsi="Times New Roman" w:cs="Times New Roman"/>
      <w:b/>
      <w:color w:val="000000"/>
      <w:sz w:val="24"/>
      <w:szCs w:val="24"/>
      <w:u w:val="none"/>
    </w:rPr>
  </w:style>
  <w:style w:type="character" w:customStyle="1" w:styleId="58">
    <w:name w:val="NormalCharacter"/>
    <w:link w:val="59"/>
    <w:autoRedefine/>
    <w:qFormat/>
    <w:uiPriority w:val="0"/>
  </w:style>
  <w:style w:type="paragraph" w:customStyle="1" w:styleId="59">
    <w:name w:val="UserStyle_5"/>
    <w:basedOn w:val="1"/>
    <w:link w:val="58"/>
    <w:autoRedefine/>
    <w:qFormat/>
    <w:uiPriority w:val="0"/>
    <w:pPr>
      <w:widowControl/>
      <w:spacing w:after="160" w:line="240" w:lineRule="exact"/>
      <w:jc w:val="left"/>
      <w:textAlignment w:val="baseline"/>
    </w:pPr>
  </w:style>
  <w:style w:type="character" w:customStyle="1" w:styleId="60">
    <w:name w:val="font11"/>
    <w:basedOn w:val="35"/>
    <w:autoRedefine/>
    <w:qFormat/>
    <w:uiPriority w:val="0"/>
    <w:rPr>
      <w:rFonts w:hint="eastAsia" w:ascii="宋体" w:hAnsi="宋体" w:eastAsia="宋体" w:cs="宋体"/>
      <w:color w:val="000000"/>
      <w:sz w:val="24"/>
      <w:szCs w:val="24"/>
      <w:u w:val="none"/>
      <w:vertAlign w:val="superscript"/>
    </w:rPr>
  </w:style>
  <w:style w:type="character" w:customStyle="1" w:styleId="61">
    <w:name w:val="Default Text Char"/>
    <w:link w:val="62"/>
    <w:autoRedefine/>
    <w:qFormat/>
    <w:uiPriority w:val="0"/>
    <w:rPr>
      <w:color w:val="000000"/>
      <w:sz w:val="24"/>
      <w:szCs w:val="24"/>
      <w:lang w:val="en-US" w:eastAsia="zh-CN" w:bidi="ar-SA"/>
    </w:rPr>
  </w:style>
  <w:style w:type="paragraph" w:customStyle="1" w:styleId="62">
    <w:name w:val="Default Text"/>
    <w:link w:val="6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font21"/>
    <w:basedOn w:val="35"/>
    <w:autoRedefine/>
    <w:qFormat/>
    <w:uiPriority w:val="0"/>
    <w:rPr>
      <w:rFonts w:hint="default" w:ascii="Times New Roman" w:hAnsi="Times New Roman" w:cs="Times New Roman"/>
      <w:color w:val="000000"/>
      <w:sz w:val="24"/>
      <w:szCs w:val="24"/>
      <w:u w:val="none"/>
      <w:vertAlign w:val="superscript"/>
    </w:rPr>
  </w:style>
  <w:style w:type="character" w:customStyle="1" w:styleId="64">
    <w:name w:val="case31"/>
    <w:autoRedefine/>
    <w:qFormat/>
    <w:uiPriority w:val="0"/>
    <w:rPr>
      <w:rFonts w:hint="default" w:ascii="ˎ̥" w:hAnsi="ˎ̥"/>
      <w:sz w:val="21"/>
      <w:szCs w:val="21"/>
    </w:rPr>
  </w:style>
  <w:style w:type="character" w:customStyle="1" w:styleId="65">
    <w:name w:val="font41"/>
    <w:basedOn w:val="35"/>
    <w:autoRedefine/>
    <w:qFormat/>
    <w:uiPriority w:val="0"/>
    <w:rPr>
      <w:rFonts w:hint="default" w:ascii="Times New Roman" w:hAnsi="Times New Roman" w:cs="Times New Roman"/>
      <w:color w:val="000000"/>
      <w:sz w:val="24"/>
      <w:szCs w:val="24"/>
      <w:u w:val="none"/>
    </w:rPr>
  </w:style>
  <w:style w:type="character" w:customStyle="1" w:styleId="66">
    <w:name w:val="hs14"/>
    <w:basedOn w:val="35"/>
    <w:autoRedefine/>
    <w:qFormat/>
    <w:uiPriority w:val="0"/>
  </w:style>
  <w:style w:type="character" w:customStyle="1" w:styleId="67">
    <w:name w:val="font61"/>
    <w:basedOn w:val="35"/>
    <w:autoRedefine/>
    <w:qFormat/>
    <w:uiPriority w:val="0"/>
    <w:rPr>
      <w:rFonts w:hint="eastAsia" w:ascii="宋体" w:hAnsi="宋体" w:eastAsia="宋体" w:cs="宋体"/>
      <w:b/>
      <w:color w:val="000000"/>
      <w:sz w:val="24"/>
      <w:szCs w:val="24"/>
      <w:u w:val="none"/>
    </w:rPr>
  </w:style>
  <w:style w:type="character" w:customStyle="1" w:styleId="68">
    <w:name w:val="p2"/>
    <w:basedOn w:val="35"/>
    <w:autoRedefine/>
    <w:qFormat/>
    <w:uiPriority w:val="0"/>
  </w:style>
  <w:style w:type="paragraph" w:customStyle="1" w:styleId="69">
    <w:name w:val="标书样式"/>
    <w:basedOn w:val="1"/>
    <w:autoRedefine/>
    <w:qFormat/>
    <w:uiPriority w:val="0"/>
    <w:pPr>
      <w:widowControl/>
      <w:spacing w:line="360" w:lineRule="auto"/>
      <w:ind w:firstLine="200" w:firstLineChars="200"/>
      <w:jc w:val="left"/>
    </w:pPr>
    <w:rPr>
      <w:rFonts w:ascii="Calibri" w:hAnsi="Calibri"/>
      <w:kern w:val="0"/>
      <w:sz w:val="24"/>
      <w:szCs w:val="22"/>
      <w:lang w:eastAsia="en-US" w:bidi="en-US"/>
    </w:rPr>
  </w:style>
  <w:style w:type="paragraph" w:customStyle="1" w:styleId="70">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71">
    <w:name w:val="WPS Plain"/>
    <w:autoRedefine/>
    <w:qFormat/>
    <w:uiPriority w:val="0"/>
    <w:rPr>
      <w:rFonts w:ascii="Times New Roman" w:hAnsi="Times New Roman" w:eastAsia="宋体" w:cs="Times New Roman"/>
      <w:lang w:val="en-US" w:eastAsia="zh-CN" w:bidi="ar-SA"/>
    </w:rPr>
  </w:style>
  <w:style w:type="paragraph" w:customStyle="1" w:styleId="72">
    <w:name w:val="正文表标题"/>
    <w:next w:val="1"/>
    <w:autoRedefine/>
    <w:qFormat/>
    <w:uiPriority w:val="0"/>
    <w:pPr>
      <w:tabs>
        <w:tab w:val="left" w:pos="360"/>
      </w:tabs>
      <w:ind w:left="360" w:hanging="360"/>
      <w:jc w:val="center"/>
    </w:pPr>
    <w:rPr>
      <w:rFonts w:ascii="黑体" w:hAnsi="Times New Roman" w:eastAsia="黑体" w:cs="Times New Roman"/>
      <w:sz w:val="22"/>
      <w:lang w:val="en-US" w:eastAsia="en-US" w:bidi="en-US"/>
    </w:rPr>
  </w:style>
  <w:style w:type="paragraph" w:customStyle="1" w:styleId="73">
    <w:name w:val="xl2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4">
    <w:name w:val="列出段落1"/>
    <w:basedOn w:val="1"/>
    <w:autoRedefine/>
    <w:qFormat/>
    <w:uiPriority w:val="0"/>
    <w:pPr>
      <w:ind w:firstLine="420" w:firstLineChars="200"/>
    </w:pPr>
    <w:rPr>
      <w:rFonts w:hint="eastAsia"/>
      <w:szCs w:val="24"/>
    </w:rPr>
  </w:style>
  <w:style w:type="paragraph" w:customStyle="1" w:styleId="75">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styleId="76">
    <w:name w:val="List Paragraph"/>
    <w:basedOn w:val="1"/>
    <w:autoRedefine/>
    <w:qFormat/>
    <w:uiPriority w:val="99"/>
    <w:pPr>
      <w:ind w:firstLine="420" w:firstLineChars="200"/>
    </w:pPr>
    <w:rPr>
      <w:rFonts w:ascii="Calibri" w:hAnsi="Calibri" w:eastAsia="仿宋" w:cs="Times New Roman"/>
      <w:sz w:val="32"/>
      <w:szCs w:val="22"/>
    </w:rPr>
  </w:style>
  <w:style w:type="paragraph" w:customStyle="1" w:styleId="77">
    <w:name w:val="p0"/>
    <w:basedOn w:val="1"/>
    <w:autoRedefine/>
    <w:qFormat/>
    <w:uiPriority w:val="0"/>
    <w:pPr>
      <w:widowControl/>
    </w:pPr>
    <w:rPr>
      <w:rFonts w:ascii="Calibri" w:hAnsi="Calibri" w:cs="宋体"/>
      <w:kern w:val="0"/>
      <w:szCs w:val="21"/>
    </w:rPr>
  </w:style>
  <w:style w:type="paragraph" w:customStyle="1" w:styleId="78">
    <w:name w:val="段"/>
    <w:autoRedefine/>
    <w:qFormat/>
    <w:uiPriority w:val="0"/>
    <w:pPr>
      <w:autoSpaceDE w:val="0"/>
      <w:autoSpaceDN w:val="0"/>
      <w:ind w:firstLine="200" w:firstLineChars="200"/>
      <w:jc w:val="both"/>
    </w:pPr>
    <w:rPr>
      <w:rFonts w:ascii="宋体" w:hAnsi="Times New Roman" w:eastAsia="宋体" w:cs="Times New Roman"/>
      <w:sz w:val="22"/>
      <w:lang w:val="en-US" w:eastAsia="en-US" w:bidi="en-US"/>
    </w:rPr>
  </w:style>
  <w:style w:type="paragraph" w:customStyle="1" w:styleId="79">
    <w:name w:val="Char Char Char"/>
    <w:basedOn w:val="11"/>
    <w:autoRedefine/>
    <w:qFormat/>
    <w:uiPriority w:val="0"/>
    <w:rPr>
      <w:rFonts w:ascii="Tahoma" w:hAnsi="Tahoma"/>
      <w:sz w:val="24"/>
      <w:szCs w:val="24"/>
    </w:rPr>
  </w:style>
  <w:style w:type="paragraph" w:customStyle="1" w:styleId="80">
    <w:name w:val="一级标题"/>
    <w:basedOn w:val="17"/>
    <w:next w:val="1"/>
    <w:autoRedefine/>
    <w:qFormat/>
    <w:uiPriority w:val="0"/>
    <w:pPr>
      <w:spacing w:line="360" w:lineRule="auto"/>
    </w:pPr>
    <w:rPr>
      <w:rFonts w:hAnsi="宋体"/>
      <w:sz w:val="72"/>
      <w:szCs w:val="72"/>
    </w:rPr>
  </w:style>
  <w:style w:type="paragraph" w:customStyle="1" w:styleId="8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List Paragraph1"/>
    <w:basedOn w:val="1"/>
    <w:autoRedefine/>
    <w:qFormat/>
    <w:uiPriority w:val="34"/>
    <w:pPr>
      <w:ind w:firstLine="420" w:firstLineChars="200"/>
    </w:pPr>
    <w:rPr>
      <w:rFonts w:ascii="Calibri" w:hAnsi="Calibri"/>
      <w:szCs w:val="24"/>
    </w:rPr>
  </w:style>
  <w:style w:type="paragraph" w:customStyle="1" w:styleId="83">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84">
    <w:name w:val="文件正文"/>
    <w:link w:val="85"/>
    <w:autoRedefine/>
    <w:qFormat/>
    <w:uiPriority w:val="0"/>
    <w:pPr>
      <w:ind w:firstLine="200" w:firstLineChars="200"/>
      <w:jc w:val="both"/>
    </w:pPr>
    <w:rPr>
      <w:rFonts w:ascii="Times New Roman" w:hAnsi="Times New Roman" w:eastAsia="仿宋" w:cs="Times New Roman"/>
      <w:sz w:val="32"/>
      <w:lang w:val="en-US" w:eastAsia="zh-CN" w:bidi="ar-SA"/>
    </w:rPr>
  </w:style>
  <w:style w:type="character" w:customStyle="1" w:styleId="85">
    <w:name w:val="文件正文 Char"/>
    <w:link w:val="84"/>
    <w:autoRedefine/>
    <w:qFormat/>
    <w:uiPriority w:val="0"/>
    <w:rPr>
      <w:rFonts w:eastAsia="仿宋"/>
      <w:sz w:val="32"/>
      <w:lang w:val="en-US" w:eastAsia="zh-CN" w:bidi="ar-SA"/>
    </w:rPr>
  </w:style>
  <w:style w:type="paragraph" w:customStyle="1" w:styleId="86">
    <w:name w:val="±í¸ñÎÄ±¾"/>
    <w:basedOn w:val="1"/>
    <w:autoRedefine/>
    <w:qFormat/>
    <w:uiPriority w:val="0"/>
    <w:pPr>
      <w:widowControl/>
      <w:tabs>
        <w:tab w:val="decimal" w:pos="0"/>
      </w:tabs>
      <w:overflowPunct w:val="0"/>
      <w:autoSpaceDE w:val="0"/>
      <w:autoSpaceDN w:val="0"/>
      <w:adjustRightInd w:val="0"/>
      <w:textAlignment w:val="baseline"/>
    </w:pPr>
    <w:rPr>
      <w:kern w:val="0"/>
      <w:sz w:val="24"/>
      <w:lang w:val="zh-CN" w:eastAsia="zh-CN"/>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 Char Char Char"/>
    <w:basedOn w:val="11"/>
    <w:autoRedefine/>
    <w:qFormat/>
    <w:uiPriority w:val="0"/>
    <w:rPr>
      <w:rFonts w:ascii="Tahoma" w:hAnsi="Tahoma"/>
      <w:sz w:val="24"/>
      <w:szCs w:val="24"/>
    </w:rPr>
  </w:style>
  <w:style w:type="table" w:customStyle="1" w:styleId="89">
    <w:name w:val="网格型11"/>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
    <w:name w:val="正文_1_1"/>
    <w:autoRedefine/>
    <w:qFormat/>
    <w:uiPriority w:val="0"/>
    <w:pPr>
      <w:widowControl w:val="0"/>
      <w:jc w:val="both"/>
    </w:pPr>
    <w:rPr>
      <w:rFonts w:ascii="Calibri" w:hAnsi="Calibri" w:eastAsia="宋体" w:cs="Times New Roman"/>
      <w:lang w:val="en-US" w:eastAsia="zh-CN" w:bidi="ar-SA"/>
    </w:rPr>
  </w:style>
  <w:style w:type="paragraph" w:customStyle="1" w:styleId="92">
    <w:name w:val="BodyText1I2"/>
    <w:basedOn w:val="93"/>
    <w:autoRedefine/>
    <w:qFormat/>
    <w:uiPriority w:val="0"/>
    <w:pPr>
      <w:spacing w:after="120" w:line="240" w:lineRule="auto"/>
      <w:ind w:left="420" w:leftChars="200" w:firstLine="420" w:firstLineChars="200"/>
      <w:jc w:val="both"/>
    </w:pPr>
    <w:rPr>
      <w:rFonts w:ascii="Times New Roman" w:hAnsi="Times New Roman" w:eastAsia="宋体" w:cs="Times New Roman"/>
      <w:kern w:val="2"/>
      <w:sz w:val="21"/>
    </w:rPr>
  </w:style>
  <w:style w:type="paragraph" w:customStyle="1" w:styleId="93">
    <w:name w:val="BodyTextIndent"/>
    <w:basedOn w:val="1"/>
    <w:next w:val="94"/>
    <w:autoRedefine/>
    <w:qFormat/>
    <w:uiPriority w:val="0"/>
    <w:pPr>
      <w:spacing w:line="360" w:lineRule="auto"/>
      <w:ind w:firstLine="480"/>
      <w:jc w:val="left"/>
      <w:textAlignment w:val="baseline"/>
    </w:pPr>
    <w:rPr>
      <w:rFonts w:ascii="宋体" w:hAnsi="宋体" w:eastAsia="宋体" w:cs="Times New Roman"/>
      <w:kern w:val="0"/>
      <w:sz w:val="24"/>
    </w:rPr>
  </w:style>
  <w:style w:type="paragraph" w:customStyle="1" w:styleId="94">
    <w:name w:val="EnvelopeReturn"/>
    <w:basedOn w:val="1"/>
    <w:autoRedefine/>
    <w:qFormat/>
    <w:uiPriority w:val="0"/>
    <w:pPr>
      <w:snapToGrid w:val="0"/>
      <w:textAlignment w:val="baseline"/>
    </w:pPr>
    <w:rPr>
      <w:rFonts w:ascii="Arial" w:hAnsi="Arial" w:eastAsia="宋体" w:cs="Times New Roman"/>
    </w:rPr>
  </w:style>
  <w:style w:type="paragraph" w:customStyle="1" w:styleId="95">
    <w:name w:val="Normal_3"/>
    <w:autoRedefine/>
    <w:qFormat/>
    <w:uiPriority w:val="0"/>
    <w:rPr>
      <w:rFonts w:ascii="黑体" w:hAnsi="黑体" w:eastAsia="黑体" w:cs="Times New Roman"/>
      <w:b/>
      <w:sz w:val="32"/>
      <w:szCs w:val="24"/>
      <w:lang w:val="en-US" w:eastAsia="zh-CN" w:bidi="ar-SA"/>
    </w:rPr>
  </w:style>
  <w:style w:type="paragraph" w:customStyle="1" w:styleId="96">
    <w:name w:val="Normal_11"/>
    <w:autoRedefine/>
    <w:qFormat/>
    <w:uiPriority w:val="0"/>
    <w:rPr>
      <w:rFonts w:ascii="黑体" w:hAnsi="黑体" w:eastAsia="黑体" w:cs="Times New Roman"/>
      <w:b/>
      <w:sz w:val="32"/>
      <w:szCs w:val="24"/>
      <w:lang w:val="en-US" w:eastAsia="zh-CN" w:bidi="ar-SA"/>
    </w:rPr>
  </w:style>
  <w:style w:type="paragraph" w:customStyle="1" w:styleId="97">
    <w:name w:val="日期_0"/>
    <w:basedOn w:val="98"/>
    <w:next w:val="99"/>
    <w:autoRedefine/>
    <w:qFormat/>
    <w:uiPriority w:val="0"/>
    <w:pPr>
      <w:ind w:left="100" w:leftChars="2500"/>
    </w:pPr>
    <w:rPr>
      <w:rFonts w:ascii="Times New Roman" w:hAnsi="Times New Roman" w:eastAsia="宋体"/>
      <w:szCs w:val="24"/>
    </w:rPr>
  </w:style>
  <w:style w:type="paragraph" w:customStyle="1" w:styleId="98">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8"/>
    <w:autoRedefine/>
    <w:qFormat/>
    <w:uiPriority w:val="0"/>
    <w:rPr>
      <w:rFonts w:ascii="黑体" w:hAnsi="黑体" w:eastAsia="黑体" w:cs="Times New Roman"/>
      <w:b/>
      <w:sz w:val="32"/>
      <w:szCs w:val="24"/>
      <w:lang w:val="en-US" w:eastAsia="zh-CN" w:bidi="ar-SA"/>
    </w:rPr>
  </w:style>
  <w:style w:type="paragraph" w:customStyle="1" w:styleId="10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2">
    <w:name w:val="Normal_17"/>
    <w:autoRedefine/>
    <w:qFormat/>
    <w:uiPriority w:val="0"/>
    <w:rPr>
      <w:rFonts w:ascii="黑体" w:hAnsi="黑体" w:eastAsia="黑体" w:cs="Times New Roman"/>
      <w:b/>
      <w:sz w:val="32"/>
      <w:szCs w:val="24"/>
      <w:lang w:val="en-US" w:eastAsia="zh-CN" w:bidi="ar-SA"/>
    </w:rPr>
  </w:style>
  <w:style w:type="paragraph" w:customStyle="1" w:styleId="103">
    <w:name w:val="正文文本_1_0"/>
    <w:basedOn w:val="104"/>
    <w:autoRedefine/>
    <w:qFormat/>
    <w:uiPriority w:val="0"/>
    <w:pPr>
      <w:spacing w:after="120"/>
    </w:pPr>
    <w:rPr>
      <w:rFonts w:ascii="Times New Roman" w:hAnsi="Times New Roman" w:eastAsia="宋体"/>
      <w:szCs w:val="24"/>
    </w:rPr>
  </w:style>
  <w:style w:type="paragraph" w:customStyle="1" w:styleId="104">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Table Paragraph"/>
    <w:basedOn w:val="104"/>
    <w:autoRedefine/>
    <w:semiHidden/>
    <w:qFormat/>
    <w:uiPriority w:val="0"/>
    <w:pPr>
      <w:jc w:val="left"/>
    </w:pPr>
    <w:rPr>
      <w:kern w:val="0"/>
      <w:sz w:val="22"/>
      <w:szCs w:val="22"/>
      <w:lang w:eastAsia="en-US"/>
    </w:rPr>
  </w:style>
  <w:style w:type="paragraph" w:customStyle="1" w:styleId="106">
    <w:name w:val="正文_0_1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7"/>
    <w:autoRedefine/>
    <w:qFormat/>
    <w:uiPriority w:val="0"/>
    <w:rPr>
      <w:rFonts w:ascii="黑体" w:hAnsi="黑体" w:eastAsia="黑体" w:cs="Times New Roman"/>
      <w:b/>
      <w:sz w:val="32"/>
      <w:szCs w:val="24"/>
      <w:lang w:val="en-US" w:eastAsia="zh-CN"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Normal_14"/>
    <w:autoRedefine/>
    <w:qFormat/>
    <w:uiPriority w:val="0"/>
    <w:rPr>
      <w:rFonts w:ascii="黑体" w:hAnsi="黑体" w:eastAsia="黑体" w:cs="Times New Roman"/>
      <w:b/>
      <w:sz w:val="32"/>
      <w:szCs w:val="24"/>
      <w:lang w:val="en-US" w:eastAsia="zh-CN" w:bidi="ar-SA"/>
    </w:rPr>
  </w:style>
  <w:style w:type="paragraph" w:customStyle="1" w:styleId="111">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2">
    <w:name w:val="标题 3_0_0"/>
    <w:basedOn w:val="111"/>
    <w:next w:val="111"/>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113">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0"/>
    <w:autoRedefine/>
    <w:qFormat/>
    <w:uiPriority w:val="0"/>
    <w:rPr>
      <w:rFonts w:ascii="黑体" w:hAnsi="黑体" w:eastAsia="黑体" w:cs="Times New Roman"/>
      <w:b/>
      <w:sz w:val="32"/>
      <w:szCs w:val="24"/>
      <w:lang w:val="en-US" w:eastAsia="zh-CN" w:bidi="ar-SA"/>
    </w:rPr>
  </w:style>
  <w:style w:type="paragraph" w:customStyle="1" w:styleId="115">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正文_1_1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4_0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文本缩进_2_0"/>
    <w:basedOn w:val="121"/>
    <w:autoRedefine/>
    <w:unhideWhenUsed/>
    <w:qFormat/>
    <w:uiPriority w:val="99"/>
    <w:pPr>
      <w:spacing w:after="120"/>
      <w:ind w:left="420" w:leftChars="200"/>
    </w:pPr>
    <w:rPr>
      <w:rFonts w:ascii="Calibri" w:hAnsi="Calibri" w:eastAsia="宋体"/>
    </w:rPr>
  </w:style>
  <w:style w:type="paragraph" w:customStyle="1" w:styleId="12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题注_0"/>
    <w:basedOn w:val="121"/>
    <w:next w:val="121"/>
    <w:autoRedefine/>
    <w:qFormat/>
    <w:uiPriority w:val="0"/>
    <w:pPr>
      <w:spacing w:before="152" w:after="160"/>
    </w:pPr>
    <w:rPr>
      <w:rFonts w:ascii="Arial" w:hAnsi="Arial" w:eastAsia="黑体" w:cs="Arial"/>
      <w:sz w:val="20"/>
      <w:szCs w:val="20"/>
    </w:rPr>
  </w:style>
  <w:style w:type="paragraph" w:customStyle="1" w:styleId="12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9"/>
    <w:autoRedefine/>
    <w:qFormat/>
    <w:uiPriority w:val="0"/>
    <w:rPr>
      <w:rFonts w:ascii="黑体" w:hAnsi="黑体" w:eastAsia="黑体" w:cs="Times New Roman"/>
      <w:b/>
      <w:sz w:val="32"/>
      <w:szCs w:val="24"/>
      <w:lang w:val="en-US" w:eastAsia="zh-CN" w:bidi="ar-SA"/>
    </w:rPr>
  </w:style>
  <w:style w:type="paragraph" w:customStyle="1" w:styleId="125">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26">
    <w:name w:val="正文_3"/>
    <w:basedOn w:val="44"/>
    <w:next w:val="32"/>
    <w:autoRedefine/>
    <w:qFormat/>
    <w:uiPriority w:val="0"/>
    <w:pPr>
      <w:widowControl w:val="0"/>
      <w:jc w:val="both"/>
    </w:pPr>
    <w:rPr>
      <w:kern w:val="2"/>
      <w:sz w:val="21"/>
      <w:szCs w:val="24"/>
      <w:lang w:val="en-US" w:eastAsia="zh-CN" w:bidi="ar-SA"/>
    </w:rPr>
  </w:style>
  <w:style w:type="paragraph" w:customStyle="1" w:styleId="127">
    <w:name w:val="Heading3"/>
    <w:basedOn w:val="1"/>
    <w:next w:val="1"/>
    <w:autoRedefine/>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128">
    <w:name w:val="正文缩进1"/>
    <w:basedOn w:val="1"/>
    <w:autoRedefine/>
    <w:qFormat/>
    <w:uiPriority w:val="99"/>
    <w:pPr>
      <w:ind w:firstLine="420" w:firstLineChars="200"/>
    </w:pPr>
    <w:rPr>
      <w:rFonts w:ascii="Calibri" w:hAnsi="Calibri"/>
    </w:rPr>
  </w:style>
  <w:style w:type="paragraph" w:customStyle="1" w:styleId="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79</Pages>
  <Words>23467</Words>
  <Characters>26456</Characters>
  <Lines>206</Lines>
  <Paragraphs>58</Paragraphs>
  <TotalTime>43</TotalTime>
  <ScaleCrop>false</ScaleCrop>
  <LinksUpToDate>false</LinksUpToDate>
  <CharactersWithSpaces>26500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2023-05-09T10:40:00Z</dcterms:created>
  <dc:creator>李霆</dc:creator>
  <cp:lastModifiedBy>原来你也在这里</cp:lastModifiedBy>
  <cp:lastPrinted>2025-06-26T09:44:00Z</cp:lastPrinted>
  <dcterms:modified xsi:type="dcterms:W3CDTF">2025-07-01T03:46:01Z</dcterms:modified>
  <dc:title>新疆维吾尔自治区政府采购中心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E7306721DCE540929CCDBE5288CC082D_13</vt:lpwstr>
  </property>
  <property fmtid="{D5CDD505-2E9C-101B-9397-08002B2CF9AE}" pid="4" name="KSOTemplateDocerSaveRecord">
    <vt:lpwstr>eyJoZGlkIjoiZjkzODJkOWMyZTEzZjk2NzU3N2EyNTc1ODQ3YTNhNDYiLCJ1c2VySWQiOiI2NTM2MTA3NjQifQ==</vt:lpwstr>
  </property>
</Properties>
</file>