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71566">
      <w:pPr>
        <w:jc w:val="center"/>
        <w:rPr>
          <w:rFonts w:hint="eastAsia" w:ascii="仿宋" w:hAnsi="仿宋" w:eastAsia="仿宋" w:cs="仿宋"/>
          <w:b/>
          <w:color w:val="auto"/>
          <w:sz w:val="36"/>
          <w:szCs w:val="36"/>
          <w:highlight w:val="none"/>
          <w:lang w:eastAsia="zh-CN"/>
        </w:rPr>
      </w:pPr>
    </w:p>
    <w:p w14:paraId="122D251D">
      <w:pPr>
        <w:jc w:val="center"/>
        <w:rPr>
          <w:rFonts w:hint="eastAsia" w:ascii="仿宋" w:hAnsi="仿宋" w:eastAsia="仿宋" w:cs="仿宋"/>
          <w:b/>
          <w:color w:val="auto"/>
          <w:sz w:val="36"/>
          <w:szCs w:val="36"/>
          <w:highlight w:val="none"/>
        </w:rPr>
      </w:pPr>
    </w:p>
    <w:p w14:paraId="549AE443">
      <w:pPr>
        <w:jc w:val="center"/>
        <w:rPr>
          <w:rFonts w:hint="eastAsia" w:ascii="仿宋" w:hAnsi="仿宋" w:eastAsia="仿宋" w:cs="仿宋"/>
          <w:b/>
          <w:color w:val="auto"/>
          <w:sz w:val="36"/>
          <w:szCs w:val="36"/>
          <w:highlight w:val="none"/>
        </w:rPr>
      </w:pPr>
    </w:p>
    <w:p w14:paraId="6E2CAE6F">
      <w:pPr>
        <w:jc w:val="center"/>
        <w:rPr>
          <w:rFonts w:hint="eastAsia" w:ascii="仿宋" w:hAnsi="仿宋" w:eastAsia="仿宋" w:cs="仿宋"/>
          <w:b/>
          <w:color w:val="auto"/>
          <w:sz w:val="36"/>
          <w:szCs w:val="36"/>
          <w:highlight w:val="none"/>
        </w:rPr>
      </w:pPr>
    </w:p>
    <w:p w14:paraId="38E10A33">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56"/>
          <w:szCs w:val="72"/>
          <w:highlight w:val="none"/>
          <w:lang w:val="en-US" w:eastAsia="zh-CN"/>
        </w:rPr>
        <w:t>询价</w:t>
      </w:r>
      <w:r>
        <w:rPr>
          <w:rFonts w:hint="eastAsia" w:ascii="仿宋" w:hAnsi="仿宋" w:eastAsia="仿宋" w:cs="仿宋"/>
          <w:b/>
          <w:bCs/>
          <w:color w:val="auto"/>
          <w:sz w:val="56"/>
          <w:szCs w:val="72"/>
          <w:highlight w:val="none"/>
        </w:rPr>
        <w:t>文件</w:t>
      </w:r>
    </w:p>
    <w:p w14:paraId="1663EC89">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(项目编码：</w:t>
      </w:r>
      <w:r>
        <w:rPr>
          <w:rFonts w:hint="eastAsia" w:ascii="仿宋" w:hAnsi="仿宋" w:eastAsia="仿宋" w:cs="仿宋"/>
          <w:b/>
          <w:bCs/>
          <w:color w:val="auto"/>
          <w:sz w:val="24"/>
          <w:szCs w:val="24"/>
          <w:highlight w:val="none"/>
          <w:lang w:eastAsia="zh-CN"/>
        </w:rPr>
        <w:t>2025HDYPXJ-012</w:t>
      </w:r>
      <w:r>
        <w:rPr>
          <w:rFonts w:hint="eastAsia" w:ascii="仿宋" w:hAnsi="仿宋" w:eastAsia="仿宋" w:cs="仿宋"/>
          <w:b/>
          <w:bCs/>
          <w:color w:val="auto"/>
          <w:sz w:val="24"/>
          <w:szCs w:val="24"/>
          <w:highlight w:val="none"/>
        </w:rPr>
        <w:t>)</w:t>
      </w:r>
    </w:p>
    <w:p w14:paraId="6C3249A4">
      <w:pPr>
        <w:jc w:val="center"/>
        <w:rPr>
          <w:rFonts w:hint="eastAsia" w:ascii="仿宋" w:hAnsi="仿宋" w:eastAsia="仿宋" w:cs="仿宋"/>
          <w:b/>
          <w:bCs/>
          <w:color w:val="auto"/>
          <w:highlight w:val="none"/>
        </w:rPr>
      </w:pPr>
    </w:p>
    <w:p w14:paraId="2929EE14">
      <w:pPr>
        <w:rPr>
          <w:rFonts w:hint="eastAsia" w:ascii="仿宋" w:hAnsi="仿宋" w:eastAsia="仿宋" w:cs="仿宋"/>
          <w:b/>
          <w:bCs/>
          <w:color w:val="auto"/>
          <w:highlight w:val="none"/>
        </w:rPr>
      </w:pPr>
    </w:p>
    <w:p w14:paraId="6C9390BE">
      <w:pPr>
        <w:rPr>
          <w:rFonts w:hint="eastAsia" w:ascii="仿宋" w:hAnsi="仿宋" w:eastAsia="仿宋" w:cs="仿宋"/>
          <w:b/>
          <w:bCs/>
          <w:color w:val="auto"/>
          <w:highlight w:val="none"/>
        </w:rPr>
      </w:pPr>
    </w:p>
    <w:p w14:paraId="45D53986">
      <w:pPr>
        <w:rPr>
          <w:rFonts w:hint="eastAsia" w:ascii="仿宋" w:hAnsi="仿宋" w:eastAsia="仿宋" w:cs="仿宋"/>
          <w:b/>
          <w:bCs/>
          <w:color w:val="auto"/>
          <w:highlight w:val="none"/>
        </w:rPr>
      </w:pPr>
    </w:p>
    <w:p w14:paraId="2051EC46">
      <w:pPr>
        <w:pStyle w:val="30"/>
        <w:rPr>
          <w:rFonts w:hint="eastAsia" w:ascii="仿宋" w:hAnsi="仿宋" w:eastAsia="仿宋" w:cs="仿宋"/>
          <w:b/>
          <w:bCs/>
          <w:color w:val="auto"/>
          <w:highlight w:val="none"/>
        </w:rPr>
      </w:pPr>
    </w:p>
    <w:p w14:paraId="5333522D">
      <w:pPr>
        <w:pStyle w:val="30"/>
        <w:rPr>
          <w:rFonts w:hint="eastAsia" w:ascii="仿宋" w:hAnsi="仿宋" w:eastAsia="仿宋" w:cs="仿宋"/>
          <w:b/>
          <w:bCs/>
          <w:color w:val="auto"/>
          <w:highlight w:val="none"/>
        </w:rPr>
      </w:pPr>
    </w:p>
    <w:p w14:paraId="56278C36">
      <w:pPr>
        <w:pStyle w:val="30"/>
        <w:rPr>
          <w:rFonts w:hint="eastAsia" w:ascii="仿宋" w:hAnsi="仿宋" w:eastAsia="仿宋" w:cs="仿宋"/>
          <w:b/>
          <w:bCs/>
          <w:color w:val="auto"/>
          <w:highlight w:val="none"/>
        </w:rPr>
      </w:pPr>
    </w:p>
    <w:p w14:paraId="3702F5E7">
      <w:pPr>
        <w:pStyle w:val="30"/>
        <w:rPr>
          <w:rFonts w:hint="eastAsia" w:ascii="仿宋" w:hAnsi="仿宋" w:eastAsia="仿宋" w:cs="仿宋"/>
          <w:b/>
          <w:bCs/>
          <w:color w:val="auto"/>
          <w:highlight w:val="none"/>
        </w:rPr>
      </w:pPr>
    </w:p>
    <w:p w14:paraId="3DB43D78">
      <w:pPr>
        <w:rPr>
          <w:rFonts w:hint="eastAsia" w:ascii="仿宋" w:hAnsi="仿宋" w:eastAsia="仿宋" w:cs="仿宋"/>
          <w:b/>
          <w:bCs/>
          <w:color w:val="auto"/>
          <w:highlight w:val="none"/>
        </w:rPr>
      </w:pPr>
    </w:p>
    <w:p w14:paraId="11B080E1">
      <w:pPr>
        <w:spacing w:line="360" w:lineRule="auto"/>
        <w:ind w:left="2106" w:leftChars="334" w:hanging="1405" w:hangingChars="5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项目名称：</w:t>
      </w:r>
      <w:r>
        <w:rPr>
          <w:rFonts w:hint="eastAsia" w:ascii="仿宋" w:hAnsi="仿宋" w:eastAsia="仿宋" w:cs="仿宋"/>
          <w:b/>
          <w:bCs/>
          <w:color w:val="auto"/>
          <w:sz w:val="28"/>
          <w:szCs w:val="28"/>
          <w:highlight w:val="none"/>
          <w:lang w:eastAsia="zh-CN"/>
        </w:rPr>
        <w:t>新疆维吾尔自治区民政康复中心医疗条件改造提升项目（其他医疗设备）</w:t>
      </w:r>
    </w:p>
    <w:p w14:paraId="5D81B6E5">
      <w:pPr>
        <w:spacing w:line="360" w:lineRule="auto"/>
        <w:ind w:left="2106" w:leftChars="334" w:hanging="1405" w:hangingChars="50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采购人</w:t>
      </w:r>
      <w:r>
        <w:rPr>
          <w:rFonts w:hint="eastAsia" w:ascii="仿宋" w:hAnsi="仿宋" w:eastAsia="仿宋" w:cs="仿宋"/>
          <w:b/>
          <w:bCs/>
          <w:color w:val="auto"/>
          <w:sz w:val="28"/>
          <w:szCs w:val="28"/>
          <w:highlight w:val="none"/>
        </w:rPr>
        <w:t>（盖章）：</w:t>
      </w:r>
      <w:r>
        <w:rPr>
          <w:rFonts w:hint="eastAsia" w:ascii="仿宋" w:hAnsi="仿宋" w:eastAsia="仿宋" w:cs="仿宋"/>
          <w:b/>
          <w:bCs/>
          <w:color w:val="auto"/>
          <w:sz w:val="28"/>
          <w:szCs w:val="28"/>
          <w:highlight w:val="none"/>
          <w:lang w:eastAsia="zh-CN"/>
        </w:rPr>
        <w:t>新疆维吾尔自治区民政康复中心</w:t>
      </w:r>
    </w:p>
    <w:p w14:paraId="2EB3AEC9">
      <w:pPr>
        <w:spacing w:line="360" w:lineRule="auto"/>
        <w:ind w:firstLine="703" w:firstLineChars="25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联系人：</w:t>
      </w:r>
      <w:r>
        <w:rPr>
          <w:rFonts w:hint="eastAsia" w:ascii="仿宋" w:hAnsi="仿宋" w:eastAsia="仿宋" w:cs="仿宋"/>
          <w:b/>
          <w:bCs/>
          <w:color w:val="auto"/>
          <w:sz w:val="28"/>
          <w:szCs w:val="28"/>
          <w:highlight w:val="none"/>
          <w:lang w:val="en-US" w:eastAsia="zh-CN"/>
        </w:rPr>
        <w:t>阿依夏木</w:t>
      </w:r>
    </w:p>
    <w:p w14:paraId="33F14D63">
      <w:pPr>
        <w:spacing w:line="360" w:lineRule="auto"/>
        <w:ind w:firstLine="703" w:firstLineChars="250"/>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电话：</w:t>
      </w:r>
      <w:r>
        <w:rPr>
          <w:rFonts w:hint="eastAsia" w:ascii="仿宋" w:hAnsi="仿宋" w:eastAsia="仿宋" w:cs="仿宋"/>
          <w:b/>
          <w:bCs/>
          <w:color w:val="auto"/>
          <w:sz w:val="28"/>
          <w:szCs w:val="28"/>
          <w:highlight w:val="none"/>
          <w:lang w:val="en-US" w:eastAsia="zh-CN"/>
        </w:rPr>
        <w:t>13999820013</w:t>
      </w:r>
    </w:p>
    <w:p w14:paraId="66FF22A8">
      <w:pPr>
        <w:spacing w:line="360" w:lineRule="auto"/>
        <w:ind w:firstLine="747" w:firstLineChars="356"/>
        <w:rPr>
          <w:rFonts w:hint="eastAsia" w:ascii="仿宋" w:hAnsi="仿宋" w:eastAsia="仿宋" w:cs="仿宋"/>
          <w:b/>
          <w:bCs/>
          <w:color w:val="auto"/>
          <w:sz w:val="24"/>
          <w:highlight w:val="none"/>
        </w:rPr>
      </w:pPr>
      <w:r>
        <w:rPr>
          <w:rFonts w:hint="eastAsia" w:ascii="仿宋" w:hAnsi="仿宋" w:eastAsia="仿宋" w:cs="仿宋"/>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466725</wp:posOffset>
                </wp:positionH>
                <wp:positionV relativeFrom="paragraph">
                  <wp:posOffset>100965</wp:posOffset>
                </wp:positionV>
                <wp:extent cx="5000625" cy="0"/>
                <wp:effectExtent l="6350" t="6350" r="6350" b="6350"/>
                <wp:wrapNone/>
                <wp:docPr id="3" name="直接连接符 3"/>
                <wp:cNvGraphicFramePr/>
                <a:graphic xmlns:a="http://schemas.openxmlformats.org/drawingml/2006/main">
                  <a:graphicData uri="http://schemas.microsoft.com/office/word/2010/wordprocessingShape">
                    <wps:wsp>
                      <wps:cNvCnPr/>
                      <wps:spPr>
                        <a:xfrm>
                          <a:off x="0" y="0"/>
                          <a:ext cx="5000625" cy="0"/>
                        </a:xfrm>
                        <a:prstGeom prst="line">
                          <a:avLst/>
                        </a:prstGeom>
                        <a:ln w="12700" cap="rnd"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36.75pt;margin-top:7.95pt;height:0pt;width:393.75pt;z-index:251659264;mso-width-relative:page;mso-height-relative:page;" filled="f" stroked="t" coordsize="21600,21600" o:gfxdata="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6194L2QAAAAgBAAAPAAAAAAAAAAEAIAAAACIAAABkcnMvZG93bnJldi54bWxQ&#10;SwECFAAUAAAACACHTuJA+/LVM/YBAADlAwAADgAAAAAAAAABACAAAAAoAQAAZHJzL2Uyb0RvYy54&#10;bWxQSwUGAAAAAAYABgBZAQAAkAUAAAAA&#10;">
                <v:fill on="f" focussize="0,0"/>
                <v:stroke weight="1pt" color="#000000" joinstyle="round" dashstyle="1 1" endcap="round"/>
                <v:imagedata o:title=""/>
                <o:lock v:ext="edit" aspectratio="f"/>
              </v:line>
            </w:pict>
          </mc:Fallback>
        </mc:AlternateContent>
      </w:r>
    </w:p>
    <w:p w14:paraId="7DC99BC1">
      <w:pPr>
        <w:spacing w:line="360" w:lineRule="auto"/>
        <w:ind w:firstLine="703" w:firstLineChars="25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招标代理机构（盖章）：新疆恒达壹品项目管理咨询有限公司</w:t>
      </w:r>
    </w:p>
    <w:p w14:paraId="56F046B2">
      <w:pPr>
        <w:spacing w:line="360" w:lineRule="auto"/>
        <w:ind w:firstLine="703" w:firstLineChars="25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法定代表人（盖章）：</w:t>
      </w:r>
    </w:p>
    <w:p w14:paraId="31E7C6DE">
      <w:pPr>
        <w:spacing w:line="360" w:lineRule="auto"/>
        <w:ind w:firstLine="703" w:firstLineChars="25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联系人：杨勇、陈涛、赵天</w:t>
      </w:r>
    </w:p>
    <w:p w14:paraId="2D87B545">
      <w:pPr>
        <w:spacing w:line="360" w:lineRule="auto"/>
        <w:ind w:firstLine="703" w:firstLineChars="25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电话：0991—4825717、13325632966</w:t>
      </w:r>
    </w:p>
    <w:p w14:paraId="665BF716">
      <w:pPr>
        <w:spacing w:line="360" w:lineRule="auto"/>
        <w:ind w:left="2084" w:leftChars="334" w:hanging="1383" w:hangingChars="49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详细地址：新疆乌鲁木齐市水磨沟区红光山路888号绿城广场商业综合楼1B座2204</w:t>
      </w:r>
    </w:p>
    <w:p w14:paraId="36917B14">
      <w:pPr>
        <w:jc w:val="center"/>
        <w:rPr>
          <w:rFonts w:hint="eastAsia" w:ascii="仿宋" w:hAnsi="仿宋" w:eastAsia="仿宋" w:cs="仿宋"/>
          <w:b/>
          <w:color w:val="auto"/>
          <w:sz w:val="24"/>
          <w:highlight w:val="none"/>
        </w:rPr>
      </w:pPr>
    </w:p>
    <w:p w14:paraId="7C001B8F">
      <w:pPr>
        <w:rPr>
          <w:rFonts w:hint="eastAsia" w:ascii="仿宋" w:hAnsi="仿宋" w:eastAsia="仿宋" w:cs="仿宋"/>
          <w:color w:val="auto"/>
          <w:highlight w:val="none"/>
        </w:rPr>
      </w:pPr>
      <w:r>
        <w:rPr>
          <w:rFonts w:hint="eastAsia" w:ascii="仿宋" w:hAnsi="仿宋" w:eastAsia="仿宋" w:cs="仿宋"/>
          <w:color w:val="auto"/>
          <w:highlight w:val="none"/>
        </w:rPr>
        <w:br w:type="page"/>
      </w:r>
      <w:r>
        <w:rPr>
          <w:rFonts w:hint="eastAsia" w:ascii="仿宋" w:hAnsi="仿宋" w:eastAsia="仿宋" w:cs="仿宋"/>
          <w:color w:val="auto"/>
          <w:highlight w:val="none"/>
        </w:rPr>
        <w:br w:type="page"/>
      </w:r>
    </w:p>
    <w:p w14:paraId="630F1F9C">
      <w:pPr>
        <w:pStyle w:val="80"/>
        <w:spacing w:before="0" w:after="0"/>
        <w:rPr>
          <w:rFonts w:hint="eastAsia" w:ascii="仿宋" w:hAnsi="仿宋" w:eastAsia="仿宋" w:cs="仿宋"/>
          <w:b/>
          <w:color w:val="auto"/>
          <w:kern w:val="2"/>
          <w:sz w:val="36"/>
          <w:szCs w:val="36"/>
          <w:highlight w:val="none"/>
        </w:rPr>
      </w:pPr>
      <w:r>
        <w:rPr>
          <w:rFonts w:hint="eastAsia" w:ascii="仿宋" w:hAnsi="仿宋" w:eastAsia="仿宋" w:cs="仿宋"/>
          <w:b/>
          <w:color w:val="auto"/>
          <w:kern w:val="2"/>
          <w:sz w:val="36"/>
          <w:szCs w:val="36"/>
          <w:highlight w:val="none"/>
        </w:rPr>
        <w:t>目录</w:t>
      </w:r>
    </w:p>
    <w:p w14:paraId="70E5680B">
      <w:pPr>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"1-1" \h \u </w:instrText>
      </w:r>
      <w:r>
        <w:rPr>
          <w:rFonts w:hint="eastAsia" w:ascii="仿宋" w:hAnsi="仿宋" w:eastAsia="仿宋" w:cs="仿宋"/>
          <w:color w:val="auto"/>
          <w:highlight w:val="none"/>
        </w:rPr>
        <w:fldChar w:fldCharType="separate"/>
      </w:r>
    </w:p>
    <w:p w14:paraId="646A12DF">
      <w:pPr>
        <w:pStyle w:val="25"/>
        <w:rPr>
          <w:rFonts w:hint="eastAsia" w:ascii="仿宋" w:hAnsi="仿宋" w:eastAsia="仿宋" w:cs="仿宋"/>
          <w:b w:val="0"/>
          <w:bCs w:val="0"/>
          <w:color w:val="auto"/>
          <w:sz w:val="24"/>
          <w:szCs w:val="28"/>
          <w:highlight w:val="none"/>
        </w:rPr>
      </w:pPr>
      <w:r>
        <w:rPr>
          <w:rStyle w:val="38"/>
          <w:rFonts w:hint="eastAsia" w:ascii="仿宋" w:hAnsi="仿宋" w:eastAsia="仿宋" w:cs="仿宋"/>
          <w:b w:val="0"/>
          <w:bCs w:val="0"/>
          <w:color w:val="auto"/>
          <w:sz w:val="24"/>
          <w:szCs w:val="22"/>
          <w:highlight w:val="none"/>
        </w:rPr>
        <w:fldChar w:fldCharType="begin"/>
      </w:r>
      <w:r>
        <w:rPr>
          <w:rStyle w:val="38"/>
          <w:rFonts w:hint="eastAsia" w:ascii="仿宋" w:hAnsi="仿宋" w:eastAsia="仿宋" w:cs="仿宋"/>
          <w:b w:val="0"/>
          <w:bCs w:val="0"/>
          <w:color w:val="auto"/>
          <w:sz w:val="24"/>
          <w:szCs w:val="22"/>
          <w:highlight w:val="none"/>
        </w:rPr>
        <w:instrText xml:space="preserve"> </w:instrText>
      </w:r>
      <w:r>
        <w:rPr>
          <w:rFonts w:hint="eastAsia" w:ascii="仿宋" w:hAnsi="仿宋" w:eastAsia="仿宋" w:cs="仿宋"/>
          <w:b w:val="0"/>
          <w:bCs w:val="0"/>
          <w:color w:val="auto"/>
          <w:sz w:val="24"/>
          <w:szCs w:val="22"/>
          <w:highlight w:val="none"/>
        </w:rPr>
        <w:instrText xml:space="preserve">HYPERLINK \l "_Toc134550674"</w:instrText>
      </w:r>
      <w:r>
        <w:rPr>
          <w:rStyle w:val="38"/>
          <w:rFonts w:hint="eastAsia" w:ascii="仿宋" w:hAnsi="仿宋" w:eastAsia="仿宋" w:cs="仿宋"/>
          <w:b w:val="0"/>
          <w:bCs w:val="0"/>
          <w:color w:val="auto"/>
          <w:sz w:val="24"/>
          <w:szCs w:val="22"/>
          <w:highlight w:val="none"/>
        </w:rPr>
        <w:instrText xml:space="preserve"> </w:instrText>
      </w:r>
      <w:r>
        <w:rPr>
          <w:rStyle w:val="38"/>
          <w:rFonts w:hint="eastAsia" w:ascii="仿宋" w:hAnsi="仿宋" w:eastAsia="仿宋" w:cs="仿宋"/>
          <w:b w:val="0"/>
          <w:bCs w:val="0"/>
          <w:color w:val="auto"/>
          <w:sz w:val="24"/>
          <w:szCs w:val="22"/>
          <w:highlight w:val="none"/>
        </w:rPr>
        <w:fldChar w:fldCharType="separate"/>
      </w:r>
      <w:r>
        <w:rPr>
          <w:rStyle w:val="38"/>
          <w:rFonts w:hint="eastAsia" w:ascii="仿宋" w:hAnsi="仿宋" w:eastAsia="仿宋" w:cs="仿宋"/>
          <w:b w:val="0"/>
          <w:bCs w:val="0"/>
          <w:color w:val="auto"/>
          <w:sz w:val="24"/>
          <w:szCs w:val="22"/>
          <w:highlight w:val="none"/>
        </w:rPr>
        <w:t>第一部分询价公告</w:t>
      </w:r>
      <w:r>
        <w:rPr>
          <w:rFonts w:hint="eastAsia" w:ascii="仿宋" w:hAnsi="仿宋" w:eastAsia="仿宋" w:cs="仿宋"/>
          <w:b w:val="0"/>
          <w:bCs w:val="0"/>
          <w:color w:val="auto"/>
          <w:sz w:val="24"/>
          <w:szCs w:val="22"/>
          <w:highlight w:val="none"/>
        </w:rPr>
        <w:tab/>
      </w:r>
      <w:r>
        <w:rPr>
          <w:rFonts w:hint="eastAsia" w:ascii="仿宋" w:hAnsi="仿宋" w:eastAsia="仿宋" w:cs="仿宋"/>
          <w:b w:val="0"/>
          <w:bCs w:val="0"/>
          <w:color w:val="auto"/>
          <w:sz w:val="24"/>
          <w:szCs w:val="22"/>
          <w:highlight w:val="none"/>
          <w:lang w:val="en-US" w:eastAsia="zh-CN"/>
        </w:rPr>
        <w:t>4</w:t>
      </w:r>
      <w:r>
        <w:rPr>
          <w:rStyle w:val="38"/>
          <w:rFonts w:hint="eastAsia" w:ascii="仿宋" w:hAnsi="仿宋" w:eastAsia="仿宋" w:cs="仿宋"/>
          <w:b w:val="0"/>
          <w:bCs w:val="0"/>
          <w:color w:val="auto"/>
          <w:sz w:val="24"/>
          <w:szCs w:val="22"/>
          <w:highlight w:val="none"/>
        </w:rPr>
        <w:fldChar w:fldCharType="end"/>
      </w:r>
    </w:p>
    <w:p w14:paraId="33DE26A9">
      <w:pPr>
        <w:pStyle w:val="25"/>
        <w:rPr>
          <w:rFonts w:hint="eastAsia" w:ascii="仿宋" w:hAnsi="仿宋" w:eastAsia="仿宋" w:cs="仿宋"/>
          <w:b w:val="0"/>
          <w:bCs w:val="0"/>
          <w:color w:val="auto"/>
          <w:sz w:val="24"/>
          <w:szCs w:val="28"/>
          <w:highlight w:val="none"/>
        </w:rPr>
      </w:pPr>
      <w:r>
        <w:rPr>
          <w:rStyle w:val="38"/>
          <w:rFonts w:hint="eastAsia" w:ascii="仿宋" w:hAnsi="仿宋" w:eastAsia="仿宋" w:cs="仿宋"/>
          <w:b w:val="0"/>
          <w:bCs w:val="0"/>
          <w:color w:val="auto"/>
          <w:sz w:val="24"/>
          <w:szCs w:val="22"/>
          <w:highlight w:val="none"/>
        </w:rPr>
        <w:fldChar w:fldCharType="begin"/>
      </w:r>
      <w:r>
        <w:rPr>
          <w:rStyle w:val="38"/>
          <w:rFonts w:hint="eastAsia" w:ascii="仿宋" w:hAnsi="仿宋" w:eastAsia="仿宋" w:cs="仿宋"/>
          <w:b w:val="0"/>
          <w:bCs w:val="0"/>
          <w:color w:val="auto"/>
          <w:sz w:val="24"/>
          <w:szCs w:val="22"/>
          <w:highlight w:val="none"/>
        </w:rPr>
        <w:instrText xml:space="preserve"> </w:instrText>
      </w:r>
      <w:r>
        <w:rPr>
          <w:rFonts w:hint="eastAsia" w:ascii="仿宋" w:hAnsi="仿宋" w:eastAsia="仿宋" w:cs="仿宋"/>
          <w:b w:val="0"/>
          <w:bCs w:val="0"/>
          <w:color w:val="auto"/>
          <w:sz w:val="24"/>
          <w:szCs w:val="22"/>
          <w:highlight w:val="none"/>
        </w:rPr>
        <w:instrText xml:space="preserve">HYPERLINK \l "_Toc134550677"</w:instrText>
      </w:r>
      <w:r>
        <w:rPr>
          <w:rStyle w:val="38"/>
          <w:rFonts w:hint="eastAsia" w:ascii="仿宋" w:hAnsi="仿宋" w:eastAsia="仿宋" w:cs="仿宋"/>
          <w:b w:val="0"/>
          <w:bCs w:val="0"/>
          <w:color w:val="auto"/>
          <w:sz w:val="24"/>
          <w:szCs w:val="22"/>
          <w:highlight w:val="none"/>
        </w:rPr>
        <w:instrText xml:space="preserve"> </w:instrText>
      </w:r>
      <w:r>
        <w:rPr>
          <w:rStyle w:val="38"/>
          <w:rFonts w:hint="eastAsia" w:ascii="仿宋" w:hAnsi="仿宋" w:eastAsia="仿宋" w:cs="仿宋"/>
          <w:b w:val="0"/>
          <w:bCs w:val="0"/>
          <w:color w:val="auto"/>
          <w:sz w:val="24"/>
          <w:szCs w:val="22"/>
          <w:highlight w:val="none"/>
        </w:rPr>
        <w:fldChar w:fldCharType="separate"/>
      </w:r>
      <w:r>
        <w:rPr>
          <w:rStyle w:val="38"/>
          <w:rFonts w:hint="eastAsia" w:ascii="仿宋" w:hAnsi="仿宋" w:eastAsia="仿宋" w:cs="仿宋"/>
          <w:b w:val="0"/>
          <w:bCs w:val="0"/>
          <w:color w:val="auto"/>
          <w:sz w:val="24"/>
          <w:szCs w:val="22"/>
          <w:highlight w:val="none"/>
        </w:rPr>
        <w:t>第二部分供应商须知</w:t>
      </w:r>
      <w:r>
        <w:rPr>
          <w:rFonts w:hint="eastAsia" w:ascii="仿宋" w:hAnsi="仿宋" w:eastAsia="仿宋" w:cs="仿宋"/>
          <w:b w:val="0"/>
          <w:bCs w:val="0"/>
          <w:color w:val="auto"/>
          <w:sz w:val="24"/>
          <w:szCs w:val="22"/>
          <w:highlight w:val="none"/>
        </w:rPr>
        <w:tab/>
      </w:r>
      <w:r>
        <w:rPr>
          <w:rFonts w:hint="eastAsia" w:ascii="仿宋" w:hAnsi="仿宋" w:eastAsia="仿宋" w:cs="仿宋"/>
          <w:b w:val="0"/>
          <w:bCs w:val="0"/>
          <w:color w:val="auto"/>
          <w:sz w:val="24"/>
          <w:szCs w:val="22"/>
          <w:highlight w:val="none"/>
          <w:lang w:val="en-US" w:eastAsia="zh-CN"/>
        </w:rPr>
        <w:t>8</w:t>
      </w:r>
      <w:r>
        <w:rPr>
          <w:rStyle w:val="38"/>
          <w:rFonts w:hint="eastAsia" w:ascii="仿宋" w:hAnsi="仿宋" w:eastAsia="仿宋" w:cs="仿宋"/>
          <w:b w:val="0"/>
          <w:bCs w:val="0"/>
          <w:color w:val="auto"/>
          <w:sz w:val="24"/>
          <w:szCs w:val="22"/>
          <w:highlight w:val="none"/>
        </w:rPr>
        <w:fldChar w:fldCharType="end"/>
      </w:r>
    </w:p>
    <w:p w14:paraId="2D3A6CD7">
      <w:pPr>
        <w:pStyle w:val="25"/>
        <w:rPr>
          <w:rFonts w:hint="eastAsia" w:ascii="仿宋" w:hAnsi="仿宋" w:eastAsia="仿宋" w:cs="仿宋"/>
          <w:b w:val="0"/>
          <w:bCs w:val="0"/>
          <w:color w:val="auto"/>
          <w:sz w:val="24"/>
          <w:szCs w:val="28"/>
          <w:highlight w:val="none"/>
        </w:rPr>
      </w:pPr>
      <w:r>
        <w:rPr>
          <w:rStyle w:val="38"/>
          <w:rFonts w:hint="eastAsia" w:ascii="仿宋" w:hAnsi="仿宋" w:eastAsia="仿宋" w:cs="仿宋"/>
          <w:b w:val="0"/>
          <w:bCs w:val="0"/>
          <w:color w:val="auto"/>
          <w:sz w:val="24"/>
          <w:szCs w:val="22"/>
          <w:highlight w:val="none"/>
        </w:rPr>
        <w:fldChar w:fldCharType="begin"/>
      </w:r>
      <w:r>
        <w:rPr>
          <w:rStyle w:val="38"/>
          <w:rFonts w:hint="eastAsia" w:ascii="仿宋" w:hAnsi="仿宋" w:eastAsia="仿宋" w:cs="仿宋"/>
          <w:b w:val="0"/>
          <w:bCs w:val="0"/>
          <w:color w:val="auto"/>
          <w:sz w:val="24"/>
          <w:szCs w:val="22"/>
          <w:highlight w:val="none"/>
        </w:rPr>
        <w:instrText xml:space="preserve"> </w:instrText>
      </w:r>
      <w:r>
        <w:rPr>
          <w:rFonts w:hint="eastAsia" w:ascii="仿宋" w:hAnsi="仿宋" w:eastAsia="仿宋" w:cs="仿宋"/>
          <w:b w:val="0"/>
          <w:bCs w:val="0"/>
          <w:color w:val="auto"/>
          <w:sz w:val="24"/>
          <w:szCs w:val="22"/>
          <w:highlight w:val="none"/>
        </w:rPr>
        <w:instrText xml:space="preserve">HYPERLINK \l "_Toc134550681"</w:instrText>
      </w:r>
      <w:r>
        <w:rPr>
          <w:rStyle w:val="38"/>
          <w:rFonts w:hint="eastAsia" w:ascii="仿宋" w:hAnsi="仿宋" w:eastAsia="仿宋" w:cs="仿宋"/>
          <w:b w:val="0"/>
          <w:bCs w:val="0"/>
          <w:color w:val="auto"/>
          <w:sz w:val="24"/>
          <w:szCs w:val="22"/>
          <w:highlight w:val="none"/>
        </w:rPr>
        <w:instrText xml:space="preserve"> </w:instrText>
      </w:r>
      <w:r>
        <w:rPr>
          <w:rStyle w:val="38"/>
          <w:rFonts w:hint="eastAsia" w:ascii="仿宋" w:hAnsi="仿宋" w:eastAsia="仿宋" w:cs="仿宋"/>
          <w:b w:val="0"/>
          <w:bCs w:val="0"/>
          <w:color w:val="auto"/>
          <w:sz w:val="24"/>
          <w:szCs w:val="22"/>
          <w:highlight w:val="none"/>
        </w:rPr>
        <w:fldChar w:fldCharType="separate"/>
      </w:r>
      <w:r>
        <w:rPr>
          <w:rStyle w:val="38"/>
          <w:rFonts w:hint="eastAsia" w:ascii="仿宋" w:hAnsi="仿宋" w:eastAsia="仿宋" w:cs="仿宋"/>
          <w:b w:val="0"/>
          <w:bCs w:val="0"/>
          <w:color w:val="auto"/>
          <w:sz w:val="24"/>
          <w:szCs w:val="22"/>
          <w:highlight w:val="none"/>
        </w:rPr>
        <w:t>第三部分采购</w:t>
      </w:r>
      <w:r>
        <w:rPr>
          <w:rStyle w:val="38"/>
          <w:rFonts w:hint="eastAsia" w:ascii="仿宋" w:hAnsi="仿宋" w:eastAsia="仿宋" w:cs="仿宋"/>
          <w:b w:val="0"/>
          <w:bCs w:val="0"/>
          <w:color w:val="auto"/>
          <w:sz w:val="24"/>
          <w:szCs w:val="22"/>
          <w:highlight w:val="none"/>
          <w:lang w:val="en-US" w:eastAsia="zh-CN"/>
        </w:rPr>
        <w:t>需求</w:t>
      </w:r>
      <w:r>
        <w:rPr>
          <w:rFonts w:hint="eastAsia" w:ascii="仿宋" w:hAnsi="仿宋" w:eastAsia="仿宋" w:cs="仿宋"/>
          <w:b w:val="0"/>
          <w:bCs w:val="0"/>
          <w:color w:val="auto"/>
          <w:sz w:val="24"/>
          <w:szCs w:val="22"/>
          <w:highlight w:val="none"/>
        </w:rPr>
        <w:tab/>
      </w:r>
      <w:r>
        <w:rPr>
          <w:rFonts w:hint="eastAsia" w:ascii="仿宋" w:hAnsi="仿宋" w:eastAsia="仿宋" w:cs="仿宋"/>
          <w:b w:val="0"/>
          <w:bCs w:val="0"/>
          <w:color w:val="auto"/>
          <w:sz w:val="24"/>
          <w:szCs w:val="22"/>
          <w:highlight w:val="none"/>
        </w:rPr>
        <w:fldChar w:fldCharType="begin"/>
      </w:r>
      <w:r>
        <w:rPr>
          <w:rFonts w:hint="eastAsia" w:ascii="仿宋" w:hAnsi="仿宋" w:eastAsia="仿宋" w:cs="仿宋"/>
          <w:b w:val="0"/>
          <w:bCs w:val="0"/>
          <w:color w:val="auto"/>
          <w:sz w:val="24"/>
          <w:szCs w:val="22"/>
          <w:highlight w:val="none"/>
        </w:rPr>
        <w:instrText xml:space="preserve"> PAGEREF _Toc134550681 \h </w:instrText>
      </w:r>
      <w:r>
        <w:rPr>
          <w:rFonts w:hint="eastAsia" w:ascii="仿宋" w:hAnsi="仿宋" w:eastAsia="仿宋" w:cs="仿宋"/>
          <w:b w:val="0"/>
          <w:bCs w:val="0"/>
          <w:color w:val="auto"/>
          <w:sz w:val="24"/>
          <w:szCs w:val="22"/>
          <w:highlight w:val="none"/>
        </w:rPr>
        <w:fldChar w:fldCharType="separate"/>
      </w:r>
      <w:r>
        <w:rPr>
          <w:rFonts w:hint="eastAsia" w:ascii="仿宋" w:hAnsi="仿宋" w:eastAsia="仿宋" w:cs="仿宋"/>
          <w:b w:val="0"/>
          <w:bCs w:val="0"/>
          <w:color w:val="auto"/>
          <w:sz w:val="24"/>
          <w:szCs w:val="22"/>
          <w:highlight w:val="none"/>
        </w:rPr>
        <w:t>29</w:t>
      </w:r>
      <w:r>
        <w:rPr>
          <w:rFonts w:hint="eastAsia" w:ascii="仿宋" w:hAnsi="仿宋" w:eastAsia="仿宋" w:cs="仿宋"/>
          <w:b w:val="0"/>
          <w:bCs w:val="0"/>
          <w:color w:val="auto"/>
          <w:sz w:val="24"/>
          <w:szCs w:val="22"/>
          <w:highlight w:val="none"/>
        </w:rPr>
        <w:fldChar w:fldCharType="end"/>
      </w:r>
      <w:r>
        <w:rPr>
          <w:rStyle w:val="38"/>
          <w:rFonts w:hint="eastAsia" w:ascii="仿宋" w:hAnsi="仿宋" w:eastAsia="仿宋" w:cs="仿宋"/>
          <w:b w:val="0"/>
          <w:bCs w:val="0"/>
          <w:color w:val="auto"/>
          <w:sz w:val="24"/>
          <w:szCs w:val="22"/>
          <w:highlight w:val="none"/>
        </w:rPr>
        <w:fldChar w:fldCharType="end"/>
      </w:r>
    </w:p>
    <w:p w14:paraId="028B257B">
      <w:pPr>
        <w:pStyle w:val="25"/>
        <w:rPr>
          <w:rFonts w:hint="eastAsia" w:ascii="仿宋" w:hAnsi="仿宋" w:eastAsia="仿宋" w:cs="仿宋"/>
          <w:b w:val="0"/>
          <w:bCs w:val="0"/>
          <w:color w:val="auto"/>
          <w:sz w:val="24"/>
          <w:szCs w:val="28"/>
          <w:highlight w:val="none"/>
          <w:lang w:val="en-US" w:eastAsia="zh-CN"/>
        </w:rPr>
      </w:pPr>
      <w:r>
        <w:rPr>
          <w:rStyle w:val="38"/>
          <w:rFonts w:hint="eastAsia" w:ascii="仿宋" w:hAnsi="仿宋" w:eastAsia="仿宋" w:cs="仿宋"/>
          <w:b w:val="0"/>
          <w:bCs w:val="0"/>
          <w:color w:val="auto"/>
          <w:sz w:val="24"/>
          <w:szCs w:val="22"/>
          <w:highlight w:val="none"/>
        </w:rPr>
        <w:fldChar w:fldCharType="begin"/>
      </w:r>
      <w:r>
        <w:rPr>
          <w:rStyle w:val="38"/>
          <w:rFonts w:hint="eastAsia" w:ascii="仿宋" w:hAnsi="仿宋" w:eastAsia="仿宋" w:cs="仿宋"/>
          <w:b w:val="0"/>
          <w:bCs w:val="0"/>
          <w:color w:val="auto"/>
          <w:sz w:val="24"/>
          <w:szCs w:val="22"/>
          <w:highlight w:val="none"/>
        </w:rPr>
        <w:instrText xml:space="preserve"> </w:instrText>
      </w:r>
      <w:r>
        <w:rPr>
          <w:rFonts w:hint="eastAsia" w:ascii="仿宋" w:hAnsi="仿宋" w:eastAsia="仿宋" w:cs="仿宋"/>
          <w:b w:val="0"/>
          <w:bCs w:val="0"/>
          <w:color w:val="auto"/>
          <w:sz w:val="24"/>
          <w:szCs w:val="22"/>
          <w:highlight w:val="none"/>
        </w:rPr>
        <w:instrText xml:space="preserve">HYPERLINK \l "_Toc134550683"</w:instrText>
      </w:r>
      <w:r>
        <w:rPr>
          <w:rStyle w:val="38"/>
          <w:rFonts w:hint="eastAsia" w:ascii="仿宋" w:hAnsi="仿宋" w:eastAsia="仿宋" w:cs="仿宋"/>
          <w:b w:val="0"/>
          <w:bCs w:val="0"/>
          <w:color w:val="auto"/>
          <w:sz w:val="24"/>
          <w:szCs w:val="22"/>
          <w:highlight w:val="none"/>
        </w:rPr>
        <w:instrText xml:space="preserve"> </w:instrText>
      </w:r>
      <w:r>
        <w:rPr>
          <w:rStyle w:val="38"/>
          <w:rFonts w:hint="eastAsia" w:ascii="仿宋" w:hAnsi="仿宋" w:eastAsia="仿宋" w:cs="仿宋"/>
          <w:b w:val="0"/>
          <w:bCs w:val="0"/>
          <w:color w:val="auto"/>
          <w:sz w:val="24"/>
          <w:szCs w:val="22"/>
          <w:highlight w:val="none"/>
        </w:rPr>
        <w:fldChar w:fldCharType="separate"/>
      </w:r>
      <w:r>
        <w:rPr>
          <w:rStyle w:val="38"/>
          <w:rFonts w:hint="eastAsia" w:ascii="仿宋" w:hAnsi="仿宋" w:eastAsia="仿宋" w:cs="仿宋"/>
          <w:b w:val="0"/>
          <w:bCs w:val="0"/>
          <w:color w:val="auto"/>
          <w:sz w:val="24"/>
          <w:szCs w:val="22"/>
          <w:highlight w:val="none"/>
        </w:rPr>
        <w:t>第四部分合同</w:t>
      </w:r>
      <w:r>
        <w:rPr>
          <w:rStyle w:val="38"/>
          <w:rFonts w:hint="eastAsia" w:ascii="仿宋" w:hAnsi="仿宋" w:eastAsia="仿宋" w:cs="仿宋"/>
          <w:b w:val="0"/>
          <w:bCs w:val="0"/>
          <w:color w:val="auto"/>
          <w:sz w:val="24"/>
          <w:szCs w:val="22"/>
          <w:highlight w:val="none"/>
          <w:lang w:eastAsia="zh-CN"/>
        </w:rPr>
        <w:t>条款</w:t>
      </w:r>
      <w:r>
        <w:rPr>
          <w:rFonts w:hint="eastAsia" w:ascii="仿宋" w:hAnsi="仿宋" w:eastAsia="仿宋" w:cs="仿宋"/>
          <w:b w:val="0"/>
          <w:bCs w:val="0"/>
          <w:color w:val="auto"/>
          <w:sz w:val="24"/>
          <w:szCs w:val="22"/>
          <w:highlight w:val="none"/>
        </w:rPr>
        <w:tab/>
      </w:r>
      <w:r>
        <w:rPr>
          <w:rFonts w:hint="eastAsia" w:ascii="仿宋" w:hAnsi="仿宋" w:eastAsia="仿宋" w:cs="仿宋"/>
          <w:b w:val="0"/>
          <w:bCs w:val="0"/>
          <w:color w:val="auto"/>
          <w:sz w:val="24"/>
          <w:szCs w:val="22"/>
          <w:highlight w:val="none"/>
          <w:lang w:val="en-US" w:eastAsia="zh-CN"/>
        </w:rPr>
        <w:t>3</w:t>
      </w:r>
      <w:r>
        <w:rPr>
          <w:rStyle w:val="38"/>
          <w:rFonts w:hint="eastAsia" w:ascii="仿宋" w:hAnsi="仿宋" w:eastAsia="仿宋" w:cs="仿宋"/>
          <w:b w:val="0"/>
          <w:bCs w:val="0"/>
          <w:color w:val="auto"/>
          <w:sz w:val="24"/>
          <w:szCs w:val="22"/>
          <w:highlight w:val="none"/>
        </w:rPr>
        <w:fldChar w:fldCharType="end"/>
      </w:r>
      <w:r>
        <w:rPr>
          <w:rStyle w:val="38"/>
          <w:rFonts w:hint="eastAsia" w:ascii="仿宋" w:hAnsi="仿宋" w:eastAsia="仿宋" w:cs="仿宋"/>
          <w:b w:val="0"/>
          <w:bCs w:val="0"/>
          <w:color w:val="auto"/>
          <w:sz w:val="24"/>
          <w:szCs w:val="22"/>
          <w:highlight w:val="none"/>
          <w:lang w:val="en-US" w:eastAsia="zh-CN"/>
        </w:rPr>
        <w:t>2</w:t>
      </w:r>
    </w:p>
    <w:p w14:paraId="6DE05EDE">
      <w:pPr>
        <w:pStyle w:val="25"/>
        <w:rPr>
          <w:rFonts w:hint="eastAsia" w:ascii="仿宋" w:hAnsi="仿宋" w:eastAsia="仿宋" w:cs="仿宋"/>
          <w:b w:val="0"/>
          <w:bCs w:val="0"/>
          <w:color w:val="auto"/>
          <w:sz w:val="24"/>
          <w:szCs w:val="28"/>
          <w:highlight w:val="none"/>
          <w:lang w:val="en-US" w:eastAsia="zh-CN"/>
        </w:rPr>
      </w:pPr>
      <w:r>
        <w:rPr>
          <w:rStyle w:val="38"/>
          <w:rFonts w:hint="eastAsia" w:ascii="仿宋" w:hAnsi="仿宋" w:eastAsia="仿宋" w:cs="仿宋"/>
          <w:b w:val="0"/>
          <w:bCs w:val="0"/>
          <w:color w:val="auto"/>
          <w:sz w:val="24"/>
          <w:szCs w:val="22"/>
          <w:highlight w:val="none"/>
        </w:rPr>
        <w:fldChar w:fldCharType="begin"/>
      </w:r>
      <w:r>
        <w:rPr>
          <w:rStyle w:val="38"/>
          <w:rFonts w:hint="eastAsia" w:ascii="仿宋" w:hAnsi="仿宋" w:eastAsia="仿宋" w:cs="仿宋"/>
          <w:b w:val="0"/>
          <w:bCs w:val="0"/>
          <w:color w:val="auto"/>
          <w:sz w:val="24"/>
          <w:szCs w:val="22"/>
          <w:highlight w:val="none"/>
        </w:rPr>
        <w:instrText xml:space="preserve"> </w:instrText>
      </w:r>
      <w:r>
        <w:rPr>
          <w:rFonts w:hint="eastAsia" w:ascii="仿宋" w:hAnsi="仿宋" w:eastAsia="仿宋" w:cs="仿宋"/>
          <w:b w:val="0"/>
          <w:bCs w:val="0"/>
          <w:color w:val="auto"/>
          <w:sz w:val="24"/>
          <w:szCs w:val="22"/>
          <w:highlight w:val="none"/>
        </w:rPr>
        <w:instrText xml:space="preserve">HYPERLINK \l "_Toc134550684"</w:instrText>
      </w:r>
      <w:r>
        <w:rPr>
          <w:rStyle w:val="38"/>
          <w:rFonts w:hint="eastAsia" w:ascii="仿宋" w:hAnsi="仿宋" w:eastAsia="仿宋" w:cs="仿宋"/>
          <w:b w:val="0"/>
          <w:bCs w:val="0"/>
          <w:color w:val="auto"/>
          <w:sz w:val="24"/>
          <w:szCs w:val="22"/>
          <w:highlight w:val="none"/>
        </w:rPr>
        <w:instrText xml:space="preserve"> </w:instrText>
      </w:r>
      <w:r>
        <w:rPr>
          <w:rStyle w:val="38"/>
          <w:rFonts w:hint="eastAsia" w:ascii="仿宋" w:hAnsi="仿宋" w:eastAsia="仿宋" w:cs="仿宋"/>
          <w:b w:val="0"/>
          <w:bCs w:val="0"/>
          <w:color w:val="auto"/>
          <w:sz w:val="24"/>
          <w:szCs w:val="22"/>
          <w:highlight w:val="none"/>
        </w:rPr>
        <w:fldChar w:fldCharType="separate"/>
      </w:r>
      <w:r>
        <w:rPr>
          <w:rStyle w:val="38"/>
          <w:rFonts w:hint="eastAsia" w:ascii="仿宋" w:hAnsi="仿宋" w:eastAsia="仿宋" w:cs="仿宋"/>
          <w:b w:val="0"/>
          <w:bCs w:val="0"/>
          <w:color w:val="auto"/>
          <w:sz w:val="24"/>
          <w:szCs w:val="22"/>
          <w:highlight w:val="none"/>
        </w:rPr>
        <w:t>第五部分响应文件格式</w:t>
      </w:r>
      <w:r>
        <w:rPr>
          <w:rFonts w:hint="eastAsia" w:ascii="仿宋" w:hAnsi="仿宋" w:eastAsia="仿宋" w:cs="仿宋"/>
          <w:b w:val="0"/>
          <w:bCs w:val="0"/>
          <w:color w:val="auto"/>
          <w:sz w:val="24"/>
          <w:szCs w:val="22"/>
          <w:highlight w:val="none"/>
        </w:rPr>
        <w:tab/>
      </w:r>
      <w:r>
        <w:rPr>
          <w:rFonts w:hint="eastAsia" w:ascii="仿宋" w:hAnsi="仿宋" w:eastAsia="仿宋" w:cs="仿宋"/>
          <w:b w:val="0"/>
          <w:bCs w:val="0"/>
          <w:color w:val="auto"/>
          <w:sz w:val="24"/>
          <w:szCs w:val="22"/>
          <w:highlight w:val="none"/>
          <w:lang w:val="en-US" w:eastAsia="zh-CN"/>
        </w:rPr>
        <w:t>4</w:t>
      </w:r>
      <w:r>
        <w:rPr>
          <w:rStyle w:val="38"/>
          <w:rFonts w:hint="eastAsia" w:ascii="仿宋" w:hAnsi="仿宋" w:eastAsia="仿宋" w:cs="仿宋"/>
          <w:b w:val="0"/>
          <w:bCs w:val="0"/>
          <w:color w:val="auto"/>
          <w:sz w:val="24"/>
          <w:szCs w:val="22"/>
          <w:highlight w:val="none"/>
        </w:rPr>
        <w:fldChar w:fldCharType="end"/>
      </w:r>
      <w:r>
        <w:rPr>
          <w:rStyle w:val="38"/>
          <w:rFonts w:hint="eastAsia" w:ascii="仿宋" w:hAnsi="仿宋" w:eastAsia="仿宋" w:cs="仿宋"/>
          <w:b w:val="0"/>
          <w:bCs w:val="0"/>
          <w:color w:val="auto"/>
          <w:sz w:val="24"/>
          <w:szCs w:val="22"/>
          <w:highlight w:val="none"/>
          <w:lang w:val="en-US" w:eastAsia="zh-CN"/>
        </w:rPr>
        <w:t>6</w:t>
      </w:r>
    </w:p>
    <w:p w14:paraId="66B79E21">
      <w:pPr>
        <w:pStyle w:val="25"/>
        <w:rPr>
          <w:rFonts w:hint="eastAsia" w:ascii="仿宋" w:hAnsi="仿宋" w:eastAsia="仿宋" w:cs="仿宋"/>
          <w:b w:val="0"/>
          <w:bCs w:val="0"/>
          <w:color w:val="auto"/>
          <w:highlight w:val="none"/>
        </w:rPr>
      </w:pPr>
    </w:p>
    <w:p w14:paraId="681740C6">
      <w:pPr>
        <w:pStyle w:val="87"/>
        <w:tabs>
          <w:tab w:val="right" w:leader="dot" w:pos="9009"/>
        </w:tabs>
        <w:rPr>
          <w:rFonts w:hint="eastAsia" w:ascii="仿宋" w:hAnsi="仿宋" w:eastAsia="仿宋" w:cs="仿宋"/>
          <w:color w:val="auto"/>
          <w:highlight w:val="none"/>
        </w:rPr>
      </w:pPr>
      <w:r>
        <w:rPr>
          <w:rFonts w:hint="eastAsia" w:ascii="仿宋" w:hAnsi="仿宋" w:eastAsia="仿宋" w:cs="仿宋"/>
          <w:color w:val="auto"/>
          <w:highlight w:val="none"/>
        </w:rPr>
        <w:fldChar w:fldCharType="end"/>
      </w:r>
    </w:p>
    <w:p w14:paraId="1AAE11C2">
      <w:pPr>
        <w:spacing w:line="264" w:lineRule="auto"/>
        <w:jc w:val="center"/>
        <w:rPr>
          <w:rFonts w:hint="eastAsia" w:ascii="仿宋" w:hAnsi="仿宋" w:eastAsia="仿宋" w:cs="仿宋"/>
          <w:b/>
          <w:color w:val="auto"/>
          <w:sz w:val="36"/>
          <w:szCs w:val="36"/>
          <w:highlight w:val="none"/>
        </w:rPr>
        <w:sectPr>
          <w:headerReference r:id="rId3" w:type="default"/>
          <w:footerReference r:id="rId4" w:type="default"/>
          <w:pgSz w:w="11906" w:h="16838"/>
          <w:pgMar w:top="1418" w:right="1196" w:bottom="1418" w:left="1701" w:header="851" w:footer="590" w:gutter="0"/>
          <w:pgNumType w:start="1"/>
          <w:cols w:space="720" w:num="1"/>
          <w:docGrid w:linePitch="312" w:charSpace="-1185"/>
        </w:sectPr>
      </w:pPr>
      <w:bookmarkStart w:id="0" w:name="_Toc30399"/>
    </w:p>
    <w:bookmarkEnd w:id="0"/>
    <w:p w14:paraId="064F8BDC">
      <w:pPr>
        <w:pStyle w:val="80"/>
        <w:spacing w:before="0" w:after="0"/>
        <w:rPr>
          <w:rFonts w:hint="eastAsia" w:ascii="仿宋" w:hAnsi="仿宋" w:eastAsia="仿宋" w:cs="仿宋"/>
          <w:color w:val="auto"/>
          <w:sz w:val="36"/>
          <w:szCs w:val="36"/>
          <w:highlight w:val="none"/>
        </w:rPr>
      </w:pPr>
      <w:bookmarkStart w:id="1" w:name="_Toc134550674"/>
      <w:bookmarkStart w:id="2" w:name="_Toc21761"/>
      <w:r>
        <w:rPr>
          <w:rFonts w:hint="eastAsia" w:ascii="仿宋" w:hAnsi="仿宋" w:eastAsia="仿宋" w:cs="仿宋"/>
          <w:b/>
          <w:color w:val="auto"/>
          <w:kern w:val="2"/>
          <w:sz w:val="36"/>
          <w:szCs w:val="36"/>
          <w:highlight w:val="none"/>
        </w:rPr>
        <w:t>第一部分询价公告</w:t>
      </w:r>
      <w:bookmarkEnd w:id="1"/>
      <w:bookmarkEnd w:id="2"/>
    </w:p>
    <w:p w14:paraId="6E00B232">
      <w:pPr>
        <w:pStyle w:val="5"/>
        <w:spacing w:before="0" w:after="0" w:line="36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一、项目基本情况</w:t>
      </w:r>
    </w:p>
    <w:p w14:paraId="3B156C8B">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20" w:leftChars="20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项目编号：2025HDYPXJ-012</w:t>
      </w:r>
    </w:p>
    <w:p w14:paraId="0C941801">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20" w:leftChars="20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项目名称：新疆维吾尔自治区民政康复中心医疗条件改造提升项目（其他医疗设备）</w:t>
      </w:r>
    </w:p>
    <w:p w14:paraId="05EFE82E">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20" w:leftChars="20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采购人式：询价采购</w:t>
      </w:r>
    </w:p>
    <w:p w14:paraId="680D6375">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20" w:leftChars="200" w:firstLine="0" w:firstLineChars="0"/>
        <w:textAlignment w:val="auto"/>
        <w:rPr>
          <w:rFonts w:hint="default" w:ascii="仿宋" w:hAnsi="仿宋" w:eastAsia="微软雅黑"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预算金额（元）：</w:t>
      </w:r>
      <w:r>
        <w:rPr>
          <w:rFonts w:hint="eastAsia" w:ascii="仿宋" w:hAnsi="仿宋" w:eastAsia="仿宋" w:cs="宋体"/>
          <w:color w:val="auto"/>
          <w:kern w:val="0"/>
          <w:sz w:val="24"/>
          <w:szCs w:val="24"/>
          <w:highlight w:val="none"/>
          <w:lang w:val="en-US" w:eastAsia="zh-CN"/>
        </w:rPr>
        <w:t>457000</w:t>
      </w:r>
      <w:r>
        <w:rPr>
          <w:rFonts w:hint="eastAsia" w:ascii="仿宋" w:hAnsi="仿宋" w:eastAsia="仿宋" w:cs="宋体"/>
          <w:color w:val="auto"/>
          <w:kern w:val="0"/>
          <w:sz w:val="24"/>
          <w:szCs w:val="24"/>
          <w:highlight w:val="none"/>
        </w:rPr>
        <w:t>.00</w:t>
      </w:r>
    </w:p>
    <w:p w14:paraId="258DAD14">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20" w:leftChars="200" w:firstLine="0" w:firstLineChars="0"/>
        <w:textAlignment w:val="auto"/>
        <w:rPr>
          <w:rFonts w:hint="eastAsia" w:ascii="仿宋" w:hAnsi="仿宋" w:eastAsia="仿宋" w:cs="宋体"/>
          <w:color w:val="auto"/>
          <w:kern w:val="0"/>
          <w:sz w:val="24"/>
          <w:szCs w:val="24"/>
          <w:highlight w:val="none"/>
        </w:rPr>
      </w:pPr>
      <w:r>
        <w:rPr>
          <w:rFonts w:hint="eastAsia" w:ascii="仿宋" w:hAnsi="仿宋" w:eastAsia="仿宋" w:cs="仿宋"/>
          <w:color w:val="auto"/>
          <w:kern w:val="2"/>
          <w:sz w:val="24"/>
          <w:szCs w:val="24"/>
          <w:highlight w:val="none"/>
          <w:lang w:val="en-US" w:eastAsia="zh-CN" w:bidi="ar-SA"/>
        </w:rPr>
        <w:t>最高限价（元）：</w:t>
      </w:r>
      <w:r>
        <w:rPr>
          <w:rFonts w:hint="eastAsia" w:ascii="仿宋" w:hAnsi="仿宋" w:eastAsia="仿宋" w:cs="宋体"/>
          <w:color w:val="auto"/>
          <w:kern w:val="0"/>
          <w:sz w:val="24"/>
          <w:szCs w:val="24"/>
          <w:highlight w:val="none"/>
          <w:lang w:val="en-US" w:eastAsia="zh-CN"/>
        </w:rPr>
        <w:t>457000</w:t>
      </w:r>
      <w:r>
        <w:rPr>
          <w:rFonts w:hint="eastAsia" w:ascii="仿宋" w:hAnsi="仿宋" w:eastAsia="仿宋" w:cs="宋体"/>
          <w:color w:val="auto"/>
          <w:kern w:val="0"/>
          <w:sz w:val="24"/>
          <w:szCs w:val="24"/>
          <w:highlight w:val="none"/>
        </w:rPr>
        <w:t>.00</w:t>
      </w:r>
    </w:p>
    <w:p w14:paraId="027363FD">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20" w:leftChars="200"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需求：1.全自动血液细胞分析仪；2.12导心电图机；3.自动体外除颤器（AED）；4.心电监护仪；5.不锈钢大小轮担架车（转运床）；6.牙科X射线机；7.紫外线空气净化消毒器；8.打磨机；9.医用热封机；10.危险化学品柜；11.药品仓储货架；12.敞开式药品货架；13.检验科工作台等（参数详见询价文件第三部分）。</w:t>
      </w:r>
    </w:p>
    <w:p w14:paraId="36D4DB5A">
      <w:pPr>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本项目不接受联合体投标。</w:t>
      </w:r>
      <w:r>
        <w:rPr>
          <w:rFonts w:hint="eastAsia" w:ascii="仿宋" w:hAnsi="仿宋" w:eastAsia="仿宋" w:cs="仿宋"/>
          <w:color w:val="auto"/>
          <w:sz w:val="24"/>
          <w:szCs w:val="24"/>
          <w:highlight w:val="none"/>
        </w:rPr>
        <w:t> </w:t>
      </w:r>
    </w:p>
    <w:p w14:paraId="02E431E2">
      <w:pPr>
        <w:pStyle w:val="5"/>
        <w:spacing w:before="0" w:after="0" w:line="36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二、申请人的资格要求：</w:t>
      </w:r>
    </w:p>
    <w:p w14:paraId="011C5F93">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1.满足《中华人民共和国政府采购法》第二十二条规定。</w:t>
      </w:r>
    </w:p>
    <w:p w14:paraId="3162F3B5">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2.落实政府采购政策需满足的资格要求：本项目专门面向</w:t>
      </w:r>
      <w:r>
        <w:rPr>
          <w:rFonts w:hint="eastAsia" w:ascii="仿宋" w:hAnsi="仿宋" w:eastAsia="仿宋" w:cs="仿宋"/>
          <w:bCs/>
          <w:color w:val="auto"/>
          <w:sz w:val="24"/>
          <w:szCs w:val="24"/>
          <w:highlight w:val="none"/>
          <w:lang w:val="en-US" w:eastAsia="zh-CN"/>
        </w:rPr>
        <w:t>中小</w:t>
      </w:r>
      <w:r>
        <w:rPr>
          <w:rFonts w:hint="eastAsia" w:ascii="仿宋" w:hAnsi="仿宋" w:eastAsia="仿宋" w:cs="仿宋"/>
          <w:bCs/>
          <w:color w:val="auto"/>
          <w:sz w:val="24"/>
          <w:szCs w:val="24"/>
          <w:highlight w:val="none"/>
        </w:rPr>
        <w:t>企业采购项目（含中型、小型、微型企业）。</w:t>
      </w:r>
    </w:p>
    <w:p w14:paraId="28CE6899">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本项目的特定资格要求：所投产品属于第二类医疗器械的，需提供有效的行政主管部门颁发的医疗器械经营备案凭证（或医疗器械生产许可证或医疗器械生产备案凭证或医疗器械经营许可证）；所投产品属于第三类医疗器械的，需提供有效的行政主管部门颁发的医疗器械生产许可证（或医疗器械经营许可证或医疗器械生产备案凭证）。</w:t>
      </w:r>
    </w:p>
    <w:p w14:paraId="4B59D199">
      <w:pPr>
        <w:spacing w:line="360" w:lineRule="auto"/>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4.供应商资格要求：</w:t>
      </w:r>
    </w:p>
    <w:p w14:paraId="0F70CC45">
      <w:pPr>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（1）具有独立承担民事责任的能力；</w:t>
      </w:r>
    </w:p>
    <w:p w14:paraId="4B19EEA6">
      <w:pPr>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（2）有依法缴纳税收和社会保障资金的良好记录；</w:t>
      </w:r>
    </w:p>
    <w:p w14:paraId="5B205C40">
      <w:pPr>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（3）具有良好的商业信誉和健全的财务会计制度；</w:t>
      </w:r>
    </w:p>
    <w:p w14:paraId="1D9661CB">
      <w:pPr>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（4）具有履行合同所必须的设备和专业技术能力；</w:t>
      </w:r>
    </w:p>
    <w:p w14:paraId="4ABB657D">
      <w:pPr>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（5）参加采购活动前3年内，在经营活动中没有重大违法记录；</w:t>
      </w:r>
    </w:p>
    <w:p w14:paraId="194E59A4">
      <w:pPr>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（6）信用记录：</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如相关失信记录已失效，</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需提供相关证明资料，如在上述网站查询结果均显示没有相关记录，视为没有上述不良信用记录；</w:t>
      </w:r>
    </w:p>
    <w:p w14:paraId="4B0A0565">
      <w:pPr>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（7）单位负责人为同一人或者存在直接控股、管理关系的不同</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，不得参加同一合同项下的政府采购活动。与采购人存在利害关系可能影响招标公正性的法人、其他组织或者个人，不得参加</w:t>
      </w:r>
      <w:r>
        <w:rPr>
          <w:rFonts w:hint="eastAsia" w:ascii="仿宋" w:hAnsi="仿宋" w:eastAsia="仿宋" w:cs="仿宋"/>
          <w:b w:val="0"/>
          <w:bCs w:val="0"/>
          <w:color w:val="auto"/>
          <w:sz w:val="24"/>
          <w:szCs w:val="24"/>
          <w:highlight w:val="none"/>
          <w:lang w:eastAsia="zh-CN"/>
        </w:rPr>
        <w:t>响应</w:t>
      </w:r>
      <w:r>
        <w:rPr>
          <w:rFonts w:hint="eastAsia" w:ascii="仿宋" w:hAnsi="仿宋" w:eastAsia="仿宋" w:cs="仿宋"/>
          <w:b w:val="0"/>
          <w:bCs w:val="0"/>
          <w:color w:val="auto"/>
          <w:sz w:val="24"/>
          <w:szCs w:val="24"/>
          <w:highlight w:val="none"/>
        </w:rPr>
        <w:t>；</w:t>
      </w:r>
    </w:p>
    <w:p w14:paraId="378011A5">
      <w:pPr>
        <w:spacing w:line="360" w:lineRule="auto"/>
        <w:ind w:firstLine="480" w:firstLineChars="2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（8）本项目不接受联合体</w:t>
      </w:r>
      <w:r>
        <w:rPr>
          <w:rFonts w:hint="eastAsia" w:ascii="仿宋" w:hAnsi="仿宋" w:eastAsia="仿宋" w:cs="仿宋"/>
          <w:b w:val="0"/>
          <w:bCs w:val="0"/>
          <w:color w:val="auto"/>
          <w:sz w:val="24"/>
          <w:szCs w:val="24"/>
          <w:highlight w:val="none"/>
          <w:lang w:eastAsia="zh-CN"/>
        </w:rPr>
        <w:t>响应</w:t>
      </w:r>
      <w:r>
        <w:rPr>
          <w:rFonts w:hint="eastAsia" w:ascii="仿宋" w:hAnsi="仿宋" w:eastAsia="仿宋" w:cs="仿宋"/>
          <w:b w:val="0"/>
          <w:bCs w:val="0"/>
          <w:color w:val="auto"/>
          <w:sz w:val="24"/>
          <w:szCs w:val="24"/>
          <w:highlight w:val="none"/>
        </w:rPr>
        <w:t>。</w:t>
      </w:r>
    </w:p>
    <w:p w14:paraId="13ADD176">
      <w:pPr>
        <w:pStyle w:val="5"/>
        <w:spacing w:before="0" w:after="0"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三、获取采购文件</w:t>
      </w:r>
    </w:p>
    <w:p w14:paraId="2CEE8E84">
      <w:pPr>
        <w:pStyle w:val="31"/>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日，每天上午00:00至14:00，下午14:00至23:59（北京时间，法定节假日除外）</w:t>
      </w:r>
    </w:p>
    <w:p w14:paraId="50AD142F">
      <w:pPr>
        <w:pStyle w:val="31"/>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地点：新疆政府采购网http://www.ccgp-xinjiang.gov.cn/ 方式：供应商登录政采云平台https://www.zcygov.cn/在线申请获取</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文件（进入“项目采购”应用，在获取</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文件菜单中选择项目，申请获取</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w:t>
      </w:r>
    </w:p>
    <w:p w14:paraId="37FD55CA">
      <w:pPr>
        <w:pStyle w:val="5"/>
        <w:spacing w:before="0" w:after="0"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四、响应文件提交 </w:t>
      </w:r>
    </w:p>
    <w:p w14:paraId="58F63B1B">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截止时间：202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日1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:00（北京时间）</w:t>
      </w:r>
    </w:p>
    <w:p w14:paraId="56B19013">
      <w:pPr>
        <w:pStyle w:val="31"/>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地点：新疆政府采购网http://www.ccgp-xinjiang.gov.cn/ </w:t>
      </w:r>
    </w:p>
    <w:p w14:paraId="08C63777">
      <w:pPr>
        <w:pStyle w:val="5"/>
        <w:spacing w:before="0" w:after="0"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五、响应文件开启 </w:t>
      </w:r>
    </w:p>
    <w:p w14:paraId="2E9561DC">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开启时间：202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日1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:00（北京时间）</w:t>
      </w:r>
    </w:p>
    <w:p w14:paraId="71C59B70">
      <w:pPr>
        <w:pStyle w:val="31"/>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地点：新疆政府采购网http://www.ccgp-xinjiang.gov.cn/ </w:t>
      </w:r>
    </w:p>
    <w:p w14:paraId="3BEB7A41">
      <w:pPr>
        <w:pStyle w:val="5"/>
        <w:spacing w:before="0" w:after="0"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六、公告期限</w:t>
      </w:r>
    </w:p>
    <w:p w14:paraId="2F4AE195">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自本公告发布之日起3个工作日。</w:t>
      </w:r>
    </w:p>
    <w:p w14:paraId="3E9E2299">
      <w:pPr>
        <w:pStyle w:val="5"/>
        <w:spacing w:before="0" w:after="0" w:line="360" w:lineRule="auto"/>
        <w:jc w:val="left"/>
        <w:rPr>
          <w:rFonts w:hint="eastAsia" w:ascii="仿宋" w:hAnsi="仿宋" w:eastAsia="仿宋" w:cs="仿宋"/>
          <w:b w:val="0"/>
          <w:bCs w:val="0"/>
          <w:color w:val="auto"/>
          <w:sz w:val="24"/>
          <w:szCs w:val="24"/>
          <w:highlight w:val="none"/>
        </w:rPr>
      </w:pPr>
      <w:bookmarkStart w:id="3" w:name="_Toc134550675"/>
      <w:r>
        <w:rPr>
          <w:rFonts w:hint="eastAsia" w:ascii="仿宋" w:hAnsi="仿宋" w:eastAsia="仿宋" w:cs="仿宋"/>
          <w:b w:val="0"/>
          <w:bCs w:val="0"/>
          <w:color w:val="auto"/>
          <w:sz w:val="24"/>
          <w:szCs w:val="24"/>
          <w:highlight w:val="none"/>
        </w:rPr>
        <w:t>七、其他补充事宜</w:t>
      </w:r>
      <w:bookmarkEnd w:id="3"/>
      <w:r>
        <w:rPr>
          <w:rFonts w:hint="eastAsia" w:ascii="仿宋" w:hAnsi="仿宋" w:eastAsia="仿宋" w:cs="仿宋"/>
          <w:b w:val="0"/>
          <w:bCs w:val="0"/>
          <w:color w:val="auto"/>
          <w:sz w:val="24"/>
          <w:szCs w:val="24"/>
          <w:highlight w:val="none"/>
        </w:rPr>
        <w:t>  </w:t>
      </w:r>
    </w:p>
    <w:p w14:paraId="15E60BC3">
      <w:pPr>
        <w:spacing w:line="360" w:lineRule="auto"/>
        <w:ind w:firstLine="480" w:firstLineChars="200"/>
        <w:jc w:val="left"/>
        <w:rPr>
          <w:rFonts w:hint="eastAsia" w:ascii="仿宋" w:hAnsi="仿宋" w:eastAsia="仿宋" w:cs="仿宋"/>
          <w:bCs/>
          <w:color w:val="auto"/>
          <w:sz w:val="24"/>
          <w:szCs w:val="24"/>
          <w:highlight w:val="none"/>
        </w:rPr>
      </w:pPr>
      <w:bookmarkStart w:id="4" w:name="_Toc134550676"/>
      <w:r>
        <w:rPr>
          <w:rFonts w:hint="eastAsia" w:ascii="仿宋" w:hAnsi="仿宋" w:eastAsia="仿宋" w:cs="仿宋"/>
          <w:color w:val="auto"/>
          <w:sz w:val="24"/>
          <w:szCs w:val="24"/>
          <w:highlight w:val="none"/>
        </w:rPr>
        <w:t>1、本项目实行网</w:t>
      </w:r>
      <w:r>
        <w:rPr>
          <w:rFonts w:hint="eastAsia" w:ascii="仿宋" w:hAnsi="仿宋" w:eastAsia="仿宋" w:cs="仿宋"/>
          <w:bCs/>
          <w:color w:val="auto"/>
          <w:sz w:val="24"/>
          <w:szCs w:val="24"/>
          <w:highlight w:val="none"/>
        </w:rPr>
        <w:t>上</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，采用电子</w:t>
      </w:r>
      <w:r>
        <w:rPr>
          <w:rFonts w:hint="eastAsia" w:ascii="仿宋" w:hAnsi="仿宋" w:eastAsia="仿宋" w:cs="仿宋"/>
          <w:bCs/>
          <w:color w:val="auto"/>
          <w:sz w:val="24"/>
          <w:szCs w:val="24"/>
          <w:highlight w:val="none"/>
          <w:lang w:eastAsia="zh-CN"/>
        </w:rPr>
        <w:t>响应文件</w:t>
      </w:r>
      <w:r>
        <w:rPr>
          <w:rFonts w:hint="eastAsia" w:ascii="仿宋" w:hAnsi="仿宋" w:eastAsia="仿宋" w:cs="仿宋"/>
          <w:bCs/>
          <w:color w:val="auto"/>
          <w:sz w:val="24"/>
          <w:szCs w:val="24"/>
          <w:highlight w:val="none"/>
        </w:rPr>
        <w:t>。</w:t>
      </w:r>
    </w:p>
    <w:p w14:paraId="5EEFA6C9">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2、各供应商应在开标前确保成为正式注册入库供应商，并完成CA数字证书(符合国密标准)申领。因未注册入库、未办理CA数字证书等原因造成无法</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或</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失败等后果由供应商自行承担。如需咨询，请联系新疆CA服务热线4000921999；翔晟CA服务热线025-66085508。</w:t>
      </w:r>
    </w:p>
    <w:p w14:paraId="7007A178">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3、供应商将政采云电子交易客户端下载、安装完成后，可通过账号密码或CA登录客户端进行</w:t>
      </w:r>
      <w:r>
        <w:rPr>
          <w:rFonts w:hint="eastAsia" w:ascii="仿宋" w:hAnsi="仿宋" w:eastAsia="仿宋" w:cs="仿宋"/>
          <w:bCs/>
          <w:color w:val="auto"/>
          <w:sz w:val="24"/>
          <w:szCs w:val="24"/>
          <w:highlight w:val="none"/>
          <w:lang w:eastAsia="zh-CN"/>
        </w:rPr>
        <w:t>响应文件</w:t>
      </w:r>
      <w:r>
        <w:rPr>
          <w:rFonts w:hint="eastAsia" w:ascii="仿宋" w:hAnsi="仿宋" w:eastAsia="仿宋" w:cs="仿宋"/>
          <w:bCs/>
          <w:color w:val="auto"/>
          <w:sz w:val="24"/>
          <w:szCs w:val="24"/>
          <w:highlight w:val="none"/>
        </w:rPr>
        <w:t>的制作。在使用政采云投标客户端时，建议使用WIN7及以上操作系统。</w:t>
      </w:r>
    </w:p>
    <w:p w14:paraId="4C4491FD">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4、其他事项：（1）本项目采用全流程不见面电子开评标，供应商需要使用CA加密设备，供应商可通过新疆数字证书认证中心官网（https://www.xjca.com.cn/）或下载“新疆政务通”APP自行进行申领。</w:t>
      </w:r>
    </w:p>
    <w:p w14:paraId="243C8082">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（2）本项目实行网上投标，采用加密电子投标响应文件(供应商须使用CA加密设备通过政采云电子投标客户端制作投标响应文件)。若供应商参与投标，自行承担</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一切费用。</w:t>
      </w:r>
    </w:p>
    <w:p w14:paraId="16EE6E83">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（3）各</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在开标前应确保成为新疆政府采购网正式注册入库供应商，并完成CA数字证书申领。因未注册入库、未办理CA数字证书等原因造成无法</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或</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失败等后果由供应商自行承担。</w:t>
      </w:r>
    </w:p>
    <w:p w14:paraId="0E5E8C83">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400-881-7190进行咨询。</w:t>
      </w:r>
    </w:p>
    <w:p w14:paraId="45A4C16E">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p>
    <w:p w14:paraId="48C5FEFE">
      <w:pPr>
        <w:spacing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（6）</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供应商服务1号群：30349928（如已加入1-11群，无需重复加入，十一个群联动直播），钉钉工具软件具有回放功能，直播培训结束后可在钉钉群中回放观看学习。</w:t>
      </w:r>
    </w:p>
    <w:p w14:paraId="7D1F2371">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中小企业划分标准依据《批发和零售业和信息化部、国家统计局、国家发展和改革委员会、财政部关于印发中小企业划型标准规定的通知》（工信部联企业〔2011〕300号规定。本项目采购标的对应的中小企业划分标准所属行业为工业-制造业。</w:t>
      </w:r>
    </w:p>
    <w:p w14:paraId="341E1232">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八、凡对本次招标提出询问，请按以下方式联系</w:t>
      </w:r>
      <w:bookmarkEnd w:id="4"/>
    </w:p>
    <w:p w14:paraId="353620C6">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1.采购人信息</w:t>
      </w:r>
    </w:p>
    <w:p w14:paraId="326E4F46">
      <w:pPr>
        <w:spacing w:line="360" w:lineRule="auto"/>
        <w:ind w:firstLine="480" w:firstLineChars="200"/>
        <w:jc w:val="left"/>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名称：</w:t>
      </w:r>
      <w:r>
        <w:rPr>
          <w:rFonts w:hint="eastAsia" w:ascii="仿宋" w:hAnsi="仿宋" w:eastAsia="仿宋" w:cs="仿宋"/>
          <w:bCs/>
          <w:color w:val="auto"/>
          <w:sz w:val="24"/>
          <w:szCs w:val="24"/>
          <w:highlight w:val="none"/>
          <w:lang w:val="en-US" w:eastAsia="zh-CN"/>
        </w:rPr>
        <w:t>新疆维吾尔自治区民政康复中心</w:t>
      </w:r>
    </w:p>
    <w:p w14:paraId="53130C82">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地址：乌鲁木齐市沙依巴克区仓房沟北路69号</w:t>
      </w:r>
    </w:p>
    <w:p w14:paraId="2F52B7C4">
      <w:pPr>
        <w:spacing w:line="360" w:lineRule="auto"/>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联系方式：</w:t>
      </w:r>
      <w:r>
        <w:rPr>
          <w:rFonts w:hint="eastAsia" w:ascii="仿宋" w:hAnsi="仿宋" w:eastAsia="仿宋" w:cs="仿宋"/>
          <w:bCs/>
          <w:color w:val="auto"/>
          <w:sz w:val="24"/>
          <w:szCs w:val="24"/>
          <w:highlight w:val="none"/>
          <w:lang w:val="en-US" w:eastAsia="zh-CN"/>
        </w:rPr>
        <w:t>0991-5830587</w:t>
      </w:r>
    </w:p>
    <w:p w14:paraId="1CE82C68">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2.采购代理机构信息</w:t>
      </w:r>
    </w:p>
    <w:p w14:paraId="21C1CBA8">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名称：新疆恒达壹品项目管理咨询有限公司</w:t>
      </w:r>
    </w:p>
    <w:p w14:paraId="3029B85A">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地址：新疆乌鲁木齐市水磨沟区红光山路888号绿城广场商业综合楼1B座2204</w:t>
      </w:r>
    </w:p>
    <w:p w14:paraId="63C8E0B0">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3.项目联系方式</w:t>
      </w:r>
    </w:p>
    <w:p w14:paraId="53835989">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项目联系人：杨勇</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陈涛、赵天</w:t>
      </w:r>
    </w:p>
    <w:p w14:paraId="578430D1">
      <w:pP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电话：0991—4825717、13325632966</w:t>
      </w:r>
    </w:p>
    <w:p w14:paraId="77E40E6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bookmarkStart w:id="5" w:name="_Toc134550677"/>
      <w:r>
        <w:rPr>
          <w:rFonts w:hint="eastAsia" w:ascii="仿宋" w:hAnsi="仿宋" w:eastAsia="仿宋" w:cs="仿宋"/>
          <w:b/>
          <w:color w:val="auto"/>
          <w:sz w:val="36"/>
          <w:szCs w:val="36"/>
          <w:highlight w:val="none"/>
        </w:rPr>
        <w:t>第二部分供应商须知</w:t>
      </w:r>
      <w:bookmarkEnd w:id="5"/>
    </w:p>
    <w:p w14:paraId="3629722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供应商须知前附表</w:t>
      </w:r>
    </w:p>
    <w:tbl>
      <w:tblPr>
        <w:tblStyle w:val="33"/>
        <w:tblW w:w="10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9276"/>
      </w:tblGrid>
      <w:tr w14:paraId="115ED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dxa"/>
            <w:tcBorders>
              <w:top w:val="single" w:color="auto" w:sz="4" w:space="0"/>
              <w:bottom w:val="single" w:color="auto" w:sz="4" w:space="0"/>
              <w:right w:val="single" w:color="auto" w:sz="4" w:space="0"/>
            </w:tcBorders>
            <w:noWrap w:val="0"/>
            <w:vAlign w:val="center"/>
          </w:tcPr>
          <w:p w14:paraId="63D4F2A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276" w:type="dxa"/>
            <w:tcBorders>
              <w:top w:val="single" w:color="auto" w:sz="4" w:space="0"/>
              <w:left w:val="single" w:color="auto" w:sz="4" w:space="0"/>
              <w:bottom w:val="single" w:color="auto" w:sz="4" w:space="0"/>
            </w:tcBorders>
            <w:noWrap w:val="0"/>
            <w:vAlign w:val="center"/>
          </w:tcPr>
          <w:p w14:paraId="16B2AFD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r>
      <w:tr w14:paraId="2065D3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040" w:type="dxa"/>
            <w:gridSpan w:val="2"/>
            <w:tcBorders>
              <w:top w:val="single" w:color="auto" w:sz="4" w:space="0"/>
              <w:bottom w:val="single" w:color="auto" w:sz="4" w:space="0"/>
            </w:tcBorders>
            <w:noWrap w:val="0"/>
            <w:vAlign w:val="center"/>
          </w:tcPr>
          <w:p w14:paraId="145FB47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3860E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64" w:type="dxa"/>
            <w:tcBorders>
              <w:top w:val="single" w:color="auto" w:sz="4" w:space="0"/>
              <w:bottom w:val="single" w:color="auto" w:sz="4" w:space="0"/>
              <w:right w:val="single" w:color="auto" w:sz="4" w:space="0"/>
            </w:tcBorders>
            <w:noWrap w:val="0"/>
            <w:vAlign w:val="center"/>
          </w:tcPr>
          <w:p w14:paraId="08914E6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276" w:type="dxa"/>
            <w:tcBorders>
              <w:top w:val="single" w:color="auto" w:sz="4" w:space="0"/>
              <w:left w:val="single" w:color="auto" w:sz="4" w:space="0"/>
              <w:bottom w:val="single" w:color="auto" w:sz="4" w:space="0"/>
            </w:tcBorders>
            <w:noWrap w:val="0"/>
            <w:vAlign w:val="center"/>
          </w:tcPr>
          <w:p w14:paraId="4B8EF51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新疆维吾尔自治区民政康复中心医疗条件改造提升项目（其他医疗设备）</w:t>
            </w:r>
          </w:p>
          <w:p w14:paraId="7029F2CF">
            <w:pP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rPr>
              <w:t>项目编号：</w:t>
            </w:r>
            <w:r>
              <w:rPr>
                <w:rFonts w:hint="eastAsia" w:ascii="宋体" w:hAnsi="宋体" w:cs="宋体"/>
                <w:sz w:val="24"/>
                <w:szCs w:val="24"/>
                <w:lang w:eastAsia="zh-CN"/>
              </w:rPr>
              <w:t>2025HDYPXJ-012</w:t>
            </w:r>
          </w:p>
          <w:p w14:paraId="0B0041FC">
            <w:pPr>
              <w:pStyle w:val="10"/>
              <w:ind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rPr>
              <w:t>采购预算：</w:t>
            </w:r>
            <w:r>
              <w:rPr>
                <w:rFonts w:hint="eastAsia" w:ascii="仿宋" w:hAnsi="仿宋" w:eastAsia="仿宋" w:cs="仿宋"/>
                <w:color w:val="auto"/>
                <w:sz w:val="24"/>
                <w:highlight w:val="none"/>
                <w:lang w:val="en-US" w:eastAsia="zh-CN"/>
              </w:rPr>
              <w:t>457000</w:t>
            </w:r>
            <w:r>
              <w:rPr>
                <w:rFonts w:hint="eastAsia" w:ascii="仿宋" w:hAnsi="仿宋" w:eastAsia="仿宋" w:cs="仿宋"/>
                <w:color w:val="auto"/>
                <w:sz w:val="24"/>
                <w:highlight w:val="none"/>
                <w:lang w:eastAsia="zh-CN"/>
              </w:rPr>
              <w:t>.00元</w:t>
            </w:r>
          </w:p>
          <w:p w14:paraId="621A964D">
            <w:pPr>
              <w:pStyle w:val="10"/>
              <w:ind w:firstLine="0" w:firstLineChars="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最高限价：</w:t>
            </w:r>
            <w:r>
              <w:rPr>
                <w:rFonts w:hint="eastAsia" w:ascii="仿宋" w:hAnsi="仿宋" w:eastAsia="仿宋" w:cs="仿宋"/>
                <w:color w:val="auto"/>
                <w:sz w:val="24"/>
                <w:highlight w:val="none"/>
                <w:lang w:val="en-US" w:eastAsia="zh-CN"/>
              </w:rPr>
              <w:t>457000</w:t>
            </w:r>
            <w:r>
              <w:rPr>
                <w:rFonts w:hint="eastAsia" w:ascii="仿宋" w:hAnsi="仿宋" w:eastAsia="仿宋" w:cs="仿宋"/>
                <w:color w:val="auto"/>
                <w:sz w:val="24"/>
                <w:highlight w:val="none"/>
                <w:lang w:eastAsia="zh-CN"/>
              </w:rPr>
              <w:t>.00元（超出最高限价的</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lang w:eastAsia="zh-CN"/>
              </w:rPr>
              <w:t>报价或超出单价最高限价报价其响应文件将按照无效</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lang w:eastAsia="zh-CN"/>
              </w:rPr>
              <w:t>处理）</w:t>
            </w:r>
          </w:p>
          <w:p w14:paraId="5C8F8AEF">
            <w:pPr>
              <w:pStyle w:val="10"/>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询价</w:t>
            </w:r>
            <w:r>
              <w:rPr>
                <w:rFonts w:hint="eastAsia" w:ascii="仿宋" w:hAnsi="仿宋" w:eastAsia="仿宋" w:cs="仿宋"/>
                <w:color w:val="auto"/>
                <w:sz w:val="24"/>
                <w:highlight w:val="none"/>
              </w:rPr>
              <w:t>范围：</w:t>
            </w:r>
            <w:r>
              <w:rPr>
                <w:rFonts w:hint="eastAsia" w:ascii="仿宋" w:hAnsi="仿宋" w:eastAsia="仿宋" w:cs="仿宋"/>
                <w:color w:val="auto"/>
                <w:sz w:val="24"/>
                <w:highlight w:val="none"/>
                <w:lang w:eastAsia="zh-CN"/>
              </w:rPr>
              <w:t>新疆维吾尔自治区民政康复中心医疗条件改造提升项目（其他医疗设备）</w:t>
            </w:r>
            <w:r>
              <w:rPr>
                <w:rFonts w:hint="eastAsia" w:ascii="仿宋" w:hAnsi="仿宋" w:eastAsia="仿宋" w:cs="仿宋"/>
                <w:color w:val="auto"/>
                <w:sz w:val="24"/>
                <w:highlight w:val="none"/>
              </w:rPr>
              <w:t>中所包含得全部工作内容。</w:t>
            </w:r>
          </w:p>
          <w:p w14:paraId="04846B41">
            <w:pPr>
              <w:pStyle w:val="10"/>
              <w:ind w:firstLine="0" w:firstLineChars="0"/>
              <w:rPr>
                <w:rFonts w:hint="eastAsia" w:eastAsia="仿宋"/>
                <w:color w:val="auto"/>
                <w:highlight w:val="none"/>
                <w:lang w:eastAsia="zh-CN"/>
              </w:rPr>
            </w:pPr>
            <w:r>
              <w:rPr>
                <w:rFonts w:hint="eastAsia" w:ascii="仿宋" w:hAnsi="仿宋" w:eastAsia="仿宋" w:cs="仿宋"/>
                <w:color w:val="auto"/>
                <w:sz w:val="24"/>
                <w:highlight w:val="none"/>
                <w:lang w:val="en-US" w:eastAsia="zh-CN"/>
              </w:rPr>
              <w:t>采购内容：医疗器械一批（参数详见询价文件第三部分）</w:t>
            </w:r>
            <w:r>
              <w:rPr>
                <w:rFonts w:hint="eastAsia" w:ascii="仿宋" w:hAnsi="仿宋" w:eastAsia="仿宋" w:cs="仿宋"/>
                <w:color w:val="auto"/>
                <w:kern w:val="0"/>
                <w:sz w:val="24"/>
                <w:szCs w:val="24"/>
                <w:highlight w:val="none"/>
              </w:rPr>
              <w:t>，具体要求详见</w:t>
            </w:r>
            <w:r>
              <w:rPr>
                <w:rFonts w:hint="eastAsia" w:ascii="仿宋" w:hAnsi="仿宋" w:eastAsia="仿宋" w:cs="仿宋"/>
                <w:color w:val="auto"/>
                <w:kern w:val="0"/>
                <w:sz w:val="24"/>
                <w:szCs w:val="24"/>
                <w:highlight w:val="none"/>
                <w:lang w:eastAsia="zh-CN"/>
              </w:rPr>
              <w:t>询价文件“</w:t>
            </w:r>
            <w:r>
              <w:rPr>
                <w:rFonts w:hint="eastAsia" w:ascii="仿宋" w:hAnsi="仿宋" w:eastAsia="仿宋" w:cs="仿宋"/>
                <w:color w:val="auto"/>
                <w:kern w:val="0"/>
                <w:sz w:val="24"/>
                <w:szCs w:val="24"/>
                <w:highlight w:val="none"/>
              </w:rPr>
              <w:t>第三部分货物需求及技术要求</w:t>
            </w:r>
            <w:r>
              <w:rPr>
                <w:rFonts w:hint="eastAsia" w:ascii="仿宋" w:hAnsi="仿宋" w:eastAsia="仿宋" w:cs="仿宋"/>
                <w:color w:val="auto"/>
                <w:kern w:val="0"/>
                <w:sz w:val="24"/>
                <w:szCs w:val="24"/>
                <w:highlight w:val="none"/>
                <w:lang w:eastAsia="zh-CN"/>
              </w:rPr>
              <w:t>”</w:t>
            </w:r>
          </w:p>
        </w:tc>
      </w:tr>
      <w:tr w14:paraId="59D9A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764" w:type="dxa"/>
            <w:tcBorders>
              <w:top w:val="single" w:color="auto" w:sz="4" w:space="0"/>
              <w:bottom w:val="single" w:color="auto" w:sz="4" w:space="0"/>
              <w:right w:val="single" w:color="auto" w:sz="4" w:space="0"/>
            </w:tcBorders>
            <w:noWrap w:val="0"/>
            <w:vAlign w:val="center"/>
          </w:tcPr>
          <w:p w14:paraId="061F964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276" w:type="dxa"/>
            <w:tcBorders>
              <w:top w:val="single" w:color="auto" w:sz="4" w:space="0"/>
              <w:left w:val="single" w:color="auto" w:sz="4" w:space="0"/>
              <w:bottom w:val="single" w:color="auto" w:sz="4" w:space="0"/>
            </w:tcBorders>
            <w:noWrap w:val="0"/>
            <w:vAlign w:val="center"/>
          </w:tcPr>
          <w:p w14:paraId="15DE6A1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采购人名称：</w:t>
            </w:r>
            <w:r>
              <w:rPr>
                <w:rFonts w:hint="eastAsia" w:ascii="仿宋" w:hAnsi="仿宋" w:eastAsia="仿宋" w:cs="仿宋"/>
                <w:bCs/>
                <w:color w:val="auto"/>
                <w:sz w:val="24"/>
                <w:szCs w:val="24"/>
                <w:highlight w:val="none"/>
                <w:lang w:val="en-US" w:eastAsia="zh-CN"/>
              </w:rPr>
              <w:t>新疆维吾尔自治区民政康复中心</w:t>
            </w:r>
          </w:p>
          <w:p w14:paraId="0CC211D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r>
              <w:rPr>
                <w:rFonts w:hint="eastAsia" w:ascii="仿宋" w:hAnsi="仿宋" w:eastAsia="仿宋" w:cs="仿宋"/>
                <w:bCs/>
                <w:color w:val="auto"/>
                <w:sz w:val="24"/>
                <w:szCs w:val="24"/>
                <w:highlight w:val="none"/>
                <w:lang w:val="en-US" w:eastAsia="zh-CN"/>
              </w:rPr>
              <w:t>0991-5830587</w:t>
            </w:r>
          </w:p>
        </w:tc>
      </w:tr>
      <w:tr w14:paraId="690F6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dxa"/>
            <w:tcBorders>
              <w:top w:val="single" w:color="auto" w:sz="4" w:space="0"/>
              <w:bottom w:val="single" w:color="auto" w:sz="4" w:space="0"/>
              <w:right w:val="single" w:color="auto" w:sz="4" w:space="0"/>
            </w:tcBorders>
            <w:noWrap w:val="0"/>
            <w:vAlign w:val="center"/>
          </w:tcPr>
          <w:p w14:paraId="4BDA206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276" w:type="dxa"/>
            <w:tcBorders>
              <w:top w:val="single" w:color="auto" w:sz="4" w:space="0"/>
              <w:left w:val="single" w:color="auto" w:sz="4" w:space="0"/>
              <w:bottom w:val="single" w:color="auto" w:sz="4" w:space="0"/>
            </w:tcBorders>
            <w:noWrap w:val="0"/>
            <w:vAlign w:val="center"/>
          </w:tcPr>
          <w:p w14:paraId="64147749">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招标代理机构名称：新疆恒达壹品项目管理咨询有限公司</w:t>
            </w:r>
          </w:p>
          <w:p w14:paraId="7889A701">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单位地址：新疆乌鲁木齐市水磨沟区红光山路888号绿城广场商业综合楼1B座2204</w:t>
            </w:r>
          </w:p>
          <w:p w14:paraId="3B766A25">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kern w:val="0"/>
                <w:sz w:val="24"/>
                <w:szCs w:val="24"/>
                <w:highlight w:val="none"/>
              </w:rPr>
              <w:t>0991—4825717、13325632966</w:t>
            </w:r>
          </w:p>
        </w:tc>
      </w:tr>
      <w:tr w14:paraId="23B06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dxa"/>
            <w:vMerge w:val="restart"/>
            <w:tcBorders>
              <w:top w:val="single" w:color="auto" w:sz="4" w:space="0"/>
              <w:right w:val="single" w:color="auto" w:sz="4" w:space="0"/>
            </w:tcBorders>
            <w:noWrap w:val="0"/>
            <w:vAlign w:val="center"/>
          </w:tcPr>
          <w:p w14:paraId="7D08790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276" w:type="dxa"/>
            <w:tcBorders>
              <w:top w:val="single" w:color="auto" w:sz="4" w:space="0"/>
              <w:left w:val="single" w:color="auto" w:sz="4" w:space="0"/>
              <w:bottom w:val="single" w:color="auto" w:sz="4" w:space="0"/>
            </w:tcBorders>
            <w:noWrap w:val="0"/>
            <w:vAlign w:val="center"/>
          </w:tcPr>
          <w:p w14:paraId="3893BF6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招标保证金金额：</w:t>
            </w:r>
            <w:r>
              <w:rPr>
                <w:rFonts w:hint="eastAsia" w:ascii="仿宋" w:hAnsi="仿宋" w:eastAsia="仿宋" w:cs="仿宋"/>
                <w:color w:val="auto"/>
                <w:sz w:val="24"/>
                <w:szCs w:val="24"/>
                <w:highlight w:val="none"/>
                <w:lang w:val="en-US" w:eastAsia="zh-CN"/>
              </w:rPr>
              <w:t>6000</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陆仟</w:t>
            </w:r>
            <w:r>
              <w:rPr>
                <w:rFonts w:hint="eastAsia" w:ascii="仿宋" w:hAnsi="仿宋" w:eastAsia="仿宋" w:cs="仿宋"/>
                <w:color w:val="auto"/>
                <w:sz w:val="24"/>
                <w:szCs w:val="24"/>
                <w:highlight w:val="none"/>
              </w:rPr>
              <w:t>元整）</w:t>
            </w:r>
          </w:p>
          <w:p w14:paraId="373CBB0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投标人应于2025年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日1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:00时（北京时间）前，将招标保证金缴纳至采购代理机构指定账户。招标保证金应采用人民币，采用电汇、网银、保函等非现金形式,由投标人的账户汇出(个体工商户除外)提交。</w:t>
            </w:r>
          </w:p>
          <w:p w14:paraId="78159E89">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代理机构名称：新疆恒达壹品项目管理咨询有限公司</w:t>
            </w:r>
          </w:p>
          <w:p w14:paraId="17C58113">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纳税人识别号：91650105MABM8REG4A</w:t>
            </w:r>
          </w:p>
          <w:p w14:paraId="401F21DA">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开户行：</w:t>
            </w:r>
            <w:r>
              <w:rPr>
                <w:rFonts w:hint="eastAsia" w:ascii="仿宋" w:hAnsi="仿宋" w:eastAsia="仿宋" w:cs="仿宋"/>
                <w:color w:val="auto"/>
                <w:sz w:val="24"/>
                <w:szCs w:val="24"/>
                <w:highlight w:val="none"/>
                <w:lang w:val="en-US" w:eastAsia="zh-CN"/>
              </w:rPr>
              <w:t>兴业银行乌鲁木齐高新区支行</w:t>
            </w:r>
          </w:p>
          <w:p w14:paraId="092B34D6">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账号：</w:t>
            </w:r>
            <w:r>
              <w:rPr>
                <w:rFonts w:hint="eastAsia" w:ascii="仿宋" w:hAnsi="仿宋" w:eastAsia="仿宋" w:cs="仿宋"/>
                <w:color w:val="auto"/>
                <w:sz w:val="24"/>
                <w:szCs w:val="24"/>
                <w:highlight w:val="none"/>
                <w:lang w:val="en-US" w:eastAsia="zh-CN"/>
              </w:rPr>
              <w:t>512040100100995788</w:t>
            </w:r>
          </w:p>
          <w:p w14:paraId="7DCA5A0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招标保证金的缴纳形式：招标保证金于2025年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日1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00时（北京时间，已到账时间为准）之前将招标保证金缴纳至采购代理机构指定账户。招标保证金以网银或电汇或保函等非现金方式，由投标人的账户汇出(个体工商户除外)提交。招标投标人提交招标保证金应充分考虑资金在途时间，招标保证金有效期：投标截止时间后90天。（注：“项目名称”为所投标段的项目名称）。</w:t>
            </w:r>
          </w:p>
          <w:p w14:paraId="3A672D5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若投标人未按照上述规定缴纳招标保证金,招标投标文件将被拒绝评审。</w:t>
            </w:r>
          </w:p>
        </w:tc>
      </w:tr>
      <w:tr w14:paraId="59B1D5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dxa"/>
            <w:vMerge w:val="continue"/>
            <w:tcBorders>
              <w:bottom w:val="single" w:color="auto" w:sz="4" w:space="0"/>
              <w:right w:val="single" w:color="auto" w:sz="4" w:space="0"/>
            </w:tcBorders>
            <w:noWrap w:val="0"/>
            <w:vAlign w:val="center"/>
          </w:tcPr>
          <w:p w14:paraId="0CCC2C71">
            <w:pPr>
              <w:jc w:val="center"/>
              <w:rPr>
                <w:rFonts w:hint="eastAsia" w:ascii="仿宋" w:hAnsi="仿宋" w:eastAsia="仿宋" w:cs="仿宋"/>
                <w:color w:val="auto"/>
                <w:sz w:val="24"/>
                <w:szCs w:val="24"/>
                <w:highlight w:val="none"/>
              </w:rPr>
            </w:pPr>
          </w:p>
        </w:tc>
        <w:tc>
          <w:tcPr>
            <w:tcW w:w="9276" w:type="dxa"/>
            <w:tcBorders>
              <w:top w:val="single" w:color="auto" w:sz="4" w:space="0"/>
              <w:left w:val="single" w:color="auto" w:sz="4" w:space="0"/>
              <w:bottom w:val="single" w:color="auto" w:sz="4" w:space="0"/>
            </w:tcBorders>
            <w:noWrap w:val="0"/>
            <w:vAlign w:val="center"/>
          </w:tcPr>
          <w:p w14:paraId="23615895">
            <w:pPr>
              <w:tabs>
                <w:tab w:val="left" w:pos="1098"/>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电子保函：</w:t>
            </w:r>
          </w:p>
          <w:p w14:paraId="52FCD85C">
            <w:pPr>
              <w:tabs>
                <w:tab w:val="left" w:pos="1098"/>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（1）本项目使用政采云电子保函形式缴纳保证金，在线完成保函的申请、审核、开票、出函等环节；</w:t>
            </w:r>
          </w:p>
          <w:p w14:paraId="224DE3CE">
            <w:pPr>
              <w:tabs>
                <w:tab w:val="left" w:pos="1098"/>
              </w:tabs>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如采用政采云电子保函形式，可按照以下形式进行在线申请，电子保函申请链接（https://jinrong.zcygov.cn/luban/finance/letter/xinjiang?pageModelFlag=650000&amp;utm=site.site-PC-42055.1718-block_comp_1709189989843012.6.3aeff4707a1911ef94e3dbefa561273c），如遇问题可拨打客服电话：95763；</w:t>
            </w:r>
          </w:p>
          <w:p w14:paraId="34E7567A">
            <w:pPr>
              <w:tabs>
                <w:tab w:val="left" w:pos="1098"/>
              </w:tabs>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（3）将保函制作到电子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即可。</w:t>
            </w:r>
          </w:p>
        </w:tc>
      </w:tr>
      <w:tr w14:paraId="26D68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dxa"/>
            <w:tcBorders>
              <w:top w:val="single" w:color="auto" w:sz="4" w:space="0"/>
              <w:bottom w:val="single" w:color="auto" w:sz="4" w:space="0"/>
              <w:right w:val="single" w:color="auto" w:sz="4" w:space="0"/>
            </w:tcBorders>
            <w:noWrap w:val="0"/>
            <w:vAlign w:val="center"/>
          </w:tcPr>
          <w:p w14:paraId="5AF4E0A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276" w:type="dxa"/>
            <w:tcBorders>
              <w:top w:val="single" w:color="auto" w:sz="4" w:space="0"/>
              <w:left w:val="single" w:color="auto" w:sz="4" w:space="0"/>
              <w:bottom w:val="single" w:color="auto" w:sz="4" w:space="0"/>
            </w:tcBorders>
            <w:noWrap w:val="0"/>
            <w:vAlign w:val="center"/>
          </w:tcPr>
          <w:p w14:paraId="71CC64C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语言：中文</w:t>
            </w:r>
          </w:p>
        </w:tc>
      </w:tr>
      <w:tr w14:paraId="31790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dxa"/>
            <w:tcBorders>
              <w:top w:val="single" w:color="auto" w:sz="4" w:space="0"/>
              <w:bottom w:val="single" w:color="auto" w:sz="4" w:space="0"/>
              <w:right w:val="single" w:color="auto" w:sz="4" w:space="0"/>
            </w:tcBorders>
            <w:noWrap w:val="0"/>
            <w:vAlign w:val="center"/>
          </w:tcPr>
          <w:p w14:paraId="5CA81F4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9276" w:type="dxa"/>
            <w:tcBorders>
              <w:top w:val="single" w:color="auto" w:sz="4" w:space="0"/>
              <w:left w:val="single" w:color="auto" w:sz="4" w:space="0"/>
              <w:bottom w:val="single" w:color="auto" w:sz="4" w:space="0"/>
            </w:tcBorders>
            <w:noWrap w:val="0"/>
            <w:vAlign w:val="center"/>
          </w:tcPr>
          <w:p w14:paraId="7432276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货币：人民币</w:t>
            </w:r>
          </w:p>
        </w:tc>
      </w:tr>
      <w:tr w14:paraId="15213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dxa"/>
            <w:tcBorders>
              <w:top w:val="single" w:color="auto" w:sz="4" w:space="0"/>
              <w:bottom w:val="single" w:color="auto" w:sz="4" w:space="0"/>
              <w:right w:val="single" w:color="auto" w:sz="4" w:space="0"/>
            </w:tcBorders>
            <w:noWrap w:val="0"/>
            <w:vAlign w:val="center"/>
          </w:tcPr>
          <w:p w14:paraId="2442885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9276" w:type="dxa"/>
            <w:tcBorders>
              <w:top w:val="single" w:color="auto" w:sz="4" w:space="0"/>
              <w:left w:val="single" w:color="auto" w:sz="4" w:space="0"/>
              <w:bottom w:val="single" w:color="auto" w:sz="4" w:space="0"/>
            </w:tcBorders>
            <w:noWrap w:val="0"/>
            <w:vAlign w:val="center"/>
          </w:tcPr>
          <w:p w14:paraId="333078C4">
            <w:pPr>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交货期/供货期：</w:t>
            </w:r>
            <w:r>
              <w:rPr>
                <w:rFonts w:hint="eastAsia" w:ascii="仿宋" w:hAnsi="仿宋" w:eastAsia="仿宋" w:cs="仿宋"/>
                <w:b w:val="0"/>
                <w:bCs w:val="0"/>
                <w:color w:val="auto"/>
                <w:sz w:val="24"/>
                <w:szCs w:val="24"/>
                <w:highlight w:val="none"/>
                <w:lang w:val="en-US" w:eastAsia="zh-CN"/>
              </w:rPr>
              <w:t>自合同签订起7天内完成送达至指定地点。</w:t>
            </w:r>
          </w:p>
          <w:p w14:paraId="08A755E2">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rPr>
              <w:t>质保期：</w:t>
            </w:r>
            <w:r>
              <w:rPr>
                <w:rFonts w:hint="eastAsia" w:ascii="仿宋" w:hAnsi="仿宋" w:eastAsia="仿宋" w:cs="仿宋"/>
                <w:b w:val="0"/>
                <w:bCs w:val="0"/>
                <w:color w:val="auto"/>
                <w:sz w:val="24"/>
                <w:szCs w:val="24"/>
                <w:highlight w:val="none"/>
                <w:lang w:val="en-US" w:eastAsia="zh-CN"/>
              </w:rPr>
              <w:t>（1）医疗设备安装调试验收(以甲方验收时间为准）合格后起(一次性耗材除外）无条件免费整机质保1年；</w:t>
            </w:r>
          </w:p>
          <w:p w14:paraId="5D47A7BC">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（2）健身器材产品质保期为2年；</w:t>
            </w:r>
          </w:p>
          <w:p w14:paraId="2769660F">
            <w:pPr>
              <w:rPr>
                <w:rFonts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（3）如产品出厂的质保期大于2年的以出厂的质保期为准。</w:t>
            </w:r>
          </w:p>
        </w:tc>
      </w:tr>
      <w:tr w14:paraId="39E39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dxa"/>
            <w:tcBorders>
              <w:top w:val="single" w:color="auto" w:sz="4" w:space="0"/>
              <w:bottom w:val="single" w:color="auto" w:sz="4" w:space="0"/>
              <w:right w:val="single" w:color="auto" w:sz="4" w:space="0"/>
            </w:tcBorders>
            <w:noWrap w:val="0"/>
            <w:vAlign w:val="center"/>
          </w:tcPr>
          <w:p w14:paraId="499FEBE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9276" w:type="dxa"/>
            <w:tcBorders>
              <w:top w:val="single" w:color="auto" w:sz="4" w:space="0"/>
              <w:left w:val="single" w:color="auto" w:sz="4" w:space="0"/>
              <w:bottom w:val="single" w:color="auto" w:sz="4" w:space="0"/>
            </w:tcBorders>
            <w:noWrap w:val="0"/>
            <w:vAlign w:val="center"/>
          </w:tcPr>
          <w:p w14:paraId="112316C7">
            <w:pPr>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供货地点：</w:t>
            </w:r>
            <w:r>
              <w:rPr>
                <w:rFonts w:hint="eastAsia" w:ascii="仿宋" w:hAnsi="仿宋" w:eastAsia="仿宋" w:cs="仿宋"/>
                <w:b w:val="0"/>
                <w:bCs/>
                <w:color w:val="auto"/>
                <w:sz w:val="24"/>
                <w:szCs w:val="24"/>
                <w:highlight w:val="none"/>
              </w:rPr>
              <w:t>新疆维吾尔自治区民政康复中心</w:t>
            </w:r>
            <w:r>
              <w:rPr>
                <w:rFonts w:hint="eastAsia" w:ascii="仿宋" w:hAnsi="仿宋" w:eastAsia="仿宋" w:cs="仿宋"/>
                <w:b w:val="0"/>
                <w:bCs/>
                <w:color w:val="auto"/>
                <w:sz w:val="24"/>
                <w:szCs w:val="24"/>
                <w:highlight w:val="none"/>
                <w:lang w:val="en-US" w:eastAsia="zh-CN"/>
              </w:rPr>
              <w:t>院内</w:t>
            </w:r>
          </w:p>
        </w:tc>
      </w:tr>
      <w:tr w14:paraId="71EEE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dxa"/>
            <w:vMerge w:val="restart"/>
            <w:tcBorders>
              <w:right w:val="single" w:color="auto" w:sz="4" w:space="0"/>
            </w:tcBorders>
            <w:noWrap w:val="0"/>
            <w:vAlign w:val="center"/>
          </w:tcPr>
          <w:p w14:paraId="74A7B41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9276" w:type="dxa"/>
            <w:tcBorders>
              <w:top w:val="single" w:color="auto" w:sz="4" w:space="0"/>
              <w:left w:val="single" w:color="auto" w:sz="4" w:space="0"/>
              <w:bottom w:val="single" w:color="auto" w:sz="4" w:space="0"/>
            </w:tcBorders>
            <w:noWrap w:val="0"/>
            <w:vAlign w:val="center"/>
          </w:tcPr>
          <w:p w14:paraId="4D36F553">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付款方式：</w:t>
            </w:r>
          </w:p>
          <w:p w14:paraId="5388EFF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第一次付款：合同签订后支付合同总价30%的预付款；</w:t>
            </w:r>
          </w:p>
          <w:p w14:paraId="2DC5969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第二次付款：货物运送至甲方指定地点后并根据甲方内部管理规定，按要求安装调试完毕，满足终验条件，乙方提交全部验收材料，通过甲方组织的验收合格后，依照财务流程支付合同总价70%。</w:t>
            </w:r>
          </w:p>
        </w:tc>
      </w:tr>
      <w:tr w14:paraId="0B0FB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dxa"/>
            <w:vMerge w:val="continue"/>
            <w:tcBorders>
              <w:bottom w:val="single" w:color="auto" w:sz="4" w:space="0"/>
              <w:right w:val="single" w:color="auto" w:sz="4" w:space="0"/>
            </w:tcBorders>
            <w:noWrap w:val="0"/>
            <w:vAlign w:val="center"/>
          </w:tcPr>
          <w:p w14:paraId="5DA0A180">
            <w:pPr>
              <w:jc w:val="center"/>
              <w:rPr>
                <w:rFonts w:hint="eastAsia" w:ascii="仿宋" w:hAnsi="仿宋" w:eastAsia="仿宋" w:cs="仿宋"/>
                <w:color w:val="auto"/>
                <w:sz w:val="24"/>
                <w:szCs w:val="24"/>
                <w:highlight w:val="none"/>
              </w:rPr>
            </w:pPr>
          </w:p>
        </w:tc>
        <w:tc>
          <w:tcPr>
            <w:tcW w:w="9276" w:type="dxa"/>
            <w:tcBorders>
              <w:top w:val="single" w:color="auto" w:sz="4" w:space="0"/>
              <w:left w:val="single" w:color="auto" w:sz="4" w:space="0"/>
              <w:bottom w:val="single" w:color="auto" w:sz="4" w:space="0"/>
            </w:tcBorders>
            <w:noWrap w:val="0"/>
            <w:vAlign w:val="center"/>
          </w:tcPr>
          <w:p w14:paraId="018145FA">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履约担保：</w:t>
            </w:r>
            <w:r>
              <w:rPr>
                <w:rFonts w:hint="eastAsia" w:ascii="仿宋_GB2312" w:eastAsia="仿宋_GB2312" w:cs="仿宋_GB2312"/>
                <w:color w:val="auto"/>
                <w:sz w:val="24"/>
                <w:szCs w:val="24"/>
                <w:highlight w:val="none"/>
                <w:lang w:bidi="ar"/>
              </w:rPr>
              <w:sym w:font="Wingdings" w:char="00A8"/>
            </w:r>
            <w:r>
              <w:rPr>
                <w:rFonts w:hint="eastAsia" w:ascii="仿宋" w:hAnsi="仿宋" w:eastAsia="仿宋" w:cs="仿宋"/>
                <w:b/>
                <w:bCs/>
                <w:color w:val="auto"/>
                <w:sz w:val="24"/>
                <w:szCs w:val="24"/>
                <w:highlight w:val="none"/>
              </w:rPr>
              <w:t>是</w:t>
            </w:r>
            <w:r>
              <w:rPr>
                <w:rFonts w:hint="eastAsia" w:ascii="仿宋_GB2312" w:eastAsia="仿宋_GB2312" w:cs="仿宋_GB2312"/>
                <w:color w:val="auto"/>
                <w:sz w:val="24"/>
                <w:szCs w:val="24"/>
                <w:highlight w:val="none"/>
                <w:lang w:bidi="ar"/>
              </w:rPr>
              <w:sym w:font="Wingdings" w:char="00FE"/>
            </w:r>
            <w:r>
              <w:rPr>
                <w:rFonts w:hint="eastAsia" w:ascii="仿宋" w:hAnsi="仿宋" w:eastAsia="仿宋" w:cs="仿宋"/>
                <w:b/>
                <w:bCs/>
                <w:color w:val="auto"/>
                <w:sz w:val="24"/>
                <w:szCs w:val="24"/>
                <w:highlight w:val="none"/>
              </w:rPr>
              <w:t>否</w:t>
            </w:r>
          </w:p>
          <w:p w14:paraId="0AA0F62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（1）中标或成交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应在合同签订前3个工作日内向采购人提交履约保证金；</w:t>
            </w:r>
          </w:p>
          <w:p w14:paraId="42534C5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）履约保证金数额：合同总价的10%；</w:t>
            </w:r>
          </w:p>
          <w:p w14:paraId="0F1822D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）履约保证金的形式：保函或电汇；</w:t>
            </w:r>
          </w:p>
          <w:p w14:paraId="15143497">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）保函的提供形式：原件彩色扫描件；</w:t>
            </w:r>
          </w:p>
          <w:p w14:paraId="0B9089CA">
            <w:pP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（5）履约保证金的有效期：</w:t>
            </w:r>
            <w:r>
              <w:rPr>
                <w:rFonts w:hint="eastAsia" w:ascii="仿宋" w:hAnsi="仿宋" w:eastAsia="仿宋" w:cs="仿宋"/>
                <w:color w:val="auto"/>
                <w:sz w:val="24"/>
                <w:szCs w:val="24"/>
                <w:highlight w:val="none"/>
                <w:lang w:val="en-US" w:eastAsia="zh-CN"/>
              </w:rPr>
              <w:t>自合同生效之日起至货物验收合格之日止。</w:t>
            </w:r>
          </w:p>
          <w:p w14:paraId="6D863DA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（6）履约保证金的退还：</w:t>
            </w:r>
            <w:r>
              <w:rPr>
                <w:rFonts w:hint="eastAsia" w:ascii="仿宋" w:hAnsi="仿宋" w:eastAsia="仿宋" w:cs="仿宋"/>
                <w:color w:val="auto"/>
                <w:sz w:val="24"/>
                <w:szCs w:val="24"/>
                <w:highlight w:val="none"/>
                <w:lang w:val="en-US" w:eastAsia="zh-CN"/>
              </w:rPr>
              <w:t>自货物验收合格之日起3个工作日内中标或成交供应商合同主要义务履行完毕（原则上不超过90天），采购人按合同约定及时退还。</w:t>
            </w:r>
          </w:p>
        </w:tc>
      </w:tr>
      <w:tr w14:paraId="1918C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0040" w:type="dxa"/>
            <w:gridSpan w:val="2"/>
            <w:tcBorders>
              <w:top w:val="single" w:color="auto" w:sz="4" w:space="0"/>
              <w:bottom w:val="single" w:color="auto" w:sz="4" w:space="0"/>
            </w:tcBorders>
            <w:noWrap w:val="0"/>
            <w:vAlign w:val="center"/>
          </w:tcPr>
          <w:p w14:paraId="2A8281C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的编制和递交</w:t>
            </w:r>
          </w:p>
        </w:tc>
      </w:tr>
      <w:tr w14:paraId="751C4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64" w:type="dxa"/>
            <w:tcBorders>
              <w:top w:val="single" w:color="auto" w:sz="4" w:space="0"/>
              <w:bottom w:val="single" w:color="auto" w:sz="4" w:space="0"/>
              <w:right w:val="single" w:color="auto" w:sz="4" w:space="0"/>
            </w:tcBorders>
            <w:noWrap w:val="0"/>
            <w:vAlign w:val="center"/>
          </w:tcPr>
          <w:p w14:paraId="54746950">
            <w:pPr>
              <w:tabs>
                <w:tab w:val="left" w:pos="252"/>
                <w:tab w:val="left" w:pos="671"/>
              </w:tabs>
              <w:jc w:val="center"/>
              <w:rPr>
                <w:rFonts w:hint="eastAsia" w:ascii="仿宋" w:hAnsi="仿宋" w:eastAsia="仿宋" w:cs="仿宋"/>
                <w:color w:val="auto"/>
                <w:spacing w:val="8"/>
                <w:sz w:val="24"/>
                <w:szCs w:val="24"/>
                <w:highlight w:val="none"/>
              </w:rPr>
            </w:pPr>
            <w:r>
              <w:rPr>
                <w:rFonts w:hint="eastAsia" w:ascii="仿宋" w:hAnsi="仿宋" w:eastAsia="仿宋" w:cs="仿宋"/>
                <w:color w:val="auto"/>
                <w:spacing w:val="8"/>
                <w:sz w:val="24"/>
                <w:szCs w:val="24"/>
                <w:highlight w:val="none"/>
              </w:rPr>
              <w:t>10</w:t>
            </w:r>
          </w:p>
        </w:tc>
        <w:tc>
          <w:tcPr>
            <w:tcW w:w="9276" w:type="dxa"/>
            <w:tcBorders>
              <w:top w:val="single" w:color="auto" w:sz="4" w:space="0"/>
              <w:left w:val="single" w:color="auto" w:sz="4" w:space="0"/>
              <w:bottom w:val="single" w:color="auto" w:sz="4" w:space="0"/>
            </w:tcBorders>
            <w:noWrap w:val="0"/>
            <w:vAlign w:val="center"/>
          </w:tcPr>
          <w:p w14:paraId="2B021262">
            <w:pPr>
              <w:tabs>
                <w:tab w:val="left" w:pos="252"/>
                <w:tab w:val="left" w:pos="671"/>
              </w:tabs>
              <w:rPr>
                <w:rFonts w:hint="eastAsia" w:ascii="仿宋" w:hAnsi="仿宋" w:eastAsia="仿宋" w:cs="仿宋"/>
                <w:b/>
                <w:color w:val="auto"/>
                <w:spacing w:val="8"/>
                <w:sz w:val="24"/>
                <w:szCs w:val="24"/>
                <w:highlight w:val="none"/>
              </w:rPr>
            </w:pPr>
            <w:r>
              <w:rPr>
                <w:rFonts w:hint="eastAsia" w:ascii="仿宋" w:hAnsi="仿宋" w:eastAsia="仿宋" w:cs="仿宋"/>
                <w:b/>
                <w:color w:val="auto"/>
                <w:spacing w:val="8"/>
                <w:sz w:val="24"/>
                <w:szCs w:val="24"/>
                <w:highlight w:val="none"/>
                <w:lang w:eastAsia="zh-CN"/>
              </w:rPr>
              <w:t>供应商</w:t>
            </w:r>
            <w:r>
              <w:rPr>
                <w:rFonts w:hint="eastAsia" w:ascii="仿宋" w:hAnsi="仿宋" w:eastAsia="仿宋" w:cs="仿宋"/>
                <w:b/>
                <w:color w:val="auto"/>
                <w:spacing w:val="8"/>
                <w:sz w:val="24"/>
                <w:szCs w:val="24"/>
                <w:highlight w:val="none"/>
              </w:rPr>
              <w:t>资格标准：</w:t>
            </w:r>
          </w:p>
          <w:p w14:paraId="634D2A1A">
            <w:pPr>
              <w:widowControl/>
              <w:jc w:val="left"/>
              <w:rPr>
                <w:rFonts w:hint="eastAsia" w:ascii="仿宋" w:hAnsi="仿宋" w:eastAsia="仿宋" w:cs="宋体"/>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宋体"/>
                <w:color w:val="auto"/>
                <w:kern w:val="0"/>
                <w:sz w:val="24"/>
                <w:szCs w:val="24"/>
                <w:highlight w:val="none"/>
              </w:rPr>
              <w:t>1）符合政府采购法第二十二条的规定；</w:t>
            </w:r>
            <w:r>
              <w:rPr>
                <w:rFonts w:hint="eastAsia" w:ascii="仿宋" w:hAnsi="仿宋" w:eastAsia="仿宋" w:cs="宋体"/>
                <w:color w:val="auto"/>
                <w:kern w:val="0"/>
                <w:sz w:val="24"/>
                <w:szCs w:val="24"/>
                <w:highlight w:val="none"/>
              </w:rPr>
              <w:cr/>
            </w:r>
            <w:r>
              <w:rPr>
                <w:rFonts w:hint="eastAsia" w:ascii="仿宋" w:hAnsi="仿宋" w:eastAsia="仿宋" w:cs="仿宋"/>
                <w:color w:val="auto"/>
                <w:sz w:val="24"/>
                <w:szCs w:val="24"/>
                <w:highlight w:val="none"/>
              </w:rPr>
              <w:t>（</w:t>
            </w:r>
            <w:r>
              <w:rPr>
                <w:rFonts w:hint="eastAsia" w:ascii="仿宋" w:hAnsi="仿宋" w:eastAsia="仿宋" w:cs="宋体"/>
                <w:color w:val="auto"/>
                <w:kern w:val="0"/>
                <w:sz w:val="24"/>
                <w:szCs w:val="24"/>
                <w:highlight w:val="none"/>
              </w:rPr>
              <w:t>2）具有独立承担民事责任的能力；</w:t>
            </w:r>
          </w:p>
          <w:p w14:paraId="2B991A78">
            <w:pPr>
              <w:widowControl/>
              <w:jc w:val="left"/>
              <w:rPr>
                <w:rFonts w:hint="eastAsia" w:ascii="仿宋" w:hAnsi="仿宋" w:eastAsia="仿宋" w:cs="宋体"/>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宋体"/>
                <w:color w:val="auto"/>
                <w:kern w:val="0"/>
                <w:sz w:val="24"/>
                <w:szCs w:val="24"/>
                <w:highlight w:val="none"/>
              </w:rPr>
              <w:t>3）有依法缴纳税收和社会保障资金的良好记录；</w:t>
            </w:r>
          </w:p>
          <w:p w14:paraId="220867BD">
            <w:pPr>
              <w:widowControl/>
              <w:jc w:val="left"/>
              <w:rPr>
                <w:rFonts w:hint="eastAsia" w:ascii="仿宋" w:hAnsi="仿宋" w:eastAsia="仿宋" w:cs="宋体"/>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宋体"/>
                <w:color w:val="auto"/>
                <w:kern w:val="0"/>
                <w:sz w:val="24"/>
                <w:szCs w:val="24"/>
                <w:highlight w:val="none"/>
                <w:lang w:val="en-US" w:eastAsia="zh-CN"/>
              </w:rPr>
              <w:t>4</w:t>
            </w:r>
            <w:r>
              <w:rPr>
                <w:rFonts w:hint="eastAsia" w:ascii="仿宋" w:hAnsi="仿宋" w:eastAsia="仿宋" w:cs="宋体"/>
                <w:color w:val="auto"/>
                <w:kern w:val="0"/>
                <w:sz w:val="24"/>
                <w:szCs w:val="24"/>
                <w:highlight w:val="none"/>
              </w:rPr>
              <w:t>）具有良好的商业信誉和健全的财务会计制度；</w:t>
            </w:r>
          </w:p>
          <w:p w14:paraId="06E58872">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宋体"/>
                <w:color w:val="auto"/>
                <w:kern w:val="0"/>
                <w:sz w:val="24"/>
                <w:szCs w:val="24"/>
                <w:highlight w:val="none"/>
                <w:lang w:val="en-US" w:eastAsia="zh-CN"/>
              </w:rPr>
              <w:t>5</w:t>
            </w:r>
            <w:r>
              <w:rPr>
                <w:rFonts w:hint="eastAsia" w:ascii="仿宋" w:hAnsi="仿宋" w:eastAsia="仿宋" w:cs="宋体"/>
                <w:color w:val="auto"/>
                <w:kern w:val="0"/>
                <w:sz w:val="24"/>
                <w:szCs w:val="24"/>
                <w:highlight w:val="none"/>
              </w:rPr>
              <w:t>）</w:t>
            </w:r>
            <w:r>
              <w:rPr>
                <w:rFonts w:ascii="仿宋" w:hAnsi="仿宋" w:eastAsia="仿宋" w:cs="宋体"/>
                <w:color w:val="auto"/>
                <w:kern w:val="0"/>
                <w:sz w:val="24"/>
                <w:szCs w:val="24"/>
                <w:highlight w:val="none"/>
              </w:rPr>
              <w:t>具有履行合同</w:t>
            </w:r>
            <w:r>
              <w:rPr>
                <w:rFonts w:ascii="仿宋" w:hAnsi="仿宋" w:eastAsia="仿宋" w:cs="仿宋"/>
                <w:color w:val="auto"/>
                <w:sz w:val="24"/>
                <w:szCs w:val="24"/>
                <w:highlight w:val="none"/>
              </w:rPr>
              <w:t>所必须的设备和专业技术能力</w:t>
            </w:r>
          </w:p>
          <w:p w14:paraId="74EAD87F">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参加采购活动前3年内，在经营活动中没有重大违法记录；</w:t>
            </w:r>
          </w:p>
          <w:p w14:paraId="21843503">
            <w:pPr>
              <w:rPr>
                <w:rFonts w:hint="eastAsia" w:ascii="仿宋" w:hAnsi="仿宋" w:eastAsia="仿宋" w:cs="宋体"/>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信用记录：</w:t>
            </w:r>
            <w:r>
              <w:rPr>
                <w:rFonts w:hint="eastAsia" w:ascii="仿宋" w:hAnsi="仿宋" w:eastAsia="仿宋" w:cs="仿宋"/>
                <w:color w:val="auto"/>
                <w:sz w:val="24"/>
                <w:szCs w:val="24"/>
                <w:highlight w:val="none"/>
                <w:lang w:eastAsia="zh-CN"/>
              </w:rPr>
              <w:t>供应商</w:t>
            </w:r>
            <w:r>
              <w:rPr>
                <w:rFonts w:ascii="仿宋" w:hAnsi="仿宋" w:eastAsia="仿宋" w:cs="仿宋"/>
                <w:color w:val="auto"/>
                <w:sz w:val="24"/>
                <w:szCs w:val="24"/>
                <w:highlight w:val="none"/>
              </w:rPr>
              <w:t>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如相</w:t>
            </w:r>
            <w:r>
              <w:rPr>
                <w:rFonts w:ascii="仿宋" w:hAnsi="仿宋" w:eastAsia="仿宋" w:cs="宋体"/>
                <w:color w:val="auto"/>
                <w:kern w:val="0"/>
                <w:sz w:val="24"/>
                <w:szCs w:val="24"/>
                <w:highlight w:val="none"/>
              </w:rPr>
              <w:t>关失信记录已失效，</w:t>
            </w:r>
            <w:r>
              <w:rPr>
                <w:rFonts w:hint="eastAsia" w:ascii="仿宋" w:hAnsi="仿宋" w:eastAsia="仿宋" w:cs="宋体"/>
                <w:color w:val="auto"/>
                <w:kern w:val="0"/>
                <w:sz w:val="24"/>
                <w:szCs w:val="24"/>
                <w:highlight w:val="none"/>
                <w:lang w:eastAsia="zh-CN"/>
              </w:rPr>
              <w:t>供应商</w:t>
            </w:r>
            <w:r>
              <w:rPr>
                <w:rFonts w:ascii="仿宋" w:hAnsi="仿宋" w:eastAsia="仿宋" w:cs="宋体"/>
                <w:color w:val="auto"/>
                <w:kern w:val="0"/>
                <w:sz w:val="24"/>
                <w:szCs w:val="24"/>
                <w:highlight w:val="none"/>
              </w:rPr>
              <w:t>需提供相关证明资料，如在上述网站查询结果均显示没有相关记录，视为没有上述不良信用记录；</w:t>
            </w:r>
          </w:p>
          <w:p w14:paraId="1DF1127B">
            <w:pPr>
              <w:widowControl/>
              <w:jc w:val="left"/>
              <w:rPr>
                <w:rFonts w:hint="eastAsia" w:ascii="仿宋" w:hAnsi="仿宋" w:eastAsia="仿宋" w:cs="宋体"/>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宋体"/>
                <w:color w:val="auto"/>
                <w:kern w:val="0"/>
                <w:sz w:val="24"/>
                <w:szCs w:val="24"/>
                <w:highlight w:val="none"/>
                <w:lang w:val="en-US" w:eastAsia="zh-CN"/>
              </w:rPr>
              <w:t>8</w:t>
            </w:r>
            <w:r>
              <w:rPr>
                <w:rFonts w:hint="eastAsia" w:ascii="仿宋" w:hAnsi="仿宋" w:eastAsia="仿宋" w:cs="宋体"/>
                <w:color w:val="auto"/>
                <w:kern w:val="0"/>
                <w:sz w:val="24"/>
                <w:szCs w:val="24"/>
                <w:highlight w:val="none"/>
              </w:rPr>
              <w:t>）单位负责人为同一人或者存在直接控股、管理关系的不同</w:t>
            </w:r>
            <w:r>
              <w:rPr>
                <w:rFonts w:hint="eastAsia" w:ascii="仿宋" w:hAnsi="仿宋" w:eastAsia="仿宋" w:cs="宋体"/>
                <w:color w:val="auto"/>
                <w:kern w:val="0"/>
                <w:sz w:val="24"/>
                <w:szCs w:val="24"/>
                <w:highlight w:val="none"/>
                <w:lang w:eastAsia="zh-CN"/>
              </w:rPr>
              <w:t>供应商</w:t>
            </w:r>
            <w:r>
              <w:rPr>
                <w:rFonts w:hint="eastAsia" w:ascii="仿宋" w:hAnsi="仿宋" w:eastAsia="仿宋" w:cs="宋体"/>
                <w:color w:val="auto"/>
                <w:kern w:val="0"/>
                <w:sz w:val="24"/>
                <w:szCs w:val="24"/>
                <w:highlight w:val="none"/>
              </w:rPr>
              <w:t>，不得参加同一合同项下的政府采购活动。与采购人存在利害关系可能影响招标公正性的法人、其他组织或者个人，不得参加</w:t>
            </w:r>
            <w:r>
              <w:rPr>
                <w:rFonts w:hint="eastAsia" w:ascii="仿宋" w:hAnsi="仿宋" w:eastAsia="仿宋" w:cs="宋体"/>
                <w:color w:val="auto"/>
                <w:kern w:val="0"/>
                <w:sz w:val="24"/>
                <w:szCs w:val="24"/>
                <w:highlight w:val="none"/>
                <w:lang w:eastAsia="zh-CN"/>
              </w:rPr>
              <w:t>响应</w:t>
            </w:r>
            <w:r>
              <w:rPr>
                <w:rFonts w:hint="eastAsia" w:ascii="仿宋" w:hAnsi="仿宋" w:eastAsia="仿宋" w:cs="宋体"/>
                <w:color w:val="auto"/>
                <w:kern w:val="0"/>
                <w:sz w:val="24"/>
                <w:szCs w:val="24"/>
                <w:highlight w:val="none"/>
              </w:rPr>
              <w:t>；</w:t>
            </w:r>
          </w:p>
          <w:p w14:paraId="2380E35C">
            <w:pPr>
              <w:widowControl/>
              <w:jc w:val="left"/>
              <w:rPr>
                <w:rFonts w:hint="eastAsia" w:ascii="仿宋" w:hAnsi="仿宋" w:eastAsia="仿宋" w:cs="宋体"/>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宋体"/>
                <w:color w:val="auto"/>
                <w:kern w:val="0"/>
                <w:sz w:val="24"/>
                <w:szCs w:val="24"/>
                <w:highlight w:val="none"/>
                <w:lang w:val="en-US" w:eastAsia="zh-CN"/>
              </w:rPr>
              <w:t>9</w:t>
            </w:r>
            <w:r>
              <w:rPr>
                <w:rFonts w:hint="eastAsia" w:ascii="仿宋" w:hAnsi="仿宋" w:eastAsia="仿宋" w:cs="宋体"/>
                <w:color w:val="auto"/>
                <w:kern w:val="0"/>
                <w:sz w:val="24"/>
                <w:szCs w:val="24"/>
                <w:highlight w:val="none"/>
              </w:rPr>
              <w:t>）本项目不接受联合体</w:t>
            </w:r>
            <w:r>
              <w:rPr>
                <w:rFonts w:hint="eastAsia" w:ascii="仿宋" w:hAnsi="仿宋" w:eastAsia="仿宋" w:cs="宋体"/>
                <w:color w:val="auto"/>
                <w:kern w:val="0"/>
                <w:sz w:val="24"/>
                <w:szCs w:val="24"/>
                <w:highlight w:val="none"/>
                <w:lang w:eastAsia="zh-CN"/>
              </w:rPr>
              <w:t>响应</w:t>
            </w:r>
            <w:r>
              <w:rPr>
                <w:rFonts w:hint="eastAsia" w:ascii="仿宋" w:hAnsi="仿宋" w:eastAsia="仿宋" w:cs="宋体"/>
                <w:color w:val="auto"/>
                <w:kern w:val="0"/>
                <w:sz w:val="24"/>
                <w:szCs w:val="24"/>
                <w:highlight w:val="none"/>
              </w:rPr>
              <w:t>。</w:t>
            </w:r>
          </w:p>
          <w:p w14:paraId="71D2C597">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宋体"/>
                <w:color w:val="auto"/>
                <w:kern w:val="0"/>
                <w:sz w:val="24"/>
                <w:szCs w:val="24"/>
                <w:highlight w:val="none"/>
              </w:rPr>
              <w:t>1</w:t>
            </w:r>
            <w:r>
              <w:rPr>
                <w:rFonts w:hint="eastAsia" w:ascii="仿宋" w:hAnsi="仿宋" w:eastAsia="仿宋" w:cs="宋体"/>
                <w:color w:val="auto"/>
                <w:kern w:val="0"/>
                <w:sz w:val="24"/>
                <w:szCs w:val="24"/>
                <w:highlight w:val="none"/>
                <w:lang w:val="en-US" w:eastAsia="zh-CN"/>
              </w:rPr>
              <w:t>0</w:t>
            </w:r>
            <w:r>
              <w:rPr>
                <w:rFonts w:hint="eastAsia" w:ascii="仿宋" w:hAnsi="仿宋" w:eastAsia="仿宋" w:cs="宋体"/>
                <w:color w:val="auto"/>
                <w:kern w:val="0"/>
                <w:sz w:val="24"/>
                <w:szCs w:val="24"/>
                <w:highlight w:val="none"/>
              </w:rPr>
              <w:t>）</w:t>
            </w:r>
            <w:r>
              <w:rPr>
                <w:rFonts w:hint="eastAsia" w:ascii="仿宋" w:hAnsi="仿宋" w:eastAsia="仿宋" w:cs="仿宋"/>
                <w:bCs/>
                <w:color w:val="auto"/>
                <w:sz w:val="24"/>
                <w:szCs w:val="24"/>
                <w:highlight w:val="none"/>
              </w:rPr>
              <w:t>本项目专门面向</w:t>
            </w:r>
            <w:r>
              <w:rPr>
                <w:rFonts w:hint="eastAsia" w:ascii="仿宋" w:hAnsi="仿宋" w:eastAsia="仿宋" w:cs="仿宋"/>
                <w:bCs/>
                <w:color w:val="auto"/>
                <w:sz w:val="24"/>
                <w:szCs w:val="24"/>
                <w:highlight w:val="none"/>
                <w:lang w:val="en-US" w:eastAsia="zh-CN"/>
              </w:rPr>
              <w:t>中小</w:t>
            </w:r>
            <w:r>
              <w:rPr>
                <w:rFonts w:hint="eastAsia" w:ascii="仿宋" w:hAnsi="仿宋" w:eastAsia="仿宋" w:cs="仿宋"/>
                <w:bCs/>
                <w:color w:val="auto"/>
                <w:sz w:val="24"/>
                <w:szCs w:val="24"/>
                <w:highlight w:val="none"/>
              </w:rPr>
              <w:t>企业采购项目（含中型、小型、微型企业）</w:t>
            </w:r>
            <w:r>
              <w:rPr>
                <w:rFonts w:hint="eastAsia" w:ascii="仿宋" w:hAnsi="仿宋" w:eastAsia="仿宋" w:cs="宋体"/>
                <w:color w:val="auto"/>
                <w:kern w:val="0"/>
                <w:sz w:val="24"/>
                <w:szCs w:val="24"/>
                <w:highlight w:val="none"/>
              </w:rPr>
              <w:t>。</w:t>
            </w:r>
          </w:p>
        </w:tc>
      </w:tr>
      <w:tr w14:paraId="72DF9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64" w:type="dxa"/>
            <w:tcBorders>
              <w:top w:val="single" w:color="auto" w:sz="4" w:space="0"/>
              <w:bottom w:val="single" w:color="auto" w:sz="4" w:space="0"/>
              <w:right w:val="single" w:color="auto" w:sz="4" w:space="0"/>
            </w:tcBorders>
            <w:noWrap w:val="0"/>
            <w:vAlign w:val="center"/>
          </w:tcPr>
          <w:p w14:paraId="3D354F2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9276" w:type="dxa"/>
            <w:tcBorders>
              <w:top w:val="single" w:color="auto" w:sz="4" w:space="0"/>
              <w:left w:val="single" w:color="auto" w:sz="4" w:space="0"/>
              <w:bottom w:val="single" w:color="auto" w:sz="4" w:space="0"/>
            </w:tcBorders>
            <w:noWrap w:val="0"/>
            <w:vAlign w:val="center"/>
          </w:tcPr>
          <w:p w14:paraId="2C2099DC">
            <w:pPr>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有效期：</w:t>
            </w:r>
            <w:r>
              <w:rPr>
                <w:rFonts w:hint="eastAsia" w:ascii="仿宋" w:hAnsi="仿宋" w:eastAsia="仿宋" w:cs="仿宋"/>
                <w:bCs/>
                <w:color w:val="auto"/>
                <w:sz w:val="24"/>
                <w:szCs w:val="24"/>
                <w:highlight w:val="none"/>
                <w:u w:val="single"/>
              </w:rPr>
              <w:t>90</w:t>
            </w:r>
            <w:r>
              <w:rPr>
                <w:rFonts w:hint="eastAsia" w:ascii="仿宋" w:hAnsi="仿宋" w:eastAsia="仿宋" w:cs="仿宋"/>
                <w:bCs/>
                <w:color w:val="auto"/>
                <w:sz w:val="24"/>
                <w:szCs w:val="24"/>
                <w:highlight w:val="none"/>
              </w:rPr>
              <w:t>天（如不满足将导致废标）</w:t>
            </w:r>
          </w:p>
        </w:tc>
      </w:tr>
      <w:tr w14:paraId="4876F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764" w:type="dxa"/>
            <w:tcBorders>
              <w:top w:val="single" w:color="auto" w:sz="4" w:space="0"/>
              <w:bottom w:val="single" w:color="auto" w:sz="4" w:space="0"/>
              <w:right w:val="single" w:color="auto" w:sz="4" w:space="0"/>
            </w:tcBorders>
            <w:noWrap w:val="0"/>
            <w:vAlign w:val="center"/>
          </w:tcPr>
          <w:p w14:paraId="77077CB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9276" w:type="dxa"/>
            <w:tcBorders>
              <w:top w:val="single" w:color="auto" w:sz="4" w:space="0"/>
              <w:left w:val="single" w:color="auto" w:sz="4" w:space="0"/>
              <w:bottom w:val="single" w:color="auto" w:sz="4" w:space="0"/>
            </w:tcBorders>
            <w:noWrap w:val="0"/>
            <w:vAlign w:val="center"/>
          </w:tcPr>
          <w:p w14:paraId="4C8505BB">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：电子</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（包含：资格证明文件、商务及技术文件两部分）</w:t>
            </w:r>
          </w:p>
        </w:tc>
      </w:tr>
      <w:tr w14:paraId="7F132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764" w:type="dxa"/>
            <w:tcBorders>
              <w:top w:val="single" w:color="auto" w:sz="4" w:space="0"/>
              <w:bottom w:val="single" w:color="auto" w:sz="4" w:space="0"/>
              <w:right w:val="single" w:color="auto" w:sz="4" w:space="0"/>
            </w:tcBorders>
            <w:noWrap w:val="0"/>
            <w:vAlign w:val="center"/>
          </w:tcPr>
          <w:p w14:paraId="619670B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9276" w:type="dxa"/>
            <w:tcBorders>
              <w:top w:val="single" w:color="auto" w:sz="4" w:space="0"/>
              <w:left w:val="single" w:color="auto" w:sz="4" w:space="0"/>
              <w:bottom w:val="single" w:color="auto" w:sz="4" w:space="0"/>
            </w:tcBorders>
            <w:noWrap w:val="0"/>
            <w:vAlign w:val="center"/>
          </w:tcPr>
          <w:p w14:paraId="78506E19">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lang w:val="en-US" w:eastAsia="zh-CN"/>
              </w:rPr>
              <w:t>加密</w:t>
            </w:r>
            <w:r>
              <w:rPr>
                <w:rFonts w:hint="eastAsia" w:ascii="仿宋" w:hAnsi="仿宋" w:eastAsia="仿宋" w:cs="仿宋"/>
                <w:color w:val="auto"/>
                <w:sz w:val="24"/>
                <w:szCs w:val="24"/>
                <w:highlight w:val="none"/>
              </w:rPr>
              <w:t>形式递交至：新疆政府采购网政采云平台（www.zcygov.cn）</w:t>
            </w:r>
          </w:p>
          <w:p w14:paraId="243F54C0">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递交截止时间：2025年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日1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：00（北京时间）</w:t>
            </w:r>
          </w:p>
        </w:tc>
      </w:tr>
      <w:tr w14:paraId="46544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764" w:type="dxa"/>
            <w:tcBorders>
              <w:top w:val="single" w:color="auto" w:sz="4" w:space="0"/>
              <w:bottom w:val="single" w:color="auto" w:sz="4" w:space="0"/>
              <w:right w:val="single" w:color="auto" w:sz="4" w:space="0"/>
            </w:tcBorders>
            <w:noWrap w:val="0"/>
            <w:vAlign w:val="center"/>
          </w:tcPr>
          <w:p w14:paraId="0A67D99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9276" w:type="dxa"/>
            <w:tcBorders>
              <w:top w:val="single" w:color="auto" w:sz="4" w:space="0"/>
              <w:left w:val="single" w:color="auto" w:sz="4" w:space="0"/>
              <w:bottom w:val="single" w:color="auto" w:sz="4" w:space="0"/>
            </w:tcBorders>
            <w:noWrap w:val="0"/>
            <w:vAlign w:val="center"/>
          </w:tcPr>
          <w:p w14:paraId="6934D37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答疑形式：以电子版的形式发送至新疆恒达壹品项目管理咨询有限公司邮箱，邮箱：</w:t>
            </w:r>
            <w:r>
              <w:rPr>
                <w:rFonts w:hint="eastAsia" w:ascii="仿宋" w:hAnsi="仿宋" w:eastAsia="仿宋" w:cs="仿宋"/>
                <w:color w:val="auto"/>
                <w:sz w:val="24"/>
                <w:szCs w:val="24"/>
                <w:highlight w:val="none"/>
                <w:lang w:val="en-US" w:eastAsia="zh-CN"/>
              </w:rPr>
              <w:t>232179291</w:t>
            </w:r>
            <w:r>
              <w:rPr>
                <w:rFonts w:hint="eastAsia" w:ascii="仿宋" w:hAnsi="仿宋" w:eastAsia="仿宋" w:cs="仿宋"/>
                <w:color w:val="auto"/>
                <w:sz w:val="24"/>
                <w:szCs w:val="24"/>
                <w:highlight w:val="none"/>
              </w:rPr>
              <w:t>@qq.com；</w:t>
            </w:r>
          </w:p>
        </w:tc>
      </w:tr>
      <w:tr w14:paraId="0A0D3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jc w:val="center"/>
        </w:trPr>
        <w:tc>
          <w:tcPr>
            <w:tcW w:w="764" w:type="dxa"/>
            <w:tcBorders>
              <w:top w:val="single" w:color="auto" w:sz="4" w:space="0"/>
              <w:bottom w:val="single" w:color="auto" w:sz="4" w:space="0"/>
              <w:right w:val="single" w:color="auto" w:sz="4" w:space="0"/>
            </w:tcBorders>
            <w:noWrap w:val="0"/>
            <w:vAlign w:val="center"/>
          </w:tcPr>
          <w:p w14:paraId="4D84A6E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9276" w:type="dxa"/>
            <w:tcBorders>
              <w:top w:val="single" w:color="auto" w:sz="4" w:space="0"/>
              <w:left w:val="single" w:color="auto" w:sz="4" w:space="0"/>
              <w:bottom w:val="single" w:color="auto" w:sz="4" w:space="0"/>
            </w:tcBorders>
            <w:noWrap w:val="0"/>
            <w:vAlign w:val="center"/>
          </w:tcPr>
          <w:p w14:paraId="1F989D1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rPr>
              <w:t>日期：2025年</w:t>
            </w:r>
            <w:r>
              <w:rPr>
                <w:rFonts w:hint="eastAsia" w:ascii="仿宋" w:hAnsi="仿宋" w:eastAsia="仿宋" w:cs="仿宋"/>
                <w:color w:val="auto"/>
                <w:sz w:val="24"/>
                <w:szCs w:val="24"/>
                <w:highlight w:val="none"/>
                <w:lang w:val="en-US" w:eastAsia="zh-CN"/>
              </w:rPr>
              <w:t>07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：00（北京时间）</w:t>
            </w:r>
          </w:p>
          <w:p w14:paraId="1622377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rPr>
              <w:t>地点：新疆政府采购网政采云平台（www.zcygov.cn）</w:t>
            </w:r>
          </w:p>
        </w:tc>
      </w:tr>
      <w:tr w14:paraId="408C7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4" w:type="dxa"/>
            <w:tcBorders>
              <w:top w:val="single" w:color="auto" w:sz="4" w:space="0"/>
              <w:bottom w:val="single" w:color="auto" w:sz="4" w:space="0"/>
              <w:right w:val="single" w:color="auto" w:sz="4" w:space="0"/>
            </w:tcBorders>
            <w:noWrap w:val="0"/>
            <w:vAlign w:val="center"/>
          </w:tcPr>
          <w:p w14:paraId="621D2D99">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p>
        </w:tc>
        <w:tc>
          <w:tcPr>
            <w:tcW w:w="9276" w:type="dxa"/>
            <w:tcBorders>
              <w:top w:val="single" w:color="auto" w:sz="4" w:space="0"/>
              <w:left w:val="single" w:color="auto" w:sz="4" w:space="0"/>
              <w:bottom w:val="single" w:color="auto" w:sz="4" w:space="0"/>
            </w:tcBorders>
            <w:noWrap w:val="0"/>
            <w:vAlign w:val="center"/>
          </w:tcPr>
          <w:p w14:paraId="2B3FC86E">
            <w:pPr>
              <w:widowControl/>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本项目专门面向</w:t>
            </w:r>
            <w:r>
              <w:rPr>
                <w:rFonts w:hint="eastAsia" w:ascii="仿宋" w:hAnsi="仿宋" w:eastAsia="仿宋" w:cs="仿宋"/>
                <w:bCs/>
                <w:color w:val="auto"/>
                <w:sz w:val="24"/>
                <w:szCs w:val="24"/>
                <w:highlight w:val="none"/>
                <w:lang w:val="en-US" w:eastAsia="zh-CN"/>
              </w:rPr>
              <w:t>中小</w:t>
            </w:r>
            <w:r>
              <w:rPr>
                <w:rFonts w:hint="eastAsia" w:ascii="仿宋" w:hAnsi="仿宋" w:eastAsia="仿宋" w:cs="仿宋"/>
                <w:bCs/>
                <w:color w:val="auto"/>
                <w:sz w:val="24"/>
                <w:szCs w:val="24"/>
                <w:highlight w:val="none"/>
              </w:rPr>
              <w:t>企业采购项目（含中型、小型、微型企业）</w:t>
            </w:r>
            <w:r>
              <w:rPr>
                <w:rFonts w:hint="eastAsia" w:ascii="仿宋" w:hAnsi="仿宋" w:eastAsia="仿宋" w:cs="仿宋"/>
                <w:color w:val="auto"/>
                <w:sz w:val="24"/>
                <w:szCs w:val="24"/>
                <w:highlight w:val="none"/>
              </w:rPr>
              <w:t>，根据《政府采购促进中小企业发展管理办法》（财库[2020]46号）的规定，评标时将不再执行价格评审优惠的扶持政策。</w:t>
            </w:r>
          </w:p>
          <w:p w14:paraId="7994F120">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小企业划分标准依据《批发和零售业和信息化部、国家统计局、国家发展和改革委员会、财政部关于印发中小企业划型标准规定的通知》（工信部联企业〔2011〕300号）规定。本项目采购标的对应的中小企业划分标准所属行业为</w:t>
            </w:r>
            <w:r>
              <w:rPr>
                <w:rFonts w:hint="eastAsia" w:ascii="仿宋" w:hAnsi="仿宋" w:eastAsia="仿宋" w:cs="宋体"/>
                <w:b/>
                <w:bCs/>
                <w:color w:val="auto"/>
                <w:sz w:val="24"/>
                <w:szCs w:val="24"/>
                <w:highlight w:val="none"/>
              </w:rPr>
              <w:t>工业-制造业</w:t>
            </w:r>
            <w:r>
              <w:rPr>
                <w:rFonts w:hint="eastAsia" w:ascii="仿宋" w:hAnsi="仿宋" w:eastAsia="仿宋" w:cs="仿宋"/>
                <w:color w:val="auto"/>
                <w:kern w:val="0"/>
                <w:sz w:val="24"/>
                <w:szCs w:val="24"/>
                <w:highlight w:val="none"/>
              </w:rPr>
              <w:t>。</w:t>
            </w:r>
          </w:p>
          <w:p w14:paraId="5438C5AC">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）在政府采购活动中，</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提供的货物、工程扶持政策：</w:t>
            </w:r>
          </w:p>
          <w:p w14:paraId="0B376D06">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（一）在货物采购项目中，货物由中小企业制造，即货物由中小企业生产且使用该中小企业商号或者注册商标；</w:t>
            </w:r>
          </w:p>
          <w:p w14:paraId="20901BEF">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（二）在工程采购项目中，工程由中小企业承建，即工程施工单位为中小企业；</w:t>
            </w:r>
          </w:p>
          <w:p w14:paraId="7823D70C">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（三）在服务采购项目中，服务由中小企业承接，即提供服务的人员为中小企业依照《中华人民共和国劳动合同法》订立劳动合同的从业人员。</w:t>
            </w:r>
          </w:p>
          <w:p w14:paraId="69133764">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在货物采购项目中，</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提供的货物既有中小企业制造货物，也有大型企业制造货物的，不享受本办法规定的中小企业扶持政策。</w:t>
            </w:r>
          </w:p>
          <w:p w14:paraId="7198F6C4">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以联合体形式参加政府采购活动，联合体各方均为中小企业的，联合体视同中小企业。其中，联合体各方均为小微企业的，联合体视同小微企业。</w:t>
            </w:r>
          </w:p>
          <w:p w14:paraId="5CD51952">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4.投标企业参加政府采购活动，应当如实填写《中小企业声明函》，否则不得享受相关中小企业扶持政策。</w:t>
            </w:r>
          </w:p>
        </w:tc>
      </w:tr>
      <w:tr w14:paraId="511AE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764" w:type="dxa"/>
            <w:tcBorders>
              <w:top w:val="single" w:color="auto" w:sz="4" w:space="0"/>
              <w:bottom w:val="single" w:color="auto" w:sz="4" w:space="0"/>
              <w:right w:val="single" w:color="auto" w:sz="4" w:space="0"/>
            </w:tcBorders>
            <w:noWrap w:val="0"/>
            <w:vAlign w:val="center"/>
          </w:tcPr>
          <w:p w14:paraId="4C901751">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w:t>
            </w:r>
          </w:p>
        </w:tc>
        <w:tc>
          <w:tcPr>
            <w:tcW w:w="9276" w:type="dxa"/>
            <w:tcBorders>
              <w:top w:val="single" w:color="auto" w:sz="4" w:space="0"/>
              <w:left w:val="single" w:color="auto" w:sz="4" w:space="0"/>
              <w:bottom w:val="single" w:color="auto" w:sz="4" w:space="0"/>
            </w:tcBorders>
            <w:noWrap w:val="0"/>
            <w:vAlign w:val="center"/>
          </w:tcPr>
          <w:p w14:paraId="3EB63E58">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1、代理服务费：</w:t>
            </w:r>
          </w:p>
          <w:p w14:paraId="219BE5D6">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（1）本项目招标代理服务费依据《招标代理服务收费管理暂行办法》计价格[2002]1980号文件（发改办价格[2003]857号文件）及财库[2018]2号文件计算的招标代理服务费由中标人向招标代理支付。</w:t>
            </w:r>
          </w:p>
          <w:p w14:paraId="52CD6800">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）中标人不再支付其他任何费用和款项。</w:t>
            </w:r>
          </w:p>
          <w:p w14:paraId="07C60157">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2、付款方式</w:t>
            </w:r>
          </w:p>
          <w:p w14:paraId="58D65416">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根据国家发改委《关于招标代理服务费有关问题的通知》（发改办[2003]857号文件）第二条，将计价格[2002]1980号第十条中“招标代理服务实行谁委托谁付费”，修改为“招标代理服务费就由采购人支付”，采购人、招标代理机构与</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另有约定的，根据财库[2018]2号文件从其约定的要求，经各方一致同意，招标代理服务费由中标人向招标代理支付，采购人不承担付款义务。</w:t>
            </w:r>
          </w:p>
          <w:p w14:paraId="18843CEE">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（2）中标人于中标公示发布后7个工作日内一次性向招标代理公司支付代理服务费。</w:t>
            </w:r>
          </w:p>
          <w:p w14:paraId="42484FAE">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3、责任认定</w:t>
            </w:r>
          </w:p>
          <w:p w14:paraId="7DA5E948">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中标人应如实向招标代理公司履行付款义务，中标人的付款金额以前款约定的协议金额为限；因中标人不能向招标代理公司按时付款所发生的一切法律纠纷均与采购人无关，如因此导致采购人承担责任或造成损失，采购人有权向其全额追偿。</w:t>
            </w:r>
          </w:p>
          <w:p w14:paraId="708C6D49">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协议履行过程中，招标代理公司不得以中标人未支付本协议约定的招标代理费用为由，拒绝向中标人发放中标通知书，在协议履行期间因此产生的法律纠纷及争议均由招标代理公司与中标人自行解决，与采购人无关。</w:t>
            </w:r>
          </w:p>
        </w:tc>
      </w:tr>
      <w:tr w14:paraId="7DBC1C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8" w:hRule="atLeast"/>
          <w:jc w:val="center"/>
        </w:trPr>
        <w:tc>
          <w:tcPr>
            <w:tcW w:w="764" w:type="dxa"/>
            <w:tcBorders>
              <w:top w:val="single" w:color="auto" w:sz="4" w:space="0"/>
              <w:bottom w:val="single" w:color="auto" w:sz="4" w:space="0"/>
              <w:right w:val="single" w:color="auto" w:sz="4" w:space="0"/>
            </w:tcBorders>
            <w:noWrap w:val="0"/>
            <w:vAlign w:val="center"/>
          </w:tcPr>
          <w:p w14:paraId="11248C29">
            <w:pPr>
              <w:widowControl/>
              <w:spacing w:line="3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w:t>
            </w:r>
          </w:p>
        </w:tc>
        <w:tc>
          <w:tcPr>
            <w:tcW w:w="9276" w:type="dxa"/>
            <w:tcBorders>
              <w:top w:val="single" w:color="auto" w:sz="4" w:space="0"/>
              <w:left w:val="single" w:color="auto" w:sz="4" w:space="0"/>
              <w:bottom w:val="single" w:color="auto" w:sz="4" w:space="0"/>
            </w:tcBorders>
            <w:noWrap w:val="0"/>
            <w:vAlign w:val="center"/>
          </w:tcPr>
          <w:p w14:paraId="49B421EA">
            <w:pPr>
              <w:widowControl/>
              <w:spacing w:line="360" w:lineRule="exact"/>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响应文件</w:t>
            </w:r>
            <w:r>
              <w:rPr>
                <w:rFonts w:hint="eastAsia" w:ascii="仿宋" w:hAnsi="仿宋" w:eastAsia="仿宋" w:cs="仿宋"/>
                <w:b/>
                <w:bCs/>
                <w:color w:val="auto"/>
                <w:kern w:val="0"/>
                <w:sz w:val="24"/>
                <w:szCs w:val="24"/>
                <w:highlight w:val="none"/>
              </w:rPr>
              <w:t>的上传和递交</w:t>
            </w:r>
          </w:p>
          <w:p w14:paraId="4A8CF714">
            <w:pPr>
              <w:widowControl/>
              <w:spacing w:line="360" w:lineRule="exact"/>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（1）电子加密</w:t>
            </w:r>
            <w:r>
              <w:rPr>
                <w:rFonts w:hint="eastAsia" w:ascii="仿宋" w:hAnsi="仿宋" w:eastAsia="仿宋" w:cs="仿宋"/>
                <w:color w:val="auto"/>
                <w:kern w:val="0"/>
                <w:sz w:val="24"/>
                <w:szCs w:val="24"/>
                <w:highlight w:val="none"/>
                <w:lang w:eastAsia="zh-CN"/>
              </w:rPr>
              <w:t>响应文件</w:t>
            </w:r>
          </w:p>
          <w:p w14:paraId="47D07309">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制作完成并生成加密标书，在</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递交截止时间前，</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需将加密的</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上传至政采云平台。</w:t>
            </w:r>
          </w:p>
          <w:p w14:paraId="73E5A036">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未能在</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截止时间前成功上传电子加密</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无效。</w:t>
            </w:r>
          </w:p>
          <w:p w14:paraId="51932CCC">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成功上传电子加密</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后，可自行打印</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接收回执。</w:t>
            </w:r>
          </w:p>
          <w:p w14:paraId="609ADBC4">
            <w:pPr>
              <w:widowControl/>
              <w:spacing w:line="360" w:lineRule="exact"/>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（2）备份</w:t>
            </w:r>
            <w:r>
              <w:rPr>
                <w:rFonts w:hint="eastAsia" w:ascii="仿宋" w:hAnsi="仿宋" w:eastAsia="仿宋" w:cs="仿宋"/>
                <w:color w:val="auto"/>
                <w:kern w:val="0"/>
                <w:sz w:val="24"/>
                <w:szCs w:val="24"/>
                <w:highlight w:val="none"/>
                <w:lang w:eastAsia="zh-CN"/>
              </w:rPr>
              <w:t>响应文件</w:t>
            </w:r>
          </w:p>
          <w:p w14:paraId="0E662019">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在</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截止时间前将加密的</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上传至政府采购云平台，还可以在</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截止时间前以电子邮件方式提供备份</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1份（接收人邮箱：</w:t>
            </w:r>
            <w:r>
              <w:rPr>
                <w:rFonts w:hint="eastAsia" w:ascii="仿宋" w:hAnsi="仿宋" w:eastAsia="仿宋" w:cs="仿宋"/>
                <w:color w:val="auto"/>
                <w:kern w:val="0"/>
                <w:sz w:val="24"/>
                <w:szCs w:val="24"/>
                <w:highlight w:val="none"/>
                <w:lang w:val="en-US" w:eastAsia="zh-CN"/>
              </w:rPr>
              <w:t>232179291</w:t>
            </w:r>
            <w:r>
              <w:rPr>
                <w:rFonts w:hint="eastAsia" w:ascii="仿宋" w:hAnsi="仿宋" w:eastAsia="仿宋" w:cs="仿宋"/>
                <w:color w:val="auto"/>
                <w:kern w:val="0"/>
                <w:sz w:val="24"/>
                <w:szCs w:val="24"/>
                <w:highlight w:val="none"/>
              </w:rPr>
              <w:t>@qq.com，接收人：</w:t>
            </w:r>
            <w:r>
              <w:rPr>
                <w:rFonts w:hint="eastAsia" w:ascii="仿宋" w:hAnsi="仿宋" w:eastAsia="仿宋" w:cs="仿宋"/>
                <w:color w:val="auto"/>
                <w:kern w:val="0"/>
                <w:sz w:val="24"/>
                <w:szCs w:val="24"/>
                <w:highlight w:val="none"/>
                <w:lang w:val="en-US" w:eastAsia="zh-CN"/>
              </w:rPr>
              <w:t>杨勇</w:t>
            </w:r>
            <w:r>
              <w:rPr>
                <w:rFonts w:hint="eastAsia" w:ascii="仿宋" w:hAnsi="仿宋" w:eastAsia="仿宋" w:cs="仿宋"/>
                <w:color w:val="auto"/>
                <w:kern w:val="0"/>
                <w:sz w:val="24"/>
                <w:szCs w:val="24"/>
                <w:highlight w:val="none"/>
              </w:rPr>
              <w:t>，电话：</w:t>
            </w:r>
            <w:r>
              <w:rPr>
                <w:rFonts w:hint="eastAsia" w:ascii="仿宋" w:hAnsi="仿宋" w:eastAsia="仿宋" w:cs="仿宋"/>
                <w:color w:val="auto"/>
                <w:kern w:val="0"/>
                <w:sz w:val="24"/>
                <w:szCs w:val="24"/>
                <w:highlight w:val="none"/>
                <w:lang w:val="en-US" w:eastAsia="zh-CN"/>
              </w:rPr>
              <w:t>13325632966</w:t>
            </w:r>
            <w:r>
              <w:rPr>
                <w:rFonts w:hint="eastAsia" w:ascii="仿宋" w:hAnsi="仿宋" w:eastAsia="仿宋" w:cs="仿宋"/>
                <w:color w:val="auto"/>
                <w:kern w:val="0"/>
                <w:sz w:val="24"/>
                <w:szCs w:val="24"/>
                <w:highlight w:val="none"/>
              </w:rPr>
              <w:t>），“备份</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”由</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自愿提供，采购文件不作强制性要求；</w:t>
            </w:r>
          </w:p>
          <w:p w14:paraId="77D374CF">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②备份</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提供要求：</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可以将备份</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打包压缩并加密，压缩包命名为“XX单位备份</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”，加密密码由</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自行保管；送达时间以采购代理机构实际接收时间为准，建议</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提前1日办理邮件提供事宜。</w:t>
            </w:r>
          </w:p>
        </w:tc>
      </w:tr>
      <w:tr w14:paraId="592AB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35" w:hRule="atLeast"/>
          <w:jc w:val="center"/>
        </w:trPr>
        <w:tc>
          <w:tcPr>
            <w:tcW w:w="764" w:type="dxa"/>
            <w:tcBorders>
              <w:top w:val="single" w:color="auto" w:sz="4" w:space="0"/>
              <w:bottom w:val="single" w:color="auto" w:sz="4" w:space="0"/>
              <w:right w:val="single" w:color="auto" w:sz="4" w:space="0"/>
            </w:tcBorders>
            <w:noWrap w:val="0"/>
            <w:vAlign w:val="center"/>
          </w:tcPr>
          <w:p w14:paraId="5F816F49">
            <w:pPr>
              <w:widowControl/>
              <w:spacing w:line="36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w:t>
            </w:r>
          </w:p>
        </w:tc>
        <w:tc>
          <w:tcPr>
            <w:tcW w:w="9276" w:type="dxa"/>
            <w:tcBorders>
              <w:top w:val="single" w:color="auto" w:sz="4" w:space="0"/>
              <w:left w:val="single" w:color="auto" w:sz="4" w:space="0"/>
              <w:bottom w:val="single" w:color="auto" w:sz="4" w:space="0"/>
            </w:tcBorders>
            <w:noWrap w:val="0"/>
            <w:vAlign w:val="center"/>
          </w:tcPr>
          <w:p w14:paraId="2EA369DA">
            <w:pPr>
              <w:widowControl/>
              <w:spacing w:line="360" w:lineRule="exact"/>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响应文件</w:t>
            </w:r>
            <w:r>
              <w:rPr>
                <w:rFonts w:hint="eastAsia" w:ascii="仿宋" w:hAnsi="仿宋" w:eastAsia="仿宋" w:cs="仿宋"/>
                <w:b/>
                <w:bCs/>
                <w:color w:val="auto"/>
                <w:kern w:val="0"/>
                <w:sz w:val="24"/>
                <w:szCs w:val="24"/>
                <w:highlight w:val="none"/>
              </w:rPr>
              <w:t>的解密</w:t>
            </w:r>
          </w:p>
          <w:p w14:paraId="36D62964">
            <w:pPr>
              <w:widowControl/>
              <w:spacing w:line="360" w:lineRule="exact"/>
              <w:jc w:val="left"/>
              <w:rPr>
                <w:rFonts w:hint="eastAsia" w:ascii="仿宋" w:hAnsi="仿宋" w:eastAsia="仿宋" w:cs="仿宋"/>
                <w:color w:val="auto"/>
                <w:kern w:val="0"/>
                <w:sz w:val="24"/>
                <w:szCs w:val="24"/>
                <w:highlight w:val="none"/>
              </w:rPr>
            </w:pPr>
            <w:bookmarkStart w:id="6" w:name="OLE_LINK4"/>
            <w:bookmarkStart w:id="7" w:name="OLE_LINK3"/>
            <w:r>
              <w:rPr>
                <w:rFonts w:hint="eastAsia" w:ascii="仿宋" w:hAnsi="仿宋" w:eastAsia="仿宋" w:cs="仿宋"/>
                <w:color w:val="auto"/>
                <w:kern w:val="0"/>
                <w:sz w:val="24"/>
                <w:szCs w:val="24"/>
                <w:highlight w:val="none"/>
              </w:rPr>
              <w:t>（1）</w:t>
            </w:r>
            <w:bookmarkEnd w:id="6"/>
            <w:bookmarkEnd w:id="7"/>
            <w:r>
              <w:rPr>
                <w:rFonts w:hint="eastAsia" w:ascii="仿宋" w:hAnsi="仿宋" w:eastAsia="仿宋" w:cs="仿宋"/>
                <w:color w:val="auto"/>
                <w:kern w:val="0"/>
                <w:sz w:val="24"/>
                <w:szCs w:val="24"/>
                <w:highlight w:val="none"/>
              </w:rPr>
              <w:t>不见面开标默认解密及签到时长：本项目解密时长为：30分钟，签名时长为：10分钟，</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应在解密指令发出后采购（答疑）文件规定时间内完成解密。</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未按规定完成解密，视为放弃</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。解密与加密响应文件须为同一个CA。</w:t>
            </w:r>
          </w:p>
          <w:p w14:paraId="394781C7">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）通过“政府采购云平台”上传递交的</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，因“政府采购云平台”系统问题无法按时解密，</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提供了备份</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的，方可以备份</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为依据进行评审，其他因</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原因导致无法解密的，</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无效。</w:t>
            </w:r>
          </w:p>
          <w:p w14:paraId="5D7E9462">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）通过“政府采购云平台”成功上传递交的“电子加密</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”已按时解密的，“备份</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”自动失效。</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递交截止前，</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仅提供了“备份</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”而未将“电子加密</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”成功上传至“政府采购云平台”的，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无效。</w:t>
            </w:r>
          </w:p>
        </w:tc>
      </w:tr>
      <w:tr w14:paraId="31B6E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jc w:val="center"/>
        </w:trPr>
        <w:tc>
          <w:tcPr>
            <w:tcW w:w="764" w:type="dxa"/>
            <w:tcBorders>
              <w:top w:val="single" w:color="auto" w:sz="4" w:space="0"/>
              <w:bottom w:val="single" w:color="auto" w:sz="4" w:space="0"/>
              <w:right w:val="single" w:color="auto" w:sz="4" w:space="0"/>
            </w:tcBorders>
            <w:noWrap w:val="0"/>
            <w:vAlign w:val="center"/>
          </w:tcPr>
          <w:p w14:paraId="42EFC316">
            <w:pPr>
              <w:widowControl/>
              <w:spacing w:line="360" w:lineRule="exact"/>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9276" w:type="dxa"/>
            <w:tcBorders>
              <w:top w:val="single" w:color="auto" w:sz="4" w:space="0"/>
              <w:left w:val="single" w:color="auto" w:sz="4" w:space="0"/>
              <w:bottom w:val="single" w:color="auto" w:sz="4" w:space="0"/>
            </w:tcBorders>
            <w:noWrap w:val="0"/>
            <w:vAlign w:val="center"/>
          </w:tcPr>
          <w:p w14:paraId="6039A3D6">
            <w:pPr>
              <w:widowControl/>
              <w:spacing w:line="360" w:lineRule="exact"/>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注意事项</w:t>
            </w:r>
          </w:p>
          <w:p w14:paraId="639E9D9A">
            <w:pPr>
              <w:widowControl/>
              <w:spacing w:line="360" w:lineRule="exact"/>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（1）本项目为电子</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rPr>
              <w:t>项目，</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需要使用CA加密设备，凡参加本项目</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可自主通过新疆CA申领渠道“新疆政务通”申请政采云平台可使用的CA设备。如有操作性问题可与政采云在线客服进行咨询，咨询电话：95763。</w:t>
            </w:r>
          </w:p>
          <w:p w14:paraId="732056CA">
            <w:pPr>
              <w:widowControl/>
              <w:spacing w:line="360" w:lineRule="exact"/>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）本项目实行网上</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，采用电子</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，若</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参与</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，自行承担</w:t>
            </w:r>
            <w:r>
              <w:rPr>
                <w:rFonts w:hint="eastAsia" w:ascii="仿宋" w:hAnsi="仿宋" w:eastAsia="仿宋" w:cs="仿宋"/>
                <w:color w:val="auto"/>
                <w:kern w:val="0"/>
                <w:sz w:val="24"/>
                <w:szCs w:val="24"/>
                <w:highlight w:val="none"/>
                <w:lang w:val="en-US" w:eastAsia="zh-CN"/>
              </w:rPr>
              <w:t>询价</w:t>
            </w:r>
            <w:r>
              <w:rPr>
                <w:rFonts w:hint="eastAsia" w:ascii="仿宋" w:hAnsi="仿宋" w:eastAsia="仿宋" w:cs="仿宋"/>
                <w:color w:val="auto"/>
                <w:kern w:val="0"/>
                <w:sz w:val="24"/>
                <w:szCs w:val="24"/>
                <w:highlight w:val="none"/>
              </w:rPr>
              <w:t>一</w:t>
            </w:r>
          </w:p>
          <w:p w14:paraId="06AF025F">
            <w:pPr>
              <w:widowControl/>
              <w:spacing w:line="360" w:lineRule="exact"/>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切费用。</w:t>
            </w:r>
          </w:p>
          <w:p w14:paraId="548F40BE">
            <w:pPr>
              <w:widowControl/>
              <w:spacing w:line="360" w:lineRule="exact"/>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）各</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应在开标前应确保成为新疆政府采购网正式注册入库</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，并完成CA</w:t>
            </w:r>
          </w:p>
          <w:p w14:paraId="0C9FFACE">
            <w:pPr>
              <w:widowControl/>
              <w:spacing w:line="360" w:lineRule="exact"/>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数字证书申领。因未注册入库、未办理CA数字证书等原因造成无法</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或</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失败</w:t>
            </w:r>
          </w:p>
          <w:p w14:paraId="7BB3AC81">
            <w:pPr>
              <w:widowControl/>
              <w:spacing w:line="360" w:lineRule="exact"/>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等后果由</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自行承担。</w:t>
            </w:r>
          </w:p>
          <w:p w14:paraId="489E980F">
            <w:pPr>
              <w:widowControl/>
              <w:spacing w:line="360" w:lineRule="exact"/>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将政采云电子交易客户端下载、安装完成后，可通过账号密码或CA登录客户端进行</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制作。在使用政采云投标客户端时，建议使用WIN7及以上操作系</w:t>
            </w:r>
          </w:p>
          <w:p w14:paraId="1E1AE585">
            <w:pPr>
              <w:widowControl/>
              <w:spacing w:line="360" w:lineRule="exact"/>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统。客户端请至新疆政府采购网（www.ccgp-xinjiang.gov.cn）下载专区查看，如有</w:t>
            </w:r>
          </w:p>
          <w:p w14:paraId="53C4F3B8">
            <w:pPr>
              <w:widowControl/>
              <w:spacing w:line="360" w:lineRule="exact"/>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问题可拨打政采云客户服务热线95763进行咨询。</w:t>
            </w:r>
          </w:p>
          <w:p w14:paraId="20D8577E">
            <w:pPr>
              <w:widowControl/>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对不见面开评标系统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”版面获取操作指南，同时对自助查询无法解决的问题可通过钉钉群及政采云在线客服获取服务支持。</w:t>
            </w:r>
          </w:p>
        </w:tc>
      </w:tr>
      <w:tr w14:paraId="1DF19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jc w:val="center"/>
        </w:trPr>
        <w:tc>
          <w:tcPr>
            <w:tcW w:w="764" w:type="dxa"/>
            <w:tcBorders>
              <w:top w:val="single" w:color="auto" w:sz="4" w:space="0"/>
              <w:bottom w:val="single" w:color="auto" w:sz="4" w:space="0"/>
              <w:right w:val="single" w:color="auto" w:sz="4" w:space="0"/>
            </w:tcBorders>
            <w:noWrap w:val="0"/>
            <w:vAlign w:val="center"/>
          </w:tcPr>
          <w:p w14:paraId="24C3C307">
            <w:pPr>
              <w:widowControl/>
              <w:spacing w:line="36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21</w:t>
            </w:r>
          </w:p>
        </w:tc>
        <w:tc>
          <w:tcPr>
            <w:tcW w:w="9276" w:type="dxa"/>
            <w:tcBorders>
              <w:top w:val="single" w:color="auto" w:sz="4" w:space="0"/>
              <w:left w:val="single" w:color="auto" w:sz="4" w:space="0"/>
              <w:bottom w:val="single" w:color="auto" w:sz="4" w:space="0"/>
            </w:tcBorders>
            <w:noWrap w:val="0"/>
            <w:vAlign w:val="center"/>
          </w:tcPr>
          <w:p w14:paraId="31D4B145">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本项目招标要求，供应商须充分知悉并承诺：凡因参与本次招标活动所产生的一切技术成果、商业数据、设计方案、书面文件及相关材料（包括但不限于著作权、专利权、商标权、商业秘密、软件源代码等知识产权载体），其全部知识产权及相关衍生权利均自完成之日起永久性、排他性地归属于采购人所有。供应商须确保其提交的成果不存在任何权利瑕疵，若因第三方主张权利导致采购人遭受诉讼、索赔或其他经济损失，供应商应承担全部连带责任，包括但不限于诉讼费用、和解赔偿及行政机关处罚等。</w:t>
            </w:r>
          </w:p>
          <w:p w14:paraId="2FFF6679">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b/>
                <w:bCs/>
                <w:color w:val="auto"/>
                <w:kern w:val="0"/>
                <w:sz w:val="24"/>
                <w:szCs w:val="24"/>
                <w:highlight w:val="none"/>
              </w:rPr>
            </w:pPr>
            <w:r>
              <w:rPr>
                <w:rFonts w:hint="eastAsia" w:ascii="仿宋" w:hAnsi="仿宋" w:eastAsia="仿宋" w:cs="仿宋"/>
                <w:color w:val="auto"/>
                <w:sz w:val="24"/>
                <w:szCs w:val="24"/>
                <w:highlight w:val="none"/>
                <w:lang w:val="en-US" w:eastAsia="zh-CN"/>
              </w:rPr>
              <w:t>采购人有权在全球范围内行使上述知识产权的使用、修改、许可及再开发等权利，无需另行支付费用。供应商须履行严格保密义务，未经采购人书面授权不得以任何形式披露、使用或授权第三方使用前述成果。</w:t>
            </w:r>
          </w:p>
        </w:tc>
      </w:tr>
      <w:tr w14:paraId="43C19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jc w:val="center"/>
        </w:trPr>
        <w:tc>
          <w:tcPr>
            <w:tcW w:w="764" w:type="dxa"/>
            <w:tcBorders>
              <w:top w:val="single" w:color="auto" w:sz="4" w:space="0"/>
              <w:bottom w:val="single" w:color="auto" w:sz="4" w:space="0"/>
              <w:right w:val="single" w:color="auto" w:sz="4" w:space="0"/>
            </w:tcBorders>
            <w:noWrap w:val="0"/>
            <w:vAlign w:val="center"/>
          </w:tcPr>
          <w:p w14:paraId="7247D958">
            <w:pPr>
              <w:widowControl/>
              <w:spacing w:line="3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2</w:t>
            </w:r>
          </w:p>
        </w:tc>
        <w:tc>
          <w:tcPr>
            <w:tcW w:w="9276" w:type="dxa"/>
            <w:tcBorders>
              <w:top w:val="single" w:color="auto" w:sz="4" w:space="0"/>
              <w:left w:val="single" w:color="auto" w:sz="4" w:space="0"/>
              <w:bottom w:val="single" w:color="auto" w:sz="4" w:space="0"/>
            </w:tcBorders>
            <w:noWrap w:val="0"/>
            <w:vAlign w:val="center"/>
          </w:tcPr>
          <w:p w14:paraId="5C537BEA">
            <w:pPr>
              <w:widowControl/>
              <w:spacing w:line="36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rPr>
              <w:t>说明：</w:t>
            </w:r>
            <w:r>
              <w:rPr>
                <w:rFonts w:hint="eastAsia" w:ascii="仿宋" w:hAnsi="仿宋" w:eastAsia="仿宋" w:cs="仿宋"/>
                <w:b/>
                <w:bCs/>
                <w:color w:val="auto"/>
                <w:kern w:val="0"/>
                <w:sz w:val="24"/>
                <w:szCs w:val="24"/>
                <w:highlight w:val="none"/>
                <w:lang w:eastAsia="zh-CN"/>
              </w:rPr>
              <w:t>供应商</w:t>
            </w:r>
            <w:r>
              <w:rPr>
                <w:rFonts w:hint="eastAsia" w:ascii="仿宋" w:hAnsi="仿宋" w:eastAsia="仿宋" w:cs="仿宋"/>
                <w:b/>
                <w:bCs/>
                <w:color w:val="auto"/>
                <w:kern w:val="0"/>
                <w:sz w:val="24"/>
                <w:szCs w:val="24"/>
                <w:highlight w:val="none"/>
              </w:rPr>
              <w:t>在法定质疑期内一次性提出针对同一采购项目程序环节的质疑，本项目不接受供应商多次/反复质疑。</w:t>
            </w:r>
          </w:p>
        </w:tc>
      </w:tr>
    </w:tbl>
    <w:p w14:paraId="36CFCB6C">
      <w:pPr>
        <w:pageBreakBefore w:val="0"/>
        <w:widowControl w:val="0"/>
        <w:kinsoku/>
        <w:wordWrap/>
        <w:overflowPunct/>
        <w:topLinePunct w:val="0"/>
        <w:bidi w:val="0"/>
        <w:adjustRightInd/>
        <w:snapToGrid/>
        <w:spacing w:line="360" w:lineRule="auto"/>
        <w:jc w:val="center"/>
        <w:textAlignment w:val="auto"/>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r>
        <w:rPr>
          <w:rFonts w:hint="eastAsia" w:ascii="仿宋" w:hAnsi="仿宋" w:eastAsia="仿宋" w:cs="仿宋"/>
          <w:b/>
          <w:color w:val="auto"/>
          <w:sz w:val="30"/>
          <w:szCs w:val="30"/>
          <w:highlight w:val="none"/>
        </w:rPr>
        <w:t>第一章供应商须知</w:t>
      </w:r>
    </w:p>
    <w:p w14:paraId="5E930326">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1.</w:t>
      </w:r>
      <w:r>
        <w:rPr>
          <w:rFonts w:hint="eastAsia" w:ascii="仿宋" w:hAnsi="仿宋" w:eastAsia="仿宋" w:cs="仿宋"/>
          <w:b/>
          <w:color w:val="auto"/>
          <w:sz w:val="24"/>
          <w:szCs w:val="24"/>
          <w:highlight w:val="none"/>
        </w:rPr>
        <w:t>适用范围</w:t>
      </w:r>
    </w:p>
    <w:p w14:paraId="627331D5">
      <w:pPr>
        <w:pageBreakBefore w:val="0"/>
        <w:widowControl w:val="0"/>
        <w:kinsoku/>
        <w:wordWrap/>
        <w:overflowPunct/>
        <w:topLinePunct w:val="0"/>
        <w:bidi w:val="0"/>
        <w:adjustRightInd/>
        <w:snapToGrid/>
        <w:spacing w:line="360" w:lineRule="auto"/>
        <w:ind w:firstLine="480"/>
        <w:textAlignment w:val="auto"/>
        <w:outlineLvl w:val="9"/>
        <w:rPr>
          <w:rStyle w:val="64"/>
          <w:rFonts w:hint="eastAsia" w:ascii="仿宋" w:hAnsi="仿宋" w:eastAsia="仿宋" w:cs="仿宋"/>
          <w:color w:val="auto"/>
          <w:sz w:val="24"/>
          <w:szCs w:val="24"/>
          <w:highlight w:val="none"/>
        </w:rPr>
      </w:pPr>
      <w:r>
        <w:rPr>
          <w:rStyle w:val="64"/>
          <w:rFonts w:hint="eastAsia" w:ascii="仿宋" w:hAnsi="仿宋" w:eastAsia="仿宋" w:cs="仿宋"/>
          <w:color w:val="auto"/>
          <w:sz w:val="24"/>
          <w:szCs w:val="24"/>
          <w:highlight w:val="none"/>
        </w:rPr>
        <w:t>本询价文件仅适用于本次询价活动。</w:t>
      </w:r>
    </w:p>
    <w:p w14:paraId="4EE92703">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2.</w:t>
      </w:r>
      <w:r>
        <w:rPr>
          <w:rFonts w:hint="eastAsia" w:ascii="仿宋" w:hAnsi="仿宋" w:eastAsia="仿宋" w:cs="仿宋"/>
          <w:b/>
          <w:color w:val="auto"/>
          <w:sz w:val="24"/>
          <w:szCs w:val="24"/>
          <w:highlight w:val="none"/>
          <w:lang w:val="en-US" w:eastAsia="zh-CN"/>
        </w:rPr>
        <w:t>供应商</w:t>
      </w:r>
      <w:r>
        <w:rPr>
          <w:rFonts w:hint="eastAsia" w:ascii="仿宋" w:hAnsi="仿宋" w:eastAsia="仿宋" w:cs="仿宋"/>
          <w:b/>
          <w:color w:val="auto"/>
          <w:sz w:val="24"/>
          <w:szCs w:val="24"/>
          <w:highlight w:val="none"/>
        </w:rPr>
        <w:t>资格</w:t>
      </w:r>
    </w:p>
    <w:p w14:paraId="48604085">
      <w:pPr>
        <w:keepNext w:val="0"/>
        <w:keepLines w:val="0"/>
        <w:pageBreakBefore w:val="0"/>
        <w:widowControl w:val="0"/>
        <w:kinsoku/>
        <w:wordWrap/>
        <w:overflowPunct/>
        <w:topLinePunct w:val="0"/>
        <w:bidi w:val="0"/>
        <w:adjustRightInd/>
        <w:snapToGrid/>
        <w:spacing w:line="360" w:lineRule="auto"/>
        <w:ind w:left="479" w:leftChars="228" w:firstLine="0" w:firstLine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（1）符合政府采购法第二十二条的规定；</w:t>
      </w:r>
      <w:r>
        <w:rPr>
          <w:rFonts w:hint="eastAsia" w:ascii="仿宋" w:hAnsi="仿宋" w:eastAsia="仿宋" w:cs="仿宋"/>
          <w:color w:val="auto"/>
          <w:sz w:val="24"/>
          <w:szCs w:val="24"/>
          <w:highlight w:val="none"/>
        </w:rPr>
        <w:cr/>
      </w:r>
      <w:r>
        <w:rPr>
          <w:rFonts w:hint="eastAsia" w:ascii="仿宋" w:hAnsi="仿宋" w:eastAsia="仿宋" w:cs="仿宋"/>
          <w:color w:val="auto"/>
          <w:sz w:val="24"/>
          <w:szCs w:val="24"/>
          <w:highlight w:val="none"/>
        </w:rPr>
        <w:t>（2）具有独立承担民事责任的能力；</w:t>
      </w:r>
    </w:p>
    <w:p w14:paraId="5446D54F">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（3）有依法缴纳税收和社会保障资金的良好记录；</w:t>
      </w:r>
    </w:p>
    <w:p w14:paraId="7A085B2C">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）具有良好的商业信誉和健全的财务会计制度；</w:t>
      </w:r>
    </w:p>
    <w:p w14:paraId="7A0B373A">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）具有履行合同所必须的设备和专业技术能力</w:t>
      </w:r>
    </w:p>
    <w:p w14:paraId="17CEFB2D">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）参加采购活动前3年内，在经营活动中没有重大违法记录；</w:t>
      </w:r>
    </w:p>
    <w:p w14:paraId="5A60AAD8">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）信用记录：</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未被列入“信用中国”网站(www.creditchina.gov.cn)“记录失信被执行人、重大税收违法案件当事人名单、政府采购严重违法失信行为”记录名单；不处于中国政府采购网(www.ccgp.gov.cn)“政府采购严重违法失信行为信息记录”中的禁止参加政府采购活动期间。如相关失信记录已失效，</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需提供相关证明资料，如在上述网站查询结果均显示没有相关记录，视为没有上述不良信用记录；</w:t>
      </w:r>
    </w:p>
    <w:p w14:paraId="19C68497">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）单位负责人为同一人或者存在直接控股、管理关系的不同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，不得参加同一合同项下的政府采购活动。与采购人存在利害关系可能影响招标公正性的法人、其他组织或者个人，不得参加</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w:t>
      </w:r>
    </w:p>
    <w:p w14:paraId="62ED1CFC">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）本项目不接受联合体</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w:t>
      </w:r>
    </w:p>
    <w:p w14:paraId="0A96E261">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本项目专门面向</w:t>
      </w:r>
      <w:r>
        <w:rPr>
          <w:rFonts w:hint="eastAsia" w:ascii="仿宋" w:hAnsi="仿宋" w:eastAsia="仿宋" w:cs="仿宋"/>
          <w:bCs/>
          <w:color w:val="auto"/>
          <w:sz w:val="24"/>
          <w:szCs w:val="24"/>
          <w:highlight w:val="none"/>
          <w:lang w:val="en-US" w:eastAsia="zh-CN"/>
        </w:rPr>
        <w:t>中小</w:t>
      </w:r>
      <w:r>
        <w:rPr>
          <w:rFonts w:hint="eastAsia" w:ascii="仿宋" w:hAnsi="仿宋" w:eastAsia="仿宋" w:cs="仿宋"/>
          <w:bCs/>
          <w:color w:val="auto"/>
          <w:sz w:val="24"/>
          <w:szCs w:val="24"/>
          <w:highlight w:val="none"/>
        </w:rPr>
        <w:t>企业采购项目（含中型、小型、微型企业）</w:t>
      </w:r>
      <w:r>
        <w:rPr>
          <w:rFonts w:hint="eastAsia" w:ascii="仿宋" w:hAnsi="仿宋" w:eastAsia="仿宋" w:cs="仿宋"/>
          <w:color w:val="auto"/>
          <w:sz w:val="24"/>
          <w:szCs w:val="24"/>
          <w:highlight w:val="none"/>
        </w:rPr>
        <w:t>。</w:t>
      </w:r>
    </w:p>
    <w:p w14:paraId="66A38212">
      <w:pPr>
        <w:pageBreakBefore w:val="0"/>
        <w:widowControl w:val="0"/>
        <w:numPr>
          <w:ilvl w:val="0"/>
          <w:numId w:val="0"/>
        </w:numPr>
        <w:kinsoku/>
        <w:wordWrap/>
        <w:overflowPunct/>
        <w:topLinePunct w:val="0"/>
        <w:bidi w:val="0"/>
        <w:adjustRightInd/>
        <w:snapToGrid/>
        <w:spacing w:line="360" w:lineRule="auto"/>
        <w:ind w:left="425" w:leftChars="0" w:hanging="425" w:firstLineChars="0"/>
        <w:jc w:val="left"/>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3.</w:t>
      </w:r>
      <w:r>
        <w:rPr>
          <w:rFonts w:hint="eastAsia" w:ascii="仿宋" w:hAnsi="仿宋" w:eastAsia="仿宋" w:cs="仿宋"/>
          <w:b/>
          <w:color w:val="auto"/>
          <w:sz w:val="24"/>
          <w:szCs w:val="24"/>
          <w:highlight w:val="none"/>
        </w:rPr>
        <w:t>定义</w:t>
      </w:r>
    </w:p>
    <w:p w14:paraId="50971EE8">
      <w:pPr>
        <w:pageBreakBefore w:val="0"/>
        <w:widowControl w:val="0"/>
        <w:kinsoku/>
        <w:wordWrap/>
        <w:overflowPunct/>
        <w:topLinePunct w:val="0"/>
        <w:bidi w:val="0"/>
        <w:adjustRightInd/>
        <w:snapToGrid/>
        <w:spacing w:line="360" w:lineRule="auto"/>
        <w:ind w:firstLine="480" w:firstLineChars="200"/>
        <w:textAlignment w:val="auto"/>
        <w:outlineLvl w:val="9"/>
        <w:rPr>
          <w:rStyle w:val="64"/>
          <w:rFonts w:hint="eastAsia" w:ascii="仿宋" w:hAnsi="仿宋" w:eastAsia="仿宋" w:cs="仿宋"/>
          <w:color w:val="auto"/>
          <w:sz w:val="24"/>
          <w:szCs w:val="24"/>
          <w:highlight w:val="none"/>
        </w:rPr>
      </w:pPr>
      <w:r>
        <w:rPr>
          <w:rStyle w:val="64"/>
          <w:rFonts w:hint="eastAsia" w:ascii="仿宋" w:hAnsi="仿宋" w:eastAsia="仿宋" w:cs="仿宋"/>
          <w:color w:val="auto"/>
          <w:sz w:val="24"/>
          <w:szCs w:val="24"/>
          <w:highlight w:val="none"/>
        </w:rPr>
        <w:t>下列术语和缩写的定义为：</w:t>
      </w:r>
    </w:p>
    <w:p w14:paraId="75E5E5CB">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下述术语和缩写的定义为：</w:t>
      </w:r>
    </w:p>
    <w:p w14:paraId="65338BD6">
      <w:pPr>
        <w:keepNext w:val="0"/>
        <w:keepLines w:val="0"/>
        <w:pageBreakBefore w:val="0"/>
        <w:widowControl w:val="0"/>
        <w:tabs>
          <w:tab w:val="left" w:pos="1185"/>
        </w:tabs>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3.1“采购人”</w:t>
      </w:r>
      <w:r>
        <w:rPr>
          <w:rFonts w:hint="eastAsia" w:ascii="仿宋" w:hAnsi="仿宋" w:eastAsia="仿宋" w:cs="仿宋"/>
          <w:b w:val="0"/>
          <w:bCs w:val="0"/>
          <w:color w:val="auto"/>
          <w:sz w:val="24"/>
          <w:szCs w:val="24"/>
          <w:highlight w:val="none"/>
        </w:rPr>
        <w:t>系</w:t>
      </w:r>
      <w:r>
        <w:rPr>
          <w:rFonts w:hint="eastAsia" w:ascii="仿宋" w:hAnsi="仿宋" w:eastAsia="仿宋" w:cs="仿宋"/>
          <w:b w:val="0"/>
          <w:bCs w:val="0"/>
          <w:color w:val="auto"/>
          <w:sz w:val="24"/>
          <w:szCs w:val="24"/>
          <w:highlight w:val="none"/>
          <w:lang w:eastAsia="zh-CN"/>
        </w:rPr>
        <w:t>新疆维吾尔自治区民政康复中心</w:t>
      </w:r>
      <w:r>
        <w:rPr>
          <w:rFonts w:hint="eastAsia" w:ascii="仿宋" w:hAnsi="仿宋" w:eastAsia="仿宋" w:cs="仿宋"/>
          <w:b w:val="0"/>
          <w:bCs w:val="0"/>
          <w:color w:val="auto"/>
          <w:sz w:val="24"/>
          <w:szCs w:val="24"/>
          <w:highlight w:val="none"/>
        </w:rPr>
        <w:t>。</w:t>
      </w:r>
    </w:p>
    <w:p w14:paraId="05885A76">
      <w:pPr>
        <w:keepNext w:val="0"/>
        <w:keepLines w:val="0"/>
        <w:pageBreakBefore w:val="0"/>
        <w:widowControl w:val="0"/>
        <w:tabs>
          <w:tab w:val="left" w:pos="1185"/>
        </w:tabs>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3.2“供应商”系指符合</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文件规定并参加</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的供应商。</w:t>
      </w:r>
    </w:p>
    <w:p w14:paraId="77E257CC">
      <w:pPr>
        <w:keepNext w:val="0"/>
        <w:keepLines w:val="0"/>
        <w:pageBreakBefore w:val="0"/>
        <w:widowControl w:val="0"/>
        <w:tabs>
          <w:tab w:val="left" w:pos="1185"/>
        </w:tabs>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3.3“货物”或“仪器、设备、器材、软件”系指</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文件规定的，须向采购人提供的一切仪器设备、附件、备品备件、工具、手册及其它有关资料和材料。</w:t>
      </w:r>
    </w:p>
    <w:p w14:paraId="49BCB0F1">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3.4“服务”系指</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文件规定供应商须承担的保修、技术协助、培训及其他类似的责任。</w:t>
      </w:r>
    </w:p>
    <w:p w14:paraId="1F90C33B">
      <w:pPr>
        <w:keepNext w:val="0"/>
        <w:keepLines w:val="0"/>
        <w:pageBreakBefore w:val="0"/>
        <w:widowControl w:val="0"/>
        <w:tabs>
          <w:tab w:val="left" w:pos="1185"/>
        </w:tabs>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3.5“供应商公章”在响应文件中指与供应商标准公章一致的供应商电子签章。</w:t>
      </w:r>
    </w:p>
    <w:p w14:paraId="0FBDC487">
      <w:pPr>
        <w:keepNext w:val="0"/>
        <w:keepLines w:val="0"/>
        <w:pageBreakBefore w:val="0"/>
        <w:widowControl w:val="0"/>
        <w:tabs>
          <w:tab w:val="left" w:pos="1185"/>
        </w:tabs>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sz w:val="24"/>
          <w:szCs w:val="24"/>
          <w:highlight w:val="none"/>
        </w:rPr>
        <w:t>3.6“电子响应文件”指利用新疆政采云平台提供的“电子响应文件制作工具”编制加密和未加密的响应文件。</w:t>
      </w:r>
    </w:p>
    <w:p w14:paraId="09E593AF">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4.</w:t>
      </w:r>
      <w:r>
        <w:rPr>
          <w:rFonts w:hint="eastAsia" w:ascii="仿宋" w:hAnsi="仿宋" w:eastAsia="仿宋" w:cs="仿宋"/>
          <w:b/>
          <w:color w:val="auto"/>
          <w:sz w:val="24"/>
          <w:szCs w:val="24"/>
          <w:highlight w:val="none"/>
          <w:lang w:val="en-US" w:eastAsia="zh-CN"/>
        </w:rPr>
        <w:t>询价</w:t>
      </w:r>
      <w:r>
        <w:rPr>
          <w:rFonts w:hint="eastAsia" w:ascii="仿宋" w:hAnsi="仿宋" w:eastAsia="仿宋" w:cs="仿宋"/>
          <w:b/>
          <w:color w:val="auto"/>
          <w:sz w:val="24"/>
          <w:szCs w:val="24"/>
          <w:highlight w:val="none"/>
        </w:rPr>
        <w:t>费用</w:t>
      </w:r>
    </w:p>
    <w:p w14:paraId="7201DA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4.1无论</w:t>
      </w: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rPr>
        <w:t>结果如何，凡参与</w:t>
      </w: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rPr>
        <w:t>活动有关的所有费用将由供应商自行承担。</w:t>
      </w:r>
    </w:p>
    <w:p w14:paraId="131377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4.2供应商被视为熟悉本招标项目的各种情况以及与履行合同有关的一切情况。</w:t>
      </w:r>
    </w:p>
    <w:p w14:paraId="204711FC">
      <w:pPr>
        <w:pageBreakBefore w:val="0"/>
        <w:widowControl w:val="0"/>
        <w:kinsoku/>
        <w:wordWrap/>
        <w:overflowPunct/>
        <w:topLinePunct w:val="0"/>
        <w:bidi w:val="0"/>
        <w:adjustRightInd/>
        <w:snapToGrid/>
        <w:spacing w:line="360" w:lineRule="auto"/>
        <w:jc w:val="center"/>
        <w:textAlignment w:val="auto"/>
        <w:outlineLvl w:val="9"/>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第二章询价文件的编写</w:t>
      </w:r>
    </w:p>
    <w:p w14:paraId="0CA6460F">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5.</w:t>
      </w:r>
      <w:r>
        <w:rPr>
          <w:rFonts w:hint="eastAsia" w:ascii="仿宋" w:hAnsi="仿宋" w:eastAsia="仿宋" w:cs="仿宋"/>
          <w:b/>
          <w:color w:val="auto"/>
          <w:sz w:val="24"/>
          <w:szCs w:val="24"/>
          <w:highlight w:val="none"/>
        </w:rPr>
        <w:t>询价文件的构成</w:t>
      </w:r>
    </w:p>
    <w:p w14:paraId="1F403F52">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5.1</w:t>
      </w:r>
      <w:r>
        <w:rPr>
          <w:rFonts w:hint="eastAsia" w:ascii="仿宋" w:hAnsi="仿宋" w:eastAsia="仿宋" w:cs="仿宋"/>
          <w:color w:val="auto"/>
          <w:sz w:val="24"/>
          <w:szCs w:val="24"/>
          <w:highlight w:val="none"/>
        </w:rPr>
        <w:t>询价文件由下述部分组成：</w:t>
      </w:r>
    </w:p>
    <w:p w14:paraId="70B5DBF0">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第一部分询价公告</w:t>
      </w:r>
    </w:p>
    <w:p w14:paraId="058A9A96">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第二部分供应商须知</w:t>
      </w:r>
    </w:p>
    <w:p w14:paraId="5A9EFBC5">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第三部分采购需求</w:t>
      </w:r>
      <w:r>
        <w:rPr>
          <w:rFonts w:hint="eastAsia" w:ascii="仿宋" w:hAnsi="仿宋" w:eastAsia="仿宋" w:cs="仿宋"/>
          <w:color w:val="auto"/>
          <w:sz w:val="24"/>
          <w:szCs w:val="24"/>
          <w:highlight w:val="none"/>
        </w:rPr>
        <w:tab/>
      </w:r>
    </w:p>
    <w:p w14:paraId="4B8F7699">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第四部分合同条款</w:t>
      </w:r>
      <w:r>
        <w:rPr>
          <w:rFonts w:hint="eastAsia" w:ascii="仿宋" w:hAnsi="仿宋" w:eastAsia="仿宋" w:cs="仿宋"/>
          <w:color w:val="auto"/>
          <w:sz w:val="24"/>
          <w:szCs w:val="24"/>
          <w:highlight w:val="none"/>
        </w:rPr>
        <w:tab/>
      </w:r>
    </w:p>
    <w:p w14:paraId="6B5DBDBB">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第五部分响应文件格式</w:t>
      </w:r>
    </w:p>
    <w:p w14:paraId="37B7D628">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文件以中文书写。</w:t>
      </w:r>
    </w:p>
    <w:p w14:paraId="38055A96">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5.3供应商被视为熟悉本</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项目的各种情况以及与履行合同有关的一切其他情况。</w:t>
      </w:r>
    </w:p>
    <w:p w14:paraId="3D3362CB">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sz w:val="24"/>
          <w:szCs w:val="24"/>
          <w:highlight w:val="none"/>
        </w:rPr>
        <w:t>5.4供应商购取</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文件后，应仔细检查</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文件的所有内容，如有残缺应在领到</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文件后1日内向采购人提出，否则，由此引起的</w:t>
      </w: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rPr>
        <w:t>损失自负；供应商同时应认真审阅</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文件中所有的事项、格式、条款和规范要求等，如果供应商编制的响应文件，没有按照</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文件要求提交全部资料或者没有对</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文件做出实质性响应，其风险应由供应商自行承担，并根据有关条款规定，其</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有可能被拒绝。</w:t>
      </w:r>
    </w:p>
    <w:p w14:paraId="0D03060E">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6.</w:t>
      </w:r>
      <w:r>
        <w:rPr>
          <w:rFonts w:hint="eastAsia" w:ascii="仿宋" w:hAnsi="仿宋" w:eastAsia="仿宋" w:cs="仿宋"/>
          <w:b/>
          <w:color w:val="auto"/>
          <w:sz w:val="24"/>
          <w:szCs w:val="24"/>
          <w:highlight w:val="none"/>
        </w:rPr>
        <w:t>询价文件的答疑、澄清及修改</w:t>
      </w:r>
    </w:p>
    <w:p w14:paraId="49F44622">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6.1在</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截止期3日前的任何时间提出后，请供应商及时通过交易平台“答疑文件下载”栏目查看答疑文件或澄清文件。必要时，</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将组织相关专家召开答疑会，如召开，答疑会安排另行通知。</w:t>
      </w:r>
    </w:p>
    <w:p w14:paraId="524ED92D">
      <w:pPr>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供应商在规定的时间内未对询价文件提出疑问或要求澄清的，</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将视其为同意，对在“答疑接受时间”后就询价文件内容提出的疑问及澄清要求将不予受理。</w:t>
      </w:r>
    </w:p>
    <w:p w14:paraId="1497B4BB">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6.2无论出于何种原因，</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主动或出于解答供应商疑问对已发出的询价文件进行必要澄清或修改的，应当在询价文件要求提交响应文件截止时间3日前，以当面交接、邮寄、传真或电子邮件、网站披露等其中至少一种方式，向潜在供应商发出澄清、修改的补充文件。需要为此调整响应文件提交截止时间的，应当重新确定，并就变更后的</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截止时间重新发出通知。</w:t>
      </w:r>
    </w:p>
    <w:p w14:paraId="33EE1FF0">
      <w:pPr>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6.3</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一旦对询价文件作出了澄清、修改，即刻发生效力，</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有关的补充文件，将作为询价文件的组成部分，对所有现实的或潜在的供应商均具有约束力，而无论是否已经实际收到上述文件。同时，</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和供应商的权利及义务将受到新的截止期的约束。</w:t>
      </w:r>
    </w:p>
    <w:p w14:paraId="6DAAA211">
      <w:pPr>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6.4</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对询价文件作出的澄清、修改在政府采购云平台电子交易平台内进行披露，请供应商及时关注并获取相关资料。因登记有误、线路故障或其它任何意外情形，导致供应商未及时获取的，</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不因此承担任何责任，且有关的招标活动继续有效地进行。当询价文件的澄清、修改及进行其他答复等就同一内容的表述不一致时，以最后发布的内容为准。</w:t>
      </w:r>
    </w:p>
    <w:p w14:paraId="44002414">
      <w:pPr>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上述澄清、修改在交易平台上发布的同时，交易平台将通过第三方短信群发方式提醒供应商进行查询。此短信仅系友情提示，并不具有任何约束性和必要性，</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不承担供应商未收到短信而引起的一切后果和法律责任。</w:t>
      </w:r>
    </w:p>
    <w:p w14:paraId="052BF33B">
      <w:pPr>
        <w:pageBreakBefore w:val="0"/>
        <w:widowControl w:val="0"/>
        <w:kinsoku/>
        <w:wordWrap/>
        <w:overflowPunct/>
        <w:topLinePunct w:val="0"/>
        <w:bidi w:val="0"/>
        <w:adjustRightInd/>
        <w:snapToGrid/>
        <w:spacing w:line="360" w:lineRule="auto"/>
        <w:ind w:firstLine="48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6.5澄清、修改文件发出后，供应商必须使用最新的答疑、澄清文件制作电子响应文件，否则将无法完成上传。</w:t>
      </w:r>
    </w:p>
    <w:p w14:paraId="02E8D0FD">
      <w:pPr>
        <w:pStyle w:val="44"/>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szCs w:val="22"/>
          <w:highlight w:val="none"/>
        </w:rPr>
      </w:pPr>
      <w:r>
        <w:rPr>
          <w:rFonts w:hint="default" w:ascii="仿宋" w:hAnsi="仿宋" w:eastAsia="仿宋" w:cs="仿宋"/>
          <w:b/>
          <w:color w:val="auto"/>
          <w:kern w:val="2"/>
          <w:sz w:val="24"/>
          <w:szCs w:val="22"/>
          <w:highlight w:val="none"/>
          <w:lang w:val="en-US" w:eastAsia="zh-CN" w:bidi="ar-SA"/>
        </w:rPr>
        <w:t>7.</w:t>
      </w:r>
      <w:r>
        <w:rPr>
          <w:rFonts w:hint="eastAsia" w:ascii="仿宋" w:hAnsi="仿宋" w:eastAsia="仿宋" w:cs="仿宋"/>
          <w:b/>
          <w:color w:val="auto"/>
          <w:sz w:val="24"/>
          <w:szCs w:val="22"/>
          <w:highlight w:val="none"/>
        </w:rPr>
        <w:t>知识产权</w:t>
      </w:r>
    </w:p>
    <w:p w14:paraId="41D3D72B">
      <w:pPr>
        <w:pStyle w:val="44"/>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7.1供应商须保证，采购人在中华人民共和国境内使用货物、资料、技术、服务或其任何一部分时，享有不受限制的无偿使用权，不会产生因第三方提出侵犯其专利权、商标权或其它知识产权而引起的法律或经济纠纷。如供应商不拥有相应的知识产权，则在</w:t>
      </w:r>
      <w:r>
        <w:rPr>
          <w:rFonts w:hint="eastAsia" w:ascii="仿宋" w:hAnsi="仿宋" w:eastAsia="仿宋" w:cs="仿宋"/>
          <w:color w:val="auto"/>
          <w:sz w:val="24"/>
          <w:szCs w:val="22"/>
          <w:highlight w:val="none"/>
          <w:lang w:eastAsia="zh-CN"/>
        </w:rPr>
        <w:t>响应报价</w:t>
      </w:r>
      <w:r>
        <w:rPr>
          <w:rFonts w:hint="eastAsia" w:ascii="仿宋" w:hAnsi="仿宋" w:eastAsia="仿宋" w:cs="仿宋"/>
          <w:color w:val="auto"/>
          <w:sz w:val="24"/>
          <w:szCs w:val="22"/>
          <w:highlight w:val="none"/>
        </w:rPr>
        <w:t>中必须包括合法获取该知识产权的一切相关费用。如因此导致采购人损失的，供应商须承担全部赔偿责任。</w:t>
      </w:r>
    </w:p>
    <w:p w14:paraId="551B10CB">
      <w:pPr>
        <w:pStyle w:val="44"/>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7.2供应商如欲在项目实施过程中采用自有知识成果，须在响应文件中声明，并提供相关知识产权证明文件。使用该知识成果后，供应商须提供开发接口和开发手册等技术文档。</w:t>
      </w:r>
    </w:p>
    <w:p w14:paraId="39C464B6">
      <w:pPr>
        <w:pageBreakBefore w:val="0"/>
        <w:widowControl w:val="0"/>
        <w:kinsoku/>
        <w:wordWrap/>
        <w:overflowPunct/>
        <w:topLinePunct w:val="0"/>
        <w:bidi w:val="0"/>
        <w:adjustRightInd/>
        <w:snapToGrid/>
        <w:spacing w:line="360" w:lineRule="auto"/>
        <w:jc w:val="center"/>
        <w:textAlignment w:val="auto"/>
        <w:outlineLvl w:val="9"/>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第三章响应文件的编写</w:t>
      </w:r>
    </w:p>
    <w:p w14:paraId="19A6AD14">
      <w:pPr>
        <w:pageBreakBefore w:val="0"/>
        <w:widowControl w:val="0"/>
        <w:numPr>
          <w:ilvl w:val="0"/>
          <w:numId w:val="0"/>
        </w:numPr>
        <w:kinsoku/>
        <w:wordWrap/>
        <w:overflowPunct/>
        <w:topLinePunct w:val="0"/>
        <w:bidi w:val="0"/>
        <w:adjustRightInd/>
        <w:snapToGrid/>
        <w:spacing w:line="360" w:lineRule="auto"/>
        <w:ind w:left="0" w:leftChars="0" w:firstLine="0"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8.</w:t>
      </w:r>
      <w:r>
        <w:rPr>
          <w:rFonts w:hint="eastAsia" w:ascii="仿宋" w:hAnsi="仿宋" w:eastAsia="仿宋" w:cs="仿宋"/>
          <w:b/>
          <w:color w:val="auto"/>
          <w:sz w:val="24"/>
          <w:szCs w:val="24"/>
          <w:highlight w:val="none"/>
        </w:rPr>
        <w:t>要求</w:t>
      </w:r>
    </w:p>
    <w:p w14:paraId="7DE66896">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供应商应详细阅读询价文件中的条款、规范、表示、条件和格式等所有内容，按询价文件的要求提供响应文件，并保证所提供的全部材料的真实性，使其</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对询价文件做出实质性响应。否则，其</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将视为无效。</w:t>
      </w:r>
    </w:p>
    <w:p w14:paraId="6E0E0CB3">
      <w:pPr>
        <w:pageBreakBefore w:val="0"/>
        <w:widowControl w:val="0"/>
        <w:numPr>
          <w:ilvl w:val="0"/>
          <w:numId w:val="0"/>
        </w:numPr>
        <w:kinsoku/>
        <w:wordWrap/>
        <w:overflowPunct/>
        <w:topLinePunct w:val="0"/>
        <w:bidi w:val="0"/>
        <w:adjustRightInd/>
        <w:snapToGrid/>
        <w:spacing w:line="360" w:lineRule="auto"/>
        <w:ind w:left="0" w:leftChars="0" w:firstLine="0"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9.</w:t>
      </w:r>
      <w:r>
        <w:rPr>
          <w:rFonts w:hint="eastAsia" w:ascii="仿宋" w:hAnsi="仿宋" w:eastAsia="仿宋" w:cs="仿宋"/>
          <w:b/>
          <w:color w:val="auto"/>
          <w:sz w:val="24"/>
          <w:szCs w:val="24"/>
          <w:highlight w:val="none"/>
        </w:rPr>
        <w:t>响应文件语言和度量单位</w:t>
      </w:r>
      <w:r>
        <w:rPr>
          <w:rFonts w:hint="eastAsia" w:ascii="仿宋" w:hAnsi="仿宋" w:eastAsia="仿宋" w:cs="仿宋"/>
          <w:b/>
          <w:color w:val="auto"/>
          <w:sz w:val="24"/>
          <w:szCs w:val="24"/>
          <w:highlight w:val="none"/>
        </w:rPr>
        <w:tab/>
      </w:r>
    </w:p>
    <w:p w14:paraId="79E02324">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9.1响应文件及供应商和</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就</w:t>
      </w: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rPr>
        <w:t>交换的文件和往来信件，须以中文书写。</w:t>
      </w:r>
    </w:p>
    <w:p w14:paraId="107BBCA4">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9.2除在询价文件的技术规格中另有规定外，计量单位应使用中华人民共和国法定计量单位。</w:t>
      </w:r>
    </w:p>
    <w:p w14:paraId="3EBEDF4C">
      <w:pPr>
        <w:pageBreakBefore w:val="0"/>
        <w:widowControl w:val="0"/>
        <w:numPr>
          <w:ilvl w:val="0"/>
          <w:numId w:val="0"/>
        </w:numPr>
        <w:kinsoku/>
        <w:wordWrap/>
        <w:overflowPunct/>
        <w:topLinePunct w:val="0"/>
        <w:bidi w:val="0"/>
        <w:adjustRightInd/>
        <w:snapToGrid/>
        <w:spacing w:line="360" w:lineRule="auto"/>
        <w:ind w:left="0" w:leftChars="0" w:firstLine="0"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10.</w:t>
      </w:r>
      <w:r>
        <w:rPr>
          <w:rFonts w:hint="eastAsia" w:ascii="仿宋" w:hAnsi="仿宋" w:eastAsia="仿宋" w:cs="仿宋"/>
          <w:b/>
          <w:color w:val="auto"/>
          <w:sz w:val="24"/>
          <w:szCs w:val="24"/>
          <w:highlight w:val="none"/>
        </w:rPr>
        <w:t>响应文件的组成</w:t>
      </w:r>
    </w:p>
    <w:p w14:paraId="546BC9CF">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供应商准备的响应文件包括（但不限于）下列部分：</w:t>
      </w:r>
    </w:p>
    <w:p w14:paraId="58AAED16">
      <w:pPr>
        <w:keepNext w:val="0"/>
        <w:keepLines w:val="0"/>
        <w:pageBreakBefore w:val="0"/>
        <w:widowControl w:val="0"/>
        <w:kinsoku/>
        <w:wordWrap/>
        <w:overflowPunct/>
        <w:topLinePunct w:val="0"/>
        <w:bidi w:val="0"/>
        <w:adjustRightInd/>
        <w:snapToGrid/>
        <w:spacing w:line="360" w:lineRule="auto"/>
        <w:ind w:firstLine="482" w:firstLineChars="200"/>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一、资格</w:t>
      </w:r>
      <w:r>
        <w:rPr>
          <w:rFonts w:hint="eastAsia" w:ascii="仿宋" w:hAnsi="仿宋" w:eastAsia="仿宋" w:cs="仿宋"/>
          <w:b/>
          <w:bCs w:val="0"/>
          <w:color w:val="auto"/>
          <w:sz w:val="24"/>
          <w:szCs w:val="24"/>
          <w:highlight w:val="none"/>
          <w:lang w:eastAsia="zh-CN"/>
        </w:rPr>
        <w:t>响应</w:t>
      </w:r>
      <w:r>
        <w:rPr>
          <w:rFonts w:hint="eastAsia" w:ascii="仿宋" w:hAnsi="仿宋" w:eastAsia="仿宋" w:cs="仿宋"/>
          <w:b/>
          <w:bCs w:val="0"/>
          <w:color w:val="auto"/>
          <w:sz w:val="24"/>
          <w:szCs w:val="24"/>
          <w:highlight w:val="none"/>
        </w:rPr>
        <w:t>文件（后续供应商在线制作响应文件时需对资格审查项进行逐一关联响应）</w:t>
      </w:r>
    </w:p>
    <w:p w14:paraId="39C8FC1C">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1）具有独立承担民事责任的能力；（</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，提供在中华人民共和国境内注册</w:t>
      </w:r>
    </w:p>
    <w:p w14:paraId="4E8B1B1A">
      <w:pPr>
        <w:spacing w:line="400" w:lineRule="atLeast"/>
        <w:ind w:left="72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的法人或其他组织的营业执照或事业单位法人证书或社会团体法人登记证</w:t>
      </w:r>
      <w:r>
        <w:rPr>
          <w:rFonts w:hint="eastAsia" w:ascii="仿宋" w:hAnsi="仿宋" w:eastAsia="仿宋" w:cs="仿宋"/>
          <w:color w:val="auto"/>
          <w:kern w:val="0"/>
          <w:sz w:val="24"/>
          <w:szCs w:val="24"/>
          <w:highlight w:val="none"/>
          <w:lang w:val="en-US" w:eastAsia="zh-CN"/>
        </w:rPr>
        <w:t>原件</w:t>
      </w:r>
    </w:p>
    <w:p w14:paraId="20278E51">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彩色清晰</w:t>
      </w:r>
      <w:r>
        <w:rPr>
          <w:rFonts w:hint="eastAsia" w:ascii="仿宋" w:hAnsi="仿宋" w:eastAsia="仿宋" w:cs="仿宋"/>
          <w:color w:val="auto"/>
          <w:kern w:val="0"/>
          <w:sz w:val="24"/>
          <w:szCs w:val="24"/>
          <w:highlight w:val="none"/>
        </w:rPr>
        <w:t>扫描件。）</w:t>
      </w:r>
    </w:p>
    <w:p w14:paraId="35FC3615">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2）有依法缴纳税收和社会保障资金的良好记录；（</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，提供至本项目</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截止时间前一年内任意1个月缴纳税收凭据证明材料</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扫描件；如依法免税的，应提供相应文件证明；提供至本项目</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截止时间前一年内任意1个月缴纳社会保险的凭据证明材料</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扫描件；如依法不需要缴纳社会保障资金的，应提供相应文件证明。）</w:t>
      </w:r>
    </w:p>
    <w:p w14:paraId="61B705DE">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）具有良好的商业信誉和健全的财务会计制度；【</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，若</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成立超过</w:t>
      </w:r>
    </w:p>
    <w:p w14:paraId="52F5C677">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一年需提供2023年、2024年度任意一年的财务状况报表或经第三方审计出具的</w:t>
      </w:r>
    </w:p>
    <w:p w14:paraId="553408A5">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审计报告</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扫描件并加盖公章，</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成立不足一年（含一年）需提</w:t>
      </w:r>
    </w:p>
    <w:p w14:paraId="7D8A6261">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供近三个月内任意一个月的财务报告</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扫描件并加盖公章（需包含资</w:t>
      </w:r>
    </w:p>
    <w:p w14:paraId="58913245">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产负债表、现金流量表、利润表）或近三个月内任意一个月的银行资信证明材料</w:t>
      </w:r>
    </w:p>
    <w:p w14:paraId="3C02B53A">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扫描件并加盖公章；】</w:t>
      </w:r>
    </w:p>
    <w:p w14:paraId="45869E07">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）拥有一定的技术支持和后续服务能力；（</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出具承诺函，承诺满足要求，加盖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公章。）</w:t>
      </w:r>
    </w:p>
    <w:p w14:paraId="4F00C8C2">
      <w:pPr>
        <w:spacing w:line="400" w:lineRule="atLeast"/>
        <w:ind w:left="0" w:leftChars="0" w:firstLine="0" w:firstLineChars="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）参加采购活动前3年内，在经营活动中没有重大违法记录；（</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供应</w:t>
      </w:r>
    </w:p>
    <w:p w14:paraId="52831CB4">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商</w:t>
      </w:r>
      <w:r>
        <w:rPr>
          <w:rFonts w:hint="eastAsia" w:ascii="仿宋" w:hAnsi="仿宋" w:eastAsia="仿宋" w:cs="仿宋"/>
          <w:color w:val="auto"/>
          <w:kern w:val="0"/>
          <w:sz w:val="24"/>
          <w:szCs w:val="24"/>
          <w:highlight w:val="none"/>
        </w:rPr>
        <w:t>出具承诺函，加盖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公章。）</w:t>
      </w:r>
    </w:p>
    <w:p w14:paraId="28442254">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注：重大违法记录，是指</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因违法经营受到刑事处罚或者责令停产停业、吊</w:t>
      </w:r>
    </w:p>
    <w:p w14:paraId="2EB461BB">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销许可证或者执照、较大数额罚款等行政处罚。（较大数额罚款按照发出行政处</w:t>
      </w:r>
    </w:p>
    <w:p w14:paraId="61838246">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罚决定书部门所在省级政府，或实行垂直领导的国务院有关行政主管部门制定的</w:t>
      </w:r>
    </w:p>
    <w:p w14:paraId="030EE52E">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较大数额罚款标准，或罚款决定之前需要举行听证会的金额标准来认定。）</w:t>
      </w:r>
    </w:p>
    <w:p w14:paraId="68F96881">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SA"/>
        </w:rPr>
        <w:t>6）</w:t>
      </w:r>
      <w:r>
        <w:rPr>
          <w:rFonts w:hint="eastAsia" w:ascii="仿宋" w:hAnsi="仿宋" w:eastAsia="仿宋" w:cs="仿宋"/>
          <w:color w:val="auto"/>
          <w:kern w:val="0"/>
          <w:sz w:val="24"/>
          <w:szCs w:val="24"/>
          <w:highlight w:val="none"/>
        </w:rPr>
        <w:t>信用记录：</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未被列入“信用中国”网站(www.creditchina.gov.cn)“记</w:t>
      </w:r>
    </w:p>
    <w:p w14:paraId="3E10098B">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录失信被执行人、重大税收违法案件当事人名单、政府采购严重违法失信行为”</w:t>
      </w:r>
    </w:p>
    <w:p w14:paraId="7D6F4667">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记录名单；不处于中国政府采购网(www.ccgp.gov.cn)“政府采购严重违法失信</w:t>
      </w:r>
    </w:p>
    <w:p w14:paraId="18B67CE7">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行为信息记录”中的禁止参加政府采购活动期间。如相关失信记录已失效，</w:t>
      </w:r>
      <w:r>
        <w:rPr>
          <w:rFonts w:hint="eastAsia" w:ascii="仿宋" w:hAnsi="仿宋" w:eastAsia="仿宋" w:cs="仿宋"/>
          <w:color w:val="auto"/>
          <w:kern w:val="0"/>
          <w:sz w:val="24"/>
          <w:szCs w:val="24"/>
          <w:highlight w:val="none"/>
          <w:lang w:val="en-US" w:eastAsia="zh-CN"/>
        </w:rPr>
        <w:t>供应</w:t>
      </w:r>
    </w:p>
    <w:p w14:paraId="6924652B">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商</w:t>
      </w:r>
      <w:r>
        <w:rPr>
          <w:rFonts w:hint="eastAsia" w:ascii="仿宋" w:hAnsi="仿宋" w:eastAsia="仿宋" w:cs="仿宋"/>
          <w:color w:val="auto"/>
          <w:kern w:val="0"/>
          <w:sz w:val="24"/>
          <w:szCs w:val="24"/>
          <w:highlight w:val="none"/>
        </w:rPr>
        <w:t>需提供相关证明资料，如在上述网站查询结果均显示没有相关记录，视为没有</w:t>
      </w:r>
    </w:p>
    <w:p w14:paraId="754448FD">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shd w:val="clear" w:color="FFFFFF" w:fill="D9D9D9"/>
        </w:rPr>
      </w:pPr>
      <w:r>
        <w:rPr>
          <w:rFonts w:hint="eastAsia" w:ascii="仿宋" w:hAnsi="仿宋" w:eastAsia="仿宋" w:cs="仿宋"/>
          <w:color w:val="auto"/>
          <w:kern w:val="0"/>
          <w:sz w:val="24"/>
          <w:szCs w:val="24"/>
          <w:highlight w:val="none"/>
        </w:rPr>
        <w:t>上述不良信用记录；</w:t>
      </w:r>
    </w:p>
    <w:p w14:paraId="38E7A59A">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SA"/>
        </w:rPr>
        <w:t>7）</w:t>
      </w:r>
      <w:r>
        <w:rPr>
          <w:rFonts w:hint="eastAsia" w:ascii="仿宋" w:hAnsi="仿宋" w:eastAsia="仿宋" w:cs="仿宋"/>
          <w:color w:val="auto"/>
          <w:kern w:val="0"/>
          <w:sz w:val="24"/>
          <w:szCs w:val="24"/>
          <w:highlight w:val="none"/>
        </w:rPr>
        <w:t>单位负责人为同一人或者存在直接控股、管理关系的不同</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，不得参加</w:t>
      </w:r>
    </w:p>
    <w:p w14:paraId="7C6E19B1">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同一合同项下的政府采购活动。与采购人存在利害关系可能影响招标公正性的法</w:t>
      </w:r>
    </w:p>
    <w:p w14:paraId="3BBE5252">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人、其他组织或者个人，不得参加</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出具承诺函，加盖投</w:t>
      </w:r>
    </w:p>
    <w:p w14:paraId="645C75FC">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标人公章。）</w:t>
      </w:r>
    </w:p>
    <w:p w14:paraId="4691F1F1">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shd w:val="clear" w:color="FFFFFF" w:fill="D9D9D9"/>
          <w:lang w:val="en-US" w:eastAsia="zh-CN"/>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本项目</w:t>
      </w:r>
      <w:r>
        <w:rPr>
          <w:rFonts w:hint="eastAsia" w:ascii="仿宋" w:hAnsi="仿宋" w:eastAsia="仿宋" w:cs="仿宋"/>
          <w:bCs/>
          <w:color w:val="auto"/>
          <w:sz w:val="24"/>
          <w:szCs w:val="24"/>
          <w:highlight w:val="none"/>
        </w:rPr>
        <w:t>专门面向</w:t>
      </w:r>
      <w:r>
        <w:rPr>
          <w:rFonts w:hint="eastAsia" w:ascii="仿宋" w:hAnsi="仿宋" w:eastAsia="仿宋" w:cs="仿宋"/>
          <w:bCs/>
          <w:color w:val="auto"/>
          <w:sz w:val="24"/>
          <w:szCs w:val="24"/>
          <w:highlight w:val="none"/>
          <w:lang w:val="en-US" w:eastAsia="zh-CN"/>
        </w:rPr>
        <w:t>中小</w:t>
      </w:r>
      <w:r>
        <w:rPr>
          <w:rFonts w:hint="eastAsia" w:ascii="仿宋" w:hAnsi="仿宋" w:eastAsia="仿宋" w:cs="仿宋"/>
          <w:bCs/>
          <w:color w:val="auto"/>
          <w:sz w:val="24"/>
          <w:szCs w:val="24"/>
          <w:highlight w:val="none"/>
        </w:rPr>
        <w:t>企业采购项目（含中型、小型、微型企业）</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企业类型声明函</w:t>
      </w:r>
      <w:r>
        <w:rPr>
          <w:rFonts w:hint="eastAsia" w:ascii="仿宋" w:hAnsi="仿宋" w:eastAsia="仿宋" w:cs="仿宋"/>
          <w:color w:val="auto"/>
          <w:kern w:val="0"/>
          <w:sz w:val="24"/>
          <w:szCs w:val="24"/>
          <w:highlight w:val="none"/>
          <w:lang w:eastAsia="zh-CN"/>
        </w:rPr>
        <w:t>）</w:t>
      </w:r>
    </w:p>
    <w:p w14:paraId="770F044A">
      <w:pPr>
        <w:keepNext w:val="0"/>
        <w:keepLines w:val="0"/>
        <w:pageBreakBefore w:val="0"/>
        <w:widowControl w:val="0"/>
        <w:kinsoku/>
        <w:wordWrap/>
        <w:overflowPunct/>
        <w:topLinePunct w:val="0"/>
        <w:bidi w:val="0"/>
        <w:adjustRightInd/>
        <w:snapToGrid/>
        <w:spacing w:line="360" w:lineRule="auto"/>
        <w:ind w:firstLine="482"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
          <w:bCs w:val="0"/>
          <w:color w:val="auto"/>
          <w:sz w:val="24"/>
          <w:szCs w:val="24"/>
          <w:highlight w:val="none"/>
        </w:rPr>
        <w:t>二、</w:t>
      </w:r>
      <w:r>
        <w:rPr>
          <w:rFonts w:hint="eastAsia" w:ascii="仿宋" w:hAnsi="仿宋" w:eastAsia="仿宋" w:cs="仿宋"/>
          <w:b/>
          <w:bCs w:val="0"/>
          <w:color w:val="auto"/>
          <w:sz w:val="24"/>
          <w:szCs w:val="24"/>
          <w:highlight w:val="none"/>
          <w:lang w:eastAsia="zh-CN"/>
        </w:rPr>
        <w:t>响应文件（</w:t>
      </w:r>
      <w:r>
        <w:rPr>
          <w:rFonts w:hint="eastAsia" w:ascii="仿宋" w:hAnsi="仿宋" w:eastAsia="仿宋" w:cs="仿宋"/>
          <w:bCs/>
          <w:color w:val="auto"/>
          <w:sz w:val="24"/>
          <w:szCs w:val="24"/>
          <w:highlight w:val="none"/>
        </w:rPr>
        <w:t>商务技术文件</w:t>
      </w:r>
      <w:r>
        <w:rPr>
          <w:rFonts w:hint="eastAsia" w:ascii="仿宋" w:hAnsi="仿宋" w:eastAsia="仿宋" w:cs="仿宋"/>
          <w:b/>
          <w:bCs w:val="0"/>
          <w:color w:val="auto"/>
          <w:sz w:val="24"/>
          <w:szCs w:val="24"/>
          <w:highlight w:val="none"/>
          <w:lang w:eastAsia="zh-CN"/>
        </w:rPr>
        <w:t>）</w:t>
      </w:r>
    </w:p>
    <w:p w14:paraId="78620583">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函</w:t>
      </w:r>
    </w:p>
    <w:p w14:paraId="6910A6C6">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2、报价一览表</w:t>
      </w:r>
    </w:p>
    <w:p w14:paraId="14025016">
      <w:pPr>
        <w:spacing w:line="400" w:lineRule="atLeast"/>
        <w:ind w:left="720" w:hanging="720" w:hanging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eastAsia="zh-CN"/>
        </w:rPr>
        <w:t>分项报价表</w:t>
      </w:r>
    </w:p>
    <w:p w14:paraId="4EE157C7">
      <w:pPr>
        <w:spacing w:line="400" w:lineRule="atLeast"/>
        <w:ind w:left="72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关于资格的声明函</w:t>
      </w:r>
    </w:p>
    <w:p w14:paraId="39B903F0">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5、反商业贿赂承诺书</w:t>
      </w:r>
    </w:p>
    <w:p w14:paraId="18C79C35">
      <w:pPr>
        <w:spacing w:line="400" w:lineRule="atLeast"/>
        <w:ind w:left="720" w:hanging="720" w:hanging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6、法定代表人身份证明书</w:t>
      </w:r>
    </w:p>
    <w:p w14:paraId="2CF2E099">
      <w:pPr>
        <w:spacing w:line="400" w:lineRule="atLeast"/>
        <w:ind w:left="720" w:hanging="720" w:hanging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7、法定代表人授权委托书</w:t>
      </w:r>
    </w:p>
    <w:p w14:paraId="28DBBD13">
      <w:pPr>
        <w:spacing w:line="400" w:lineRule="atLeast"/>
        <w:ind w:left="720" w:hanging="720" w:hanging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8、商务条款偏离表</w:t>
      </w:r>
    </w:p>
    <w:p w14:paraId="36EC5A9E">
      <w:pPr>
        <w:spacing w:line="400" w:lineRule="atLeast"/>
        <w:ind w:left="720" w:hanging="720" w:hanging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9、技术参数条款偏离表</w:t>
      </w:r>
    </w:p>
    <w:p w14:paraId="2954360A">
      <w:pPr>
        <w:spacing w:line="400" w:lineRule="atLeast"/>
        <w:ind w:left="720" w:hanging="720" w:hanging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1</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供应商</w:t>
      </w:r>
      <w:r>
        <w:rPr>
          <w:rFonts w:hint="eastAsia" w:ascii="仿宋" w:hAnsi="仿宋" w:eastAsia="仿宋" w:cs="仿宋"/>
          <w:color w:val="auto"/>
          <w:kern w:val="0"/>
          <w:sz w:val="24"/>
          <w:szCs w:val="24"/>
          <w:highlight w:val="none"/>
          <w:lang w:eastAsia="zh-CN"/>
        </w:rPr>
        <w:t>近三年（202</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年</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月1日至今）</w:t>
      </w:r>
      <w:r>
        <w:rPr>
          <w:rFonts w:hint="eastAsia" w:ascii="仿宋" w:hAnsi="仿宋" w:eastAsia="仿宋" w:cs="仿宋"/>
          <w:color w:val="auto"/>
          <w:kern w:val="0"/>
          <w:sz w:val="24"/>
          <w:szCs w:val="24"/>
          <w:highlight w:val="none"/>
          <w:lang w:val="en-US" w:eastAsia="zh-CN"/>
        </w:rPr>
        <w:t>类似</w:t>
      </w:r>
      <w:r>
        <w:rPr>
          <w:rFonts w:hint="eastAsia" w:ascii="仿宋" w:hAnsi="仿宋" w:eastAsia="仿宋" w:cs="仿宋"/>
          <w:color w:val="auto"/>
          <w:kern w:val="0"/>
          <w:sz w:val="24"/>
          <w:szCs w:val="24"/>
          <w:highlight w:val="none"/>
          <w:lang w:eastAsia="zh-CN"/>
        </w:rPr>
        <w:t>业绩</w:t>
      </w:r>
    </w:p>
    <w:p w14:paraId="60266CBD">
      <w:pPr>
        <w:spacing w:line="400" w:lineRule="atLeast"/>
        <w:ind w:left="720" w:hanging="720" w:hanging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1</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、项目实施供货方案</w:t>
      </w:r>
    </w:p>
    <w:p w14:paraId="57DDE293">
      <w:pPr>
        <w:spacing w:line="400" w:lineRule="atLeast"/>
        <w:ind w:left="720" w:hanging="720" w:hanging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1</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、项目实施人员</w:t>
      </w:r>
    </w:p>
    <w:p w14:paraId="6B77D3EA">
      <w:pPr>
        <w:spacing w:line="400" w:lineRule="atLeast"/>
        <w:ind w:left="72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13、本地化服务</w:t>
      </w:r>
    </w:p>
    <w:p w14:paraId="697E6DD9">
      <w:pPr>
        <w:spacing w:line="400" w:lineRule="atLeast"/>
        <w:ind w:left="72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14、售后服务人员</w:t>
      </w:r>
    </w:p>
    <w:p w14:paraId="4528A0FD">
      <w:pPr>
        <w:spacing w:line="400" w:lineRule="atLeast"/>
        <w:ind w:left="72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15、售后方案</w:t>
      </w:r>
    </w:p>
    <w:p w14:paraId="3CD0B2C9">
      <w:pPr>
        <w:spacing w:line="400" w:lineRule="atLeast"/>
        <w:ind w:left="72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w:t>
      </w:r>
      <w:r>
        <w:rPr>
          <w:rFonts w:hint="eastAsia" w:ascii="仿宋" w:hAnsi="仿宋" w:eastAsia="仿宋" w:cs="仿宋"/>
          <w:color w:val="auto"/>
          <w:kern w:val="0"/>
          <w:sz w:val="24"/>
          <w:szCs w:val="24"/>
          <w:highlight w:val="none"/>
          <w:lang w:eastAsia="zh-CN"/>
        </w:rPr>
        <w:t>培训服务</w:t>
      </w:r>
    </w:p>
    <w:p w14:paraId="1CCA80F5">
      <w:pPr>
        <w:spacing w:line="400" w:lineRule="atLeast"/>
        <w:ind w:left="720" w:hanging="720" w:hangingChars="30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17、质量保证</w:t>
      </w:r>
    </w:p>
    <w:p w14:paraId="209A3387">
      <w:pPr>
        <w:spacing w:line="400" w:lineRule="atLeast"/>
        <w:ind w:left="72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18、中小微企业、残疾人福利性单位、监狱企业声明函</w:t>
      </w:r>
    </w:p>
    <w:p w14:paraId="2E8E02D9">
      <w:pPr>
        <w:spacing w:line="400" w:lineRule="atLeast"/>
        <w:ind w:left="720" w:hanging="720" w:hangingChars="3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19、</w:t>
      </w:r>
      <w:r>
        <w:rPr>
          <w:rFonts w:hint="eastAsia" w:ascii="仿宋" w:hAnsi="仿宋" w:eastAsia="仿宋" w:cs="仿宋"/>
          <w:color w:val="auto"/>
          <w:kern w:val="0"/>
          <w:sz w:val="24"/>
          <w:szCs w:val="24"/>
          <w:highlight w:val="none"/>
          <w:lang w:eastAsia="zh-CN"/>
        </w:rPr>
        <w:t>供应商认为需要提交的其他文件</w:t>
      </w:r>
    </w:p>
    <w:p w14:paraId="7F7B7DED">
      <w:pPr>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注：为了便于查找，请按上述顺序编制</w:t>
      </w:r>
      <w:r>
        <w:rPr>
          <w:rFonts w:hint="eastAsia" w:ascii="仿宋" w:hAnsi="仿宋" w:eastAsia="仿宋" w:cs="仿宋"/>
          <w:b/>
          <w:bCs/>
          <w:color w:val="auto"/>
          <w:sz w:val="24"/>
          <w:szCs w:val="24"/>
          <w:highlight w:val="none"/>
          <w:lang w:eastAsia="zh-CN"/>
        </w:rPr>
        <w:t>响应文件</w:t>
      </w:r>
      <w:r>
        <w:rPr>
          <w:rFonts w:hint="eastAsia" w:ascii="仿宋" w:hAnsi="仿宋" w:eastAsia="仿宋" w:cs="仿宋"/>
          <w:b/>
          <w:bCs/>
          <w:color w:val="auto"/>
          <w:sz w:val="24"/>
          <w:szCs w:val="24"/>
          <w:highlight w:val="none"/>
        </w:rPr>
        <w:t>内容，并在目录中标明每项内容的起始页码。</w:t>
      </w:r>
    </w:p>
    <w:p w14:paraId="6ACCE494">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highlight w:val="none"/>
        </w:rPr>
      </w:pPr>
      <w:r>
        <w:rPr>
          <w:rFonts w:hint="default" w:ascii="仿宋" w:hAnsi="仿宋" w:eastAsia="仿宋" w:cs="仿宋"/>
          <w:b/>
          <w:color w:val="auto"/>
          <w:kern w:val="2"/>
          <w:sz w:val="24"/>
          <w:highlight w:val="none"/>
          <w:lang w:val="en-US" w:eastAsia="zh-CN" w:bidi="ar-SA"/>
        </w:rPr>
        <w:t>11.</w:t>
      </w:r>
      <w:r>
        <w:rPr>
          <w:rFonts w:hint="eastAsia" w:ascii="仿宋" w:hAnsi="仿宋" w:eastAsia="仿宋" w:cs="仿宋"/>
          <w:b/>
          <w:color w:val="auto"/>
          <w:sz w:val="24"/>
          <w:highlight w:val="none"/>
        </w:rPr>
        <w:t>响应文件格式</w:t>
      </w:r>
    </w:p>
    <w:p w14:paraId="63CDD904">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供应商应按询价文件的范本格式中提供的响应文件格式认真填写响应文件。如响应文件中提供的各类表格不能包含全部内容，供应商可自行添加。</w:t>
      </w:r>
    </w:p>
    <w:p w14:paraId="55FC0895">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highlight w:val="none"/>
          <w:lang w:eastAsia="zh-CN"/>
        </w:rPr>
      </w:pPr>
      <w:r>
        <w:rPr>
          <w:rFonts w:hint="default" w:ascii="仿宋" w:hAnsi="仿宋" w:eastAsia="仿宋" w:cs="仿宋"/>
          <w:b/>
          <w:color w:val="auto"/>
          <w:kern w:val="2"/>
          <w:sz w:val="24"/>
          <w:highlight w:val="none"/>
          <w:lang w:val="en-US" w:eastAsia="zh-CN" w:bidi="ar-SA"/>
        </w:rPr>
        <w:t>12.</w:t>
      </w:r>
      <w:r>
        <w:rPr>
          <w:rFonts w:hint="eastAsia" w:ascii="仿宋" w:hAnsi="仿宋" w:eastAsia="仿宋" w:cs="仿宋"/>
          <w:b/>
          <w:color w:val="auto"/>
          <w:sz w:val="24"/>
          <w:highlight w:val="none"/>
          <w:lang w:val="en-US" w:eastAsia="zh-CN"/>
        </w:rPr>
        <w:t>询价</w:t>
      </w:r>
      <w:r>
        <w:rPr>
          <w:rFonts w:hint="eastAsia" w:ascii="仿宋" w:hAnsi="仿宋" w:eastAsia="仿宋" w:cs="仿宋"/>
          <w:b/>
          <w:color w:val="auto"/>
          <w:sz w:val="24"/>
          <w:highlight w:val="none"/>
          <w:lang w:eastAsia="zh-CN"/>
        </w:rPr>
        <w:t>报价</w:t>
      </w:r>
    </w:p>
    <w:p w14:paraId="0FF57740">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w:t>
      </w:r>
      <w:r>
        <w:rPr>
          <w:rFonts w:hint="eastAsia" w:ascii="仿宋" w:hAnsi="仿宋" w:eastAsia="仿宋" w:cs="仿宋"/>
          <w:color w:val="auto"/>
          <w:sz w:val="24"/>
          <w:highlight w:val="none"/>
          <w:lang w:val="en-US" w:eastAsia="zh-CN"/>
        </w:rPr>
        <w:t>询价</w:t>
      </w:r>
      <w:r>
        <w:rPr>
          <w:rFonts w:hint="eastAsia" w:ascii="仿宋" w:hAnsi="仿宋" w:eastAsia="仿宋" w:cs="仿宋"/>
          <w:color w:val="auto"/>
          <w:sz w:val="24"/>
          <w:highlight w:val="none"/>
          <w:lang w:eastAsia="zh-CN"/>
        </w:rPr>
        <w:t>报价</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lang w:val="en-US" w:eastAsia="zh-CN"/>
        </w:rPr>
        <w:t>响应报</w:t>
      </w:r>
      <w:r>
        <w:rPr>
          <w:rFonts w:hint="eastAsia" w:ascii="仿宋" w:hAnsi="仿宋" w:eastAsia="仿宋" w:cs="仿宋"/>
          <w:color w:val="auto"/>
          <w:sz w:val="24"/>
          <w:highlight w:val="none"/>
        </w:rPr>
        <w:t>价。</w:t>
      </w:r>
    </w:p>
    <w:p w14:paraId="12170517">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响应报价</w:t>
      </w:r>
      <w:r>
        <w:rPr>
          <w:rFonts w:hint="eastAsia" w:ascii="仿宋" w:hAnsi="仿宋" w:eastAsia="仿宋" w:cs="仿宋"/>
          <w:color w:val="auto"/>
          <w:sz w:val="24"/>
          <w:highlight w:val="none"/>
        </w:rPr>
        <w:t>应包括以下内容：</w:t>
      </w:r>
    </w:p>
    <w:p w14:paraId="0EDAD50A">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.2.1培训费、服务人员工资、技术服务费</w:t>
      </w:r>
      <w:r>
        <w:rPr>
          <w:rFonts w:hint="eastAsia" w:ascii="仿宋" w:hAnsi="仿宋" w:eastAsia="仿宋" w:cs="仿宋"/>
          <w:color w:val="auto"/>
          <w:sz w:val="24"/>
          <w:highlight w:val="none"/>
          <w:lang w:eastAsia="zh-CN"/>
        </w:rPr>
        <w:t>、运输费</w:t>
      </w:r>
      <w:r>
        <w:rPr>
          <w:rFonts w:hint="eastAsia" w:ascii="仿宋" w:hAnsi="仿宋" w:eastAsia="仿宋" w:cs="仿宋"/>
          <w:color w:val="auto"/>
          <w:sz w:val="24"/>
          <w:highlight w:val="none"/>
        </w:rPr>
        <w:t>与本项目相关的一切费用等。</w:t>
      </w:r>
    </w:p>
    <w:p w14:paraId="672F0F43">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供应商应在</w:t>
      </w:r>
      <w:r>
        <w:rPr>
          <w:rFonts w:hint="eastAsia" w:ascii="仿宋" w:hAnsi="仿宋" w:eastAsia="仿宋" w:cs="仿宋"/>
          <w:color w:val="auto"/>
          <w:sz w:val="24"/>
          <w:szCs w:val="24"/>
          <w:highlight w:val="none"/>
          <w:lang w:eastAsia="zh-CN"/>
        </w:rPr>
        <w:t>响应报价</w:t>
      </w:r>
      <w:r>
        <w:rPr>
          <w:rFonts w:hint="eastAsia" w:ascii="仿宋" w:hAnsi="仿宋" w:eastAsia="仿宋" w:cs="仿宋"/>
          <w:color w:val="auto"/>
          <w:sz w:val="24"/>
          <w:szCs w:val="24"/>
          <w:highlight w:val="none"/>
        </w:rPr>
        <w:t>表中标明其提供的所有服务及其完成本项目相关工作范围内所有费用的总价，采购人不接受有任何选择性报价。</w:t>
      </w:r>
    </w:p>
    <w:p w14:paraId="795E61A3">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.2.2所有的单价、合价及总价均按</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文件中价格表的格式填写，以人民币报价。</w:t>
      </w:r>
    </w:p>
    <w:p w14:paraId="5CE23BD1">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.2.3供应商的价格必须保证在</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有效期及服务期内固定不变。</w:t>
      </w:r>
    </w:p>
    <w:p w14:paraId="67000CC7">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.2.4不接受任何变通或有任何选择性的报价。报价必须唯一、确定、严格。当在单价和总价之间出现任何差异时，以单价为准，除非单价有明显的小数点错误，则以合计价格修正单价。</w:t>
      </w:r>
    </w:p>
    <w:p w14:paraId="4FDBBD81">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.2.5供应商不得以低于成本的报价竞标，也不得以其他方式弄虚作假，骗取中标</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w:t>
      </w:r>
    </w:p>
    <w:p w14:paraId="3AC47A29">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.2.6</w:t>
      </w:r>
      <w:r>
        <w:rPr>
          <w:rFonts w:hint="eastAsia" w:ascii="仿宋" w:hAnsi="仿宋" w:eastAsia="仿宋" w:cs="仿宋"/>
          <w:b w:val="0"/>
          <w:bCs/>
          <w:color w:val="auto"/>
          <w:sz w:val="24"/>
          <w:szCs w:val="24"/>
          <w:highlight w:val="none"/>
        </w:rPr>
        <w:t>招标代理费：采购人委托</w:t>
      </w:r>
      <w:r>
        <w:rPr>
          <w:rFonts w:hint="eastAsia" w:ascii="仿宋" w:hAnsi="仿宋" w:eastAsia="仿宋" w:cs="仿宋"/>
          <w:b w:val="0"/>
          <w:bCs/>
          <w:color w:val="auto"/>
          <w:sz w:val="24"/>
          <w:szCs w:val="24"/>
          <w:highlight w:val="none"/>
          <w:lang w:eastAsia="zh-CN"/>
        </w:rPr>
        <w:t>新疆恒达壹品项目管理咨询有限公司</w:t>
      </w:r>
      <w:r>
        <w:rPr>
          <w:rFonts w:hint="eastAsia" w:ascii="仿宋" w:hAnsi="仿宋" w:eastAsia="仿宋" w:cs="仿宋"/>
          <w:b w:val="0"/>
          <w:bCs/>
          <w:color w:val="auto"/>
          <w:sz w:val="24"/>
          <w:szCs w:val="24"/>
          <w:highlight w:val="none"/>
        </w:rPr>
        <w:t>作为本项目的招标代理机构。</w:t>
      </w:r>
      <w:bookmarkStart w:id="8" w:name="_Toc28098"/>
      <w:r>
        <w:rPr>
          <w:rFonts w:hint="eastAsia" w:ascii="仿宋" w:hAnsi="仿宋" w:eastAsia="仿宋" w:cs="仿宋"/>
          <w:b w:val="0"/>
          <w:bCs/>
          <w:color w:val="auto"/>
          <w:sz w:val="24"/>
          <w:szCs w:val="24"/>
          <w:highlight w:val="none"/>
        </w:rPr>
        <w:t>招标代理服务费</w:t>
      </w:r>
      <w:r>
        <w:rPr>
          <w:rFonts w:hint="eastAsia" w:ascii="仿宋" w:hAnsi="仿宋" w:eastAsia="仿宋" w:cs="仿宋"/>
          <w:b w:val="0"/>
          <w:bCs/>
          <w:color w:val="auto"/>
          <w:sz w:val="24"/>
          <w:szCs w:val="24"/>
          <w:highlight w:val="none"/>
          <w:lang w:val="en-US" w:eastAsia="zh-CN"/>
        </w:rPr>
        <w:t>有中标（成交）单位</w:t>
      </w:r>
      <w:r>
        <w:rPr>
          <w:rFonts w:hint="eastAsia" w:ascii="仿宋" w:hAnsi="仿宋" w:eastAsia="仿宋" w:cs="仿宋"/>
          <w:b w:val="0"/>
          <w:bCs/>
          <w:color w:val="auto"/>
          <w:sz w:val="24"/>
          <w:szCs w:val="24"/>
          <w:highlight w:val="none"/>
        </w:rPr>
        <w:t>在领取中标（成交）通知书时一次性付清招标代理服务费</w:t>
      </w:r>
      <w:bookmarkEnd w:id="8"/>
      <w:r>
        <w:rPr>
          <w:rFonts w:hint="eastAsia" w:ascii="仿宋" w:hAnsi="仿宋" w:eastAsia="仿宋" w:cs="仿宋"/>
          <w:b w:val="0"/>
          <w:bCs/>
          <w:color w:val="auto"/>
          <w:sz w:val="24"/>
          <w:szCs w:val="24"/>
          <w:highlight w:val="none"/>
        </w:rPr>
        <w:t>。本项目招标代理服务费由中标人支付。招标代理服务收费标准：依据国家计委关于《招标代理服务费收费管理暂行办法》(计价格【2002】1980号)文件</w:t>
      </w:r>
      <w:r>
        <w:rPr>
          <w:rFonts w:hint="eastAsia" w:ascii="仿宋" w:hAnsi="仿宋" w:eastAsia="仿宋" w:cs="仿宋"/>
          <w:b w:val="0"/>
          <w:bCs/>
          <w:color w:val="auto"/>
          <w:sz w:val="24"/>
          <w:szCs w:val="24"/>
          <w:highlight w:val="none"/>
          <w:lang w:val="en-US" w:eastAsia="zh-CN"/>
        </w:rPr>
        <w:t>执行</w:t>
      </w:r>
      <w:r>
        <w:rPr>
          <w:rFonts w:hint="eastAsia" w:ascii="仿宋" w:hAnsi="仿宋" w:eastAsia="仿宋" w:cs="仿宋"/>
          <w:b w:val="0"/>
          <w:bCs/>
          <w:color w:val="auto"/>
          <w:sz w:val="24"/>
          <w:szCs w:val="24"/>
          <w:highlight w:val="none"/>
        </w:rPr>
        <w:t>。</w:t>
      </w:r>
    </w:p>
    <w:p w14:paraId="25FC20DC">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.3为了防止本次</w:t>
      </w:r>
      <w:r>
        <w:rPr>
          <w:rFonts w:hint="eastAsia" w:ascii="仿宋" w:hAnsi="仿宋" w:eastAsia="仿宋" w:cs="仿宋"/>
          <w:b w:val="0"/>
          <w:bCs/>
          <w:color w:val="auto"/>
          <w:sz w:val="24"/>
          <w:szCs w:val="24"/>
          <w:highlight w:val="none"/>
          <w:lang w:val="en-US" w:eastAsia="zh-CN"/>
        </w:rPr>
        <w:t>采购</w:t>
      </w:r>
      <w:r>
        <w:rPr>
          <w:rFonts w:hint="eastAsia" w:ascii="仿宋" w:hAnsi="仿宋" w:eastAsia="仿宋" w:cs="仿宋"/>
          <w:b w:val="0"/>
          <w:bCs/>
          <w:color w:val="auto"/>
          <w:sz w:val="24"/>
          <w:szCs w:val="24"/>
          <w:highlight w:val="none"/>
        </w:rPr>
        <w:t>的</w:t>
      </w:r>
      <w:r>
        <w:rPr>
          <w:rFonts w:hint="eastAsia" w:ascii="仿宋" w:hAnsi="仿宋" w:eastAsia="仿宋" w:cs="仿宋"/>
          <w:b w:val="0"/>
          <w:bCs/>
          <w:color w:val="auto"/>
          <w:sz w:val="24"/>
          <w:szCs w:val="24"/>
          <w:highlight w:val="none"/>
          <w:lang w:eastAsia="zh-CN"/>
        </w:rPr>
        <w:t>响应报价</w:t>
      </w:r>
      <w:r>
        <w:rPr>
          <w:rFonts w:hint="eastAsia" w:ascii="仿宋" w:hAnsi="仿宋" w:eastAsia="仿宋" w:cs="仿宋"/>
          <w:b w:val="0"/>
          <w:bCs/>
          <w:color w:val="auto"/>
          <w:sz w:val="24"/>
          <w:szCs w:val="24"/>
          <w:highlight w:val="none"/>
        </w:rPr>
        <w:t>过高，超出采购人为本次采购项目的资金支付能力，采购人依据主管部门的批复为本次招标项目的设定了</w:t>
      </w:r>
      <w:bookmarkStart w:id="9" w:name="OLE_LINK11"/>
      <w:r>
        <w:rPr>
          <w:rFonts w:hint="eastAsia" w:ascii="仿宋" w:hAnsi="仿宋" w:eastAsia="仿宋" w:cs="仿宋"/>
          <w:b w:val="0"/>
          <w:bCs/>
          <w:color w:val="auto"/>
          <w:sz w:val="24"/>
          <w:szCs w:val="24"/>
          <w:highlight w:val="none"/>
        </w:rPr>
        <w:t>最高限价</w:t>
      </w:r>
      <w:bookmarkEnd w:id="9"/>
      <w:r>
        <w:rPr>
          <w:rFonts w:hint="eastAsia" w:ascii="仿宋" w:hAnsi="仿宋" w:eastAsia="仿宋" w:cs="仿宋"/>
          <w:b w:val="0"/>
          <w:bCs/>
          <w:color w:val="auto"/>
          <w:sz w:val="24"/>
          <w:szCs w:val="24"/>
          <w:highlight w:val="none"/>
        </w:rPr>
        <w:t>（即采购预算），如果供应商的</w:t>
      </w:r>
      <w:r>
        <w:rPr>
          <w:rFonts w:hint="eastAsia" w:ascii="仿宋" w:hAnsi="仿宋" w:eastAsia="仿宋" w:cs="仿宋"/>
          <w:b w:val="0"/>
          <w:bCs/>
          <w:color w:val="auto"/>
          <w:sz w:val="24"/>
          <w:szCs w:val="24"/>
          <w:highlight w:val="none"/>
          <w:lang w:eastAsia="zh-CN"/>
        </w:rPr>
        <w:t>响应报价</w:t>
      </w:r>
      <w:r>
        <w:rPr>
          <w:rFonts w:hint="eastAsia" w:ascii="仿宋" w:hAnsi="仿宋" w:eastAsia="仿宋" w:cs="仿宋"/>
          <w:b w:val="0"/>
          <w:bCs/>
          <w:color w:val="auto"/>
          <w:sz w:val="24"/>
          <w:szCs w:val="24"/>
          <w:highlight w:val="none"/>
        </w:rPr>
        <w:t>高于本项目的最高限价，其响应文件将被拒绝；如果所有供应商的</w:t>
      </w:r>
      <w:r>
        <w:rPr>
          <w:rFonts w:hint="eastAsia" w:ascii="仿宋" w:hAnsi="仿宋" w:eastAsia="仿宋" w:cs="仿宋"/>
          <w:b w:val="0"/>
          <w:bCs/>
          <w:color w:val="auto"/>
          <w:sz w:val="24"/>
          <w:szCs w:val="24"/>
          <w:highlight w:val="none"/>
          <w:lang w:eastAsia="zh-CN"/>
        </w:rPr>
        <w:t>响应报价</w:t>
      </w:r>
      <w:r>
        <w:rPr>
          <w:rFonts w:hint="eastAsia" w:ascii="仿宋" w:hAnsi="仿宋" w:eastAsia="仿宋" w:cs="仿宋"/>
          <w:b w:val="0"/>
          <w:bCs/>
          <w:color w:val="auto"/>
          <w:sz w:val="24"/>
          <w:szCs w:val="24"/>
          <w:highlight w:val="none"/>
        </w:rPr>
        <w:t>均最高限价，采购人有权重新组织招标。</w:t>
      </w:r>
    </w:p>
    <w:p w14:paraId="6D4DEE83">
      <w:pPr>
        <w:keepNext w:val="0"/>
        <w:keepLines w:val="0"/>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报价货币单位：人民币。</w:t>
      </w:r>
    </w:p>
    <w:p w14:paraId="24297039">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highlight w:val="none"/>
        </w:rPr>
      </w:pPr>
      <w:r>
        <w:rPr>
          <w:rFonts w:hint="default" w:ascii="仿宋" w:hAnsi="仿宋" w:eastAsia="仿宋" w:cs="仿宋"/>
          <w:b/>
          <w:color w:val="auto"/>
          <w:kern w:val="2"/>
          <w:sz w:val="24"/>
          <w:highlight w:val="none"/>
          <w:lang w:val="en-US" w:eastAsia="zh-CN" w:bidi="ar-SA"/>
        </w:rPr>
        <w:t>13.</w:t>
      </w:r>
      <w:r>
        <w:rPr>
          <w:rFonts w:hint="eastAsia" w:ascii="仿宋" w:hAnsi="仿宋" w:eastAsia="仿宋" w:cs="仿宋"/>
          <w:b/>
          <w:color w:val="auto"/>
          <w:sz w:val="24"/>
          <w:highlight w:val="none"/>
        </w:rPr>
        <w:t>服务计划</w:t>
      </w:r>
    </w:p>
    <w:p w14:paraId="2DF05B63">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供应商可以针对本次</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项目的实际需求拟定完善的服务计划。</w:t>
      </w:r>
    </w:p>
    <w:p w14:paraId="4DA6322C">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highlight w:val="none"/>
        </w:rPr>
      </w:pPr>
      <w:r>
        <w:rPr>
          <w:rFonts w:hint="default" w:ascii="仿宋" w:hAnsi="仿宋" w:eastAsia="仿宋" w:cs="仿宋"/>
          <w:b/>
          <w:color w:val="auto"/>
          <w:kern w:val="2"/>
          <w:sz w:val="24"/>
          <w:highlight w:val="none"/>
          <w:lang w:val="en-US" w:eastAsia="zh-CN" w:bidi="ar-SA"/>
        </w:rPr>
        <w:t>14.</w:t>
      </w:r>
      <w:r>
        <w:rPr>
          <w:rFonts w:hint="eastAsia" w:ascii="仿宋" w:hAnsi="仿宋" w:eastAsia="仿宋" w:cs="仿宋"/>
          <w:b/>
          <w:color w:val="auto"/>
          <w:sz w:val="24"/>
          <w:highlight w:val="none"/>
        </w:rPr>
        <w:t>询价有效期</w:t>
      </w:r>
    </w:p>
    <w:p w14:paraId="7656D835">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bookmarkStart w:id="10" w:name="_Toc31693"/>
      <w:r>
        <w:rPr>
          <w:rFonts w:hint="eastAsia" w:ascii="仿宋" w:hAnsi="仿宋" w:eastAsia="仿宋" w:cs="仿宋"/>
          <w:bCs/>
          <w:color w:val="auto"/>
          <w:sz w:val="24"/>
          <w:szCs w:val="24"/>
          <w:highlight w:val="none"/>
        </w:rPr>
        <w:t>14.1</w:t>
      </w:r>
      <w:r>
        <w:rPr>
          <w:rFonts w:hint="eastAsia" w:ascii="仿宋" w:hAnsi="仿宋" w:eastAsia="仿宋" w:cs="仿宋"/>
          <w:color w:val="auto"/>
          <w:sz w:val="24"/>
          <w:highlight w:val="none"/>
        </w:rPr>
        <w:t>响应文件从询价之日起，询价有效期为</w:t>
      </w:r>
      <w:r>
        <w:rPr>
          <w:rFonts w:hint="eastAsia" w:ascii="仿宋" w:hAnsi="仿宋" w:eastAsia="仿宋" w:cs="仿宋"/>
          <w:color w:val="auto"/>
          <w:sz w:val="24"/>
          <w:highlight w:val="none"/>
          <w:u w:val="single"/>
          <w:lang w:val="en-US" w:eastAsia="zh-CN"/>
        </w:rPr>
        <w:t>90</w:t>
      </w:r>
      <w:r>
        <w:rPr>
          <w:rFonts w:hint="eastAsia" w:ascii="仿宋" w:hAnsi="仿宋" w:eastAsia="仿宋" w:cs="仿宋"/>
          <w:color w:val="auto"/>
          <w:sz w:val="24"/>
          <w:highlight w:val="none"/>
        </w:rPr>
        <w:t>日历日（从</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截止之日算起）。</w:t>
      </w:r>
    </w:p>
    <w:p w14:paraId="55768C14">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14.2在特殊情况下，</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可与供应商协商延长</w:t>
      </w:r>
      <w:r>
        <w:rPr>
          <w:rFonts w:hint="eastAsia" w:ascii="仿宋" w:hAnsi="仿宋" w:eastAsia="仿宋" w:cs="仿宋"/>
          <w:bCs/>
          <w:color w:val="auto"/>
          <w:sz w:val="24"/>
          <w:szCs w:val="24"/>
          <w:highlight w:val="none"/>
          <w:lang w:val="en-US" w:eastAsia="zh-CN"/>
        </w:rPr>
        <w:t>询价</w:t>
      </w:r>
      <w:r>
        <w:rPr>
          <w:rFonts w:hint="eastAsia" w:ascii="仿宋" w:hAnsi="仿宋" w:eastAsia="仿宋" w:cs="仿宋"/>
          <w:bCs/>
          <w:color w:val="auto"/>
          <w:sz w:val="24"/>
          <w:szCs w:val="24"/>
          <w:highlight w:val="none"/>
        </w:rPr>
        <w:t>有效期。</w:t>
      </w:r>
    </w:p>
    <w:bookmarkEnd w:id="10"/>
    <w:p w14:paraId="4C6E7D25">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15.</w:t>
      </w:r>
      <w:r>
        <w:rPr>
          <w:rFonts w:hint="eastAsia" w:ascii="仿宋" w:hAnsi="仿宋" w:eastAsia="仿宋" w:cs="仿宋"/>
          <w:b/>
          <w:color w:val="auto"/>
          <w:sz w:val="24"/>
          <w:szCs w:val="24"/>
          <w:highlight w:val="none"/>
        </w:rPr>
        <w:t>电子响应文件的编制</w:t>
      </w:r>
    </w:p>
    <w:p w14:paraId="067B30FE">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电子响应文件使用政府采购云平台电子交易平台提供的响应文件制作工具以及询价文件要求进行制作编制。响应文件制作时，不同内容按标签提示制作导入，按照询价文件中明确的响应文件目录和格式进行编制，保证目录清晰、内容完整。</w:t>
      </w:r>
    </w:p>
    <w:p w14:paraId="7AE21B26">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15.1电子响应文件须使用供应商公章的电子签章以及法定代表人的电子签章。若无电子签章，</w:t>
      </w:r>
      <w:r>
        <w:rPr>
          <w:rFonts w:hint="eastAsia" w:ascii="仿宋" w:hAnsi="仿宋" w:eastAsia="仿宋" w:cs="仿宋"/>
          <w:bCs/>
          <w:color w:val="auto"/>
          <w:sz w:val="24"/>
          <w:szCs w:val="24"/>
          <w:highlight w:val="none"/>
          <w:lang w:eastAsia="zh-CN"/>
        </w:rPr>
        <w:t>则视为无效响应</w:t>
      </w:r>
      <w:r>
        <w:rPr>
          <w:rFonts w:hint="eastAsia" w:ascii="仿宋" w:hAnsi="仿宋" w:eastAsia="仿宋" w:cs="仿宋"/>
          <w:bCs/>
          <w:color w:val="auto"/>
          <w:sz w:val="24"/>
          <w:szCs w:val="24"/>
          <w:highlight w:val="none"/>
        </w:rPr>
        <w:t>。</w:t>
      </w:r>
    </w:p>
    <w:p w14:paraId="314D487D">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15.2电子响应文件具有法律效力，与其他形式的响应文件在内容和格式上等同，若响应文件与询价文件要求不一致，其内容影响中标（成交）结果时，责任由供应商自行承担。供应商递交的电子响应文件因供应商自身原因而导致无法导入电子辅助评标系统，该响应文件视为无效响应文件，将导致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被拒绝。</w:t>
      </w:r>
    </w:p>
    <w:p w14:paraId="39816FB6">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15.3电子响应文件制作工具在生成加密响应文件时，同时生成非加密响应文件一份。</w:t>
      </w:r>
    </w:p>
    <w:p w14:paraId="14DFFC54">
      <w:pPr>
        <w:pageBreakBefore w:val="0"/>
        <w:widowControl w:val="0"/>
        <w:kinsoku/>
        <w:wordWrap/>
        <w:overflowPunct/>
        <w:topLinePunct w:val="0"/>
        <w:bidi w:val="0"/>
        <w:adjustRightInd/>
        <w:snapToGrid/>
        <w:spacing w:line="360" w:lineRule="auto"/>
        <w:jc w:val="center"/>
        <w:textAlignment w:val="auto"/>
        <w:outlineLvl w:val="9"/>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第四章响应文件的递交</w:t>
      </w:r>
    </w:p>
    <w:p w14:paraId="59D12A41">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16.</w:t>
      </w:r>
      <w:r>
        <w:rPr>
          <w:rFonts w:hint="eastAsia" w:ascii="仿宋" w:hAnsi="仿宋" w:eastAsia="仿宋" w:cs="仿宋"/>
          <w:b/>
          <w:color w:val="auto"/>
          <w:sz w:val="24"/>
          <w:szCs w:val="24"/>
          <w:highlight w:val="none"/>
        </w:rPr>
        <w:t>响应文件的标记</w:t>
      </w:r>
    </w:p>
    <w:p w14:paraId="0EFA2037">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16.1供应商应通过电子</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文件制作工具严格按询价文件要求制作响应文件，在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截止时间前完成上传经过数字证书电子签章并加密的响应文件（加密和解密须用同一把数字证书）。供应商在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截止时间前，可以对其所递交的响应文件进行修改并重新上传，但以</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截止时间前最后一次上传的响应文件为有效响应文件。</w:t>
      </w:r>
    </w:p>
    <w:p w14:paraId="355FDF5A">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16.2</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截止时间以政府采购云平台电子交易平台显示的时间为准，逾期系统将自动关闭，未完成上传的响应文件视为逾期送达，将被拒绝。</w:t>
      </w:r>
    </w:p>
    <w:p w14:paraId="06D50289">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16.3本项目采用不见面开标，无需提供电子响应文件U盘、纸质响应文件。</w:t>
      </w:r>
    </w:p>
    <w:p w14:paraId="072D8029">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highlight w:val="none"/>
          <w:lang w:eastAsia="zh-CN"/>
        </w:rPr>
      </w:pPr>
      <w:r>
        <w:rPr>
          <w:rFonts w:hint="default" w:ascii="仿宋" w:hAnsi="仿宋" w:eastAsia="仿宋" w:cs="仿宋"/>
          <w:b/>
          <w:color w:val="auto"/>
          <w:kern w:val="2"/>
          <w:sz w:val="24"/>
          <w:highlight w:val="none"/>
          <w:lang w:val="en-US" w:eastAsia="zh-CN" w:bidi="ar-SA"/>
        </w:rPr>
        <w:t>17.</w:t>
      </w:r>
      <w:r>
        <w:rPr>
          <w:rFonts w:hint="eastAsia" w:ascii="仿宋" w:hAnsi="仿宋" w:eastAsia="仿宋" w:cs="仿宋"/>
          <w:b/>
          <w:color w:val="auto"/>
          <w:sz w:val="24"/>
          <w:highlight w:val="none"/>
        </w:rPr>
        <w:t>询价保证金</w:t>
      </w:r>
    </w:p>
    <w:p w14:paraId="154B3B92">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1保证金的缴纳详见供应商须知前附表。</w:t>
      </w:r>
    </w:p>
    <w:p w14:paraId="7CE8F119">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2未按规定提交</w:t>
      </w:r>
      <w:r>
        <w:rPr>
          <w:rFonts w:hint="eastAsia" w:ascii="仿宋" w:hAnsi="仿宋" w:eastAsia="仿宋" w:cs="仿宋"/>
          <w:color w:val="auto"/>
          <w:sz w:val="24"/>
          <w:szCs w:val="24"/>
          <w:highlight w:val="none"/>
          <w:lang w:eastAsia="zh-CN"/>
        </w:rPr>
        <w:t>询价</w:t>
      </w:r>
      <w:r>
        <w:rPr>
          <w:rFonts w:hint="eastAsia" w:ascii="仿宋" w:hAnsi="仿宋" w:eastAsia="仿宋" w:cs="仿宋"/>
          <w:color w:val="auto"/>
          <w:sz w:val="24"/>
          <w:szCs w:val="24"/>
          <w:highlight w:val="none"/>
        </w:rPr>
        <w:t>保证金的</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，将被视为</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无效。</w:t>
      </w:r>
    </w:p>
    <w:p w14:paraId="1AD1E09A">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18.</w:t>
      </w:r>
      <w:r>
        <w:rPr>
          <w:rFonts w:hint="eastAsia" w:ascii="仿宋" w:hAnsi="仿宋" w:eastAsia="仿宋" w:cs="仿宋"/>
          <w:b/>
          <w:color w:val="auto"/>
          <w:sz w:val="24"/>
          <w:szCs w:val="24"/>
          <w:highlight w:val="none"/>
          <w:lang w:eastAsia="zh-CN"/>
        </w:rPr>
        <w:t>响应</w:t>
      </w:r>
      <w:r>
        <w:rPr>
          <w:rFonts w:hint="eastAsia" w:ascii="仿宋" w:hAnsi="仿宋" w:eastAsia="仿宋" w:cs="仿宋"/>
          <w:b/>
          <w:color w:val="auto"/>
          <w:sz w:val="24"/>
          <w:szCs w:val="24"/>
          <w:highlight w:val="none"/>
        </w:rPr>
        <w:t>截止时间</w:t>
      </w:r>
    </w:p>
    <w:p w14:paraId="24D2320E">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18.1供应商应当在询价文件要求提交响应文件的截止时间前网上</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14:paraId="610FB250">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18.2在询价文件要求提交响应文件的截止时间之后送达的响应文件，为无效响应文件，</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将拒绝接收。</w:t>
      </w:r>
    </w:p>
    <w:p w14:paraId="7BAC24AF">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18.3本项目采用不见面开标。需将加密电子响应文件（.jmbs格式）在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截止时间前通过政府采购云平台电子交易平台上传完成。上传时必须得到电脑“上传成功”的确认回复后方为上传成功。逾期上传的或者未上传到平台的响应文件，采购人不予受理。</w:t>
      </w:r>
    </w:p>
    <w:p w14:paraId="3BE1D1C2">
      <w:pPr>
        <w:pageBreakBefore w:val="0"/>
        <w:widowControl w:val="0"/>
        <w:numPr>
          <w:ilvl w:val="0"/>
          <w:numId w:val="0"/>
        </w:numPr>
        <w:kinsoku/>
        <w:wordWrap/>
        <w:overflowPunct/>
        <w:topLinePunct w:val="0"/>
        <w:bidi w:val="0"/>
        <w:adjustRightInd/>
        <w:snapToGrid/>
        <w:spacing w:line="360" w:lineRule="auto"/>
        <w:ind w:left="0" w:leftChars="0" w:firstLine="0" w:firstLineChars="0"/>
        <w:textAlignment w:val="auto"/>
        <w:outlineLvl w:val="9"/>
        <w:rPr>
          <w:rFonts w:hint="eastAsia" w:ascii="仿宋" w:hAnsi="仿宋" w:eastAsia="仿宋" w:cs="仿宋"/>
          <w:b/>
          <w:color w:val="auto"/>
          <w:sz w:val="24"/>
          <w:highlight w:val="none"/>
        </w:rPr>
      </w:pPr>
      <w:r>
        <w:rPr>
          <w:rFonts w:hint="default" w:ascii="仿宋" w:hAnsi="仿宋" w:eastAsia="仿宋" w:cs="仿宋"/>
          <w:b/>
          <w:color w:val="auto"/>
          <w:kern w:val="2"/>
          <w:sz w:val="24"/>
          <w:highlight w:val="none"/>
          <w:lang w:val="en-US" w:eastAsia="zh-CN" w:bidi="ar-SA"/>
        </w:rPr>
        <w:t>19.</w:t>
      </w:r>
      <w:r>
        <w:rPr>
          <w:rFonts w:hint="eastAsia" w:ascii="仿宋" w:hAnsi="仿宋" w:eastAsia="仿宋" w:cs="仿宋"/>
          <w:b/>
          <w:color w:val="auto"/>
          <w:sz w:val="24"/>
          <w:highlight w:val="none"/>
        </w:rPr>
        <w:t>响应文件的修改和撤销</w:t>
      </w:r>
    </w:p>
    <w:p w14:paraId="7EE51755">
      <w:pPr>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供应商在递交响应文件后，可以修改或撤回其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，但这种修改和撤回，必须在规定的</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截止时间前。在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截止时间后，供应商不得要求修改或撤回其响应文件。</w:t>
      </w:r>
    </w:p>
    <w:p w14:paraId="3422BAD5">
      <w:pPr>
        <w:keepNext/>
        <w:keepLines/>
        <w:pageBreakBefore w:val="0"/>
        <w:widowControl w:val="0"/>
        <w:kinsoku/>
        <w:wordWrap/>
        <w:overflowPunct/>
        <w:topLinePunct w:val="0"/>
        <w:bidi w:val="0"/>
        <w:adjustRightInd/>
        <w:snapToGrid/>
        <w:spacing w:line="360" w:lineRule="auto"/>
        <w:jc w:val="center"/>
        <w:textAlignment w:val="auto"/>
        <w:outlineLvl w:val="9"/>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第五章开标</w:t>
      </w:r>
    </w:p>
    <w:p w14:paraId="2290DD15">
      <w:pPr>
        <w:pStyle w:val="90"/>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kern w:val="2"/>
          <w:sz w:val="24"/>
          <w:szCs w:val="24"/>
          <w:highlight w:val="none"/>
        </w:rPr>
      </w:pPr>
      <w:r>
        <w:rPr>
          <w:rFonts w:hint="default" w:ascii="仿宋" w:hAnsi="仿宋" w:eastAsia="仿宋" w:cs="仿宋"/>
          <w:b/>
          <w:color w:val="auto"/>
          <w:kern w:val="2"/>
          <w:sz w:val="24"/>
          <w:szCs w:val="24"/>
          <w:highlight w:val="none"/>
          <w:lang w:val="en-US" w:eastAsia="zh-CN" w:bidi="ar-SA"/>
        </w:rPr>
        <w:t>20.</w:t>
      </w:r>
      <w:r>
        <w:rPr>
          <w:rFonts w:hint="eastAsia" w:ascii="仿宋" w:hAnsi="仿宋" w:eastAsia="仿宋" w:cs="仿宋"/>
          <w:b/>
          <w:color w:val="auto"/>
          <w:kern w:val="2"/>
          <w:sz w:val="24"/>
          <w:szCs w:val="24"/>
          <w:highlight w:val="none"/>
        </w:rPr>
        <w:t>开标</w:t>
      </w:r>
    </w:p>
    <w:p w14:paraId="5C277851">
      <w:pPr>
        <w:pStyle w:val="90"/>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b/>
          <w:color w:val="auto"/>
          <w:kern w:val="2"/>
          <w:sz w:val="24"/>
          <w:szCs w:val="24"/>
          <w:highlight w:val="none"/>
        </w:rPr>
        <w:t>采用不见面开标方式</w:t>
      </w:r>
    </w:p>
    <w:p w14:paraId="16E8B303">
      <w:pPr>
        <w:pStyle w:val="9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采购人在规定的</w:t>
      </w:r>
      <w:r>
        <w:rPr>
          <w:rFonts w:hint="eastAsia" w:ascii="仿宋" w:hAnsi="仿宋" w:eastAsia="仿宋" w:cs="仿宋"/>
          <w:color w:val="auto"/>
          <w:kern w:val="2"/>
          <w:sz w:val="24"/>
          <w:szCs w:val="24"/>
          <w:highlight w:val="none"/>
          <w:lang w:eastAsia="zh-CN"/>
        </w:rPr>
        <w:t>响应</w:t>
      </w:r>
      <w:r>
        <w:rPr>
          <w:rFonts w:hint="eastAsia" w:ascii="仿宋" w:hAnsi="仿宋" w:eastAsia="仿宋" w:cs="仿宋"/>
          <w:color w:val="auto"/>
          <w:kern w:val="2"/>
          <w:sz w:val="24"/>
          <w:szCs w:val="24"/>
          <w:highlight w:val="none"/>
        </w:rPr>
        <w:t>截止时间（</w:t>
      </w:r>
      <w:r>
        <w:rPr>
          <w:rFonts w:hint="eastAsia" w:ascii="仿宋" w:hAnsi="仿宋" w:eastAsia="仿宋" w:cs="仿宋"/>
          <w:color w:val="auto"/>
          <w:kern w:val="2"/>
          <w:sz w:val="24"/>
          <w:szCs w:val="24"/>
          <w:highlight w:val="none"/>
          <w:lang w:val="en-US" w:eastAsia="zh-CN"/>
        </w:rPr>
        <w:t>询价</w:t>
      </w:r>
      <w:r>
        <w:rPr>
          <w:rFonts w:hint="eastAsia" w:ascii="仿宋" w:hAnsi="仿宋" w:eastAsia="仿宋" w:cs="仿宋"/>
          <w:color w:val="auto"/>
          <w:kern w:val="2"/>
          <w:sz w:val="24"/>
          <w:szCs w:val="24"/>
          <w:highlight w:val="none"/>
        </w:rPr>
        <w:t>时间）和供应商须知前附表规定的地点开标。供应商的法定代表人或其委托代理人无需到达开标现场，仅需在任意地点通过政采云不见面开标系统，使用CA密钥完成远程解密、提疑澄清、开标唱标、结果公布等交互环节。</w:t>
      </w:r>
    </w:p>
    <w:p w14:paraId="6B7139C4">
      <w:pPr>
        <w:pStyle w:val="9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rPr>
        <w:t>法定代表人或法定代表人授权委托人参与远程交互，中途不得更换，在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14:paraId="3AA13EFB">
      <w:pPr>
        <w:pageBreakBefore w:val="0"/>
        <w:widowControl w:val="0"/>
        <w:kinsoku/>
        <w:wordWrap/>
        <w:overflowPunct/>
        <w:topLinePunct w:val="0"/>
        <w:bidi w:val="0"/>
        <w:adjustRightInd/>
        <w:snapToGrid/>
        <w:spacing w:line="360" w:lineRule="auto"/>
        <w:jc w:val="center"/>
        <w:textAlignment w:val="auto"/>
        <w:outlineLvl w:val="9"/>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第六章评标</w:t>
      </w:r>
    </w:p>
    <w:p w14:paraId="5F66B186">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szCs w:val="24"/>
          <w:highlight w:val="none"/>
        </w:rPr>
      </w:pPr>
      <w:r>
        <w:rPr>
          <w:rFonts w:hint="default" w:ascii="仿宋" w:hAnsi="仿宋" w:eastAsia="仿宋" w:cs="仿宋"/>
          <w:b/>
          <w:color w:val="auto"/>
          <w:kern w:val="2"/>
          <w:sz w:val="24"/>
          <w:szCs w:val="24"/>
          <w:highlight w:val="none"/>
          <w:lang w:val="en-US" w:eastAsia="zh-CN" w:bidi="ar-SA"/>
        </w:rPr>
        <w:t>21.</w:t>
      </w:r>
      <w:r>
        <w:rPr>
          <w:rFonts w:hint="eastAsia" w:ascii="仿宋" w:hAnsi="仿宋" w:eastAsia="仿宋" w:cs="仿宋"/>
          <w:b/>
          <w:color w:val="auto"/>
          <w:sz w:val="24"/>
          <w:szCs w:val="24"/>
          <w:highlight w:val="none"/>
        </w:rPr>
        <w:t>评审过程的保密性</w:t>
      </w:r>
    </w:p>
    <w:p w14:paraId="7B8D1F09">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21.1</w:t>
      </w:r>
      <w:r>
        <w:rPr>
          <w:rFonts w:hint="eastAsia" w:ascii="仿宋" w:hAnsi="仿宋" w:eastAsia="仿宋" w:cs="仿宋"/>
          <w:color w:val="auto"/>
          <w:spacing w:val="-2"/>
          <w:sz w:val="24"/>
          <w:szCs w:val="24"/>
          <w:highlight w:val="none"/>
          <w:lang w:val="en-US" w:eastAsia="zh-CN"/>
        </w:rPr>
        <w:t>代理机构</w:t>
      </w:r>
      <w:r>
        <w:rPr>
          <w:rFonts w:hint="eastAsia" w:ascii="仿宋" w:hAnsi="仿宋" w:eastAsia="仿宋" w:cs="仿宋"/>
          <w:color w:val="auto"/>
          <w:spacing w:val="-2"/>
          <w:sz w:val="24"/>
          <w:szCs w:val="24"/>
          <w:highlight w:val="none"/>
        </w:rPr>
        <w:t>应当采取必要措施，保证评标在严格保密的情况下进行。除采购人代表、评标现场组织人员外，采购人的其他工作人员以及与评标工作无关的人员不得进入评标现场。</w:t>
      </w:r>
    </w:p>
    <w:p w14:paraId="5FE64E7F">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有关人员对评标情况以及在评标过程中获悉的国家秘密、商业秘密负有保密责任。</w:t>
      </w:r>
    </w:p>
    <w:p w14:paraId="57CE472C">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21.2供应商在评审过程中，所进行的力图影响评审结果的以及不符合《政府采购法》以及本次</w:t>
      </w:r>
      <w:r>
        <w:rPr>
          <w:rFonts w:hint="eastAsia" w:ascii="仿宋" w:hAnsi="仿宋" w:eastAsia="仿宋" w:cs="仿宋"/>
          <w:color w:val="auto"/>
          <w:spacing w:val="-2"/>
          <w:sz w:val="24"/>
          <w:szCs w:val="24"/>
          <w:highlight w:val="none"/>
          <w:lang w:val="en-US" w:eastAsia="zh-CN"/>
        </w:rPr>
        <w:t>采购</w:t>
      </w:r>
      <w:r>
        <w:rPr>
          <w:rFonts w:hint="eastAsia" w:ascii="仿宋" w:hAnsi="仿宋" w:eastAsia="仿宋" w:cs="仿宋"/>
          <w:color w:val="auto"/>
          <w:spacing w:val="-2"/>
          <w:sz w:val="24"/>
          <w:szCs w:val="24"/>
          <w:highlight w:val="none"/>
        </w:rPr>
        <w:t>的有关规定的活动，将被取消其中标（成交）资格。</w:t>
      </w:r>
    </w:p>
    <w:p w14:paraId="2E74E4D2">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highlight w:val="none"/>
        </w:rPr>
      </w:pPr>
      <w:r>
        <w:rPr>
          <w:rFonts w:hint="default" w:ascii="仿宋" w:hAnsi="仿宋" w:eastAsia="仿宋" w:cs="仿宋"/>
          <w:b/>
          <w:color w:val="auto"/>
          <w:kern w:val="2"/>
          <w:sz w:val="24"/>
          <w:highlight w:val="none"/>
          <w:lang w:val="en-US" w:eastAsia="zh-CN" w:bidi="ar-SA"/>
        </w:rPr>
        <w:t>22.</w:t>
      </w:r>
      <w:r>
        <w:rPr>
          <w:rFonts w:hint="eastAsia" w:ascii="仿宋" w:hAnsi="仿宋" w:eastAsia="仿宋" w:cs="仿宋"/>
          <w:b/>
          <w:color w:val="auto"/>
          <w:sz w:val="24"/>
          <w:highlight w:val="none"/>
        </w:rPr>
        <w:t>询价小组</w:t>
      </w:r>
    </w:p>
    <w:p w14:paraId="4A65F55D">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22.1采购人将根据《中华人民共和国政府采购法》的规定，依法组建本次</w:t>
      </w:r>
      <w:r>
        <w:rPr>
          <w:rFonts w:hint="eastAsia" w:ascii="仿宋" w:hAnsi="仿宋" w:eastAsia="仿宋" w:cs="仿宋"/>
          <w:color w:val="auto"/>
          <w:spacing w:val="-2"/>
          <w:sz w:val="24"/>
          <w:highlight w:val="none"/>
          <w:lang w:eastAsia="zh-CN"/>
        </w:rPr>
        <w:t>采购项目</w:t>
      </w:r>
      <w:r>
        <w:rPr>
          <w:rFonts w:hint="eastAsia" w:ascii="仿宋" w:hAnsi="仿宋" w:eastAsia="仿宋" w:cs="仿宋"/>
          <w:color w:val="auto"/>
          <w:spacing w:val="-2"/>
          <w:sz w:val="24"/>
          <w:highlight w:val="none"/>
        </w:rPr>
        <w:t>的询价小组，负责本次采购项目的评审活动。询价小组负责向采购人推荐成交候选人。</w:t>
      </w:r>
    </w:p>
    <w:p w14:paraId="21876E26">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22.2询价小组成员名单于</w:t>
      </w:r>
      <w:r>
        <w:rPr>
          <w:rFonts w:hint="eastAsia" w:ascii="仿宋" w:hAnsi="仿宋" w:eastAsia="仿宋" w:cs="仿宋"/>
          <w:color w:val="auto"/>
          <w:spacing w:val="-2"/>
          <w:sz w:val="24"/>
          <w:highlight w:val="none"/>
          <w:lang w:val="en-US" w:eastAsia="zh-CN"/>
        </w:rPr>
        <w:t>询价</w:t>
      </w:r>
      <w:r>
        <w:rPr>
          <w:rFonts w:hint="eastAsia" w:ascii="仿宋" w:hAnsi="仿宋" w:eastAsia="仿宋" w:cs="仿宋"/>
          <w:color w:val="auto"/>
          <w:spacing w:val="-2"/>
          <w:sz w:val="24"/>
          <w:highlight w:val="none"/>
        </w:rPr>
        <w:t>前确定。询价小组成员名单在中标（成交）结果确定前保密。</w:t>
      </w:r>
    </w:p>
    <w:p w14:paraId="3A2D246C">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22.3询价小组由采购人和熟悉相关业务的代表以及有关技术、经济等方面的专家组成，成员为三人及以上的单数，其中技术、经济等方面的专家不少于成员总数的三分之二。</w:t>
      </w:r>
    </w:p>
    <w:p w14:paraId="30B3D095">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22.4按前款规定，询价小组的成员，由</w:t>
      </w:r>
      <w:r>
        <w:rPr>
          <w:rFonts w:hint="eastAsia" w:ascii="仿宋" w:hAnsi="仿宋" w:eastAsia="仿宋" w:cs="仿宋"/>
          <w:color w:val="auto"/>
          <w:spacing w:val="-2"/>
          <w:sz w:val="24"/>
          <w:highlight w:val="none"/>
          <w:lang w:val="en-US" w:eastAsia="zh-CN"/>
        </w:rPr>
        <w:t>政采云系统</w:t>
      </w:r>
      <w:r>
        <w:rPr>
          <w:rFonts w:hint="eastAsia" w:ascii="仿宋" w:hAnsi="仿宋" w:eastAsia="仿宋" w:cs="仿宋"/>
          <w:color w:val="auto"/>
          <w:spacing w:val="-2"/>
          <w:sz w:val="24"/>
          <w:highlight w:val="none"/>
        </w:rPr>
        <w:t>随机抽取的方式确定。</w:t>
      </w:r>
    </w:p>
    <w:p w14:paraId="2438E2A8">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22.5询价小组专家应符合下列条件：</w:t>
      </w:r>
    </w:p>
    <w:p w14:paraId="6C0D1851">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22.5.1具有良好的职业道德，廉洁自律，遵纪守法,无行贿、受贿、欺诈等不良信用记录；</w:t>
      </w:r>
    </w:p>
    <w:p w14:paraId="2BA9C93B">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22.5.2具有专业技术职称或同等专业水平且从事相关领域工作</w:t>
      </w:r>
      <w:r>
        <w:rPr>
          <w:rFonts w:hint="eastAsia" w:ascii="仿宋" w:hAnsi="仿宋" w:eastAsia="仿宋" w:cs="仿宋"/>
          <w:color w:val="auto"/>
          <w:spacing w:val="-2"/>
          <w:sz w:val="24"/>
          <w:highlight w:val="none"/>
          <w:lang w:val="en-US" w:eastAsia="zh-CN"/>
        </w:rPr>
        <w:t>经验</w:t>
      </w:r>
      <w:r>
        <w:rPr>
          <w:rFonts w:hint="eastAsia" w:ascii="仿宋" w:hAnsi="仿宋" w:eastAsia="仿宋" w:cs="仿宋"/>
          <w:color w:val="auto"/>
          <w:spacing w:val="-2"/>
          <w:sz w:val="24"/>
          <w:highlight w:val="none"/>
        </w:rPr>
        <w:t>；</w:t>
      </w:r>
    </w:p>
    <w:p w14:paraId="2CC0D8C9">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22.5.3熟悉政府采购相关政策法规；</w:t>
      </w:r>
    </w:p>
    <w:p w14:paraId="505EC957">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22.5.4承诺以独立身份参加评审工作,依法履行评审专家工作职责并承担相应法律责任的中国公民；</w:t>
      </w:r>
    </w:p>
    <w:p w14:paraId="753B11E2">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22.5.5身体健康，能够承担评审工作；</w:t>
      </w:r>
    </w:p>
    <w:p w14:paraId="62B93334">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22.5.6申请成为评审专家前三年内,无《政府采购评审专家管理办法》中规定的不良行为记录。</w:t>
      </w:r>
    </w:p>
    <w:p w14:paraId="5F36B491">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22.6有下列情形之一的，不得担任询价小组成员：</w:t>
      </w:r>
    </w:p>
    <w:p w14:paraId="74BEC220">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(1)参加采购活动前三年内,与供应商存在劳动关系,或者担任过供应商的董事、监事,或者是供应商的控股股东或实际控制人；</w:t>
      </w:r>
    </w:p>
    <w:p w14:paraId="33E589E4">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(2)与供应商的法定代表人或者负责人有夫妻、直系血亲、三代以内旁系血亲或者近姻亲关系；</w:t>
      </w:r>
    </w:p>
    <w:p w14:paraId="35D9C6BD">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(3)与供应商有其他可能影响政府采购活动公平、公正进行的关系。</w:t>
      </w:r>
    </w:p>
    <w:p w14:paraId="2AB4078F">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lang w:eastAsia="zh-CN"/>
        </w:rPr>
      </w:pPr>
      <w:r>
        <w:rPr>
          <w:rFonts w:hint="eastAsia" w:ascii="仿宋" w:hAnsi="仿宋" w:eastAsia="仿宋" w:cs="仿宋"/>
          <w:color w:val="auto"/>
          <w:spacing w:val="-2"/>
          <w:sz w:val="24"/>
          <w:highlight w:val="none"/>
        </w:rPr>
        <w:t>22.7询价小组成员应当客观、公正地履行职责，遵守职业道德，并对所提出的评审意见承担个人责任。询价小组成员不得与任何供应商或者与招标结果有利害关系的人员进行私下接触，不得收受供应商、中介人、其他有利害关系人的财物或者其他好处。</w:t>
      </w:r>
    </w:p>
    <w:p w14:paraId="641EBD42">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pacing w:val="-2"/>
          <w:sz w:val="24"/>
          <w:highlight w:val="none"/>
        </w:rPr>
        <w:t>22.8询价小组成员和与本次评审活动有关的工作人员，不得透露对询价响应文件的评审和比较、成交候选人的推荐情况以及与评审有关的其他情况。与评审活动有关的工作人员，是指询价小组成员以外的、因参与评审监督工作或者事务性工作而知悉有关评审情况的所有人员。</w:t>
      </w:r>
    </w:p>
    <w:p w14:paraId="2338FF9E">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highlight w:val="none"/>
        </w:rPr>
      </w:pPr>
      <w:r>
        <w:rPr>
          <w:rFonts w:hint="default" w:ascii="仿宋" w:hAnsi="仿宋" w:eastAsia="仿宋" w:cs="仿宋"/>
          <w:b/>
          <w:color w:val="auto"/>
          <w:kern w:val="2"/>
          <w:sz w:val="24"/>
          <w:highlight w:val="none"/>
          <w:lang w:val="en-US" w:eastAsia="zh-CN" w:bidi="ar-SA"/>
        </w:rPr>
        <w:t>23.</w:t>
      </w:r>
      <w:r>
        <w:rPr>
          <w:rFonts w:hint="eastAsia" w:ascii="仿宋" w:hAnsi="仿宋" w:eastAsia="仿宋" w:cs="仿宋"/>
          <w:b/>
          <w:color w:val="auto"/>
          <w:sz w:val="24"/>
          <w:highlight w:val="none"/>
        </w:rPr>
        <w:t>评审的准备</w:t>
      </w:r>
    </w:p>
    <w:p w14:paraId="63667BF4">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23.1询价小组的成员应当熟悉并认真研究询价文件，至少应了解和熟悉以下内容：</w:t>
      </w:r>
    </w:p>
    <w:p w14:paraId="7AD4BBB7">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23.1.1采购目的。</w:t>
      </w:r>
    </w:p>
    <w:p w14:paraId="0CDD25BA">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23.1.2采购项目的范围、性质。</w:t>
      </w:r>
    </w:p>
    <w:p w14:paraId="42925305">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23.1.3询价文件中规定的主要技术要求、标准和商务条款。</w:t>
      </w:r>
    </w:p>
    <w:p w14:paraId="356E9180">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23.1.4询价文件规定的评审标准、评审方法和在评审过程中应考虑的相关因素。</w:t>
      </w:r>
    </w:p>
    <w:p w14:paraId="164C70FA">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23.2采购人应当向询价小组提供评审所需的重要信息和数据。</w:t>
      </w:r>
    </w:p>
    <w:p w14:paraId="1A33FA00">
      <w:pPr>
        <w:pageBreakBefore w:val="0"/>
        <w:widowControl w:val="0"/>
        <w:kinsoku/>
        <w:wordWrap/>
        <w:overflowPunct/>
        <w:topLinePunct w:val="0"/>
        <w:bidi w:val="0"/>
        <w:adjustRightInd/>
        <w:snapToGrid/>
        <w:spacing w:line="360" w:lineRule="auto"/>
        <w:ind w:firstLine="472"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spacing w:val="-2"/>
          <w:sz w:val="24"/>
          <w:highlight w:val="none"/>
        </w:rPr>
        <w:t>23.3询价小组应当根据询价文件规定的评审标准和方法，对询价响应文件进行系统地评审和比较。询价文件中没有规定的标准和方法不得作为评审的依据。</w:t>
      </w:r>
    </w:p>
    <w:p w14:paraId="116416C0">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highlight w:val="none"/>
        </w:rPr>
      </w:pPr>
      <w:r>
        <w:rPr>
          <w:rFonts w:hint="default" w:ascii="仿宋" w:hAnsi="仿宋" w:eastAsia="仿宋" w:cs="仿宋"/>
          <w:b/>
          <w:color w:val="auto"/>
          <w:kern w:val="2"/>
          <w:sz w:val="24"/>
          <w:highlight w:val="none"/>
          <w:lang w:val="en-US" w:eastAsia="zh-CN" w:bidi="ar-SA"/>
        </w:rPr>
        <w:t>24.</w:t>
      </w:r>
      <w:r>
        <w:rPr>
          <w:rFonts w:hint="eastAsia" w:ascii="仿宋" w:hAnsi="仿宋" w:eastAsia="仿宋" w:cs="仿宋"/>
          <w:b/>
          <w:color w:val="auto"/>
          <w:sz w:val="24"/>
          <w:highlight w:val="none"/>
        </w:rPr>
        <w:t>评审依据及评审办法</w:t>
      </w:r>
    </w:p>
    <w:p w14:paraId="03F2DE8E">
      <w:pPr>
        <w:pageBreakBefore w:val="0"/>
        <w:widowControl w:val="0"/>
        <w:kinsoku/>
        <w:wordWrap/>
        <w:overflowPunct/>
        <w:topLinePunct w:val="0"/>
        <w:bidi w:val="0"/>
        <w:adjustRightInd/>
        <w:snapToGrid/>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24.1评审依据为询价文件。</w:t>
      </w:r>
    </w:p>
    <w:p w14:paraId="6E1F3BD2">
      <w:pPr>
        <w:pageBreakBefore w:val="0"/>
        <w:widowControl w:val="0"/>
        <w:kinsoku/>
        <w:wordWrap/>
        <w:overflowPunct/>
        <w:topLinePunct w:val="0"/>
        <w:bidi w:val="0"/>
        <w:adjustRightInd/>
        <w:snapToGrid/>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24.2本次采购项目采用</w:t>
      </w:r>
      <w:r>
        <w:rPr>
          <w:rFonts w:hint="eastAsia" w:ascii="仿宋" w:hAnsi="仿宋" w:eastAsia="仿宋" w:cs="仿宋"/>
          <w:b/>
          <w:bCs/>
          <w:color w:val="auto"/>
          <w:sz w:val="24"/>
          <w:highlight w:val="none"/>
        </w:rPr>
        <w:t>最低价法</w:t>
      </w:r>
      <w:r>
        <w:rPr>
          <w:rFonts w:hint="eastAsia" w:ascii="仿宋" w:hAnsi="仿宋" w:eastAsia="仿宋" w:cs="仿宋"/>
          <w:color w:val="auto"/>
          <w:sz w:val="24"/>
          <w:highlight w:val="none"/>
        </w:rPr>
        <w:t>，以参与评审价格为准。</w:t>
      </w:r>
    </w:p>
    <w:p w14:paraId="121474B6">
      <w:pPr>
        <w:pageBreakBefore w:val="0"/>
        <w:widowControl w:val="0"/>
        <w:kinsoku/>
        <w:wordWrap/>
        <w:overflowPunct/>
        <w:topLinePunct w:val="0"/>
        <w:bidi w:val="0"/>
        <w:adjustRightInd/>
        <w:snapToGrid/>
        <w:spacing w:line="360" w:lineRule="auto"/>
        <w:ind w:firstLine="480" w:firstLineChars="200"/>
        <w:jc w:val="left"/>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z w:val="24"/>
          <w:highlight w:val="none"/>
        </w:rPr>
        <w:t>24.3采购人不接受不符合国家有关部门相关规定的</w:t>
      </w:r>
      <w:r>
        <w:rPr>
          <w:rFonts w:hint="eastAsia" w:ascii="仿宋" w:hAnsi="仿宋" w:eastAsia="仿宋" w:cs="仿宋"/>
          <w:color w:val="auto"/>
          <w:sz w:val="24"/>
          <w:highlight w:val="none"/>
          <w:lang w:eastAsia="zh-CN"/>
        </w:rPr>
        <w:t>响应报价</w:t>
      </w:r>
      <w:r>
        <w:rPr>
          <w:rFonts w:hint="eastAsia" w:ascii="仿宋" w:hAnsi="仿宋" w:eastAsia="仿宋" w:cs="仿宋"/>
          <w:color w:val="auto"/>
          <w:sz w:val="24"/>
          <w:highlight w:val="none"/>
        </w:rPr>
        <w:t>或优惠方案。</w:t>
      </w:r>
    </w:p>
    <w:p w14:paraId="0DA909F3">
      <w:pPr>
        <w:pageBreakBefore w:val="0"/>
        <w:widowControl w:val="0"/>
        <w:numPr>
          <w:ilvl w:val="0"/>
          <w:numId w:val="0"/>
        </w:numPr>
        <w:kinsoku/>
        <w:wordWrap/>
        <w:overflowPunct/>
        <w:topLinePunct w:val="0"/>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highlight w:val="none"/>
        </w:rPr>
      </w:pPr>
      <w:r>
        <w:rPr>
          <w:rFonts w:hint="default" w:ascii="仿宋" w:hAnsi="仿宋" w:eastAsia="仿宋" w:cs="仿宋"/>
          <w:b/>
          <w:color w:val="auto"/>
          <w:kern w:val="2"/>
          <w:sz w:val="24"/>
          <w:highlight w:val="none"/>
          <w:lang w:val="en-US" w:eastAsia="zh-CN" w:bidi="ar-SA"/>
        </w:rPr>
        <w:t>25.</w:t>
      </w:r>
      <w:r>
        <w:rPr>
          <w:rFonts w:hint="eastAsia" w:ascii="仿宋" w:hAnsi="仿宋" w:eastAsia="仿宋" w:cs="仿宋"/>
          <w:b/>
          <w:color w:val="auto"/>
          <w:sz w:val="24"/>
          <w:highlight w:val="none"/>
        </w:rPr>
        <w:t>评审程序及评审因素</w:t>
      </w:r>
    </w:p>
    <w:p w14:paraId="32DF4D02">
      <w:pPr>
        <w:pageBreakBefore w:val="0"/>
        <w:widowControl w:val="0"/>
        <w:tabs>
          <w:tab w:val="left" w:pos="1080"/>
        </w:tabs>
        <w:kinsoku/>
        <w:wordWrap/>
        <w:overflowPunct/>
        <w:topLinePunct w:val="0"/>
        <w:autoSpaceDE w:val="0"/>
        <w:autoSpaceDN w:val="0"/>
        <w:bidi w:val="0"/>
        <w:adjustRightInd/>
        <w:snapToGrid/>
        <w:spacing w:line="360" w:lineRule="auto"/>
        <w:ind w:firstLine="480" w:firstLineChars="200"/>
        <w:textAlignment w:val="auto"/>
        <w:outlineLvl w:val="9"/>
        <w:rPr>
          <w:rFonts w:hint="eastAsia" w:ascii="仿宋" w:hAnsi="仿宋" w:eastAsia="仿宋" w:cs="仿宋"/>
          <w:b w:val="0"/>
          <w:bCs/>
          <w:color w:val="auto"/>
          <w:sz w:val="24"/>
          <w:szCs w:val="22"/>
          <w:highlight w:val="none"/>
          <w:lang w:val="zh-CN"/>
        </w:rPr>
      </w:pPr>
      <w:r>
        <w:rPr>
          <w:rFonts w:hint="eastAsia" w:ascii="仿宋" w:hAnsi="仿宋" w:eastAsia="仿宋" w:cs="仿宋"/>
          <w:b w:val="0"/>
          <w:bCs/>
          <w:color w:val="auto"/>
          <w:sz w:val="24"/>
          <w:szCs w:val="22"/>
          <w:highlight w:val="none"/>
        </w:rPr>
        <w:t>在询价前，由</w:t>
      </w:r>
      <w:r>
        <w:rPr>
          <w:rFonts w:hint="eastAsia" w:ascii="仿宋" w:hAnsi="仿宋" w:eastAsia="仿宋" w:cs="仿宋"/>
          <w:b w:val="0"/>
          <w:bCs/>
          <w:color w:val="auto"/>
          <w:sz w:val="24"/>
          <w:szCs w:val="22"/>
          <w:highlight w:val="none"/>
          <w:lang w:val="en-US" w:eastAsia="zh-CN"/>
        </w:rPr>
        <w:t>评审小组</w:t>
      </w:r>
      <w:r>
        <w:rPr>
          <w:rFonts w:hint="eastAsia" w:ascii="仿宋" w:hAnsi="仿宋" w:eastAsia="仿宋" w:cs="仿宋"/>
          <w:b w:val="0"/>
          <w:bCs/>
          <w:color w:val="auto"/>
          <w:sz w:val="24"/>
          <w:szCs w:val="22"/>
          <w:highlight w:val="none"/>
        </w:rPr>
        <w:t>进行资格审查。资格审查合格的供应商才能进入询价阶段。</w:t>
      </w:r>
      <w:r>
        <w:rPr>
          <w:rFonts w:hint="eastAsia" w:ascii="仿宋" w:hAnsi="仿宋" w:eastAsia="仿宋" w:cs="仿宋"/>
          <w:b w:val="0"/>
          <w:bCs/>
          <w:color w:val="auto"/>
          <w:sz w:val="24"/>
          <w:szCs w:val="22"/>
          <w:highlight w:val="none"/>
          <w:lang w:val="zh-CN"/>
        </w:rPr>
        <w:t>内容如下：</w:t>
      </w:r>
    </w:p>
    <w:p w14:paraId="26A799FE">
      <w:pPr>
        <w:pageBreakBefore w:val="0"/>
        <w:widowControl w:val="0"/>
        <w:kinsoku/>
        <w:wordWrap/>
        <w:overflowPunct/>
        <w:topLinePunct w:val="0"/>
        <w:bidi w:val="0"/>
        <w:adjustRightInd/>
        <w:snapToGrid/>
        <w:spacing w:line="360" w:lineRule="auto"/>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25.1评审程序</w:t>
      </w:r>
    </w:p>
    <w:p w14:paraId="131389E9">
      <w:pPr>
        <w:pageBreakBefore w:val="0"/>
        <w:widowControl w:val="0"/>
        <w:kinsoku/>
        <w:wordWrap/>
        <w:overflowPunct/>
        <w:topLinePunct w:val="0"/>
        <w:bidi w:val="0"/>
        <w:adjustRightInd/>
        <w:snapToGrid/>
        <w:spacing w:line="360" w:lineRule="auto"/>
        <w:jc w:val="left"/>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附表一：资格审查</w:t>
      </w:r>
    </w:p>
    <w:p w14:paraId="7D1DDD62">
      <w:pPr>
        <w:pStyle w:val="17"/>
        <w:keepNext w:val="0"/>
        <w:keepLines w:val="0"/>
        <w:pageBreakBefore w:val="0"/>
        <w:widowControl w:val="0"/>
        <w:kinsoku/>
        <w:wordWrap/>
        <w:overflowPunct/>
        <w:topLinePunct w:val="0"/>
        <w:autoSpaceDE/>
        <w:autoSpaceDN/>
        <w:bidi w:val="0"/>
        <w:adjustRightInd w:val="0"/>
        <w:snapToGrid w:val="0"/>
        <w:spacing w:before="0" w:after="0" w:line="360" w:lineRule="auto"/>
        <w:jc w:val="left"/>
        <w:textAlignment w:val="auto"/>
        <w:outlineLvl w:val="9"/>
        <w:rPr>
          <w:rFonts w:hint="eastAsia" w:ascii="仿宋" w:hAnsi="仿宋" w:eastAsia="仿宋" w:cs="仿宋"/>
          <w:b/>
          <w:snapToGrid/>
          <w:color w:val="auto"/>
          <w:kern w:val="2"/>
          <w:sz w:val="24"/>
          <w:szCs w:val="24"/>
          <w:highlight w:val="none"/>
          <w:lang w:val="zh-CN" w:eastAsia="zh-CN" w:bidi="ar-SA"/>
        </w:rPr>
      </w:pPr>
      <w:r>
        <w:rPr>
          <w:rFonts w:hint="eastAsia" w:ascii="仿宋" w:hAnsi="仿宋" w:eastAsia="仿宋" w:cs="仿宋"/>
          <w:b/>
          <w:snapToGrid/>
          <w:color w:val="auto"/>
          <w:kern w:val="2"/>
          <w:sz w:val="24"/>
          <w:szCs w:val="24"/>
          <w:highlight w:val="none"/>
          <w:lang w:val="zh-CN" w:eastAsia="zh-CN" w:bidi="ar-SA"/>
        </w:rPr>
        <w:t>由采购人代表或采购代理机构查验：</w:t>
      </w:r>
    </w:p>
    <w:tbl>
      <w:tblPr>
        <w:tblStyle w:val="33"/>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8967"/>
        <w:gridCol w:w="100"/>
      </w:tblGrid>
      <w:tr w14:paraId="0683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63"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204F0ED7">
            <w:pPr>
              <w:spacing w:line="3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967" w:type="dxa"/>
            <w:tcBorders>
              <w:top w:val="single" w:color="auto" w:sz="4" w:space="0"/>
              <w:left w:val="single" w:color="auto" w:sz="4" w:space="0"/>
              <w:bottom w:val="single" w:color="auto" w:sz="4" w:space="0"/>
              <w:right w:val="single" w:color="auto" w:sz="4" w:space="0"/>
            </w:tcBorders>
            <w:noWrap w:val="0"/>
            <w:vAlign w:val="center"/>
          </w:tcPr>
          <w:p w14:paraId="6093A8E1">
            <w:pPr>
              <w:spacing w:line="320" w:lineRule="exact"/>
              <w:ind w:firstLine="240" w:firstLineChars="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标准</w:t>
            </w:r>
          </w:p>
        </w:tc>
      </w:tr>
      <w:tr w14:paraId="0A2D5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63"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1562E07">
            <w:pPr>
              <w:spacing w:line="32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967" w:type="dxa"/>
            <w:tcBorders>
              <w:top w:val="single" w:color="auto" w:sz="4" w:space="0"/>
              <w:left w:val="single" w:color="auto" w:sz="4" w:space="0"/>
              <w:bottom w:val="single" w:color="auto" w:sz="4" w:space="0"/>
              <w:right w:val="single" w:color="auto" w:sz="4" w:space="0"/>
            </w:tcBorders>
            <w:noWrap w:val="0"/>
            <w:vAlign w:val="center"/>
          </w:tcPr>
          <w:p w14:paraId="38567B51">
            <w:pPr>
              <w:spacing w:line="400" w:lineRule="atLeast"/>
              <w:ind w:left="719" w:leftChars="-47" w:hanging="818" w:hangingChars="341"/>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具有独立承担民事责任的能力；（</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，提供在中华人民共和国境内注册的法人</w:t>
            </w:r>
          </w:p>
          <w:p w14:paraId="2CCB5C28">
            <w:pPr>
              <w:spacing w:line="400" w:lineRule="atLeast"/>
              <w:ind w:left="-123" w:leftChars="-66" w:hanging="16" w:hangingChars="7"/>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或其他组织的营业执照或事业单位法人证书或社会团体法人登记证书</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w:t>
            </w:r>
          </w:p>
        </w:tc>
      </w:tr>
      <w:tr w14:paraId="166E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351" w:hRule="atLeast"/>
          <w:jc w:val="center"/>
        </w:trPr>
        <w:tc>
          <w:tcPr>
            <w:tcW w:w="712" w:type="dxa"/>
            <w:tcBorders>
              <w:top w:val="single" w:color="auto" w:sz="4" w:space="0"/>
              <w:left w:val="single" w:color="auto" w:sz="4" w:space="0"/>
              <w:right w:val="single" w:color="auto" w:sz="4" w:space="0"/>
            </w:tcBorders>
            <w:noWrap w:val="0"/>
            <w:vAlign w:val="center"/>
          </w:tcPr>
          <w:p w14:paraId="07CBFF9A">
            <w:pPr>
              <w:spacing w:line="32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8967" w:type="dxa"/>
            <w:tcBorders>
              <w:top w:val="single" w:color="auto" w:sz="4" w:space="0"/>
              <w:left w:val="single" w:color="auto" w:sz="4" w:space="0"/>
              <w:bottom w:val="single" w:color="auto" w:sz="4" w:space="0"/>
              <w:right w:val="single" w:color="auto" w:sz="4" w:space="0"/>
            </w:tcBorders>
            <w:noWrap w:val="0"/>
            <w:vAlign w:val="center"/>
          </w:tcPr>
          <w:p w14:paraId="2E1EED7E">
            <w:pPr>
              <w:spacing w:line="400" w:lineRule="atLeast"/>
              <w:ind w:left="-99" w:leftChars="-47" w:firstLine="16" w:firstLineChars="7"/>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有依法缴纳税收的良好记录；（</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，提供至本项目</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截止时间前一年内任意1个月缴纳税收凭据证明材料</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扫描件；如依法免税的，应提供相应文件证明；）</w:t>
            </w:r>
          </w:p>
        </w:tc>
      </w:tr>
      <w:tr w14:paraId="76F4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351" w:hRule="atLeast"/>
          <w:jc w:val="center"/>
        </w:trPr>
        <w:tc>
          <w:tcPr>
            <w:tcW w:w="712" w:type="dxa"/>
            <w:tcBorders>
              <w:top w:val="single" w:color="auto" w:sz="4" w:space="0"/>
              <w:left w:val="single" w:color="auto" w:sz="4" w:space="0"/>
              <w:right w:val="single" w:color="auto" w:sz="4" w:space="0"/>
            </w:tcBorders>
            <w:noWrap w:val="0"/>
            <w:vAlign w:val="center"/>
          </w:tcPr>
          <w:p w14:paraId="5F7DF714">
            <w:pPr>
              <w:spacing w:line="320" w:lineRule="exact"/>
              <w:ind w:firstLine="240" w:firstLineChars="1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967" w:type="dxa"/>
            <w:tcBorders>
              <w:top w:val="single" w:color="auto" w:sz="4" w:space="0"/>
              <w:left w:val="single" w:color="auto" w:sz="4" w:space="0"/>
              <w:bottom w:val="single" w:color="auto" w:sz="4" w:space="0"/>
              <w:right w:val="single" w:color="auto" w:sz="4" w:space="0"/>
            </w:tcBorders>
            <w:noWrap w:val="0"/>
            <w:vAlign w:val="center"/>
          </w:tcPr>
          <w:p w14:paraId="3022CADE">
            <w:pPr>
              <w:spacing w:line="400" w:lineRule="atLeast"/>
              <w:ind w:left="-99" w:leftChars="-47" w:firstLine="16" w:firstLineChars="7"/>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有依法缴纳社会保障资金的良好记录</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提供至本项目</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截止时间前一年内任意1个月缴纳社会保险的凭据证明材料</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扫描件；如依法不需要缴纳社会保障资金的，应提供相应文件证明。</w:t>
            </w:r>
          </w:p>
        </w:tc>
      </w:tr>
      <w:tr w14:paraId="3D1F6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932" w:hRule="atLeast"/>
          <w:jc w:val="center"/>
        </w:trPr>
        <w:tc>
          <w:tcPr>
            <w:tcW w:w="712" w:type="dxa"/>
            <w:tcBorders>
              <w:top w:val="single" w:color="auto" w:sz="4" w:space="0"/>
              <w:left w:val="single" w:color="auto" w:sz="4" w:space="0"/>
              <w:right w:val="single" w:color="auto" w:sz="4" w:space="0"/>
            </w:tcBorders>
            <w:noWrap w:val="0"/>
            <w:vAlign w:val="center"/>
          </w:tcPr>
          <w:p w14:paraId="49ED7CF4">
            <w:pPr>
              <w:spacing w:line="400" w:lineRule="atLeast"/>
              <w:ind w:left="-99" w:leftChars="-47" w:firstLine="16" w:firstLineChars="7"/>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p>
        </w:tc>
        <w:tc>
          <w:tcPr>
            <w:tcW w:w="8967" w:type="dxa"/>
            <w:tcBorders>
              <w:top w:val="single" w:color="auto" w:sz="4" w:space="0"/>
              <w:left w:val="single" w:color="auto" w:sz="4" w:space="0"/>
              <w:bottom w:val="single" w:color="auto" w:sz="4" w:space="0"/>
              <w:right w:val="single" w:color="auto" w:sz="4" w:space="0"/>
            </w:tcBorders>
            <w:noWrap w:val="0"/>
            <w:vAlign w:val="center"/>
          </w:tcPr>
          <w:p w14:paraId="33CD8594">
            <w:pPr>
              <w:spacing w:line="400" w:lineRule="atLeast"/>
              <w:ind w:left="-99" w:leftChars="-47" w:firstLine="16" w:firstLineChars="7"/>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具有良好的商业信誉和健全的财务会计制度；【</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，若</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成立超过一年需提供2023年、2024年度任意一年的财务状况报表或经第三方审计出具的审计报告</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扫描件并加盖公章，</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成立不足一年（含一年）需提供近三个月内任意一个月的财务报告</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扫描件并加盖公章（需包含资产负债表、现金流量表、利润表）或近三个月内任意一个月的银行资信证明材料</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扫描件并加盖公章；】</w:t>
            </w:r>
          </w:p>
        </w:tc>
      </w:tr>
      <w:tr w14:paraId="2A82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63" w:hRule="atLeast"/>
          <w:jc w:val="center"/>
        </w:trPr>
        <w:tc>
          <w:tcPr>
            <w:tcW w:w="712" w:type="dxa"/>
            <w:tcBorders>
              <w:top w:val="single" w:color="auto" w:sz="4" w:space="0"/>
              <w:left w:val="single" w:color="auto" w:sz="4" w:space="0"/>
              <w:right w:val="single" w:color="auto" w:sz="4" w:space="0"/>
            </w:tcBorders>
            <w:noWrap w:val="0"/>
            <w:vAlign w:val="center"/>
          </w:tcPr>
          <w:p w14:paraId="1348CB09">
            <w:pPr>
              <w:spacing w:line="32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8967" w:type="dxa"/>
            <w:tcBorders>
              <w:top w:val="single" w:color="auto" w:sz="4" w:space="0"/>
              <w:left w:val="single" w:color="auto" w:sz="4" w:space="0"/>
              <w:bottom w:val="single" w:color="auto" w:sz="4" w:space="0"/>
              <w:right w:val="single" w:color="auto" w:sz="4" w:space="0"/>
            </w:tcBorders>
            <w:noWrap w:val="0"/>
            <w:vAlign w:val="center"/>
          </w:tcPr>
          <w:p w14:paraId="750804A7">
            <w:pPr>
              <w:spacing w:line="400" w:lineRule="atLeast"/>
              <w:ind w:left="719" w:leftChars="-47" w:hanging="818" w:hangingChars="341"/>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拥有一定的技术支持和后续服务能力；（</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出具承诺函，承诺满足要</w:t>
            </w:r>
          </w:p>
          <w:p w14:paraId="108BA475">
            <w:pPr>
              <w:spacing w:line="400" w:lineRule="atLeast"/>
              <w:ind w:left="719" w:leftChars="-47" w:hanging="818" w:hangingChars="341"/>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求，加盖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公章。）</w:t>
            </w:r>
          </w:p>
        </w:tc>
      </w:tr>
      <w:tr w14:paraId="4A73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90" w:hRule="atLeast"/>
          <w:jc w:val="center"/>
        </w:trPr>
        <w:tc>
          <w:tcPr>
            <w:tcW w:w="712" w:type="dxa"/>
            <w:tcBorders>
              <w:top w:val="single" w:color="auto" w:sz="4" w:space="0"/>
              <w:left w:val="single" w:color="auto" w:sz="4" w:space="0"/>
              <w:right w:val="single" w:color="auto" w:sz="4" w:space="0"/>
            </w:tcBorders>
            <w:noWrap w:val="0"/>
            <w:vAlign w:val="center"/>
          </w:tcPr>
          <w:p w14:paraId="12FB73CF">
            <w:pPr>
              <w:spacing w:line="32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8967" w:type="dxa"/>
            <w:tcBorders>
              <w:top w:val="single" w:color="auto" w:sz="4" w:space="0"/>
              <w:left w:val="single" w:color="auto" w:sz="4" w:space="0"/>
              <w:bottom w:val="single" w:color="auto" w:sz="4" w:space="0"/>
              <w:right w:val="single" w:color="auto" w:sz="4" w:space="0"/>
            </w:tcBorders>
            <w:noWrap w:val="0"/>
            <w:vAlign w:val="center"/>
          </w:tcPr>
          <w:p w14:paraId="65A2F3FB">
            <w:pPr>
              <w:spacing w:line="400" w:lineRule="atLeast"/>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参加采购活动前3年内，在经营活动中没有重大违法记录；（</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出具承诺函，加盖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公章。）</w:t>
            </w:r>
          </w:p>
          <w:p w14:paraId="209446BC">
            <w:pPr>
              <w:spacing w:line="400" w:lineRule="atLeas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注：重大违法记录，是指</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因违法经营受到刑事处罚或者责令停产停业、吊销许可证或者执照、较大数额罚款等行政处罚。（较大数额罚款按照发出行政处罚决</w:t>
            </w:r>
          </w:p>
          <w:p w14:paraId="7D034993">
            <w:pPr>
              <w:spacing w:line="400" w:lineRule="atLeast"/>
              <w:ind w:left="720" w:hanging="720" w:hangingChars="3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定书部门所在省级政府，或实行垂直领导的国务院有关行政主管部门制定的较大数</w:t>
            </w:r>
          </w:p>
          <w:p w14:paraId="2C8AAB28">
            <w:pPr>
              <w:spacing w:line="400" w:lineRule="atLeast"/>
              <w:ind w:left="720" w:hanging="720" w:hangingChars="3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额罚款标准，或罚款决定之前需要举行听证会的金额标准来认定。）</w:t>
            </w:r>
          </w:p>
        </w:tc>
      </w:tr>
      <w:tr w14:paraId="57C3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90" w:hRule="atLeast"/>
          <w:jc w:val="center"/>
        </w:trPr>
        <w:tc>
          <w:tcPr>
            <w:tcW w:w="712" w:type="dxa"/>
            <w:tcBorders>
              <w:top w:val="single" w:color="auto" w:sz="4" w:space="0"/>
              <w:left w:val="single" w:color="auto" w:sz="4" w:space="0"/>
              <w:right w:val="single" w:color="auto" w:sz="4" w:space="0"/>
            </w:tcBorders>
            <w:noWrap w:val="0"/>
            <w:vAlign w:val="center"/>
          </w:tcPr>
          <w:p w14:paraId="08976680">
            <w:pPr>
              <w:spacing w:line="400" w:lineRule="atLeast"/>
              <w:ind w:left="720" w:hanging="720" w:hangingChars="30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8967" w:type="dxa"/>
            <w:tcBorders>
              <w:top w:val="single" w:color="auto" w:sz="4" w:space="0"/>
              <w:left w:val="single" w:color="auto" w:sz="4" w:space="0"/>
              <w:bottom w:val="single" w:color="auto" w:sz="4" w:space="0"/>
              <w:right w:val="single" w:color="auto" w:sz="4" w:space="0"/>
            </w:tcBorders>
            <w:noWrap w:val="0"/>
            <w:vAlign w:val="center"/>
          </w:tcPr>
          <w:p w14:paraId="3C257716">
            <w:pPr>
              <w:spacing w:line="400" w:lineRule="atLeast"/>
              <w:ind w:left="720" w:hanging="720" w:hangingChars="3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信用记录：</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未被列入“信用中国”网站(www.creditchina.gov.cn)“记录失</w:t>
            </w:r>
          </w:p>
          <w:p w14:paraId="5A699BDF">
            <w:pPr>
              <w:spacing w:line="400" w:lineRule="atLeast"/>
              <w:ind w:left="720" w:hanging="720" w:hangingChars="3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信被执行人、重大税收违法案件当事人名单、政府采购严重违法失信行为”记录名</w:t>
            </w:r>
          </w:p>
          <w:p w14:paraId="064A6DDA">
            <w:pPr>
              <w:spacing w:line="400" w:lineRule="atLeast"/>
              <w:ind w:left="720" w:hanging="720" w:hangingChars="3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单；不处于中国政府采购网(www.ccgp.gov.cn)“政府采购严重违法失信行为信息记</w:t>
            </w:r>
          </w:p>
          <w:p w14:paraId="30299766">
            <w:pPr>
              <w:spacing w:line="400" w:lineRule="atLeast"/>
              <w:ind w:left="720" w:hanging="720" w:hangingChars="3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录”中的禁止参加政府采购活动期间。如相关失信记录已失效，</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需提供相关</w:t>
            </w:r>
          </w:p>
          <w:p w14:paraId="4FA499FF">
            <w:pPr>
              <w:spacing w:line="400" w:lineRule="atLeast"/>
              <w:ind w:left="720" w:hanging="720" w:hangingChars="3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证明资料，如在上述网站查询结果均显示没有相关记录，视为没有上述不良信用记</w:t>
            </w:r>
          </w:p>
          <w:p w14:paraId="13EB6CC7">
            <w:pPr>
              <w:spacing w:line="400" w:lineRule="atLeast"/>
              <w:ind w:left="720" w:hanging="720" w:hangingChars="3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录；</w:t>
            </w:r>
          </w:p>
        </w:tc>
      </w:tr>
      <w:tr w14:paraId="4345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90" w:hRule="atLeast"/>
          <w:jc w:val="center"/>
        </w:trPr>
        <w:tc>
          <w:tcPr>
            <w:tcW w:w="712" w:type="dxa"/>
            <w:tcBorders>
              <w:top w:val="single" w:color="auto" w:sz="4" w:space="0"/>
              <w:left w:val="single" w:color="auto" w:sz="4" w:space="0"/>
              <w:right w:val="single" w:color="auto" w:sz="4" w:space="0"/>
            </w:tcBorders>
            <w:noWrap w:val="0"/>
            <w:vAlign w:val="center"/>
          </w:tcPr>
          <w:p w14:paraId="6FF41174">
            <w:pPr>
              <w:spacing w:line="400" w:lineRule="atLeast"/>
              <w:ind w:left="720" w:hanging="720" w:hangingChars="30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8967" w:type="dxa"/>
            <w:tcBorders>
              <w:top w:val="single" w:color="auto" w:sz="4" w:space="0"/>
              <w:left w:val="single" w:color="auto" w:sz="4" w:space="0"/>
              <w:bottom w:val="single" w:color="auto" w:sz="4" w:space="0"/>
              <w:right w:val="single" w:color="auto" w:sz="4" w:space="0"/>
            </w:tcBorders>
            <w:noWrap w:val="0"/>
            <w:vAlign w:val="center"/>
          </w:tcPr>
          <w:p w14:paraId="64F3B4BB">
            <w:pPr>
              <w:spacing w:line="400" w:lineRule="atLeast"/>
              <w:ind w:left="720" w:hanging="720" w:hangingChars="3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单位负责人为同一人或者存在直接控股、管理关系的不同</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，不得参加同一合</w:t>
            </w:r>
          </w:p>
          <w:p w14:paraId="088DDF96">
            <w:pPr>
              <w:spacing w:line="400" w:lineRule="atLeast"/>
              <w:ind w:left="720" w:hanging="720" w:hangingChars="3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同项下的政府采购活动。与采购人存在利害关系可能影响招标公正性的法人、其他</w:t>
            </w:r>
          </w:p>
          <w:p w14:paraId="352F0D08">
            <w:pPr>
              <w:spacing w:line="400" w:lineRule="atLeast"/>
              <w:ind w:left="720" w:hanging="720" w:hangingChars="3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组织或者个人，不得参加</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出具承诺函，加盖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公章。）</w:t>
            </w:r>
          </w:p>
        </w:tc>
      </w:tr>
      <w:tr w14:paraId="635A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0" w:type="dxa"/>
          <w:trHeight w:val="490" w:hRule="atLeast"/>
          <w:jc w:val="center"/>
        </w:trPr>
        <w:tc>
          <w:tcPr>
            <w:tcW w:w="712" w:type="dxa"/>
            <w:tcBorders>
              <w:top w:val="single" w:color="auto" w:sz="4" w:space="0"/>
              <w:left w:val="single" w:color="auto" w:sz="4" w:space="0"/>
              <w:right w:val="single" w:color="auto" w:sz="4" w:space="0"/>
            </w:tcBorders>
            <w:noWrap w:val="0"/>
            <w:vAlign w:val="center"/>
          </w:tcPr>
          <w:p w14:paraId="6F908B68">
            <w:pPr>
              <w:spacing w:line="400" w:lineRule="atLeast"/>
              <w:ind w:left="720" w:hanging="720" w:hangingChars="30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8967" w:type="dxa"/>
            <w:tcBorders>
              <w:top w:val="single" w:color="auto" w:sz="4" w:space="0"/>
              <w:left w:val="single" w:color="auto" w:sz="4" w:space="0"/>
              <w:bottom w:val="single" w:color="auto" w:sz="4" w:space="0"/>
              <w:right w:val="single" w:color="auto" w:sz="4" w:space="0"/>
            </w:tcBorders>
            <w:noWrap w:val="0"/>
            <w:vAlign w:val="center"/>
          </w:tcPr>
          <w:p w14:paraId="03260701">
            <w:pPr>
              <w:spacing w:line="400" w:lineRule="atLeast"/>
              <w:ind w:left="621" w:leftChars="-47" w:hanging="720" w:hangingChars="300"/>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本项目专门面向</w:t>
            </w:r>
            <w:r>
              <w:rPr>
                <w:rFonts w:hint="eastAsia" w:ascii="仿宋" w:hAnsi="仿宋" w:eastAsia="仿宋" w:cs="仿宋"/>
                <w:bCs/>
                <w:color w:val="auto"/>
                <w:sz w:val="24"/>
                <w:szCs w:val="24"/>
                <w:highlight w:val="none"/>
                <w:lang w:val="en-US" w:eastAsia="zh-CN"/>
              </w:rPr>
              <w:t>中小</w:t>
            </w:r>
            <w:r>
              <w:rPr>
                <w:rFonts w:hint="eastAsia" w:ascii="仿宋" w:hAnsi="仿宋" w:eastAsia="仿宋" w:cs="仿宋"/>
                <w:bCs/>
                <w:color w:val="auto"/>
                <w:sz w:val="24"/>
                <w:szCs w:val="24"/>
                <w:highlight w:val="none"/>
              </w:rPr>
              <w:t>企业采购项目（含中型、小型、微型企业）</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企业类型声明函</w:t>
            </w:r>
            <w:r>
              <w:rPr>
                <w:rFonts w:hint="eastAsia" w:ascii="仿宋" w:hAnsi="仿宋" w:eastAsia="仿宋" w:cs="仿宋"/>
                <w:color w:val="auto"/>
                <w:kern w:val="0"/>
                <w:sz w:val="24"/>
                <w:szCs w:val="24"/>
                <w:highlight w:val="none"/>
                <w:lang w:eastAsia="zh-CN"/>
              </w:rPr>
              <w:t>）</w:t>
            </w:r>
          </w:p>
        </w:tc>
      </w:tr>
      <w:tr w14:paraId="41F1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779" w:type="dxa"/>
            <w:gridSpan w:val="3"/>
            <w:tcBorders>
              <w:top w:val="single" w:color="auto" w:sz="4" w:space="0"/>
              <w:left w:val="single" w:color="auto" w:sz="4" w:space="0"/>
              <w:bottom w:val="single" w:color="auto" w:sz="4" w:space="0"/>
              <w:right w:val="single" w:color="auto" w:sz="4" w:space="0"/>
            </w:tcBorders>
            <w:noWrap w:val="0"/>
            <w:vAlign w:val="center"/>
          </w:tcPr>
          <w:p w14:paraId="144278B1">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备注：依据法律法规和采购文件的规定，对</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中的资格证明等进行审查，以确定</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是否具备</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资格，如</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提供的</w:t>
            </w:r>
            <w:r>
              <w:rPr>
                <w:rFonts w:hint="eastAsia" w:ascii="仿宋" w:hAnsi="仿宋" w:eastAsia="仿宋" w:cs="仿宋"/>
                <w:color w:val="auto"/>
                <w:kern w:val="0"/>
                <w:sz w:val="24"/>
                <w:szCs w:val="24"/>
                <w:highlight w:val="none"/>
                <w:lang w:eastAsia="zh-CN"/>
              </w:rPr>
              <w:t>响应文件</w:t>
            </w:r>
            <w:r>
              <w:rPr>
                <w:rFonts w:hint="eastAsia" w:ascii="仿宋" w:hAnsi="仿宋" w:eastAsia="仿宋" w:cs="仿宋"/>
                <w:color w:val="auto"/>
                <w:kern w:val="0"/>
                <w:sz w:val="24"/>
                <w:szCs w:val="24"/>
                <w:highlight w:val="none"/>
              </w:rPr>
              <w:t>中资格审查有一项未通过上述审查标准，将失去</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资格。</w:t>
            </w:r>
          </w:p>
        </w:tc>
      </w:tr>
    </w:tbl>
    <w:p w14:paraId="3E743D37">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46108FE6">
      <w:pPr>
        <w:pageBreakBefore w:val="0"/>
        <w:widowControl w:val="0"/>
        <w:kinsoku/>
        <w:wordWrap/>
        <w:overflowPunct/>
        <w:topLinePunct w:val="0"/>
        <w:bidi w:val="0"/>
        <w:adjustRightInd/>
        <w:snapToGrid/>
        <w:spacing w:line="360" w:lineRule="auto"/>
        <w:jc w:val="left"/>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附表二：符合性审查标准</w:t>
      </w:r>
    </w:p>
    <w:tbl>
      <w:tblPr>
        <w:tblStyle w:val="33"/>
        <w:tblW w:w="9575" w:type="dxa"/>
        <w:jc w:val="center"/>
        <w:tblLayout w:type="fixed"/>
        <w:tblCellMar>
          <w:top w:w="0" w:type="dxa"/>
          <w:left w:w="108" w:type="dxa"/>
          <w:bottom w:w="0" w:type="dxa"/>
          <w:right w:w="108" w:type="dxa"/>
        </w:tblCellMar>
      </w:tblPr>
      <w:tblGrid>
        <w:gridCol w:w="739"/>
        <w:gridCol w:w="8836"/>
      </w:tblGrid>
      <w:tr w14:paraId="43695D15">
        <w:tblPrEx>
          <w:tblCellMar>
            <w:top w:w="0" w:type="dxa"/>
            <w:left w:w="108" w:type="dxa"/>
            <w:bottom w:w="0" w:type="dxa"/>
            <w:right w:w="108" w:type="dxa"/>
          </w:tblCellMar>
        </w:tblPrEx>
        <w:trPr>
          <w:trHeight w:val="494"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5D15D7">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785C85">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标准</w:t>
            </w:r>
          </w:p>
        </w:tc>
      </w:tr>
      <w:tr w14:paraId="0EC95271">
        <w:tblPrEx>
          <w:tblCellMar>
            <w:top w:w="0" w:type="dxa"/>
            <w:left w:w="108" w:type="dxa"/>
            <w:bottom w:w="0" w:type="dxa"/>
            <w:right w:w="108" w:type="dxa"/>
          </w:tblCellMar>
        </w:tblPrEx>
        <w:trPr>
          <w:trHeight w:val="494"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8F44B4">
            <w:pPr>
              <w:spacing w:line="4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72F83C">
            <w:pPr>
              <w:snapToGrid w:val="0"/>
              <w:spacing w:line="46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供应商名称与营业执照一致；</w:t>
            </w:r>
          </w:p>
        </w:tc>
      </w:tr>
      <w:tr w14:paraId="4F3E8175">
        <w:tblPrEx>
          <w:tblCellMar>
            <w:top w:w="0" w:type="dxa"/>
            <w:left w:w="108" w:type="dxa"/>
            <w:bottom w:w="0" w:type="dxa"/>
            <w:right w:w="108" w:type="dxa"/>
          </w:tblCellMar>
        </w:tblPrEx>
        <w:trPr>
          <w:trHeight w:val="494"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EB787F">
            <w:pPr>
              <w:spacing w:line="4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92BC7E">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未按</w:t>
            </w:r>
            <w:r>
              <w:rPr>
                <w:rFonts w:hint="eastAsia" w:ascii="仿宋" w:hAnsi="仿宋" w:eastAsia="仿宋" w:cs="仿宋"/>
                <w:color w:val="auto"/>
                <w:sz w:val="24"/>
                <w:highlight w:val="none"/>
                <w:lang w:eastAsia="zh-CN"/>
              </w:rPr>
              <w:t>询价文件</w:t>
            </w:r>
            <w:r>
              <w:rPr>
                <w:rFonts w:hint="eastAsia" w:ascii="仿宋" w:hAnsi="仿宋" w:eastAsia="仿宋" w:cs="仿宋"/>
                <w:color w:val="auto"/>
                <w:sz w:val="24"/>
                <w:highlight w:val="none"/>
              </w:rPr>
              <w:t>规定由</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法定代表人或其授权代理人签字、盖章的；</w:t>
            </w:r>
          </w:p>
        </w:tc>
      </w:tr>
      <w:tr w14:paraId="60C7CF6C">
        <w:tblPrEx>
          <w:tblCellMar>
            <w:top w:w="0" w:type="dxa"/>
            <w:left w:w="108" w:type="dxa"/>
            <w:bottom w:w="0" w:type="dxa"/>
            <w:right w:w="108" w:type="dxa"/>
          </w:tblCellMar>
        </w:tblPrEx>
        <w:trPr>
          <w:trHeight w:val="522"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B6EFE7">
            <w:pPr>
              <w:spacing w:line="4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1684FB">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是否交纳保证金；</w:t>
            </w:r>
          </w:p>
        </w:tc>
      </w:tr>
      <w:tr w14:paraId="32A1CA60">
        <w:tblPrEx>
          <w:tblCellMar>
            <w:top w:w="0" w:type="dxa"/>
            <w:left w:w="108" w:type="dxa"/>
            <w:bottom w:w="0" w:type="dxa"/>
            <w:right w:w="108" w:type="dxa"/>
          </w:tblCellMar>
        </w:tblPrEx>
        <w:trPr>
          <w:trHeight w:val="494"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86AD80">
            <w:pPr>
              <w:spacing w:line="4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CB8330">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的报价</w:t>
            </w:r>
            <w:r>
              <w:rPr>
                <w:rFonts w:hint="eastAsia" w:ascii="仿宋" w:hAnsi="仿宋" w:eastAsia="仿宋" w:cs="仿宋"/>
                <w:color w:val="auto"/>
                <w:sz w:val="24"/>
                <w:highlight w:val="none"/>
                <w:lang w:val="en-US" w:eastAsia="zh-CN"/>
              </w:rPr>
              <w:t>满足询价文件要求，</w:t>
            </w:r>
            <w:r>
              <w:rPr>
                <w:rFonts w:hint="eastAsia" w:ascii="仿宋" w:hAnsi="仿宋" w:eastAsia="仿宋" w:cs="仿宋"/>
                <w:color w:val="auto"/>
                <w:sz w:val="24"/>
                <w:highlight w:val="none"/>
              </w:rPr>
              <w:t>针对同一种设备未出现了两个或两个以上的报价；</w:t>
            </w:r>
            <w:r>
              <w:rPr>
                <w:rFonts w:hint="eastAsia" w:ascii="仿宋" w:hAnsi="仿宋" w:eastAsia="仿宋" w:cs="仿宋"/>
                <w:color w:val="auto"/>
                <w:sz w:val="24"/>
                <w:highlight w:val="none"/>
                <w:lang w:val="en-US" w:eastAsia="zh-CN"/>
              </w:rPr>
              <w:t>且</w:t>
            </w:r>
            <w:r>
              <w:rPr>
                <w:rFonts w:hint="eastAsia" w:ascii="仿宋" w:hAnsi="仿宋" w:eastAsia="仿宋" w:cs="仿宋"/>
                <w:color w:val="auto"/>
                <w:sz w:val="24"/>
                <w:highlight w:val="none"/>
              </w:rPr>
              <w:t>未超过项目采购预算或最高限价的；</w:t>
            </w:r>
          </w:p>
        </w:tc>
      </w:tr>
      <w:tr w14:paraId="4E1A2DD9">
        <w:tblPrEx>
          <w:tblCellMar>
            <w:top w:w="0" w:type="dxa"/>
            <w:left w:w="108" w:type="dxa"/>
            <w:bottom w:w="0" w:type="dxa"/>
            <w:right w:w="108" w:type="dxa"/>
          </w:tblCellMar>
        </w:tblPrEx>
        <w:trPr>
          <w:trHeight w:val="494"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0CC04E">
            <w:pPr>
              <w:spacing w:line="4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85CC84">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未按</w:t>
            </w:r>
            <w:r>
              <w:rPr>
                <w:rFonts w:hint="eastAsia" w:ascii="仿宋" w:hAnsi="仿宋" w:eastAsia="仿宋" w:cs="仿宋"/>
                <w:color w:val="auto"/>
                <w:sz w:val="24"/>
                <w:highlight w:val="none"/>
                <w:lang w:eastAsia="zh-CN"/>
              </w:rPr>
              <w:t>询价文件</w:t>
            </w:r>
            <w:r>
              <w:rPr>
                <w:rFonts w:hint="eastAsia" w:ascii="仿宋" w:hAnsi="仿宋" w:eastAsia="仿宋" w:cs="仿宋"/>
                <w:color w:val="auto"/>
                <w:sz w:val="24"/>
                <w:highlight w:val="none"/>
              </w:rPr>
              <w:t>规定的格式填写，内容不全或关键字迹模糊、无法辨认的；</w:t>
            </w:r>
          </w:p>
        </w:tc>
      </w:tr>
      <w:tr w14:paraId="7A422CE4">
        <w:tblPrEx>
          <w:tblCellMar>
            <w:top w:w="0" w:type="dxa"/>
            <w:left w:w="108" w:type="dxa"/>
            <w:bottom w:w="0" w:type="dxa"/>
            <w:right w:w="108" w:type="dxa"/>
          </w:tblCellMar>
        </w:tblPrEx>
        <w:trPr>
          <w:trHeight w:val="494"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42738B">
            <w:pPr>
              <w:spacing w:line="46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188324">
            <w:pPr>
              <w:snapToGrid w:val="0"/>
              <w:spacing w:line="46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响应文件提供的</w:t>
            </w:r>
            <w:r>
              <w:rPr>
                <w:rFonts w:hint="eastAsia" w:ascii="仿宋" w:hAnsi="仿宋" w:eastAsia="仿宋" w:cs="仿宋"/>
                <w:color w:val="auto"/>
                <w:sz w:val="24"/>
                <w:highlight w:val="none"/>
                <w:lang w:val="en-US" w:eastAsia="zh-CN"/>
              </w:rPr>
              <w:t>分项报价表</w:t>
            </w:r>
            <w:r>
              <w:rPr>
                <w:rFonts w:hint="eastAsia" w:ascii="仿宋" w:hAnsi="仿宋" w:eastAsia="仿宋" w:cs="仿宋"/>
                <w:color w:val="auto"/>
                <w:sz w:val="24"/>
                <w:highlight w:val="none"/>
                <w:lang w:eastAsia="zh-CN"/>
              </w:rPr>
              <w:t>内容满足询价文件的要求，且没有缺项漏项。</w:t>
            </w:r>
          </w:p>
        </w:tc>
      </w:tr>
      <w:tr w14:paraId="32DB0EF8">
        <w:tblPrEx>
          <w:tblCellMar>
            <w:top w:w="0" w:type="dxa"/>
            <w:left w:w="108" w:type="dxa"/>
            <w:bottom w:w="0" w:type="dxa"/>
            <w:right w:w="108" w:type="dxa"/>
          </w:tblCellMar>
        </w:tblPrEx>
        <w:trPr>
          <w:trHeight w:val="494"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00AE11">
            <w:pPr>
              <w:spacing w:line="46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E7CF35">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载明的采购项目完成期限超过</w:t>
            </w:r>
            <w:r>
              <w:rPr>
                <w:rFonts w:hint="eastAsia" w:ascii="仿宋" w:hAnsi="仿宋" w:eastAsia="仿宋" w:cs="仿宋"/>
                <w:color w:val="auto"/>
                <w:sz w:val="24"/>
                <w:highlight w:val="none"/>
                <w:lang w:eastAsia="zh-CN"/>
              </w:rPr>
              <w:t>询价文件</w:t>
            </w:r>
            <w:r>
              <w:rPr>
                <w:rFonts w:hint="eastAsia" w:ascii="仿宋" w:hAnsi="仿宋" w:eastAsia="仿宋" w:cs="仿宋"/>
                <w:color w:val="auto"/>
                <w:sz w:val="24"/>
                <w:highlight w:val="none"/>
              </w:rPr>
              <w:t>规定期限的；</w:t>
            </w:r>
          </w:p>
        </w:tc>
      </w:tr>
      <w:tr w14:paraId="5E927A8C">
        <w:tblPrEx>
          <w:tblCellMar>
            <w:top w:w="0" w:type="dxa"/>
            <w:left w:w="108" w:type="dxa"/>
            <w:bottom w:w="0" w:type="dxa"/>
            <w:right w:w="108" w:type="dxa"/>
          </w:tblCellMar>
        </w:tblPrEx>
        <w:trPr>
          <w:trHeight w:val="494"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E0B6EE">
            <w:pPr>
              <w:spacing w:line="4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E32197">
            <w:pPr>
              <w:snapToGrid w:val="0"/>
              <w:spacing w:line="46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lang w:eastAsia="zh-CN"/>
              </w:rPr>
              <w:t>文件载明的质保期满足招标文件规定；</w:t>
            </w:r>
          </w:p>
        </w:tc>
      </w:tr>
      <w:tr w14:paraId="0DAC29C5">
        <w:tblPrEx>
          <w:tblCellMar>
            <w:top w:w="0" w:type="dxa"/>
            <w:left w:w="108" w:type="dxa"/>
            <w:bottom w:w="0" w:type="dxa"/>
            <w:right w:w="108" w:type="dxa"/>
          </w:tblCellMar>
        </w:tblPrEx>
        <w:trPr>
          <w:trHeight w:val="494"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D4EB65">
            <w:pPr>
              <w:spacing w:line="46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B167FE">
            <w:pPr>
              <w:snapToGrid w:val="0"/>
              <w:spacing w:line="46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响应文件载明的投标有效期满足询价文件规定；</w:t>
            </w:r>
          </w:p>
        </w:tc>
      </w:tr>
      <w:tr w14:paraId="6310AF9E">
        <w:tblPrEx>
          <w:tblCellMar>
            <w:top w:w="0" w:type="dxa"/>
            <w:left w:w="108" w:type="dxa"/>
            <w:bottom w:w="0" w:type="dxa"/>
            <w:right w:w="108" w:type="dxa"/>
          </w:tblCellMar>
        </w:tblPrEx>
        <w:trPr>
          <w:trHeight w:val="494"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9F62F6">
            <w:pPr>
              <w:spacing w:line="46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505DA9">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明显不符合</w:t>
            </w:r>
            <w:r>
              <w:rPr>
                <w:rFonts w:hint="eastAsia" w:ascii="仿宋" w:hAnsi="仿宋" w:eastAsia="仿宋" w:cs="仿宋"/>
                <w:color w:val="auto"/>
                <w:sz w:val="24"/>
                <w:highlight w:val="none"/>
                <w:lang w:eastAsia="zh-CN"/>
              </w:rPr>
              <w:t>询价文件</w:t>
            </w:r>
            <w:r>
              <w:rPr>
                <w:rFonts w:hint="eastAsia" w:ascii="仿宋" w:hAnsi="仿宋" w:eastAsia="仿宋" w:cs="仿宋"/>
                <w:color w:val="auto"/>
                <w:sz w:val="24"/>
                <w:highlight w:val="none"/>
              </w:rPr>
              <w:t>规定的技术规格、技术标准以及商务条款要求的；</w:t>
            </w:r>
          </w:p>
        </w:tc>
      </w:tr>
      <w:tr w14:paraId="23DDC7A1">
        <w:tblPrEx>
          <w:tblCellMar>
            <w:top w:w="0" w:type="dxa"/>
            <w:left w:w="108" w:type="dxa"/>
            <w:bottom w:w="0" w:type="dxa"/>
            <w:right w:w="108" w:type="dxa"/>
          </w:tblCellMar>
        </w:tblPrEx>
        <w:trPr>
          <w:trHeight w:val="494" w:hRule="atLeast"/>
          <w:jc w:val="center"/>
        </w:trPr>
        <w:tc>
          <w:tcPr>
            <w:tcW w:w="73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126035">
            <w:pPr>
              <w:spacing w:line="46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88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7A466B">
            <w:pPr>
              <w:snapToGrid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未附有采购人不能接受的附加条件；未出现供应商对采购人、采购代理机构、评标委员会及其工作人员施加影响,有碍公平、公正的情形；未出现提供虚假材料等法律、法规和招标文件规定的其他无效情形</w:t>
            </w:r>
          </w:p>
        </w:tc>
      </w:tr>
      <w:tr w14:paraId="2594AE85">
        <w:tblPrEx>
          <w:tblCellMar>
            <w:top w:w="0" w:type="dxa"/>
            <w:left w:w="0" w:type="dxa"/>
            <w:bottom w:w="0" w:type="dxa"/>
            <w:right w:w="0" w:type="dxa"/>
          </w:tblCellMar>
        </w:tblPrEx>
        <w:trPr>
          <w:trHeight w:val="940" w:hRule="atLeast"/>
          <w:jc w:val="center"/>
        </w:trPr>
        <w:tc>
          <w:tcPr>
            <w:tcW w:w="957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AF8380">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备注：由评审小组对符合资格的各</w:t>
            </w:r>
            <w:r>
              <w:rPr>
                <w:rFonts w:hint="eastAsia" w:ascii="仿宋" w:hAnsi="仿宋" w:eastAsia="仿宋" w:cs="仿宋"/>
                <w:color w:val="auto"/>
                <w:sz w:val="24"/>
                <w:highlight w:val="none"/>
                <w:lang w:eastAsia="zh-CN"/>
              </w:rPr>
              <w:t>供应商响应文件</w:t>
            </w:r>
            <w:r>
              <w:rPr>
                <w:rFonts w:hint="eastAsia" w:ascii="仿宋" w:hAnsi="仿宋" w:eastAsia="仿宋" w:cs="仿宋"/>
                <w:color w:val="auto"/>
                <w:sz w:val="24"/>
                <w:highlight w:val="none"/>
              </w:rPr>
              <w:t>进行符合性审查，如果</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有一项未通过上述审查标准，评审小组将认定整个</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不响应</w:t>
            </w:r>
            <w:r>
              <w:rPr>
                <w:rFonts w:hint="eastAsia" w:ascii="仿宋" w:hAnsi="仿宋" w:eastAsia="仿宋" w:cs="仿宋"/>
                <w:color w:val="auto"/>
                <w:sz w:val="24"/>
                <w:highlight w:val="none"/>
                <w:lang w:eastAsia="zh-CN"/>
              </w:rPr>
              <w:t>询价文件</w:t>
            </w:r>
            <w:r>
              <w:rPr>
                <w:rFonts w:hint="eastAsia" w:ascii="仿宋" w:hAnsi="仿宋" w:eastAsia="仿宋" w:cs="仿宋"/>
                <w:color w:val="auto"/>
                <w:sz w:val="24"/>
                <w:highlight w:val="none"/>
              </w:rPr>
              <w:t>而予以否决，并且不允许</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通过修改或撤销其不符合要求的差异或保留，使之成为具有响应性的响应。未通过符合性审查的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其</w:t>
            </w:r>
            <w:r>
              <w:rPr>
                <w:rFonts w:hint="eastAsia" w:ascii="仿宋" w:hAnsi="仿宋" w:eastAsia="仿宋" w:cs="仿宋"/>
                <w:color w:val="auto"/>
                <w:sz w:val="24"/>
                <w:highlight w:val="none"/>
                <w:lang w:eastAsia="zh-CN"/>
              </w:rPr>
              <w:t>响应文件</w:t>
            </w:r>
            <w:r>
              <w:rPr>
                <w:rFonts w:hint="eastAsia" w:ascii="仿宋" w:hAnsi="仿宋" w:eastAsia="仿宋" w:cs="仿宋"/>
                <w:color w:val="auto"/>
                <w:sz w:val="24"/>
                <w:highlight w:val="none"/>
              </w:rPr>
              <w:t>将按照无效</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处理。</w:t>
            </w:r>
          </w:p>
        </w:tc>
      </w:tr>
    </w:tbl>
    <w:p w14:paraId="5F6DBCAA">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ascii="仿宋" w:hAnsi="仿宋" w:eastAsia="仿宋" w:cs="仿宋"/>
          <w:color w:val="auto"/>
          <w:spacing w:val="-2"/>
          <w:sz w:val="24"/>
          <w:szCs w:val="22"/>
          <w:highlight w:val="none"/>
        </w:rPr>
      </w:pPr>
      <w:r>
        <w:rPr>
          <w:rFonts w:hint="eastAsia" w:ascii="仿宋" w:hAnsi="仿宋" w:eastAsia="仿宋" w:cs="仿宋"/>
          <w:color w:val="auto"/>
          <w:spacing w:val="-2"/>
          <w:sz w:val="24"/>
          <w:szCs w:val="22"/>
          <w:highlight w:val="none"/>
        </w:rPr>
        <w:t>25.2定标原则</w:t>
      </w:r>
    </w:p>
    <w:p w14:paraId="046C42FD">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szCs w:val="22"/>
          <w:highlight w:val="none"/>
        </w:rPr>
      </w:pPr>
      <w:r>
        <w:rPr>
          <w:rFonts w:hint="eastAsia" w:ascii="仿宋" w:hAnsi="仿宋" w:eastAsia="仿宋" w:cs="仿宋"/>
          <w:color w:val="auto"/>
          <w:spacing w:val="-2"/>
          <w:sz w:val="24"/>
          <w:szCs w:val="22"/>
          <w:highlight w:val="none"/>
        </w:rPr>
        <w:t>最低评标价法：是响应文件满足询价文件全部实质性要求且</w:t>
      </w:r>
      <w:r>
        <w:rPr>
          <w:rFonts w:hint="eastAsia" w:ascii="仿宋" w:hAnsi="仿宋" w:eastAsia="仿宋" w:cs="仿宋"/>
          <w:color w:val="auto"/>
          <w:spacing w:val="-2"/>
          <w:sz w:val="24"/>
          <w:szCs w:val="22"/>
          <w:highlight w:val="none"/>
          <w:lang w:eastAsia="zh-CN"/>
        </w:rPr>
        <w:t>响应报价</w:t>
      </w:r>
      <w:r>
        <w:rPr>
          <w:rFonts w:hint="eastAsia" w:ascii="仿宋" w:hAnsi="仿宋" w:eastAsia="仿宋" w:cs="仿宋"/>
          <w:color w:val="auto"/>
          <w:spacing w:val="-2"/>
          <w:sz w:val="24"/>
          <w:szCs w:val="22"/>
          <w:highlight w:val="none"/>
        </w:rPr>
        <w:t>最低的供应商为中标</w:t>
      </w:r>
      <w:r>
        <w:rPr>
          <w:rFonts w:hint="eastAsia" w:ascii="仿宋" w:hAnsi="仿宋" w:eastAsia="仿宋" w:cs="仿宋"/>
          <w:color w:val="auto"/>
          <w:spacing w:val="-2"/>
          <w:sz w:val="24"/>
          <w:szCs w:val="22"/>
          <w:highlight w:val="none"/>
          <w:lang w:eastAsia="zh-CN"/>
        </w:rPr>
        <w:t>（成交）</w:t>
      </w:r>
      <w:r>
        <w:rPr>
          <w:rFonts w:hint="eastAsia" w:ascii="仿宋" w:hAnsi="仿宋" w:eastAsia="仿宋" w:cs="仿宋"/>
          <w:color w:val="auto"/>
          <w:spacing w:val="-2"/>
          <w:sz w:val="24"/>
          <w:szCs w:val="22"/>
          <w:highlight w:val="none"/>
        </w:rPr>
        <w:t>候选人的评标办法。</w:t>
      </w:r>
    </w:p>
    <w:p w14:paraId="464FACE0">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szCs w:val="22"/>
          <w:highlight w:val="none"/>
        </w:rPr>
      </w:pPr>
      <w:r>
        <w:rPr>
          <w:rFonts w:hint="eastAsia" w:ascii="仿宋" w:hAnsi="仿宋" w:eastAsia="仿宋" w:cs="仿宋"/>
          <w:color w:val="auto"/>
          <w:spacing w:val="-2"/>
          <w:sz w:val="24"/>
          <w:szCs w:val="22"/>
          <w:highlight w:val="none"/>
        </w:rPr>
        <w:t>询价小组根据符合采购需求、质量和服务相等且报价最低的原则确定中标（成交）人，出具《评审报告》推荐预中标（成交）单位，并将结果通知所有参加询价的未中标</w:t>
      </w:r>
      <w:r>
        <w:rPr>
          <w:rFonts w:hint="eastAsia" w:ascii="仿宋" w:hAnsi="仿宋" w:eastAsia="仿宋" w:cs="仿宋"/>
          <w:color w:val="auto"/>
          <w:spacing w:val="-2"/>
          <w:sz w:val="24"/>
          <w:szCs w:val="22"/>
          <w:highlight w:val="none"/>
          <w:lang w:eastAsia="zh-CN"/>
        </w:rPr>
        <w:t>（成交）</w:t>
      </w:r>
      <w:r>
        <w:rPr>
          <w:rFonts w:hint="eastAsia" w:ascii="仿宋" w:hAnsi="仿宋" w:eastAsia="仿宋" w:cs="仿宋"/>
          <w:color w:val="auto"/>
          <w:spacing w:val="-2"/>
          <w:sz w:val="24"/>
          <w:szCs w:val="22"/>
          <w:highlight w:val="none"/>
        </w:rPr>
        <w:t>的供应商。</w:t>
      </w:r>
      <w:r>
        <w:rPr>
          <w:rFonts w:hint="eastAsia" w:ascii="仿宋" w:hAnsi="仿宋" w:eastAsia="仿宋" w:cs="仿宋"/>
          <w:color w:val="auto"/>
          <w:spacing w:val="-2"/>
          <w:sz w:val="24"/>
          <w:szCs w:val="22"/>
          <w:highlight w:val="none"/>
          <w:lang w:eastAsia="zh-CN"/>
        </w:rPr>
        <w:t>采购人</w:t>
      </w:r>
      <w:r>
        <w:rPr>
          <w:rFonts w:hint="eastAsia" w:ascii="仿宋" w:hAnsi="仿宋" w:eastAsia="仿宋" w:cs="仿宋"/>
          <w:color w:val="auto"/>
          <w:spacing w:val="-2"/>
          <w:sz w:val="24"/>
          <w:szCs w:val="22"/>
          <w:highlight w:val="none"/>
        </w:rPr>
        <w:t>不向落标人解释落标原因，不退还响应文件。</w:t>
      </w:r>
    </w:p>
    <w:p w14:paraId="6C3AD747">
      <w:pPr>
        <w:pStyle w:val="17"/>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outlineLvl w:val="9"/>
        <w:rPr>
          <w:rFonts w:hint="eastAsia" w:ascii="仿宋" w:hAnsi="仿宋" w:eastAsia="仿宋" w:cs="仿宋"/>
          <w:snapToGrid/>
          <w:color w:val="auto"/>
          <w:spacing w:val="-2"/>
          <w:kern w:val="2"/>
          <w:sz w:val="24"/>
          <w:szCs w:val="22"/>
          <w:highlight w:val="none"/>
        </w:rPr>
      </w:pPr>
      <w:bookmarkStart w:id="11" w:name="_Toc134550680"/>
      <w:r>
        <w:rPr>
          <w:rFonts w:hint="eastAsia" w:ascii="仿宋" w:hAnsi="仿宋" w:eastAsia="仿宋" w:cs="仿宋"/>
          <w:snapToGrid/>
          <w:color w:val="auto"/>
          <w:spacing w:val="-2"/>
          <w:kern w:val="2"/>
          <w:sz w:val="24"/>
          <w:szCs w:val="22"/>
          <w:highlight w:val="none"/>
        </w:rPr>
        <w:t>25.3采购人根据询价小组的评审报告，应当确定排名第一的中标（成交）候选人为中标（成交）人。排名第一的中标（成交）候选人放弃成交、因不可抗力不能履行合同、不按照询价文件要求提交履约保证金，或者被查实存在影响成交结果的违法行为等情形，不符合成交条件的，采购人可以按照询价小组提出的中标（成交）候选人名单排序依次确定其他中标（成交）候选人为中标（成交）人，也可重新采购。</w:t>
      </w:r>
      <w:bookmarkEnd w:id="11"/>
    </w:p>
    <w:p w14:paraId="370C4987">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ascii="仿宋" w:hAnsi="仿宋" w:eastAsia="仿宋" w:cs="仿宋"/>
          <w:color w:val="auto"/>
          <w:spacing w:val="-2"/>
          <w:sz w:val="24"/>
          <w:szCs w:val="22"/>
          <w:highlight w:val="none"/>
        </w:rPr>
      </w:pPr>
      <w:r>
        <w:rPr>
          <w:rFonts w:hint="eastAsia" w:ascii="仿宋" w:hAnsi="仿宋" w:eastAsia="仿宋" w:cs="仿宋"/>
          <w:color w:val="auto"/>
          <w:spacing w:val="-2"/>
          <w:sz w:val="24"/>
          <w:szCs w:val="22"/>
          <w:highlight w:val="none"/>
        </w:rPr>
        <w:t>25.4供应商有以下情形之一的，中标、成交无效。</w:t>
      </w:r>
    </w:p>
    <w:p w14:paraId="525A6410">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（1）提供虚假材料谋取中标、成交的；</w:t>
      </w:r>
    </w:p>
    <w:p w14:paraId="4B60D7D7">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（2）采取不正当手段诋毁、排挤其他供应商的；</w:t>
      </w:r>
    </w:p>
    <w:p w14:paraId="39D2FAEA">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（3）与采购人、其他供应商或者</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恶意串通的；</w:t>
      </w:r>
    </w:p>
    <w:p w14:paraId="33F060D4">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行贿或者提供其他不正当利益的；</w:t>
      </w:r>
    </w:p>
    <w:p w14:paraId="578340D8">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（5）在招标采购过程中与采购人进行协商的；</w:t>
      </w:r>
    </w:p>
    <w:p w14:paraId="295BAA35">
      <w:pPr>
        <w:pStyle w:val="15"/>
        <w:keepNext w:val="0"/>
        <w:keepLines w:val="0"/>
        <w:pageBreakBefore w:val="0"/>
        <w:widowControl w:val="0"/>
        <w:kinsoku/>
        <w:overflowPunct/>
        <w:topLinePunct w:val="0"/>
        <w:autoSpaceDE/>
        <w:autoSpaceDN/>
        <w:bidi w:val="0"/>
        <w:adjustRightInd/>
        <w:snapToGrid/>
        <w:spacing w:after="0" w:afterLines="0" w:line="360" w:lineRule="auto"/>
        <w:ind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sz w:val="24"/>
          <w:highlight w:val="none"/>
        </w:rPr>
        <w:t>（6）拒绝有关部门监督检查或者提供虚假情况的。</w:t>
      </w:r>
    </w:p>
    <w:p w14:paraId="064E811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询价小组应当对响应文件进行审查，并根据询价文件规定的程序、评定成交的标准等事项与实质性响应询价文件要求的制造商进行招标。未实质性响应询价文件的响应文件按无效处理，询价小组应当告知有关供应商。</w:t>
      </w:r>
    </w:p>
    <w:p w14:paraId="79EA8447">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1、询价小组应当执行连续评标的原则完成全部评标工作。只有发生不可抗力导致评标工作无法继续时，评标活动方可暂停。发生评标暂停情况时，询价小组应当封存全部响应文件和评标记录，待不可抗力的影响结束且具备继续评标的条件时，由原询价小组继续评标。</w:t>
      </w:r>
    </w:p>
    <w:p w14:paraId="21C715A5">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2、除非发生下列情况之一，询价小组成员不得在评标中途更换：(1)因不可抗拒的客观原因，不能到场或需在评标中途退出评标活动；(2)根据法律法规规定，某个或某几个询价小组成员需要回避。退出评标的询价小组成员，其已完成的评标行为无效。根据本询价文件规定的询价小组成员产生方式另行确定替代者进行评标。</w:t>
      </w:r>
    </w:p>
    <w:p w14:paraId="48589D2C">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3、在任何评标环节中，需询价小组就某项评审结论做出表决的，由询价小组全体成员按照少数服从多数的原则，以记名投票方式表决。</w:t>
      </w:r>
    </w:p>
    <w:p w14:paraId="5ED54691">
      <w:pPr>
        <w:keepNext w:val="0"/>
        <w:keepLines w:val="0"/>
        <w:pageBreakBefore w:val="0"/>
        <w:widowControl w:val="0"/>
        <w:kinsoku/>
        <w:overflowPunct/>
        <w:topLinePunct w:val="0"/>
        <w:autoSpaceDE/>
        <w:autoSpaceDN/>
        <w:bidi w:val="0"/>
        <w:adjustRightInd/>
        <w:snapToGrid/>
        <w:spacing w:line="360" w:lineRule="auto"/>
        <w:ind w:firstLine="240" w:firstLineChars="100"/>
        <w:jc w:val="left"/>
        <w:textAlignment w:val="auto"/>
        <w:outlineLvl w:val="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落实政府采购政策：</w:t>
      </w:r>
    </w:p>
    <w:p w14:paraId="0FCB44E7">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根据财政部、工业和信息化部印发的《政府采购促进中小企业发展管理办法》（财库〔2020〕46号）的规定，对小型和微型企业产品的价格给予10%的扣除，用扣除后的价格参与评审；提供的服务中仅有部分小型和微型企业的，则按所提供小型和微型企业服务的价格予以扣除。</w:t>
      </w:r>
    </w:p>
    <w:p w14:paraId="57BE185A">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2）《政府采购促进中小企业发展管理办法》所指中小企业（含中型、小型、微型企业，下同）应当同时符合以下条件：</w:t>
      </w:r>
      <w:r>
        <w:rPr>
          <w:rFonts w:hint="eastAsia" w:ascii="仿宋" w:hAnsi="仿宋" w:eastAsia="仿宋" w:cs="仿宋"/>
          <w:b w:val="0"/>
          <w:bCs w:val="0"/>
          <w:color w:val="auto"/>
          <w:sz w:val="24"/>
          <w:highlight w:val="none"/>
        </w:rPr>
        <w:fldChar w:fldCharType="begin"/>
      </w:r>
      <w:r>
        <w:rPr>
          <w:rFonts w:hint="eastAsia" w:ascii="仿宋" w:hAnsi="仿宋" w:eastAsia="仿宋" w:cs="仿宋"/>
          <w:b w:val="0"/>
          <w:bCs w:val="0"/>
          <w:color w:val="auto"/>
          <w:sz w:val="24"/>
          <w:highlight w:val="none"/>
        </w:rPr>
        <w:instrText xml:space="preserve"> = 1 \* GB3 </w:instrText>
      </w:r>
      <w:r>
        <w:rPr>
          <w:rFonts w:hint="eastAsia" w:ascii="仿宋" w:hAnsi="仿宋" w:eastAsia="仿宋" w:cs="仿宋"/>
          <w:b w:val="0"/>
          <w:bCs w:val="0"/>
          <w:color w:val="auto"/>
          <w:sz w:val="24"/>
          <w:highlight w:val="none"/>
        </w:rPr>
        <w:fldChar w:fldCharType="separate"/>
      </w:r>
      <w:r>
        <w:rPr>
          <w:rFonts w:hint="eastAsia" w:ascii="仿宋" w:hAnsi="仿宋" w:eastAsia="仿宋" w:cs="仿宋"/>
          <w:b w:val="0"/>
          <w:bCs w:val="0"/>
          <w:color w:val="auto"/>
          <w:sz w:val="24"/>
          <w:highlight w:val="none"/>
        </w:rPr>
        <w:t>①</w:t>
      </w:r>
      <w:r>
        <w:rPr>
          <w:rFonts w:hint="eastAsia" w:ascii="仿宋" w:hAnsi="仿宋" w:eastAsia="仿宋" w:cs="仿宋"/>
          <w:b w:val="0"/>
          <w:bCs w:val="0"/>
          <w:color w:val="auto"/>
          <w:sz w:val="24"/>
          <w:highlight w:val="none"/>
        </w:rPr>
        <w:fldChar w:fldCharType="end"/>
      </w:r>
      <w:r>
        <w:rPr>
          <w:rFonts w:hint="eastAsia" w:ascii="仿宋" w:hAnsi="仿宋" w:eastAsia="仿宋" w:cs="仿宋"/>
          <w:b w:val="0"/>
          <w:bCs w:val="0"/>
          <w:color w:val="auto"/>
          <w:sz w:val="24"/>
          <w:highlight w:val="none"/>
        </w:rPr>
        <w:t>符合中小企业划分标准；</w:t>
      </w:r>
      <w:r>
        <w:rPr>
          <w:rFonts w:hint="eastAsia" w:ascii="仿宋" w:hAnsi="仿宋" w:eastAsia="仿宋" w:cs="仿宋"/>
          <w:b w:val="0"/>
          <w:bCs w:val="0"/>
          <w:color w:val="auto"/>
          <w:sz w:val="24"/>
          <w:highlight w:val="none"/>
        </w:rPr>
        <w:fldChar w:fldCharType="begin"/>
      </w:r>
      <w:r>
        <w:rPr>
          <w:rFonts w:hint="eastAsia" w:ascii="仿宋" w:hAnsi="仿宋" w:eastAsia="仿宋" w:cs="仿宋"/>
          <w:b w:val="0"/>
          <w:bCs w:val="0"/>
          <w:color w:val="auto"/>
          <w:sz w:val="24"/>
          <w:highlight w:val="none"/>
        </w:rPr>
        <w:instrText xml:space="preserve"> = 2 \* GB3 </w:instrText>
      </w:r>
      <w:r>
        <w:rPr>
          <w:rFonts w:hint="eastAsia" w:ascii="仿宋" w:hAnsi="仿宋" w:eastAsia="仿宋" w:cs="仿宋"/>
          <w:b w:val="0"/>
          <w:bCs w:val="0"/>
          <w:color w:val="auto"/>
          <w:sz w:val="24"/>
          <w:highlight w:val="none"/>
        </w:rPr>
        <w:fldChar w:fldCharType="separate"/>
      </w:r>
      <w:r>
        <w:rPr>
          <w:rFonts w:hint="eastAsia" w:ascii="仿宋" w:hAnsi="仿宋" w:eastAsia="仿宋" w:cs="仿宋"/>
          <w:b w:val="0"/>
          <w:bCs w:val="0"/>
          <w:color w:val="auto"/>
          <w:sz w:val="24"/>
          <w:highlight w:val="none"/>
        </w:rPr>
        <w:t>②</w:t>
      </w:r>
      <w:r>
        <w:rPr>
          <w:rFonts w:hint="eastAsia" w:ascii="仿宋" w:hAnsi="仿宋" w:eastAsia="仿宋" w:cs="仿宋"/>
          <w:b w:val="0"/>
          <w:bCs w:val="0"/>
          <w:color w:val="auto"/>
          <w:sz w:val="24"/>
          <w:highlight w:val="none"/>
        </w:rPr>
        <w:fldChar w:fldCharType="end"/>
      </w:r>
      <w:r>
        <w:rPr>
          <w:rFonts w:hint="eastAsia" w:ascii="仿宋" w:hAnsi="仿宋" w:eastAsia="仿宋" w:cs="仿宋"/>
          <w:b w:val="0"/>
          <w:bCs w:val="0"/>
          <w:color w:val="auto"/>
          <w:sz w:val="24"/>
          <w:highlight w:val="none"/>
        </w:rPr>
        <w:t>提供本企业制造的货物、承担的项目或者服务，或者提供其他中小企业制造的货物。本项所称货物不包括使用大型企业注册商标的货物。中小企业划分标准以《工业和信息化部、国家统计局、国家发展和改革委员会、财政部关于印发中小企业划型标准规定的通知》（工信部联企业[2011]300号）规定的划分标准为准。</w:t>
      </w:r>
    </w:p>
    <w:p w14:paraId="4C287C57">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3）参加政府采购活动的中小企业应当提供《中小企业声明函》（格式见第五部分报价文件格式）。</w:t>
      </w:r>
    </w:p>
    <w:p w14:paraId="20B30C97">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4）监狱企业视同小型、微型企业，享受评审中价格扣除。</w:t>
      </w:r>
    </w:p>
    <w:p w14:paraId="210D76A9">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5）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DF8C874">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6）监狱企业参加政府采购活动时，应当提供由省级以上监狱管理局、戒毒管理局（含新疆生产建设兵团）出具的属于监狱企业的证明文件，否则不予认可。</w:t>
      </w:r>
    </w:p>
    <w:p w14:paraId="41A8BE53">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7）报价人同时为小型、微型企业和监狱企业的，评审中只享受一次价格扣除。不重复进行价格扣除。</w:t>
      </w:r>
    </w:p>
    <w:p w14:paraId="317A9782">
      <w:pPr>
        <w:keepNext w:val="0"/>
        <w:keepLines w:val="0"/>
        <w:pageBreakBefore w:val="0"/>
        <w:widowControl w:val="0"/>
        <w:tabs>
          <w:tab w:val="center" w:pos="4422"/>
          <w:tab w:val="left" w:pos="6466"/>
        </w:tabs>
        <w:kinsoku/>
        <w:overflowPunct/>
        <w:topLinePunct w:val="0"/>
        <w:autoSpaceDE/>
        <w:autoSpaceDN/>
        <w:bidi w:val="0"/>
        <w:adjustRightInd/>
        <w:snapToGrid/>
        <w:spacing w:line="360" w:lineRule="auto"/>
        <w:jc w:val="center"/>
        <w:textAlignment w:val="auto"/>
        <w:outlineLvl w:val="9"/>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七、授予合同</w:t>
      </w:r>
    </w:p>
    <w:p w14:paraId="41097813">
      <w:pPr>
        <w:keepNext w:val="0"/>
        <w:keepLines w:val="0"/>
        <w:pageBreakBefore w:val="0"/>
        <w:widowControl w:val="0"/>
        <w:numPr>
          <w:ilvl w:val="0"/>
          <w:numId w:val="0"/>
        </w:numPr>
        <w:kinsoku/>
        <w:overflowPunct/>
        <w:topLinePunct w:val="0"/>
        <w:autoSpaceDE/>
        <w:autoSpaceDN/>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highlight w:val="none"/>
        </w:rPr>
      </w:pPr>
      <w:r>
        <w:rPr>
          <w:rFonts w:hint="default" w:ascii="仿宋" w:hAnsi="仿宋" w:eastAsia="仿宋" w:cs="仿宋"/>
          <w:b/>
          <w:color w:val="auto"/>
          <w:kern w:val="2"/>
          <w:sz w:val="24"/>
          <w:highlight w:val="none"/>
          <w:lang w:val="en-US" w:eastAsia="zh-CN" w:bidi="ar-SA"/>
        </w:rPr>
        <w:t>26.</w:t>
      </w:r>
      <w:r>
        <w:rPr>
          <w:rFonts w:hint="eastAsia" w:ascii="仿宋" w:hAnsi="仿宋" w:eastAsia="仿宋" w:cs="仿宋"/>
          <w:b/>
          <w:color w:val="auto"/>
          <w:sz w:val="24"/>
          <w:highlight w:val="none"/>
        </w:rPr>
        <w:t>签订合同</w:t>
      </w:r>
    </w:p>
    <w:p w14:paraId="35566F48">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26.1　成交方收到</w:t>
      </w:r>
      <w:r>
        <w:rPr>
          <w:rFonts w:hint="eastAsia" w:ascii="仿宋" w:hAnsi="仿宋" w:eastAsia="仿宋" w:cs="仿宋"/>
          <w:color w:val="auto"/>
          <w:spacing w:val="-2"/>
          <w:sz w:val="24"/>
          <w:highlight w:val="none"/>
          <w:lang w:eastAsia="zh-CN"/>
        </w:rPr>
        <w:t>采购人</w:t>
      </w:r>
      <w:r>
        <w:rPr>
          <w:rFonts w:hint="eastAsia" w:ascii="仿宋" w:hAnsi="仿宋" w:eastAsia="仿宋" w:cs="仿宋"/>
          <w:color w:val="auto"/>
          <w:spacing w:val="-2"/>
          <w:sz w:val="24"/>
          <w:highlight w:val="none"/>
        </w:rPr>
        <w:t>的《中标（成交）通知书》后30日内，按照询价文件的约定和成交方响应文件中的承诺与采购单位签订书面合同，所签订的合同不得对询价文件和成交方的响应文件作实质性修改。</w:t>
      </w:r>
    </w:p>
    <w:p w14:paraId="7240983B">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26.2</w:t>
      </w:r>
      <w:r>
        <w:rPr>
          <w:rFonts w:hint="eastAsia" w:ascii="仿宋" w:hAnsi="仿宋" w:eastAsia="仿宋" w:cs="仿宋"/>
          <w:color w:val="auto"/>
          <w:spacing w:val="-2"/>
          <w:sz w:val="24"/>
          <w:highlight w:val="none"/>
          <w:lang w:eastAsia="zh-CN"/>
        </w:rPr>
        <w:t>采购人</w:t>
      </w:r>
      <w:r>
        <w:rPr>
          <w:rFonts w:hint="eastAsia" w:ascii="仿宋" w:hAnsi="仿宋" w:eastAsia="仿宋" w:cs="仿宋"/>
          <w:color w:val="auto"/>
          <w:spacing w:val="-2"/>
          <w:sz w:val="24"/>
          <w:highlight w:val="none"/>
        </w:rPr>
        <w:t>在授予合同时，有权对询价文件中规定的服务的数量在</w:t>
      </w:r>
      <w:r>
        <w:rPr>
          <w:rFonts w:hint="eastAsia" w:ascii="仿宋" w:hAnsi="仿宋" w:eastAsia="仿宋" w:cs="仿宋"/>
          <w:color w:val="auto"/>
          <w:spacing w:val="-2"/>
          <w:sz w:val="24"/>
          <w:highlight w:val="none"/>
          <w:u w:val="single"/>
        </w:rPr>
        <w:t>10%</w:t>
      </w:r>
      <w:r>
        <w:rPr>
          <w:rFonts w:hint="eastAsia" w:ascii="仿宋" w:hAnsi="仿宋" w:eastAsia="仿宋" w:cs="仿宋"/>
          <w:color w:val="auto"/>
          <w:spacing w:val="-2"/>
          <w:sz w:val="24"/>
          <w:highlight w:val="none"/>
        </w:rPr>
        <w:t>的幅度内予以增加或减少</w:t>
      </w:r>
      <w:r>
        <w:rPr>
          <w:rFonts w:hint="eastAsia" w:ascii="仿宋" w:hAnsi="仿宋" w:eastAsia="仿宋" w:cs="仿宋"/>
          <w:color w:val="auto"/>
          <w:spacing w:val="-2"/>
          <w:sz w:val="24"/>
          <w:highlight w:val="none"/>
          <w:lang w:eastAsia="zh-CN"/>
        </w:rPr>
        <w:t>（</w:t>
      </w:r>
      <w:r>
        <w:rPr>
          <w:rFonts w:hint="eastAsia" w:ascii="仿宋" w:hAnsi="仿宋" w:eastAsia="仿宋" w:cs="仿宋"/>
          <w:color w:val="auto"/>
          <w:spacing w:val="-2"/>
          <w:sz w:val="24"/>
          <w:highlight w:val="none"/>
          <w:lang w:val="en-US" w:eastAsia="zh-CN"/>
        </w:rPr>
        <w:t>如有时采用</w:t>
      </w:r>
      <w:r>
        <w:rPr>
          <w:rFonts w:hint="eastAsia" w:ascii="仿宋" w:hAnsi="仿宋" w:eastAsia="仿宋" w:cs="仿宋"/>
          <w:color w:val="auto"/>
          <w:spacing w:val="-2"/>
          <w:sz w:val="24"/>
          <w:highlight w:val="none"/>
          <w:lang w:eastAsia="zh-CN"/>
        </w:rPr>
        <w:t>）</w:t>
      </w:r>
      <w:r>
        <w:rPr>
          <w:rFonts w:hint="eastAsia" w:ascii="仿宋" w:hAnsi="仿宋" w:eastAsia="仿宋" w:cs="仿宋"/>
          <w:color w:val="auto"/>
          <w:spacing w:val="-2"/>
          <w:sz w:val="24"/>
          <w:highlight w:val="none"/>
        </w:rPr>
        <w:t>。</w:t>
      </w:r>
    </w:p>
    <w:p w14:paraId="4FD9FD36">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26.3如成交方拒签合同，则按违约处理。采购人没收其保证金。</w:t>
      </w:r>
    </w:p>
    <w:p w14:paraId="3767558E">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26.4询价文件、成交方的响应文件及其澄清文件等，均为签订经济合同的依据。</w:t>
      </w:r>
    </w:p>
    <w:p w14:paraId="4F852F60">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26.5不允许中标（成交）人将中标项目分包或转交他人承担。特殊情况下，中标（成交）人必须与</w:t>
      </w:r>
      <w:r>
        <w:rPr>
          <w:rFonts w:hint="eastAsia" w:ascii="仿宋" w:hAnsi="仿宋" w:eastAsia="仿宋" w:cs="仿宋"/>
          <w:color w:val="auto"/>
          <w:spacing w:val="-2"/>
          <w:sz w:val="24"/>
          <w:highlight w:val="none"/>
          <w:lang w:eastAsia="zh-CN"/>
        </w:rPr>
        <w:t>采购人</w:t>
      </w:r>
      <w:r>
        <w:rPr>
          <w:rFonts w:hint="eastAsia" w:ascii="仿宋" w:hAnsi="仿宋" w:eastAsia="仿宋" w:cs="仿宋"/>
          <w:color w:val="auto"/>
          <w:spacing w:val="-2"/>
          <w:sz w:val="24"/>
          <w:highlight w:val="none"/>
        </w:rPr>
        <w:t>协商后共同决定将合同标的中的部分由第三方承担供货和服务责任，但成交方必须对合同标的的全部内容向</w:t>
      </w:r>
      <w:r>
        <w:rPr>
          <w:rFonts w:hint="eastAsia" w:ascii="仿宋" w:hAnsi="仿宋" w:eastAsia="仿宋" w:cs="仿宋"/>
          <w:color w:val="auto"/>
          <w:spacing w:val="-2"/>
          <w:sz w:val="24"/>
          <w:highlight w:val="none"/>
          <w:lang w:eastAsia="zh-CN"/>
        </w:rPr>
        <w:t>采购人</w:t>
      </w:r>
      <w:r>
        <w:rPr>
          <w:rFonts w:hint="eastAsia" w:ascii="仿宋" w:hAnsi="仿宋" w:eastAsia="仿宋" w:cs="仿宋"/>
          <w:color w:val="auto"/>
          <w:spacing w:val="-2"/>
          <w:sz w:val="24"/>
          <w:highlight w:val="none"/>
        </w:rPr>
        <w:t>负责，并保证第三方提供的供货和服务符合询价文件的约定和响应文件的承诺及相关约定。</w:t>
      </w:r>
    </w:p>
    <w:p w14:paraId="61631B2F">
      <w:pPr>
        <w:keepNext w:val="0"/>
        <w:keepLines w:val="0"/>
        <w:pageBreakBefore w:val="0"/>
        <w:widowControl w:val="0"/>
        <w:numPr>
          <w:ilvl w:val="0"/>
          <w:numId w:val="0"/>
        </w:numPr>
        <w:kinsoku/>
        <w:overflowPunct/>
        <w:topLinePunct w:val="0"/>
        <w:autoSpaceDE/>
        <w:autoSpaceDN/>
        <w:bidi w:val="0"/>
        <w:adjustRightInd/>
        <w:snapToGrid/>
        <w:spacing w:line="360" w:lineRule="auto"/>
        <w:ind w:left="425" w:leftChars="0" w:hanging="425" w:firstLineChars="0"/>
        <w:textAlignment w:val="auto"/>
        <w:outlineLvl w:val="9"/>
        <w:rPr>
          <w:rFonts w:hint="eastAsia" w:ascii="仿宋" w:hAnsi="仿宋" w:eastAsia="仿宋" w:cs="仿宋"/>
          <w:b/>
          <w:color w:val="auto"/>
          <w:sz w:val="24"/>
          <w:highlight w:val="none"/>
          <w:lang w:eastAsia="zh-CN"/>
        </w:rPr>
      </w:pPr>
      <w:r>
        <w:rPr>
          <w:rFonts w:hint="default" w:ascii="仿宋" w:hAnsi="仿宋" w:eastAsia="仿宋" w:cs="仿宋"/>
          <w:b/>
          <w:color w:val="auto"/>
          <w:kern w:val="2"/>
          <w:sz w:val="24"/>
          <w:highlight w:val="none"/>
          <w:lang w:val="en-US" w:eastAsia="zh-CN" w:bidi="ar-SA"/>
        </w:rPr>
        <w:t>27.</w:t>
      </w:r>
      <w:r>
        <w:rPr>
          <w:rFonts w:hint="eastAsia" w:ascii="仿宋" w:hAnsi="仿宋" w:eastAsia="仿宋" w:cs="仿宋"/>
          <w:b/>
          <w:color w:val="auto"/>
          <w:sz w:val="24"/>
          <w:highlight w:val="none"/>
        </w:rPr>
        <w:t>重新</w:t>
      </w:r>
      <w:r>
        <w:rPr>
          <w:rFonts w:hint="eastAsia" w:ascii="仿宋" w:hAnsi="仿宋" w:eastAsia="仿宋" w:cs="仿宋"/>
          <w:b/>
          <w:color w:val="auto"/>
          <w:sz w:val="24"/>
          <w:highlight w:val="none"/>
          <w:lang w:val="en-US" w:eastAsia="zh-CN"/>
        </w:rPr>
        <w:t>采购</w:t>
      </w:r>
      <w:r>
        <w:rPr>
          <w:rFonts w:hint="eastAsia" w:ascii="仿宋" w:hAnsi="仿宋" w:eastAsia="仿宋" w:cs="仿宋"/>
          <w:b/>
          <w:color w:val="auto"/>
          <w:sz w:val="24"/>
          <w:highlight w:val="none"/>
        </w:rPr>
        <w:t>和不再</w:t>
      </w:r>
      <w:r>
        <w:rPr>
          <w:rFonts w:hint="eastAsia" w:ascii="仿宋" w:hAnsi="仿宋" w:eastAsia="仿宋" w:cs="仿宋"/>
          <w:b/>
          <w:color w:val="auto"/>
          <w:sz w:val="24"/>
          <w:highlight w:val="none"/>
          <w:lang w:val="en-US" w:eastAsia="zh-CN"/>
        </w:rPr>
        <w:t>采购</w:t>
      </w:r>
    </w:p>
    <w:p w14:paraId="3423D390">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27.1重新招标</w:t>
      </w:r>
    </w:p>
    <w:p w14:paraId="13865F64">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有下列情形之一的，采购人将重新招标：</w:t>
      </w:r>
    </w:p>
    <w:p w14:paraId="7971D16B">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（1）</w:t>
      </w:r>
      <w:r>
        <w:rPr>
          <w:rFonts w:hint="eastAsia" w:ascii="仿宋" w:hAnsi="仿宋" w:eastAsia="仿宋" w:cs="仿宋"/>
          <w:color w:val="auto"/>
          <w:spacing w:val="-2"/>
          <w:sz w:val="24"/>
          <w:highlight w:val="none"/>
          <w:lang w:eastAsia="zh-CN"/>
        </w:rPr>
        <w:t>响应</w:t>
      </w:r>
      <w:r>
        <w:rPr>
          <w:rFonts w:hint="eastAsia" w:ascii="仿宋" w:hAnsi="仿宋" w:eastAsia="仿宋" w:cs="仿宋"/>
          <w:color w:val="auto"/>
          <w:spacing w:val="-2"/>
          <w:sz w:val="24"/>
          <w:highlight w:val="none"/>
        </w:rPr>
        <w:t>截止时间止，供应商少于3家的；</w:t>
      </w:r>
    </w:p>
    <w:p w14:paraId="1C8C37D1">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（2）经询价小组评审后否决所有</w:t>
      </w:r>
      <w:r>
        <w:rPr>
          <w:rFonts w:hint="eastAsia" w:ascii="仿宋" w:hAnsi="仿宋" w:eastAsia="仿宋" w:cs="仿宋"/>
          <w:color w:val="auto"/>
          <w:spacing w:val="-2"/>
          <w:sz w:val="24"/>
          <w:highlight w:val="none"/>
          <w:lang w:eastAsia="zh-CN"/>
        </w:rPr>
        <w:t>响应</w:t>
      </w:r>
      <w:r>
        <w:rPr>
          <w:rFonts w:hint="eastAsia" w:ascii="仿宋" w:hAnsi="仿宋" w:eastAsia="仿宋" w:cs="仿宋"/>
          <w:color w:val="auto"/>
          <w:spacing w:val="-2"/>
          <w:sz w:val="24"/>
          <w:highlight w:val="none"/>
        </w:rPr>
        <w:t>的；</w:t>
      </w:r>
    </w:p>
    <w:p w14:paraId="4DA9115E">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（3）经评审后，如合格的供应商少于三家的，且明显缺乏竞争的，询价小组可以否决全部</w:t>
      </w:r>
      <w:r>
        <w:rPr>
          <w:rFonts w:hint="eastAsia" w:ascii="仿宋" w:hAnsi="仿宋" w:eastAsia="仿宋" w:cs="仿宋"/>
          <w:color w:val="auto"/>
          <w:spacing w:val="-2"/>
          <w:sz w:val="24"/>
          <w:highlight w:val="none"/>
          <w:lang w:eastAsia="zh-CN"/>
        </w:rPr>
        <w:t>响应</w:t>
      </w:r>
      <w:r>
        <w:rPr>
          <w:rFonts w:hint="eastAsia" w:ascii="仿宋" w:hAnsi="仿宋" w:eastAsia="仿宋" w:cs="仿宋"/>
          <w:color w:val="auto"/>
          <w:spacing w:val="-2"/>
          <w:sz w:val="24"/>
          <w:highlight w:val="none"/>
        </w:rPr>
        <w:t>，采购人将重新组织询价会议；</w:t>
      </w:r>
    </w:p>
    <w:p w14:paraId="396D804D">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（4）法律法规规定的其他情形。</w:t>
      </w:r>
    </w:p>
    <w:p w14:paraId="470EB768">
      <w:pPr>
        <w:keepNext w:val="0"/>
        <w:keepLines w:val="0"/>
        <w:pageBreakBefore w:val="0"/>
        <w:widowControl w:val="0"/>
        <w:numPr>
          <w:ilvl w:val="0"/>
          <w:numId w:val="0"/>
        </w:numPr>
        <w:kinsoku/>
        <w:overflowPunct/>
        <w:topLinePunct w:val="0"/>
        <w:autoSpaceDE/>
        <w:autoSpaceDN/>
        <w:bidi w:val="0"/>
        <w:adjustRightInd/>
        <w:snapToGrid/>
        <w:spacing w:line="360" w:lineRule="auto"/>
        <w:ind w:left="425" w:leftChars="0" w:hanging="425" w:firstLineChars="0"/>
        <w:textAlignment w:val="auto"/>
        <w:outlineLvl w:val="9"/>
        <w:rPr>
          <w:rFonts w:hint="eastAsia" w:ascii="仿宋" w:hAnsi="仿宋" w:eastAsia="仿宋" w:cs="仿宋"/>
          <w:b/>
          <w:bCs/>
          <w:color w:val="auto"/>
          <w:spacing w:val="-2"/>
          <w:sz w:val="24"/>
          <w:highlight w:val="none"/>
        </w:rPr>
      </w:pPr>
      <w:r>
        <w:rPr>
          <w:rFonts w:hint="default" w:ascii="仿宋" w:hAnsi="仿宋" w:eastAsia="仿宋" w:cs="仿宋"/>
          <w:b/>
          <w:bCs/>
          <w:color w:val="auto"/>
          <w:spacing w:val="-2"/>
          <w:kern w:val="2"/>
          <w:sz w:val="24"/>
          <w:highlight w:val="none"/>
          <w:lang w:val="en-US" w:eastAsia="zh-CN" w:bidi="ar-SA"/>
        </w:rPr>
        <w:t>28.</w:t>
      </w:r>
      <w:r>
        <w:rPr>
          <w:rFonts w:hint="eastAsia" w:ascii="仿宋" w:hAnsi="仿宋" w:eastAsia="仿宋" w:cs="仿宋"/>
          <w:b/>
          <w:bCs/>
          <w:color w:val="auto"/>
          <w:spacing w:val="-2"/>
          <w:sz w:val="24"/>
          <w:highlight w:val="none"/>
        </w:rPr>
        <w:t>质疑</w:t>
      </w:r>
    </w:p>
    <w:p w14:paraId="3BC659C3">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供应商认为询价文件、询价过程和中标结果使自己的权益受到损害的，可以在知道或者应知其权益受到损害之日起七个工作日内，以书面形式向采购人提出质疑。</w:t>
      </w:r>
    </w:p>
    <w:p w14:paraId="77878B35">
      <w:pPr>
        <w:pStyle w:val="15"/>
        <w:keepNext w:val="0"/>
        <w:keepLines w:val="0"/>
        <w:pageBreakBefore w:val="0"/>
        <w:widowControl w:val="0"/>
        <w:numPr>
          <w:ilvl w:val="0"/>
          <w:numId w:val="3"/>
        </w:numPr>
        <w:kinsoku/>
        <w:overflowPunct/>
        <w:topLinePunct w:val="0"/>
        <w:autoSpaceDE/>
        <w:autoSpaceDN/>
        <w:bidi w:val="0"/>
        <w:adjustRightInd/>
        <w:snapToGrid/>
        <w:spacing w:after="0" w:afterLines="0" w:line="360" w:lineRule="auto"/>
        <w:textAlignment w:val="auto"/>
        <w:outlineLvl w:val="9"/>
        <w:rPr>
          <w:rFonts w:hint="eastAsia" w:ascii="仿宋" w:hAnsi="仿宋" w:eastAsia="仿宋" w:cs="仿宋"/>
          <w:color w:val="auto"/>
          <w:spacing w:val="-2"/>
          <w:sz w:val="24"/>
          <w:highlight w:val="none"/>
        </w:rPr>
      </w:pPr>
      <w:r>
        <w:rPr>
          <w:rFonts w:hint="eastAsia" w:ascii="仿宋" w:hAnsi="仿宋" w:eastAsia="仿宋" w:cs="仿宋"/>
          <w:b/>
          <w:bCs/>
          <w:color w:val="auto"/>
          <w:spacing w:val="-2"/>
          <w:sz w:val="24"/>
          <w:highlight w:val="none"/>
        </w:rPr>
        <w:t>投诉</w:t>
      </w:r>
    </w:p>
    <w:p w14:paraId="1B277CC3">
      <w:pPr>
        <w:keepNext w:val="0"/>
        <w:keepLines w:val="0"/>
        <w:pageBreakBefore w:val="0"/>
        <w:widowControl w:val="0"/>
        <w:kinsoku/>
        <w:overflowPunct/>
        <w:topLinePunct w:val="0"/>
        <w:autoSpaceDE/>
        <w:autoSpaceDN/>
        <w:bidi w:val="0"/>
        <w:adjustRightInd/>
        <w:snapToGrid/>
        <w:spacing w:line="360" w:lineRule="auto"/>
        <w:ind w:firstLine="472" w:firstLineChars="200"/>
        <w:textAlignment w:val="auto"/>
        <w:outlineLvl w:val="9"/>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质疑供应商对</w:t>
      </w:r>
      <w:r>
        <w:rPr>
          <w:rFonts w:hint="eastAsia" w:ascii="仿宋" w:hAnsi="仿宋" w:eastAsia="仿宋" w:cs="仿宋"/>
          <w:color w:val="auto"/>
          <w:spacing w:val="-2"/>
          <w:sz w:val="24"/>
          <w:highlight w:val="none"/>
          <w:lang w:eastAsia="zh-CN"/>
        </w:rPr>
        <w:t>采购人</w:t>
      </w:r>
      <w:r>
        <w:rPr>
          <w:rFonts w:hint="eastAsia" w:ascii="仿宋" w:hAnsi="仿宋" w:eastAsia="仿宋" w:cs="仿宋"/>
          <w:color w:val="auto"/>
          <w:spacing w:val="-2"/>
          <w:sz w:val="24"/>
          <w:highlight w:val="none"/>
        </w:rPr>
        <w:t>的答复不满意或者</w:t>
      </w:r>
      <w:r>
        <w:rPr>
          <w:rFonts w:hint="eastAsia" w:ascii="仿宋" w:hAnsi="仿宋" w:eastAsia="仿宋" w:cs="仿宋"/>
          <w:color w:val="auto"/>
          <w:spacing w:val="-2"/>
          <w:sz w:val="24"/>
          <w:highlight w:val="none"/>
          <w:lang w:eastAsia="zh-CN"/>
        </w:rPr>
        <w:t>采购人</w:t>
      </w:r>
      <w:r>
        <w:rPr>
          <w:rFonts w:hint="eastAsia" w:ascii="仿宋" w:hAnsi="仿宋" w:eastAsia="仿宋" w:cs="仿宋"/>
          <w:color w:val="auto"/>
          <w:spacing w:val="-2"/>
          <w:sz w:val="24"/>
          <w:highlight w:val="none"/>
        </w:rPr>
        <w:t>未在规定的时间内作出答复的，可以在答复期满后十五个工作日内向同级政府采购监督管理部门投诉。</w:t>
      </w:r>
    </w:p>
    <w:p w14:paraId="36C116EB">
      <w:pPr>
        <w:pStyle w:val="15"/>
        <w:keepNext w:val="0"/>
        <w:keepLines w:val="0"/>
        <w:pageBreakBefore w:val="0"/>
        <w:widowControl w:val="0"/>
        <w:numPr>
          <w:ilvl w:val="0"/>
          <w:numId w:val="3"/>
        </w:numPr>
        <w:kinsoku/>
        <w:overflowPunct/>
        <w:topLinePunct w:val="0"/>
        <w:autoSpaceDE/>
        <w:autoSpaceDN/>
        <w:bidi w:val="0"/>
        <w:adjustRightInd/>
        <w:snapToGrid/>
        <w:spacing w:after="0" w:afterLines="0" w:line="360" w:lineRule="auto"/>
        <w:textAlignment w:val="auto"/>
        <w:outlineLvl w:val="9"/>
        <w:rPr>
          <w:rFonts w:hint="eastAsia" w:ascii="仿宋" w:hAnsi="仿宋" w:eastAsia="仿宋" w:cs="仿宋"/>
          <w:color w:val="auto"/>
          <w:spacing w:val="-2"/>
          <w:sz w:val="24"/>
          <w:highlight w:val="none"/>
        </w:rPr>
      </w:pPr>
      <w:r>
        <w:rPr>
          <w:rFonts w:hint="eastAsia" w:ascii="仿宋" w:hAnsi="仿宋" w:eastAsia="仿宋" w:cs="仿宋"/>
          <w:b/>
          <w:bCs/>
          <w:color w:val="auto"/>
          <w:spacing w:val="-2"/>
          <w:sz w:val="24"/>
          <w:highlight w:val="none"/>
        </w:rPr>
        <w:t>其他</w:t>
      </w:r>
    </w:p>
    <w:p w14:paraId="1DA33304">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本询价文件未尽事宜按现行政府采购活动的有关法律法规和规定执行。</w:t>
      </w:r>
    </w:p>
    <w:p w14:paraId="289F45AA">
      <w:pPr>
        <w:pStyle w:val="80"/>
        <w:spacing w:before="0" w:after="0"/>
        <w:rPr>
          <w:rFonts w:hint="eastAsia" w:ascii="仿宋" w:hAnsi="仿宋" w:eastAsia="仿宋" w:cs="仿宋"/>
          <w:b/>
          <w:bCs/>
          <w:color w:val="auto"/>
          <w:sz w:val="24"/>
          <w:highlight w:val="none"/>
          <w:lang w:eastAsia="zh-CN"/>
        </w:rPr>
      </w:pPr>
      <w:r>
        <w:rPr>
          <w:rFonts w:hint="eastAsia" w:ascii="仿宋" w:hAnsi="仿宋" w:eastAsia="仿宋" w:cs="仿宋"/>
          <w:color w:val="auto"/>
          <w:sz w:val="24"/>
          <w:highlight w:val="none"/>
        </w:rPr>
        <w:br w:type="page"/>
      </w:r>
      <w:bookmarkStart w:id="12" w:name="_Toc134550681"/>
      <w:r>
        <w:rPr>
          <w:rFonts w:hint="eastAsia" w:ascii="仿宋" w:hAnsi="仿宋" w:eastAsia="仿宋" w:cs="仿宋"/>
          <w:b/>
          <w:color w:val="auto"/>
          <w:kern w:val="2"/>
          <w:sz w:val="36"/>
          <w:szCs w:val="36"/>
          <w:highlight w:val="none"/>
        </w:rPr>
        <w:t>第三部分采购</w:t>
      </w:r>
      <w:bookmarkEnd w:id="12"/>
      <w:r>
        <w:rPr>
          <w:rFonts w:hint="eastAsia" w:ascii="仿宋" w:hAnsi="仿宋" w:eastAsia="仿宋" w:cs="仿宋"/>
          <w:b/>
          <w:color w:val="auto"/>
          <w:kern w:val="2"/>
          <w:sz w:val="36"/>
          <w:szCs w:val="36"/>
          <w:highlight w:val="none"/>
          <w:lang w:val="en-US" w:eastAsia="zh-CN"/>
        </w:rPr>
        <w:t>需求</w:t>
      </w:r>
    </w:p>
    <w:p w14:paraId="6BA6988B">
      <w:pPr>
        <w:keepNext w:val="0"/>
        <w:keepLines w:val="0"/>
        <w:pageBreakBefore w:val="0"/>
        <w:numPr>
          <w:ilvl w:val="0"/>
          <w:numId w:val="4"/>
        </w:numPr>
        <w:kinsoku/>
        <w:wordWrap/>
        <w:overflowPunct/>
        <w:topLinePunct w:val="0"/>
        <w:autoSpaceDE/>
        <w:autoSpaceDN/>
        <w:bidi w:val="0"/>
        <w:adjustRightInd/>
        <w:snapToGrid/>
        <w:spacing w:line="440" w:lineRule="exact"/>
        <w:rPr>
          <w:rFonts w:hint="eastAsia" w:ascii="仿宋" w:hAnsi="仿宋" w:eastAsia="仿宋" w:cs="仿宋"/>
          <w:color w:val="auto"/>
          <w:sz w:val="24"/>
          <w:szCs w:val="24"/>
          <w:highlight w:val="none"/>
          <w:lang w:val="en-US" w:eastAsia="zh-CN"/>
        </w:rPr>
      </w:pPr>
      <w:bookmarkStart w:id="13" w:name="_Toc134550683"/>
      <w:r>
        <w:rPr>
          <w:rFonts w:hint="eastAsia" w:ascii="仿宋" w:hAnsi="仿宋" w:eastAsia="仿宋" w:cs="仿宋"/>
          <w:b/>
          <w:bCs/>
          <w:color w:val="auto"/>
          <w:sz w:val="24"/>
          <w:szCs w:val="24"/>
          <w:highlight w:val="none"/>
          <w:lang w:val="en-US" w:eastAsia="zh-CN"/>
        </w:rPr>
        <w:t>采购需求</w:t>
      </w:r>
    </w:p>
    <w:p w14:paraId="6E27ED8B">
      <w:pPr>
        <w:keepNext w:val="0"/>
        <w:keepLines w:val="0"/>
        <w:pageBreakBefore w:val="0"/>
        <w:numPr>
          <w:ilvl w:val="1"/>
          <w:numId w:val="0"/>
        </w:numPr>
        <w:kinsoku/>
        <w:wordWrap/>
        <w:overflowPunct/>
        <w:topLinePunct w:val="0"/>
        <w:autoSpaceDE/>
        <w:autoSpaceDN/>
        <w:bidi w:val="0"/>
        <w:adjustRightInd/>
        <w:snapToGrid/>
        <w:spacing w:line="440" w:lineRule="exact"/>
        <w:ind w:firstLine="0" w:firstLineChars="0"/>
        <w:rPr>
          <w:rFonts w:hint="eastAsia" w:ascii="仿宋" w:hAnsi="仿宋" w:eastAsia="仿宋"/>
          <w:color w:val="auto"/>
          <w:sz w:val="24"/>
          <w:szCs w:val="24"/>
          <w:highlight w:val="none"/>
          <w:lang w:eastAsia="zh-CN"/>
        </w:rPr>
      </w:pPr>
      <w:r>
        <w:rPr>
          <w:rFonts w:hint="default" w:ascii="仿宋" w:hAnsi="仿宋" w:eastAsia="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en-US" w:eastAsia="zh-CN" w:bidi="ar-SA"/>
        </w:rPr>
        <w:t>项目名称：</w:t>
      </w:r>
      <w:r>
        <w:rPr>
          <w:rFonts w:hint="eastAsia" w:ascii="仿宋" w:hAnsi="仿宋" w:eastAsia="仿宋"/>
          <w:color w:val="auto"/>
          <w:sz w:val="24"/>
          <w:szCs w:val="24"/>
          <w:highlight w:val="none"/>
          <w:lang w:eastAsia="zh-CN"/>
        </w:rPr>
        <w:t>新疆维吾尔自治区民政康复中心医疗条件改造提升项目（其他医疗设备）</w:t>
      </w:r>
    </w:p>
    <w:p w14:paraId="0BD4B013">
      <w:pPr>
        <w:keepNext w:val="0"/>
        <w:keepLines w:val="0"/>
        <w:pageBreakBefore w:val="0"/>
        <w:numPr>
          <w:ilvl w:val="1"/>
          <w:numId w:val="0"/>
        </w:numPr>
        <w:kinsoku/>
        <w:wordWrap/>
        <w:overflowPunct/>
        <w:topLinePunct w:val="0"/>
        <w:autoSpaceDE/>
        <w:autoSpaceDN/>
        <w:bidi w:val="0"/>
        <w:adjustRightInd/>
        <w:snapToGrid/>
        <w:spacing w:line="440" w:lineRule="exact"/>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2.预算价（控制价/元）：</w:t>
      </w:r>
      <w:r>
        <w:rPr>
          <w:rFonts w:hint="eastAsia" w:ascii="仿宋" w:hAnsi="仿宋" w:eastAsia="仿宋" w:cs="宋体"/>
          <w:color w:val="auto"/>
          <w:kern w:val="0"/>
          <w:sz w:val="24"/>
          <w:szCs w:val="24"/>
          <w:highlight w:val="none"/>
          <w:lang w:val="en-US" w:eastAsia="zh-CN"/>
        </w:rPr>
        <w:t>475000</w:t>
      </w:r>
      <w:r>
        <w:rPr>
          <w:rFonts w:hint="eastAsia" w:ascii="仿宋" w:hAnsi="仿宋" w:eastAsia="仿宋" w:cs="宋体"/>
          <w:color w:val="auto"/>
          <w:kern w:val="0"/>
          <w:sz w:val="24"/>
          <w:szCs w:val="24"/>
          <w:highlight w:val="none"/>
        </w:rPr>
        <w:t>.00</w:t>
      </w:r>
      <w:r>
        <w:rPr>
          <w:rFonts w:hint="eastAsia" w:ascii="仿宋" w:hAnsi="仿宋" w:eastAsia="仿宋" w:cs="仿宋"/>
          <w:color w:val="auto"/>
          <w:kern w:val="2"/>
          <w:sz w:val="24"/>
          <w:szCs w:val="24"/>
          <w:highlight w:val="none"/>
          <w:lang w:val="en-US" w:eastAsia="zh-CN" w:bidi="ar-SA"/>
        </w:rPr>
        <w:t>元</w:t>
      </w:r>
    </w:p>
    <w:p w14:paraId="6AFBDA9F">
      <w:pPr>
        <w:keepNext w:val="0"/>
        <w:keepLines w:val="0"/>
        <w:pageBreakBefore w:val="0"/>
        <w:numPr>
          <w:ilvl w:val="0"/>
          <w:numId w:val="0"/>
        </w:numPr>
        <w:kinsoku/>
        <w:wordWrap/>
        <w:overflowPunct/>
        <w:topLinePunct w:val="0"/>
        <w:autoSpaceDE/>
        <w:autoSpaceDN/>
        <w:bidi w:val="0"/>
        <w:adjustRightInd/>
        <w:snapToGrid/>
        <w:spacing w:line="440" w:lineRule="exact"/>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3.交货期/供货期：自合同签订起7天内完成送达至指定地点。</w:t>
      </w:r>
    </w:p>
    <w:p w14:paraId="761A0BFC">
      <w:pPr>
        <w:keepNext w:val="0"/>
        <w:keepLines w:val="0"/>
        <w:pageBreakBefore w:val="0"/>
        <w:numPr>
          <w:ilvl w:val="0"/>
          <w:numId w:val="0"/>
        </w:numPr>
        <w:kinsoku/>
        <w:wordWrap/>
        <w:overflowPunct/>
        <w:topLinePunct w:val="0"/>
        <w:autoSpaceDE/>
        <w:autoSpaceDN/>
        <w:bidi w:val="0"/>
        <w:adjustRightInd/>
        <w:snapToGrid/>
        <w:spacing w:line="440" w:lineRule="exact"/>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4.质保期：（1）医疗设备安装调试验收(以甲方验收时间为准）合格后起(一次性耗材除外）无条件免费整机质保1年；</w:t>
      </w:r>
    </w:p>
    <w:p w14:paraId="2F2EFF3F">
      <w:pPr>
        <w:keepNext w:val="0"/>
        <w:keepLines w:val="0"/>
        <w:pageBreakBefore w:val="0"/>
        <w:numPr>
          <w:ilvl w:val="0"/>
          <w:numId w:val="0"/>
        </w:numPr>
        <w:kinsoku/>
        <w:wordWrap/>
        <w:overflowPunct/>
        <w:topLinePunct w:val="0"/>
        <w:autoSpaceDE/>
        <w:autoSpaceDN/>
        <w:bidi w:val="0"/>
        <w:adjustRightInd/>
        <w:snapToGrid/>
        <w:spacing w:line="440" w:lineRule="exact"/>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（2）健身器材产品质保期为2年；</w:t>
      </w:r>
    </w:p>
    <w:p w14:paraId="7A395327">
      <w:pPr>
        <w:keepNext w:val="0"/>
        <w:keepLines w:val="0"/>
        <w:pageBreakBefore w:val="0"/>
        <w:numPr>
          <w:ilvl w:val="0"/>
          <w:numId w:val="0"/>
        </w:numPr>
        <w:kinsoku/>
        <w:wordWrap/>
        <w:overflowPunct/>
        <w:topLinePunct w:val="0"/>
        <w:autoSpaceDE/>
        <w:autoSpaceDN/>
        <w:bidi w:val="0"/>
        <w:adjustRightInd/>
        <w:snapToGrid/>
        <w:spacing w:line="440" w:lineRule="exact"/>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（3）如产品出厂的质保期大于2年的以出厂的质保期为准。</w:t>
      </w:r>
    </w:p>
    <w:p w14:paraId="73DDC878">
      <w:pPr>
        <w:keepNext w:val="0"/>
        <w:keepLines w:val="0"/>
        <w:pageBreakBefore w:val="0"/>
        <w:numPr>
          <w:ilvl w:val="0"/>
          <w:numId w:val="0"/>
        </w:numPr>
        <w:kinsoku/>
        <w:wordWrap/>
        <w:overflowPunct/>
        <w:topLinePunct w:val="0"/>
        <w:autoSpaceDE/>
        <w:autoSpaceDN/>
        <w:bidi w:val="0"/>
        <w:adjustRightInd/>
        <w:snapToGrid/>
        <w:spacing w:line="440" w:lineRule="exact"/>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5.供货地点：新疆维吾尔自治区民政康复中心院内</w:t>
      </w:r>
    </w:p>
    <w:p w14:paraId="430F4308">
      <w:pPr>
        <w:keepNext w:val="0"/>
        <w:keepLines w:val="0"/>
        <w:pageBreakBefore w:val="0"/>
        <w:numPr>
          <w:ilvl w:val="0"/>
          <w:numId w:val="0"/>
        </w:numPr>
        <w:kinsoku/>
        <w:wordWrap/>
        <w:overflowPunct/>
        <w:topLinePunct w:val="0"/>
        <w:autoSpaceDE/>
        <w:autoSpaceDN/>
        <w:bidi w:val="0"/>
        <w:adjustRightInd/>
        <w:snapToGrid/>
        <w:spacing w:line="440" w:lineRule="exact"/>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6.付款方式：第一次付款：合同签订后支付合同总价30%的预付款；</w:t>
      </w:r>
    </w:p>
    <w:p w14:paraId="54ADD027">
      <w:pPr>
        <w:keepNext w:val="0"/>
        <w:keepLines w:val="0"/>
        <w:pageBreakBefore w:val="0"/>
        <w:numPr>
          <w:ilvl w:val="0"/>
          <w:numId w:val="0"/>
        </w:numPr>
        <w:kinsoku/>
        <w:wordWrap/>
        <w:overflowPunct/>
        <w:topLinePunct w:val="0"/>
        <w:autoSpaceDE/>
        <w:autoSpaceDN/>
        <w:bidi w:val="0"/>
        <w:adjustRightInd/>
        <w:snapToGrid/>
        <w:spacing w:line="440" w:lineRule="exact"/>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第二次付款：货物运送至甲方指定地点后并根据甲方内部管理规定，按要求安装调试完毕，满足终验条件，乙方提交全部验收材料，通过甲方组织的验收合格后，依照财务流程支付合同总价70%。</w:t>
      </w:r>
    </w:p>
    <w:p w14:paraId="6C2649D6">
      <w:pPr>
        <w:keepNext w:val="0"/>
        <w:keepLines w:val="0"/>
        <w:pageBreakBefore w:val="0"/>
        <w:numPr>
          <w:ilvl w:val="0"/>
          <w:numId w:val="0"/>
        </w:numPr>
        <w:kinsoku/>
        <w:wordWrap/>
        <w:overflowPunct/>
        <w:topLinePunct w:val="0"/>
        <w:autoSpaceDE/>
        <w:autoSpaceDN/>
        <w:bidi w:val="0"/>
        <w:adjustRightInd/>
        <w:snapToGrid/>
        <w:spacing w:line="440" w:lineRule="exact"/>
        <w:ind w:firstLine="0" w:firstLineChars="0"/>
        <w:rPr>
          <w:rFonts w:hint="eastAsia" w:ascii="仿宋" w:hAnsi="仿宋" w:eastAsia="仿宋" w:cs="仿宋"/>
          <w:color w:val="auto"/>
          <w:sz w:val="24"/>
          <w:szCs w:val="24"/>
          <w:highlight w:val="none"/>
          <w:lang w:val="zh-TW" w:eastAsia="zh-CN"/>
        </w:rPr>
      </w:pPr>
      <w:r>
        <w:rPr>
          <w:rFonts w:hint="eastAsia" w:ascii="仿宋" w:hAnsi="仿宋" w:eastAsia="仿宋" w:cs="仿宋"/>
          <w:b/>
          <w:bCs/>
          <w:color w:val="auto"/>
          <w:sz w:val="24"/>
          <w:szCs w:val="24"/>
          <w:highlight w:val="none"/>
          <w:lang w:val="en-US" w:eastAsia="zh-CN"/>
        </w:rPr>
        <w:t>说明：</w:t>
      </w:r>
      <w:r>
        <w:rPr>
          <w:rFonts w:hint="eastAsia" w:ascii="仿宋" w:hAnsi="仿宋" w:eastAsia="仿宋" w:cs="仿宋"/>
          <w:color w:val="auto"/>
          <w:sz w:val="24"/>
          <w:szCs w:val="24"/>
          <w:highlight w:val="none"/>
          <w:lang w:val="zh-TW" w:eastAsia="zh-CN"/>
        </w:rPr>
        <w:t>1、总报价中包括但不限于税费、运输费、各种线材辅材配件、保险费及所配套的土建、吊装就位，培训、安装、调试等所有相关费用，最终达到甲方使用要求。</w:t>
      </w:r>
    </w:p>
    <w:p w14:paraId="341B4078">
      <w:pPr>
        <w:spacing w:line="4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的报价未</w:t>
      </w:r>
      <w:r>
        <w:rPr>
          <w:rFonts w:hint="eastAsia" w:ascii="仿宋" w:hAnsi="仿宋" w:eastAsia="仿宋" w:cs="仿宋"/>
          <w:b w:val="0"/>
          <w:bCs w:val="0"/>
          <w:color w:val="auto"/>
          <w:sz w:val="24"/>
          <w:szCs w:val="24"/>
          <w:highlight w:val="none"/>
          <w:lang w:val="en-US" w:eastAsia="zh-CN"/>
        </w:rPr>
        <w:t>高于</w:t>
      </w:r>
      <w:r>
        <w:rPr>
          <w:rFonts w:hint="eastAsia" w:ascii="仿宋" w:hAnsi="仿宋" w:eastAsia="仿宋" w:cs="仿宋"/>
          <w:b w:val="0"/>
          <w:bCs w:val="0"/>
          <w:color w:val="auto"/>
          <w:sz w:val="24"/>
          <w:szCs w:val="24"/>
          <w:highlight w:val="none"/>
        </w:rPr>
        <w:t>采购预算/</w:t>
      </w:r>
      <w:bookmarkStart w:id="14" w:name="OLE_LINK15"/>
      <w:r>
        <w:rPr>
          <w:rFonts w:hint="eastAsia" w:ascii="仿宋" w:hAnsi="仿宋" w:eastAsia="仿宋" w:cs="仿宋"/>
          <w:b w:val="0"/>
          <w:bCs w:val="0"/>
          <w:color w:val="auto"/>
          <w:sz w:val="24"/>
          <w:szCs w:val="24"/>
          <w:highlight w:val="none"/>
          <w:lang w:val="en-US" w:eastAsia="zh-CN"/>
        </w:rPr>
        <w:t>最高限</w:t>
      </w:r>
      <w:r>
        <w:rPr>
          <w:rFonts w:hint="eastAsia" w:ascii="仿宋" w:hAnsi="仿宋" w:eastAsia="仿宋" w:cs="仿宋"/>
          <w:b w:val="0"/>
          <w:bCs w:val="0"/>
          <w:color w:val="auto"/>
          <w:sz w:val="24"/>
          <w:szCs w:val="24"/>
          <w:highlight w:val="none"/>
        </w:rPr>
        <w:t>价</w:t>
      </w:r>
      <w:bookmarkEnd w:id="14"/>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同时未高于单个产品采购预算或最高限价</w:t>
      </w:r>
      <w:r>
        <w:rPr>
          <w:rFonts w:hint="eastAsia" w:ascii="仿宋" w:hAnsi="仿宋" w:eastAsia="仿宋" w:cs="仿宋"/>
          <w:b w:val="0"/>
          <w:bCs w:val="0"/>
          <w:color w:val="auto"/>
          <w:sz w:val="24"/>
          <w:szCs w:val="24"/>
          <w:highlight w:val="none"/>
          <w:lang w:eastAsia="zh-CN"/>
        </w:rPr>
        <w:t>；</w:t>
      </w:r>
    </w:p>
    <w:p w14:paraId="4811400F">
      <w:pPr>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（1）允许采购进口产品时，若投标产品为进口产品的，</w:t>
      </w:r>
      <w:r>
        <w:rPr>
          <w:rFonts w:hint="eastAsia" w:ascii="仿宋" w:hAnsi="仿宋" w:eastAsia="仿宋" w:cs="仿宋"/>
          <w:b w:val="0"/>
          <w:bCs w:val="0"/>
          <w:color w:val="auto"/>
          <w:sz w:val="24"/>
          <w:szCs w:val="24"/>
          <w:highlight w:val="none"/>
          <w:lang w:val="en-US" w:eastAsia="zh-CN"/>
        </w:rPr>
        <w:t>投标分项报价表内货物品牌和规格型号必须详细如实填写，否则按废标处理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响应报价</w:t>
      </w:r>
      <w:r>
        <w:rPr>
          <w:rFonts w:hint="eastAsia" w:ascii="仿宋" w:hAnsi="仿宋" w:eastAsia="仿宋" w:cs="仿宋"/>
          <w:color w:val="auto"/>
          <w:sz w:val="24"/>
          <w:szCs w:val="24"/>
          <w:highlight w:val="none"/>
        </w:rPr>
        <w:t>应包括但不限于设备价款、对美加征的特别进口关税（仅产品注册产地为美国的产品）、每个美元0.2元人民币的进口环节各项费用和外贸代理费，及与本项目相关的安装、调试、培训、技术服务及招标文件中规定的保险、运输和其他相关伴随服务费用。采购人不再额外支付其他任何款项和费用（含税款）。其中人民币折算美元汇率以开标当日中国银行官网零点首次公布的美元现汇卖出价为准。</w:t>
      </w:r>
      <w:r>
        <w:rPr>
          <w:rFonts w:hint="eastAsia" w:ascii="仿宋" w:hAnsi="仿宋" w:eastAsia="仿宋" w:cs="仿宋"/>
          <w:color w:val="auto"/>
          <w:sz w:val="24"/>
          <w:szCs w:val="24"/>
          <w:highlight w:val="none"/>
          <w:lang w:val="en-US" w:eastAsia="zh-CN"/>
        </w:rPr>
        <w:t>详见第一条进口设备付款要求备注。</w:t>
      </w:r>
    </w:p>
    <w:p w14:paraId="311011AA">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（2）若投标产品为国产的，</w:t>
      </w:r>
      <w:r>
        <w:rPr>
          <w:rFonts w:hint="eastAsia" w:ascii="仿宋" w:hAnsi="仿宋" w:eastAsia="仿宋" w:cs="仿宋"/>
          <w:b w:val="0"/>
          <w:bCs w:val="0"/>
          <w:color w:val="auto"/>
          <w:sz w:val="24"/>
          <w:szCs w:val="24"/>
          <w:highlight w:val="none"/>
          <w:lang w:val="en-US" w:eastAsia="zh-CN"/>
        </w:rPr>
        <w:t>投标分项报价表内货物品牌和规格型号必须详细如实填写，否则按废标处理；</w:t>
      </w:r>
      <w:r>
        <w:rPr>
          <w:rFonts w:hint="eastAsia" w:ascii="仿宋" w:hAnsi="仿宋" w:eastAsia="仿宋" w:cs="仿宋"/>
          <w:color w:val="auto"/>
          <w:sz w:val="24"/>
          <w:szCs w:val="24"/>
          <w:highlight w:val="none"/>
          <w:lang w:eastAsia="zh-CN"/>
        </w:rPr>
        <w:t>响应报价</w:t>
      </w:r>
      <w:r>
        <w:rPr>
          <w:rFonts w:hint="eastAsia" w:ascii="仿宋" w:hAnsi="仿宋" w:eastAsia="仿宋" w:cs="仿宋"/>
          <w:color w:val="auto"/>
          <w:sz w:val="24"/>
          <w:szCs w:val="24"/>
          <w:highlight w:val="none"/>
        </w:rPr>
        <w:t>应包含但不限于税费、运输费、各种线材辅材配件、保险费及所配套的土建、吊装就位，培训、安装、调试等所有相关费用，最终达到甲方使用要求。</w:t>
      </w:r>
    </w:p>
    <w:p w14:paraId="5F6E1CFF">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根据本项目招标要求，供应商须充分知悉并承诺：凡因参与本次招标活动所产生的一切技术成果、商业数据、设计方案、书面文件及相关材料（包括但不限于著作权、专利权、商标权、商业秘密、软件源代码等知识产权载体），其全部知识产权及相关衍生权利均自完成之日起永久性、排他性地归属于采购人所有。供应商须确保其提交的成果不存在任何权利瑕疵，若因第三方主张权利导致采购人遭受诉讼、索赔或其他经济损失，供应商应承担全部连带责任，包括但不限于诉讼费用、和解赔偿及行政机关处罚等。</w:t>
      </w:r>
    </w:p>
    <w:p w14:paraId="7051B8AA">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采购人有权在全球范围内行使上述知识产权的使用、修改、许可及再开发等权利，无需另行支付费用。供应商须履行严格保密义务，未经采购人书面授权不得以任何形式披露、使用或授权第三方使用前述成果。</w:t>
      </w:r>
    </w:p>
    <w:p w14:paraId="384D0D4C">
      <w:pPr>
        <w:keepNext w:val="0"/>
        <w:keepLines w:val="0"/>
        <w:pageBreakBefore w:val="0"/>
        <w:numPr>
          <w:ilvl w:val="0"/>
          <w:numId w:val="5"/>
        </w:numPr>
        <w:kinsoku/>
        <w:wordWrap/>
        <w:overflowPunct/>
        <w:topLinePunct w:val="0"/>
        <w:autoSpaceDE/>
        <w:autoSpaceDN/>
        <w:bidi w:val="0"/>
        <w:adjustRightInd/>
        <w:snapToGrid/>
        <w:spacing w:line="44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技术参数</w:t>
      </w:r>
    </w:p>
    <w:p w14:paraId="60670F92">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2.1、</w:t>
      </w:r>
      <w:r>
        <w:rPr>
          <w:rFonts w:hint="eastAsia" w:ascii="仿宋" w:hAnsi="仿宋" w:eastAsia="仿宋" w:cs="仿宋"/>
          <w:color w:val="auto"/>
          <w:sz w:val="24"/>
          <w:szCs w:val="24"/>
          <w:highlight w:val="none"/>
          <w:lang w:val="en-US" w:eastAsia="zh-CN"/>
        </w:rPr>
        <w:t>项目名称：</w:t>
      </w:r>
      <w:r>
        <w:rPr>
          <w:rFonts w:hint="eastAsia" w:ascii="仿宋" w:hAnsi="仿宋" w:eastAsia="仿宋"/>
          <w:color w:val="auto"/>
          <w:sz w:val="24"/>
          <w:szCs w:val="24"/>
          <w:highlight w:val="none"/>
          <w:lang w:eastAsia="zh-CN"/>
        </w:rPr>
        <w:t>新疆维吾尔自治区民政康复中心医疗条件改造提升项目（其他医疗设备）</w:t>
      </w:r>
    </w:p>
    <w:p w14:paraId="0F2C5FDE">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2.2、预算价（控制价/元）：</w:t>
      </w:r>
      <w:r>
        <w:rPr>
          <w:rFonts w:hint="eastAsia" w:ascii="仿宋" w:hAnsi="仿宋" w:eastAsia="仿宋" w:cs="宋体"/>
          <w:color w:val="auto"/>
          <w:kern w:val="0"/>
          <w:sz w:val="24"/>
          <w:szCs w:val="24"/>
          <w:highlight w:val="none"/>
          <w:lang w:val="en-US" w:eastAsia="zh-CN"/>
        </w:rPr>
        <w:t>457000</w:t>
      </w:r>
      <w:r>
        <w:rPr>
          <w:rFonts w:hint="eastAsia" w:ascii="仿宋" w:hAnsi="仿宋" w:eastAsia="仿宋" w:cs="宋体"/>
          <w:color w:val="auto"/>
          <w:kern w:val="0"/>
          <w:sz w:val="24"/>
          <w:szCs w:val="24"/>
          <w:highlight w:val="none"/>
        </w:rPr>
        <w:t>.00</w:t>
      </w:r>
      <w:r>
        <w:rPr>
          <w:rFonts w:hint="eastAsia" w:ascii="仿宋" w:hAnsi="仿宋" w:eastAsia="仿宋" w:cs="仿宋"/>
          <w:color w:val="auto"/>
          <w:kern w:val="2"/>
          <w:sz w:val="24"/>
          <w:szCs w:val="24"/>
          <w:highlight w:val="none"/>
          <w:lang w:val="en-US" w:eastAsia="zh-CN" w:bidi="ar-SA"/>
        </w:rPr>
        <w:t>元</w:t>
      </w:r>
    </w:p>
    <w:p w14:paraId="1C206A81">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2.3、货物需求一览表</w:t>
      </w:r>
    </w:p>
    <w:tbl>
      <w:tblPr>
        <w:tblStyle w:val="33"/>
        <w:tblW w:w="965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1516"/>
        <w:gridCol w:w="5376"/>
        <w:gridCol w:w="977"/>
        <w:gridCol w:w="1031"/>
      </w:tblGrid>
      <w:tr w14:paraId="1D7BD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2FA6E35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516" w:type="dxa"/>
            <w:tcBorders>
              <w:top w:val="single" w:color="000000" w:sz="4" w:space="0"/>
              <w:left w:val="single" w:color="000000" w:sz="4" w:space="0"/>
              <w:bottom w:val="single" w:color="000000" w:sz="4" w:space="0"/>
              <w:right w:val="single" w:color="000000" w:sz="4" w:space="0"/>
            </w:tcBorders>
            <w:noWrap/>
            <w:vAlign w:val="center"/>
          </w:tcPr>
          <w:p w14:paraId="594229C3">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5376" w:type="dxa"/>
            <w:tcBorders>
              <w:top w:val="single" w:color="000000" w:sz="4" w:space="0"/>
              <w:left w:val="single" w:color="000000" w:sz="4" w:space="0"/>
              <w:bottom w:val="single" w:color="000000" w:sz="4" w:space="0"/>
              <w:right w:val="single" w:color="000000" w:sz="4" w:space="0"/>
            </w:tcBorders>
            <w:noWrap/>
            <w:vAlign w:val="center"/>
          </w:tcPr>
          <w:p w14:paraId="44A02E33">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参数</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3FC7EB1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3CDA300D">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r>
      <w:tr w14:paraId="4E1E9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135C24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6CB978B8">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1.全自动血液细胞分析仪</w:t>
            </w:r>
          </w:p>
          <w:p w14:paraId="74A2A433">
            <w:pPr>
              <w:jc w:val="left"/>
              <w:rPr>
                <w:rFonts w:hint="eastAsia" w:ascii="宋体" w:hAnsi="宋体" w:eastAsia="宋体" w:cs="宋体"/>
                <w:i w:val="0"/>
                <w:iCs w:val="0"/>
                <w:color w:val="auto"/>
                <w:sz w:val="24"/>
                <w:szCs w:val="24"/>
                <w:highlight w:val="none"/>
                <w:u w:val="none"/>
              </w:rPr>
            </w:pPr>
          </w:p>
        </w:tc>
        <w:tc>
          <w:tcPr>
            <w:tcW w:w="5376" w:type="dxa"/>
            <w:tcBorders>
              <w:top w:val="single" w:color="000000" w:sz="4" w:space="0"/>
              <w:left w:val="single" w:color="000000" w:sz="4" w:space="0"/>
              <w:bottom w:val="single" w:color="000000" w:sz="4" w:space="0"/>
              <w:right w:val="single" w:color="000000" w:sz="4" w:space="0"/>
            </w:tcBorders>
            <w:noWrap w:val="0"/>
            <w:vAlign w:val="center"/>
          </w:tcPr>
          <w:p w14:paraId="0F9D15B1">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1.测试速度：≥59样本/小时。</w:t>
            </w:r>
          </w:p>
          <w:p w14:paraId="71BFD725">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2.进样方式：全自动进样器可放入≥39个标本。</w:t>
            </w:r>
          </w:p>
          <w:p w14:paraId="1699DBD2">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3.工作模式：全自动闭盖进样和手动开盖进样兼备，具备急诊样本优先检测功能。</w:t>
            </w:r>
          </w:p>
          <w:p w14:paraId="02D869BD">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4.测量原理：WBC五分类双通道检测（4diff通道+嗜碱通道），有独立的嗜碱性粒细胞检测通道。</w:t>
            </w:r>
          </w:p>
          <w:p w14:paraId="7BFCB53F">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5.测试参数：≥20项基本参数及4项研究参数和一个散点图、三个直方图</w:t>
            </w:r>
          </w:p>
          <w:p w14:paraId="78F95410">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6.检测精度：WBC≤2.5%，RBC≤1.5%，HGB≤1.5%，MCV≤1.5%,PLT≤4.0%。</w:t>
            </w:r>
          </w:p>
          <w:p w14:paraId="58033BCC">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7.操作软件：全中文操作</w:t>
            </w:r>
          </w:p>
          <w:p w14:paraId="74485E79">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8.样本模式：静脉全血、预稀释末梢血（配备内置稀释器，自动完成预稀释）。</w:t>
            </w:r>
          </w:p>
          <w:p w14:paraId="2F98A8E7">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9.样本量：静脉全血≤23ul，预稀释末梢血≤21ul</w:t>
            </w:r>
          </w:p>
          <w:p w14:paraId="4C25B458">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10.功能：完成五分类检测≤21ul，并可重复检测一次。</w:t>
            </w:r>
          </w:p>
          <w:p w14:paraId="624D8CC0">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11.采样针：采用侧开口设计。</w:t>
            </w:r>
          </w:p>
          <w:p w14:paraId="0DDBE2D7">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12.资料储存：海量存储样本完整结果，包括所有中文信息和全部散点图及直方图。</w:t>
            </w:r>
          </w:p>
          <w:p w14:paraId="1F310248">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13.数据输出：具备USB接口和网络接口，有联网功能，可链接医院LIS系统，并承担相网络接口费用,可支持多种打印机。</w:t>
            </w:r>
          </w:p>
          <w:p w14:paraId="5C0C0F5F">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14.报告单格式：测量结果中文打印，多种报告格式可选。</w:t>
            </w:r>
          </w:p>
          <w:p w14:paraId="661F649E">
            <w:pP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2"/>
                <w:szCs w:val="22"/>
                <w:highlight w:val="none"/>
                <w:lang w:val="en-US" w:eastAsia="zh-CN"/>
              </w:rPr>
              <w:t>15.配套系统：具备原厂配套校准物和质控物，可直接溯源至国际参考方法。</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5DE7B4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09177BF9">
            <w:pPr>
              <w:jc w:val="center"/>
              <w:rPr>
                <w:rFonts w:hint="eastAsia" w:ascii="宋体" w:hAnsi="宋体" w:eastAsia="宋体" w:cs="宋体"/>
                <w:i w:val="0"/>
                <w:iCs w:val="0"/>
                <w:color w:val="auto"/>
                <w:sz w:val="24"/>
                <w:szCs w:val="24"/>
                <w:highlight w:val="none"/>
                <w:u w:val="none"/>
              </w:rPr>
            </w:pPr>
            <w:r>
              <w:rPr>
                <w:rFonts w:hint="eastAsia" w:ascii="Times New Roman" w:hAnsi="Times New Roman" w:eastAsia="宋体" w:cs="Times New Roman"/>
                <w:color w:val="auto"/>
                <w:highlight w:val="none"/>
                <w:vertAlign w:val="baseline"/>
                <w:lang w:val="en-US" w:eastAsia="zh-CN"/>
              </w:rPr>
              <w:t>1</w:t>
            </w:r>
          </w:p>
        </w:tc>
      </w:tr>
      <w:tr w14:paraId="01AE6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nil"/>
              <w:right w:val="single" w:color="000000" w:sz="4" w:space="0"/>
            </w:tcBorders>
            <w:noWrap/>
            <w:vAlign w:val="center"/>
          </w:tcPr>
          <w:p w14:paraId="3DDF02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516" w:type="dxa"/>
            <w:tcBorders>
              <w:top w:val="single" w:color="000000" w:sz="4" w:space="0"/>
              <w:left w:val="single" w:color="000000" w:sz="4" w:space="0"/>
              <w:bottom w:val="nil"/>
              <w:right w:val="single" w:color="000000" w:sz="4" w:space="0"/>
            </w:tcBorders>
            <w:noWrap/>
            <w:vAlign w:val="top"/>
          </w:tcPr>
          <w:p w14:paraId="1D65B37F">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2"/>
                <w:szCs w:val="22"/>
                <w:highlight w:val="none"/>
                <w:lang w:val="en-US" w:eastAsia="zh-CN"/>
              </w:rPr>
              <w:t>2.12导心电图机</w:t>
            </w:r>
          </w:p>
        </w:tc>
        <w:tc>
          <w:tcPr>
            <w:tcW w:w="5376" w:type="dxa"/>
            <w:tcBorders>
              <w:top w:val="single" w:color="000000" w:sz="4" w:space="0"/>
              <w:left w:val="single" w:color="000000" w:sz="4" w:space="0"/>
              <w:bottom w:val="nil"/>
              <w:right w:val="single" w:color="000000" w:sz="4" w:space="0"/>
            </w:tcBorders>
            <w:noWrap w:val="0"/>
            <w:vAlign w:val="center"/>
          </w:tcPr>
          <w:p w14:paraId="6E698287">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1.1具备心电信号采集与热敏打印功能，非心电采集盒类产品。</w:t>
            </w:r>
          </w:p>
          <w:p w14:paraId="7890769A">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1.2同屏显示，同步采集，同步热敏记录12道心电波形。</w:t>
            </w:r>
          </w:p>
          <w:p w14:paraId="2BAAF160">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1.3≥9.0英寸显示屏，屏幕亮度可调，支持背景网格显示，支持全屏触控操作。</w:t>
            </w:r>
          </w:p>
          <w:p w14:paraId="5CB30204">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1.4具有物理全键盘设计，支持拼音、五笔等输入法。</w:t>
            </w:r>
          </w:p>
          <w:p w14:paraId="7D572D88">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1.5患者信息录入：支持手动输入，条码枪、磁卡读卡器读取，WORKLIST快速下载排队预约的患者信息多种方式。</w:t>
            </w:r>
          </w:p>
          <w:p w14:paraId="454F9F1C">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1.6支持有线和无线联网。</w:t>
            </w:r>
          </w:p>
          <w:p w14:paraId="4E5FC46D">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1.7支持心电数据传输，可实现将本机采集的心电数据直接上传至心电网络平台。</w:t>
            </w:r>
          </w:p>
          <w:p w14:paraId="043A00C5">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1.8支持PDF、PNG、HL7、XML、DICOM数据格式。</w:t>
            </w:r>
          </w:p>
          <w:p w14:paraId="4AC3ED3E">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1.9支持FTP、HTTP、SAMBA传输协议。</w:t>
            </w:r>
          </w:p>
          <w:p w14:paraId="19467310">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二、性能要求</w:t>
            </w:r>
          </w:p>
          <w:p w14:paraId="1E8A5B43">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2.1A/D转换：≥24bit。</w:t>
            </w:r>
          </w:p>
          <w:p w14:paraId="6CE72688">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2.2采样率：≥20000Hz。</w:t>
            </w:r>
          </w:p>
          <w:p w14:paraId="3A27A4B3">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2.3频率响：0.01Hz~310Hz。</w:t>
            </w:r>
          </w:p>
          <w:p w14:paraId="2E0DD1EE">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2.4内部噪声：≤15µVp-p。</w:t>
            </w:r>
          </w:p>
          <w:p w14:paraId="7EFBBEF5">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2.5时间常数：≥3.2s。</w:t>
            </w:r>
          </w:p>
          <w:p w14:paraId="4629D137">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2.6耐极化电压：±800mV。</w:t>
            </w:r>
          </w:p>
          <w:p w14:paraId="78161D82">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2.7抗干扰滤波：具有交流、肌电、漂移和高频截止滤波器。</w:t>
            </w:r>
          </w:p>
          <w:p w14:paraId="2D1622A0">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2.8具备自适工频滤波技术。</w:t>
            </w:r>
          </w:p>
          <w:p w14:paraId="76A1204D">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2.9除颤保护：机器和导联线具有抗除颤电击保护功能。</w:t>
            </w:r>
          </w:p>
          <w:p w14:paraId="2C3A6E6E">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三、功能要求</w:t>
            </w:r>
          </w:p>
          <w:p w14:paraId="69194D63">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3.1ECG输入通道：标准12导联心电信号同步采集。</w:t>
            </w:r>
          </w:p>
          <w:p w14:paraId="54879D57">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3.2导联选择：手动/自动可选，支持标准威尔逊、Cabrera导联体系，同时具备导联标识自定义功能。</w:t>
            </w:r>
          </w:p>
          <w:p w14:paraId="6620E9C4">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3.3采集时间设置：波形实时采集和冻结时长≥60s，同时可进行两页、三页、四页紧凑版热敏打印格式。</w:t>
            </w:r>
          </w:p>
          <w:p w14:paraId="38C81A3E">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3.4支持实时采样、预采样、触发采样模式，支持节律分析。</w:t>
            </w:r>
          </w:p>
          <w:p w14:paraId="3D224714">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3.5可同屏显示12导同步心电波形，同时支持3*4、3*4+1R、3*4+3R、6*2、6*2+1R、6*2+3R、12*1等多种显示布局。</w:t>
            </w:r>
          </w:p>
          <w:p w14:paraId="724B1768">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3.6屏幕显示信息：心电波形、时间、心率、ID、工作状态、导联脱落信息、联网状态信息、外接设备状态信息等。</w:t>
            </w:r>
          </w:p>
          <w:p w14:paraId="6955CEC1">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3.7自动异常报警功能：可自动对异常心率、导联脱落、外设连接、高频信号干扰情况进行实时监测报警。</w:t>
            </w:r>
          </w:p>
          <w:p w14:paraId="3AE9E96C">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3.8支持起搏检测功能。</w:t>
            </w:r>
          </w:p>
          <w:p w14:paraId="76CE7709">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3.9热敏打印布局：3*4、3*4+1R、3*4+3R、6*2、6*2+1R、6*2+3R、12*1等。</w:t>
            </w:r>
          </w:p>
          <w:p w14:paraId="0154306B">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3.10具备内置存储器，可存储病历≥1000例，存储满后可循环存储。</w:t>
            </w:r>
          </w:p>
          <w:p w14:paraId="2A77B0EC">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3.11支持U盘、SD卡的扩容存储。</w:t>
            </w:r>
          </w:p>
          <w:p w14:paraId="4BDC7EC6">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3.12支持U盘和SD卡直接导出PDF、PNG、HL7、DICOM等格式的报告。</w:t>
            </w:r>
          </w:p>
          <w:p w14:paraId="44A91047">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3.13支持波形冻结与波形浏览功能。</w:t>
            </w:r>
          </w:p>
          <w:p w14:paraId="2CAE4F6E">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3.14支持报告打印预览功能。</w:t>
            </w:r>
          </w:p>
          <w:p w14:paraId="49D51D7A">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3.15具有病历管理功能，可对存储的病历进行查询、浏览、修改、导出、传输、打印支持病例重新编辑，具备病例模板与自定义病例模板的添加功能。</w:t>
            </w:r>
          </w:p>
          <w:p w14:paraId="220F7A42">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3.16权限管理：可对设置权限进行密码管控，包含传输、纸速、增益、报告模板等设置。</w:t>
            </w:r>
          </w:p>
          <w:p w14:paraId="28AF6F0B">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四、电源</w:t>
            </w:r>
          </w:p>
          <w:p w14:paraId="0A0CE61B">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交直流两用且自动转换，内置锂电池工作≥4小时。</w:t>
            </w:r>
          </w:p>
          <w:p w14:paraId="29B2688F">
            <w:pP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五、配置要求</w:t>
            </w:r>
          </w:p>
          <w:p w14:paraId="06AF50DF">
            <w:pP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2"/>
                <w:szCs w:val="22"/>
                <w:highlight w:val="none"/>
                <w:lang w:val="en-US" w:eastAsia="zh-CN"/>
              </w:rPr>
              <w:t>主机1台，导联线1条，肢电极4个，胸电极6个，热敏打印纸1本，电源线1根，接地线1根，其它必要辅件一套。</w:t>
            </w:r>
          </w:p>
        </w:tc>
        <w:tc>
          <w:tcPr>
            <w:tcW w:w="977" w:type="dxa"/>
            <w:tcBorders>
              <w:top w:val="single" w:color="000000" w:sz="4" w:space="0"/>
              <w:left w:val="single" w:color="000000" w:sz="4" w:space="0"/>
              <w:bottom w:val="nil"/>
              <w:right w:val="single" w:color="000000" w:sz="4" w:space="0"/>
            </w:tcBorders>
            <w:noWrap/>
            <w:vAlign w:val="center"/>
          </w:tcPr>
          <w:p w14:paraId="2C06DF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031" w:type="dxa"/>
            <w:tcBorders>
              <w:top w:val="single" w:color="000000" w:sz="4" w:space="0"/>
              <w:left w:val="single" w:color="000000" w:sz="4" w:space="0"/>
              <w:bottom w:val="nil"/>
              <w:right w:val="single" w:color="000000" w:sz="4" w:space="0"/>
            </w:tcBorders>
            <w:noWrap/>
            <w:vAlign w:val="center"/>
          </w:tcPr>
          <w:p w14:paraId="4C81E5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7A7E2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nil"/>
              <w:right w:val="single" w:color="000000" w:sz="4" w:space="0"/>
            </w:tcBorders>
            <w:noWrap/>
            <w:vAlign w:val="center"/>
          </w:tcPr>
          <w:p w14:paraId="098C5A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516" w:type="dxa"/>
            <w:tcBorders>
              <w:top w:val="single" w:color="000000" w:sz="4" w:space="0"/>
              <w:left w:val="single" w:color="000000" w:sz="4" w:space="0"/>
              <w:bottom w:val="nil"/>
              <w:right w:val="single" w:color="000000" w:sz="4" w:space="0"/>
            </w:tcBorders>
            <w:noWrap w:val="0"/>
            <w:vAlign w:val="center"/>
          </w:tcPr>
          <w:p w14:paraId="3B62E2BF">
            <w:pP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r>
              <w:rPr>
                <w:rFonts w:hint="default" w:ascii="宋体" w:hAnsi="宋体" w:eastAsia="宋体" w:cs="宋体"/>
                <w:color w:val="auto"/>
                <w:sz w:val="22"/>
                <w:szCs w:val="22"/>
                <w:highlight w:val="none"/>
                <w:lang w:val="en-US" w:eastAsia="zh-CN"/>
              </w:rPr>
              <w:t>自动体外除颤器（AED）</w:t>
            </w:r>
          </w:p>
          <w:p w14:paraId="0B313D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5376" w:type="dxa"/>
            <w:tcBorders>
              <w:top w:val="single" w:color="000000" w:sz="4" w:space="0"/>
              <w:left w:val="single" w:color="000000" w:sz="4" w:space="0"/>
              <w:bottom w:val="nil"/>
              <w:right w:val="single" w:color="000000" w:sz="4" w:space="0"/>
            </w:tcBorders>
            <w:noWrap w:val="0"/>
            <w:vAlign w:val="center"/>
          </w:tcPr>
          <w:p w14:paraId="6C02B12C">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1.外观</w:t>
            </w:r>
          </w:p>
          <w:p w14:paraId="3C1CF0F8">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1　尺寸≤2</w:t>
            </w:r>
            <w:r>
              <w:rPr>
                <w:rFonts w:hint="eastAsia" w:ascii="宋体" w:hAnsi="宋体" w:eastAsia="宋体" w:cs="宋体"/>
                <w:color w:val="auto"/>
                <w:sz w:val="22"/>
                <w:szCs w:val="22"/>
                <w:highlight w:val="none"/>
                <w:lang w:val="en-US" w:eastAsia="zh-CN"/>
              </w:rPr>
              <w:t>10</w:t>
            </w:r>
            <w:r>
              <w:rPr>
                <w:rFonts w:hint="default" w:ascii="宋体" w:hAnsi="宋体" w:eastAsia="宋体" w:cs="宋体"/>
                <w:color w:val="auto"/>
                <w:sz w:val="22"/>
                <w:szCs w:val="22"/>
                <w:highlight w:val="none"/>
                <w:lang w:val="en-US" w:eastAsia="zh-CN"/>
              </w:rPr>
              <w:t>(宽)×</w:t>
            </w:r>
            <w:r>
              <w:rPr>
                <w:rFonts w:hint="eastAsia" w:ascii="宋体" w:hAnsi="宋体" w:eastAsia="宋体" w:cs="宋体"/>
                <w:color w:val="auto"/>
                <w:sz w:val="22"/>
                <w:szCs w:val="22"/>
                <w:highlight w:val="none"/>
                <w:lang w:val="en-US" w:eastAsia="zh-CN"/>
              </w:rPr>
              <w:t>100</w:t>
            </w:r>
            <w:r>
              <w:rPr>
                <w:rFonts w:hint="default" w:ascii="宋体" w:hAnsi="宋体" w:eastAsia="宋体" w:cs="宋体"/>
                <w:color w:val="auto"/>
                <w:sz w:val="22"/>
                <w:szCs w:val="22"/>
                <w:highlight w:val="none"/>
                <w:lang w:val="en-US" w:eastAsia="zh-CN"/>
              </w:rPr>
              <w:t>(高)×2</w:t>
            </w:r>
            <w:r>
              <w:rPr>
                <w:rFonts w:hint="eastAsia" w:ascii="宋体" w:hAnsi="宋体" w:eastAsia="宋体" w:cs="宋体"/>
                <w:color w:val="auto"/>
                <w:sz w:val="22"/>
                <w:szCs w:val="22"/>
                <w:highlight w:val="none"/>
                <w:lang w:val="en-US" w:eastAsia="zh-CN"/>
              </w:rPr>
              <w:t>60</w:t>
            </w:r>
            <w:r>
              <w:rPr>
                <w:rFonts w:hint="default" w:ascii="宋体" w:hAnsi="宋体" w:eastAsia="宋体" w:cs="宋体"/>
                <w:color w:val="auto"/>
                <w:sz w:val="22"/>
                <w:szCs w:val="22"/>
                <w:highlight w:val="none"/>
                <w:lang w:val="en-US" w:eastAsia="zh-CN"/>
              </w:rPr>
              <w:t>(深)mm</w:t>
            </w:r>
          </w:p>
          <w:p w14:paraId="50B6E9B8">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2重量≤2.</w:t>
            </w:r>
            <w:r>
              <w:rPr>
                <w:rFonts w:hint="eastAsia" w:ascii="宋体" w:hAnsi="宋体" w:eastAsia="宋体" w:cs="宋体"/>
                <w:color w:val="auto"/>
                <w:sz w:val="22"/>
                <w:szCs w:val="22"/>
                <w:highlight w:val="none"/>
                <w:lang w:val="en-US" w:eastAsia="zh-CN"/>
              </w:rPr>
              <w:t>5</w:t>
            </w:r>
            <w:r>
              <w:rPr>
                <w:rFonts w:hint="default" w:ascii="宋体" w:hAnsi="宋体" w:eastAsia="宋体" w:cs="宋体"/>
                <w:color w:val="auto"/>
                <w:sz w:val="22"/>
                <w:szCs w:val="22"/>
                <w:highlight w:val="none"/>
                <w:lang w:val="en-US" w:eastAsia="zh-CN"/>
              </w:rPr>
              <w:t>Kg</w:t>
            </w:r>
          </w:p>
          <w:p w14:paraId="6C219586">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2.除颤</w:t>
            </w:r>
          </w:p>
          <w:p w14:paraId="2730D242">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1　采用双相波技术</w:t>
            </w:r>
          </w:p>
          <w:p w14:paraId="219F33BE">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2　输出能量：成人模式150J-200J儿童模式：50J-70J，自动升级</w:t>
            </w:r>
          </w:p>
          <w:p w14:paraId="148129CD">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3　分析时间：2—5秒</w:t>
            </w:r>
          </w:p>
          <w:p w14:paraId="222E5D11">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4　充电时间：充电至最大能量准备放电的时间≤8秒</w:t>
            </w:r>
          </w:p>
          <w:p w14:paraId="7996A8B9">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5　最大能量保持时间：</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30秒</w:t>
            </w:r>
          </w:p>
          <w:p w14:paraId="683312EB">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6　具有内部自动放电功能</w:t>
            </w:r>
          </w:p>
          <w:p w14:paraId="23081264">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7　除颤模式：成人模式和儿童模式，标配儿童模式</w:t>
            </w:r>
          </w:p>
          <w:p w14:paraId="5C7EA787">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8全年段模式：成人模式:：8岁以上儿童模式：0岁-7岁</w:t>
            </w:r>
          </w:p>
          <w:p w14:paraId="652182ED">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3.除颤电极片</w:t>
            </w:r>
          </w:p>
          <w:p w14:paraId="40DDA9CE">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1　黏贴型一次性电极片</w:t>
            </w:r>
          </w:p>
          <w:p w14:paraId="457BBACA">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2　预先链接</w:t>
            </w:r>
            <w:r>
              <w:rPr>
                <w:rFonts w:hint="eastAsia" w:ascii="宋体" w:hAnsi="宋体" w:eastAsia="宋体" w:cs="宋体"/>
                <w:color w:val="auto"/>
                <w:sz w:val="22"/>
                <w:szCs w:val="22"/>
                <w:highlight w:val="none"/>
                <w:lang w:val="en-US" w:eastAsia="zh-CN"/>
              </w:rPr>
              <w:t>功能</w:t>
            </w:r>
          </w:p>
          <w:p w14:paraId="338761ED">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3　具有电极片粘贴方式人形彩色示意图</w:t>
            </w:r>
          </w:p>
          <w:p w14:paraId="6E855869">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4　具有电极片彩色安装指示灯用于粘贴位置声光提示</w:t>
            </w:r>
          </w:p>
          <w:p w14:paraId="333CB1E6">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5　具有电极片连接状态自检功能和有效期语音报警提示</w:t>
            </w:r>
          </w:p>
          <w:p w14:paraId="4F5BA18B">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6标配成人、儿童通用电极片</w:t>
            </w:r>
          </w:p>
          <w:p w14:paraId="30CC06F1">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4.电源</w:t>
            </w:r>
          </w:p>
          <w:p w14:paraId="69691290">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1　可替换锂电池</w:t>
            </w:r>
          </w:p>
          <w:p w14:paraId="78CB57EB">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2　待机</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4年，支持充电次数：</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160次</w:t>
            </w:r>
          </w:p>
          <w:p w14:paraId="0EAECB5B">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3　内置自检程序，自动检测电池状况，电池剩余电量低时，报警提示。</w:t>
            </w:r>
          </w:p>
          <w:p w14:paraId="39C9DCF8">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4开盖电源自动接通。</w:t>
            </w:r>
          </w:p>
          <w:p w14:paraId="61F3A88B">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5.操作</w:t>
            </w:r>
          </w:p>
          <w:p w14:paraId="51A6AB5E">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1　操作步骤</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3步</w:t>
            </w:r>
          </w:p>
          <w:p w14:paraId="635E8DFE">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.2</w:t>
            </w:r>
            <w:r>
              <w:rPr>
                <w:rFonts w:hint="default" w:ascii="宋体" w:hAnsi="宋体" w:eastAsia="宋体" w:cs="宋体"/>
                <w:color w:val="auto"/>
                <w:sz w:val="22"/>
                <w:szCs w:val="22"/>
                <w:highlight w:val="none"/>
                <w:lang w:val="en-US" w:eastAsia="zh-CN"/>
              </w:rPr>
              <w:t>　标配成人模式和儿童模式，</w:t>
            </w:r>
            <w:r>
              <w:rPr>
                <w:rFonts w:hint="eastAsia" w:ascii="宋体" w:hAnsi="宋体" w:eastAsia="宋体" w:cs="宋体"/>
                <w:color w:val="auto"/>
                <w:sz w:val="22"/>
                <w:szCs w:val="22"/>
                <w:highlight w:val="none"/>
                <w:lang w:val="en-US" w:eastAsia="zh-CN"/>
              </w:rPr>
              <w:t>可一键</w:t>
            </w:r>
            <w:r>
              <w:rPr>
                <w:rFonts w:hint="default" w:ascii="宋体" w:hAnsi="宋体" w:eastAsia="宋体" w:cs="宋体"/>
                <w:color w:val="auto"/>
                <w:sz w:val="22"/>
                <w:szCs w:val="22"/>
                <w:highlight w:val="none"/>
                <w:lang w:val="en-US" w:eastAsia="zh-CN"/>
              </w:rPr>
              <w:t>切换</w:t>
            </w:r>
          </w:p>
          <w:p w14:paraId="1A1642AD">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.3</w:t>
            </w:r>
            <w:r>
              <w:rPr>
                <w:rFonts w:hint="default" w:ascii="宋体" w:hAnsi="宋体" w:eastAsia="宋体" w:cs="宋体"/>
                <w:color w:val="auto"/>
                <w:sz w:val="22"/>
                <w:szCs w:val="22"/>
                <w:highlight w:val="none"/>
                <w:lang w:val="en-US" w:eastAsia="zh-CN"/>
              </w:rPr>
              <w:t>　具有中文语音提示操作</w:t>
            </w:r>
          </w:p>
          <w:p w14:paraId="5A1E2B92">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6.设备自检功能</w:t>
            </w:r>
          </w:p>
          <w:p w14:paraId="143D56DE">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.1</w:t>
            </w:r>
            <w:r>
              <w:rPr>
                <w:rFonts w:hint="default" w:ascii="宋体" w:hAnsi="宋体" w:eastAsia="宋体" w:cs="宋体"/>
                <w:color w:val="auto"/>
                <w:sz w:val="22"/>
                <w:szCs w:val="22"/>
                <w:highlight w:val="none"/>
                <w:lang w:val="en-US" w:eastAsia="zh-CN"/>
              </w:rPr>
              <w:t>　具有开机自检功能</w:t>
            </w:r>
          </w:p>
          <w:p w14:paraId="5B6B5346">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.2</w:t>
            </w:r>
            <w:r>
              <w:rPr>
                <w:rFonts w:hint="default" w:ascii="宋体" w:hAnsi="宋体" w:eastAsia="宋体" w:cs="宋体"/>
                <w:color w:val="auto"/>
                <w:sz w:val="22"/>
                <w:szCs w:val="22"/>
                <w:highlight w:val="none"/>
                <w:lang w:val="en-US" w:eastAsia="zh-CN"/>
              </w:rPr>
              <w:t>　具有自检结果</w:t>
            </w:r>
            <w:r>
              <w:rPr>
                <w:rFonts w:hint="eastAsia" w:ascii="宋体" w:hAnsi="宋体" w:eastAsia="宋体" w:cs="宋体"/>
                <w:color w:val="auto"/>
                <w:sz w:val="22"/>
                <w:szCs w:val="22"/>
                <w:highlight w:val="none"/>
                <w:lang w:val="en-US" w:eastAsia="zh-CN"/>
              </w:rPr>
              <w:t>声光</w:t>
            </w:r>
            <w:r>
              <w:rPr>
                <w:rFonts w:hint="default" w:ascii="宋体" w:hAnsi="宋体" w:eastAsia="宋体" w:cs="宋体"/>
                <w:color w:val="auto"/>
                <w:sz w:val="22"/>
                <w:szCs w:val="22"/>
                <w:highlight w:val="none"/>
                <w:lang w:val="en-US" w:eastAsia="zh-CN"/>
              </w:rPr>
              <w:t>显示功能</w:t>
            </w:r>
          </w:p>
          <w:p w14:paraId="45F351A2">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.3</w:t>
            </w:r>
            <w:r>
              <w:rPr>
                <w:rFonts w:hint="default" w:ascii="宋体" w:hAnsi="宋体" w:eastAsia="宋体" w:cs="宋体"/>
                <w:color w:val="auto"/>
                <w:sz w:val="22"/>
                <w:szCs w:val="22"/>
                <w:highlight w:val="none"/>
                <w:lang w:val="en-US" w:eastAsia="zh-CN"/>
              </w:rPr>
              <w:t>　具有设备故障位置显示功能</w:t>
            </w:r>
          </w:p>
          <w:p w14:paraId="5990FD8D">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7.数据传输和存储</w:t>
            </w:r>
          </w:p>
          <w:p w14:paraId="55DE4066">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val="en-US" w:eastAsia="zh-CN"/>
              </w:rPr>
              <w:t>.1</w:t>
            </w:r>
            <w:r>
              <w:rPr>
                <w:rFonts w:hint="default" w:ascii="宋体" w:hAnsi="宋体" w:eastAsia="宋体" w:cs="宋体"/>
                <w:color w:val="auto"/>
                <w:sz w:val="22"/>
                <w:szCs w:val="22"/>
                <w:highlight w:val="none"/>
                <w:lang w:val="en-US" w:eastAsia="zh-CN"/>
              </w:rPr>
              <w:t>　数据传输：通过蓝牙通讯进行数据传输</w:t>
            </w:r>
          </w:p>
          <w:p w14:paraId="0C252EA5">
            <w:pP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val="en-US" w:eastAsia="zh-CN"/>
              </w:rPr>
              <w:t>.2</w:t>
            </w:r>
            <w:r>
              <w:rPr>
                <w:rFonts w:hint="default" w:ascii="宋体" w:hAnsi="宋体" w:eastAsia="宋体" w:cs="宋体"/>
                <w:color w:val="auto"/>
                <w:sz w:val="22"/>
                <w:szCs w:val="22"/>
                <w:highlight w:val="none"/>
                <w:lang w:val="en-US" w:eastAsia="zh-CN"/>
              </w:rPr>
              <w:t>　内部存储</w:t>
            </w:r>
            <w:r>
              <w:rPr>
                <w:rFonts w:hint="eastAsia" w:ascii="宋体" w:hAnsi="宋体" w:eastAsia="宋体" w:cs="宋体"/>
                <w:color w:val="auto"/>
                <w:sz w:val="22"/>
                <w:szCs w:val="22"/>
                <w:highlight w:val="none"/>
                <w:lang w:val="en-US" w:eastAsia="zh-CN"/>
              </w:rPr>
              <w:t>≥</w:t>
            </w:r>
            <w:r>
              <w:rPr>
                <w:rFonts w:hint="default" w:ascii="宋体" w:hAnsi="宋体" w:eastAsia="宋体" w:cs="宋体"/>
                <w:color w:val="auto"/>
                <w:sz w:val="22"/>
                <w:szCs w:val="22"/>
                <w:highlight w:val="none"/>
                <w:lang w:val="en-US" w:eastAsia="zh-CN"/>
              </w:rPr>
              <w:t>90分钟的救助数据</w:t>
            </w:r>
          </w:p>
          <w:p w14:paraId="349B731D">
            <w:pPr>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2"/>
                <w:szCs w:val="22"/>
                <w:highlight w:val="none"/>
                <w:lang w:val="en-US" w:eastAsia="zh-CN"/>
              </w:rPr>
              <w:t>8.承担链接医院网络相关接口费用。</w:t>
            </w:r>
          </w:p>
        </w:tc>
        <w:tc>
          <w:tcPr>
            <w:tcW w:w="977" w:type="dxa"/>
            <w:tcBorders>
              <w:top w:val="single" w:color="000000" w:sz="4" w:space="0"/>
              <w:left w:val="single" w:color="000000" w:sz="4" w:space="0"/>
              <w:bottom w:val="nil"/>
              <w:right w:val="single" w:color="000000" w:sz="4" w:space="0"/>
            </w:tcBorders>
            <w:noWrap/>
            <w:vAlign w:val="center"/>
          </w:tcPr>
          <w:p w14:paraId="008B4E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031" w:type="dxa"/>
            <w:tcBorders>
              <w:top w:val="single" w:color="000000" w:sz="4" w:space="0"/>
              <w:left w:val="single" w:color="000000" w:sz="4" w:space="0"/>
              <w:bottom w:val="nil"/>
              <w:right w:val="single" w:color="000000" w:sz="4" w:space="0"/>
            </w:tcBorders>
            <w:noWrap/>
            <w:vAlign w:val="center"/>
          </w:tcPr>
          <w:p w14:paraId="3CD262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4A462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50" w:type="dxa"/>
            <w:tcBorders>
              <w:top w:val="single" w:color="000000" w:sz="4" w:space="0"/>
              <w:left w:val="single" w:color="000000" w:sz="4" w:space="0"/>
              <w:bottom w:val="nil"/>
              <w:right w:val="single" w:color="000000" w:sz="4" w:space="0"/>
            </w:tcBorders>
            <w:noWrap/>
            <w:vAlign w:val="center"/>
          </w:tcPr>
          <w:p w14:paraId="64BAA0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516" w:type="dxa"/>
            <w:tcBorders>
              <w:top w:val="single" w:color="000000" w:sz="4" w:space="0"/>
              <w:left w:val="single" w:color="000000" w:sz="4" w:space="0"/>
              <w:bottom w:val="nil"/>
              <w:right w:val="single" w:color="000000" w:sz="4" w:space="0"/>
            </w:tcBorders>
            <w:noWrap/>
            <w:vAlign w:val="center"/>
          </w:tcPr>
          <w:p w14:paraId="7D8940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4.心电监护仪</w:t>
            </w:r>
          </w:p>
        </w:tc>
        <w:tc>
          <w:tcPr>
            <w:tcW w:w="5376" w:type="dxa"/>
            <w:tcBorders>
              <w:top w:val="single" w:color="000000" w:sz="4" w:space="0"/>
              <w:left w:val="single" w:color="000000" w:sz="4" w:space="0"/>
              <w:bottom w:val="nil"/>
              <w:right w:val="single" w:color="000000" w:sz="4" w:space="0"/>
            </w:tcBorders>
            <w:noWrap w:val="0"/>
            <w:vAlign w:val="center"/>
          </w:tcPr>
          <w:p w14:paraId="1C059B44">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一、</w:t>
            </w:r>
            <w:r>
              <w:rPr>
                <w:rFonts w:hint="eastAsia" w:ascii="宋体" w:hAnsi="宋体" w:eastAsia="宋体" w:cs="宋体"/>
                <w:b w:val="0"/>
                <w:bCs/>
                <w:color w:val="auto"/>
                <w:kern w:val="0"/>
                <w:sz w:val="21"/>
                <w:szCs w:val="21"/>
                <w:highlight w:val="none"/>
                <w:lang w:val="en-US" w:eastAsia="zh-CN"/>
              </w:rPr>
              <w:t>适用</w:t>
            </w:r>
            <w:r>
              <w:rPr>
                <w:rFonts w:hint="eastAsia" w:ascii="宋体" w:hAnsi="宋体" w:eastAsia="宋体" w:cs="宋体"/>
                <w:b w:val="0"/>
                <w:bCs/>
                <w:color w:val="auto"/>
                <w:kern w:val="0"/>
                <w:sz w:val="21"/>
                <w:szCs w:val="21"/>
                <w:highlight w:val="none"/>
              </w:rPr>
              <w:t>范围</w:t>
            </w:r>
          </w:p>
          <w:p w14:paraId="38C2E58E">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1.1、可用于监护成人、儿童、新生儿患者，适用于术后观察室、ICU/CCU病房、急诊室等。</w:t>
            </w:r>
          </w:p>
          <w:p w14:paraId="10079C28">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rPr>
              <w:t>二、显示</w:t>
            </w:r>
          </w:p>
          <w:p w14:paraId="5E940C12">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2.1、屏幕尺寸：</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12英寸彩色LED屏，分辨率</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800*600，</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9通道波形显示。</w:t>
            </w:r>
          </w:p>
          <w:p w14:paraId="236B8C6D">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2.2、界面选择：</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7种显示界面，包括常规界面、大字体界面、呼吸氧合界面、NIBP回顾界面、ECG全屏7导界面、ECG半屏7导界面、动态短趋势界面等。</w:t>
            </w:r>
          </w:p>
          <w:p w14:paraId="7CBB640E">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三、参数</w:t>
            </w:r>
          </w:p>
          <w:p w14:paraId="6712C6DA">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3.1、测量参数：心电、呼吸、无创血压、脉搏氧饱和度、脉率、体温。</w:t>
            </w:r>
          </w:p>
          <w:p w14:paraId="2EBFF7C0">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3.2、心率范围：成人15bpm-300bpm，儿童/新生儿15bpm-350bpm。</w:t>
            </w:r>
          </w:p>
          <w:p w14:paraId="7E24A1E5">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3.3、心率测量精度：</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±1bpm或±1%，取大者。</w:t>
            </w:r>
          </w:p>
          <w:p w14:paraId="72CE7F28">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3.4、共模抑制比不小于</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10</w:t>
            </w:r>
            <w:r>
              <w:rPr>
                <w:rFonts w:hint="eastAsia" w:ascii="宋体" w:hAnsi="宋体" w:eastAsia="宋体" w:cs="宋体"/>
                <w:b w:val="0"/>
                <w:bCs/>
                <w:color w:val="auto"/>
                <w:kern w:val="0"/>
                <w:sz w:val="21"/>
                <w:szCs w:val="21"/>
                <w:highlight w:val="none"/>
                <w:lang w:val="en-US" w:eastAsia="zh-CN"/>
              </w:rPr>
              <w:t>0</w:t>
            </w:r>
            <w:r>
              <w:rPr>
                <w:rFonts w:hint="eastAsia" w:ascii="宋体" w:hAnsi="宋体" w:eastAsia="宋体" w:cs="宋体"/>
                <w:b w:val="0"/>
                <w:bCs/>
                <w:color w:val="auto"/>
                <w:kern w:val="0"/>
                <w:sz w:val="21"/>
                <w:szCs w:val="21"/>
                <w:highlight w:val="none"/>
              </w:rPr>
              <w:t>dB。</w:t>
            </w:r>
          </w:p>
          <w:p w14:paraId="52521A8E">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3.5、5导联/3导联模式都能实现多导同步分析。</w:t>
            </w:r>
          </w:p>
          <w:p w14:paraId="478A2B19">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3.6、心电波形增益：1.25mm/mV，2.5mm/mV，5.0mm/mV，10mm/mV，20mm/mV，自动</w:t>
            </w:r>
            <w:r>
              <w:rPr>
                <w:rFonts w:hint="eastAsia" w:ascii="宋体" w:hAnsi="宋体" w:eastAsia="宋体" w:cs="宋体"/>
                <w:b w:val="0"/>
                <w:bCs/>
                <w:color w:val="auto"/>
                <w:kern w:val="0"/>
                <w:sz w:val="21"/>
                <w:szCs w:val="21"/>
                <w:highlight w:val="none"/>
                <w:lang w:val="en-US" w:eastAsia="zh-CN"/>
              </w:rPr>
              <w:t>等</w:t>
            </w:r>
            <w:r>
              <w:rPr>
                <w:rFonts w:hint="eastAsia" w:ascii="宋体" w:hAnsi="宋体" w:eastAsia="宋体" w:cs="宋体"/>
                <w:b w:val="0"/>
                <w:bCs/>
                <w:color w:val="auto"/>
                <w:kern w:val="0"/>
                <w:sz w:val="21"/>
                <w:szCs w:val="21"/>
                <w:highlight w:val="none"/>
              </w:rPr>
              <w:t>。</w:t>
            </w:r>
          </w:p>
          <w:p w14:paraId="187353B0">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3.7、呼吸率测量范围：成人0-120rpm，儿童/新生儿0-150rpm，在8-150rpm范围内，测量误差为±2rpm或±2%，取大者。</w:t>
            </w:r>
          </w:p>
          <w:p w14:paraId="40D8074B">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3.8、血压测量范围：收缩压：40-255mmHg；舒张压：10-195mmHg；具有手动/自动间隔/连续测量模式。</w:t>
            </w:r>
          </w:p>
          <w:p w14:paraId="61CA962C">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3.9、脉搏氧饱和度测量范围：30%-100%，70%-100%范围内精度不大于±2%。</w:t>
            </w:r>
          </w:p>
          <w:p w14:paraId="6DB95246">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四、系统功能</w:t>
            </w:r>
          </w:p>
          <w:p w14:paraId="6F5D68F1">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4.1、支持</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3通道记录仪，记录波形可选择。</w:t>
            </w:r>
          </w:p>
          <w:p w14:paraId="21E99967">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4.2、具有待机功能，暂时停止所有监护操作，节省功耗。退出该状态，就可立即进行监护；</w:t>
            </w:r>
          </w:p>
          <w:p w14:paraId="507B9942">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4.3、具有演示模式和夜间模式。</w:t>
            </w:r>
          </w:p>
          <w:p w14:paraId="4B975F0E">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4.4、数据管理：具备掉电存储功能；支持</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120小时趋势图表、</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200个报警事件、</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2000组NIBP测量数据、</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120分钟动态短趋势、</w:t>
            </w:r>
            <w:r>
              <w:rPr>
                <w:rFonts w:hint="eastAsia" w:ascii="宋体" w:hAnsi="宋体" w:eastAsia="宋体" w:cs="宋体"/>
                <w:b w:val="0"/>
                <w:bCs/>
                <w:color w:val="auto"/>
                <w:kern w:val="0"/>
                <w:sz w:val="21"/>
                <w:szCs w:val="21"/>
                <w:highlight w:val="none"/>
                <w:lang w:val="en-US" w:eastAsia="zh-CN"/>
              </w:rPr>
              <w:t>≥</w:t>
            </w:r>
            <w:r>
              <w:rPr>
                <w:rFonts w:hint="eastAsia" w:ascii="宋体" w:hAnsi="宋体" w:eastAsia="宋体" w:cs="宋体"/>
                <w:b w:val="0"/>
                <w:bCs/>
                <w:color w:val="auto"/>
                <w:kern w:val="0"/>
                <w:sz w:val="21"/>
                <w:szCs w:val="21"/>
                <w:highlight w:val="none"/>
              </w:rPr>
              <w:t>48小时全息波形存储与浏览。</w:t>
            </w:r>
          </w:p>
          <w:p w14:paraId="5965A720">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4.5、具有</w:t>
            </w:r>
            <w:r>
              <w:rPr>
                <w:rFonts w:hint="eastAsia" w:ascii="宋体" w:hAnsi="宋体" w:eastAsia="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rPr>
              <w:t>种级别的生理报警及技术报警，并提供提示信息。</w:t>
            </w:r>
          </w:p>
          <w:p w14:paraId="140016F1">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rPr>
              <w:t>4.6、具备报警功能，报警参数可调。</w:t>
            </w:r>
          </w:p>
          <w:p w14:paraId="0D4295DD">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4.7、具有护士呼叫、日志导出等功能。</w:t>
            </w:r>
          </w:p>
          <w:p w14:paraId="7C60C078">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4.8、具有有线联网、无线联网，可实现同科室所有床位联网。支持救护车和远程中央监护功能。</w:t>
            </w:r>
          </w:p>
          <w:p w14:paraId="5F52E471">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4.9、支持与第三方集成平台数据对接及监测信息实时显示功能。</w:t>
            </w:r>
          </w:p>
          <w:p w14:paraId="4CBD751F">
            <w:pPr>
              <w:keepNext w:val="0"/>
              <w:keepLines w:val="0"/>
              <w:widowControl/>
              <w:suppressLineNumbers w:val="0"/>
              <w:spacing w:line="240" w:lineRule="auto"/>
              <w:ind w:firstLine="420" w:firstLineChars="200"/>
              <w:jc w:val="left"/>
              <w:textAlignment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4.1</w:t>
            </w:r>
            <w:r>
              <w:rPr>
                <w:rFonts w:hint="eastAsia" w:ascii="宋体" w:hAnsi="宋体" w:eastAsia="宋体" w:cs="宋体"/>
                <w:b w:val="0"/>
                <w:bCs/>
                <w:color w:val="auto"/>
                <w:kern w:val="0"/>
                <w:sz w:val="21"/>
                <w:szCs w:val="21"/>
                <w:highlight w:val="none"/>
                <w:lang w:val="en-US" w:eastAsia="zh-CN"/>
              </w:rPr>
              <w:t>0</w:t>
            </w:r>
            <w:r>
              <w:rPr>
                <w:rFonts w:hint="eastAsia" w:ascii="宋体" w:hAnsi="宋体" w:eastAsia="宋体" w:cs="宋体"/>
                <w:b w:val="0"/>
                <w:bCs/>
                <w:color w:val="auto"/>
                <w:kern w:val="0"/>
                <w:sz w:val="21"/>
                <w:szCs w:val="21"/>
                <w:highlight w:val="none"/>
              </w:rPr>
              <w:t>、整机无风扇设计。</w:t>
            </w:r>
          </w:p>
          <w:p w14:paraId="739FEAE4">
            <w:pPr>
              <w:keepNext w:val="0"/>
              <w:keepLines w:val="0"/>
              <w:widowControl/>
              <w:suppressLineNumbers w:val="0"/>
              <w:spacing w:line="240" w:lineRule="auto"/>
              <w:ind w:firstLine="420" w:firstLineChars="200"/>
              <w:jc w:val="left"/>
              <w:textAlignment w:val="center"/>
              <w:rPr>
                <w:rFonts w:hint="eastAsia" w:ascii="楷体" w:hAnsi="楷体" w:eastAsia="楷体" w:cs="楷体"/>
                <w:color w:val="auto"/>
                <w:sz w:val="22"/>
                <w:szCs w:val="22"/>
                <w:highlight w:val="none"/>
                <w:lang w:val="zh-CN" w:eastAsia="zh-CN" w:bidi="zh-CN"/>
              </w:rPr>
            </w:pPr>
            <w:r>
              <w:rPr>
                <w:rFonts w:hint="eastAsia" w:ascii="宋体" w:hAnsi="宋体" w:eastAsia="宋体" w:cs="宋体"/>
                <w:b w:val="0"/>
                <w:bCs/>
                <w:color w:val="auto"/>
                <w:kern w:val="0"/>
                <w:sz w:val="21"/>
                <w:szCs w:val="21"/>
                <w:highlight w:val="none"/>
              </w:rPr>
              <w:t>4.1</w:t>
            </w: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、支持系统软件升级功能。</w:t>
            </w:r>
          </w:p>
        </w:tc>
        <w:tc>
          <w:tcPr>
            <w:tcW w:w="977" w:type="dxa"/>
            <w:tcBorders>
              <w:top w:val="single" w:color="000000" w:sz="4" w:space="0"/>
              <w:left w:val="single" w:color="000000" w:sz="4" w:space="0"/>
              <w:bottom w:val="nil"/>
              <w:right w:val="single" w:color="000000" w:sz="4" w:space="0"/>
            </w:tcBorders>
            <w:noWrap/>
            <w:vAlign w:val="center"/>
          </w:tcPr>
          <w:p w14:paraId="6DF9ED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031" w:type="dxa"/>
            <w:tcBorders>
              <w:top w:val="single" w:color="000000" w:sz="4" w:space="0"/>
              <w:left w:val="single" w:color="000000" w:sz="4" w:space="0"/>
              <w:bottom w:val="nil"/>
              <w:right w:val="single" w:color="000000" w:sz="4" w:space="0"/>
            </w:tcBorders>
            <w:noWrap/>
            <w:vAlign w:val="center"/>
          </w:tcPr>
          <w:p w14:paraId="5BFE75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38BB9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72DDF6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F9430E8">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r>
              <w:rPr>
                <w:rFonts w:hint="default" w:ascii="宋体" w:hAnsi="宋体" w:eastAsia="宋体" w:cs="宋体"/>
                <w:i w:val="0"/>
                <w:iCs w:val="0"/>
                <w:color w:val="auto"/>
                <w:kern w:val="0"/>
                <w:sz w:val="24"/>
                <w:szCs w:val="24"/>
                <w:highlight w:val="none"/>
                <w:u w:val="none"/>
                <w:lang w:val="en-US" w:eastAsia="zh-CN" w:bidi="ar"/>
              </w:rPr>
              <w:t>不锈钢大小轮担架车（转运床）</w:t>
            </w:r>
          </w:p>
          <w:p w14:paraId="4798E2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5376" w:type="dxa"/>
            <w:tcBorders>
              <w:top w:val="single" w:color="000000" w:sz="4" w:space="0"/>
              <w:left w:val="single" w:color="000000" w:sz="4" w:space="0"/>
              <w:bottom w:val="single" w:color="000000" w:sz="4" w:space="0"/>
              <w:right w:val="single" w:color="000000" w:sz="4" w:space="0"/>
            </w:tcBorders>
            <w:noWrap w:val="0"/>
            <w:vAlign w:val="center"/>
          </w:tcPr>
          <w:p w14:paraId="15265B75">
            <w:pPr>
              <w:autoSpaceDE w:val="0"/>
              <w:autoSpaceDN w:val="0"/>
              <w:adjustRightInd w:val="0"/>
              <w:spacing w:line="240" w:lineRule="auto"/>
              <w:ind w:left="475" w:leftChars="226" w:right="84" w:rightChars="40"/>
              <w:jc w:val="lef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1、规格：2000*720*750mm。</w:t>
            </w:r>
          </w:p>
          <w:p w14:paraId="6B151D14">
            <w:pPr>
              <w:autoSpaceDE w:val="0"/>
              <w:autoSpaceDN w:val="0"/>
              <w:adjustRightInd w:val="0"/>
              <w:spacing w:line="240" w:lineRule="auto"/>
              <w:ind w:left="475" w:leftChars="226" w:right="84" w:rightChars="40"/>
              <w:jc w:val="lef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2、材质：车架采用Φ32优质不锈钢管壁厚度≥1.5mm，焊接成型。</w:t>
            </w:r>
          </w:p>
          <w:p w14:paraId="2CD74CCA">
            <w:pPr>
              <w:autoSpaceDE w:val="0"/>
              <w:autoSpaceDN w:val="0"/>
              <w:adjustRightInd w:val="0"/>
              <w:spacing w:line="240" w:lineRule="auto"/>
              <w:ind w:left="475" w:leftChars="226" w:right="84" w:rightChars="40"/>
              <w:jc w:val="lef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3、配两个减震充气轮子，及两个5寸静音轮子，配不锈钢可伸缩输液架。</w:t>
            </w:r>
          </w:p>
          <w:p w14:paraId="37467567">
            <w:pPr>
              <w:autoSpaceDE w:val="0"/>
              <w:autoSpaceDN w:val="0"/>
              <w:adjustRightInd w:val="0"/>
              <w:spacing w:line="240" w:lineRule="auto"/>
              <w:ind w:left="475" w:leftChars="226" w:right="84" w:rightChars="40"/>
              <w:jc w:val="lef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4、带可移动不锈钢担架面一个，下配篮筐。</w:t>
            </w:r>
          </w:p>
          <w:p w14:paraId="4BE7FD71">
            <w:pPr>
              <w:autoSpaceDE w:val="0"/>
              <w:autoSpaceDN w:val="0"/>
              <w:adjustRightInd w:val="0"/>
              <w:spacing w:line="240" w:lineRule="auto"/>
              <w:ind w:left="475" w:leftChars="226" w:right="84" w:rightChars="40"/>
              <w:jc w:val="left"/>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5、绿色防水布面，可拆洗床垫，</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rPr>
              <w:t>3公分高密度海绵组成。</w:t>
            </w:r>
          </w:p>
          <w:p w14:paraId="02B45257">
            <w:pPr>
              <w:autoSpaceDE w:val="0"/>
              <w:autoSpaceDN w:val="0"/>
              <w:adjustRightInd w:val="0"/>
              <w:spacing w:line="240" w:lineRule="auto"/>
              <w:ind w:left="475" w:leftChars="226" w:right="84" w:rightChars="40"/>
              <w:jc w:val="left"/>
              <w:rPr>
                <w:rFonts w:hint="eastAsia" w:ascii="宋体" w:hAnsi="宋体" w:eastAsia="宋体" w:cs="宋体"/>
                <w:i w:val="0"/>
                <w:iCs w:val="0"/>
                <w:color w:val="auto"/>
                <w:sz w:val="24"/>
                <w:szCs w:val="24"/>
                <w:highlight w:val="none"/>
                <w:u w:val="none"/>
              </w:rPr>
            </w:pPr>
            <w:r>
              <w:rPr>
                <w:rFonts w:hint="default" w:ascii="宋体" w:hAnsi="宋体" w:eastAsia="宋体" w:cs="宋体"/>
                <w:color w:val="auto"/>
                <w:sz w:val="21"/>
                <w:szCs w:val="21"/>
                <w:highlight w:val="none"/>
              </w:rPr>
              <w:t>6、担架车有效载荷≥260KG。</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7ACBCA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561994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6AF28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nil"/>
              <w:right w:val="single" w:color="000000" w:sz="4" w:space="0"/>
            </w:tcBorders>
            <w:noWrap/>
            <w:vAlign w:val="center"/>
          </w:tcPr>
          <w:p w14:paraId="5367E2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516" w:type="dxa"/>
            <w:tcBorders>
              <w:top w:val="single" w:color="000000" w:sz="4" w:space="0"/>
              <w:left w:val="single" w:color="000000" w:sz="4" w:space="0"/>
              <w:bottom w:val="nil"/>
              <w:right w:val="single" w:color="000000" w:sz="4" w:space="0"/>
            </w:tcBorders>
            <w:noWrap/>
            <w:vAlign w:val="center"/>
          </w:tcPr>
          <w:p w14:paraId="07E0A6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6.牙科X射线机</w:t>
            </w:r>
          </w:p>
        </w:tc>
        <w:tc>
          <w:tcPr>
            <w:tcW w:w="5376" w:type="dxa"/>
            <w:tcBorders>
              <w:top w:val="single" w:color="000000" w:sz="4" w:space="0"/>
              <w:left w:val="single" w:color="000000" w:sz="4" w:space="0"/>
              <w:bottom w:val="nil"/>
              <w:right w:val="single" w:color="000000" w:sz="4" w:space="0"/>
            </w:tcBorders>
            <w:noWrap w:val="0"/>
            <w:vAlign w:val="center"/>
          </w:tcPr>
          <w:p w14:paraId="0CC16DBD">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1.功率:≥30VA</w:t>
            </w:r>
          </w:p>
          <w:p w14:paraId="3C03E8F4">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2.射线类型:X射线</w:t>
            </w:r>
          </w:p>
          <w:p w14:paraId="0BB25F4F">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3.射线方向和分布:限束器出口方向直径60mm</w:t>
            </w:r>
          </w:p>
          <w:p w14:paraId="21B64346">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4.剂量率:6mGy/s</w:t>
            </w:r>
          </w:p>
          <w:p w14:paraId="1557B3E2">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5.靶材料:钨</w:t>
            </w:r>
          </w:p>
          <w:p w14:paraId="65BFEE16">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6.靶角:12.5°</w:t>
            </w:r>
          </w:p>
          <w:p w14:paraId="111910F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7.射线焦点:0.4mm</w:t>
            </w:r>
          </w:p>
          <w:p w14:paraId="57640F02">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8.管电压:70kV±10%</w:t>
            </w:r>
          </w:p>
          <w:p w14:paraId="5D852DE8">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9.管电流:2mA±20%</w:t>
            </w:r>
          </w:p>
          <w:p w14:paraId="36647BC2">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10.加载时间调节范围:0.04s-2.0s误差±(10%+1ms),调节方式按R’10系数选择。</w:t>
            </w:r>
          </w:p>
          <w:p w14:paraId="2FC6C12C">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11.标称电功率:0.14kW(70kV、2mA、0.1s)</w:t>
            </w:r>
          </w:p>
          <w:p w14:paraId="6D240124">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12.最大输出电功率加载因素组合:70kV、2mA</w:t>
            </w:r>
          </w:p>
          <w:p w14:paraId="03CAE07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13.固有滤过:1.0mmAl/70kV,YY/T0062-2004</w:t>
            </w:r>
          </w:p>
          <w:p w14:paraId="0A545A39">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14.附加滤过:0.5mmAl/70kV,YY/T0062-2004</w:t>
            </w:r>
          </w:p>
          <w:p w14:paraId="1F718884">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18.总滤过:1.5mmAl/70kV,YY/T0062-2004</w:t>
            </w:r>
          </w:p>
          <w:p w14:paraId="4EBC56ED">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19.半价层:70kV时为≥1.6mmAl</w:t>
            </w:r>
          </w:p>
          <w:p w14:paraId="444A0DAD">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20.负载循环:1/15</w:t>
            </w:r>
          </w:p>
          <w:p w14:paraId="02C7E242">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21.泄漏辐射加载因素:曝光1秒停15秒</w:t>
            </w:r>
          </w:p>
          <w:p w14:paraId="0DE6EE8C">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22.漏辐射率:1米处≤0.25mGy/h(70kV,2mA,1s,加载间隔1s/15s)</w:t>
            </w:r>
          </w:p>
          <w:p w14:paraId="5F01A3E8">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23.整机重量:≤2kg</w:t>
            </w:r>
          </w:p>
          <w:p w14:paraId="33997FCD">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24.管组件重量:≤1.1kg</w:t>
            </w:r>
          </w:p>
          <w:p w14:paraId="514EBA69">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25.焦点-皮肤距离：20.5cm±0.5cm</w:t>
            </w:r>
          </w:p>
          <w:p w14:paraId="02BF414A">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26.输出辐射场：圆形，φ6cm±0.5cm</w:t>
            </w:r>
          </w:p>
          <w:p w14:paraId="2D74F97D">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27.影像板</w:t>
            </w:r>
          </w:p>
          <w:p w14:paraId="48BB1128">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1分辨率：≥8P/mm</w:t>
            </w:r>
          </w:p>
          <w:p w14:paraId="09F558CC">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2影像位深：≥12bits/pixel</w:t>
            </w:r>
          </w:p>
          <w:p w14:paraId="08B67F1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3灰阶：16bit</w:t>
            </w:r>
          </w:p>
          <w:p w14:paraId="16F485A9">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4影像板寿命：≥2500次</w:t>
            </w:r>
          </w:p>
          <w:p w14:paraId="452008B6">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5理论分辨率：25LP/mm</w:t>
            </w:r>
          </w:p>
          <w:p w14:paraId="6176880B">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6重量：≤3KG</w:t>
            </w:r>
          </w:p>
          <w:p w14:paraId="20E31F1D">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7连接方式：USB连接线</w:t>
            </w:r>
          </w:p>
          <w:p w14:paraId="18CA2367">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8影像板材质：（软片）</w:t>
            </w:r>
          </w:p>
          <w:p w14:paraId="7CABA4E7">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9影像板尺寸：</w:t>
            </w:r>
          </w:p>
          <w:p w14:paraId="1FF4CC33">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9.10：31X22mm</w:t>
            </w:r>
          </w:p>
          <w:p w14:paraId="225CE441">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9.21：40x24mm</w:t>
            </w:r>
          </w:p>
          <w:p w14:paraId="6753E40F">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9.32:41x31mm</w:t>
            </w:r>
          </w:p>
          <w:p w14:paraId="6926872F">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9.43:54x27mm</w:t>
            </w:r>
          </w:p>
          <w:p w14:paraId="27647FD9">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10有效成像面积：</w:t>
            </w:r>
          </w:p>
          <w:p w14:paraId="41BE7419">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10.10:31X22mm</w:t>
            </w:r>
          </w:p>
          <w:p w14:paraId="03D0A93A">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10.21:40x24mm</w:t>
            </w:r>
          </w:p>
          <w:p w14:paraId="5CA35F06">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10.32:41x31mm</w:t>
            </w:r>
          </w:p>
          <w:p w14:paraId="3C0ABCFF">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10.43:54x27mm</w:t>
            </w:r>
          </w:p>
          <w:p w14:paraId="68535F41">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11使用年限：≥8年</w:t>
            </w:r>
          </w:p>
          <w:p w14:paraId="29CDE75F">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12影像板：软薄可弯曲适用于各种口内胶片支架</w:t>
            </w:r>
          </w:p>
          <w:p w14:paraId="1C86D781">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13自带隐藏式置物盒可存储各型号的影像板</w:t>
            </w:r>
          </w:p>
          <w:p w14:paraId="08EDF8F7">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14自动电磁吸附扫描，智能高速，全程无挤压，有效减少影像板磨损和外界杂质影响</w:t>
            </w:r>
          </w:p>
          <w:p w14:paraId="72821CCF">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15可连接平板</w:t>
            </w:r>
          </w:p>
          <w:p w14:paraId="2C1208EE">
            <w:pPr>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配置要求</w:t>
            </w:r>
          </w:p>
          <w:p w14:paraId="488C893D">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1影像板扫描仪1台</w:t>
            </w:r>
          </w:p>
          <w:p w14:paraId="65258B71">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2电源适配器1个</w:t>
            </w:r>
          </w:p>
          <w:p w14:paraId="42778ECA">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3USB连接线1.5米1根</w:t>
            </w:r>
          </w:p>
          <w:p w14:paraId="42F14B33">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42影像板2张</w:t>
            </w:r>
          </w:p>
          <w:p w14:paraId="6E330C67">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5软件U盘1个</w:t>
            </w:r>
          </w:p>
          <w:p w14:paraId="506D172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62保护套1盒</w:t>
            </w:r>
          </w:p>
          <w:p w14:paraId="4DA10AB2">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72保护板1盒</w:t>
            </w:r>
          </w:p>
          <w:p w14:paraId="74AF805A">
            <w:pPr>
              <w:ind w:firstLine="420" w:firstLineChars="200"/>
              <w:rPr>
                <w:rFonts w:hint="eastAsia" w:ascii="宋体" w:hAnsi="宋体" w:eastAsia="宋体" w:cs="宋体"/>
                <w:i w:val="0"/>
                <w:iCs w:val="0"/>
                <w:color w:val="auto"/>
                <w:sz w:val="24"/>
                <w:szCs w:val="24"/>
                <w:highlight w:val="none"/>
                <w:u w:val="none"/>
              </w:rPr>
            </w:pPr>
            <w:r>
              <w:rPr>
                <w:rFonts w:hint="eastAsia" w:ascii="宋体" w:hAnsi="宋体" w:eastAsia="宋体" w:cs="Times New Roman"/>
                <w:color w:val="auto"/>
                <w:szCs w:val="21"/>
                <w:highlight w:val="none"/>
                <w:lang w:val="en-US" w:eastAsia="zh-CN"/>
              </w:rPr>
              <w:t>影像板0号，1号，3号可以选配</w:t>
            </w:r>
          </w:p>
        </w:tc>
        <w:tc>
          <w:tcPr>
            <w:tcW w:w="977" w:type="dxa"/>
            <w:tcBorders>
              <w:top w:val="single" w:color="000000" w:sz="4" w:space="0"/>
              <w:left w:val="single" w:color="000000" w:sz="4" w:space="0"/>
              <w:bottom w:val="nil"/>
              <w:right w:val="single" w:color="000000" w:sz="4" w:space="0"/>
            </w:tcBorders>
            <w:noWrap/>
            <w:vAlign w:val="center"/>
          </w:tcPr>
          <w:p w14:paraId="16B6D7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031" w:type="dxa"/>
            <w:tcBorders>
              <w:top w:val="single" w:color="000000" w:sz="4" w:space="0"/>
              <w:left w:val="single" w:color="000000" w:sz="4" w:space="0"/>
              <w:bottom w:val="nil"/>
              <w:right w:val="single" w:color="000000" w:sz="4" w:space="0"/>
            </w:tcBorders>
            <w:noWrap/>
            <w:vAlign w:val="center"/>
          </w:tcPr>
          <w:p w14:paraId="49CD64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3C12E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750" w:type="dxa"/>
            <w:tcBorders>
              <w:top w:val="single" w:color="000000" w:sz="4" w:space="0"/>
              <w:left w:val="single" w:color="000000" w:sz="4" w:space="0"/>
              <w:bottom w:val="nil"/>
              <w:right w:val="single" w:color="000000" w:sz="4" w:space="0"/>
            </w:tcBorders>
            <w:noWrap/>
            <w:vAlign w:val="center"/>
          </w:tcPr>
          <w:p w14:paraId="6C1DAC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516" w:type="dxa"/>
            <w:tcBorders>
              <w:top w:val="single" w:color="000000" w:sz="4" w:space="0"/>
              <w:left w:val="single" w:color="000000" w:sz="4" w:space="0"/>
              <w:bottom w:val="nil"/>
              <w:right w:val="single" w:color="000000" w:sz="4" w:space="0"/>
            </w:tcBorders>
            <w:noWrap w:val="0"/>
            <w:vAlign w:val="center"/>
          </w:tcPr>
          <w:p w14:paraId="01938F2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7.紫外线空气净化消毒器</w:t>
            </w:r>
          </w:p>
          <w:p w14:paraId="7F1B33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5376" w:type="dxa"/>
            <w:tcBorders>
              <w:top w:val="single" w:color="000000" w:sz="4" w:space="0"/>
              <w:left w:val="single" w:color="000000" w:sz="4" w:space="0"/>
              <w:bottom w:val="single" w:color="000000" w:sz="4" w:space="0"/>
              <w:right w:val="single" w:color="000000" w:sz="4" w:space="0"/>
            </w:tcBorders>
            <w:noWrap w:val="0"/>
            <w:vAlign w:val="center"/>
          </w:tcPr>
          <w:p w14:paraId="353DB9C5">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移动式紫外线空气净化消毒器，通过循环风、高效过滤网及紫外灯对吸入的空气进行净化、杀菌、消毒,并结合负离子清新空气，用于医院室内需要对空气进行杀菌消毒的场所。</w:t>
            </w:r>
          </w:p>
          <w:p w14:paraId="662E9315">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技术参数：</w:t>
            </w:r>
          </w:p>
          <w:p w14:paraId="76E3237A">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1.净化方式:初效+组合过滤网</w:t>
            </w:r>
          </w:p>
          <w:p w14:paraId="1F5213E6">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2.消毒方式:光触媒紫外空气消毒+臭氧环境消毒</w:t>
            </w:r>
          </w:p>
          <w:p w14:paraId="6BAC4FD4">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3.甲醛：降解率≥80%</w:t>
            </w:r>
          </w:p>
          <w:p w14:paraId="63E026E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4.CADR颗料物：530m³/h</w:t>
            </w:r>
          </w:p>
          <w:p w14:paraId="2CBC8CE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5.固态污染物净化能效等级:A级</w:t>
            </w:r>
          </w:p>
          <w:p w14:paraId="3164AA9D">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6.适用面积:≥70㎡</w:t>
            </w:r>
          </w:p>
          <w:p w14:paraId="55A72E95">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7.噪音:≤55dB</w:t>
            </w:r>
          </w:p>
          <w:p w14:paraId="6EC1C03E">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8.操作方式:遥控操作,移动手推设计</w:t>
            </w:r>
          </w:p>
          <w:p w14:paraId="255A3AAB">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9.超静音风机,循环风量:≥1000m3/h,噪音低至≤45db(A)。</w:t>
            </w:r>
          </w:p>
          <w:p w14:paraId="1FBB0181">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10.远距离红外线遥控操控。故障自动报警提示并有自动关机功能。</w:t>
            </w:r>
          </w:p>
          <w:p w14:paraId="6625BB1C">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11.LCD高清液晶触摸显示屏，显示温度、湿度、空气质量、风速等信息。1-3档风速可调。1-8小时定时,紫外线、臭氧一键启动。</w:t>
            </w:r>
          </w:p>
          <w:p w14:paraId="4E237509">
            <w:pPr>
              <w:ind w:firstLine="420" w:firstLineChars="200"/>
              <w:rPr>
                <w:rFonts w:hint="eastAsia" w:ascii="宋体" w:hAnsi="宋体" w:eastAsia="宋体" w:cs="宋体"/>
                <w:i w:val="0"/>
                <w:iCs w:val="0"/>
                <w:color w:val="auto"/>
                <w:sz w:val="24"/>
                <w:szCs w:val="24"/>
                <w:highlight w:val="none"/>
                <w:u w:val="none"/>
              </w:rPr>
            </w:pPr>
            <w:r>
              <w:rPr>
                <w:rFonts w:hint="eastAsia" w:ascii="宋体" w:hAnsi="宋体" w:eastAsia="宋体" w:cs="Times New Roman"/>
                <w:color w:val="auto"/>
                <w:szCs w:val="21"/>
                <w:highlight w:val="none"/>
                <w:lang w:val="en-US" w:eastAsia="zh-CN"/>
              </w:rPr>
              <w:t>10.可显示空气质量，滤网到期智能提醒。</w:t>
            </w:r>
          </w:p>
        </w:tc>
        <w:tc>
          <w:tcPr>
            <w:tcW w:w="977" w:type="dxa"/>
            <w:tcBorders>
              <w:top w:val="single" w:color="000000" w:sz="4" w:space="0"/>
              <w:left w:val="single" w:color="000000" w:sz="4" w:space="0"/>
              <w:bottom w:val="nil"/>
              <w:right w:val="single" w:color="000000" w:sz="4" w:space="0"/>
            </w:tcBorders>
            <w:noWrap/>
            <w:vAlign w:val="center"/>
          </w:tcPr>
          <w:p w14:paraId="731FA9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031" w:type="dxa"/>
            <w:tcBorders>
              <w:top w:val="single" w:color="000000" w:sz="4" w:space="0"/>
              <w:left w:val="single" w:color="000000" w:sz="4" w:space="0"/>
              <w:bottom w:val="nil"/>
              <w:right w:val="single" w:color="000000" w:sz="4" w:space="0"/>
            </w:tcBorders>
            <w:noWrap/>
            <w:vAlign w:val="center"/>
          </w:tcPr>
          <w:p w14:paraId="46C280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r>
      <w:tr w14:paraId="41F44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112508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516" w:type="dxa"/>
            <w:tcBorders>
              <w:top w:val="single" w:color="000000" w:sz="4" w:space="0"/>
              <w:left w:val="single" w:color="000000" w:sz="4" w:space="0"/>
              <w:bottom w:val="single" w:color="000000" w:sz="4" w:space="0"/>
              <w:right w:val="single" w:color="000000" w:sz="4" w:space="0"/>
            </w:tcBorders>
            <w:noWrap/>
            <w:vAlign w:val="center"/>
          </w:tcPr>
          <w:p w14:paraId="781AE43A">
            <w:pP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8.打磨机</w:t>
            </w:r>
          </w:p>
          <w:p w14:paraId="5A99AF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5376" w:type="dxa"/>
            <w:tcBorders>
              <w:top w:val="single" w:color="000000" w:sz="4" w:space="0"/>
              <w:left w:val="single" w:color="000000" w:sz="4" w:space="0"/>
              <w:bottom w:val="single" w:color="000000" w:sz="4" w:space="0"/>
              <w:right w:val="single" w:color="000000" w:sz="4" w:space="0"/>
            </w:tcBorders>
            <w:noWrap w:val="0"/>
            <w:vAlign w:val="center"/>
          </w:tcPr>
          <w:p w14:paraId="3E3CE514">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1、最高转速：≥35000转/分钟；</w:t>
            </w:r>
          </w:p>
          <w:p w14:paraId="2F95E09C">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2、输出功率：≥65W；</w:t>
            </w:r>
          </w:p>
          <w:p w14:paraId="4F651E7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3、输入电压：220V/50HZ；</w:t>
            </w:r>
          </w:p>
          <w:p w14:paraId="7EBB3EE1">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4、最大扭矩：≥2.8N.cm；</w:t>
            </w:r>
          </w:p>
          <w:p w14:paraId="21699629">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5、ON/OFF开关脚踏；</w:t>
            </w:r>
          </w:p>
          <w:p w14:paraId="0E47D44C">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6、自动过载保护功能；</w:t>
            </w:r>
          </w:p>
          <w:p w14:paraId="6F59F7BE">
            <w:pPr>
              <w:ind w:firstLine="420" w:firstLineChars="200"/>
              <w:rPr>
                <w:rFonts w:hint="eastAsia" w:ascii="宋体" w:hAnsi="宋体" w:eastAsia="宋体" w:cs="宋体"/>
                <w:i w:val="0"/>
                <w:iCs w:val="0"/>
                <w:color w:val="auto"/>
                <w:sz w:val="24"/>
                <w:szCs w:val="24"/>
                <w:highlight w:val="none"/>
                <w:u w:val="none"/>
              </w:rPr>
            </w:pPr>
            <w:r>
              <w:rPr>
                <w:rFonts w:hint="eastAsia" w:ascii="宋体" w:hAnsi="宋体" w:eastAsia="宋体" w:cs="Times New Roman"/>
                <w:color w:val="auto"/>
                <w:szCs w:val="21"/>
                <w:highlight w:val="none"/>
                <w:lang w:val="en-US" w:eastAsia="zh-CN"/>
              </w:rPr>
              <w:t>7、正/反转切换。</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06610A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773FE6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616F5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50" w:type="dxa"/>
            <w:tcBorders>
              <w:top w:val="single" w:color="000000" w:sz="4" w:space="0"/>
              <w:left w:val="single" w:color="000000" w:sz="4" w:space="0"/>
              <w:bottom w:val="nil"/>
              <w:right w:val="single" w:color="000000" w:sz="4" w:space="0"/>
            </w:tcBorders>
            <w:noWrap/>
            <w:vAlign w:val="center"/>
          </w:tcPr>
          <w:p w14:paraId="115488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516" w:type="dxa"/>
            <w:tcBorders>
              <w:top w:val="single" w:color="000000" w:sz="4" w:space="0"/>
              <w:left w:val="single" w:color="000000" w:sz="4" w:space="0"/>
              <w:bottom w:val="nil"/>
              <w:right w:val="single" w:color="000000" w:sz="4" w:space="0"/>
            </w:tcBorders>
            <w:noWrap/>
            <w:vAlign w:val="center"/>
          </w:tcPr>
          <w:p w14:paraId="6EE5F2C7">
            <w:pP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9.医用热封机</w:t>
            </w:r>
          </w:p>
          <w:p w14:paraId="5F4A81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5376" w:type="dxa"/>
            <w:tcBorders>
              <w:top w:val="single" w:color="000000" w:sz="4" w:space="0"/>
              <w:left w:val="single" w:color="000000" w:sz="4" w:space="0"/>
              <w:bottom w:val="nil"/>
              <w:right w:val="single" w:color="000000" w:sz="4" w:space="0"/>
            </w:tcBorders>
            <w:noWrap w:val="0"/>
            <w:vAlign w:val="center"/>
          </w:tcPr>
          <w:p w14:paraId="3346DEE7">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产品参数</w:t>
            </w:r>
          </w:p>
          <w:p w14:paraId="6C9B7EAE">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1.走纸的速度为:≥10米/分钟;</w:t>
            </w:r>
          </w:p>
          <w:p w14:paraId="40ECDA2F">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2.打印项目灭菌日期、失效日期、批号、操作人员、锅号、</w:t>
            </w:r>
          </w:p>
          <w:p w14:paraId="27424495">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锅次、物品名称、科室等;</w:t>
            </w:r>
          </w:p>
          <w:p w14:paraId="03CD6FF9">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3.打印全部选项所需袋宽:75mm±1mm、106mm±1mm、140mm±1mm;</w:t>
            </w:r>
          </w:p>
          <w:p w14:paraId="2BEE69D0">
            <w:pPr>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4.工作温度:60~220℃可调</w:t>
            </w:r>
          </w:p>
          <w:p w14:paraId="57A32B87">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5.控温精度≤1%；</w:t>
            </w:r>
          </w:p>
          <w:p w14:paraId="7A850CDE">
            <w:pPr>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6.封口留边：0-35mm可调</w:t>
            </w:r>
          </w:p>
          <w:p w14:paraId="6C9684DF">
            <w:pPr>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7.外形尺寸：≈510*240*150mm</w:t>
            </w:r>
          </w:p>
          <w:p w14:paraId="21F6441B">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8.可选配裁切功能封口机</w:t>
            </w:r>
          </w:p>
          <w:p w14:paraId="7653628A">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7寸彩色液晶触控屏，图形化操作界面，可通过自带的彩色触摸控制屏对设备使用参数和需打印的操作者、科室、物品名称和自定义等内容进行设置或更改，由封口机打印相设置内容，内置时钟和参数可设置并具有自动储存信息功能，具有USB口，可用U盘导出打印；</w:t>
            </w:r>
          </w:p>
          <w:p w14:paraId="67AA202B">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10.智能温度控制，工作温度60~220°C，温控精度士1%;</w:t>
            </w:r>
          </w:p>
          <w:p w14:paraId="1817368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11.室温升至180℃≤40秒;</w:t>
            </w:r>
          </w:p>
          <w:p w14:paraId="7C2DAEE6">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4.配有微电脑控制的降温机构;</w:t>
            </w:r>
          </w:p>
          <w:p w14:paraId="4EEE8CB1">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5.实际温度超过设定温度土4C时，自动停止工作:</w:t>
            </w:r>
          </w:p>
          <w:p w14:paraId="186E7B5D">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6.封口速度≥10m/min,采用光控技术实现封口和打印自动检测;封口宽度12mm，封口指标符合标准《YY/T0698.5-2009》的要求;封口留边0~35mm可调;浮动式恒定压力压合结构设计，适立体袋和不同厚度纸袋的封口需要;</w:t>
            </w:r>
          </w:p>
          <w:p w14:paraId="2C755154">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7.具有中英文、数字以及特殊字符打印功能，可打印灭菌日期、失效日期、灭菌批次等;</w:t>
            </w:r>
          </w:p>
          <w:p w14:paraId="7564791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8.失效日期可以根据设置的有效天数自动调整。</w:t>
            </w:r>
          </w:p>
          <w:p w14:paraId="2992622F">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9.故障自动报警指示;</w:t>
            </w:r>
          </w:p>
          <w:p w14:paraId="045B5CF8">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10.具备窄体、正常、宽体等打印字体选择形式;</w:t>
            </w:r>
          </w:p>
          <w:p w14:paraId="5DACDAA0">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11.自动核算打印最小带宽;</w:t>
            </w:r>
          </w:p>
          <w:p w14:paraId="69C90405">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12.打印功能--键式关闭;</w:t>
            </w:r>
          </w:p>
          <w:p w14:paraId="0AB1E19C">
            <w:pPr>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13.待机时间和待机温度可调;</w:t>
            </w:r>
          </w:p>
          <w:p w14:paraId="2955FEC2">
            <w:pPr>
              <w:ind w:firstLine="420" w:firstLineChars="200"/>
              <w:rPr>
                <w:rFonts w:hint="eastAsia" w:ascii="宋体" w:hAnsi="宋体" w:eastAsia="宋体" w:cs="宋体"/>
                <w:i w:val="0"/>
                <w:iCs w:val="0"/>
                <w:color w:val="auto"/>
                <w:sz w:val="24"/>
                <w:szCs w:val="24"/>
                <w:highlight w:val="none"/>
                <w:u w:val="none"/>
              </w:rPr>
            </w:pPr>
            <w:r>
              <w:rPr>
                <w:rFonts w:hint="eastAsia" w:ascii="宋体" w:hAnsi="宋体" w:eastAsia="宋体" w:cs="Times New Roman"/>
                <w:color w:val="auto"/>
                <w:szCs w:val="21"/>
                <w:highlight w:val="none"/>
                <w:lang w:val="en-US" w:eastAsia="zh-CN"/>
              </w:rPr>
              <w:t>14.可选配带裁切功能的封口机；</w:t>
            </w:r>
          </w:p>
        </w:tc>
        <w:tc>
          <w:tcPr>
            <w:tcW w:w="977" w:type="dxa"/>
            <w:tcBorders>
              <w:top w:val="single" w:color="000000" w:sz="4" w:space="0"/>
              <w:left w:val="single" w:color="000000" w:sz="4" w:space="0"/>
              <w:bottom w:val="nil"/>
              <w:right w:val="single" w:color="000000" w:sz="4" w:space="0"/>
            </w:tcBorders>
            <w:noWrap/>
            <w:vAlign w:val="center"/>
          </w:tcPr>
          <w:p w14:paraId="7646A5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031" w:type="dxa"/>
            <w:tcBorders>
              <w:top w:val="single" w:color="000000" w:sz="4" w:space="0"/>
              <w:left w:val="single" w:color="000000" w:sz="4" w:space="0"/>
              <w:bottom w:val="nil"/>
              <w:right w:val="single" w:color="000000" w:sz="4" w:space="0"/>
            </w:tcBorders>
            <w:noWrap/>
            <w:vAlign w:val="center"/>
          </w:tcPr>
          <w:p w14:paraId="6A0AF0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747BC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3C6984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516" w:type="dxa"/>
            <w:tcBorders>
              <w:top w:val="single" w:color="000000" w:sz="4" w:space="0"/>
              <w:left w:val="single" w:color="000000" w:sz="4" w:space="0"/>
              <w:bottom w:val="single" w:color="000000" w:sz="4" w:space="0"/>
              <w:right w:val="single" w:color="000000" w:sz="4" w:space="0"/>
            </w:tcBorders>
            <w:noWrap/>
            <w:vAlign w:val="center"/>
          </w:tcPr>
          <w:p w14:paraId="1355D5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Times New Roman"/>
                <w:color w:val="auto"/>
                <w:szCs w:val="21"/>
                <w:highlight w:val="none"/>
                <w:lang w:val="en-US" w:eastAsia="zh-CN"/>
              </w:rPr>
              <w:t>10.危险化学品柜</w:t>
            </w:r>
          </w:p>
        </w:tc>
        <w:tc>
          <w:tcPr>
            <w:tcW w:w="5376" w:type="dxa"/>
            <w:tcBorders>
              <w:top w:val="single" w:color="000000" w:sz="4" w:space="0"/>
              <w:left w:val="single" w:color="000000" w:sz="4" w:space="0"/>
              <w:bottom w:val="single" w:color="000000" w:sz="4" w:space="0"/>
              <w:right w:val="single" w:color="000000" w:sz="4" w:space="0"/>
            </w:tcBorders>
            <w:noWrap w:val="0"/>
            <w:vAlign w:val="center"/>
          </w:tcPr>
          <w:p w14:paraId="2DB88FF7">
            <w:pPr>
              <w:rPr>
                <w:rFonts w:hint="eastAsia" w:ascii="宋体" w:hAnsi="宋体" w:eastAsia="宋体" w:cs="宋体"/>
                <w:i w:val="0"/>
                <w:iCs w:val="0"/>
                <w:color w:val="auto"/>
                <w:sz w:val="24"/>
                <w:szCs w:val="24"/>
                <w:highlight w:val="none"/>
                <w:u w:val="none"/>
              </w:rPr>
            </w:pPr>
            <w:r>
              <w:rPr>
                <w:rFonts w:hint="eastAsia" w:ascii="宋体" w:hAnsi="宋体" w:eastAsia="宋体" w:cs="Times New Roman"/>
                <w:color w:val="auto"/>
                <w:szCs w:val="21"/>
                <w:highlight w:val="none"/>
                <w:lang w:val="en-US" w:eastAsia="zh-CN"/>
              </w:rPr>
              <w:t>参数：≥22加仑，≥1650×590×460，加厚板材，双锁柜门，通风装置，层板可调节，防漏液槽，静电接地。</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43AAB8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10E930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74EE2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2288FC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545116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Times New Roman"/>
                <w:color w:val="auto"/>
                <w:szCs w:val="21"/>
                <w:highlight w:val="none"/>
                <w:lang w:val="en-US" w:eastAsia="zh-CN"/>
              </w:rPr>
              <w:t>11.药品仓储货架</w:t>
            </w:r>
          </w:p>
        </w:tc>
        <w:tc>
          <w:tcPr>
            <w:tcW w:w="5376" w:type="dxa"/>
            <w:tcBorders>
              <w:top w:val="single" w:color="000000" w:sz="4" w:space="0"/>
              <w:left w:val="single" w:color="000000" w:sz="4" w:space="0"/>
              <w:bottom w:val="single" w:color="000000" w:sz="4" w:space="0"/>
              <w:right w:val="single" w:color="000000" w:sz="4" w:space="0"/>
            </w:tcBorders>
            <w:noWrap w:val="0"/>
            <w:vAlign w:val="center"/>
          </w:tcPr>
          <w:p w14:paraId="1F3F12E7">
            <w:pPr>
              <w:rPr>
                <w:rFonts w:hint="eastAsia" w:ascii="宋体" w:hAnsi="宋体" w:eastAsia="宋体" w:cs="宋体"/>
                <w:i w:val="0"/>
                <w:iCs w:val="0"/>
                <w:color w:val="auto"/>
                <w:sz w:val="24"/>
                <w:szCs w:val="24"/>
                <w:highlight w:val="none"/>
                <w:u w:val="none"/>
              </w:rPr>
            </w:pPr>
            <w:r>
              <w:rPr>
                <w:rFonts w:hint="eastAsia" w:ascii="宋体" w:hAnsi="宋体" w:eastAsia="宋体" w:cs="Times New Roman"/>
                <w:color w:val="auto"/>
                <w:szCs w:val="21"/>
                <w:highlight w:val="none"/>
                <w:lang w:val="en-US" w:eastAsia="zh-CN"/>
              </w:rPr>
              <w:t>参数：约1500×600×2000，重量级货架量级，重力式货架结构，4-6层，不锈钢基材材质，E1基材甲醛释放限量等级，可组合功能。</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380267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489253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r>
      <w:tr w14:paraId="56A9A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1B266F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1D5A7F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Times New Roman"/>
                <w:color w:val="auto"/>
                <w:szCs w:val="21"/>
                <w:highlight w:val="none"/>
                <w:lang w:val="en-US" w:eastAsia="zh-CN"/>
              </w:rPr>
              <w:t>12.敞开式药品货架</w:t>
            </w:r>
          </w:p>
        </w:tc>
        <w:tc>
          <w:tcPr>
            <w:tcW w:w="5376" w:type="dxa"/>
            <w:tcBorders>
              <w:top w:val="single" w:color="000000" w:sz="4" w:space="0"/>
              <w:left w:val="single" w:color="000000" w:sz="4" w:space="0"/>
              <w:bottom w:val="single" w:color="000000" w:sz="4" w:space="0"/>
              <w:right w:val="single" w:color="000000" w:sz="4" w:space="0"/>
            </w:tcBorders>
            <w:noWrap w:val="0"/>
            <w:vAlign w:val="center"/>
          </w:tcPr>
          <w:p w14:paraId="5681CF62">
            <w:pPr>
              <w:rPr>
                <w:rFonts w:hint="eastAsia" w:ascii="宋体" w:hAnsi="宋体" w:eastAsia="宋体" w:cs="宋体"/>
                <w:i w:val="0"/>
                <w:iCs w:val="0"/>
                <w:color w:val="auto"/>
                <w:sz w:val="24"/>
                <w:szCs w:val="24"/>
                <w:highlight w:val="none"/>
                <w:u w:val="none"/>
              </w:rPr>
            </w:pPr>
            <w:r>
              <w:rPr>
                <w:rFonts w:hint="eastAsia" w:ascii="宋体" w:hAnsi="宋体" w:eastAsia="宋体" w:cs="Times New Roman"/>
                <w:color w:val="auto"/>
                <w:szCs w:val="21"/>
                <w:highlight w:val="none"/>
                <w:lang w:val="en-US" w:eastAsia="zh-CN"/>
              </w:rPr>
              <w:t>参数：约1200×460×2000，单面五层，层板可调节，托盘式可拆装。</w:t>
            </w: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114370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7AD248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r>
      <w:tr w14:paraId="1C721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50" w:type="dxa"/>
            <w:tcBorders>
              <w:top w:val="single" w:color="000000" w:sz="4" w:space="0"/>
              <w:left w:val="single" w:color="000000" w:sz="4" w:space="0"/>
              <w:bottom w:val="single" w:color="000000" w:sz="4" w:space="0"/>
              <w:right w:val="single" w:color="000000" w:sz="4" w:space="0"/>
            </w:tcBorders>
            <w:noWrap/>
            <w:vAlign w:val="top"/>
          </w:tcPr>
          <w:p w14:paraId="10CF03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516" w:type="dxa"/>
            <w:tcBorders>
              <w:top w:val="single" w:color="000000" w:sz="4" w:space="0"/>
              <w:left w:val="single" w:color="000000" w:sz="4" w:space="0"/>
              <w:bottom w:val="single" w:color="000000" w:sz="4" w:space="0"/>
              <w:right w:val="single" w:color="000000" w:sz="4" w:space="0"/>
            </w:tcBorders>
            <w:noWrap/>
            <w:vAlign w:val="top"/>
          </w:tcPr>
          <w:p w14:paraId="232A4724">
            <w:pPr>
              <w:bidi w:val="0"/>
              <w:rPr>
                <w:rFonts w:hint="eastAsia" w:ascii="宋体" w:hAnsi="宋体" w:eastAsia="宋体" w:cs="宋体"/>
                <w:i w:val="0"/>
                <w:iCs w:val="0"/>
                <w:color w:val="auto"/>
                <w:sz w:val="24"/>
                <w:szCs w:val="24"/>
                <w:highlight w:val="none"/>
                <w:u w:val="none"/>
              </w:rPr>
            </w:pPr>
            <w:r>
              <w:rPr>
                <w:rFonts w:hint="eastAsia"/>
                <w:color w:val="auto"/>
                <w:highlight w:val="none"/>
                <w:lang w:val="en-US" w:eastAsia="zh-CN"/>
              </w:rPr>
              <w:t>13.</w:t>
            </w:r>
            <w:r>
              <w:rPr>
                <w:rFonts w:hint="eastAsia" w:ascii="宋体" w:hAnsi="宋体" w:eastAsia="宋体" w:cs="Times New Roman"/>
                <w:color w:val="auto"/>
                <w:szCs w:val="21"/>
                <w:highlight w:val="none"/>
                <w:lang w:val="en-US" w:eastAsia="zh-CN"/>
              </w:rPr>
              <w:t>检验科工作台</w:t>
            </w:r>
          </w:p>
        </w:tc>
        <w:tc>
          <w:tcPr>
            <w:tcW w:w="5376" w:type="dxa"/>
            <w:tcBorders>
              <w:top w:val="single" w:color="000000" w:sz="4" w:space="0"/>
              <w:left w:val="single" w:color="000000" w:sz="4" w:space="0"/>
              <w:bottom w:val="single" w:color="000000" w:sz="4" w:space="0"/>
              <w:right w:val="single" w:color="000000" w:sz="4" w:space="0"/>
            </w:tcBorders>
            <w:noWrap w:val="0"/>
            <w:vAlign w:val="top"/>
          </w:tcPr>
          <w:p w14:paraId="57632E3F">
            <w:pPr>
              <w:ind w:firstLine="205" w:firstLineChars="0"/>
              <w:rPr>
                <w:rFonts w:hint="eastAsia" w:ascii="宋体" w:hAnsi="宋体" w:eastAsia="宋体" w:cs="宋体"/>
                <w:i w:val="0"/>
                <w:iCs w:val="0"/>
                <w:color w:val="auto"/>
                <w:sz w:val="24"/>
                <w:szCs w:val="24"/>
                <w:highlight w:val="none"/>
                <w:u w:val="none"/>
              </w:rPr>
            </w:pPr>
            <w:r>
              <w:rPr>
                <w:rFonts w:hint="eastAsia" w:ascii="宋体" w:hAnsi="宋体" w:eastAsia="宋体" w:cs="Times New Roman"/>
                <w:color w:val="auto"/>
                <w:szCs w:val="21"/>
                <w:highlight w:val="none"/>
                <w:lang w:val="en-US" w:eastAsia="zh-CN"/>
              </w:rPr>
              <w:t>参数：台面材质环氧树脂，柜体实验室专用环保板，结构和尺寸按实际现场确定。</w:t>
            </w:r>
          </w:p>
        </w:tc>
        <w:tc>
          <w:tcPr>
            <w:tcW w:w="977" w:type="dxa"/>
            <w:tcBorders>
              <w:top w:val="single" w:color="000000" w:sz="4" w:space="0"/>
              <w:left w:val="single" w:color="000000" w:sz="4" w:space="0"/>
              <w:bottom w:val="single" w:color="000000" w:sz="4" w:space="0"/>
              <w:right w:val="single" w:color="000000" w:sz="4" w:space="0"/>
            </w:tcBorders>
            <w:noWrap/>
            <w:vAlign w:val="top"/>
          </w:tcPr>
          <w:p w14:paraId="250FAE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组</w:t>
            </w:r>
          </w:p>
        </w:tc>
        <w:tc>
          <w:tcPr>
            <w:tcW w:w="1031" w:type="dxa"/>
            <w:tcBorders>
              <w:top w:val="single" w:color="000000" w:sz="4" w:space="0"/>
              <w:left w:val="single" w:color="000000" w:sz="4" w:space="0"/>
              <w:bottom w:val="single" w:color="000000" w:sz="4" w:space="0"/>
              <w:right w:val="single" w:color="000000" w:sz="4" w:space="0"/>
            </w:tcBorders>
            <w:noWrap/>
            <w:vAlign w:val="top"/>
          </w:tcPr>
          <w:p w14:paraId="785586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58FE6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14:paraId="5530F6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516" w:type="dxa"/>
            <w:tcBorders>
              <w:top w:val="single" w:color="000000" w:sz="4" w:space="0"/>
              <w:left w:val="single" w:color="000000" w:sz="4" w:space="0"/>
              <w:bottom w:val="single" w:color="000000" w:sz="4" w:space="0"/>
              <w:right w:val="single" w:color="000000" w:sz="4" w:space="0"/>
            </w:tcBorders>
            <w:noWrap/>
            <w:vAlign w:val="center"/>
          </w:tcPr>
          <w:p w14:paraId="7BC880D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健身器材</w:t>
            </w:r>
          </w:p>
        </w:tc>
        <w:tc>
          <w:tcPr>
            <w:tcW w:w="5376" w:type="dxa"/>
            <w:tcBorders>
              <w:top w:val="single" w:color="000000" w:sz="4" w:space="0"/>
              <w:left w:val="single" w:color="000000" w:sz="4" w:space="0"/>
              <w:bottom w:val="single" w:color="000000" w:sz="4" w:space="0"/>
              <w:right w:val="single" w:color="000000" w:sz="4" w:space="0"/>
            </w:tcBorders>
            <w:noWrap w:val="0"/>
            <w:vAlign w:val="center"/>
          </w:tcPr>
          <w:p w14:paraId="10F660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p>
        </w:tc>
        <w:tc>
          <w:tcPr>
            <w:tcW w:w="977" w:type="dxa"/>
            <w:tcBorders>
              <w:top w:val="single" w:color="000000" w:sz="4" w:space="0"/>
              <w:left w:val="single" w:color="000000" w:sz="4" w:space="0"/>
              <w:bottom w:val="single" w:color="000000" w:sz="4" w:space="0"/>
              <w:right w:val="single" w:color="000000" w:sz="4" w:space="0"/>
            </w:tcBorders>
            <w:noWrap/>
            <w:vAlign w:val="center"/>
          </w:tcPr>
          <w:p w14:paraId="3D131A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批</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2D311D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2E145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50" w:type="dxa"/>
            <w:vMerge w:val="restart"/>
            <w:tcBorders>
              <w:top w:val="single" w:color="000000" w:sz="4" w:space="0"/>
              <w:left w:val="single" w:color="000000" w:sz="4" w:space="0"/>
              <w:right w:val="single" w:color="000000" w:sz="4" w:space="0"/>
            </w:tcBorders>
            <w:noWrap/>
            <w:vAlign w:val="center"/>
          </w:tcPr>
          <w:p w14:paraId="1F93137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健身器材</w:t>
            </w:r>
          </w:p>
        </w:tc>
        <w:tc>
          <w:tcPr>
            <w:tcW w:w="1516" w:type="dxa"/>
            <w:tcBorders>
              <w:top w:val="single" w:color="000000" w:sz="4" w:space="0"/>
              <w:left w:val="single" w:color="000000" w:sz="4" w:space="0"/>
              <w:bottom w:val="single" w:color="auto" w:sz="4" w:space="0"/>
              <w:right w:val="single" w:color="000000" w:sz="4" w:space="0"/>
            </w:tcBorders>
            <w:noWrap/>
            <w:vAlign w:val="center"/>
          </w:tcPr>
          <w:p w14:paraId="1BE258C1">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扭腰器</w:t>
            </w:r>
          </w:p>
        </w:tc>
        <w:tc>
          <w:tcPr>
            <w:tcW w:w="5376" w:type="dxa"/>
            <w:tcBorders>
              <w:top w:val="single" w:color="000000" w:sz="4" w:space="0"/>
              <w:left w:val="single" w:color="000000" w:sz="4" w:space="0"/>
              <w:bottom w:val="single" w:color="auto" w:sz="4" w:space="0"/>
              <w:right w:val="single" w:color="000000" w:sz="4" w:space="0"/>
            </w:tcBorders>
            <w:noWrap w:val="0"/>
            <w:vAlign w:val="center"/>
          </w:tcPr>
          <w:p w14:paraId="2FACB5A7">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器材尺寸符合《健身器材室外健身器材的安全通用标准》（GB19272-2011）要求；</w:t>
            </w:r>
          </w:p>
          <w:p w14:paraId="2A3064DC">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1)主要承载立柱采用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sz w:val="21"/>
                <w:szCs w:val="21"/>
                <w:highlight w:val="none"/>
              </w:rPr>
              <w:t>Φ114mm、厚度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sz w:val="21"/>
                <w:szCs w:val="21"/>
                <w:highlight w:val="none"/>
              </w:rPr>
              <w:t>3mm标准管材,并与其他管材同时满足GB19272-2011标准中相关静载荷、稳定性及疲劳性试验要求；</w:t>
            </w:r>
          </w:p>
          <w:p w14:paraId="1BD3F138">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2)扭腰盘主立柱管采用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sz w:val="21"/>
                <w:szCs w:val="21"/>
                <w:highlight w:val="none"/>
              </w:rPr>
              <w:t>Φ76*3mm，扶手管为</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sz w:val="21"/>
                <w:szCs w:val="21"/>
                <w:highlight w:val="none"/>
              </w:rPr>
              <w:t>Φ32×3mm</w:t>
            </w:r>
          </w:p>
          <w:p w14:paraId="330067B8">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3)脚踏部位有防滑措施，双脚站立防滑面，摩擦系数</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sz w:val="21"/>
                <w:szCs w:val="21"/>
                <w:highlight w:val="none"/>
              </w:rPr>
              <w:t>0.5；</w:t>
            </w:r>
          </w:p>
          <w:p w14:paraId="7CACCFA6">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bCs/>
                <w:color w:val="auto"/>
                <w:sz w:val="21"/>
                <w:szCs w:val="21"/>
                <w:highlight w:val="none"/>
                <w:lang w:val="en-US" w:eastAsia="zh-CN" w:bidi="ar-SA"/>
              </w:rPr>
            </w:pPr>
            <w:r>
              <w:rPr>
                <w:rFonts w:hint="eastAsia" w:asciiTheme="minorEastAsia" w:hAnsiTheme="minorEastAsia" w:eastAsiaTheme="minorEastAsia" w:cstheme="minorEastAsia"/>
                <w:color w:val="auto"/>
                <w:spacing w:val="8"/>
                <w:sz w:val="21"/>
                <w:szCs w:val="21"/>
                <w:highlight w:val="none"/>
              </w:rPr>
              <w:t>4)主要承载立柱采用直接埋入地下的结构，立柱埋入深度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sz w:val="21"/>
                <w:szCs w:val="21"/>
                <w:highlight w:val="none"/>
              </w:rPr>
              <w:t>500mm，</w:t>
            </w:r>
          </w:p>
        </w:tc>
        <w:tc>
          <w:tcPr>
            <w:tcW w:w="977" w:type="dxa"/>
            <w:tcBorders>
              <w:top w:val="single" w:color="000000" w:sz="4" w:space="0"/>
              <w:left w:val="single" w:color="000000" w:sz="4" w:space="0"/>
              <w:bottom w:val="single" w:color="auto" w:sz="4" w:space="0"/>
              <w:right w:val="single" w:color="000000" w:sz="4" w:space="0"/>
            </w:tcBorders>
            <w:noWrap/>
            <w:vAlign w:val="center"/>
          </w:tcPr>
          <w:p w14:paraId="5C5F7467">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2</w:t>
            </w:r>
          </w:p>
        </w:tc>
        <w:tc>
          <w:tcPr>
            <w:tcW w:w="1031" w:type="dxa"/>
            <w:tcBorders>
              <w:top w:val="single" w:color="000000" w:sz="4" w:space="0"/>
              <w:left w:val="single" w:color="000000" w:sz="4" w:space="0"/>
              <w:bottom w:val="single" w:color="auto" w:sz="4" w:space="0"/>
              <w:right w:val="single" w:color="000000" w:sz="4" w:space="0"/>
            </w:tcBorders>
            <w:noWrap/>
            <w:vAlign w:val="center"/>
          </w:tcPr>
          <w:p w14:paraId="529C9AE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33A7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50" w:type="dxa"/>
            <w:vMerge w:val="continue"/>
            <w:tcBorders>
              <w:left w:val="single" w:color="000000" w:sz="4" w:space="0"/>
              <w:right w:val="single" w:color="000000" w:sz="4" w:space="0"/>
            </w:tcBorders>
            <w:noWrap w:val="0"/>
            <w:vAlign w:val="top"/>
          </w:tcPr>
          <w:p w14:paraId="3BEA3E8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11D2732">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压腿按摩器</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37A463D6">
            <w:pPr>
              <w:keepNext w:val="0"/>
              <w:keepLines w:val="0"/>
              <w:pageBreakBefore w:val="0"/>
              <w:kinsoku/>
              <w:wordWrap/>
              <w:overflowPunct/>
              <w:topLinePunct w:val="0"/>
              <w:autoSpaceDE/>
              <w:autoSpaceDN/>
              <w:bidi w:val="0"/>
              <w:adjustRightInd/>
              <w:snapToGrid/>
              <w:spacing w:line="400" w:lineRule="exact"/>
              <w:ind w:left="0"/>
              <w:jc w:val="both"/>
              <w:textAlignment w:val="auto"/>
              <w:rPr>
                <w:rFonts w:hint="eastAsia" w:asciiTheme="minorEastAsia" w:hAnsiTheme="minorEastAsia" w:eastAsiaTheme="minorEastAsia" w:cstheme="minorEastAsia"/>
                <w:color w:val="auto"/>
                <w:spacing w:val="8"/>
                <w:kern w:val="2"/>
                <w:sz w:val="21"/>
                <w:szCs w:val="21"/>
                <w:highlight w:val="none"/>
                <w:lang w:val="en-US" w:eastAsia="en-US" w:bidi="ar-SA"/>
              </w:rPr>
            </w:pPr>
            <w:r>
              <w:rPr>
                <w:rFonts w:hint="eastAsia" w:asciiTheme="minorEastAsia" w:hAnsiTheme="minorEastAsia" w:eastAsiaTheme="minorEastAsia" w:cstheme="minorEastAsia"/>
                <w:color w:val="auto"/>
                <w:spacing w:val="8"/>
                <w:kern w:val="2"/>
                <w:sz w:val="21"/>
                <w:szCs w:val="21"/>
                <w:highlight w:val="none"/>
                <w:lang w:val="en-US" w:eastAsia="en-US" w:bidi="ar-SA"/>
              </w:rPr>
              <w:t>器材尺寸符合《健身器材室外健身器材的安全通用标准》（GB19272-2011）要求；</w:t>
            </w:r>
          </w:p>
          <w:p w14:paraId="2737EAEE">
            <w:pPr>
              <w:keepNext w:val="0"/>
              <w:keepLines w:val="0"/>
              <w:pageBreakBefore w:val="0"/>
              <w:kinsoku/>
              <w:wordWrap/>
              <w:overflowPunct/>
              <w:topLinePunct w:val="0"/>
              <w:autoSpaceDE/>
              <w:autoSpaceDN/>
              <w:bidi w:val="0"/>
              <w:adjustRightInd/>
              <w:snapToGrid/>
              <w:spacing w:line="400" w:lineRule="exact"/>
              <w:ind w:left="0"/>
              <w:jc w:val="both"/>
              <w:textAlignment w:val="auto"/>
              <w:rPr>
                <w:rFonts w:hint="eastAsia" w:asciiTheme="minorEastAsia" w:hAnsiTheme="minorEastAsia" w:eastAsiaTheme="minorEastAsia" w:cstheme="minorEastAsia"/>
                <w:color w:val="auto"/>
                <w:spacing w:val="8"/>
                <w:kern w:val="2"/>
                <w:sz w:val="21"/>
                <w:szCs w:val="21"/>
                <w:highlight w:val="none"/>
                <w:lang w:val="en-US" w:eastAsia="en-US" w:bidi="ar-SA"/>
              </w:rPr>
            </w:pPr>
            <w:r>
              <w:rPr>
                <w:rFonts w:hint="eastAsia" w:asciiTheme="minorEastAsia" w:hAnsiTheme="minorEastAsia" w:eastAsiaTheme="minorEastAsia" w:cstheme="minorEastAsia"/>
                <w:color w:val="auto"/>
                <w:spacing w:val="8"/>
                <w:kern w:val="2"/>
                <w:sz w:val="21"/>
                <w:szCs w:val="21"/>
                <w:highlight w:val="none"/>
                <w:lang w:val="en-US" w:eastAsia="zh-CN" w:bidi="ar-SA"/>
              </w:rPr>
              <w:t>1、</w:t>
            </w:r>
            <w:r>
              <w:rPr>
                <w:rFonts w:hint="eastAsia" w:asciiTheme="minorEastAsia" w:hAnsiTheme="minorEastAsia" w:eastAsiaTheme="minorEastAsia" w:cstheme="minorEastAsia"/>
                <w:color w:val="auto"/>
                <w:spacing w:val="8"/>
                <w:kern w:val="2"/>
                <w:sz w:val="21"/>
                <w:szCs w:val="21"/>
                <w:highlight w:val="none"/>
                <w:lang w:val="en-US" w:eastAsia="en-US" w:bidi="ar-SA"/>
              </w:rPr>
              <w:t>立柱规格</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kern w:val="2"/>
                <w:sz w:val="21"/>
                <w:szCs w:val="21"/>
                <w:highlight w:val="none"/>
                <w:lang w:val="en-US" w:eastAsia="en-US" w:bidi="ar-SA"/>
              </w:rPr>
              <w:t>Φ114×3(mm)；</w:t>
            </w:r>
          </w:p>
          <w:p w14:paraId="3E16EC1F">
            <w:pPr>
              <w:keepNext w:val="0"/>
              <w:keepLines w:val="0"/>
              <w:pageBreakBefore w:val="0"/>
              <w:kinsoku/>
              <w:wordWrap/>
              <w:overflowPunct/>
              <w:topLinePunct w:val="0"/>
              <w:autoSpaceDE/>
              <w:autoSpaceDN/>
              <w:bidi w:val="0"/>
              <w:adjustRightInd/>
              <w:snapToGrid/>
              <w:spacing w:line="400" w:lineRule="exact"/>
              <w:ind w:left="0"/>
              <w:jc w:val="both"/>
              <w:textAlignment w:val="auto"/>
              <w:rPr>
                <w:rFonts w:hint="eastAsia" w:asciiTheme="minorEastAsia" w:hAnsiTheme="minorEastAsia" w:eastAsiaTheme="minorEastAsia" w:cstheme="minorEastAsia"/>
                <w:bCs/>
                <w:color w:val="auto"/>
                <w:sz w:val="21"/>
                <w:szCs w:val="21"/>
                <w:highlight w:val="none"/>
                <w:lang w:val="en-US" w:eastAsia="zh-CN" w:bidi="zh-CN"/>
              </w:rPr>
            </w:pPr>
            <w:r>
              <w:rPr>
                <w:rFonts w:hint="eastAsia" w:asciiTheme="minorEastAsia" w:hAnsiTheme="minorEastAsia" w:eastAsiaTheme="minorEastAsia" w:cstheme="minorEastAsia"/>
                <w:color w:val="auto"/>
                <w:spacing w:val="8"/>
                <w:kern w:val="2"/>
                <w:sz w:val="21"/>
                <w:szCs w:val="21"/>
                <w:highlight w:val="none"/>
                <w:lang w:val="en-US" w:eastAsia="zh-CN" w:bidi="ar-SA"/>
              </w:rPr>
              <w:t>2、</w:t>
            </w:r>
            <w:r>
              <w:rPr>
                <w:rFonts w:hint="eastAsia" w:asciiTheme="minorEastAsia" w:hAnsiTheme="minorEastAsia" w:eastAsiaTheme="minorEastAsia" w:cstheme="minorEastAsia"/>
                <w:color w:val="auto"/>
                <w:spacing w:val="8"/>
                <w:kern w:val="2"/>
                <w:sz w:val="21"/>
                <w:szCs w:val="21"/>
                <w:highlight w:val="none"/>
                <w:lang w:val="en-US" w:eastAsia="en-US" w:bidi="ar-SA"/>
              </w:rPr>
              <w:t>主要承载横梁</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kern w:val="2"/>
                <w:sz w:val="21"/>
                <w:szCs w:val="21"/>
                <w:highlight w:val="none"/>
                <w:lang w:val="en-US" w:eastAsia="en-US" w:bidi="ar-SA"/>
              </w:rPr>
              <w:t>Φ42×3(mm)；</w:t>
            </w:r>
            <w:r>
              <w:rPr>
                <w:rFonts w:hint="eastAsia" w:asciiTheme="minorEastAsia" w:hAnsiTheme="minorEastAsia" w:eastAsiaTheme="minorEastAsia" w:cstheme="minorEastAsia"/>
                <w:color w:val="auto"/>
                <w:spacing w:val="8"/>
                <w:kern w:val="2"/>
                <w:sz w:val="21"/>
                <w:szCs w:val="21"/>
                <w:highlight w:val="none"/>
                <w:lang w:val="en-US" w:eastAsia="en-US" w:bidi="ar-SA"/>
              </w:rPr>
              <w:br w:type="textWrapping"/>
            </w:r>
            <w:r>
              <w:rPr>
                <w:rFonts w:hint="eastAsia" w:asciiTheme="minorEastAsia" w:hAnsiTheme="minorEastAsia" w:eastAsiaTheme="minorEastAsia" w:cstheme="minorEastAsia"/>
                <w:color w:val="auto"/>
                <w:spacing w:val="8"/>
                <w:kern w:val="2"/>
                <w:sz w:val="21"/>
                <w:szCs w:val="21"/>
                <w:highlight w:val="none"/>
                <w:lang w:val="en-US" w:eastAsia="en-US" w:bidi="ar-SA"/>
              </w:rPr>
              <w:t>3、器材各支撑人体的表面所有棱边和尖角使其半径</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kern w:val="2"/>
                <w:sz w:val="21"/>
                <w:szCs w:val="21"/>
                <w:highlight w:val="none"/>
                <w:lang w:val="en-US" w:eastAsia="en-US" w:bidi="ar-SA"/>
              </w:rPr>
              <w:t>3mm；</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5B2331B2">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2</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3585C1E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1DF4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noWrap w:val="0"/>
            <w:vAlign w:val="top"/>
          </w:tcPr>
          <w:p w14:paraId="23830BF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1BFB7A1">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骑马器</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209419FA">
            <w:pPr>
              <w:keepNext w:val="0"/>
              <w:keepLines w:val="0"/>
              <w:pageBreakBefore w:val="0"/>
              <w:widowControl/>
              <w:kinsoku/>
              <w:wordWrap/>
              <w:overflowPunct/>
              <w:topLinePunct w:val="0"/>
              <w:autoSpaceDE/>
              <w:autoSpaceDN/>
              <w:bidi w:val="0"/>
              <w:adjustRightInd/>
              <w:snapToGrid/>
              <w:spacing w:line="400" w:lineRule="exact"/>
              <w:ind w:left="0"/>
              <w:jc w:val="left"/>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器材尺寸符合《健身器材室外健身器材的安全通用标准》（GB19272-2011）要求；</w:t>
            </w:r>
          </w:p>
          <w:p w14:paraId="42B4987B">
            <w:pPr>
              <w:keepNext w:val="0"/>
              <w:keepLines w:val="0"/>
              <w:pageBreakBefore w:val="0"/>
              <w:widowControl/>
              <w:kinsoku/>
              <w:wordWrap/>
              <w:overflowPunct/>
              <w:topLinePunct w:val="0"/>
              <w:autoSpaceDE/>
              <w:autoSpaceDN/>
              <w:bidi w:val="0"/>
              <w:adjustRightInd/>
              <w:snapToGrid/>
              <w:spacing w:line="400" w:lineRule="exact"/>
              <w:ind w:left="0"/>
              <w:jc w:val="left"/>
              <w:textAlignment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1、立柱规格</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rPr>
              <w:t>Φ114×3(mm)；</w:t>
            </w:r>
          </w:p>
          <w:p w14:paraId="2E114E38">
            <w:pPr>
              <w:keepNext w:val="0"/>
              <w:keepLines w:val="0"/>
              <w:pageBreakBefore w:val="0"/>
              <w:widowControl/>
              <w:kinsoku/>
              <w:wordWrap/>
              <w:overflowPunct/>
              <w:topLinePunct w:val="0"/>
              <w:autoSpaceDE/>
              <w:autoSpaceDN/>
              <w:bidi w:val="0"/>
              <w:adjustRightInd/>
              <w:snapToGrid/>
              <w:spacing w:line="400" w:lineRule="exact"/>
              <w:ind w:left="0"/>
              <w:jc w:val="left"/>
              <w:textAlignment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2、主要承载横梁</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rPr>
              <w:t>Φ60×3(mm)；</w:t>
            </w:r>
          </w:p>
          <w:p w14:paraId="2EC04870">
            <w:pPr>
              <w:keepNext w:val="0"/>
              <w:keepLines w:val="0"/>
              <w:pageBreakBefore w:val="0"/>
              <w:widowControl/>
              <w:kinsoku/>
              <w:wordWrap/>
              <w:overflowPunct/>
              <w:topLinePunct w:val="0"/>
              <w:autoSpaceDE/>
              <w:autoSpaceDN/>
              <w:bidi w:val="0"/>
              <w:adjustRightInd/>
              <w:snapToGrid/>
              <w:spacing w:line="400" w:lineRule="exact"/>
              <w:ind w:left="0"/>
              <w:jc w:val="left"/>
              <w:textAlignment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3、座板板材壁厚</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rPr>
              <w:t>4mm；</w:t>
            </w:r>
          </w:p>
          <w:p w14:paraId="7DEBABCA">
            <w:pPr>
              <w:keepNext w:val="0"/>
              <w:keepLines w:val="0"/>
              <w:pageBreakBefore w:val="0"/>
              <w:widowControl/>
              <w:kinsoku/>
              <w:wordWrap/>
              <w:overflowPunct/>
              <w:topLinePunct w:val="0"/>
              <w:autoSpaceDE/>
              <w:autoSpaceDN/>
              <w:bidi w:val="0"/>
              <w:adjustRightInd/>
              <w:snapToGrid/>
              <w:spacing w:line="400" w:lineRule="exact"/>
              <w:ind w:left="0"/>
              <w:jc w:val="left"/>
              <w:textAlignment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4、脚或腿的卡夹（活动部件底面与地面或其它部件的间距）</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rPr>
              <w:t>80mm；</w:t>
            </w:r>
          </w:p>
          <w:p w14:paraId="2CF4E0D1">
            <w:pPr>
              <w:keepNext w:val="0"/>
              <w:keepLines w:val="0"/>
              <w:pageBreakBefore w:val="0"/>
              <w:widowControl/>
              <w:kinsoku/>
              <w:wordWrap/>
              <w:overflowPunct/>
              <w:topLinePunct w:val="0"/>
              <w:autoSpaceDE/>
              <w:autoSpaceDN/>
              <w:bidi w:val="0"/>
              <w:adjustRightInd/>
              <w:snapToGrid/>
              <w:spacing w:line="400" w:lineRule="exact"/>
              <w:ind w:left="0"/>
              <w:jc w:val="left"/>
              <w:textAlignment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5、活动部件下底面距地面距离（净高度）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kern w:val="0"/>
                <w:sz w:val="21"/>
                <w:szCs w:val="21"/>
                <w:highlight w:val="none"/>
              </w:rPr>
              <w:t>400mm；</w:t>
            </w:r>
          </w:p>
          <w:p w14:paraId="3DCB3253">
            <w:pPr>
              <w:keepNext w:val="0"/>
              <w:keepLines w:val="0"/>
              <w:pageBreakBefore w:val="0"/>
              <w:widowControl/>
              <w:kinsoku/>
              <w:wordWrap/>
              <w:overflowPunct/>
              <w:topLinePunct w:val="0"/>
              <w:autoSpaceDE/>
              <w:autoSpaceDN/>
              <w:bidi w:val="0"/>
              <w:adjustRightInd/>
              <w:snapToGrid/>
              <w:spacing w:line="400" w:lineRule="exact"/>
              <w:ind w:left="0"/>
              <w:jc w:val="left"/>
              <w:textAlignment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6、手把握持位置有纹理表面，脚踏部位具有防滑措施，具有限位缓冲装置；</w:t>
            </w:r>
          </w:p>
          <w:p w14:paraId="7C8BB9F5">
            <w:pPr>
              <w:keepNext w:val="0"/>
              <w:keepLines w:val="0"/>
              <w:pageBreakBefore w:val="0"/>
              <w:widowControl/>
              <w:kinsoku/>
              <w:wordWrap/>
              <w:overflowPunct/>
              <w:topLinePunct w:val="0"/>
              <w:autoSpaceDE/>
              <w:autoSpaceDN/>
              <w:bidi w:val="0"/>
              <w:adjustRightInd/>
              <w:snapToGrid/>
              <w:spacing w:line="400" w:lineRule="exact"/>
              <w:ind w:left="0"/>
              <w:jc w:val="left"/>
              <w:textAlignment w:val="center"/>
              <w:rPr>
                <w:rFonts w:hint="eastAsia" w:asciiTheme="minorEastAsia" w:hAnsiTheme="minorEastAsia" w:eastAsiaTheme="minorEastAsia" w:cstheme="minorEastAsia"/>
                <w:color w:val="auto"/>
                <w:sz w:val="21"/>
                <w:szCs w:val="21"/>
                <w:highlight w:val="none"/>
                <w:lang w:val="en-US" w:eastAsia="zh-CN" w:bidi="zh-CN"/>
              </w:rPr>
            </w:pPr>
            <w:r>
              <w:rPr>
                <w:rFonts w:hint="eastAsia" w:asciiTheme="minorEastAsia" w:hAnsiTheme="minorEastAsia" w:eastAsiaTheme="minorEastAsia" w:cstheme="minorEastAsia"/>
                <w:color w:val="auto"/>
                <w:kern w:val="0"/>
                <w:sz w:val="21"/>
                <w:szCs w:val="21"/>
                <w:highlight w:val="none"/>
              </w:rPr>
              <w:t>7、立柱采用焊接式钢制封头；</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298D7B20">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2</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79871A3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51106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noWrap w:val="0"/>
            <w:vAlign w:val="top"/>
          </w:tcPr>
          <w:p w14:paraId="44E9468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D0E5417">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双位坐蹬器</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33F07D70">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器材尺寸符合《健身器材室外健身器材的安全通用标准》（</w:t>
            </w:r>
            <w:r>
              <w:rPr>
                <w:rFonts w:hint="eastAsia" w:asciiTheme="minorEastAsia" w:hAnsiTheme="minorEastAsia" w:eastAsiaTheme="minorEastAsia" w:cstheme="minorEastAsia"/>
                <w:color w:val="auto"/>
                <w:sz w:val="21"/>
                <w:szCs w:val="21"/>
                <w:highlight w:val="none"/>
              </w:rPr>
              <w:t>GB</w:t>
            </w:r>
            <w:r>
              <w:rPr>
                <w:rFonts w:hint="eastAsia" w:asciiTheme="minorEastAsia" w:hAnsiTheme="minorEastAsia" w:eastAsiaTheme="minorEastAsia" w:cstheme="minorEastAsia"/>
                <w:color w:val="auto"/>
                <w:spacing w:val="8"/>
                <w:sz w:val="21"/>
                <w:szCs w:val="21"/>
                <w:highlight w:val="none"/>
              </w:rPr>
              <w:t>19272-2011）要求；</w:t>
            </w:r>
          </w:p>
          <w:p w14:paraId="363A6EF4">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1）主要承载立柱采用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sz w:val="21"/>
                <w:szCs w:val="21"/>
                <w:highlight w:val="none"/>
              </w:rPr>
              <w:t>Φ114</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8"/>
                <w:sz w:val="21"/>
                <w:szCs w:val="21"/>
                <w:highlight w:val="none"/>
              </w:rPr>
              <w:t>、厚度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sz w:val="21"/>
                <w:szCs w:val="21"/>
                <w:highlight w:val="none"/>
              </w:rPr>
              <w:t>3</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8"/>
                <w:sz w:val="21"/>
                <w:szCs w:val="21"/>
                <w:highlight w:val="none"/>
              </w:rPr>
              <w:t>标准管材。</w:t>
            </w:r>
          </w:p>
          <w:p w14:paraId="306CFC99">
            <w:pPr>
              <w:pStyle w:val="130"/>
              <w:keepNext w:val="0"/>
              <w:keepLines w:val="0"/>
              <w:pageBreakBefore w:val="0"/>
              <w:kinsoku/>
              <w:wordWrap/>
              <w:overflowPunct/>
              <w:topLinePunct w:val="0"/>
              <w:autoSpaceDE/>
              <w:autoSpaceDN/>
              <w:bidi w:val="0"/>
              <w:adjustRightInd/>
              <w:snapToGrid/>
              <w:spacing w:line="400" w:lineRule="exact"/>
              <w:ind w:left="0" w:right="178" w:firstLine="4"/>
              <w:rPr>
                <w:rFonts w:hint="eastAsia" w:asciiTheme="minorEastAsia" w:hAnsiTheme="minorEastAsia" w:eastAsiaTheme="minorEastAsia" w:cstheme="minorEastAsia"/>
                <w:color w:val="auto"/>
                <w:sz w:val="21"/>
                <w:szCs w:val="21"/>
                <w:highlight w:val="none"/>
                <w:lang w:val="en-US" w:eastAsia="zh-CN" w:bidi="zh-CN"/>
              </w:rPr>
            </w:pPr>
            <w:r>
              <w:rPr>
                <w:rFonts w:hint="eastAsia" w:asciiTheme="minorEastAsia" w:hAnsiTheme="minorEastAsia" w:eastAsiaTheme="minorEastAsia" w:cstheme="minorEastAsia"/>
                <w:color w:val="auto"/>
                <w:spacing w:val="9"/>
                <w:sz w:val="21"/>
                <w:szCs w:val="21"/>
                <w:highlight w:val="none"/>
              </w:rPr>
              <w:t>2）承载管规格</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9"/>
                <w:sz w:val="21"/>
                <w:szCs w:val="21"/>
                <w:highlight w:val="none"/>
              </w:rPr>
              <w:t>Φ89×3</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9"/>
                <w:sz w:val="21"/>
                <w:szCs w:val="21"/>
                <w:highlight w:val="none"/>
              </w:rPr>
              <w:t>钢管；立柱顶部采用钢制封头焊接；棱边和</w:t>
            </w:r>
            <w:r>
              <w:rPr>
                <w:rFonts w:hint="eastAsia" w:asciiTheme="minorEastAsia" w:hAnsiTheme="minorEastAsia" w:eastAsiaTheme="minorEastAsia" w:cstheme="minorEastAsia"/>
                <w:color w:val="auto"/>
                <w:spacing w:val="8"/>
                <w:sz w:val="21"/>
                <w:szCs w:val="21"/>
                <w:highlight w:val="none"/>
              </w:rPr>
              <w:t>棱角半径</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sz w:val="21"/>
                <w:szCs w:val="21"/>
                <w:highlight w:val="none"/>
              </w:rPr>
              <w:t>3.0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8"/>
                <w:sz w:val="21"/>
                <w:szCs w:val="21"/>
                <w:highlight w:val="none"/>
              </w:rPr>
              <w:t>；轴承座支架、耳片</w:t>
            </w:r>
            <w:r>
              <w:rPr>
                <w:rFonts w:hint="eastAsia" w:asciiTheme="minorEastAsia" w:hAnsiTheme="minorEastAsia" w:eastAsiaTheme="minorEastAsia" w:cstheme="minorEastAsia"/>
                <w:color w:val="auto"/>
                <w:spacing w:val="10"/>
                <w:sz w:val="21"/>
                <w:szCs w:val="21"/>
                <w:highlight w:val="none"/>
              </w:rPr>
              <w:t>壁厚</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10"/>
                <w:sz w:val="21"/>
                <w:szCs w:val="21"/>
                <w:highlight w:val="none"/>
              </w:rPr>
              <w:t>8</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10"/>
                <w:sz w:val="21"/>
                <w:szCs w:val="21"/>
                <w:highlight w:val="none"/>
              </w:rPr>
              <w:t>；摆臂与主立柱间距</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10"/>
                <w:sz w:val="21"/>
                <w:szCs w:val="21"/>
                <w:highlight w:val="none"/>
              </w:rPr>
              <w:t>230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10"/>
                <w:sz w:val="21"/>
                <w:szCs w:val="21"/>
                <w:highlight w:val="none"/>
              </w:rPr>
              <w:t>，无挤压卡夹危险；不允许存在剪切点、挤压点、引</w:t>
            </w:r>
            <w:r>
              <w:rPr>
                <w:rFonts w:hint="eastAsia" w:asciiTheme="minorEastAsia" w:hAnsiTheme="minorEastAsia" w:eastAsiaTheme="minorEastAsia" w:cstheme="minorEastAsia"/>
                <w:color w:val="auto"/>
                <w:spacing w:val="9"/>
                <w:sz w:val="21"/>
                <w:szCs w:val="21"/>
                <w:highlight w:val="none"/>
              </w:rPr>
              <w:t>入点，不允许存在刚性</w:t>
            </w:r>
            <w:r>
              <w:rPr>
                <w:rFonts w:hint="eastAsia" w:asciiTheme="minorEastAsia" w:hAnsiTheme="minorEastAsia" w:eastAsiaTheme="minorEastAsia" w:cstheme="minorEastAsia"/>
                <w:color w:val="auto"/>
                <w:spacing w:val="10"/>
                <w:sz w:val="21"/>
                <w:szCs w:val="21"/>
                <w:highlight w:val="none"/>
              </w:rPr>
              <w:t>碰撞；座板距地面</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10"/>
                <w:sz w:val="21"/>
                <w:szCs w:val="21"/>
                <w:highlight w:val="none"/>
              </w:rPr>
              <w:t>400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10"/>
                <w:sz w:val="21"/>
                <w:szCs w:val="21"/>
                <w:highlight w:val="none"/>
              </w:rPr>
              <w:t>，无卡夹危险；脚踏部位</w:t>
            </w:r>
            <w:r>
              <w:rPr>
                <w:rFonts w:hint="eastAsia" w:asciiTheme="minorEastAsia" w:hAnsiTheme="minorEastAsia" w:eastAsiaTheme="minorEastAsia" w:cstheme="minorEastAsia"/>
                <w:color w:val="auto"/>
                <w:spacing w:val="9"/>
                <w:sz w:val="21"/>
                <w:szCs w:val="21"/>
                <w:highlight w:val="none"/>
              </w:rPr>
              <w:t>有防滑措施；摩擦系数</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9"/>
                <w:sz w:val="21"/>
                <w:szCs w:val="21"/>
                <w:highlight w:val="none"/>
              </w:rPr>
              <w:t>0.5；紧固件具有防盗、防锈、防松功能，需专用工具方可拆卸；涂层、橡胶、塑料件有害物质限量符合</w:t>
            </w:r>
            <w:r>
              <w:rPr>
                <w:rFonts w:hint="eastAsia" w:asciiTheme="minorEastAsia" w:hAnsiTheme="minorEastAsia" w:eastAsiaTheme="minorEastAsia" w:cstheme="minorEastAsia"/>
                <w:color w:val="auto"/>
                <w:sz w:val="21"/>
                <w:szCs w:val="21"/>
                <w:highlight w:val="none"/>
              </w:rPr>
              <w:t>GB</w:t>
            </w:r>
            <w:r>
              <w:rPr>
                <w:rFonts w:hint="eastAsia" w:asciiTheme="minorEastAsia" w:hAnsiTheme="minorEastAsia" w:eastAsiaTheme="minorEastAsia" w:cstheme="minorEastAsia"/>
                <w:color w:val="auto"/>
                <w:spacing w:val="9"/>
                <w:sz w:val="21"/>
                <w:szCs w:val="21"/>
                <w:highlight w:val="none"/>
              </w:rPr>
              <w:t>19272-2</w:t>
            </w:r>
            <w:r>
              <w:rPr>
                <w:rFonts w:hint="eastAsia" w:asciiTheme="minorEastAsia" w:hAnsiTheme="minorEastAsia" w:eastAsiaTheme="minorEastAsia" w:cstheme="minorEastAsia"/>
                <w:color w:val="auto"/>
                <w:spacing w:val="8"/>
                <w:sz w:val="21"/>
                <w:szCs w:val="21"/>
                <w:highlight w:val="none"/>
              </w:rPr>
              <w:t>011中5.2.6的要求；安装采用直埋方式</w:t>
            </w:r>
            <w:r>
              <w:rPr>
                <w:rFonts w:hint="eastAsia" w:asciiTheme="minorEastAsia" w:hAnsiTheme="minorEastAsia" w:eastAsiaTheme="minorEastAsia" w:cstheme="minorEastAsia"/>
                <w:color w:val="auto"/>
                <w:spacing w:val="5"/>
                <w:sz w:val="21"/>
                <w:szCs w:val="21"/>
                <w:highlight w:val="none"/>
              </w:rPr>
              <w:t>,单根立柱埋地尺寸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5"/>
                <w:sz w:val="21"/>
                <w:szCs w:val="21"/>
                <w:highlight w:val="none"/>
              </w:rPr>
              <w:t>（500）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5"/>
                <w:sz w:val="21"/>
                <w:szCs w:val="21"/>
                <w:highlight w:val="none"/>
              </w:rPr>
              <w:t>；</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7C5CCB99">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2</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20ACB5A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93E9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noWrap w:val="0"/>
            <w:vAlign w:val="top"/>
          </w:tcPr>
          <w:p w14:paraId="60318FC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5ADA9E57">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二位太空漫步机</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270392BA">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器材尺寸符合《健身器材室外健身器材的安全通用标准》（GB19272-2011）要求；</w:t>
            </w:r>
          </w:p>
          <w:p w14:paraId="7017D3CA">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1)摆杆不能存在刚性碰撞，轴承能满足GB19272-2011中5.12.2.3.6冲击试验要求.</w:t>
            </w:r>
          </w:p>
          <w:p w14:paraId="5DC6B0D5">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2)主要承载立柱采用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Φ114mm、厚度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3mm标准管材，主要承载横梁尺寸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：40*60*3.0mm；扶手管</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Φ42mm，表面经过酸洗磷化喷塑工艺，使用不锈钢防盗盖帽，并与其它管材同时满足GB19272-2011标准中相关静载荷、稳定性及疲劳性试验要求。</w:t>
            </w:r>
          </w:p>
          <w:p w14:paraId="40D31208">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3)摆杆与立柱内侧最小距离</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60mm。</w:t>
            </w:r>
          </w:p>
          <w:p w14:paraId="0F6035C5">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4)踏板的主运动方向和易滑脱方向设置高度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30mm、长度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踏板周长2/3的防滑脱的凸台或护板，凸台顶部棱边全部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2mm的R圆滑过渡。</w:t>
            </w:r>
          </w:p>
          <w:p w14:paraId="4132D66E">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5)脚踏部位有防滑措施，站立使用的单脚防滑面磨擦系数</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0.5。</w:t>
            </w:r>
          </w:p>
          <w:p w14:paraId="75947895">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6)摆动部件下缘距地面或底面最小高度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80mm，</w:t>
            </w:r>
          </w:p>
          <w:p w14:paraId="75B1B12F">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7)相邻运动的两踏板间的间距</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100mm，</w:t>
            </w:r>
          </w:p>
          <w:p w14:paraId="5E8E9F96">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8)主立柱采用钢制盖帽，以防止雨水淋入。</w:t>
            </w:r>
          </w:p>
          <w:p w14:paraId="4C35C6A7">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kern w:val="0"/>
                <w:sz w:val="21"/>
                <w:szCs w:val="21"/>
                <w:highlight w:val="none"/>
                <w:lang w:val="en-US" w:eastAsia="zh-CN" w:bidi="zh-CN"/>
              </w:rPr>
            </w:pPr>
            <w:r>
              <w:rPr>
                <w:rFonts w:hint="eastAsia" w:asciiTheme="minorEastAsia" w:hAnsiTheme="minorEastAsia" w:eastAsiaTheme="minorEastAsia" w:cstheme="minorEastAsia"/>
                <w:color w:val="auto"/>
                <w:sz w:val="21"/>
                <w:szCs w:val="21"/>
                <w:highlight w:val="none"/>
              </w:rPr>
              <w:t>9)主要承载立柱采用直埋方式，立柱埋地尺寸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500mm</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6F5E297B">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3</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4BB5FEB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11DE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noWrap w:val="0"/>
            <w:vAlign w:val="top"/>
          </w:tcPr>
          <w:p w14:paraId="77871BA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84989BB">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上肢牵引器</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3A41027A">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器材尺寸符合《健身器材室外健身器材的安全通用标准》（GB19272-2011）要求；</w:t>
            </w:r>
          </w:p>
          <w:p w14:paraId="24A4291B">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1、主要承载立柱采用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Φ114mm、厚度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3mm标准管材，其他管材同时满足GB19272-2011标准中相关静载荷、稳定性及疲劳性试验要求；</w:t>
            </w:r>
          </w:p>
          <w:p w14:paraId="6E302BD0">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2.器材活动连接处采用轴承连接，轴承直径</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φ25mm；</w:t>
            </w:r>
          </w:p>
          <w:p w14:paraId="22978A9C">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3.采用塑料把套，以增强使用时的舒适度感，手柄端部直径</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φ50mm;上肢牵引器活动把手（不含柔性部件）</w:t>
            </w:r>
            <w:r>
              <w:rPr>
                <w:rFonts w:hint="eastAsia" w:asciiTheme="minorEastAsia" w:hAnsiTheme="minorEastAsia" w:eastAsiaTheme="minorEastAsia" w:cstheme="minorEastAsia"/>
                <w:b w:val="0"/>
                <w:bCs w:val="0"/>
                <w:i w:val="0"/>
                <w:color w:val="auto"/>
                <w:spacing w:val="-2"/>
                <w:kern w:val="2"/>
                <w:sz w:val="21"/>
                <w:szCs w:val="21"/>
                <w:highlight w:val="none"/>
                <w:lang w:val="en-US" w:eastAsia="zh-CN" w:bidi="ar-SA"/>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600g;</w:t>
            </w:r>
          </w:p>
          <w:p w14:paraId="78C8F8ED">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4.器材承受主要载荷的牵索、连接钩环、连接接头的抗拉力</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14000N;</w:t>
            </w:r>
          </w:p>
          <w:p w14:paraId="13A5393C">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5.安装方式：采用直埋式埋地深度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600mm</w:t>
            </w:r>
          </w:p>
          <w:p w14:paraId="10CB2F75">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lang w:val="en-US" w:eastAsia="zh-CN" w:bidi="zh-CN"/>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6.地基尺寸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500×500×700mm</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61347889">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3</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5F3134F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87ED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noWrap w:val="0"/>
            <w:vAlign w:val="top"/>
          </w:tcPr>
          <w:p w14:paraId="7C16955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67A1868">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太极揉推器（铁盘）</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2BA46AD0">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器材尺寸符合《健身器材室外健身器材的安全通用标准》（</w:t>
            </w:r>
            <w:r>
              <w:rPr>
                <w:rFonts w:hint="eastAsia" w:asciiTheme="minorEastAsia" w:hAnsiTheme="minorEastAsia" w:eastAsiaTheme="minorEastAsia" w:cstheme="minorEastAsia"/>
                <w:color w:val="auto"/>
                <w:sz w:val="21"/>
                <w:szCs w:val="21"/>
                <w:highlight w:val="none"/>
              </w:rPr>
              <w:t>GB</w:t>
            </w:r>
            <w:r>
              <w:rPr>
                <w:rFonts w:hint="eastAsia" w:asciiTheme="minorEastAsia" w:hAnsiTheme="minorEastAsia" w:eastAsiaTheme="minorEastAsia" w:cstheme="minorEastAsia"/>
                <w:color w:val="auto"/>
                <w:spacing w:val="8"/>
                <w:sz w:val="21"/>
                <w:szCs w:val="21"/>
                <w:highlight w:val="none"/>
              </w:rPr>
              <w:t>19272-2011）要求；</w:t>
            </w:r>
          </w:p>
          <w:p w14:paraId="5672F4CD">
            <w:pPr>
              <w:pStyle w:val="130"/>
              <w:keepNext w:val="0"/>
              <w:keepLines w:val="0"/>
              <w:pageBreakBefore w:val="0"/>
              <w:kinsoku/>
              <w:wordWrap/>
              <w:overflowPunct/>
              <w:topLinePunct w:val="0"/>
              <w:autoSpaceDE/>
              <w:autoSpaceDN/>
              <w:bidi w:val="0"/>
              <w:adjustRightInd/>
              <w:snapToGrid/>
              <w:spacing w:line="400" w:lineRule="exact"/>
              <w:ind w:left="0" w:right="493" w:firstLine="1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1）主要承载立柱采用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9"/>
                <w:sz w:val="21"/>
                <w:szCs w:val="21"/>
                <w:highlight w:val="none"/>
              </w:rPr>
              <w:t>Φ114</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9"/>
                <w:sz w:val="21"/>
                <w:szCs w:val="21"/>
                <w:highlight w:val="none"/>
              </w:rPr>
              <w:t>、厚度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9"/>
                <w:sz w:val="21"/>
                <w:szCs w:val="21"/>
                <w:highlight w:val="none"/>
              </w:rPr>
              <w:t>3</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9"/>
                <w:sz w:val="21"/>
                <w:szCs w:val="21"/>
                <w:highlight w:val="none"/>
              </w:rPr>
              <w:t>标准管材，支撑管</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9"/>
                <w:sz w:val="21"/>
                <w:szCs w:val="21"/>
                <w:highlight w:val="none"/>
              </w:rPr>
              <w:t>φ60×3</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9"/>
                <w:sz w:val="21"/>
                <w:szCs w:val="21"/>
                <w:highlight w:val="none"/>
              </w:rPr>
              <w:t>，并与其他管材同时满足</w:t>
            </w:r>
            <w:r>
              <w:rPr>
                <w:rFonts w:hint="eastAsia" w:asciiTheme="minorEastAsia" w:hAnsiTheme="minorEastAsia" w:eastAsiaTheme="minorEastAsia" w:cstheme="minorEastAsia"/>
                <w:color w:val="auto"/>
                <w:sz w:val="21"/>
                <w:szCs w:val="21"/>
                <w:highlight w:val="none"/>
              </w:rPr>
              <w:t>GB</w:t>
            </w:r>
            <w:r>
              <w:rPr>
                <w:rFonts w:hint="eastAsia" w:asciiTheme="minorEastAsia" w:hAnsiTheme="minorEastAsia" w:eastAsiaTheme="minorEastAsia" w:cstheme="minorEastAsia"/>
                <w:color w:val="auto"/>
                <w:spacing w:val="8"/>
                <w:sz w:val="21"/>
                <w:szCs w:val="21"/>
                <w:highlight w:val="none"/>
              </w:rPr>
              <w:t>19272-2011标准中相关静载荷、稳定性及疲劳性试验要求；</w:t>
            </w:r>
          </w:p>
          <w:p w14:paraId="53F8B585">
            <w:pPr>
              <w:pStyle w:val="130"/>
              <w:keepNext w:val="0"/>
              <w:keepLines w:val="0"/>
              <w:pageBreakBefore w:val="0"/>
              <w:kinsoku/>
              <w:wordWrap/>
              <w:overflowPunct/>
              <w:topLinePunct w:val="0"/>
              <w:autoSpaceDE/>
              <w:autoSpaceDN/>
              <w:bidi w:val="0"/>
              <w:adjustRightInd/>
              <w:snapToGrid/>
              <w:spacing w:line="400" w:lineRule="exact"/>
              <w:ind w:left="0" w:right="17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2)转盘采用钢板整体冲压周边卷边成形直径在(φ440~φ450）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8"/>
                <w:sz w:val="21"/>
                <w:szCs w:val="21"/>
                <w:highlight w:val="none"/>
              </w:rPr>
              <w:t>,两转盘内侧距离</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sz w:val="21"/>
                <w:szCs w:val="21"/>
                <w:highlight w:val="none"/>
              </w:rPr>
              <w:t>230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8"/>
                <w:sz w:val="21"/>
                <w:szCs w:val="21"/>
                <w:highlight w:val="none"/>
              </w:rPr>
              <w:t>，转盘</w:t>
            </w:r>
            <w:r>
              <w:rPr>
                <w:rFonts w:hint="eastAsia" w:asciiTheme="minorEastAsia" w:hAnsiTheme="minorEastAsia" w:eastAsiaTheme="minorEastAsia" w:cstheme="minorEastAsia"/>
                <w:color w:val="auto"/>
                <w:spacing w:val="7"/>
                <w:sz w:val="21"/>
                <w:szCs w:val="21"/>
                <w:highlight w:val="none"/>
              </w:rPr>
              <w:t>轴直径</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9"/>
                <w:sz w:val="21"/>
                <w:szCs w:val="21"/>
                <w:highlight w:val="none"/>
              </w:rPr>
              <w:t>φ25</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9"/>
                <w:sz w:val="21"/>
                <w:szCs w:val="21"/>
                <w:highlight w:val="none"/>
              </w:rPr>
              <w:t>，材料采用45#钢；主立柱采用钢制盖帽，避免</w:t>
            </w:r>
            <w:r>
              <w:rPr>
                <w:rFonts w:hint="eastAsia" w:asciiTheme="minorEastAsia" w:hAnsiTheme="minorEastAsia" w:eastAsiaTheme="minorEastAsia" w:cstheme="minorEastAsia"/>
                <w:color w:val="auto"/>
                <w:spacing w:val="8"/>
                <w:sz w:val="21"/>
                <w:szCs w:val="21"/>
                <w:highlight w:val="none"/>
              </w:rPr>
              <w:t>雨水淋入；轴承位采用防水措施，转盘轴承室必须有封盖</w:t>
            </w:r>
            <w:r>
              <w:rPr>
                <w:rFonts w:hint="eastAsia" w:asciiTheme="minorEastAsia" w:hAnsiTheme="minorEastAsia" w:eastAsiaTheme="minorEastAsia" w:cstheme="minorEastAsia"/>
                <w:color w:val="auto"/>
                <w:spacing w:val="3"/>
                <w:sz w:val="21"/>
                <w:szCs w:val="21"/>
                <w:highlight w:val="none"/>
              </w:rPr>
              <w:t>,封盖与盘不得有相对运动；</w:t>
            </w:r>
          </w:p>
          <w:p w14:paraId="1B63A17D">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pacing w:val="8"/>
                <w:sz w:val="21"/>
                <w:szCs w:val="21"/>
                <w:highlight w:val="none"/>
              </w:rPr>
            </w:pPr>
            <w:r>
              <w:rPr>
                <w:rFonts w:hint="eastAsia" w:asciiTheme="minorEastAsia" w:hAnsiTheme="minorEastAsia" w:eastAsiaTheme="minorEastAsia" w:cstheme="minorEastAsia"/>
                <w:color w:val="auto"/>
                <w:spacing w:val="8"/>
                <w:sz w:val="21"/>
                <w:szCs w:val="21"/>
                <w:highlight w:val="none"/>
              </w:rPr>
              <w:t>3)安装采用直埋方式，立柱埋地尺寸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8"/>
                <w:sz w:val="21"/>
                <w:szCs w:val="21"/>
                <w:highlight w:val="none"/>
              </w:rPr>
              <w:t>500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8"/>
                <w:sz w:val="21"/>
                <w:szCs w:val="21"/>
                <w:highlight w:val="none"/>
              </w:rPr>
              <w:t>；</w:t>
            </w:r>
          </w:p>
          <w:p w14:paraId="07438D52">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z w:val="21"/>
                <w:szCs w:val="21"/>
                <w:highlight w:val="none"/>
                <w:lang w:val="en-US" w:eastAsia="zh-CN" w:bidi="zh-CN"/>
              </w:rPr>
            </w:pPr>
            <w:r>
              <w:rPr>
                <w:rFonts w:hint="eastAsia" w:asciiTheme="minorEastAsia" w:hAnsiTheme="minorEastAsia" w:eastAsiaTheme="minorEastAsia" w:cstheme="minorEastAsia"/>
                <w:color w:val="auto"/>
                <w:spacing w:val="7"/>
                <w:sz w:val="21"/>
                <w:szCs w:val="21"/>
                <w:highlight w:val="none"/>
              </w:rPr>
              <w:t>4)双人使用，转盘式；</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206CF26A">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3</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41925B4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845A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noWrap w:val="0"/>
            <w:vAlign w:val="top"/>
          </w:tcPr>
          <w:p w14:paraId="611AAC3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7DF9D984">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大转轮</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5A516E6D">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器材尺寸符合《健身器材室外健身器材的安全通用标准》（GB19272-2011）要求；</w:t>
            </w:r>
          </w:p>
          <w:p w14:paraId="1DFF15D1">
            <w:pPr>
              <w:keepNext w:val="0"/>
              <w:keepLines w:val="0"/>
              <w:pageBreakBefore w:val="0"/>
              <w:widowControl/>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sz w:val="21"/>
                <w:szCs w:val="21"/>
                <w:highlight w:val="none"/>
              </w:rPr>
              <w:t>主要承载立柱采用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Φ114mm、厚度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3mm标准管材，</w:t>
            </w:r>
            <w:r>
              <w:rPr>
                <w:rFonts w:hint="eastAsia" w:asciiTheme="minorEastAsia" w:hAnsiTheme="minorEastAsia" w:eastAsiaTheme="minorEastAsia" w:cstheme="minorEastAsia"/>
                <w:color w:val="auto"/>
                <w:kern w:val="0"/>
                <w:sz w:val="21"/>
                <w:szCs w:val="21"/>
                <w:highlight w:val="none"/>
              </w:rPr>
              <w:t>承载横梁选用</w:t>
            </w:r>
            <w:r>
              <w:rPr>
                <w:rFonts w:hint="eastAsia" w:asciiTheme="minorEastAsia" w:hAnsiTheme="minorEastAsia" w:eastAsiaTheme="minorEastAsia" w:cstheme="minorEastAsia"/>
                <w:color w:val="auto"/>
                <w:sz w:val="21"/>
                <w:szCs w:val="21"/>
                <w:highlight w:val="none"/>
              </w:rPr>
              <w:t>Φ76*3mm标准管材</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并与其他管材同时满足GB19272-2011标准中相关静载荷、稳定性及疲劳性试验要求，转动部位内置可靠的阻尼装置，阻尼力矩符合人体运动学规律；；</w:t>
            </w:r>
          </w:p>
          <w:p w14:paraId="1AAA4232">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kern w:val="0"/>
                <w:sz w:val="21"/>
                <w:szCs w:val="21"/>
                <w:highlight w:val="none"/>
              </w:rPr>
              <w:t>安装方式：直埋式。</w:t>
            </w:r>
          </w:p>
          <w:p w14:paraId="237BE730">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lang w:val="en-US" w:eastAsia="zh-CN" w:bidi="zh-CN"/>
              </w:rPr>
            </w:pPr>
            <w:r>
              <w:rPr>
                <w:rFonts w:hint="eastAsia" w:asciiTheme="minorEastAsia" w:hAnsiTheme="minorEastAsia" w:eastAsiaTheme="minorEastAsia" w:cstheme="minorEastAsia"/>
                <w:color w:val="auto"/>
                <w:kern w:val="0"/>
                <w:sz w:val="21"/>
                <w:szCs w:val="21"/>
                <w:highlight w:val="none"/>
              </w:rPr>
              <w:t>3)主要功能：可供两人同时使用，增加身体的血液循环，促进新陈代谢；活动腕、肘、肩、腰部关节，增强相关肌群的柔韧性和心肺功能。</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1268496E">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3</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6E5FDE8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E671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noWrap w:val="0"/>
            <w:vAlign w:val="top"/>
          </w:tcPr>
          <w:p w14:paraId="1E20AD1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0E3201EC">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双杠</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5A044D25">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器材尺寸符合《健身器材室外健身器材的安全通用标准》（GB19272-2011）要求；</w:t>
            </w:r>
          </w:p>
          <w:p w14:paraId="7726C3A5">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bCs/>
                <w:color w:val="auto"/>
                <w:sz w:val="21"/>
                <w:szCs w:val="21"/>
                <w:highlight w:val="none"/>
              </w:rPr>
              <w:t>杠面高度：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Cs/>
                <w:color w:val="auto"/>
                <w:sz w:val="21"/>
                <w:szCs w:val="21"/>
                <w:highlight w:val="none"/>
              </w:rPr>
              <w:t>1300mm；杠长</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Cs/>
                <w:color w:val="auto"/>
                <w:sz w:val="21"/>
                <w:szCs w:val="21"/>
                <w:highlight w:val="none"/>
              </w:rPr>
              <w:t>2000mm，两杠内侧距离</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Cs/>
                <w:color w:val="auto"/>
                <w:sz w:val="21"/>
                <w:szCs w:val="21"/>
                <w:highlight w:val="none"/>
              </w:rPr>
              <w:t>460mm，</w:t>
            </w:r>
          </w:p>
          <w:p w14:paraId="6EF1D52A">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纵向立轴中心距1500mm±100</w:t>
            </w:r>
          </w:p>
          <w:p w14:paraId="422D1755">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2.主立柱为</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Cs/>
                <w:color w:val="auto"/>
                <w:sz w:val="21"/>
                <w:szCs w:val="21"/>
                <w:highlight w:val="none"/>
              </w:rPr>
              <w:t>Φ114*3mm的优质圆钢管，横梁尺寸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Cs/>
                <w:color w:val="auto"/>
                <w:sz w:val="21"/>
                <w:szCs w:val="21"/>
                <w:highlight w:val="none"/>
              </w:rPr>
              <w:t>Φ42*3mm的优质钢管，立柱和横梁组件用防盗专用不锈钢镙丝固定</w:t>
            </w:r>
          </w:p>
          <w:p w14:paraId="5AF6FEF2">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lang w:val="en-US" w:eastAsia="zh-CN" w:bidi="zh-CN"/>
              </w:rPr>
            </w:pPr>
            <w:r>
              <w:rPr>
                <w:rFonts w:hint="eastAsia" w:asciiTheme="minorEastAsia" w:hAnsiTheme="minorEastAsia" w:eastAsiaTheme="minorEastAsia" w:cstheme="minorEastAsia"/>
                <w:bCs/>
                <w:color w:val="auto"/>
                <w:sz w:val="21"/>
                <w:szCs w:val="21"/>
                <w:highlight w:val="none"/>
              </w:rPr>
              <w:t>3.安装采用直埋方式，立柱地埋深度≥500mm。桩基水平尺寸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Cs/>
                <w:color w:val="auto"/>
                <w:sz w:val="21"/>
                <w:szCs w:val="21"/>
                <w:highlight w:val="none"/>
              </w:rPr>
              <w:t>400*400mm；</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596F86A6">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1</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77ECF97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757B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noWrap w:val="0"/>
            <w:vAlign w:val="top"/>
          </w:tcPr>
          <w:p w14:paraId="56DFEEE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B94E997">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钟摆训练器</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2AF8E384">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器材尺寸符合《健身器材室外健身器材的安</w:t>
            </w:r>
            <w:r>
              <w:rPr>
                <w:rFonts w:hint="eastAsia" w:asciiTheme="minorEastAsia" w:hAnsiTheme="minorEastAsia" w:eastAsiaTheme="minorEastAsia" w:cstheme="minorEastAsia"/>
                <w:color w:val="auto"/>
                <w:spacing w:val="8"/>
                <w:sz w:val="21"/>
                <w:szCs w:val="21"/>
                <w:highlight w:val="none"/>
              </w:rPr>
              <w:t>全通用标准》（</w:t>
            </w:r>
            <w:r>
              <w:rPr>
                <w:rFonts w:hint="eastAsia" w:asciiTheme="minorEastAsia" w:hAnsiTheme="minorEastAsia" w:eastAsiaTheme="minorEastAsia" w:cstheme="minorEastAsia"/>
                <w:color w:val="auto"/>
                <w:sz w:val="21"/>
                <w:szCs w:val="21"/>
                <w:highlight w:val="none"/>
              </w:rPr>
              <w:t>GB</w:t>
            </w:r>
            <w:r>
              <w:rPr>
                <w:rFonts w:hint="eastAsia" w:asciiTheme="minorEastAsia" w:hAnsiTheme="minorEastAsia" w:eastAsiaTheme="minorEastAsia" w:cstheme="minorEastAsia"/>
                <w:color w:val="auto"/>
                <w:spacing w:val="8"/>
                <w:sz w:val="21"/>
                <w:szCs w:val="21"/>
                <w:highlight w:val="none"/>
              </w:rPr>
              <w:t>19272-2011）要求</w:t>
            </w:r>
          </w:p>
          <w:p w14:paraId="1A545FAA">
            <w:pPr>
              <w:pStyle w:val="130"/>
              <w:keepNext w:val="0"/>
              <w:keepLines w:val="0"/>
              <w:pageBreakBefore w:val="0"/>
              <w:kinsoku/>
              <w:wordWrap/>
              <w:overflowPunct/>
              <w:topLinePunct w:val="0"/>
              <w:autoSpaceDE/>
              <w:autoSpaceDN/>
              <w:bidi w:val="0"/>
              <w:adjustRightInd/>
              <w:snapToGrid/>
              <w:spacing w:line="400" w:lineRule="exact"/>
              <w:ind w:left="0" w:right="155" w:firstLine="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2"/>
                <w:sz w:val="21"/>
                <w:szCs w:val="21"/>
                <w:highlight w:val="none"/>
              </w:rPr>
              <w:t>1、主立柱内部采用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12"/>
                <w:sz w:val="21"/>
                <w:szCs w:val="21"/>
                <w:highlight w:val="none"/>
              </w:rPr>
              <w:t>114</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12"/>
                <w:sz w:val="21"/>
                <w:szCs w:val="21"/>
                <w:highlight w:val="none"/>
              </w:rPr>
              <w:t>×3.0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12"/>
                <w:sz w:val="21"/>
                <w:szCs w:val="21"/>
                <w:highlight w:val="none"/>
              </w:rPr>
              <w:t>优质钢管，主要</w:t>
            </w:r>
            <w:r>
              <w:rPr>
                <w:rFonts w:hint="eastAsia" w:asciiTheme="minorEastAsia" w:hAnsiTheme="minorEastAsia" w:eastAsiaTheme="minorEastAsia" w:cstheme="minorEastAsia"/>
                <w:color w:val="auto"/>
                <w:spacing w:val="11"/>
                <w:sz w:val="21"/>
                <w:szCs w:val="21"/>
                <w:highlight w:val="none"/>
              </w:rPr>
              <w:t>承载横梁尺寸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11"/>
                <w:sz w:val="21"/>
                <w:szCs w:val="21"/>
                <w:highlight w:val="none"/>
              </w:rPr>
              <w:t>：□60*40*3.0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11"/>
                <w:sz w:val="21"/>
                <w:szCs w:val="21"/>
                <w:highlight w:val="none"/>
              </w:rPr>
              <w:t>；</w:t>
            </w:r>
            <w:r>
              <w:rPr>
                <w:rFonts w:hint="eastAsia" w:asciiTheme="minorEastAsia" w:hAnsiTheme="minorEastAsia" w:eastAsiaTheme="minorEastAsia" w:cstheme="minorEastAsia"/>
                <w:color w:val="auto"/>
                <w:spacing w:val="8"/>
                <w:sz w:val="21"/>
                <w:szCs w:val="21"/>
                <w:highlight w:val="none"/>
              </w:rPr>
              <w:t>防腐蚀。盖帽为铝合金盖帽螺丝固定加防盗盖。</w:t>
            </w:r>
          </w:p>
          <w:p w14:paraId="0550609B">
            <w:pPr>
              <w:pStyle w:val="130"/>
              <w:keepNext w:val="0"/>
              <w:keepLines w:val="0"/>
              <w:pageBreakBefore w:val="0"/>
              <w:kinsoku/>
              <w:wordWrap/>
              <w:overflowPunct/>
              <w:topLinePunct w:val="0"/>
              <w:autoSpaceDE/>
              <w:autoSpaceDN/>
              <w:bidi w:val="0"/>
              <w:adjustRightInd/>
              <w:snapToGrid/>
              <w:spacing w:line="400" w:lineRule="exact"/>
              <w:ind w:left="0" w:right="104" w:firstLine="3"/>
              <w:rPr>
                <w:rFonts w:hint="eastAsia" w:asciiTheme="minorEastAsia" w:hAnsiTheme="minorEastAsia" w:eastAsiaTheme="minorEastAsia" w:cstheme="minorEastAsia"/>
                <w:color w:val="auto"/>
                <w:spacing w:val="9"/>
                <w:sz w:val="21"/>
                <w:szCs w:val="21"/>
                <w:highlight w:val="none"/>
              </w:rPr>
            </w:pPr>
            <w:r>
              <w:rPr>
                <w:rFonts w:hint="eastAsia" w:asciiTheme="minorEastAsia" w:hAnsiTheme="minorEastAsia" w:eastAsiaTheme="minorEastAsia" w:cstheme="minorEastAsia"/>
                <w:color w:val="auto"/>
                <w:spacing w:val="13"/>
                <w:sz w:val="21"/>
                <w:szCs w:val="21"/>
                <w:highlight w:val="none"/>
              </w:rPr>
              <w:t>2.扶手选用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13"/>
                <w:sz w:val="21"/>
                <w:szCs w:val="21"/>
                <w:highlight w:val="none"/>
              </w:rPr>
              <w:t>Φ32×3</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13"/>
                <w:sz w:val="21"/>
                <w:szCs w:val="21"/>
                <w:highlight w:val="none"/>
              </w:rPr>
              <w:t>花纹钢管；摆杆选用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13"/>
                <w:sz w:val="21"/>
                <w:szCs w:val="21"/>
                <w:highlight w:val="none"/>
              </w:rPr>
              <w:t>ф60×3</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13"/>
                <w:sz w:val="21"/>
                <w:szCs w:val="21"/>
                <w:highlight w:val="none"/>
              </w:rPr>
              <w:t>优质钢管；器材</w:t>
            </w:r>
            <w:r>
              <w:rPr>
                <w:rFonts w:hint="eastAsia" w:asciiTheme="minorEastAsia" w:hAnsiTheme="minorEastAsia" w:eastAsiaTheme="minorEastAsia" w:cstheme="minorEastAsia"/>
                <w:color w:val="auto"/>
                <w:spacing w:val="12"/>
                <w:sz w:val="21"/>
                <w:szCs w:val="21"/>
                <w:highlight w:val="none"/>
              </w:rPr>
              <w:t>之活动连接处采用轴径30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12"/>
                <w:sz w:val="21"/>
                <w:szCs w:val="21"/>
                <w:highlight w:val="none"/>
              </w:rPr>
              <w:t>，并作橡</w:t>
            </w:r>
            <w:r>
              <w:rPr>
                <w:rFonts w:hint="eastAsia" w:asciiTheme="minorEastAsia" w:hAnsiTheme="minorEastAsia" w:eastAsiaTheme="minorEastAsia" w:cstheme="minorEastAsia"/>
                <w:color w:val="auto"/>
                <w:spacing w:val="10"/>
                <w:sz w:val="21"/>
                <w:szCs w:val="21"/>
                <w:highlight w:val="none"/>
              </w:rPr>
              <w:t>胶防水、防尘密封；其摆腿向外侧倾斜，避免了碰撞小腿的</w:t>
            </w:r>
            <w:r>
              <w:rPr>
                <w:rFonts w:hint="eastAsia" w:asciiTheme="minorEastAsia" w:hAnsiTheme="minorEastAsia" w:eastAsiaTheme="minorEastAsia" w:cstheme="minorEastAsia"/>
                <w:color w:val="auto"/>
                <w:spacing w:val="9"/>
                <w:sz w:val="21"/>
                <w:szCs w:val="21"/>
                <w:highlight w:val="none"/>
              </w:rPr>
              <w:t>隐患；</w:t>
            </w:r>
          </w:p>
          <w:p w14:paraId="0E895BC5">
            <w:pPr>
              <w:pStyle w:val="130"/>
              <w:keepNext w:val="0"/>
              <w:keepLines w:val="0"/>
              <w:pageBreakBefore w:val="0"/>
              <w:kinsoku/>
              <w:wordWrap/>
              <w:overflowPunct/>
              <w:topLinePunct w:val="0"/>
              <w:autoSpaceDE/>
              <w:autoSpaceDN/>
              <w:bidi w:val="0"/>
              <w:adjustRightInd/>
              <w:snapToGrid/>
              <w:spacing w:line="400" w:lineRule="exact"/>
              <w:ind w:left="0" w:right="104" w:firstLine="3"/>
              <w:rPr>
                <w:rFonts w:hint="eastAsia" w:asciiTheme="minorEastAsia" w:hAnsiTheme="minorEastAsia" w:eastAsiaTheme="minorEastAsia" w:cstheme="minorEastAsia"/>
                <w:color w:val="auto"/>
                <w:kern w:val="0"/>
                <w:sz w:val="21"/>
                <w:szCs w:val="21"/>
                <w:highlight w:val="none"/>
                <w:lang w:val="en-US" w:eastAsia="zh-CN" w:bidi="zh-CN"/>
              </w:rPr>
            </w:pPr>
            <w:r>
              <w:rPr>
                <w:rFonts w:hint="eastAsia" w:asciiTheme="minorEastAsia" w:hAnsiTheme="minorEastAsia" w:eastAsiaTheme="minorEastAsia" w:cstheme="minorEastAsia"/>
                <w:color w:val="auto"/>
                <w:spacing w:val="9"/>
                <w:sz w:val="21"/>
                <w:szCs w:val="21"/>
                <w:highlight w:val="none"/>
              </w:rPr>
              <w:t>3、连结件选用不锈钢螺丝连接，可防锈防盗；</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4C8158A8">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3</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6609F91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0B19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noWrap w:val="0"/>
            <w:vAlign w:val="top"/>
          </w:tcPr>
          <w:p w14:paraId="73E8535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5F22374">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撑体腹肌训练器</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60402B89">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器材尺寸符合《健身器材室外健身器材的安全通用标准》（GB19272-2011）要求；</w:t>
            </w:r>
          </w:p>
          <w:p w14:paraId="132208CA">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1)主要承载立柱采用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Φ114mm、厚度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3mm标准管材。</w:t>
            </w:r>
          </w:p>
          <w:p w14:paraId="1CFCE63E">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2）主承载横梁Φ70×3mm钢管。</w:t>
            </w:r>
          </w:p>
          <w:p w14:paraId="69EE9903">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3）不存在衣服、头发钩挂或缠绕危险；</w:t>
            </w:r>
          </w:p>
          <w:p w14:paraId="6CE77B10">
            <w:pPr>
              <w:keepNext w:val="0"/>
              <w:keepLines w:val="0"/>
              <w:pageBreakBefore w:val="0"/>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Cs/>
                <w:color w:val="auto"/>
                <w:sz w:val="21"/>
                <w:szCs w:val="21"/>
                <w:highlight w:val="none"/>
                <w:lang w:val="en-US" w:eastAsia="zh-CN" w:bidi="zh-CN"/>
              </w:rPr>
            </w:pPr>
            <w:r>
              <w:rPr>
                <w:rFonts w:hint="eastAsia" w:asciiTheme="minorEastAsia" w:hAnsiTheme="minorEastAsia" w:eastAsiaTheme="minorEastAsia" w:cstheme="minorEastAsia"/>
                <w:color w:val="auto"/>
                <w:sz w:val="21"/>
                <w:szCs w:val="21"/>
                <w:highlight w:val="none"/>
              </w:rPr>
              <w:t>4）腹肌板板面采用整体并冲压防滑凸起。</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571E9147">
            <w:pPr>
              <w:jc w:val="center"/>
              <w:rPr>
                <w:rFonts w:hint="eastAsia" w:ascii="宋体" w:hAnsi="宋体" w:eastAsia="宋体" w:cs="楷体"/>
                <w:color w:val="auto"/>
                <w:kern w:val="2"/>
                <w:sz w:val="24"/>
                <w:szCs w:val="22"/>
                <w:highlight w:val="none"/>
                <w:lang w:val="en-US" w:eastAsia="zh-CN" w:bidi="ar-SA"/>
              </w:rPr>
            </w:pPr>
            <w:r>
              <w:rPr>
                <w:rFonts w:hint="eastAsia" w:ascii="宋体" w:hAnsi="宋体" w:eastAsia="宋体"/>
                <w:color w:val="auto"/>
                <w:sz w:val="24"/>
                <w:highlight w:val="none"/>
                <w:lang w:val="en-US" w:eastAsia="zh-CN"/>
              </w:rPr>
              <w:t>2</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6BC814C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257D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right w:val="single" w:color="000000" w:sz="4" w:space="0"/>
            </w:tcBorders>
            <w:noWrap w:val="0"/>
            <w:vAlign w:val="top"/>
          </w:tcPr>
          <w:p w14:paraId="171BDB7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4C5EA4A">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立式腰背按摩器</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138A5380">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器材尺寸符合《健身器材室外健身器材的安全通用标准》（GB19272-2011）要求；</w:t>
            </w:r>
          </w:p>
          <w:p w14:paraId="2111CE5F">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1)主要承载立柱采用</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Φ114mm、厚度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3mm标准管材，并与其他管材同时满足GB19272-2011标准中相关静载荷、稳定性试验要求；</w:t>
            </w:r>
          </w:p>
          <w:p w14:paraId="1CA5FF40">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2、主要承载横梁尺寸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□60*40*3.0mm；</w:t>
            </w:r>
          </w:p>
          <w:p w14:paraId="045BF553">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3、按摩轮与刚性固定部件件最小距离</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30mm，按摩轮长度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400mm；</w:t>
            </w:r>
          </w:p>
          <w:p w14:paraId="67170BCB">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4、按摩轮轴直径为</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φ25；</w:t>
            </w:r>
          </w:p>
          <w:p w14:paraId="0CC1E3BB">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5、安装方式：采用直埋式地埋深度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500mm</w:t>
            </w:r>
          </w:p>
          <w:p w14:paraId="41BB4CFA">
            <w:pPr>
              <w:keepNext w:val="0"/>
              <w:keepLines w:val="0"/>
              <w:pageBreakBefore w:val="0"/>
              <w:tabs>
                <w:tab w:val="left" w:pos="2730"/>
              </w:tabs>
              <w:kinsoku/>
              <w:wordWrap/>
              <w:overflowPunct/>
              <w:topLinePunct w:val="0"/>
              <w:autoSpaceDE/>
              <w:autoSpaceDN/>
              <w:bidi w:val="0"/>
              <w:adjustRightInd/>
              <w:snapToGrid/>
              <w:spacing w:line="400" w:lineRule="exact"/>
              <w:ind w:left="0"/>
              <w:jc w:val="left"/>
              <w:rPr>
                <w:rFonts w:hint="eastAsia" w:asciiTheme="minorEastAsia" w:hAnsiTheme="minorEastAsia" w:eastAsiaTheme="minorEastAsia" w:cstheme="minorEastAsia"/>
                <w:color w:val="auto"/>
                <w:sz w:val="21"/>
                <w:szCs w:val="21"/>
                <w:highlight w:val="none"/>
                <w:lang w:val="en-US" w:eastAsia="zh-CN" w:bidi="zh-CN"/>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6、地基尺寸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500×500×600mm;</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5E7A9F11">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3</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630655F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78E2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50" w:type="dxa"/>
            <w:vMerge w:val="continue"/>
            <w:tcBorders>
              <w:left w:val="single" w:color="000000" w:sz="4" w:space="0"/>
              <w:right w:val="single" w:color="000000" w:sz="4" w:space="0"/>
            </w:tcBorders>
            <w:noWrap w:val="0"/>
            <w:vAlign w:val="top"/>
          </w:tcPr>
          <w:p w14:paraId="53F104A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0B64445">
            <w:pPr>
              <w:keepNext w:val="0"/>
              <w:keepLines w:val="0"/>
              <w:pageBreakBefore w:val="0"/>
              <w:widowControl/>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棋牌桌</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5F8F2AA7">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器材尺寸符合《健身器材室外健身器材的安全通用标准》（</w:t>
            </w:r>
            <w:r>
              <w:rPr>
                <w:rFonts w:hint="eastAsia" w:asciiTheme="minorEastAsia" w:hAnsiTheme="minorEastAsia" w:eastAsiaTheme="minorEastAsia" w:cstheme="minorEastAsia"/>
                <w:color w:val="auto"/>
                <w:sz w:val="21"/>
                <w:szCs w:val="21"/>
                <w:highlight w:val="none"/>
              </w:rPr>
              <w:t>GB</w:t>
            </w:r>
            <w:r>
              <w:rPr>
                <w:rFonts w:hint="eastAsia" w:asciiTheme="minorEastAsia" w:hAnsiTheme="minorEastAsia" w:eastAsiaTheme="minorEastAsia" w:cstheme="minorEastAsia"/>
                <w:color w:val="auto"/>
                <w:spacing w:val="8"/>
                <w:sz w:val="21"/>
                <w:szCs w:val="21"/>
                <w:highlight w:val="none"/>
              </w:rPr>
              <w:t>19272-2011）要求；</w:t>
            </w:r>
          </w:p>
          <w:p w14:paraId="1AB95034">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1.桌面采用1</w:t>
            </w:r>
            <w:r>
              <w:rPr>
                <w:rFonts w:hint="eastAsia" w:asciiTheme="minorEastAsia" w:hAnsiTheme="minorEastAsia" w:eastAsiaTheme="minorEastAsia" w:cstheme="minorEastAsia"/>
                <w:color w:val="auto"/>
                <w:sz w:val="21"/>
                <w:szCs w:val="21"/>
                <w:highlight w:val="none"/>
              </w:rPr>
              <w:t>Cr</w:t>
            </w:r>
            <w:r>
              <w:rPr>
                <w:rFonts w:hint="eastAsia" w:asciiTheme="minorEastAsia" w:hAnsiTheme="minorEastAsia" w:eastAsiaTheme="minorEastAsia" w:cstheme="minorEastAsia"/>
                <w:color w:val="auto"/>
                <w:spacing w:val="9"/>
                <w:sz w:val="21"/>
                <w:szCs w:val="21"/>
                <w:highlight w:val="none"/>
              </w:rPr>
              <w:t>18</w:t>
            </w:r>
            <w:r>
              <w:rPr>
                <w:rFonts w:hint="eastAsia" w:asciiTheme="minorEastAsia" w:hAnsiTheme="minorEastAsia" w:eastAsiaTheme="minorEastAsia" w:cstheme="minorEastAsia"/>
                <w:color w:val="auto"/>
                <w:sz w:val="21"/>
                <w:szCs w:val="21"/>
                <w:highlight w:val="none"/>
              </w:rPr>
              <w:t>Ni</w:t>
            </w:r>
            <w:r>
              <w:rPr>
                <w:rFonts w:hint="eastAsia" w:asciiTheme="minorEastAsia" w:hAnsiTheme="minorEastAsia" w:eastAsiaTheme="minorEastAsia" w:cstheme="minorEastAsia"/>
                <w:color w:val="auto"/>
                <w:spacing w:val="9"/>
                <w:sz w:val="21"/>
                <w:szCs w:val="21"/>
                <w:highlight w:val="none"/>
              </w:rPr>
              <w:t>9</w:t>
            </w:r>
            <w:r>
              <w:rPr>
                <w:rFonts w:hint="eastAsia" w:asciiTheme="minorEastAsia" w:hAnsiTheme="minorEastAsia" w:eastAsiaTheme="minorEastAsia" w:cstheme="minorEastAsia"/>
                <w:color w:val="auto"/>
                <w:sz w:val="21"/>
                <w:szCs w:val="21"/>
                <w:highlight w:val="none"/>
              </w:rPr>
              <w:t>Ti</w:t>
            </w:r>
            <w:r>
              <w:rPr>
                <w:rFonts w:hint="eastAsia" w:asciiTheme="minorEastAsia" w:hAnsiTheme="minorEastAsia" w:eastAsiaTheme="minorEastAsia" w:cstheme="minorEastAsia"/>
                <w:color w:val="auto"/>
                <w:spacing w:val="9"/>
                <w:sz w:val="21"/>
                <w:szCs w:val="21"/>
                <w:highlight w:val="none"/>
              </w:rPr>
              <w:t>不锈钢材质，板材厚度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9"/>
                <w:sz w:val="21"/>
                <w:szCs w:val="21"/>
                <w:highlight w:val="none"/>
              </w:rPr>
              <w:t>0.8</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9"/>
                <w:sz w:val="21"/>
                <w:szCs w:val="21"/>
                <w:highlight w:val="none"/>
              </w:rPr>
              <w:t>，图样及字</w:t>
            </w:r>
            <w:r>
              <w:rPr>
                <w:rFonts w:hint="eastAsia" w:asciiTheme="minorEastAsia" w:hAnsiTheme="minorEastAsia" w:eastAsiaTheme="minorEastAsia" w:cstheme="minorEastAsia"/>
                <w:color w:val="auto"/>
                <w:spacing w:val="8"/>
                <w:sz w:val="21"/>
                <w:szCs w:val="21"/>
                <w:highlight w:val="none"/>
              </w:rPr>
              <w:t>样蚀刻处理；</w:t>
            </w:r>
          </w:p>
          <w:p w14:paraId="4288F789">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9"/>
                <w:sz w:val="21"/>
                <w:szCs w:val="21"/>
                <w:highlight w:val="none"/>
              </w:rPr>
              <w:t>2.座位立柱管材规格</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9"/>
                <w:sz w:val="21"/>
                <w:szCs w:val="21"/>
                <w:highlight w:val="none"/>
              </w:rPr>
              <w:t>Φ76</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9"/>
                <w:sz w:val="21"/>
                <w:szCs w:val="21"/>
                <w:highlight w:val="none"/>
              </w:rPr>
              <w:t>×3</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9"/>
                <w:sz w:val="21"/>
                <w:szCs w:val="21"/>
                <w:highlight w:val="none"/>
              </w:rPr>
              <w:t>,棋牌桌立柱管材规格</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9"/>
                <w:sz w:val="21"/>
                <w:szCs w:val="21"/>
                <w:highlight w:val="none"/>
              </w:rPr>
              <w:t>Φ114</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9"/>
                <w:sz w:val="21"/>
                <w:szCs w:val="21"/>
                <w:highlight w:val="none"/>
              </w:rPr>
              <w:t>×3.</w:t>
            </w:r>
            <w:r>
              <w:rPr>
                <w:rFonts w:hint="eastAsia" w:asciiTheme="minorEastAsia" w:hAnsiTheme="minorEastAsia" w:eastAsiaTheme="minorEastAsia" w:cstheme="minorEastAsia"/>
                <w:color w:val="auto"/>
                <w:spacing w:val="8"/>
                <w:sz w:val="21"/>
                <w:szCs w:val="21"/>
                <w:highlight w:val="none"/>
              </w:rPr>
              <w:t>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8"/>
                <w:sz w:val="21"/>
                <w:szCs w:val="21"/>
                <w:highlight w:val="none"/>
              </w:rPr>
              <w:t>；</w:t>
            </w:r>
          </w:p>
          <w:p w14:paraId="2A3344DC">
            <w:pPr>
              <w:pStyle w:val="130"/>
              <w:keepNext w:val="0"/>
              <w:keepLines w:val="0"/>
              <w:pageBreakBefore w:val="0"/>
              <w:kinsoku/>
              <w:wordWrap/>
              <w:overflowPunct/>
              <w:topLinePunct w:val="0"/>
              <w:autoSpaceDE/>
              <w:autoSpaceDN/>
              <w:bidi w:val="0"/>
              <w:adjustRightInd/>
              <w:snapToGrid/>
              <w:spacing w:line="400" w:lineRule="exact"/>
              <w:ind w:left="0"/>
              <w:rPr>
                <w:rFonts w:hint="eastAsia" w:asciiTheme="minorEastAsia" w:hAnsiTheme="minorEastAsia" w:eastAsiaTheme="minorEastAsia" w:cstheme="minorEastAsia"/>
                <w:color w:val="auto"/>
                <w:sz w:val="21"/>
                <w:szCs w:val="21"/>
                <w:highlight w:val="none"/>
                <w:lang w:val="en-US" w:eastAsia="zh-CN" w:bidi="zh-CN"/>
              </w:rPr>
            </w:pPr>
            <w:r>
              <w:rPr>
                <w:rFonts w:hint="eastAsia" w:asciiTheme="minorEastAsia" w:hAnsiTheme="minorEastAsia" w:eastAsiaTheme="minorEastAsia" w:cstheme="minorEastAsia"/>
                <w:color w:val="auto"/>
                <w:spacing w:val="7"/>
                <w:sz w:val="21"/>
                <w:szCs w:val="21"/>
                <w:highlight w:val="none"/>
              </w:rPr>
              <w:t>3.主要承载立柱尺寸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7"/>
                <w:sz w:val="21"/>
                <w:szCs w:val="21"/>
                <w:highlight w:val="none"/>
              </w:rPr>
              <w:t>Φ114*3.0</w:t>
            </w:r>
            <w:r>
              <w:rPr>
                <w:rFonts w:hint="eastAsia" w:asciiTheme="minorEastAsia" w:hAnsiTheme="minorEastAsia" w:eastAsiaTheme="minorEastAsia" w:cstheme="minorEastAsia"/>
                <w:color w:val="auto"/>
                <w:sz w:val="21"/>
                <w:szCs w:val="21"/>
                <w:highlight w:val="none"/>
              </w:rPr>
              <w:t>mm</w:t>
            </w:r>
            <w:r>
              <w:rPr>
                <w:rFonts w:hint="eastAsia" w:asciiTheme="minorEastAsia" w:hAnsiTheme="minorEastAsia" w:eastAsiaTheme="minorEastAsia" w:cstheme="minorEastAsia"/>
                <w:color w:val="auto"/>
                <w:spacing w:val="7"/>
                <w:sz w:val="21"/>
                <w:szCs w:val="21"/>
                <w:highlight w:val="none"/>
              </w:rPr>
              <w:t>;主要承载横梁尺寸</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color w:val="auto"/>
                <w:spacing w:val="7"/>
                <w:sz w:val="21"/>
                <w:szCs w:val="21"/>
                <w:highlight w:val="none"/>
              </w:rPr>
              <w:t>20</w:t>
            </w:r>
            <w:r>
              <w:rPr>
                <w:rFonts w:hint="eastAsia" w:asciiTheme="minorEastAsia" w:hAnsiTheme="minorEastAsia" w:eastAsiaTheme="minorEastAsia" w:cstheme="minorEastAsia"/>
                <w:color w:val="auto"/>
                <w:spacing w:val="6"/>
                <w:sz w:val="21"/>
                <w:szCs w:val="21"/>
                <w:highlight w:val="none"/>
              </w:rPr>
              <w:t>*40*1.5</w:t>
            </w:r>
            <w:r>
              <w:rPr>
                <w:rFonts w:hint="eastAsia" w:asciiTheme="minorEastAsia" w:hAnsiTheme="minorEastAsia" w:eastAsiaTheme="minorEastAsia" w:cstheme="minorEastAsia"/>
                <w:color w:val="auto"/>
                <w:sz w:val="21"/>
                <w:szCs w:val="21"/>
                <w:highlight w:val="none"/>
              </w:rPr>
              <w:t>mm</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0895D737">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4</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14A9C9F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6B3A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dxa"/>
            <w:vMerge w:val="continue"/>
            <w:tcBorders>
              <w:left w:val="single" w:color="000000" w:sz="4" w:space="0"/>
              <w:bottom w:val="single" w:color="auto" w:sz="4" w:space="0"/>
              <w:right w:val="single" w:color="000000" w:sz="4" w:space="0"/>
            </w:tcBorders>
            <w:noWrap w:val="0"/>
            <w:vAlign w:val="top"/>
          </w:tcPr>
          <w:p w14:paraId="03E63EF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1BA9981A">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rPr>
              <w:t>坐拉训练器</w:t>
            </w:r>
          </w:p>
        </w:tc>
        <w:tc>
          <w:tcPr>
            <w:tcW w:w="5376" w:type="dxa"/>
            <w:tcBorders>
              <w:top w:val="single" w:color="auto" w:sz="4" w:space="0"/>
              <w:left w:val="single" w:color="auto" w:sz="4" w:space="0"/>
              <w:bottom w:val="single" w:color="auto" w:sz="4" w:space="0"/>
              <w:right w:val="single" w:color="auto" w:sz="4" w:space="0"/>
            </w:tcBorders>
            <w:noWrap w:val="0"/>
            <w:vAlign w:val="center"/>
          </w:tcPr>
          <w:p w14:paraId="390C79C6">
            <w:pPr>
              <w:pStyle w:val="76"/>
              <w:keepNext w:val="0"/>
              <w:keepLines w:val="0"/>
              <w:pageBreakBefore w:val="0"/>
              <w:widowControl/>
              <w:kinsoku/>
              <w:wordWrap/>
              <w:overflowPunct/>
              <w:topLinePunct w:val="0"/>
              <w:autoSpaceDE/>
              <w:autoSpaceDN/>
              <w:bidi w:val="0"/>
              <w:adjustRightInd/>
              <w:snapToGrid/>
              <w:spacing w:line="400" w:lineRule="exact"/>
              <w:ind w:left="0" w:firstLine="0" w:firstLineChars="0"/>
              <w:jc w:val="left"/>
              <w:textAlignment w:val="auto"/>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器材尺寸符合《健身器材室外健身器材的安全通用标准》（GB19272-2011）要求；</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br w:type="textWrapping"/>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1.主立柱</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φ114×3mm，主横梁</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φ60×3mm；</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br w:type="textWrapping"/>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2.轴直径为</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25mm，轴承采用深沟球轴承</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6205；</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br w:type="textWrapping"/>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3.器械支承表面的棱角和尖角半径R</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2.5mm；</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br w:type="textWrapping"/>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4.采用130限位，限位轴直径</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20mm，轴承采用深沟球轴承6006,限位主轴</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φ30mm，耳片</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δ10mm,冲压座靠板</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δ4；</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br w:type="textWrapping"/>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5.不存在衣服、头发钩挂或缠绕危险；</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br w:type="textWrapping"/>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6.立柱采用焊接钢制封头，可防止雨水流入；</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br w:type="textWrapping"/>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7.安装方式：直埋式、水泥浇筑，立柱埋入深度</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500mm，基础坑</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500mm×500mm×600mm；</w:t>
            </w:r>
          </w:p>
          <w:p w14:paraId="520CEFB1">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Theme="minorEastAsia" w:hAnsiTheme="minorEastAsia" w:eastAsiaTheme="minorEastAsia" w:cstheme="minorEastAsia"/>
                <w:color w:val="auto"/>
                <w:kern w:val="0"/>
                <w:sz w:val="21"/>
                <w:szCs w:val="21"/>
                <w:highlight w:val="none"/>
                <w:lang w:val="en-US" w:eastAsia="zh-CN" w:bidi="zh-CN"/>
              </w:rPr>
            </w:pPr>
            <w:r>
              <w:rPr>
                <w:rFonts w:hint="eastAsia" w:asciiTheme="minorEastAsia" w:hAnsiTheme="minorEastAsia" w:eastAsiaTheme="minorEastAsia" w:cstheme="minorEastAsia"/>
                <w:b w:val="0"/>
                <w:bCs w:val="0"/>
                <w:i w:val="0"/>
                <w:color w:val="auto"/>
                <w:spacing w:val="-2"/>
                <w:kern w:val="2"/>
                <w:sz w:val="21"/>
                <w:szCs w:val="21"/>
                <w:highlight w:val="none"/>
                <w:lang w:val="en-US" w:eastAsia="zh-CN" w:bidi="ar-SA"/>
              </w:rPr>
              <w:t>8</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.扶手管采用菱形花纹管</w:t>
            </w:r>
            <w:r>
              <w:rPr>
                <w:rFonts w:hint="eastAsia" w:asciiTheme="minorEastAsia" w:hAnsiTheme="minorEastAsia" w:eastAsiaTheme="minorEastAsia" w:cstheme="minorEastAsia"/>
                <w:color w:val="auto"/>
                <w:spacing w:val="8"/>
                <w:sz w:val="21"/>
                <w:szCs w:val="21"/>
                <w:highlight w:val="none"/>
                <w:lang w:val="en-US" w:eastAsia="zh-CN"/>
              </w:rPr>
              <w:t>≥</w:t>
            </w:r>
            <w:r>
              <w:rPr>
                <w:rFonts w:hint="eastAsia" w:asciiTheme="minorEastAsia" w:hAnsiTheme="minorEastAsia" w:eastAsiaTheme="minorEastAsia" w:cstheme="minorEastAsia"/>
                <w:b w:val="0"/>
                <w:bCs w:val="0"/>
                <w:i w:val="0"/>
                <w:color w:val="auto"/>
                <w:spacing w:val="-2"/>
                <w:kern w:val="2"/>
                <w:sz w:val="21"/>
                <w:szCs w:val="21"/>
                <w:highlight w:val="none"/>
                <w:lang w:val="en-US" w:eastAsia="en-US" w:bidi="ar-SA"/>
              </w:rPr>
              <w:t>Φ32×3mm，端部焊接Φ51mm球形帽;</w:t>
            </w:r>
          </w:p>
        </w:tc>
        <w:tc>
          <w:tcPr>
            <w:tcW w:w="977" w:type="dxa"/>
            <w:tcBorders>
              <w:top w:val="single" w:color="auto" w:sz="4" w:space="0"/>
              <w:left w:val="single" w:color="auto" w:sz="4" w:space="0"/>
              <w:bottom w:val="single" w:color="auto" w:sz="4" w:space="0"/>
              <w:right w:val="single" w:color="auto" w:sz="4" w:space="0"/>
            </w:tcBorders>
            <w:noWrap w:val="0"/>
            <w:vAlign w:val="center"/>
          </w:tcPr>
          <w:p w14:paraId="10490144">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2</w:t>
            </w:r>
          </w:p>
        </w:tc>
        <w:tc>
          <w:tcPr>
            <w:tcW w:w="1031" w:type="dxa"/>
            <w:tcBorders>
              <w:top w:val="single" w:color="auto" w:sz="4" w:space="0"/>
              <w:left w:val="single" w:color="auto" w:sz="4" w:space="0"/>
              <w:bottom w:val="single" w:color="auto" w:sz="4" w:space="0"/>
              <w:right w:val="single" w:color="auto" w:sz="4" w:space="0"/>
            </w:tcBorders>
            <w:noWrap w:val="0"/>
            <w:vAlign w:val="top"/>
          </w:tcPr>
          <w:p w14:paraId="59F0F27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bl>
    <w:p w14:paraId="096EBCD1">
      <w:pPr>
        <w:keepNext w:val="0"/>
        <w:keepLines w:val="0"/>
        <w:pageBreakBefore w:val="0"/>
        <w:numPr>
          <w:ilvl w:val="0"/>
          <w:numId w:val="5"/>
        </w:numPr>
        <w:kinsoku/>
        <w:wordWrap/>
        <w:overflowPunct/>
        <w:topLinePunct w:val="0"/>
        <w:autoSpaceDE/>
        <w:autoSpaceDN/>
        <w:bidi w:val="0"/>
        <w:adjustRightInd/>
        <w:snapToGrid/>
        <w:spacing w:line="440" w:lineRule="exact"/>
        <w:jc w:val="left"/>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其他要求</w:t>
      </w:r>
    </w:p>
    <w:p w14:paraId="4EB45FF6">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医疗设备质量保证和售后服务要求</w:t>
      </w:r>
    </w:p>
    <w:p w14:paraId="1C45693E">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1.乙方须保证在甲方使用设备、服务及其任何一部分时不受第三方关于侵权的指控，如果出现此类情况，由乙方与第三方交涉并承担可能发生的一切经济和法律责任。</w:t>
      </w:r>
    </w:p>
    <w:p w14:paraId="2F05A4DD">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2.乙方应采用相应标准的保护措施进行包装，并承担由于其包装不妥引起的货物锈蚀、损坏和丢失等责任。（因医疗设备贵重精密，明确货物保护措施标准，以便如发生争议时好协商处理）</w:t>
      </w:r>
    </w:p>
    <w:p w14:paraId="1DBDB5CA">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3.运输及到货地点:由乙方负责运输，运至甲方指定的安装现场，费用包括在合同总价中。运输中产生的问题，包括但不限于运输货物丢失、货物发送错误造成的折返等问题产生的费用，由乙方承担。</w:t>
      </w:r>
    </w:p>
    <w:p w14:paraId="69469235">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4.乙方所供货物的技术标准应符合国家相关部门最新颁布的相应标准，确保所供产品必须是最新、最成熟、性能最完善的产品，所提供的软件是当前最新软件版本，使用期内乙方提供软件免费升级服务。（“最新”这种表述不精准，建议以合同签订时间，采购设备时间为参照物，界定最的程度，同时乙方提供佐证材料）</w:t>
      </w:r>
    </w:p>
    <w:p w14:paraId="01256F05">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5.交货时，乙方必须提供产品检验合格证书、装箱单、产品安装使用说明书、维修指南、服务手册等全部资料。</w:t>
      </w:r>
    </w:p>
    <w:p w14:paraId="44424C1D">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6.为保障医院医疗信息系统正常实施运行，乙方提供的设备须无条件终生免费开放设备数字信息系统接口，以便院方信息系统采集数据。若乙方无法完成上述约定，甲方有权扣除全部质保金，并按照设备总价20%扣除供货方的违约金以完成院方信息采集相关费用。（质保金请明确约定金额多少）</w:t>
      </w:r>
    </w:p>
    <w:p w14:paraId="53796AA5">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7.安装及验收:甲方必须提前一天通知乙方具体的安装时间，乙方免费负责设备的安装和调试。设备安装调试结束后，交使用科室正常使用十五天后，甲乙双方共同组织验收，同时乙方必须提供自治区计量测试研究院、特种设备检验研究院或卫生监督所等相关检测单位出具的合格的检测合格证，检测费用由乙方承担。验收合格后次日，进入保修期，乙方向甲方提供完整的中文维修保养资料。</w:t>
      </w:r>
    </w:p>
    <w:p w14:paraId="0DC024BF">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保修期为设备使用期，即设备安装完毕后一直到停止使用该设备。</w:t>
      </w:r>
    </w:p>
    <w:p w14:paraId="6295F200">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8.设备使用期间，乙方无条件提供与设备维修相关的密码。</w:t>
      </w:r>
    </w:p>
    <w:p w14:paraId="4EF82EFC">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9.质保期:安装调试验收(以甲方验收时间为准）合格后起(一次性耗材除外）无条件免费整机质保1年。在使用期内提供原厂的售后服务，终身维护。保修期后该设备无年质保费，乙方提供易损件、配件清单报价单，一次性耗材清单报价单，先维修后付款，零配件购买，交货后付款。保修期内每年至少提供贰次预防性保养，如未能提供该项服务，每次扣除10%的质保金。</w:t>
      </w:r>
    </w:p>
    <w:p w14:paraId="48C52CFA">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10.培训:乙方负责对甲方维修人员和使用人员进行培训。（明确培训次数）培训地点:甲方提供。培训目标：使甲方维修人员能对设备的日常维护和一般性故障的查找及故障的排除，使用人员能熟练掌握设备的各项操作。明确培训目标达成检测标准，比如通过现场实操等。</w:t>
      </w:r>
    </w:p>
    <w:p w14:paraId="39CD9460">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11.保修期内开机率不得低于98%(按工作日计算），累计故障不超过六天，保修时间按1:3顺延，提供正规的备品、备件价格表，配件到达日期，国内不超过3天。</w:t>
      </w:r>
    </w:p>
    <w:p w14:paraId="2750C263">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12.保修条款:产品在质保期内，如发生由于产品本身质量所引起的故障，乙方负责免费维修或更换，并相应延长所更换或维修过的零配件保修期；乙方在接到甲方报修电话后2小时内应予应答，如电话无法解决问题乙方应安排工程师48小时内到达现场解决问题。设备在保修期内出现三次及三次以上因质量问题引起的故障，乙方负责更换同类新的产品，由此产生的一切费用乙方承担。此费用甲方可以从合同总金额5%的质保金中直接扣除，对不足以抵偿的部分，甲方保留追索的权利。</w:t>
      </w:r>
    </w:p>
    <w:p w14:paraId="158E9C33">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13.乙方对由于产品质量问题产生的医疗纠纷承担一切责任，并承担相关费用。</w:t>
      </w:r>
    </w:p>
    <w:p w14:paraId="08A9A163">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14.健身器材的售后服务</w:t>
      </w:r>
    </w:p>
    <w:p w14:paraId="3EDD1282">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14.1除项目不涉及或采购活动中明确约定无须承担外，乙方还应提供下列服务：</w:t>
      </w:r>
    </w:p>
    <w:p w14:paraId="5EF99DC2">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（1）货物的现场移动、安装、调试、启动监督及技术支持；</w:t>
      </w:r>
    </w:p>
    <w:p w14:paraId="08E07997">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（2）提供货物组装和维修所需的专用工具和辅助材料；</w:t>
      </w:r>
    </w:p>
    <w:p w14:paraId="3CA3C636">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（3）在【政府采购合同专用条款】约定的期限内对所有的货物实施运行监督、维修，但前提条件是该服务并不能免除乙方在质量保证期内所承担的义务；</w:t>
      </w:r>
    </w:p>
    <w:p w14:paraId="79323C3E">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（4）在制造商所在地或指定现场就货物的安装、启动、运营、维护、废弃处置等对甲方操作人员进行培训；</w:t>
      </w:r>
    </w:p>
    <w:p w14:paraId="695636E7">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（5）依照法律、行政法规的规定或者按照【政府采购合同专用条款】约定，货物在有效使用年限届满后应予回收的，乙方负有自行或者委托第三人对货物予以回收的义务；</w:t>
      </w:r>
    </w:p>
    <w:p w14:paraId="35199BEA">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（6）【政府采购合同专用条款】规定由乙方提供的其他服务。</w:t>
      </w:r>
    </w:p>
    <w:p w14:paraId="600C4196">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14.2乙方提供的售后服务的费用已包含在合同价款中，甲方不再另行支付。</w:t>
      </w:r>
    </w:p>
    <w:p w14:paraId="6576BFA2">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14.3.质保期</w:t>
      </w:r>
    </w:p>
    <w:p w14:paraId="365F298B">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（1）医疗设备安装调试验收(以甲方验收时间为准）合格后起(一次性耗材除外）无条件免费整机质保1年；</w:t>
      </w:r>
    </w:p>
    <w:p w14:paraId="46CCE5C7">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（2）健身器材产品质保期为2年；</w:t>
      </w:r>
    </w:p>
    <w:p w14:paraId="2524BAD3">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（3）如产品出厂的质保期大于2年的以出厂的质保期为准。</w:t>
      </w:r>
    </w:p>
    <w:p w14:paraId="3F429CDF">
      <w:pPr>
        <w:keepNext w:val="0"/>
        <w:keepLines w:val="0"/>
        <w:pageBreakBefore w:val="0"/>
        <w:numPr>
          <w:ilvl w:val="0"/>
          <w:numId w:val="0"/>
        </w:numPr>
        <w:kinsoku/>
        <w:wordWrap/>
        <w:overflowPunct/>
        <w:topLinePunct w:val="0"/>
        <w:autoSpaceDE/>
        <w:autoSpaceDN/>
        <w:bidi w:val="0"/>
        <w:adjustRightInd/>
        <w:snapToGrid/>
        <w:spacing w:line="440" w:lineRule="exact"/>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合同履行中如发生争议，由双方协商解决，如协商不成，应向乌鲁木齐仲裁委员会提起仲裁解决。</w:t>
      </w:r>
    </w:p>
    <w:p w14:paraId="2F05AAA1">
      <w:pPr>
        <w:keepNext w:val="0"/>
        <w:keepLines w:val="0"/>
        <w:pageBreakBefore w:val="0"/>
        <w:numPr>
          <w:ilvl w:val="0"/>
          <w:numId w:val="0"/>
        </w:numPr>
        <w:kinsoku/>
        <w:wordWrap/>
        <w:overflowPunct/>
        <w:topLinePunct w:val="0"/>
        <w:autoSpaceDE/>
        <w:autoSpaceDN/>
        <w:bidi w:val="0"/>
        <w:adjustRightInd/>
        <w:snapToGrid/>
        <w:spacing w:line="440" w:lineRule="exact"/>
        <w:jc w:val="left"/>
        <w:rPr>
          <w:rFonts w:hint="default" w:ascii="仿宋" w:hAnsi="仿宋" w:eastAsia="仿宋" w:cs="仿宋"/>
          <w:b/>
          <w:bCs/>
          <w:color w:val="auto"/>
          <w:sz w:val="36"/>
          <w:szCs w:val="36"/>
          <w:highlight w:val="none"/>
          <w:lang w:val="en-US" w:eastAsia="zh-CN"/>
        </w:rPr>
      </w:pPr>
    </w:p>
    <w:p w14:paraId="7E3E6EA3">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r>
    </w:p>
    <w:p w14:paraId="31395417">
      <w:pPr>
        <w:pStyle w:val="80"/>
        <w:spacing w:before="0" w:after="0"/>
        <w:rPr>
          <w:rFonts w:hint="eastAsia" w:ascii="仿宋" w:hAnsi="仿宋" w:eastAsia="仿宋" w:cs="仿宋"/>
          <w:b/>
          <w:color w:val="auto"/>
          <w:kern w:val="2"/>
          <w:sz w:val="36"/>
          <w:szCs w:val="36"/>
          <w:highlight w:val="none"/>
          <w:lang w:eastAsia="zh-CN"/>
        </w:rPr>
      </w:pPr>
      <w:r>
        <w:rPr>
          <w:rFonts w:hint="eastAsia" w:ascii="仿宋" w:hAnsi="仿宋" w:eastAsia="仿宋" w:cs="仿宋"/>
          <w:b/>
          <w:color w:val="auto"/>
          <w:kern w:val="2"/>
          <w:sz w:val="36"/>
          <w:szCs w:val="36"/>
          <w:highlight w:val="none"/>
        </w:rPr>
        <w:t>第四部分合同</w:t>
      </w:r>
      <w:bookmarkEnd w:id="13"/>
      <w:r>
        <w:rPr>
          <w:rFonts w:hint="eastAsia" w:ascii="仿宋" w:hAnsi="仿宋" w:eastAsia="仿宋" w:cs="仿宋"/>
          <w:b/>
          <w:color w:val="auto"/>
          <w:kern w:val="2"/>
          <w:sz w:val="36"/>
          <w:szCs w:val="36"/>
          <w:highlight w:val="none"/>
          <w:lang w:eastAsia="zh-CN"/>
        </w:rPr>
        <w:t>条款</w:t>
      </w:r>
    </w:p>
    <w:p w14:paraId="595CD2CC">
      <w:pPr>
        <w:pStyle w:val="62"/>
        <w:jc w:val="both"/>
        <w:rPr>
          <w:rFonts w:hint="eastAsia" w:ascii="仿宋" w:hAnsi="仿宋" w:eastAsia="仿宋" w:cs="仿宋"/>
          <w:b/>
          <w:color w:val="auto"/>
          <w:highlight w:val="none"/>
        </w:rPr>
      </w:pPr>
      <w:bookmarkStart w:id="15" w:name="_Toc26195"/>
    </w:p>
    <w:p w14:paraId="63C204C4">
      <w:pPr>
        <w:wordWrap w:val="0"/>
        <w:ind w:firstLine="5760" w:firstLineChars="2400"/>
        <w:jc w:val="left"/>
        <w:rPr>
          <w:rFonts w:hint="eastAsia" w:ascii="仿宋" w:hAnsi="仿宋" w:eastAsia="仿宋" w:cs="仿宋"/>
          <w:bCs/>
          <w:color w:val="auto"/>
          <w:sz w:val="24"/>
          <w:szCs w:val="24"/>
          <w:highlight w:val="none"/>
        </w:rPr>
      </w:pPr>
    </w:p>
    <w:bookmarkEnd w:id="15"/>
    <w:p w14:paraId="256F31A9">
      <w:pPr>
        <w:pStyle w:val="14"/>
        <w:ind w:left="0"/>
        <w:rPr>
          <w:rFonts w:hint="eastAsia" w:ascii="仿宋" w:hAnsi="仿宋" w:eastAsia="仿宋" w:cs="仿宋"/>
          <w:color w:val="auto"/>
          <w:highlight w:val="none"/>
        </w:rPr>
      </w:pPr>
      <w:bookmarkStart w:id="16" w:name="_Toc134550684"/>
    </w:p>
    <w:p w14:paraId="14C685B5">
      <w:pPr>
        <w:pStyle w:val="14"/>
        <w:ind w:left="0"/>
        <w:rPr>
          <w:rFonts w:hint="eastAsia" w:ascii="仿宋" w:hAnsi="仿宋" w:eastAsia="仿宋" w:cs="仿宋"/>
          <w:color w:val="auto"/>
          <w:highlight w:val="none"/>
        </w:rPr>
      </w:pPr>
    </w:p>
    <w:p w14:paraId="43CC8F17">
      <w:pPr>
        <w:spacing w:line="560" w:lineRule="exact"/>
        <w:ind w:firstLine="601"/>
        <w:jc w:val="center"/>
        <w:rPr>
          <w:rFonts w:ascii="宋体" w:hAnsi="宋体"/>
          <w:b/>
          <w:color w:val="auto"/>
          <w:sz w:val="44"/>
          <w:szCs w:val="44"/>
          <w:highlight w:val="none"/>
        </w:rPr>
      </w:pPr>
      <w:r>
        <w:rPr>
          <w:rFonts w:hint="eastAsia" w:ascii="宋体" w:hAnsi="宋体"/>
          <w:b/>
          <w:color w:val="auto"/>
          <w:sz w:val="44"/>
          <w:szCs w:val="44"/>
          <w:highlight w:val="none"/>
          <w:lang w:eastAsia="zh-CN"/>
        </w:rPr>
        <w:t>新疆维吾尔自治区民政康复中心医疗条件改造提升项目（其他医疗设备）</w:t>
      </w:r>
      <w:r>
        <w:rPr>
          <w:rFonts w:hint="eastAsia" w:ascii="宋体" w:hAnsi="宋体"/>
          <w:b/>
          <w:color w:val="auto"/>
          <w:sz w:val="44"/>
          <w:szCs w:val="44"/>
          <w:highlight w:val="none"/>
        </w:rPr>
        <w:t>采购合同书</w:t>
      </w:r>
    </w:p>
    <w:p w14:paraId="4767879C">
      <w:pPr>
        <w:spacing w:line="560" w:lineRule="exact"/>
        <w:ind w:firstLine="601"/>
        <w:jc w:val="center"/>
        <w:rPr>
          <w:rFonts w:hint="eastAsia" w:ascii="宋体" w:hAnsi="宋体"/>
          <w:b/>
          <w:color w:val="auto"/>
          <w:sz w:val="32"/>
          <w:szCs w:val="32"/>
          <w:highlight w:val="none"/>
        </w:rPr>
      </w:pPr>
    </w:p>
    <w:p w14:paraId="13FCE4B1">
      <w:pPr>
        <w:spacing w:line="560" w:lineRule="exact"/>
        <w:rPr>
          <w:rFonts w:hint="eastAsia" w:ascii="仿宋" w:hAnsi="仿宋" w:eastAsia="仿宋"/>
          <w:color w:val="auto"/>
          <w:sz w:val="24"/>
          <w:highlight w:val="none"/>
        </w:rPr>
      </w:pPr>
    </w:p>
    <w:p w14:paraId="718DF048">
      <w:pPr>
        <w:spacing w:line="560" w:lineRule="exact"/>
        <w:rPr>
          <w:rFonts w:hint="eastAsia" w:ascii="仿宋" w:hAnsi="仿宋" w:eastAsia="仿宋"/>
          <w:color w:val="auto"/>
          <w:sz w:val="24"/>
          <w:highlight w:val="none"/>
        </w:rPr>
      </w:pPr>
    </w:p>
    <w:p w14:paraId="13D82AF8">
      <w:pPr>
        <w:jc w:val="center"/>
        <w:rPr>
          <w:b/>
          <w:color w:val="auto"/>
          <w:sz w:val="28"/>
          <w:szCs w:val="28"/>
          <w:highlight w:val="none"/>
        </w:rPr>
      </w:pPr>
      <w:r>
        <w:rPr>
          <w:rFonts w:hint="eastAsia"/>
          <w:b/>
          <w:color w:val="auto"/>
          <w:sz w:val="28"/>
          <w:szCs w:val="28"/>
          <w:highlight w:val="none"/>
        </w:rPr>
        <w:t>合同科提示：此合同内容仅供参考，具体内容按照招</w:t>
      </w:r>
      <w:r>
        <w:rPr>
          <w:rFonts w:hint="eastAsia"/>
          <w:b/>
          <w:color w:val="auto"/>
          <w:sz w:val="28"/>
          <w:szCs w:val="28"/>
          <w:highlight w:val="none"/>
          <w:lang w:val="en-US" w:eastAsia="zh-CN"/>
        </w:rPr>
        <w:t>响应</w:t>
      </w:r>
      <w:r>
        <w:rPr>
          <w:rFonts w:hint="eastAsia"/>
          <w:b/>
          <w:color w:val="auto"/>
          <w:sz w:val="28"/>
          <w:szCs w:val="28"/>
          <w:highlight w:val="none"/>
        </w:rPr>
        <w:t>文件填写为准。</w:t>
      </w:r>
    </w:p>
    <w:p w14:paraId="681B15B3">
      <w:pPr>
        <w:spacing w:line="560" w:lineRule="exact"/>
        <w:ind w:firstLine="0" w:firstLineChars="0"/>
        <w:jc w:val="left"/>
        <w:rPr>
          <w:rFonts w:hint="eastAsia" w:ascii="宋体" w:hAnsi="宋体"/>
          <w:color w:val="auto"/>
          <w:sz w:val="30"/>
          <w:szCs w:val="30"/>
          <w:highlight w:val="none"/>
        </w:rPr>
      </w:pPr>
    </w:p>
    <w:p w14:paraId="7B507A14">
      <w:pPr>
        <w:spacing w:line="560" w:lineRule="exact"/>
        <w:ind w:firstLine="1350" w:firstLineChars="450"/>
        <w:jc w:val="left"/>
        <w:rPr>
          <w:rFonts w:hint="eastAsia" w:ascii="宋体" w:hAnsi="宋体"/>
          <w:color w:val="auto"/>
          <w:sz w:val="30"/>
          <w:szCs w:val="30"/>
          <w:highlight w:val="none"/>
        </w:rPr>
      </w:pPr>
    </w:p>
    <w:p w14:paraId="6CCC65D0">
      <w:pPr>
        <w:spacing w:line="560" w:lineRule="exact"/>
        <w:ind w:left="2837" w:leftChars="638" w:hanging="1497" w:hangingChars="499"/>
        <w:jc w:val="left"/>
        <w:rPr>
          <w:rFonts w:hint="eastAsia" w:ascii="宋体" w:hAnsi="宋体"/>
          <w:color w:val="auto"/>
          <w:sz w:val="30"/>
          <w:szCs w:val="30"/>
          <w:highlight w:val="none"/>
        </w:rPr>
      </w:pPr>
      <w:r>
        <w:rPr>
          <w:rFonts w:hint="eastAsia" w:ascii="宋体" w:hAnsi="宋体"/>
          <w:color w:val="auto"/>
          <w:sz w:val="30"/>
          <w:szCs w:val="30"/>
          <w:highlight w:val="none"/>
        </w:rPr>
        <w:t>买方：新疆维吾尔自治区民政康复中心</w:t>
      </w:r>
    </w:p>
    <w:p w14:paraId="66BE7A3A">
      <w:pPr>
        <w:spacing w:line="560" w:lineRule="exact"/>
        <w:ind w:firstLine="1350" w:firstLineChars="450"/>
        <w:jc w:val="left"/>
        <w:rPr>
          <w:rFonts w:hint="eastAsia" w:ascii="宋体" w:hAnsi="宋体"/>
          <w:color w:val="auto"/>
          <w:sz w:val="30"/>
          <w:szCs w:val="30"/>
          <w:highlight w:val="none"/>
        </w:rPr>
      </w:pPr>
      <w:r>
        <w:rPr>
          <w:rFonts w:hint="eastAsia" w:ascii="宋体" w:hAnsi="宋体"/>
          <w:color w:val="auto"/>
          <w:sz w:val="30"/>
          <w:szCs w:val="30"/>
          <w:highlight w:val="none"/>
        </w:rPr>
        <w:t>卖方：</w:t>
      </w:r>
    </w:p>
    <w:p w14:paraId="2B581DD3">
      <w:pPr>
        <w:spacing w:line="560" w:lineRule="exact"/>
        <w:ind w:firstLine="1350" w:firstLineChars="450"/>
        <w:jc w:val="left"/>
        <w:rPr>
          <w:rFonts w:hint="eastAsia" w:ascii="宋体" w:hAnsi="宋体"/>
          <w:color w:val="auto"/>
          <w:sz w:val="30"/>
          <w:szCs w:val="30"/>
          <w:highlight w:val="none"/>
        </w:rPr>
      </w:pPr>
    </w:p>
    <w:p w14:paraId="49DB7738">
      <w:pPr>
        <w:spacing w:line="560" w:lineRule="exact"/>
        <w:ind w:firstLine="1350" w:firstLineChars="450"/>
        <w:jc w:val="left"/>
        <w:rPr>
          <w:rFonts w:hint="eastAsia" w:ascii="宋体" w:hAnsi="宋体"/>
          <w:color w:val="auto"/>
          <w:sz w:val="30"/>
          <w:szCs w:val="30"/>
          <w:highlight w:val="none"/>
        </w:rPr>
      </w:pPr>
      <w:r>
        <w:rPr>
          <w:rFonts w:hint="eastAsia" w:ascii="宋体" w:hAnsi="宋体"/>
          <w:color w:val="auto"/>
          <w:sz w:val="30"/>
          <w:szCs w:val="30"/>
          <w:highlight w:val="none"/>
        </w:rPr>
        <w:t>签约地点：新疆乌鲁木齐市</w:t>
      </w:r>
    </w:p>
    <w:p w14:paraId="2E8B902C">
      <w:pPr>
        <w:spacing w:line="560" w:lineRule="exact"/>
        <w:ind w:firstLine="1350" w:firstLineChars="450"/>
        <w:jc w:val="left"/>
        <w:rPr>
          <w:rFonts w:hint="eastAsia" w:ascii="宋体" w:hAnsi="宋体"/>
          <w:color w:val="auto"/>
          <w:sz w:val="30"/>
          <w:szCs w:val="30"/>
          <w:highlight w:val="none"/>
        </w:rPr>
      </w:pPr>
    </w:p>
    <w:p w14:paraId="39CE24B1">
      <w:pPr>
        <w:spacing w:line="560" w:lineRule="exact"/>
        <w:ind w:firstLine="1350" w:firstLineChars="450"/>
        <w:jc w:val="left"/>
        <w:rPr>
          <w:rFonts w:hint="eastAsia" w:ascii="宋体" w:hAnsi="宋体" w:eastAsia="宋体"/>
          <w:color w:val="auto"/>
          <w:sz w:val="30"/>
          <w:szCs w:val="30"/>
          <w:highlight w:val="none"/>
          <w:lang w:eastAsia="zh-CN"/>
        </w:rPr>
      </w:pPr>
      <w:r>
        <w:rPr>
          <w:rFonts w:hint="eastAsia" w:ascii="宋体" w:hAnsi="宋体"/>
          <w:color w:val="auto"/>
          <w:sz w:val="30"/>
          <w:szCs w:val="30"/>
          <w:highlight w:val="none"/>
        </w:rPr>
        <w:t>签约日期：</w:t>
      </w:r>
    </w:p>
    <w:p w14:paraId="33E4F51D">
      <w:pPr>
        <w:pStyle w:val="10"/>
        <w:rPr>
          <w:rFonts w:hint="eastAsia"/>
          <w:color w:val="auto"/>
          <w:highlight w:val="none"/>
        </w:rPr>
      </w:pPr>
    </w:p>
    <w:p w14:paraId="443EE0BE">
      <w:pPr>
        <w:spacing w:line="560" w:lineRule="exact"/>
        <w:ind w:firstLine="1350" w:firstLineChars="450"/>
        <w:jc w:val="left"/>
        <w:rPr>
          <w:rFonts w:hint="eastAsia" w:ascii="宋体" w:hAnsi="宋体" w:eastAsia="宋体"/>
          <w:color w:val="auto"/>
          <w:sz w:val="30"/>
          <w:szCs w:val="30"/>
          <w:highlight w:val="none"/>
          <w:lang w:eastAsia="zh-CN"/>
        </w:rPr>
      </w:pPr>
      <w:r>
        <w:rPr>
          <w:rFonts w:hint="eastAsia" w:ascii="宋体" w:hAnsi="宋体"/>
          <w:color w:val="auto"/>
          <w:sz w:val="30"/>
          <w:szCs w:val="30"/>
          <w:highlight w:val="none"/>
        </w:rPr>
        <w:t>律审编号：</w:t>
      </w:r>
    </w:p>
    <w:p w14:paraId="0DBC395B">
      <w:pPr>
        <w:spacing w:line="560" w:lineRule="exact"/>
        <w:rPr>
          <w:rFonts w:hint="eastAsia" w:ascii="仿宋" w:hAnsi="仿宋" w:eastAsia="仿宋"/>
          <w:color w:val="auto"/>
          <w:sz w:val="24"/>
          <w:highlight w:val="none"/>
        </w:rPr>
      </w:pPr>
    </w:p>
    <w:p w14:paraId="2289AF31">
      <w:pPr>
        <w:spacing w:line="360" w:lineRule="auto"/>
        <w:rPr>
          <w:rFonts w:hint="eastAsia" w:ascii="宋体" w:hAnsi="宋体" w:cs="宋体"/>
          <w:color w:val="auto"/>
          <w:sz w:val="36"/>
          <w:szCs w:val="36"/>
          <w:highlight w:val="none"/>
        </w:rPr>
      </w:pPr>
    </w:p>
    <w:p w14:paraId="23B3DA45">
      <w:pPr>
        <w:spacing w:line="360" w:lineRule="auto"/>
        <w:ind w:firstLine="3240" w:firstLineChars="900"/>
        <w:rPr>
          <w:rFonts w:hint="eastAsia" w:ascii="宋体" w:hAnsi="宋体" w:cs="宋体"/>
          <w:color w:val="auto"/>
          <w:sz w:val="36"/>
          <w:szCs w:val="36"/>
          <w:highlight w:val="none"/>
        </w:rPr>
      </w:pPr>
      <w:r>
        <w:rPr>
          <w:rFonts w:hint="eastAsia" w:ascii="宋体" w:hAnsi="宋体" w:cs="宋体"/>
          <w:color w:val="auto"/>
          <w:sz w:val="36"/>
          <w:szCs w:val="36"/>
          <w:highlight w:val="none"/>
        </w:rPr>
        <w:t>二〇二年月</w:t>
      </w:r>
    </w:p>
    <w:p w14:paraId="4547CE3D">
      <w:pPr>
        <w:spacing w:line="240" w:lineRule="auto"/>
        <w:ind w:firstLine="0" w:firstLineChars="0"/>
        <w:rPr>
          <w:rFonts w:hint="default" w:ascii="Times New Roman" w:hAnsi="Times New Roman" w:cs="Times New Roman"/>
          <w:color w:val="auto"/>
          <w:sz w:val="21"/>
          <w:szCs w:val="20"/>
          <w:highlight w:val="none"/>
        </w:rPr>
      </w:pPr>
    </w:p>
    <w:p w14:paraId="328AC65C">
      <w:pPr>
        <w:spacing w:line="240" w:lineRule="auto"/>
        <w:ind w:firstLine="0" w:firstLineChars="0"/>
        <w:rPr>
          <w:rFonts w:hint="default" w:ascii="Times New Roman" w:hAnsi="Times New Roman" w:cs="Times New Roman"/>
          <w:color w:val="auto"/>
          <w:sz w:val="21"/>
          <w:szCs w:val="20"/>
          <w:highlight w:val="none"/>
        </w:rPr>
      </w:pPr>
    </w:p>
    <w:p w14:paraId="71107B7B">
      <w:pPr>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br w:type="page"/>
      </w:r>
    </w:p>
    <w:p w14:paraId="359ED502">
      <w:pPr>
        <w:spacing w:line="48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甲方（买方）：新疆维吾尔自治区民政康复中心</w:t>
      </w:r>
    </w:p>
    <w:p w14:paraId="6F75D638">
      <w:pPr>
        <w:spacing w:line="480" w:lineRule="exac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地址：</w:t>
      </w:r>
    </w:p>
    <w:p w14:paraId="4F9772BF">
      <w:pPr>
        <w:spacing w:line="480" w:lineRule="exact"/>
        <w:rPr>
          <w:rFonts w:hint="eastAsia" w:ascii="仿宋_GB2312" w:hAnsi="仿宋_GB2312" w:eastAsia="仿宋_GB2312"/>
          <w:color w:val="auto"/>
          <w:sz w:val="24"/>
          <w:highlight w:val="none"/>
        </w:rPr>
      </w:pPr>
    </w:p>
    <w:p w14:paraId="7256EA45">
      <w:pPr>
        <w:spacing w:line="48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乙方（卖方）：</w:t>
      </w:r>
    </w:p>
    <w:p w14:paraId="0D070B8A">
      <w:pPr>
        <w:spacing w:line="48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地址：</w:t>
      </w:r>
    </w:p>
    <w:p w14:paraId="71F818BC">
      <w:pPr>
        <w:spacing w:line="48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电话：</w:t>
      </w:r>
    </w:p>
    <w:p w14:paraId="57C96D6F">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新疆维吾尔自治区民政康复中心（以下简称甲方）与（以下简称乙方）就</w:t>
      </w:r>
      <w:r>
        <w:rPr>
          <w:rFonts w:hint="eastAsia" w:ascii="仿宋_GB2312" w:hAnsi="仿宋_GB2312" w:eastAsia="仿宋_GB2312"/>
          <w:color w:val="auto"/>
          <w:sz w:val="24"/>
          <w:highlight w:val="none"/>
          <w:u w:val="single"/>
        </w:rPr>
        <w:t>（项目名称）</w:t>
      </w:r>
      <w:r>
        <w:rPr>
          <w:rFonts w:hint="eastAsia" w:ascii="仿宋_GB2312" w:hAnsi="仿宋_GB2312" w:eastAsia="仿宋_GB2312"/>
          <w:color w:val="auto"/>
          <w:sz w:val="24"/>
          <w:highlight w:val="none"/>
          <w:u w:val="single"/>
          <w:lang w:eastAsia="zh-CN"/>
        </w:rPr>
        <w:t>新疆维吾尔自治区民政康复中心医疗条件改造提升项目（其他医疗设备）</w:t>
      </w:r>
      <w:r>
        <w:rPr>
          <w:rFonts w:hint="eastAsia" w:ascii="仿宋_GB2312" w:hAnsi="仿宋_GB2312" w:eastAsia="仿宋_GB2312"/>
          <w:color w:val="auto"/>
          <w:sz w:val="24"/>
          <w:highlight w:val="none"/>
        </w:rPr>
        <w:t>，（项目编号）采购事宜，根据《中华人民共和国民法典》《中华人民共和国政府采购法》以及本采购项目的招标/谈判文件等采购文件、乙方的《投标（响应）文件》及《中标（成交）通知书》等，本着平等、自愿、互利、互惠的原则，经各方协商一致，订立本合同。</w:t>
      </w:r>
    </w:p>
    <w:p w14:paraId="0EBFA49B">
      <w:pPr>
        <w:spacing w:line="480" w:lineRule="exact"/>
        <w:ind w:firstLine="480" w:firstLineChars="200"/>
        <w:jc w:val="center"/>
        <w:rPr>
          <w:rFonts w:hint="eastAsia" w:ascii="仿宋_GB2312" w:hAnsi="仿宋_GB2312" w:eastAsia="仿宋_GB2312"/>
          <w:color w:val="auto"/>
          <w:sz w:val="24"/>
          <w:highlight w:val="none"/>
        </w:rPr>
      </w:pPr>
    </w:p>
    <w:p w14:paraId="24897DDC">
      <w:pPr>
        <w:tabs>
          <w:tab w:val="center" w:pos="4394"/>
          <w:tab w:val="left" w:pos="6889"/>
        </w:tabs>
        <w:spacing w:line="480" w:lineRule="exact"/>
        <w:ind w:firstLine="482" w:firstLineChars="200"/>
        <w:jc w:val="left"/>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ab/>
      </w:r>
      <w:r>
        <w:rPr>
          <w:rFonts w:hint="eastAsia" w:ascii="仿宋_GB2312" w:hAnsi="仿宋_GB2312" w:eastAsia="仿宋_GB2312"/>
          <w:b/>
          <w:color w:val="auto"/>
          <w:sz w:val="24"/>
          <w:highlight w:val="none"/>
        </w:rPr>
        <w:t>第一部分通用条款</w:t>
      </w:r>
      <w:r>
        <w:rPr>
          <w:rFonts w:hint="eastAsia" w:ascii="仿宋_GB2312" w:hAnsi="仿宋_GB2312" w:eastAsia="仿宋_GB2312"/>
          <w:b/>
          <w:color w:val="auto"/>
          <w:sz w:val="24"/>
          <w:highlight w:val="none"/>
        </w:rPr>
        <w:tab/>
      </w:r>
    </w:p>
    <w:p w14:paraId="75A15413">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在此供应的货物，乙方同意做如下保证：</w:t>
      </w:r>
    </w:p>
    <w:p w14:paraId="22317D8D">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一、乙方供应的全部货物，必须在不涉及任何担保、留置权、专利权使用费的情况下，交付与本合同规定完全相同的货物。</w:t>
      </w:r>
    </w:p>
    <w:p w14:paraId="40956E4C">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二、不能将甲方全部或部分付款看作是对有缺陷的工艺或不合格货物的认可。</w:t>
      </w:r>
    </w:p>
    <w:p w14:paraId="72E22312">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三、所供货物均须符合质量标准、检测报告或行业标准的相关规定，并且不涉及任何侵权行为或任何索赔。</w:t>
      </w:r>
    </w:p>
    <w:p w14:paraId="19A55219">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四、甲方收到本合同项下的货物，并不表示甲方自动放弃因延期交货、货物不合格或货物与本合同不相符造成的损失而提出索赔的权利。若货物名称、型号、规格、数量、质量等不符合本合同约定，甲方可在收货后随时向乙方提出异议，乙方应免费更换直至货物完全符合本合同约定，且乙方需承担逾期交货的责任。</w:t>
      </w:r>
    </w:p>
    <w:p w14:paraId="6E03B113">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甲方未提出异议的，乙方仍应于货物质保期内承担保固责任。甲方对货物的验收手续仅仅证明乙方交货的行为，并不能免除乙方应当承担的货物质量责任。</w:t>
      </w:r>
    </w:p>
    <w:p w14:paraId="150D24D4">
      <w:pPr>
        <w:spacing w:line="480" w:lineRule="exact"/>
        <w:ind w:firstLine="360" w:firstLineChars="150"/>
        <w:jc w:val="lef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因乙方货物质量瑕疵原因导致甲方对其他第三方承担的违约金、损失赔偿等任何赔偿责任，全部由乙方承担，且乙方对此无异议。</w:t>
      </w:r>
    </w:p>
    <w:p w14:paraId="314D7E1B">
      <w:pPr>
        <w:spacing w:line="480" w:lineRule="exact"/>
        <w:ind w:firstLine="360" w:firstLineChars="150"/>
        <w:jc w:val="lef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五、甲方有要求乙方延迟一段合理时间再行交货的权利。</w:t>
      </w:r>
    </w:p>
    <w:p w14:paraId="2842ACC8">
      <w:pPr>
        <w:spacing w:line="480" w:lineRule="exact"/>
        <w:ind w:firstLine="360" w:firstLineChars="150"/>
        <w:jc w:val="lef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六、除非甲方要求，乙方必须在本合同规定时间内进行交货。乙方同意偿付甲方可能因无法按照本合同约定时间进行交货而引起的所有额外的违约金、赔偿金以及其他费用。</w:t>
      </w:r>
    </w:p>
    <w:p w14:paraId="5685C5CF">
      <w:pPr>
        <w:spacing w:line="480" w:lineRule="exact"/>
        <w:ind w:firstLine="360" w:firstLineChars="150"/>
        <w:jc w:val="lef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七、在项目终止或甲方订立本合同所依据的本项目合同终止时，甲方经书面通知可解除本合同，此种情况不做违约处理。</w:t>
      </w:r>
    </w:p>
    <w:p w14:paraId="6BC8C42F">
      <w:pPr>
        <w:spacing w:line="480" w:lineRule="exact"/>
        <w:ind w:firstLine="360" w:firstLineChars="150"/>
        <w:jc w:val="lef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八、所有交付到甲方现场的货物必须附有交货单。签字的交货单必须附在所有发票上作为本合同付款的前提条件。</w:t>
      </w:r>
    </w:p>
    <w:p w14:paraId="401C3A4D">
      <w:pPr>
        <w:spacing w:line="480" w:lineRule="exact"/>
        <w:ind w:firstLine="360" w:firstLineChars="150"/>
        <w:jc w:val="lef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九、所有交货费用均由乙方承担，乙方保证使甲方免于承担全部运费、快递费、保险费、装卸费、其他杂费以及由此带来的任何索赔，本合同专用条款有特别约定的，从特别约定。</w:t>
      </w:r>
    </w:p>
    <w:p w14:paraId="5D23D449">
      <w:pPr>
        <w:spacing w:line="480" w:lineRule="exact"/>
        <w:ind w:firstLine="360" w:firstLineChars="150"/>
        <w:jc w:val="lef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十、乙方分批供应货物的，甲方有权对任何一批货物的数量进行抽查核实，如果实际数量与乙方所提供的数量有短缺的，则乙方此前所供货物的全部数量均应按本批货物短缺比例作相应减少计算。</w:t>
      </w:r>
    </w:p>
    <w:p w14:paraId="7CFD608C">
      <w:pPr>
        <w:spacing w:line="480" w:lineRule="exact"/>
        <w:ind w:firstLine="360" w:firstLineChars="150"/>
        <w:jc w:val="lef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十一、因乙方所交货物的权利瑕疵、品质瑕疵等导致甲方遭受任何损失的，乙方保证承担全部赔偿责任。在因上述瑕疵导致甲方陷入索赔纠纷或诉讼中的，在该索赔纠纷或诉讼未得到解决之前，供甲方的结算可按甲方的意见作延迟处理，直至上述索赔得到解决或乙方提供令甲方满意的赔偿为止。</w:t>
      </w:r>
    </w:p>
    <w:p w14:paraId="21052F07">
      <w:pPr>
        <w:spacing w:line="480" w:lineRule="exact"/>
        <w:ind w:firstLine="360" w:firstLineChars="150"/>
        <w:jc w:val="lef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十二、因乙方全部或部分违约导致双方发生的诉讼/仲裁或甲方与第三方发生的诉讼/仲裁，乙方同意承担甲方因此而支出的全部诉讼费、律师费、</w:t>
      </w:r>
      <w:r>
        <w:rPr>
          <w:rFonts w:hint="eastAsia" w:ascii="仿宋_GB2312" w:hAnsi="仿宋_GB2312" w:eastAsia="仿宋_GB2312"/>
          <w:color w:val="auto"/>
          <w:sz w:val="24"/>
          <w:highlight w:val="none"/>
          <w:lang w:val="en-US" w:eastAsia="zh-CN"/>
        </w:rPr>
        <w:t>保全费、鉴定费、</w:t>
      </w:r>
      <w:r>
        <w:rPr>
          <w:rFonts w:hint="eastAsia" w:ascii="仿宋_GB2312" w:hAnsi="仿宋_GB2312" w:eastAsia="仿宋_GB2312"/>
          <w:color w:val="auto"/>
          <w:sz w:val="24"/>
          <w:highlight w:val="none"/>
        </w:rPr>
        <w:t>调查费、交通费及其他合理费用。</w:t>
      </w:r>
    </w:p>
    <w:p w14:paraId="655E3079">
      <w:pPr>
        <w:spacing w:line="480" w:lineRule="exact"/>
        <w:ind w:firstLine="360" w:firstLineChars="150"/>
        <w:jc w:val="lef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十三、未经甲方书面同意，乙方不得将本合同的工作内容全部或部分转让给任何第三人。</w:t>
      </w:r>
    </w:p>
    <w:p w14:paraId="10097FAE">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十四、乙方声明、陈述和保证其是合法设立并有效存续的独立法人，其授权代表已获得法人授权可代表其签署合同。</w:t>
      </w:r>
    </w:p>
    <w:p w14:paraId="548F761F">
      <w:pPr>
        <w:spacing w:line="480" w:lineRule="exact"/>
        <w:ind w:firstLine="360" w:firstLineChars="150"/>
        <w:jc w:val="lef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十五、甲方作为提供本合同的一方，已经郑重提醒乙方注意本合同的所有条款，并且甲方已经按照乙方的要求，对每一条款均予以了说明。本合同通用条款与专用条款约定不一致的，应以专用条款约定为准。</w:t>
      </w:r>
    </w:p>
    <w:p w14:paraId="7F45DC06">
      <w:pPr>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br w:type="page"/>
      </w:r>
    </w:p>
    <w:p w14:paraId="272DF4BE">
      <w:pPr>
        <w:spacing w:line="480" w:lineRule="exact"/>
        <w:ind w:firstLine="482" w:firstLineChars="200"/>
        <w:jc w:val="center"/>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第二部分专用条款</w:t>
      </w:r>
    </w:p>
    <w:p w14:paraId="78EC4879">
      <w:pPr>
        <w:spacing w:line="480" w:lineRule="exact"/>
        <w:ind w:firstLine="361" w:firstLineChars="150"/>
        <w:jc w:val="left"/>
        <w:rPr>
          <w:rFonts w:hint="eastAsia" w:ascii="仿宋_GB2312" w:hAnsi="仿宋_GB2312" w:eastAsia="仿宋_GB2312"/>
          <w:b/>
          <w:color w:val="auto"/>
          <w:sz w:val="24"/>
          <w:highlight w:val="none"/>
          <w:lang w:eastAsia="zh-CN"/>
        </w:rPr>
      </w:pPr>
      <w:r>
        <w:rPr>
          <w:rFonts w:hint="eastAsia" w:ascii="仿宋_GB2312" w:hAnsi="仿宋_GB2312" w:eastAsia="仿宋_GB2312"/>
          <w:b/>
          <w:color w:val="auto"/>
          <w:sz w:val="24"/>
          <w:highlight w:val="none"/>
        </w:rPr>
        <w:t>一、合同标的</w:t>
      </w:r>
    </w:p>
    <w:p w14:paraId="641600CC">
      <w:pPr>
        <w:spacing w:line="480" w:lineRule="exact"/>
        <w:ind w:firstLine="360" w:firstLineChars="150"/>
        <w:jc w:val="lef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1、货物</w:t>
      </w:r>
    </w:p>
    <w:p w14:paraId="7EAD1762">
      <w:pPr>
        <w:spacing w:line="480" w:lineRule="exact"/>
        <w:ind w:firstLine="360" w:firstLineChars="150"/>
        <w:jc w:val="lef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乙方提供的货物为全新产品，并符合合同附件的技术规格所述的标准及相关的国家标准和行业标准，这些标准必须是合同签订时有关机构发布的最新的有效版本。除非技术规格中另有规定，计量单位均采用中华人民共和国法定计量单位。</w:t>
      </w:r>
    </w:p>
    <w:p w14:paraId="670C68DA">
      <w:pPr>
        <w:spacing w:line="480" w:lineRule="exact"/>
        <w:ind w:firstLine="360" w:firstLineChars="1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注：乙方应保证，甲方在中华人民共和国使用该货物或货物的任何一部分时，免受第三方提出的侵犯其专利权、商标权、工业设计权或其他知识产权的起诉。</w:t>
      </w:r>
    </w:p>
    <w:p w14:paraId="1F198C31">
      <w:pPr>
        <w:spacing w:line="480" w:lineRule="exact"/>
        <w:jc w:val="left"/>
        <w:rPr>
          <w:rFonts w:hint="eastAsia" w:ascii="仿宋_GB2312" w:hAnsi="仿宋_GB2312" w:eastAsia="仿宋_GB2312"/>
          <w:color w:val="auto"/>
          <w:sz w:val="24"/>
          <w:highlight w:val="none"/>
        </w:rPr>
      </w:pPr>
    </w:p>
    <w:p w14:paraId="60918AE7">
      <w:pPr>
        <w:spacing w:line="480" w:lineRule="exact"/>
        <w:ind w:firstLine="480" w:firstLineChars="200"/>
        <w:jc w:val="lef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2、采购项目</w:t>
      </w:r>
    </w:p>
    <w:p w14:paraId="733F43C0">
      <w:pPr>
        <w:pStyle w:val="129"/>
        <w:snapToGrid w:val="0"/>
        <w:spacing w:line="480" w:lineRule="exact"/>
        <w:ind w:firstLine="240" w:firstLineChars="100"/>
        <w:rPr>
          <w:rFonts w:hint="eastAsia" w:ascii="仿宋_GB2312" w:hAnsi="仿宋_GB2312" w:eastAsia="仿宋_GB2312" w:cs="Times New Roman"/>
          <w:color w:val="auto"/>
          <w:kern w:val="2"/>
          <w:sz w:val="24"/>
          <w:szCs w:val="24"/>
          <w:highlight w:val="none"/>
          <w:lang w:eastAsia="zh-CN"/>
        </w:rPr>
      </w:pPr>
      <w:r>
        <w:rPr>
          <w:rFonts w:hint="eastAsia" w:ascii="仿宋_GB2312" w:hAnsi="仿宋_GB2312" w:eastAsia="仿宋_GB2312" w:cs="Times New Roman"/>
          <w:color w:val="auto"/>
          <w:kern w:val="2"/>
          <w:sz w:val="24"/>
          <w:szCs w:val="24"/>
          <w:highlight w:val="none"/>
        </w:rPr>
        <w:t>（1）采购组织形式：</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政府集中采购</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学校集中采购</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学校分散采购</w:t>
      </w:r>
    </w:p>
    <w:p w14:paraId="30051D88">
      <w:pPr>
        <w:pStyle w:val="129"/>
        <w:snapToGrid w:val="0"/>
        <w:spacing w:line="480" w:lineRule="exact"/>
        <w:ind w:firstLine="240" w:firstLineChars="100"/>
        <w:rPr>
          <w:rFonts w:hint="eastAsia" w:ascii="仿宋_GB2312" w:hAnsi="仿宋_GB2312" w:eastAsia="仿宋_GB2312" w:cs="Times New Roman"/>
          <w:color w:val="auto"/>
          <w:kern w:val="2"/>
          <w:sz w:val="24"/>
          <w:szCs w:val="24"/>
          <w:highlight w:val="none"/>
          <w:u w:val="single"/>
          <w:lang w:eastAsia="zh-CN"/>
        </w:rPr>
      </w:pPr>
      <w:r>
        <w:rPr>
          <w:rFonts w:hint="eastAsia" w:ascii="仿宋_GB2312" w:hAnsi="仿宋_GB2312" w:eastAsia="仿宋_GB2312" w:cs="Times New Roman"/>
          <w:color w:val="auto"/>
          <w:kern w:val="2"/>
          <w:sz w:val="24"/>
          <w:szCs w:val="24"/>
          <w:highlight w:val="none"/>
        </w:rPr>
        <w:t>（2）</w:t>
      </w:r>
      <w:r>
        <w:rPr>
          <w:rFonts w:hint="eastAsia" w:ascii="仿宋_GB2312" w:hAnsi="仿宋_GB2312" w:eastAsia="仿宋_GB2312" w:cs="Times New Roman"/>
          <w:color w:val="auto"/>
          <w:kern w:val="2"/>
          <w:sz w:val="24"/>
          <w:szCs w:val="24"/>
          <w:highlight w:val="none"/>
          <w:lang w:eastAsia="zh-CN"/>
        </w:rPr>
        <w:t>采购人</w:t>
      </w:r>
      <w:r>
        <w:rPr>
          <w:rFonts w:hint="eastAsia" w:ascii="仿宋_GB2312" w:hAnsi="仿宋_GB2312" w:eastAsia="仿宋_GB2312" w:cs="Times New Roman"/>
          <w:color w:val="auto"/>
          <w:kern w:val="2"/>
          <w:sz w:val="24"/>
          <w:szCs w:val="24"/>
          <w:highlight w:val="none"/>
        </w:rPr>
        <w:t>式：</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公开招标</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竞争性谈判</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竞争性磋商</w:t>
      </w:r>
      <w:r>
        <w:rPr>
          <w:rFonts w:hint="eastAsia" w:ascii="仿宋_GB2312" w:hAnsi="仿宋_GB2312" w:eastAsia="仿宋_GB2312" w:cs="Times New Roman"/>
          <w:color w:val="auto"/>
          <w:kern w:val="2"/>
          <w:sz w:val="24"/>
          <w:szCs w:val="24"/>
          <w:highlight w:val="none"/>
        </w:rPr>
        <w:sym w:font="Wingdings" w:char="00FE"/>
      </w:r>
      <w:r>
        <w:rPr>
          <w:rFonts w:hint="eastAsia" w:ascii="仿宋_GB2312" w:hAnsi="仿宋_GB2312" w:eastAsia="仿宋_GB2312" w:cs="Times New Roman"/>
          <w:color w:val="auto"/>
          <w:kern w:val="2"/>
          <w:sz w:val="24"/>
          <w:szCs w:val="24"/>
          <w:highlight w:val="none"/>
        </w:rPr>
        <w:t>询价</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单一来源</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框架协议</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邀请招标</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其他：</w:t>
      </w:r>
    </w:p>
    <w:p w14:paraId="481DD048">
      <w:pPr>
        <w:pStyle w:val="129"/>
        <w:snapToGrid w:val="0"/>
        <w:spacing w:line="480" w:lineRule="exact"/>
        <w:ind w:firstLine="240" w:firstLineChars="10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（3）中标（成交）采购标的制造商是否为中小企业：</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是</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26D6828D">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本合同是否为专门面向中小企业的采购合同（中小企业预留合同）：</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是</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0F3C6E8E">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若本项目不专门面向中小企业采购，是否给予小微企业评审优惠：</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是</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489A4985">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中标（成交）采购标的制造商是否为残疾人福利性单位：</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是</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04C43EFB">
      <w:pPr>
        <w:pStyle w:val="129"/>
        <w:snapToGrid w:val="0"/>
        <w:spacing w:line="480" w:lineRule="exact"/>
        <w:ind w:firstLine="0" w:firstLineChars="0"/>
        <w:rPr>
          <w:rFonts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中标（成交）采购标的制造商是否为监狱企业：</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是</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428C8E0A">
      <w:pPr>
        <w:pStyle w:val="129"/>
        <w:snapToGrid w:val="0"/>
        <w:spacing w:line="480" w:lineRule="exact"/>
        <w:ind w:firstLine="240" w:firstLineChars="10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（4）合同是否分包：</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是</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4C3587A4">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u w:val="single"/>
          <w:lang w:eastAsia="zh-CN"/>
        </w:rPr>
      </w:pPr>
      <w:r>
        <w:rPr>
          <w:rFonts w:hint="eastAsia" w:ascii="仿宋_GB2312" w:hAnsi="仿宋_GB2312" w:eastAsia="仿宋_GB2312" w:cs="Times New Roman"/>
          <w:color w:val="auto"/>
          <w:kern w:val="2"/>
          <w:sz w:val="24"/>
          <w:szCs w:val="24"/>
          <w:highlight w:val="none"/>
        </w:rPr>
        <w:t>分包主要内容：</w:t>
      </w:r>
    </w:p>
    <w:p w14:paraId="4B6AF84E">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u w:val="single"/>
        </w:rPr>
      </w:pPr>
      <w:r>
        <w:rPr>
          <w:rFonts w:hint="eastAsia" w:ascii="仿宋_GB2312" w:hAnsi="仿宋_GB2312" w:eastAsia="仿宋_GB2312" w:cs="Times New Roman"/>
          <w:color w:val="auto"/>
          <w:kern w:val="2"/>
          <w:sz w:val="24"/>
          <w:szCs w:val="24"/>
          <w:highlight w:val="none"/>
        </w:rPr>
        <w:t>分包供应商/制造商名称（如供应商和制造商不同，请分别填写）：</w:t>
      </w:r>
    </w:p>
    <w:p w14:paraId="156F6229">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u w:val="single"/>
          <w:lang w:eastAsia="zh-CN"/>
        </w:rPr>
      </w:pPr>
    </w:p>
    <w:p w14:paraId="1FEEA637">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分包供应商/制造商类型（如果供应商和制造商不同，只填写制造商类型）：</w:t>
      </w:r>
    </w:p>
    <w:p w14:paraId="73139241">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lang w:eastAsia="zh-CN"/>
        </w:rPr>
      </w:pP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大型企业</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中型企业</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小微型企业</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残疾人福利性单位</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监狱企业</w:t>
      </w:r>
    </w:p>
    <w:p w14:paraId="42B894E1">
      <w:pPr>
        <w:pStyle w:val="129"/>
        <w:snapToGrid w:val="0"/>
        <w:spacing w:line="480" w:lineRule="exact"/>
        <w:ind w:firstLine="0" w:firstLineChars="0"/>
        <w:rPr>
          <w:rFonts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其他</w:t>
      </w:r>
    </w:p>
    <w:p w14:paraId="63821B39">
      <w:pPr>
        <w:pStyle w:val="129"/>
        <w:snapToGrid w:val="0"/>
        <w:spacing w:line="480" w:lineRule="exact"/>
        <w:ind w:firstLine="240" w:firstLineChars="10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（5）中标（成交）供应商是否为外商投资企业：</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是</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143B3DFC">
      <w:pPr>
        <w:pStyle w:val="129"/>
        <w:snapToGrid w:val="0"/>
        <w:spacing w:line="480" w:lineRule="exact"/>
        <w:ind w:firstLine="240" w:firstLineChars="10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外商投资企业类型：</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全部由外国投资者投资</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部分由外国投资者投资</w:t>
      </w:r>
    </w:p>
    <w:p w14:paraId="608AE3F6">
      <w:pPr>
        <w:pStyle w:val="129"/>
        <w:snapToGrid w:val="0"/>
        <w:spacing w:line="480" w:lineRule="exact"/>
        <w:ind w:firstLine="48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（6）是否涉及进口产品：</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是，</w:t>
      </w:r>
    </w:p>
    <w:p w14:paraId="7989A42F">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u w:val="single"/>
          <w:lang w:eastAsia="zh-CN"/>
        </w:rPr>
      </w:pPr>
      <w:r>
        <w:rPr>
          <w:rFonts w:hint="eastAsia" w:ascii="仿宋_GB2312" w:hAnsi="仿宋_GB2312" w:eastAsia="仿宋_GB2312" w:cs="Times New Roman"/>
          <w:color w:val="auto"/>
          <w:kern w:val="2"/>
          <w:sz w:val="24"/>
          <w:szCs w:val="24"/>
          <w:highlight w:val="none"/>
        </w:rPr>
        <w:t>《政府采购品目分类目录》底级品目名称：金额：</w:t>
      </w:r>
    </w:p>
    <w:p w14:paraId="1383C74E">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国别：品牌：规格型号：</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37DBC6BB">
      <w:pPr>
        <w:pStyle w:val="129"/>
        <w:snapToGrid w:val="0"/>
        <w:spacing w:line="480" w:lineRule="exact"/>
        <w:ind w:firstLine="48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（7）是否涉及节能产品：</w:t>
      </w:r>
    </w:p>
    <w:p w14:paraId="2D3EBA51">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lang w:eastAsia="zh-CN"/>
        </w:rPr>
      </w:pP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是，《节能产品政府采购品目清单》的底级品目名称：</w:t>
      </w:r>
    </w:p>
    <w:p w14:paraId="20CCC2F9">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强制采购</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优先采购</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33FC6789">
      <w:pPr>
        <w:pStyle w:val="129"/>
        <w:snapToGrid w:val="0"/>
        <w:spacing w:line="480" w:lineRule="exact"/>
        <w:ind w:firstLine="48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（8）是否涉及环境标志产品：</w:t>
      </w:r>
    </w:p>
    <w:p w14:paraId="5BFDCC82">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lang w:eastAsia="zh-CN"/>
        </w:rPr>
      </w:pP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是，《环境标志产品政府采购品目清单》的底级品目名称：</w:t>
      </w:r>
    </w:p>
    <w:p w14:paraId="13B6C765">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强制采购</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优先采购</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6B2212E8">
      <w:pPr>
        <w:pStyle w:val="129"/>
        <w:snapToGrid w:val="0"/>
        <w:spacing w:line="480" w:lineRule="exact"/>
        <w:ind w:firstLine="480"/>
        <w:rPr>
          <w:rFonts w:hint="eastAsia" w:ascii="仿宋_GB2312" w:hAnsi="仿宋_GB2312" w:eastAsia="仿宋_GB2312" w:cs="Times New Roman"/>
          <w:color w:val="auto"/>
          <w:kern w:val="2"/>
          <w:sz w:val="24"/>
          <w:szCs w:val="24"/>
          <w:highlight w:val="none"/>
          <w:lang w:eastAsia="zh-CN"/>
        </w:rPr>
      </w:pPr>
      <w:r>
        <w:rPr>
          <w:rFonts w:hint="eastAsia" w:ascii="仿宋_GB2312" w:hAnsi="仿宋_GB2312" w:eastAsia="仿宋_GB2312" w:cs="Times New Roman"/>
          <w:color w:val="auto"/>
          <w:kern w:val="2"/>
          <w:sz w:val="24"/>
          <w:szCs w:val="24"/>
          <w:highlight w:val="none"/>
        </w:rPr>
        <w:t>（9）是否涉及绿色产品：</w:t>
      </w:r>
    </w:p>
    <w:p w14:paraId="44284E1C">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lang w:eastAsia="zh-CN"/>
        </w:rPr>
      </w:pP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是，绿色产品政府采购相关政策确定的底级品目名称：</w:t>
      </w:r>
    </w:p>
    <w:p w14:paraId="7D4101F0">
      <w:pPr>
        <w:pStyle w:val="129"/>
        <w:snapToGrid w:val="0"/>
        <w:spacing w:line="480" w:lineRule="exact"/>
        <w:ind w:firstLine="0" w:firstLineChars="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强制采购</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优先采购</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p>
    <w:p w14:paraId="0AB670ED">
      <w:pPr>
        <w:pStyle w:val="129"/>
        <w:snapToGrid w:val="0"/>
        <w:spacing w:line="480" w:lineRule="exact"/>
        <w:ind w:firstLine="480"/>
        <w:rPr>
          <w:rFonts w:hint="eastAsia" w:ascii="仿宋_GB2312" w:hAnsi="仿宋_GB2312" w:eastAsia="仿宋_GB2312" w:cs="Times New Roman"/>
          <w:color w:val="auto"/>
          <w:kern w:val="2"/>
          <w:sz w:val="24"/>
          <w:szCs w:val="24"/>
          <w:highlight w:val="none"/>
        </w:rPr>
      </w:pPr>
      <w:r>
        <w:rPr>
          <w:rFonts w:hint="eastAsia" w:ascii="仿宋_GB2312" w:hAnsi="仿宋_GB2312" w:eastAsia="仿宋_GB2312" w:cs="Times New Roman"/>
          <w:color w:val="auto"/>
          <w:kern w:val="2"/>
          <w:sz w:val="24"/>
          <w:szCs w:val="24"/>
          <w:highlight w:val="none"/>
        </w:rPr>
        <w:t>（10）涉及商品包装和快递包装的，是否参考《商品包装政府采购需求标准（试行）》《快递包装政府采购需求标准（试行）》明确产品及相关快递服务的具体包装要求：</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是</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否</w:t>
      </w:r>
      <w:r>
        <w:rPr>
          <w:rFonts w:hint="eastAsia" w:ascii="仿宋_GB2312" w:hAnsi="仿宋_GB2312" w:eastAsia="仿宋_GB2312" w:cs="Times New Roman"/>
          <w:color w:val="auto"/>
          <w:kern w:val="2"/>
          <w:sz w:val="24"/>
          <w:szCs w:val="24"/>
          <w:highlight w:val="none"/>
        </w:rPr>
        <w:sym w:font="Wingdings" w:char="00A8"/>
      </w:r>
      <w:r>
        <w:rPr>
          <w:rFonts w:hint="eastAsia" w:ascii="仿宋_GB2312" w:hAnsi="仿宋_GB2312" w:eastAsia="仿宋_GB2312" w:cs="Times New Roman"/>
          <w:color w:val="auto"/>
          <w:kern w:val="2"/>
          <w:sz w:val="24"/>
          <w:szCs w:val="24"/>
          <w:highlight w:val="none"/>
        </w:rPr>
        <w:t>不涉及</w:t>
      </w:r>
    </w:p>
    <w:p w14:paraId="541C4DC1">
      <w:pPr>
        <w:spacing w:line="480" w:lineRule="exact"/>
        <w:ind w:firstLine="480" w:firstLineChars="20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（11）数量及价格：</w:t>
      </w:r>
    </w:p>
    <w:tbl>
      <w:tblPr>
        <w:tblStyle w:val="33"/>
        <w:tblpPr w:leftFromText="180" w:rightFromText="180" w:vertAnchor="text" w:horzAnchor="page" w:tblpX="1225" w:tblpY="45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7"/>
        <w:gridCol w:w="1077"/>
        <w:gridCol w:w="850"/>
        <w:gridCol w:w="1134"/>
        <w:gridCol w:w="907"/>
        <w:gridCol w:w="728"/>
        <w:gridCol w:w="673"/>
        <w:gridCol w:w="850"/>
        <w:gridCol w:w="884"/>
        <w:gridCol w:w="895"/>
        <w:gridCol w:w="895"/>
      </w:tblGrid>
      <w:tr w14:paraId="20B21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9"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059FFE1">
            <w:pPr>
              <w:autoSpaceDE w:val="0"/>
              <w:autoSpaceDN w:val="0"/>
              <w:spacing w:line="480" w:lineRule="exact"/>
              <w:jc w:val="center"/>
              <w:rPr>
                <w:rFonts w:ascii="仿宋_GB2312" w:hAnsi="仿宋_GB2312" w:eastAsia="仿宋_GB2312"/>
                <w:color w:val="auto"/>
                <w:szCs w:val="21"/>
                <w:highlight w:val="none"/>
              </w:rPr>
            </w:pPr>
            <w:r>
              <w:rPr>
                <w:rFonts w:hint="eastAsia" w:ascii="仿宋_GB2312" w:hAnsi="仿宋_GB2312" w:eastAsia="仿宋_GB2312"/>
                <w:color w:val="auto"/>
                <w:szCs w:val="21"/>
                <w:highlight w:val="none"/>
              </w:rPr>
              <w:t>序号</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06FE632">
            <w:pPr>
              <w:autoSpaceDE w:val="0"/>
              <w:autoSpaceDN w:val="0"/>
              <w:spacing w:line="480" w:lineRule="exact"/>
              <w:jc w:val="center"/>
              <w:rPr>
                <w:rFonts w:ascii="仿宋_GB2312" w:hAnsi="仿宋_GB2312" w:eastAsia="仿宋_GB2312"/>
                <w:color w:val="auto"/>
                <w:szCs w:val="21"/>
                <w:highlight w:val="none"/>
              </w:rPr>
            </w:pPr>
            <w:r>
              <w:rPr>
                <w:rFonts w:hint="eastAsia" w:ascii="仿宋_GB2312" w:hAnsi="仿宋_GB2312" w:eastAsia="仿宋_GB2312"/>
                <w:color w:val="auto"/>
                <w:szCs w:val="21"/>
                <w:highlight w:val="none"/>
                <w:lang w:val="en-US" w:eastAsia="zh-CN"/>
              </w:rPr>
              <w:t>货物</w:t>
            </w:r>
            <w:r>
              <w:rPr>
                <w:rFonts w:hint="eastAsia" w:ascii="仿宋_GB2312" w:hAnsi="仿宋_GB2312" w:eastAsia="仿宋_GB2312"/>
                <w:color w:val="auto"/>
                <w:szCs w:val="21"/>
                <w:highlight w:val="none"/>
              </w:rPr>
              <w:t>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64D32135">
            <w:pPr>
              <w:spacing w:line="480" w:lineRule="exact"/>
              <w:jc w:val="center"/>
              <w:rPr>
                <w:rFonts w:ascii="仿宋_GB2312" w:hAnsi="仿宋_GB2312" w:eastAsia="仿宋_GB2312"/>
                <w:color w:val="auto"/>
                <w:szCs w:val="21"/>
                <w:highlight w:val="none"/>
              </w:rPr>
            </w:pPr>
            <w:r>
              <w:rPr>
                <w:rFonts w:hint="eastAsia" w:ascii="仿宋_GB2312" w:hAnsi="仿宋_GB2312" w:eastAsia="仿宋_GB2312"/>
                <w:color w:val="auto"/>
                <w:szCs w:val="21"/>
                <w:highlight w:val="none"/>
              </w:rPr>
              <w:t>品牌</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1FBA626">
            <w:pPr>
              <w:spacing w:line="480" w:lineRule="exact"/>
              <w:jc w:val="center"/>
              <w:rPr>
                <w:rFonts w:hint="eastAsia" w:ascii="仿宋_GB2312" w:hAnsi="仿宋_GB2312" w:eastAsia="仿宋_GB2312"/>
                <w:color w:val="auto"/>
                <w:szCs w:val="21"/>
                <w:highlight w:val="none"/>
              </w:rPr>
            </w:pPr>
            <w:r>
              <w:rPr>
                <w:rFonts w:hint="eastAsia" w:ascii="仿宋_GB2312" w:hAnsi="仿宋_GB2312" w:eastAsia="仿宋_GB2312"/>
                <w:color w:val="auto"/>
                <w:szCs w:val="21"/>
                <w:highlight w:val="none"/>
              </w:rPr>
              <w:t>生产厂家或产地</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727E9A5A">
            <w:pPr>
              <w:spacing w:line="480" w:lineRule="exact"/>
              <w:jc w:val="center"/>
              <w:rPr>
                <w:rFonts w:ascii="仿宋_GB2312" w:hAnsi="仿宋_GB2312" w:eastAsia="仿宋_GB2312"/>
                <w:color w:val="auto"/>
                <w:szCs w:val="21"/>
                <w:highlight w:val="none"/>
              </w:rPr>
            </w:pPr>
            <w:r>
              <w:rPr>
                <w:rFonts w:hint="eastAsia" w:ascii="仿宋_GB2312" w:hAnsi="仿宋_GB2312" w:eastAsia="仿宋_GB2312"/>
                <w:color w:val="auto"/>
                <w:szCs w:val="21"/>
                <w:highlight w:val="none"/>
              </w:rPr>
              <w:t>规格</w:t>
            </w:r>
          </w:p>
          <w:p w14:paraId="2236FFA9">
            <w:pPr>
              <w:spacing w:line="480" w:lineRule="exact"/>
              <w:jc w:val="center"/>
              <w:rPr>
                <w:rFonts w:ascii="仿宋_GB2312" w:hAnsi="仿宋_GB2312" w:eastAsia="仿宋_GB2312"/>
                <w:color w:val="auto"/>
                <w:szCs w:val="21"/>
                <w:highlight w:val="none"/>
              </w:rPr>
            </w:pPr>
            <w:r>
              <w:rPr>
                <w:rFonts w:hint="eastAsia" w:ascii="仿宋_GB2312" w:hAnsi="仿宋_GB2312" w:eastAsia="仿宋_GB2312"/>
                <w:color w:val="auto"/>
                <w:szCs w:val="21"/>
                <w:highlight w:val="none"/>
              </w:rPr>
              <w:t>型号</w:t>
            </w:r>
          </w:p>
        </w:tc>
        <w:tc>
          <w:tcPr>
            <w:tcW w:w="728" w:type="dxa"/>
            <w:tcBorders>
              <w:top w:val="single" w:color="auto" w:sz="4" w:space="0"/>
              <w:left w:val="single" w:color="auto" w:sz="4" w:space="0"/>
              <w:bottom w:val="single" w:color="auto" w:sz="4" w:space="0"/>
              <w:right w:val="single" w:color="auto" w:sz="4" w:space="0"/>
            </w:tcBorders>
            <w:noWrap w:val="0"/>
            <w:vAlign w:val="center"/>
          </w:tcPr>
          <w:p w14:paraId="7284796B">
            <w:pPr>
              <w:spacing w:line="480" w:lineRule="exact"/>
              <w:jc w:val="center"/>
              <w:rPr>
                <w:rFonts w:ascii="仿宋_GB2312" w:hAnsi="仿宋_GB2312" w:eastAsia="仿宋_GB2312"/>
                <w:color w:val="auto"/>
                <w:szCs w:val="21"/>
                <w:highlight w:val="none"/>
              </w:rPr>
            </w:pPr>
            <w:r>
              <w:rPr>
                <w:rFonts w:hint="eastAsia" w:ascii="仿宋_GB2312" w:hAnsi="仿宋_GB2312" w:eastAsia="仿宋_GB2312"/>
                <w:color w:val="auto"/>
                <w:szCs w:val="21"/>
                <w:highlight w:val="none"/>
              </w:rPr>
              <w:t>技术</w:t>
            </w:r>
          </w:p>
          <w:p w14:paraId="5AF305A9">
            <w:pPr>
              <w:spacing w:line="480" w:lineRule="exact"/>
              <w:jc w:val="center"/>
              <w:rPr>
                <w:rFonts w:ascii="仿宋_GB2312" w:hAnsi="仿宋_GB2312" w:eastAsia="仿宋_GB2312"/>
                <w:color w:val="auto"/>
                <w:szCs w:val="21"/>
                <w:highlight w:val="none"/>
              </w:rPr>
            </w:pPr>
            <w:r>
              <w:rPr>
                <w:rFonts w:hint="eastAsia" w:ascii="仿宋_GB2312" w:hAnsi="仿宋_GB2312" w:eastAsia="仿宋_GB2312"/>
                <w:color w:val="auto"/>
                <w:szCs w:val="21"/>
                <w:highlight w:val="none"/>
              </w:rPr>
              <w:t>参数</w:t>
            </w:r>
          </w:p>
        </w:tc>
        <w:tc>
          <w:tcPr>
            <w:tcW w:w="673" w:type="dxa"/>
            <w:tcBorders>
              <w:top w:val="single" w:color="auto" w:sz="4" w:space="0"/>
              <w:left w:val="single" w:color="auto" w:sz="4" w:space="0"/>
              <w:bottom w:val="single" w:color="auto" w:sz="4" w:space="0"/>
              <w:right w:val="single" w:color="auto" w:sz="4" w:space="0"/>
            </w:tcBorders>
            <w:noWrap w:val="0"/>
            <w:vAlign w:val="top"/>
          </w:tcPr>
          <w:p w14:paraId="2986FEBB">
            <w:pPr>
              <w:spacing w:line="480" w:lineRule="exact"/>
              <w:rPr>
                <w:rFonts w:ascii="仿宋_GB2312" w:hAnsi="仿宋_GB2312" w:eastAsia="仿宋_GB2312"/>
                <w:color w:val="auto"/>
                <w:szCs w:val="21"/>
                <w:highlight w:val="none"/>
              </w:rPr>
            </w:pPr>
          </w:p>
          <w:p w14:paraId="3D544B1A">
            <w:pPr>
              <w:spacing w:line="480" w:lineRule="exact"/>
              <w:rPr>
                <w:rFonts w:ascii="仿宋_GB2312" w:hAnsi="仿宋_GB2312" w:eastAsia="仿宋_GB2312"/>
                <w:color w:val="auto"/>
                <w:szCs w:val="21"/>
                <w:highlight w:val="none"/>
              </w:rPr>
            </w:pPr>
            <w:r>
              <w:rPr>
                <w:rFonts w:hint="eastAsia" w:ascii="仿宋_GB2312" w:hAnsi="仿宋_GB2312" w:eastAsia="仿宋_GB2312"/>
                <w:color w:val="auto"/>
                <w:szCs w:val="21"/>
                <w:highlight w:val="none"/>
              </w:rPr>
              <w:t>单位</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595ECBC">
            <w:pPr>
              <w:spacing w:line="480" w:lineRule="exact"/>
              <w:jc w:val="center"/>
              <w:rPr>
                <w:rFonts w:ascii="仿宋_GB2312" w:hAnsi="仿宋_GB2312" w:eastAsia="仿宋_GB2312"/>
                <w:color w:val="auto"/>
                <w:szCs w:val="21"/>
                <w:highlight w:val="none"/>
              </w:rPr>
            </w:pPr>
            <w:r>
              <w:rPr>
                <w:rFonts w:hint="eastAsia" w:ascii="仿宋_GB2312" w:hAnsi="仿宋_GB2312" w:eastAsia="仿宋_GB2312"/>
                <w:color w:val="auto"/>
                <w:szCs w:val="21"/>
                <w:highlight w:val="none"/>
              </w:rPr>
              <w:t>数量</w:t>
            </w:r>
          </w:p>
        </w:tc>
        <w:tc>
          <w:tcPr>
            <w:tcW w:w="884" w:type="dxa"/>
            <w:tcBorders>
              <w:top w:val="single" w:color="auto" w:sz="4" w:space="0"/>
              <w:left w:val="single" w:color="auto" w:sz="4" w:space="0"/>
              <w:bottom w:val="single" w:color="auto" w:sz="4" w:space="0"/>
              <w:right w:val="single" w:color="auto" w:sz="4" w:space="0"/>
            </w:tcBorders>
            <w:noWrap w:val="0"/>
            <w:vAlign w:val="center"/>
          </w:tcPr>
          <w:p w14:paraId="142C57AF">
            <w:pPr>
              <w:spacing w:line="480" w:lineRule="exact"/>
              <w:jc w:val="center"/>
              <w:rPr>
                <w:rFonts w:ascii="仿宋_GB2312" w:hAnsi="仿宋_GB2312" w:eastAsia="仿宋_GB2312"/>
                <w:color w:val="auto"/>
                <w:szCs w:val="21"/>
                <w:highlight w:val="none"/>
              </w:rPr>
            </w:pPr>
            <w:r>
              <w:rPr>
                <w:rFonts w:hint="eastAsia" w:ascii="仿宋_GB2312" w:hAnsi="仿宋_GB2312" w:eastAsia="仿宋_GB2312"/>
                <w:color w:val="auto"/>
                <w:szCs w:val="21"/>
                <w:highlight w:val="none"/>
              </w:rPr>
              <w:t>含税</w:t>
            </w:r>
          </w:p>
          <w:p w14:paraId="79874C14">
            <w:pPr>
              <w:spacing w:line="480" w:lineRule="exact"/>
              <w:jc w:val="center"/>
              <w:rPr>
                <w:rFonts w:hint="eastAsia" w:ascii="仿宋_GB2312" w:hAnsi="仿宋_GB2312" w:eastAsia="仿宋_GB2312"/>
                <w:color w:val="auto"/>
                <w:szCs w:val="21"/>
                <w:highlight w:val="none"/>
              </w:rPr>
            </w:pPr>
            <w:r>
              <w:rPr>
                <w:rFonts w:hint="eastAsia" w:ascii="仿宋_GB2312" w:hAnsi="仿宋_GB2312" w:eastAsia="仿宋_GB2312"/>
                <w:color w:val="auto"/>
                <w:szCs w:val="21"/>
                <w:highlight w:val="none"/>
              </w:rPr>
              <w:t>单价</w:t>
            </w:r>
          </w:p>
          <w:p w14:paraId="4E958934">
            <w:pPr>
              <w:spacing w:line="480" w:lineRule="exact"/>
              <w:jc w:val="center"/>
              <w:rPr>
                <w:rFonts w:hint="eastAsia" w:ascii="仿宋_GB2312" w:hAnsi="仿宋_GB2312" w:eastAsia="仿宋_GB2312"/>
                <w:color w:val="auto"/>
                <w:szCs w:val="21"/>
                <w:highlight w:val="none"/>
              </w:rPr>
            </w:pPr>
            <w:r>
              <w:rPr>
                <w:rFonts w:hint="eastAsia" w:ascii="仿宋_GB2312" w:hAnsi="仿宋_GB2312" w:eastAsia="仿宋_GB2312"/>
                <w:color w:val="auto"/>
                <w:szCs w:val="21"/>
                <w:highlight w:val="none"/>
              </w:rPr>
              <w:t>（元）</w:t>
            </w:r>
          </w:p>
        </w:tc>
        <w:tc>
          <w:tcPr>
            <w:tcW w:w="895" w:type="dxa"/>
            <w:tcBorders>
              <w:top w:val="single" w:color="auto" w:sz="4" w:space="0"/>
              <w:left w:val="single" w:color="auto" w:sz="4" w:space="0"/>
              <w:bottom w:val="single" w:color="auto" w:sz="4" w:space="0"/>
              <w:right w:val="single" w:color="auto" w:sz="4" w:space="0"/>
            </w:tcBorders>
            <w:noWrap w:val="0"/>
            <w:vAlign w:val="center"/>
          </w:tcPr>
          <w:p w14:paraId="09928700">
            <w:pPr>
              <w:spacing w:line="480" w:lineRule="exact"/>
              <w:rPr>
                <w:rFonts w:hint="eastAsia" w:ascii="仿宋_GB2312" w:hAnsi="仿宋_GB2312" w:eastAsia="仿宋_GB2312"/>
                <w:color w:val="auto"/>
                <w:szCs w:val="21"/>
                <w:highlight w:val="none"/>
              </w:rPr>
            </w:pPr>
            <w:r>
              <w:rPr>
                <w:rFonts w:hint="eastAsia" w:ascii="仿宋_GB2312" w:hAnsi="仿宋_GB2312" w:eastAsia="仿宋_GB2312"/>
                <w:color w:val="auto"/>
                <w:szCs w:val="21"/>
                <w:highlight w:val="none"/>
              </w:rPr>
              <w:t>合计（元）</w:t>
            </w:r>
          </w:p>
        </w:tc>
        <w:tc>
          <w:tcPr>
            <w:tcW w:w="895" w:type="dxa"/>
            <w:tcBorders>
              <w:top w:val="single" w:color="auto" w:sz="4" w:space="0"/>
              <w:left w:val="single" w:color="auto" w:sz="4" w:space="0"/>
              <w:bottom w:val="single" w:color="auto" w:sz="4" w:space="0"/>
              <w:right w:val="single" w:color="auto" w:sz="4" w:space="0"/>
            </w:tcBorders>
            <w:noWrap w:val="0"/>
            <w:vAlign w:val="top"/>
          </w:tcPr>
          <w:p w14:paraId="51089850">
            <w:pPr>
              <w:spacing w:line="480" w:lineRule="exact"/>
              <w:ind w:firstLine="105" w:firstLineChars="50"/>
              <w:rPr>
                <w:rFonts w:ascii="仿宋_GB2312" w:hAnsi="仿宋_GB2312" w:eastAsia="仿宋_GB2312"/>
                <w:color w:val="auto"/>
                <w:szCs w:val="21"/>
                <w:highlight w:val="none"/>
              </w:rPr>
            </w:pPr>
          </w:p>
          <w:p w14:paraId="506C4BF7">
            <w:pPr>
              <w:spacing w:line="480" w:lineRule="exact"/>
              <w:ind w:firstLine="105" w:firstLineChars="50"/>
              <w:rPr>
                <w:rFonts w:hint="eastAsia" w:ascii="仿宋_GB2312" w:hAnsi="仿宋_GB2312" w:eastAsia="仿宋_GB2312"/>
                <w:color w:val="auto"/>
                <w:szCs w:val="21"/>
                <w:highlight w:val="none"/>
              </w:rPr>
            </w:pPr>
            <w:r>
              <w:rPr>
                <w:rFonts w:hint="eastAsia" w:ascii="仿宋_GB2312" w:hAnsi="仿宋_GB2312" w:eastAsia="仿宋_GB2312"/>
                <w:color w:val="auto"/>
                <w:szCs w:val="21"/>
                <w:highlight w:val="none"/>
              </w:rPr>
              <w:t>备注</w:t>
            </w:r>
          </w:p>
        </w:tc>
      </w:tr>
      <w:tr w14:paraId="07E63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EBAD23A">
            <w:pPr>
              <w:autoSpaceDE w:val="0"/>
              <w:autoSpaceDN w:val="0"/>
              <w:spacing w:line="48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1</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AD3DB19">
            <w:pPr>
              <w:spacing w:line="480" w:lineRule="exact"/>
              <w:jc w:val="center"/>
              <w:rPr>
                <w:rFonts w:ascii="仿宋_GB2312" w:hAnsi="仿宋_GB2312" w:eastAsia="仿宋_GB2312"/>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ED05963">
            <w:pPr>
              <w:spacing w:line="480" w:lineRule="exact"/>
              <w:jc w:val="center"/>
              <w:rPr>
                <w:rFonts w:ascii="仿宋_GB2312" w:hAnsi="仿宋_GB2312" w:eastAsia="仿宋_GB2312"/>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0451289">
            <w:pPr>
              <w:spacing w:line="480" w:lineRule="exact"/>
              <w:jc w:val="center"/>
              <w:rPr>
                <w:rFonts w:ascii="仿宋_GB2312" w:hAnsi="仿宋_GB2312" w:eastAsia="仿宋_GB2312"/>
                <w:color w:val="auto"/>
                <w:sz w:val="24"/>
                <w:highlight w:val="none"/>
              </w:rPr>
            </w:pPr>
          </w:p>
        </w:tc>
        <w:tc>
          <w:tcPr>
            <w:tcW w:w="907" w:type="dxa"/>
            <w:tcBorders>
              <w:top w:val="single" w:color="auto" w:sz="4" w:space="0"/>
              <w:left w:val="single" w:color="auto" w:sz="4" w:space="0"/>
              <w:bottom w:val="single" w:color="auto" w:sz="4" w:space="0"/>
              <w:right w:val="single" w:color="auto" w:sz="4" w:space="0"/>
            </w:tcBorders>
            <w:noWrap w:val="0"/>
            <w:vAlign w:val="top"/>
          </w:tcPr>
          <w:p w14:paraId="3B34DB83">
            <w:pPr>
              <w:spacing w:line="480" w:lineRule="exact"/>
              <w:jc w:val="center"/>
              <w:rPr>
                <w:rFonts w:ascii="仿宋_GB2312" w:hAnsi="仿宋_GB2312" w:eastAsia="仿宋_GB2312"/>
                <w:color w:val="auto"/>
                <w:sz w:val="24"/>
                <w:highlight w:val="none"/>
              </w:rPr>
            </w:pPr>
          </w:p>
        </w:tc>
        <w:tc>
          <w:tcPr>
            <w:tcW w:w="728" w:type="dxa"/>
            <w:tcBorders>
              <w:top w:val="single" w:color="auto" w:sz="4" w:space="0"/>
              <w:left w:val="single" w:color="auto" w:sz="4" w:space="0"/>
              <w:bottom w:val="single" w:color="auto" w:sz="4" w:space="0"/>
              <w:right w:val="single" w:color="auto" w:sz="4" w:space="0"/>
            </w:tcBorders>
            <w:noWrap w:val="0"/>
            <w:vAlign w:val="top"/>
          </w:tcPr>
          <w:p w14:paraId="6647DFBA">
            <w:pPr>
              <w:spacing w:line="480" w:lineRule="exact"/>
              <w:jc w:val="center"/>
              <w:rPr>
                <w:rFonts w:ascii="仿宋_GB2312" w:hAnsi="仿宋_GB2312" w:eastAsia="仿宋_GB2312"/>
                <w:color w:val="auto"/>
                <w:sz w:val="24"/>
                <w:highlight w:val="none"/>
              </w:rPr>
            </w:pPr>
          </w:p>
        </w:tc>
        <w:tc>
          <w:tcPr>
            <w:tcW w:w="673" w:type="dxa"/>
            <w:tcBorders>
              <w:top w:val="single" w:color="auto" w:sz="4" w:space="0"/>
              <w:left w:val="single" w:color="auto" w:sz="4" w:space="0"/>
              <w:bottom w:val="single" w:color="auto" w:sz="4" w:space="0"/>
              <w:right w:val="single" w:color="auto" w:sz="4" w:space="0"/>
            </w:tcBorders>
            <w:noWrap w:val="0"/>
            <w:vAlign w:val="center"/>
          </w:tcPr>
          <w:p w14:paraId="2CFEB7A3">
            <w:pPr>
              <w:spacing w:line="480" w:lineRule="exact"/>
              <w:jc w:val="center"/>
              <w:rPr>
                <w:rFonts w:ascii="仿宋_GB2312" w:hAnsi="仿宋_GB2312" w:eastAsia="仿宋_GB2312"/>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EF7F0A9">
            <w:pPr>
              <w:spacing w:line="480" w:lineRule="exact"/>
              <w:jc w:val="center"/>
              <w:rPr>
                <w:rFonts w:ascii="仿宋_GB2312" w:hAnsi="仿宋_GB2312" w:eastAsia="仿宋_GB2312"/>
                <w:color w:val="auto"/>
                <w:sz w:val="24"/>
                <w:highlight w:val="none"/>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1535509B">
            <w:pPr>
              <w:spacing w:line="480" w:lineRule="exact"/>
              <w:jc w:val="center"/>
              <w:rPr>
                <w:rFonts w:ascii="仿宋_GB2312" w:hAnsi="仿宋_GB2312" w:eastAsia="仿宋_GB2312"/>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4B763F95">
            <w:pPr>
              <w:spacing w:line="480" w:lineRule="exact"/>
              <w:jc w:val="center"/>
              <w:rPr>
                <w:rFonts w:ascii="仿宋_GB2312" w:hAnsi="仿宋_GB2312" w:eastAsia="仿宋_GB2312"/>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5E9AB573">
            <w:pPr>
              <w:spacing w:line="480" w:lineRule="exact"/>
              <w:jc w:val="center"/>
              <w:rPr>
                <w:rFonts w:ascii="仿宋_GB2312" w:hAnsi="仿宋_GB2312" w:eastAsia="仿宋_GB2312"/>
                <w:color w:val="auto"/>
                <w:sz w:val="24"/>
                <w:highlight w:val="none"/>
              </w:rPr>
            </w:pPr>
          </w:p>
        </w:tc>
      </w:tr>
      <w:tr w14:paraId="0D30A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93"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A968D10">
            <w:pPr>
              <w:autoSpaceDE w:val="0"/>
              <w:autoSpaceDN w:val="0"/>
              <w:spacing w:line="48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2</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886BD4F">
            <w:pPr>
              <w:spacing w:line="480" w:lineRule="exact"/>
              <w:jc w:val="center"/>
              <w:rPr>
                <w:rFonts w:ascii="仿宋_GB2312" w:hAnsi="仿宋_GB2312" w:eastAsia="仿宋_GB2312"/>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6BF511A">
            <w:pPr>
              <w:spacing w:line="480" w:lineRule="exact"/>
              <w:jc w:val="center"/>
              <w:rPr>
                <w:rFonts w:ascii="仿宋_GB2312" w:hAnsi="仿宋_GB2312" w:eastAsia="仿宋_GB2312"/>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60CFBE4E">
            <w:pPr>
              <w:spacing w:line="480" w:lineRule="exact"/>
              <w:jc w:val="center"/>
              <w:rPr>
                <w:rFonts w:ascii="仿宋_GB2312" w:hAnsi="仿宋_GB2312" w:eastAsia="仿宋_GB2312"/>
                <w:color w:val="auto"/>
                <w:sz w:val="24"/>
                <w:highlight w:val="none"/>
              </w:rPr>
            </w:pPr>
          </w:p>
        </w:tc>
        <w:tc>
          <w:tcPr>
            <w:tcW w:w="907" w:type="dxa"/>
            <w:tcBorders>
              <w:top w:val="single" w:color="auto" w:sz="4" w:space="0"/>
              <w:left w:val="single" w:color="auto" w:sz="4" w:space="0"/>
              <w:bottom w:val="single" w:color="auto" w:sz="4" w:space="0"/>
              <w:right w:val="single" w:color="auto" w:sz="4" w:space="0"/>
            </w:tcBorders>
            <w:noWrap w:val="0"/>
            <w:vAlign w:val="top"/>
          </w:tcPr>
          <w:p w14:paraId="5B1F7436">
            <w:pPr>
              <w:spacing w:line="480" w:lineRule="exact"/>
              <w:jc w:val="center"/>
              <w:rPr>
                <w:rFonts w:ascii="仿宋_GB2312" w:hAnsi="仿宋_GB2312" w:eastAsia="仿宋_GB2312"/>
                <w:color w:val="auto"/>
                <w:sz w:val="24"/>
                <w:highlight w:val="none"/>
              </w:rPr>
            </w:pPr>
          </w:p>
        </w:tc>
        <w:tc>
          <w:tcPr>
            <w:tcW w:w="728" w:type="dxa"/>
            <w:tcBorders>
              <w:top w:val="single" w:color="auto" w:sz="4" w:space="0"/>
              <w:left w:val="single" w:color="auto" w:sz="4" w:space="0"/>
              <w:bottom w:val="single" w:color="auto" w:sz="4" w:space="0"/>
              <w:right w:val="single" w:color="auto" w:sz="4" w:space="0"/>
            </w:tcBorders>
            <w:noWrap w:val="0"/>
            <w:vAlign w:val="top"/>
          </w:tcPr>
          <w:p w14:paraId="63C0F268">
            <w:pPr>
              <w:spacing w:line="480" w:lineRule="exact"/>
              <w:jc w:val="center"/>
              <w:rPr>
                <w:rFonts w:ascii="仿宋_GB2312" w:hAnsi="仿宋_GB2312" w:eastAsia="仿宋_GB2312"/>
                <w:color w:val="auto"/>
                <w:sz w:val="24"/>
                <w:highlight w:val="none"/>
              </w:rPr>
            </w:pPr>
          </w:p>
        </w:tc>
        <w:tc>
          <w:tcPr>
            <w:tcW w:w="673" w:type="dxa"/>
            <w:tcBorders>
              <w:top w:val="single" w:color="auto" w:sz="4" w:space="0"/>
              <w:left w:val="single" w:color="auto" w:sz="4" w:space="0"/>
              <w:bottom w:val="single" w:color="auto" w:sz="4" w:space="0"/>
              <w:right w:val="single" w:color="auto" w:sz="4" w:space="0"/>
            </w:tcBorders>
            <w:noWrap w:val="0"/>
            <w:vAlign w:val="center"/>
          </w:tcPr>
          <w:p w14:paraId="451C9994">
            <w:pPr>
              <w:spacing w:line="480" w:lineRule="exact"/>
              <w:jc w:val="center"/>
              <w:rPr>
                <w:rFonts w:ascii="仿宋_GB2312" w:hAnsi="仿宋_GB2312" w:eastAsia="仿宋_GB2312"/>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36E0C78">
            <w:pPr>
              <w:spacing w:line="480" w:lineRule="exact"/>
              <w:jc w:val="center"/>
              <w:rPr>
                <w:rFonts w:ascii="仿宋_GB2312" w:hAnsi="仿宋_GB2312" w:eastAsia="仿宋_GB2312"/>
                <w:color w:val="auto"/>
                <w:sz w:val="24"/>
                <w:highlight w:val="none"/>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1ACFFD0F">
            <w:pPr>
              <w:spacing w:line="480" w:lineRule="exact"/>
              <w:jc w:val="center"/>
              <w:rPr>
                <w:rFonts w:ascii="仿宋_GB2312" w:hAnsi="仿宋_GB2312" w:eastAsia="仿宋_GB2312"/>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73C182C5">
            <w:pPr>
              <w:spacing w:line="480" w:lineRule="exact"/>
              <w:jc w:val="center"/>
              <w:rPr>
                <w:rFonts w:ascii="仿宋_GB2312" w:hAnsi="仿宋_GB2312" w:eastAsia="仿宋_GB2312"/>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4746EB09">
            <w:pPr>
              <w:spacing w:line="480" w:lineRule="exact"/>
              <w:jc w:val="center"/>
              <w:rPr>
                <w:rFonts w:ascii="仿宋_GB2312" w:hAnsi="仿宋_GB2312" w:eastAsia="仿宋_GB2312"/>
                <w:color w:val="auto"/>
                <w:sz w:val="24"/>
                <w:highlight w:val="none"/>
              </w:rPr>
            </w:pPr>
          </w:p>
        </w:tc>
      </w:tr>
      <w:tr w14:paraId="5A5AB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5E80894">
            <w:pPr>
              <w:autoSpaceDE w:val="0"/>
              <w:autoSpaceDN w:val="0"/>
              <w:spacing w:line="480" w:lineRule="exact"/>
              <w:jc w:val="center"/>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3</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5373968D">
            <w:pPr>
              <w:spacing w:line="480" w:lineRule="exact"/>
              <w:jc w:val="center"/>
              <w:rPr>
                <w:rFonts w:ascii="仿宋_GB2312" w:hAnsi="仿宋_GB2312" w:eastAsia="仿宋_GB2312"/>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A16D31C">
            <w:pPr>
              <w:spacing w:line="480" w:lineRule="exact"/>
              <w:jc w:val="center"/>
              <w:rPr>
                <w:rFonts w:ascii="仿宋_GB2312" w:hAnsi="仿宋_GB2312" w:eastAsia="仿宋_GB2312"/>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5B815CC">
            <w:pPr>
              <w:spacing w:line="480" w:lineRule="exact"/>
              <w:jc w:val="center"/>
              <w:rPr>
                <w:rFonts w:ascii="仿宋_GB2312" w:hAnsi="仿宋_GB2312" w:eastAsia="仿宋_GB2312"/>
                <w:color w:val="auto"/>
                <w:sz w:val="24"/>
                <w:highlight w:val="none"/>
              </w:rPr>
            </w:pPr>
          </w:p>
        </w:tc>
        <w:tc>
          <w:tcPr>
            <w:tcW w:w="907" w:type="dxa"/>
            <w:tcBorders>
              <w:top w:val="single" w:color="auto" w:sz="4" w:space="0"/>
              <w:left w:val="single" w:color="auto" w:sz="4" w:space="0"/>
              <w:bottom w:val="single" w:color="auto" w:sz="4" w:space="0"/>
              <w:right w:val="single" w:color="auto" w:sz="4" w:space="0"/>
            </w:tcBorders>
            <w:noWrap w:val="0"/>
            <w:vAlign w:val="top"/>
          </w:tcPr>
          <w:p w14:paraId="42D01CCC">
            <w:pPr>
              <w:spacing w:line="480" w:lineRule="exact"/>
              <w:jc w:val="center"/>
              <w:rPr>
                <w:rFonts w:ascii="仿宋_GB2312" w:hAnsi="仿宋_GB2312" w:eastAsia="仿宋_GB2312"/>
                <w:color w:val="auto"/>
                <w:sz w:val="24"/>
                <w:highlight w:val="none"/>
              </w:rPr>
            </w:pPr>
          </w:p>
        </w:tc>
        <w:tc>
          <w:tcPr>
            <w:tcW w:w="728" w:type="dxa"/>
            <w:tcBorders>
              <w:top w:val="single" w:color="auto" w:sz="4" w:space="0"/>
              <w:left w:val="single" w:color="auto" w:sz="4" w:space="0"/>
              <w:bottom w:val="single" w:color="auto" w:sz="4" w:space="0"/>
              <w:right w:val="single" w:color="auto" w:sz="4" w:space="0"/>
            </w:tcBorders>
            <w:noWrap w:val="0"/>
            <w:vAlign w:val="top"/>
          </w:tcPr>
          <w:p w14:paraId="0B05C585">
            <w:pPr>
              <w:spacing w:line="480" w:lineRule="exact"/>
              <w:jc w:val="center"/>
              <w:rPr>
                <w:rFonts w:ascii="仿宋_GB2312" w:hAnsi="仿宋_GB2312" w:eastAsia="仿宋_GB2312"/>
                <w:color w:val="auto"/>
                <w:sz w:val="24"/>
                <w:highlight w:val="none"/>
              </w:rPr>
            </w:pPr>
          </w:p>
        </w:tc>
        <w:tc>
          <w:tcPr>
            <w:tcW w:w="673" w:type="dxa"/>
            <w:tcBorders>
              <w:top w:val="single" w:color="auto" w:sz="4" w:space="0"/>
              <w:left w:val="single" w:color="auto" w:sz="4" w:space="0"/>
              <w:bottom w:val="single" w:color="auto" w:sz="4" w:space="0"/>
              <w:right w:val="single" w:color="auto" w:sz="4" w:space="0"/>
            </w:tcBorders>
            <w:noWrap w:val="0"/>
            <w:vAlign w:val="center"/>
          </w:tcPr>
          <w:p w14:paraId="1D862AD5">
            <w:pPr>
              <w:spacing w:line="480" w:lineRule="exact"/>
              <w:jc w:val="center"/>
              <w:rPr>
                <w:rFonts w:ascii="仿宋_GB2312" w:hAnsi="仿宋_GB2312" w:eastAsia="仿宋_GB2312"/>
                <w:color w:val="auto"/>
                <w:sz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53DD637">
            <w:pPr>
              <w:spacing w:line="480" w:lineRule="exact"/>
              <w:jc w:val="center"/>
              <w:rPr>
                <w:rFonts w:ascii="仿宋_GB2312" w:hAnsi="仿宋_GB2312" w:eastAsia="仿宋_GB2312"/>
                <w:color w:val="auto"/>
                <w:sz w:val="24"/>
                <w:highlight w:val="none"/>
              </w:rPr>
            </w:pPr>
          </w:p>
        </w:tc>
        <w:tc>
          <w:tcPr>
            <w:tcW w:w="884" w:type="dxa"/>
            <w:tcBorders>
              <w:top w:val="single" w:color="auto" w:sz="4" w:space="0"/>
              <w:left w:val="single" w:color="auto" w:sz="4" w:space="0"/>
              <w:bottom w:val="single" w:color="auto" w:sz="4" w:space="0"/>
              <w:right w:val="single" w:color="auto" w:sz="4" w:space="0"/>
            </w:tcBorders>
            <w:noWrap w:val="0"/>
            <w:vAlign w:val="center"/>
          </w:tcPr>
          <w:p w14:paraId="033E795F">
            <w:pPr>
              <w:spacing w:line="480" w:lineRule="exact"/>
              <w:jc w:val="center"/>
              <w:rPr>
                <w:rFonts w:ascii="仿宋_GB2312" w:hAnsi="仿宋_GB2312" w:eastAsia="仿宋_GB2312"/>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043ACB29">
            <w:pPr>
              <w:spacing w:line="480" w:lineRule="exact"/>
              <w:jc w:val="center"/>
              <w:rPr>
                <w:rFonts w:ascii="仿宋_GB2312" w:hAnsi="仿宋_GB2312" w:eastAsia="仿宋_GB2312"/>
                <w:color w:val="auto"/>
                <w:sz w:val="24"/>
                <w:highlight w:val="none"/>
              </w:rPr>
            </w:pPr>
          </w:p>
        </w:tc>
        <w:tc>
          <w:tcPr>
            <w:tcW w:w="895" w:type="dxa"/>
            <w:tcBorders>
              <w:top w:val="single" w:color="auto" w:sz="4" w:space="0"/>
              <w:left w:val="single" w:color="auto" w:sz="4" w:space="0"/>
              <w:bottom w:val="single" w:color="auto" w:sz="4" w:space="0"/>
              <w:right w:val="single" w:color="auto" w:sz="4" w:space="0"/>
            </w:tcBorders>
            <w:noWrap w:val="0"/>
            <w:vAlign w:val="top"/>
          </w:tcPr>
          <w:p w14:paraId="693D16E7">
            <w:pPr>
              <w:spacing w:line="480" w:lineRule="exact"/>
              <w:jc w:val="center"/>
              <w:rPr>
                <w:rFonts w:ascii="仿宋_GB2312" w:hAnsi="仿宋_GB2312" w:eastAsia="仿宋_GB2312"/>
                <w:color w:val="auto"/>
                <w:sz w:val="24"/>
                <w:highlight w:val="none"/>
              </w:rPr>
            </w:pPr>
          </w:p>
        </w:tc>
      </w:tr>
      <w:tr w14:paraId="4C9FC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9630" w:type="dxa"/>
            <w:gridSpan w:val="11"/>
            <w:tcBorders>
              <w:top w:val="single" w:color="auto" w:sz="4" w:space="0"/>
              <w:left w:val="single" w:color="auto" w:sz="4" w:space="0"/>
              <w:bottom w:val="single" w:color="auto" w:sz="4" w:space="0"/>
              <w:right w:val="single" w:color="auto" w:sz="4" w:space="0"/>
            </w:tcBorders>
            <w:noWrap w:val="0"/>
            <w:vAlign w:val="top"/>
          </w:tcPr>
          <w:p w14:paraId="5E372C0F">
            <w:pPr>
              <w:spacing w:line="480" w:lineRule="exact"/>
              <w:ind w:firstLine="120" w:firstLineChars="5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总计：人民币（大写）小写：￥元</w:t>
            </w:r>
          </w:p>
        </w:tc>
      </w:tr>
      <w:tr w14:paraId="3D1A4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9630" w:type="dxa"/>
            <w:gridSpan w:val="11"/>
            <w:tcBorders>
              <w:top w:val="single" w:color="auto" w:sz="4" w:space="0"/>
              <w:left w:val="single" w:color="auto" w:sz="4" w:space="0"/>
              <w:bottom w:val="single" w:color="auto" w:sz="4" w:space="0"/>
              <w:right w:val="single" w:color="auto" w:sz="4" w:space="0"/>
            </w:tcBorders>
            <w:noWrap w:val="0"/>
            <w:vAlign w:val="top"/>
          </w:tcPr>
          <w:p w14:paraId="131892B0">
            <w:pPr>
              <w:spacing w:line="480" w:lineRule="exact"/>
              <w:ind w:firstLine="120" w:firstLineChars="50"/>
              <w:jc w:val="lef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说明：含运输费、装卸费、技术指导、含增值税。</w:t>
            </w:r>
          </w:p>
        </w:tc>
      </w:tr>
      <w:tr w14:paraId="436D1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9630" w:type="dxa"/>
            <w:gridSpan w:val="11"/>
            <w:tcBorders>
              <w:top w:val="single" w:color="auto" w:sz="4" w:space="0"/>
              <w:left w:val="single" w:color="auto" w:sz="4" w:space="0"/>
              <w:bottom w:val="single" w:color="auto" w:sz="4" w:space="0"/>
              <w:right w:val="single" w:color="auto" w:sz="4" w:space="0"/>
            </w:tcBorders>
            <w:noWrap w:val="0"/>
            <w:vAlign w:val="top"/>
          </w:tcPr>
          <w:p w14:paraId="0BC3B75C">
            <w:pPr>
              <w:adjustRightInd w:val="0"/>
              <w:snapToGrid w:val="0"/>
              <w:spacing w:line="480" w:lineRule="exact"/>
              <w:ind w:firstLine="480" w:firstLineChars="200"/>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szCs w:val="24"/>
                <w:highlight w:val="none"/>
              </w:rPr>
              <w:t>价格形式：</w:t>
            </w:r>
            <w:r>
              <w:rPr>
                <w:rFonts w:hint="eastAsia" w:ascii="仿宋_GB2312" w:hAnsi="仿宋_GB2312" w:eastAsia="仿宋_GB2312"/>
                <w:color w:val="auto"/>
                <w:sz w:val="24"/>
                <w:szCs w:val="24"/>
                <w:highlight w:val="none"/>
              </w:rPr>
              <w:sym w:font="Wingdings" w:char="00A8"/>
            </w:r>
            <w:r>
              <w:rPr>
                <w:rFonts w:hint="eastAsia" w:ascii="仿宋_GB2312" w:hAnsi="仿宋_GB2312" w:eastAsia="仿宋_GB2312"/>
                <w:color w:val="auto"/>
                <w:sz w:val="24"/>
                <w:szCs w:val="24"/>
                <w:highlight w:val="none"/>
              </w:rPr>
              <w:t>固定总价</w:t>
            </w:r>
            <w:r>
              <w:rPr>
                <w:rFonts w:hint="eastAsia" w:ascii="仿宋_GB2312" w:hAnsi="仿宋_GB2312" w:eastAsia="仿宋_GB2312"/>
                <w:color w:val="auto"/>
                <w:sz w:val="24"/>
                <w:szCs w:val="24"/>
                <w:highlight w:val="none"/>
              </w:rPr>
              <w:sym w:font="Wingdings" w:char="00A8"/>
            </w:r>
            <w:r>
              <w:rPr>
                <w:rFonts w:hint="eastAsia" w:ascii="仿宋_GB2312" w:hAnsi="仿宋_GB2312" w:eastAsia="仿宋_GB2312"/>
                <w:color w:val="auto"/>
                <w:sz w:val="24"/>
                <w:szCs w:val="24"/>
                <w:highlight w:val="none"/>
              </w:rPr>
              <w:t>固定单价</w:t>
            </w:r>
            <w:r>
              <w:rPr>
                <w:rFonts w:hint="eastAsia" w:ascii="仿宋_GB2312" w:hAnsi="仿宋_GB2312" w:eastAsia="仿宋_GB2312"/>
                <w:color w:val="auto"/>
                <w:sz w:val="24"/>
                <w:szCs w:val="24"/>
                <w:highlight w:val="none"/>
              </w:rPr>
              <w:sym w:font="Wingdings" w:char="00A8"/>
            </w:r>
            <w:r>
              <w:rPr>
                <w:rFonts w:hint="eastAsia" w:ascii="仿宋_GB2312" w:hAnsi="仿宋_GB2312" w:eastAsia="仿宋_GB2312"/>
                <w:color w:val="auto"/>
                <w:sz w:val="24"/>
                <w:szCs w:val="24"/>
                <w:highlight w:val="none"/>
              </w:rPr>
              <w:t>固定费率</w:t>
            </w:r>
            <w:r>
              <w:rPr>
                <w:rFonts w:hint="eastAsia" w:ascii="仿宋_GB2312" w:hAnsi="仿宋_GB2312" w:eastAsia="仿宋_GB2312"/>
                <w:color w:val="auto"/>
                <w:sz w:val="24"/>
                <w:szCs w:val="24"/>
                <w:highlight w:val="none"/>
              </w:rPr>
              <w:sym w:font="Wingdings" w:char="00A8"/>
            </w:r>
            <w:r>
              <w:rPr>
                <w:rFonts w:hint="eastAsia" w:ascii="仿宋_GB2312" w:hAnsi="仿宋_GB2312" w:eastAsia="仿宋_GB2312"/>
                <w:color w:val="auto"/>
                <w:sz w:val="24"/>
                <w:szCs w:val="24"/>
                <w:highlight w:val="none"/>
              </w:rPr>
              <w:t>成本补偿</w:t>
            </w:r>
            <w:r>
              <w:rPr>
                <w:rFonts w:hint="eastAsia" w:ascii="仿宋_GB2312" w:hAnsi="仿宋_GB2312" w:eastAsia="仿宋_GB2312"/>
                <w:color w:val="auto"/>
                <w:sz w:val="24"/>
                <w:szCs w:val="24"/>
                <w:highlight w:val="none"/>
              </w:rPr>
              <w:sym w:font="Wingdings" w:char="00A8"/>
            </w:r>
            <w:r>
              <w:rPr>
                <w:rFonts w:hint="eastAsia" w:ascii="仿宋_GB2312" w:hAnsi="仿宋_GB2312" w:eastAsia="仿宋_GB2312"/>
                <w:color w:val="auto"/>
                <w:sz w:val="24"/>
                <w:szCs w:val="24"/>
                <w:highlight w:val="none"/>
              </w:rPr>
              <w:t>绩效激励</w:t>
            </w:r>
            <w:r>
              <w:rPr>
                <w:rFonts w:hint="eastAsia" w:ascii="仿宋_GB2312" w:hAnsi="仿宋_GB2312" w:eastAsia="仿宋_GB2312"/>
                <w:color w:val="auto"/>
                <w:sz w:val="24"/>
                <w:szCs w:val="24"/>
                <w:highlight w:val="none"/>
              </w:rPr>
              <w:sym w:font="Wingdings" w:char="00A8"/>
            </w:r>
            <w:r>
              <w:rPr>
                <w:rFonts w:hint="eastAsia" w:ascii="仿宋_GB2312" w:hAnsi="仿宋_GB2312" w:eastAsia="仿宋_GB2312"/>
                <w:color w:val="auto"/>
                <w:sz w:val="24"/>
                <w:szCs w:val="24"/>
                <w:highlight w:val="none"/>
              </w:rPr>
              <w:t>其他</w:t>
            </w:r>
          </w:p>
        </w:tc>
      </w:tr>
    </w:tbl>
    <w:p w14:paraId="335697BF">
      <w:pPr>
        <w:spacing w:line="480" w:lineRule="exact"/>
        <w:ind w:firstLine="480" w:firstLineChars="200"/>
        <w:jc w:val="left"/>
        <w:rPr>
          <w:rFonts w:hint="eastAsia" w:ascii="仿宋_GB2312" w:hAnsi="仿宋_GB2312" w:eastAsia="仿宋_GB2312"/>
          <w:color w:val="auto"/>
          <w:sz w:val="24"/>
          <w:highlight w:val="none"/>
        </w:rPr>
      </w:pPr>
    </w:p>
    <w:p w14:paraId="7C1E15EC">
      <w:pPr>
        <w:spacing w:line="480" w:lineRule="exact"/>
        <w:ind w:firstLine="480" w:firstLineChars="200"/>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3、本协议项下的产品规格、参数等内容，必须与</w:t>
      </w:r>
      <w:r>
        <w:rPr>
          <w:rFonts w:hint="eastAsia" w:ascii="仿宋_GB2312" w:hAnsi="仿宋_GB2312" w:eastAsia="仿宋_GB2312"/>
          <w:color w:val="auto"/>
          <w:sz w:val="24"/>
          <w:highlight w:val="none"/>
          <w:lang w:val="en-US" w:eastAsia="zh-CN"/>
        </w:rPr>
        <w:t>询价</w:t>
      </w:r>
      <w:r>
        <w:rPr>
          <w:rFonts w:hint="eastAsia" w:ascii="仿宋_GB2312" w:hAnsi="仿宋_GB2312" w:eastAsia="仿宋_GB2312"/>
          <w:color w:val="auto"/>
          <w:sz w:val="24"/>
          <w:highlight w:val="none"/>
        </w:rPr>
        <w:t>文件保持一致，任何一方不得私自更改，如在合同履行过程中，出现合同中约定的产品规格、参数等内容与</w:t>
      </w:r>
      <w:r>
        <w:rPr>
          <w:rFonts w:hint="eastAsia" w:ascii="仿宋_GB2312" w:hAnsi="仿宋_GB2312" w:eastAsia="仿宋_GB2312"/>
          <w:color w:val="auto"/>
          <w:sz w:val="24"/>
          <w:highlight w:val="none"/>
          <w:lang w:val="en-US" w:eastAsia="zh-CN"/>
        </w:rPr>
        <w:t>询价</w:t>
      </w:r>
      <w:r>
        <w:rPr>
          <w:rFonts w:hint="eastAsia" w:ascii="仿宋_GB2312" w:hAnsi="仿宋_GB2312" w:eastAsia="仿宋_GB2312"/>
          <w:color w:val="auto"/>
          <w:sz w:val="24"/>
          <w:highlight w:val="none"/>
        </w:rPr>
        <w:t>文件不一致的，以</w:t>
      </w:r>
      <w:r>
        <w:rPr>
          <w:rFonts w:hint="eastAsia" w:ascii="仿宋_GB2312" w:hAnsi="仿宋_GB2312" w:eastAsia="仿宋_GB2312"/>
          <w:color w:val="auto"/>
          <w:sz w:val="24"/>
          <w:highlight w:val="none"/>
          <w:lang w:val="en-US" w:eastAsia="zh-CN"/>
        </w:rPr>
        <w:t>询价</w:t>
      </w:r>
      <w:r>
        <w:rPr>
          <w:rFonts w:hint="eastAsia" w:ascii="仿宋_GB2312" w:hAnsi="仿宋_GB2312" w:eastAsia="仿宋_GB2312"/>
          <w:color w:val="auto"/>
          <w:sz w:val="24"/>
          <w:highlight w:val="none"/>
        </w:rPr>
        <w:t>文件规定的内容为准。</w:t>
      </w:r>
    </w:p>
    <w:p w14:paraId="7B2A50CA">
      <w:pPr>
        <w:spacing w:line="480" w:lineRule="exact"/>
        <w:ind w:firstLine="482" w:firstLineChars="200"/>
        <w:jc w:val="left"/>
        <w:rPr>
          <w:rFonts w:ascii="仿宋_GB2312" w:hAnsi="仿宋_GB2312" w:eastAsia="仿宋_GB2312"/>
          <w:b/>
          <w:color w:val="auto"/>
          <w:sz w:val="24"/>
          <w:highlight w:val="none"/>
        </w:rPr>
      </w:pPr>
      <w:r>
        <w:rPr>
          <w:rFonts w:hint="eastAsia" w:ascii="仿宋_GB2312" w:hAnsi="仿宋_GB2312" w:eastAsia="仿宋_GB2312"/>
          <w:b/>
          <w:color w:val="auto"/>
          <w:sz w:val="24"/>
          <w:highlight w:val="none"/>
        </w:rPr>
        <w:t>二、合同价款</w:t>
      </w:r>
    </w:p>
    <w:p w14:paraId="7832506B">
      <w:pPr>
        <w:spacing w:line="480" w:lineRule="exact"/>
        <w:ind w:firstLine="480" w:firstLineChars="200"/>
        <w:jc w:val="lef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1、</w:t>
      </w:r>
      <w:r>
        <w:rPr>
          <w:rFonts w:ascii="仿宋_GB2312" w:hAnsi="仿宋_GB2312" w:eastAsia="仿宋_GB2312"/>
          <w:color w:val="auto"/>
          <w:sz w:val="24"/>
          <w:highlight w:val="none"/>
        </w:rPr>
        <w:t>本合同为</w:t>
      </w:r>
      <w:r>
        <w:rPr>
          <w:rFonts w:hint="eastAsia" w:ascii="仿宋_GB2312" w:hAnsi="仿宋_GB2312" w:eastAsia="仿宋_GB2312"/>
          <w:color w:val="auto"/>
          <w:sz w:val="24"/>
          <w:highlight w:val="none"/>
          <w:u w:val="single"/>
        </w:rPr>
        <w:t>（价格形式）</w:t>
      </w:r>
      <w:r>
        <w:rPr>
          <w:rFonts w:ascii="仿宋_GB2312" w:hAnsi="仿宋_GB2312" w:eastAsia="仿宋_GB2312"/>
          <w:color w:val="auto"/>
          <w:sz w:val="24"/>
          <w:highlight w:val="none"/>
        </w:rPr>
        <w:t>，合同总价以甲方实际采购并验收合格的数量结合上表标明单价进行结算支付。总价为人民币大写：整（小写：￥元）。）</w:t>
      </w:r>
      <w:r>
        <w:rPr>
          <w:rFonts w:hint="eastAsia" w:ascii="仿宋_GB2312" w:hAnsi="仿宋_GB2312" w:eastAsia="仿宋_GB2312"/>
          <w:color w:val="auto"/>
          <w:sz w:val="24"/>
          <w:highlight w:val="none"/>
          <w:lang w:eastAsia="zh-CN"/>
        </w:rPr>
        <w:t>，</w:t>
      </w:r>
      <w:r>
        <w:rPr>
          <w:rFonts w:hint="eastAsia" w:ascii="仿宋_GB2312" w:hAnsi="仿宋_GB2312" w:eastAsia="仿宋_GB2312"/>
          <w:color w:val="auto"/>
          <w:sz w:val="24"/>
          <w:highlight w:val="none"/>
          <w:lang w:val="en-US" w:eastAsia="zh-CN"/>
        </w:rPr>
        <w:t>其中不含税价格元，增值税元，税率%。</w:t>
      </w:r>
      <w:r>
        <w:rPr>
          <w:rFonts w:ascii="仿宋_GB2312" w:hAnsi="仿宋_GB2312" w:eastAsia="仿宋_GB2312"/>
          <w:color w:val="auto"/>
          <w:sz w:val="24"/>
          <w:highlight w:val="none"/>
        </w:rPr>
        <w:t>以上</w:t>
      </w:r>
      <w:r>
        <w:rPr>
          <w:rFonts w:hint="eastAsia" w:ascii="仿宋_GB2312" w:hAnsi="仿宋_GB2312" w:eastAsia="仿宋_GB2312"/>
          <w:color w:val="auto"/>
          <w:sz w:val="24"/>
          <w:highlight w:val="none"/>
        </w:rPr>
        <w:t>合同价格包括货物供给、税费、包装费、运输、调试、安装费、调试、装卸费必不可少的部件等费用，以及已支付或将支付的营业税和其他税费等所有费用；甲方除支付合同约定的上述款项外，无需再支付其他任何费用及款项。</w:t>
      </w:r>
    </w:p>
    <w:p w14:paraId="17039A6D">
      <w:pPr>
        <w:numPr>
          <w:ilvl w:val="0"/>
          <w:numId w:val="6"/>
        </w:numPr>
        <w:spacing w:line="480" w:lineRule="exact"/>
        <w:ind w:firstLine="566" w:firstLineChars="236"/>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价格清单表是基于乙方在完全理解本项目材料所需为前提，同时甲方对清单中的名称、规格、材质及数量等没有校对的义务，乙方在合同有效期内不得对清单的综合费用提出任何费用的增加。</w:t>
      </w:r>
    </w:p>
    <w:p w14:paraId="016C595E">
      <w:pPr>
        <w:spacing w:line="480" w:lineRule="exact"/>
        <w:ind w:firstLine="361" w:firstLineChars="150"/>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三、货物质量保证</w:t>
      </w:r>
    </w:p>
    <w:p w14:paraId="763223FB">
      <w:pPr>
        <w:spacing w:line="480" w:lineRule="exact"/>
        <w:ind w:firstLine="480" w:firstLineChars="200"/>
        <w:jc w:val="lef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1、乙方保证本合同货物是符合国家技术规格和国家质量标准的出厂原装合格产品，产品型号、数量、规格及技术、质量标准、售后服务必须满足甲方和自治区政府采购协议定点采购要求。</w:t>
      </w:r>
    </w:p>
    <w:p w14:paraId="581227FE">
      <w:pPr>
        <w:spacing w:line="480" w:lineRule="exact"/>
        <w:ind w:firstLine="480" w:firstLineChars="200"/>
        <w:jc w:val="lef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2、乙方保证所提供的本合同标的物必须符合本合同及招标文件约定的“质量标准”，达到产品各项性能指标和参数，并保证其销售的产品不存在任何权利上的瑕疵；若因此造成任何损失，由乙方承担全部赔偿责任；另外，乙方应保证产品完整无损，是全新的、未使用过的，是原装原厂的，是用先进工艺和优质材料制造而成的，并完全符合合同规定的质量、规格和性能要求。若标的物质量存在瑕疵，乙方应承担甲方相关损失及相应违约责任。</w:t>
      </w:r>
    </w:p>
    <w:p w14:paraId="275867D8">
      <w:pPr>
        <w:spacing w:line="480" w:lineRule="exact"/>
        <w:ind w:firstLine="480" w:firstLineChars="200"/>
        <w:jc w:val="left"/>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3、乙方应在安装完毕3个工作日内派出工程师对甲方工作人员进行培训，包含但不限于正确使用方法、存储条件、安全注意事项以及质量问题的识别和处理等，保障甲方工作人员熟练掌握产品的应用和常见问题的处理。</w:t>
      </w:r>
    </w:p>
    <w:p w14:paraId="461ED6F8">
      <w:pPr>
        <w:spacing w:line="480" w:lineRule="exact"/>
        <w:ind w:firstLine="482" w:firstLineChars="200"/>
        <w:jc w:val="left"/>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四、质量保证期</w:t>
      </w:r>
    </w:p>
    <w:p w14:paraId="4FDE5C9B">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1、</w:t>
      </w:r>
      <w:r>
        <w:rPr>
          <w:rFonts w:hint="eastAsia" w:ascii="仿宋_GB2312" w:hAnsi="仿宋_GB2312" w:eastAsia="仿宋_GB2312" w:cs="Times New Roman"/>
          <w:color w:val="auto"/>
          <w:sz w:val="24"/>
          <w:highlight w:val="none"/>
        </w:rPr>
        <w:t>合同内货物质保期为年，质保期自甲方验收合格之日起计算</w:t>
      </w:r>
      <w:r>
        <w:rPr>
          <w:rFonts w:hint="eastAsia" w:ascii="仿宋_GB2312" w:hAnsi="仿宋_GB2312" w:eastAsia="仿宋_GB2312"/>
          <w:color w:val="auto"/>
          <w:sz w:val="24"/>
          <w:highlight w:val="none"/>
        </w:rPr>
        <w:t>，在质量保证期内，因产品质量出现问题，乙方负责免费更换，并承担与维修和更换相关的运费、保险等一切费用。</w:t>
      </w:r>
    </w:p>
    <w:p w14:paraId="44541E6A">
      <w:pPr>
        <w:spacing w:line="480" w:lineRule="exact"/>
        <w:ind w:firstLine="480" w:firstLineChars="200"/>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2、</w:t>
      </w:r>
      <w:r>
        <w:rPr>
          <w:rFonts w:ascii="仿宋_GB2312" w:hAnsi="仿宋_GB2312" w:eastAsia="仿宋_GB2312"/>
          <w:color w:val="auto"/>
          <w:sz w:val="24"/>
          <w:highlight w:val="none"/>
        </w:rPr>
        <w:t>质保期内，如产品发生质量问题，</w:t>
      </w:r>
      <w:r>
        <w:rPr>
          <w:rFonts w:hint="eastAsia" w:ascii="仿宋_GB2312" w:hAnsi="仿宋_GB2312" w:eastAsia="仿宋_GB2312"/>
          <w:color w:val="auto"/>
          <w:sz w:val="24"/>
          <w:highlight w:val="none"/>
        </w:rPr>
        <w:t>规格与合同规定不符，或有缺陷，</w:t>
      </w:r>
      <w:r>
        <w:rPr>
          <w:rFonts w:ascii="仿宋_GB2312" w:hAnsi="仿宋_GB2312" w:eastAsia="仿宋_GB2312"/>
          <w:color w:val="auto"/>
          <w:sz w:val="24"/>
          <w:highlight w:val="none"/>
        </w:rPr>
        <w:t>乙方应在</w:t>
      </w:r>
      <w:r>
        <w:rPr>
          <w:rFonts w:hint="eastAsia" w:ascii="仿宋_GB2312" w:hAnsi="仿宋_GB2312" w:eastAsia="仿宋_GB2312"/>
          <w:color w:val="auto"/>
          <w:sz w:val="24"/>
          <w:highlight w:val="none"/>
        </w:rPr>
        <w:t>保证24小时内作出答复</w:t>
      </w:r>
      <w:r>
        <w:rPr>
          <w:rFonts w:ascii="仿宋_GB2312" w:hAnsi="仿宋_GB2312" w:eastAsia="仿宋_GB2312"/>
          <w:color w:val="auto"/>
          <w:sz w:val="24"/>
          <w:highlight w:val="none"/>
        </w:rPr>
        <w:t>。对设备</w:t>
      </w:r>
      <w:r>
        <w:rPr>
          <w:rFonts w:hint="eastAsia" w:ascii="仿宋_GB2312" w:hAnsi="仿宋_GB2312" w:eastAsia="仿宋_GB2312"/>
          <w:color w:val="auto"/>
          <w:sz w:val="24"/>
          <w:highlight w:val="none"/>
        </w:rPr>
        <w:t>出现</w:t>
      </w:r>
      <w:r>
        <w:rPr>
          <w:rFonts w:ascii="仿宋_GB2312" w:hAnsi="仿宋_GB2312" w:eastAsia="仿宋_GB2312"/>
          <w:color w:val="auto"/>
          <w:sz w:val="24"/>
          <w:highlight w:val="none"/>
        </w:rPr>
        <w:t>较大的问题，解决时间不得超过3个日历日。乙方接到甲方通知后未依照约定时间到场的，甲方有权另行聘请专业人员进行维修</w:t>
      </w:r>
      <w:r>
        <w:rPr>
          <w:rFonts w:hint="eastAsia" w:ascii="仿宋_GB2312" w:hAnsi="仿宋_GB2312" w:eastAsia="仿宋_GB2312"/>
          <w:color w:val="auto"/>
          <w:sz w:val="24"/>
          <w:highlight w:val="none"/>
        </w:rPr>
        <w:t>并向乙方主张质保责任</w:t>
      </w:r>
      <w:r>
        <w:rPr>
          <w:rFonts w:ascii="仿宋_GB2312" w:hAnsi="仿宋_GB2312" w:eastAsia="仿宋_GB2312"/>
          <w:color w:val="auto"/>
          <w:sz w:val="24"/>
          <w:highlight w:val="none"/>
        </w:rPr>
        <w:t>，产生的合理费用</w:t>
      </w:r>
      <w:r>
        <w:rPr>
          <w:rFonts w:hint="eastAsia" w:ascii="仿宋_GB2312" w:hAnsi="仿宋_GB2312" w:eastAsia="仿宋_GB2312"/>
          <w:color w:val="auto"/>
          <w:sz w:val="24"/>
          <w:highlight w:val="none"/>
        </w:rPr>
        <w:t>全部由乙方承担</w:t>
      </w:r>
      <w:r>
        <w:rPr>
          <w:rFonts w:ascii="仿宋_GB2312" w:hAnsi="仿宋_GB2312" w:eastAsia="仿宋_GB2312"/>
          <w:color w:val="auto"/>
          <w:sz w:val="24"/>
          <w:highlight w:val="none"/>
        </w:rPr>
        <w:t>。</w:t>
      </w:r>
    </w:p>
    <w:p w14:paraId="02530CE5">
      <w:pPr>
        <w:spacing w:line="480" w:lineRule="exact"/>
        <w:ind w:firstLine="480" w:firstLineChars="200"/>
        <w:rPr>
          <w:rFonts w:hint="eastAsia" w:ascii="仿宋_GB2312" w:hAnsi="仿宋_GB2312" w:eastAsia="仿宋_GB2312"/>
          <w:color w:val="auto"/>
          <w:sz w:val="24"/>
          <w:highlight w:val="none"/>
          <w:lang w:val="en-US" w:eastAsia="zh-CN"/>
        </w:rPr>
      </w:pPr>
      <w:r>
        <w:rPr>
          <w:rFonts w:hint="eastAsia" w:ascii="仿宋_GB2312" w:hAnsi="仿宋_GB2312" w:eastAsia="仿宋_GB2312"/>
          <w:color w:val="auto"/>
          <w:sz w:val="24"/>
          <w:highlight w:val="none"/>
          <w:lang w:val="en-US" w:eastAsia="zh-CN"/>
        </w:rPr>
        <w:t>3、乙方借故推脱或无理由拒绝甲方提出的更换服务请求，甲方可以自行解决，并对更换服务以实际发生费用或市场价，从甲方应支付给乙方的合同款项中扣除得到补偿。甲方根据合同规定对乙方行使的其他权利不受影响，并保留进一步索赔的权利。</w:t>
      </w:r>
    </w:p>
    <w:p w14:paraId="0988A03E">
      <w:pPr>
        <w:spacing w:line="480" w:lineRule="exact"/>
        <w:ind w:firstLine="482" w:firstLineChars="200"/>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五、交货（或安装）时间、地点</w:t>
      </w:r>
    </w:p>
    <w:p w14:paraId="117D9CB2">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1、乙方于年月日前将货物送达（并安装调试完毕）至以下指定地点：</w:t>
      </w:r>
      <w:r>
        <w:rPr>
          <w:rFonts w:hint="eastAsia" w:ascii="仿宋_GB2312" w:hAnsi="仿宋_GB2312" w:eastAsia="仿宋_GB2312"/>
          <w:color w:val="auto"/>
          <w:sz w:val="24"/>
          <w:highlight w:val="none"/>
          <w:u w:val="single"/>
        </w:rPr>
        <w:t>新疆维吾尔自治区民政康复中心</w:t>
      </w:r>
      <w:r>
        <w:rPr>
          <w:rFonts w:hint="eastAsia" w:ascii="仿宋_GB2312" w:hAnsi="仿宋_GB2312" w:eastAsia="仿宋_GB2312"/>
          <w:color w:val="auto"/>
          <w:sz w:val="24"/>
          <w:highlight w:val="none"/>
          <w:u w:val="single"/>
          <w:lang w:val="en-US" w:eastAsia="zh-CN"/>
        </w:rPr>
        <w:t>院</w:t>
      </w:r>
      <w:r>
        <w:rPr>
          <w:rFonts w:hint="eastAsia" w:ascii="仿宋_GB2312" w:hAnsi="仿宋_GB2312" w:eastAsia="仿宋_GB2312"/>
          <w:color w:val="auto"/>
          <w:sz w:val="24"/>
          <w:highlight w:val="none"/>
          <w:u w:val="single"/>
        </w:rPr>
        <w:t>内</w:t>
      </w:r>
      <w:r>
        <w:rPr>
          <w:rFonts w:hint="eastAsia" w:ascii="仿宋_GB2312" w:hAnsi="仿宋_GB2312" w:eastAsia="仿宋_GB2312"/>
          <w:color w:val="auto"/>
          <w:sz w:val="24"/>
          <w:highlight w:val="none"/>
        </w:rPr>
        <w:t>，并确保在天内配合甲方完成验收工作。</w:t>
      </w:r>
    </w:p>
    <w:p w14:paraId="190DF3EF">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2、到货地点和接货单位（或接货人）。甲方指定的接货人为：姓名：，电话：；双方明确，除该指定接货人外，其他任何人员（包括甲方的其他任何工作人员）签署的接货单，甲方均不予认可。</w:t>
      </w:r>
    </w:p>
    <w:p w14:paraId="361529E6">
      <w:pPr>
        <w:spacing w:line="480" w:lineRule="exact"/>
        <w:ind w:firstLine="482" w:firstLineChars="200"/>
        <w:rPr>
          <w:rFonts w:hint="eastAsia" w:ascii="仿宋_GB2312" w:hAnsi="仿宋_GB2312" w:eastAsia="仿宋_GB2312" w:cs="Bookman Old Style"/>
          <w:bCs/>
          <w:color w:val="auto"/>
          <w:sz w:val="24"/>
          <w:highlight w:val="none"/>
        </w:rPr>
      </w:pPr>
      <w:r>
        <w:rPr>
          <w:rFonts w:hint="eastAsia" w:ascii="仿宋_GB2312" w:hAnsi="仿宋_GB2312" w:eastAsia="仿宋_GB2312"/>
          <w:b/>
          <w:color w:val="auto"/>
          <w:sz w:val="24"/>
          <w:highlight w:val="none"/>
        </w:rPr>
        <w:t>六、验收</w:t>
      </w:r>
    </w:p>
    <w:p w14:paraId="17AFAEBA">
      <w:pPr>
        <w:spacing w:line="480" w:lineRule="exact"/>
        <w:ind w:firstLine="480" w:firstLineChars="200"/>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1、乙方应确保制造商对货物的有关内在和外观质量、规格、性能、数量和重量进行</w:t>
      </w:r>
      <w:r>
        <w:rPr>
          <w:rFonts w:hint="eastAsia" w:ascii="仿宋_GB2312" w:hAnsi="仿宋_GB2312" w:eastAsia="仿宋_GB2312"/>
          <w:color w:val="auto"/>
          <w:sz w:val="24"/>
          <w:highlight w:val="none"/>
          <w:lang w:eastAsia="zh-CN"/>
        </w:rPr>
        <w:t>了</w:t>
      </w:r>
      <w:r>
        <w:rPr>
          <w:rFonts w:hint="eastAsia" w:ascii="仿宋_GB2312" w:hAnsi="仿宋_GB2312" w:eastAsia="仿宋_GB2312"/>
          <w:color w:val="auto"/>
          <w:sz w:val="24"/>
          <w:highlight w:val="none"/>
        </w:rPr>
        <w:t>准确全面的检验。</w:t>
      </w:r>
    </w:p>
    <w:p w14:paraId="59D35562">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2、货物运至交货地点、完成</w:t>
      </w:r>
      <w:r>
        <w:rPr>
          <w:rFonts w:hint="eastAsia" w:ascii="仿宋_GB2312" w:hAnsi="仿宋_GB2312" w:eastAsia="仿宋_GB2312"/>
          <w:color w:val="auto"/>
          <w:sz w:val="24"/>
          <w:highlight w:val="none"/>
          <w:lang w:val="en-US" w:eastAsia="zh-CN"/>
        </w:rPr>
        <w:t>检验</w:t>
      </w:r>
      <w:r>
        <w:rPr>
          <w:rFonts w:hint="eastAsia" w:ascii="仿宋_GB2312" w:hAnsi="仿宋_GB2312" w:eastAsia="仿宋_GB2312"/>
          <w:color w:val="auto"/>
          <w:sz w:val="24"/>
          <w:highlight w:val="none"/>
        </w:rPr>
        <w:t>，双方应对货物的型号、技术参数、数量、产地，并根据制造商签发的《产品合格证》，《出厂清单》，《技术文件》等进行现场初验，待</w:t>
      </w:r>
      <w:r>
        <w:rPr>
          <w:rFonts w:hint="eastAsia" w:ascii="仿宋_GB2312" w:hAnsi="仿宋_GB2312" w:eastAsia="仿宋_GB2312"/>
          <w:color w:val="auto"/>
          <w:sz w:val="24"/>
          <w:highlight w:val="none"/>
          <w:lang w:val="en-US" w:eastAsia="zh-CN"/>
        </w:rPr>
        <w:t>检验</w:t>
      </w:r>
      <w:r>
        <w:rPr>
          <w:rFonts w:hint="eastAsia" w:ascii="仿宋_GB2312" w:hAnsi="仿宋_GB2312" w:eastAsia="仿宋_GB2312"/>
          <w:color w:val="auto"/>
          <w:sz w:val="24"/>
          <w:highlight w:val="none"/>
        </w:rPr>
        <w:t>完毕且</w:t>
      </w:r>
      <w:r>
        <w:rPr>
          <w:rFonts w:hint="eastAsia" w:ascii="仿宋_GB2312" w:hAnsi="仿宋_GB2312" w:eastAsia="仿宋_GB2312"/>
          <w:color w:val="auto"/>
          <w:sz w:val="24"/>
          <w:highlight w:val="none"/>
          <w:lang w:val="en-US" w:eastAsia="zh-CN"/>
        </w:rPr>
        <w:t>确保可以正常使用</w:t>
      </w:r>
      <w:r>
        <w:rPr>
          <w:rFonts w:hint="eastAsia" w:ascii="仿宋_GB2312" w:hAnsi="仿宋_GB2312" w:eastAsia="仿宋_GB2312"/>
          <w:color w:val="auto"/>
          <w:sz w:val="24"/>
          <w:highlight w:val="none"/>
        </w:rPr>
        <w:t>后，由甲、乙双方共同组织验收、出具验收单。如甲方认为需要第三方检测机构检验，则应委托第三方专业检测机构检测并出具相应的合格证书，委托第三方机构检测费用由乙方承担。</w:t>
      </w:r>
    </w:p>
    <w:p w14:paraId="260FE776">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3、经甲方验收不合格的，应及时向乙方提出书面异议，乙方应在接到异议及检测报告后及时进行更换，直至验收合格，如因乙方供货质量原因造成的甲方受到的损失，乙方应承担相应违约责任并承担相应赔偿。</w:t>
      </w:r>
    </w:p>
    <w:p w14:paraId="74A9D85B">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4、如乙方交付</w:t>
      </w:r>
      <w:r>
        <w:rPr>
          <w:rFonts w:hint="eastAsia" w:ascii="仿宋_GB2312" w:hAnsi="仿宋_GB2312" w:eastAsia="仿宋_GB2312"/>
          <w:color w:val="auto"/>
          <w:sz w:val="24"/>
          <w:highlight w:val="none"/>
          <w:lang w:val="en-US" w:eastAsia="zh-CN"/>
        </w:rPr>
        <w:t>货物经检验</w:t>
      </w:r>
      <w:r>
        <w:rPr>
          <w:rFonts w:hint="eastAsia" w:ascii="仿宋_GB2312" w:hAnsi="仿宋_GB2312" w:eastAsia="仿宋_GB2312"/>
          <w:color w:val="auto"/>
          <w:sz w:val="24"/>
          <w:highlight w:val="none"/>
        </w:rPr>
        <w:t>后达不到合同或招投标文件规定的质量或技术指标要求，甲方有权提出退货，并要求乙方全额退还货款。</w:t>
      </w:r>
    </w:p>
    <w:p w14:paraId="56F7B0EA">
      <w:pPr>
        <w:spacing w:line="480" w:lineRule="exact"/>
        <w:ind w:firstLine="482" w:firstLineChars="200"/>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七、售后服务</w:t>
      </w:r>
    </w:p>
    <w:p w14:paraId="74EBE0DA">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上述产品的免费保修期为交货并验收合格后；</w:t>
      </w:r>
    </w:p>
    <w:p w14:paraId="57DCFE6B">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免费更换时间为交货并验收合格后；</w:t>
      </w:r>
    </w:p>
    <w:p w14:paraId="235366FF">
      <w:pPr>
        <w:spacing w:line="480" w:lineRule="exact"/>
        <w:ind w:firstLine="480" w:firstLineChars="200"/>
        <w:rPr>
          <w:rFonts w:hint="eastAsia" w:ascii="仿宋_GB2312" w:hAnsi="仿宋_GB2312" w:eastAsia="仿宋_GB2312"/>
          <w:color w:val="auto"/>
          <w:sz w:val="24"/>
          <w:highlight w:val="none"/>
          <w:u w:val="single"/>
        </w:rPr>
      </w:pPr>
      <w:r>
        <w:rPr>
          <w:rFonts w:hint="eastAsia" w:ascii="仿宋_GB2312" w:hAnsi="仿宋_GB2312" w:eastAsia="仿宋_GB2312"/>
          <w:color w:val="auto"/>
          <w:sz w:val="24"/>
          <w:highlight w:val="none"/>
        </w:rPr>
        <w:t>乙方售后服务联系人；</w:t>
      </w:r>
    </w:p>
    <w:p w14:paraId="4DDB346E">
      <w:pPr>
        <w:spacing w:line="480" w:lineRule="exact"/>
        <w:ind w:firstLine="480" w:firstLineChars="200"/>
        <w:rPr>
          <w:rFonts w:hint="eastAsia" w:ascii="仿宋_GB2312" w:hAnsi="仿宋_GB2312" w:eastAsia="仿宋_GB2312"/>
          <w:color w:val="auto"/>
          <w:sz w:val="24"/>
          <w:highlight w:val="none"/>
          <w:u w:val="single"/>
          <w:lang w:eastAsia="zh-CN"/>
        </w:rPr>
      </w:pPr>
      <w:r>
        <w:rPr>
          <w:rFonts w:hint="eastAsia" w:ascii="仿宋_GB2312" w:hAnsi="仿宋_GB2312" w:eastAsia="仿宋_GB2312"/>
          <w:color w:val="auto"/>
          <w:sz w:val="24"/>
          <w:highlight w:val="none"/>
        </w:rPr>
        <w:t>联系电话</w:t>
      </w:r>
      <w:r>
        <w:rPr>
          <w:rFonts w:hint="eastAsia" w:ascii="仿宋_GB2312" w:hAnsi="仿宋_GB2312" w:eastAsia="仿宋_GB2312"/>
          <w:color w:val="auto"/>
          <w:sz w:val="24"/>
          <w:highlight w:val="none"/>
          <w:u w:val="single"/>
        </w:rPr>
        <w:t>。</w:t>
      </w:r>
    </w:p>
    <w:p w14:paraId="33F6750F">
      <w:pPr>
        <w:numPr>
          <w:ilvl w:val="0"/>
          <w:numId w:val="7"/>
        </w:numPr>
        <w:spacing w:line="480" w:lineRule="exact"/>
        <w:ind w:firstLine="482" w:firstLineChars="200"/>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货款的支付</w:t>
      </w:r>
    </w:p>
    <w:p w14:paraId="79AEE5F9">
      <w:pPr>
        <w:spacing w:line="480" w:lineRule="exact"/>
        <w:ind w:firstLine="480" w:firstLineChars="200"/>
        <w:rPr>
          <w:rFonts w:hint="eastAsia" w:ascii="仿宋_GB2312" w:eastAsia="仿宋_GB2312" w:cs="仿宋_GB2312"/>
          <w:color w:val="auto"/>
          <w:sz w:val="24"/>
          <w:szCs w:val="24"/>
          <w:highlight w:val="none"/>
          <w:lang w:bidi="ar"/>
        </w:rPr>
      </w:pPr>
      <w:r>
        <w:rPr>
          <w:rFonts w:hint="eastAsia" w:ascii="仿宋_GB2312" w:hAnsi="仿宋_GB2312" w:eastAsia="仿宋_GB2312"/>
          <w:color w:val="auto"/>
          <w:sz w:val="24"/>
          <w:szCs w:val="24"/>
          <w:highlight w:val="none"/>
        </w:rPr>
        <w:t>1、</w:t>
      </w:r>
      <w:r>
        <w:rPr>
          <w:rFonts w:hint="eastAsia" w:ascii="仿宋_GB2312" w:eastAsia="仿宋_GB2312" w:cs="仿宋_GB2312"/>
          <w:color w:val="auto"/>
          <w:sz w:val="24"/>
          <w:szCs w:val="24"/>
          <w:highlight w:val="none"/>
          <w:lang w:bidi="ar"/>
        </w:rPr>
        <w:t>履约担保：是否收取履约保证金（含保函）：</w:t>
      </w:r>
      <w:r>
        <w:rPr>
          <w:rFonts w:hint="eastAsia" w:ascii="仿宋_GB2312" w:eastAsia="仿宋_GB2312" w:cs="仿宋_GB2312"/>
          <w:color w:val="auto"/>
          <w:sz w:val="24"/>
          <w:szCs w:val="24"/>
          <w:highlight w:val="none"/>
          <w:lang w:bidi="ar"/>
        </w:rPr>
        <w:sym w:font="Wingdings" w:char="00A8"/>
      </w:r>
      <w:r>
        <w:rPr>
          <w:rFonts w:hint="eastAsia" w:ascii="仿宋_GB2312" w:eastAsia="仿宋_GB2312" w:cs="仿宋_GB2312"/>
          <w:color w:val="auto"/>
          <w:sz w:val="24"/>
          <w:szCs w:val="24"/>
          <w:highlight w:val="none"/>
          <w:lang w:bidi="ar"/>
        </w:rPr>
        <w:t>是</w:t>
      </w:r>
      <w:r>
        <w:rPr>
          <w:rFonts w:hint="eastAsia" w:ascii="仿宋_GB2312" w:eastAsia="仿宋_GB2312" w:cs="仿宋_GB2312"/>
          <w:color w:val="auto"/>
          <w:sz w:val="24"/>
          <w:szCs w:val="24"/>
          <w:highlight w:val="none"/>
          <w:lang w:bidi="ar"/>
        </w:rPr>
        <w:sym w:font="Wingdings" w:char="00A8"/>
      </w:r>
      <w:r>
        <w:rPr>
          <w:rFonts w:hint="eastAsia" w:ascii="仿宋_GB2312" w:eastAsia="仿宋_GB2312" w:cs="仿宋_GB2312"/>
          <w:color w:val="auto"/>
          <w:sz w:val="24"/>
          <w:szCs w:val="24"/>
          <w:highlight w:val="none"/>
          <w:lang w:bidi="ar"/>
        </w:rPr>
        <w:t>否</w:t>
      </w:r>
    </w:p>
    <w:p w14:paraId="3DC5BD03">
      <w:pPr>
        <w:spacing w:line="480" w:lineRule="exact"/>
        <w:ind w:left="479" w:leftChars="228"/>
        <w:rPr>
          <w:rFonts w:hint="eastAsia" w:ascii="仿宋_GB2312" w:eastAsia="仿宋_GB2312" w:cs="仿宋_GB2312"/>
          <w:color w:val="auto"/>
          <w:sz w:val="24"/>
          <w:szCs w:val="24"/>
          <w:highlight w:val="none"/>
          <w:lang w:eastAsia="zh-CN" w:bidi="ar"/>
        </w:rPr>
      </w:pPr>
      <w:r>
        <w:rPr>
          <w:rFonts w:hint="eastAsia" w:ascii="仿宋_GB2312" w:eastAsia="仿宋_GB2312" w:cs="仿宋_GB2312"/>
          <w:color w:val="auto"/>
          <w:sz w:val="24"/>
          <w:szCs w:val="24"/>
          <w:highlight w:val="none"/>
          <w:lang w:bidi="ar"/>
        </w:rPr>
        <w:t>收取履约保证金形式：</w:t>
      </w:r>
      <w:r>
        <w:rPr>
          <w:rFonts w:hint="eastAsia" w:ascii="仿宋_GB2312" w:eastAsia="仿宋_GB2312" w:cs="仿宋_GB2312"/>
          <w:color w:val="auto"/>
          <w:sz w:val="24"/>
          <w:szCs w:val="24"/>
          <w:highlight w:val="none"/>
          <w:lang w:bidi="ar"/>
        </w:rPr>
        <w:sym w:font="Wingdings" w:char="00A8"/>
      </w:r>
      <w:r>
        <w:rPr>
          <w:rFonts w:hint="eastAsia" w:ascii="仿宋_GB2312" w:eastAsia="仿宋_GB2312" w:cs="仿宋_GB2312"/>
          <w:color w:val="auto"/>
          <w:sz w:val="24"/>
          <w:szCs w:val="24"/>
          <w:highlight w:val="none"/>
          <w:lang w:bidi="ar"/>
        </w:rPr>
        <w:t>电汇</w:t>
      </w:r>
      <w:r>
        <w:rPr>
          <w:rFonts w:hint="eastAsia" w:ascii="仿宋_GB2312" w:eastAsia="仿宋_GB2312" w:cs="仿宋_GB2312"/>
          <w:color w:val="auto"/>
          <w:sz w:val="24"/>
          <w:szCs w:val="24"/>
          <w:highlight w:val="none"/>
          <w:lang w:bidi="ar"/>
        </w:rPr>
        <w:sym w:font="Wingdings" w:char="00A8"/>
      </w:r>
      <w:r>
        <w:rPr>
          <w:rFonts w:hint="eastAsia" w:ascii="仿宋_GB2312" w:eastAsia="仿宋_GB2312" w:cs="仿宋_GB2312"/>
          <w:color w:val="auto"/>
          <w:sz w:val="24"/>
          <w:szCs w:val="24"/>
          <w:highlight w:val="none"/>
          <w:lang w:bidi="ar"/>
        </w:rPr>
        <w:t>支票</w:t>
      </w:r>
      <w:r>
        <w:rPr>
          <w:rFonts w:hint="eastAsia" w:ascii="仿宋_GB2312" w:eastAsia="仿宋_GB2312" w:cs="仿宋_GB2312"/>
          <w:color w:val="auto"/>
          <w:sz w:val="24"/>
          <w:szCs w:val="24"/>
          <w:highlight w:val="none"/>
          <w:lang w:bidi="ar"/>
        </w:rPr>
        <w:sym w:font="Wingdings" w:char="00A8"/>
      </w:r>
      <w:r>
        <w:rPr>
          <w:rFonts w:hint="eastAsia" w:ascii="仿宋_GB2312" w:eastAsia="仿宋_GB2312" w:cs="仿宋_GB2312"/>
          <w:color w:val="auto"/>
          <w:sz w:val="24"/>
          <w:szCs w:val="24"/>
          <w:highlight w:val="none"/>
          <w:lang w:bidi="ar"/>
        </w:rPr>
        <w:t>履约保函原件彩色扫描件收取履约保证金（保函）金额：。</w:t>
      </w:r>
    </w:p>
    <w:p w14:paraId="0FCAB898">
      <w:pPr>
        <w:spacing w:line="480" w:lineRule="exact"/>
        <w:ind w:firstLine="480" w:firstLineChars="200"/>
        <w:rPr>
          <w:rFonts w:hint="eastAsia" w:ascii="仿宋_GB2312" w:eastAsia="仿宋_GB2312" w:cs="仿宋_GB2312"/>
          <w:color w:val="auto"/>
          <w:sz w:val="24"/>
          <w:szCs w:val="24"/>
          <w:highlight w:val="none"/>
          <w:lang w:eastAsia="zh-CN" w:bidi="ar"/>
        </w:rPr>
      </w:pPr>
      <w:r>
        <w:rPr>
          <w:rFonts w:hint="eastAsia" w:ascii="仿宋_GB2312" w:eastAsia="仿宋_GB2312" w:cs="仿宋_GB2312"/>
          <w:color w:val="auto"/>
          <w:sz w:val="24"/>
          <w:szCs w:val="24"/>
          <w:highlight w:val="none"/>
          <w:lang w:bidi="ar"/>
        </w:rPr>
        <w:t>履约担保期限：。</w:t>
      </w:r>
    </w:p>
    <w:p w14:paraId="2B78C35B">
      <w:pPr>
        <w:ind w:firstLine="480" w:firstLineChars="200"/>
        <w:rPr>
          <w:rFonts w:hint="eastAsia" w:ascii="仿宋_GB2312" w:hAnsi="仿宋_GB2312" w:eastAsia="仿宋_GB2312" w:cs="Times New Roman"/>
          <w:color w:val="auto"/>
          <w:sz w:val="24"/>
          <w:szCs w:val="20"/>
          <w:highlight w:val="none"/>
          <w:lang w:bidi="ar-SA"/>
        </w:rPr>
      </w:pPr>
      <w:r>
        <w:rPr>
          <w:rFonts w:hint="eastAsia" w:ascii="仿宋_GB2312" w:hAnsi="仿宋_GB2312" w:eastAsia="仿宋_GB2312" w:cs="Times New Roman"/>
          <w:color w:val="auto"/>
          <w:sz w:val="24"/>
          <w:szCs w:val="20"/>
          <w:highlight w:val="none"/>
          <w:lang w:bidi="ar-SA"/>
        </w:rPr>
        <w:t>2、付款方式：</w:t>
      </w:r>
    </w:p>
    <w:p w14:paraId="7B4653A6">
      <w:pPr>
        <w:spacing w:line="480" w:lineRule="exact"/>
        <w:ind w:left="479" w:leftChars="228"/>
        <w:rPr>
          <w:rFonts w:hint="eastAsia" w:ascii="仿宋_GB2312" w:hAnsi="Times New Roman" w:eastAsia="仿宋_GB2312" w:cs="仿宋_GB2312"/>
          <w:color w:val="auto"/>
          <w:sz w:val="24"/>
          <w:szCs w:val="24"/>
          <w:highlight w:val="none"/>
          <w:lang w:val="en-US" w:eastAsia="zh-CN" w:bidi="ar"/>
        </w:rPr>
      </w:pPr>
      <w:r>
        <w:rPr>
          <w:rFonts w:hint="eastAsia" w:ascii="仿宋_GB2312" w:hAnsi="Times New Roman" w:eastAsia="仿宋_GB2312" w:cs="仿宋_GB2312"/>
          <w:color w:val="auto"/>
          <w:sz w:val="24"/>
          <w:szCs w:val="24"/>
          <w:highlight w:val="none"/>
          <w:lang w:val="en-US" w:eastAsia="zh-CN" w:bidi="ar"/>
        </w:rPr>
        <w:t>第一次付款：合同签订后支付合同总价30%的预付款；</w:t>
      </w:r>
    </w:p>
    <w:p w14:paraId="14497CD9">
      <w:pPr>
        <w:spacing w:line="480" w:lineRule="exact"/>
        <w:ind w:left="479" w:leftChars="228"/>
        <w:rPr>
          <w:rFonts w:hint="eastAsia" w:ascii="仿宋_GB2312" w:hAnsi="Times New Roman" w:eastAsia="仿宋_GB2312" w:cs="仿宋_GB2312"/>
          <w:color w:val="auto"/>
          <w:sz w:val="24"/>
          <w:szCs w:val="24"/>
          <w:highlight w:val="none"/>
          <w:lang w:val="en-US" w:eastAsia="zh-CN" w:bidi="ar"/>
        </w:rPr>
      </w:pPr>
      <w:r>
        <w:rPr>
          <w:rFonts w:hint="eastAsia" w:ascii="仿宋_GB2312" w:hAnsi="Times New Roman" w:eastAsia="仿宋_GB2312" w:cs="仿宋_GB2312"/>
          <w:color w:val="auto"/>
          <w:sz w:val="24"/>
          <w:szCs w:val="24"/>
          <w:highlight w:val="none"/>
          <w:lang w:val="en-US" w:eastAsia="zh-CN" w:bidi="ar"/>
        </w:rPr>
        <w:t>第二次付款：货物运送至甲方指定地点后并根据甲方内部管理规定，按要求安装调试完毕，满足终验条件，乙方提交全部验收材料，通过甲方组织的验收合格后，依照财务流程支付合同总价70%。</w:t>
      </w:r>
    </w:p>
    <w:p w14:paraId="002A27AE">
      <w:pPr>
        <w:pStyle w:val="31"/>
        <w:widowControl w:val="0"/>
        <w:autoSpaceDE w:val="0"/>
        <w:autoSpaceDN w:val="0"/>
        <w:spacing w:line="480" w:lineRule="exact"/>
        <w:ind w:left="181" w:firstLine="420"/>
        <w:jc w:val="both"/>
        <w:rPr>
          <w:rFonts w:ascii="仿宋_GB2312" w:hAnsi="Times New Roman" w:eastAsia="仿宋_GB2312" w:cs="仿宋_GB2312"/>
          <w:color w:val="auto"/>
          <w:kern w:val="2"/>
          <w:sz w:val="32"/>
          <w:szCs w:val="32"/>
          <w:highlight w:val="none"/>
          <w:lang w:bidi="ar"/>
        </w:rPr>
      </w:pPr>
      <w:r>
        <w:rPr>
          <w:rFonts w:ascii="仿宋_GB2312" w:hAnsi="Times New Roman" w:eastAsia="仿宋_GB2312" w:cs="仿宋_GB2312"/>
          <w:color w:val="auto"/>
          <w:kern w:val="2"/>
          <w:sz w:val="28"/>
          <w:szCs w:val="28"/>
          <w:highlight w:val="none"/>
          <w:lang w:bidi="ar"/>
        </w:rPr>
        <w:t>合同科提示：付款方式：1、公开招标、竞争性磋商、竞争性谈判、政府集采等项目以具体的招</w:t>
      </w:r>
      <w:r>
        <w:rPr>
          <w:rFonts w:hint="eastAsia" w:ascii="仿宋_GB2312" w:eastAsia="仿宋_GB2312" w:cs="仿宋_GB2312"/>
          <w:color w:val="auto"/>
          <w:kern w:val="2"/>
          <w:sz w:val="28"/>
          <w:szCs w:val="28"/>
          <w:highlight w:val="none"/>
          <w:lang w:bidi="ar"/>
        </w:rPr>
        <w:t>投</w:t>
      </w:r>
      <w:r>
        <w:rPr>
          <w:rFonts w:ascii="仿宋_GB2312" w:hAnsi="Times New Roman" w:eastAsia="仿宋_GB2312" w:cs="仿宋_GB2312"/>
          <w:color w:val="auto"/>
          <w:kern w:val="2"/>
          <w:sz w:val="28"/>
          <w:szCs w:val="28"/>
          <w:highlight w:val="none"/>
          <w:lang w:bidi="ar"/>
        </w:rPr>
        <w:t>标文件为准。2、部门自采的项目以双方约定的为准。</w:t>
      </w:r>
    </w:p>
    <w:p w14:paraId="46AFD8B9">
      <w:pPr>
        <w:pStyle w:val="31"/>
        <w:widowControl w:val="0"/>
        <w:autoSpaceDE w:val="0"/>
        <w:autoSpaceDN w:val="0"/>
        <w:spacing w:line="480" w:lineRule="exact"/>
        <w:ind w:left="181" w:firstLine="420"/>
        <w:jc w:val="both"/>
        <w:rPr>
          <w:rFonts w:ascii="仿宋_GB2312" w:hAnsi="仿宋_GB2312" w:eastAsia="仿宋_GB2312"/>
          <w:color w:val="auto"/>
          <w:highlight w:val="none"/>
        </w:rPr>
      </w:pPr>
      <w:r>
        <w:rPr>
          <w:rFonts w:hint="eastAsia" w:ascii="仿宋_GB2312" w:hAnsi="仿宋_GB2312" w:eastAsia="仿宋_GB2312"/>
          <w:color w:val="auto"/>
          <w:highlight w:val="none"/>
        </w:rPr>
        <w:t>2、</w:t>
      </w:r>
      <w:r>
        <w:rPr>
          <w:rFonts w:hint="eastAsia" w:ascii="仿宋_GB2312" w:hAnsi="仿宋_GB2312" w:eastAsia="仿宋_GB2312" w:cs="Times New Roman"/>
          <w:color w:val="auto"/>
          <w:highlight w:val="none"/>
        </w:rPr>
        <w:t>甲方支付上述任何一笔款项前，乙方应提供符合甲方财务做账要求的正规增值税发票（设备类需提供增值税专用发票）</w:t>
      </w:r>
      <w:r>
        <w:rPr>
          <w:rFonts w:hint="eastAsia" w:ascii="仿宋_GB2312" w:hAnsi="仿宋_GB2312" w:eastAsia="仿宋_GB2312" w:cs="Times New Roman"/>
          <w:color w:val="auto"/>
          <w:highlight w:val="none"/>
          <w:lang w:val="en-US" w:eastAsia="zh-CN"/>
        </w:rPr>
        <w:t>和付款申请单</w:t>
      </w:r>
      <w:r>
        <w:rPr>
          <w:rFonts w:hint="eastAsia" w:ascii="仿宋_GB2312" w:hAnsi="仿宋_GB2312" w:eastAsia="仿宋_GB2312" w:cs="Times New Roman"/>
          <w:color w:val="auto"/>
          <w:highlight w:val="none"/>
        </w:rPr>
        <w:t>，否则，甲方有权拒付款项且不承担违约责任。</w:t>
      </w:r>
    </w:p>
    <w:p w14:paraId="5DCE886B">
      <w:pPr>
        <w:spacing w:line="480" w:lineRule="exact"/>
        <w:ind w:firstLine="480" w:firstLineChars="200"/>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3、乙方银行账户信息：</w:t>
      </w:r>
    </w:p>
    <w:p w14:paraId="7127194A">
      <w:pPr>
        <w:spacing w:line="480" w:lineRule="exact"/>
        <w:ind w:firstLine="480" w:firstLineChars="200"/>
        <w:rPr>
          <w:rFonts w:hint="eastAsia" w:ascii="仿宋_GB2312" w:hAnsi="仿宋_GB2312" w:eastAsia="仿宋_GB2312"/>
          <w:color w:val="auto"/>
          <w:sz w:val="24"/>
          <w:highlight w:val="none"/>
          <w:u w:val="single"/>
          <w:lang w:eastAsia="zh-CN"/>
        </w:rPr>
      </w:pPr>
      <w:r>
        <w:rPr>
          <w:rFonts w:hint="eastAsia" w:ascii="仿宋_GB2312" w:hAnsi="仿宋_GB2312" w:eastAsia="仿宋_GB2312"/>
          <w:color w:val="auto"/>
          <w:sz w:val="24"/>
          <w:highlight w:val="none"/>
        </w:rPr>
        <w:t>户名：</w:t>
      </w:r>
    </w:p>
    <w:p w14:paraId="2F4221B7">
      <w:pPr>
        <w:spacing w:line="480" w:lineRule="exact"/>
        <w:ind w:firstLine="480" w:firstLineChars="200"/>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开户银行：</w:t>
      </w:r>
    </w:p>
    <w:p w14:paraId="7A4DB63A">
      <w:pPr>
        <w:spacing w:line="480" w:lineRule="exact"/>
        <w:ind w:firstLine="480" w:firstLineChars="200"/>
        <w:rPr>
          <w:rFonts w:hint="eastAsia" w:ascii="仿宋_GB2312" w:hAnsi="仿宋_GB2312" w:eastAsia="仿宋_GB2312"/>
          <w:color w:val="auto"/>
          <w:sz w:val="24"/>
          <w:highlight w:val="none"/>
          <w:u w:val="single"/>
          <w:lang w:eastAsia="zh-CN"/>
        </w:rPr>
      </w:pPr>
      <w:r>
        <w:rPr>
          <w:rFonts w:hint="eastAsia" w:ascii="仿宋_GB2312" w:hAnsi="仿宋_GB2312" w:eastAsia="仿宋_GB2312"/>
          <w:color w:val="auto"/>
          <w:sz w:val="24"/>
          <w:highlight w:val="none"/>
          <w:lang w:val="zh-TW"/>
        </w:rPr>
        <w:t>银行账号：</w:t>
      </w:r>
    </w:p>
    <w:p w14:paraId="07ED7423">
      <w:pPr>
        <w:spacing w:line="480" w:lineRule="exact"/>
        <w:ind w:firstLine="480" w:firstLineChars="200"/>
        <w:rPr>
          <w:rFonts w:ascii="仿宋_GB2312" w:hAnsi="仿宋_GB2312" w:eastAsia="仿宋_GB2312"/>
          <w:color w:val="auto"/>
          <w:sz w:val="24"/>
          <w:highlight w:val="none"/>
        </w:rPr>
      </w:pPr>
      <w:r>
        <w:rPr>
          <w:rFonts w:hint="eastAsia" w:ascii="仿宋_GB2312" w:hAnsi="仿宋_GB2312" w:eastAsia="仿宋_GB2312"/>
          <w:color w:val="auto"/>
          <w:sz w:val="24"/>
          <w:highlight w:val="none"/>
        </w:rPr>
        <w:t>4、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w:t>
      </w:r>
    </w:p>
    <w:p w14:paraId="193B3B3C">
      <w:pPr>
        <w:spacing w:line="480" w:lineRule="exact"/>
        <w:ind w:firstLine="482" w:firstLineChars="200"/>
        <w:rPr>
          <w:rFonts w:hint="eastAsia" w:ascii="仿宋_GB2312" w:hAnsi="仿宋_GB2312" w:eastAsia="仿宋_GB2312"/>
          <w:b/>
          <w:bCs/>
          <w:color w:val="auto"/>
          <w:sz w:val="24"/>
          <w:highlight w:val="none"/>
        </w:rPr>
      </w:pPr>
      <w:r>
        <w:rPr>
          <w:rFonts w:hint="eastAsia" w:ascii="仿宋_GB2312" w:hAnsi="仿宋_GB2312" w:eastAsia="仿宋_GB2312"/>
          <w:b/>
          <w:bCs/>
          <w:color w:val="auto"/>
          <w:sz w:val="24"/>
          <w:highlight w:val="none"/>
        </w:rPr>
        <w:t>九、产品包装及运输</w:t>
      </w:r>
    </w:p>
    <w:p w14:paraId="0B3D2373">
      <w:pPr>
        <w:spacing w:line="480" w:lineRule="exact"/>
        <w:ind w:firstLine="480" w:firstLineChars="200"/>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１、包装必须与运输方式相适应，包装方式的确定和包装费用均由乙方负责且包装物不得回收；由于不适当的包装而造成的货物有任何的损坏由乙方负责。</w:t>
      </w:r>
    </w:p>
    <w:p w14:paraId="6891BAB3">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2、运输途中的货物安全问题均由乙方负责，在交货过程中，发生意外事故和故障损失，如撞、刮、裂、损等均由乙方承担责任。</w:t>
      </w:r>
    </w:p>
    <w:p w14:paraId="1BC6D4F2">
      <w:pPr>
        <w:spacing w:line="480" w:lineRule="exact"/>
        <w:ind w:firstLine="480" w:firstLineChars="200"/>
        <w:rPr>
          <w:rFonts w:ascii="仿宋_GB2312" w:hAnsi="仿宋_GB2312" w:eastAsia="仿宋_GB2312"/>
          <w:color w:val="auto"/>
          <w:sz w:val="24"/>
          <w:highlight w:val="none"/>
        </w:rPr>
      </w:pPr>
      <w:r>
        <w:rPr>
          <w:rFonts w:hint="eastAsia" w:ascii="仿宋_GB2312" w:eastAsia="仿宋_GB2312" w:cs="仿宋_GB2312"/>
          <w:color w:val="auto"/>
          <w:sz w:val="24"/>
          <w:szCs w:val="24"/>
          <w:highlight w:val="none"/>
          <w:lang w:bidi="ar"/>
        </w:rPr>
        <w:t>3、提供的全部货物必须采用相应的标准的保护措施进行包装。包装应适于远距离运输，并有良好的防潮、防震、防锈和防野蛮装卸等保护措施，以确保货物安全运抵现场。乙方应承担因其包装或防护措施不妥而引起货物锈蚀、损坏或丢失的任何损失的责任和费用。</w:t>
      </w:r>
    </w:p>
    <w:p w14:paraId="65EFE740">
      <w:pPr>
        <w:spacing w:line="480" w:lineRule="exact"/>
        <w:ind w:firstLine="482" w:firstLineChars="200"/>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十、违约责任</w:t>
      </w:r>
    </w:p>
    <w:p w14:paraId="5ECE5C4A">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1、甲方违约责任</w:t>
      </w:r>
    </w:p>
    <w:p w14:paraId="21EF860F">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1）乙方按协议约定履行完协议义务后，甲方无任何理由拒绝验收（遇不可抗力除外）的，乙方有权追究甲方逾期验收的违约责任，按照中国人民银行同期存款利率向乙方承担违约金。如遇特殊情况甲方要求推迟履行协议的，可事先征得乙方的同意。</w:t>
      </w:r>
    </w:p>
    <w:p w14:paraId="791BADB7">
      <w:pPr>
        <w:spacing w:line="480" w:lineRule="exact"/>
        <w:ind w:firstLine="360" w:firstLineChars="15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2、乙方违约责任</w:t>
      </w:r>
    </w:p>
    <w:p w14:paraId="0D55EB1E">
      <w:pPr>
        <w:spacing w:line="480" w:lineRule="exact"/>
        <w:ind w:firstLine="360" w:firstLineChars="15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1）乙方应严格按照合同约定的时间交货，如乙方延迟交货，甲方有权追究乙方延迟交货的违约责任。每逾期一日，乙方按合同总额的千分之一承担违约金，乙方逾期供货超出交付期十天（含十天）以上的，甲方有权解除合同并追究乙方的违约责任，甲方解除合同的，乙方应支付合同总价款20%的违约金，乙方支付上述违约金不足以赔偿甲方损失的，甲方有权另行向乙方索赔（包括但不限于第三方索赔、律师费、诉讼费、</w:t>
      </w:r>
      <w:r>
        <w:rPr>
          <w:rFonts w:hint="eastAsia" w:ascii="仿宋_GB2312" w:hAnsi="仿宋_GB2312" w:eastAsia="仿宋_GB2312"/>
          <w:color w:val="auto"/>
          <w:sz w:val="24"/>
          <w:highlight w:val="none"/>
          <w:lang w:val="en-US" w:eastAsia="zh-CN"/>
        </w:rPr>
        <w:t>保全费、保全保险费、</w:t>
      </w:r>
      <w:r>
        <w:rPr>
          <w:rFonts w:hint="eastAsia" w:ascii="仿宋_GB2312" w:hAnsi="仿宋_GB2312" w:eastAsia="仿宋_GB2312"/>
          <w:color w:val="auto"/>
          <w:sz w:val="24"/>
          <w:highlight w:val="none"/>
        </w:rPr>
        <w:t>鉴定费、公证费、差旅费等甲方采取诉讼途径发生的一切费用）。</w:t>
      </w:r>
    </w:p>
    <w:p w14:paraId="167FF3E2">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2）在履行合同过程中，如果乙方遇到妨碍按时交货和提供服务的情况时，应及时以书面形式将拖延的事实，可能拖延的时间和原因通知甲方</w:t>
      </w:r>
      <w:r>
        <w:rPr>
          <w:rFonts w:hint="eastAsia" w:ascii="仿宋_GB2312" w:hAnsi="仿宋_GB2312" w:eastAsia="仿宋_GB2312"/>
          <w:color w:val="auto"/>
          <w:sz w:val="24"/>
          <w:highlight w:val="none"/>
          <w:lang w:eastAsia="zh-CN"/>
        </w:rPr>
        <w:t>，并附上相关证明材料</w:t>
      </w:r>
      <w:r>
        <w:rPr>
          <w:rFonts w:hint="eastAsia" w:ascii="仿宋_GB2312" w:hAnsi="仿宋_GB2312" w:eastAsia="仿宋_GB2312"/>
          <w:color w:val="auto"/>
          <w:sz w:val="24"/>
          <w:highlight w:val="none"/>
        </w:rPr>
        <w:t>。甲方在收到乙方通知后，应尽快对情况进行评价，并于7日内确定是否同意延长交货时间以及是否收取误期赔偿费。乙方延期交货应通过签订补充协议的方式经甲方盖章确认。</w:t>
      </w:r>
    </w:p>
    <w:p w14:paraId="2DEDE0B3">
      <w:pPr>
        <w:spacing w:line="520" w:lineRule="exact"/>
        <w:ind w:firstLine="360" w:firstLineChars="15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3）乙方所交产品品种、型号、规格、质量、性能不符合合同规定的，由乙方负责</w:t>
      </w:r>
      <w:r>
        <w:rPr>
          <w:rFonts w:hint="eastAsia" w:ascii="仿宋_GB2312" w:hAnsi="仿宋_GB2312" w:eastAsia="仿宋_GB2312"/>
          <w:color w:val="auto"/>
          <w:sz w:val="24"/>
          <w:highlight w:val="none"/>
          <w:lang w:val="en-US" w:eastAsia="zh-CN"/>
        </w:rPr>
        <w:t>在收到甲方通知之日起5日内</w:t>
      </w:r>
      <w:r>
        <w:rPr>
          <w:rFonts w:hint="eastAsia" w:ascii="仿宋_GB2312" w:hAnsi="仿宋_GB2312" w:eastAsia="仿宋_GB2312"/>
          <w:color w:val="auto"/>
          <w:sz w:val="24"/>
          <w:highlight w:val="none"/>
        </w:rPr>
        <w:t>包换或包修，并承担修理、调换或退货而支付的实际费用。</w:t>
      </w:r>
      <w:r>
        <w:rPr>
          <w:rFonts w:hint="eastAsia" w:ascii="仿宋_GB2312" w:hAnsi="仿宋_GB2312" w:eastAsia="仿宋_GB2312"/>
          <w:color w:val="auto"/>
          <w:sz w:val="24"/>
          <w:highlight w:val="none"/>
          <w:lang w:val="en-US" w:eastAsia="zh-CN"/>
        </w:rPr>
        <w:t>若乙方未能在上述期限内完成修理或退换，甲方有权自行委托第三方进行修理或更换</w:t>
      </w:r>
      <w:r>
        <w:rPr>
          <w:rFonts w:hint="eastAsia" w:ascii="仿宋_GB2312" w:hAnsi="仿宋_GB2312" w:eastAsia="仿宋_GB2312"/>
          <w:color w:val="auto"/>
          <w:sz w:val="24"/>
          <w:highlight w:val="none"/>
        </w:rPr>
        <w:t>，</w:t>
      </w:r>
      <w:r>
        <w:rPr>
          <w:rFonts w:hint="eastAsia" w:ascii="仿宋_GB2312" w:hAnsi="仿宋_GB2312" w:eastAsia="仿宋_GB2312"/>
          <w:color w:val="auto"/>
          <w:sz w:val="24"/>
          <w:highlight w:val="none"/>
          <w:lang w:val="en-US" w:eastAsia="zh-CN"/>
        </w:rPr>
        <w:t>由此产生的费用由乙方承担。若经乙方两次修理或更换后仍无法达到合同约定的标准的，甲方有权单方解除合同，并要求乙方</w:t>
      </w:r>
      <w:r>
        <w:rPr>
          <w:rFonts w:hint="eastAsia" w:ascii="仿宋_GB2312" w:hAnsi="仿宋_GB2312" w:eastAsia="仿宋_GB2312"/>
          <w:color w:val="auto"/>
          <w:sz w:val="24"/>
          <w:highlight w:val="none"/>
        </w:rPr>
        <w:t>按合同总额的</w:t>
      </w:r>
      <w:r>
        <w:rPr>
          <w:rFonts w:hint="eastAsia" w:ascii="仿宋_GB2312" w:hAnsi="仿宋_GB2312" w:eastAsia="仿宋_GB2312"/>
          <w:color w:val="auto"/>
          <w:sz w:val="24"/>
          <w:highlight w:val="none"/>
          <w:lang w:eastAsia="zh-CN"/>
        </w:rPr>
        <w:t>20%</w:t>
      </w:r>
      <w:r>
        <w:rPr>
          <w:rFonts w:hint="eastAsia" w:ascii="仿宋_GB2312" w:hAnsi="仿宋_GB2312" w:eastAsia="仿宋_GB2312"/>
          <w:color w:val="auto"/>
          <w:sz w:val="24"/>
          <w:highlight w:val="none"/>
        </w:rPr>
        <w:t>承担违约金。</w:t>
      </w:r>
      <w:r>
        <w:rPr>
          <w:rFonts w:hint="eastAsia" w:ascii="仿宋_GB2312" w:hAnsi="仿宋_GB2312" w:eastAsia="仿宋_GB2312"/>
          <w:color w:val="auto"/>
          <w:sz w:val="24"/>
          <w:highlight w:val="none"/>
          <w:lang w:val="en-US" w:eastAsia="zh-CN"/>
        </w:rPr>
        <w:t>若乙方支付的违约金不足以弥补甲方损失的，甲方有权就不足部分另向乙方索赔。</w:t>
      </w:r>
      <w:r>
        <w:rPr>
          <w:rFonts w:hint="eastAsia" w:ascii="仿宋_GB2312" w:hAnsi="仿宋_GB2312" w:eastAsia="仿宋_GB2312"/>
          <w:color w:val="auto"/>
          <w:sz w:val="24"/>
          <w:highlight w:val="none"/>
        </w:rPr>
        <w:t>（包括但不限于第三方索赔、律师费、诉讼费、</w:t>
      </w:r>
      <w:r>
        <w:rPr>
          <w:rFonts w:hint="eastAsia" w:ascii="仿宋_GB2312" w:hAnsi="仿宋_GB2312" w:eastAsia="仿宋_GB2312"/>
          <w:color w:val="auto"/>
          <w:sz w:val="24"/>
          <w:highlight w:val="none"/>
          <w:lang w:val="en-US" w:eastAsia="zh-CN"/>
        </w:rPr>
        <w:t>保全费、保全保险费、</w:t>
      </w:r>
      <w:r>
        <w:rPr>
          <w:rFonts w:hint="eastAsia" w:ascii="仿宋_GB2312" w:hAnsi="仿宋_GB2312" w:eastAsia="仿宋_GB2312"/>
          <w:color w:val="auto"/>
          <w:sz w:val="24"/>
          <w:highlight w:val="none"/>
        </w:rPr>
        <w:t>鉴定费、公证费、差旅费等甲方采取诉讼途径发生的一切费用）。</w:t>
      </w:r>
    </w:p>
    <w:p w14:paraId="5543B7B3">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4）乙方在协议供货有效期内违反本有关质量保证及售后服务的，甲方有权要求乙方支付合同总价款20%的违约金，乙方支付上述违约金不足以赔偿甲方损失的，甲方有权另行向乙方索赔（包括但不限于第三方索赔、律师费、诉讼费、</w:t>
      </w:r>
      <w:r>
        <w:rPr>
          <w:rFonts w:hint="eastAsia" w:ascii="仿宋_GB2312" w:hAnsi="仿宋_GB2312" w:eastAsia="仿宋_GB2312"/>
          <w:color w:val="auto"/>
          <w:sz w:val="24"/>
          <w:highlight w:val="none"/>
          <w:lang w:val="en-US" w:eastAsia="zh-CN"/>
        </w:rPr>
        <w:t>保全费、保全保险费、</w:t>
      </w:r>
      <w:r>
        <w:rPr>
          <w:rFonts w:hint="eastAsia" w:ascii="仿宋_GB2312" w:hAnsi="仿宋_GB2312" w:eastAsia="仿宋_GB2312"/>
          <w:color w:val="auto"/>
          <w:sz w:val="24"/>
          <w:highlight w:val="none"/>
        </w:rPr>
        <w:t>鉴定费、公证费、差旅费等甲方采取诉讼途径发生的一切费用）。</w:t>
      </w:r>
    </w:p>
    <w:p w14:paraId="4B83A59A">
      <w:pPr>
        <w:spacing w:line="480" w:lineRule="exact"/>
        <w:ind w:firstLine="480" w:firstLineChars="200"/>
        <w:rPr>
          <w:rFonts w:hint="eastAsia" w:ascii="仿宋_GB2312" w:hAnsi="仿宋_GB2312" w:eastAsia="仿宋_GB2312" w:cs="Bookman Old Style"/>
          <w:color w:val="auto"/>
          <w:sz w:val="24"/>
          <w:highlight w:val="none"/>
        </w:rPr>
      </w:pPr>
      <w:r>
        <w:rPr>
          <w:rFonts w:hint="eastAsia" w:ascii="仿宋_GB2312" w:hAnsi="仿宋_GB2312" w:eastAsia="仿宋_GB2312" w:cs="Bookman Old Style"/>
          <w:color w:val="auto"/>
          <w:sz w:val="24"/>
          <w:highlight w:val="none"/>
        </w:rPr>
        <w:t>5）乙方向甲方承诺，如发生乙方向甲方指定人员或与该业务有关的任何工作人员行贿、送礼等行为，或与甲方相关工作人员串通，做出损害甲方利益的任何行为，每次按合同总金额的30%的数额向甲方承担违约金。</w:t>
      </w:r>
    </w:p>
    <w:p w14:paraId="26116C6F">
      <w:pPr>
        <w:spacing w:line="480" w:lineRule="exact"/>
        <w:ind w:firstLine="480" w:firstLineChars="200"/>
        <w:rPr>
          <w:rFonts w:hint="eastAsia" w:ascii="仿宋_GB2312" w:hAnsi="仿宋_GB2312" w:eastAsia="仿宋_GB2312" w:cs="Bookman Old Style"/>
          <w:color w:val="auto"/>
          <w:sz w:val="24"/>
          <w:highlight w:val="none"/>
        </w:rPr>
      </w:pPr>
      <w:r>
        <w:rPr>
          <w:rFonts w:hint="eastAsia" w:ascii="仿宋_GB2312" w:hAnsi="仿宋_GB2312" w:eastAsia="仿宋_GB2312" w:cs="Bookman Old Style"/>
          <w:color w:val="auto"/>
          <w:sz w:val="24"/>
          <w:highlight w:val="none"/>
        </w:rPr>
        <w:t>6）</w:t>
      </w:r>
      <w:r>
        <w:rPr>
          <w:rFonts w:hint="eastAsia" w:ascii="仿宋_GB2312" w:hAnsi="仿宋_GB2312" w:eastAsia="仿宋_GB2312"/>
          <w:color w:val="auto"/>
          <w:sz w:val="24"/>
          <w:highlight w:val="none"/>
        </w:rPr>
        <w:t>本合同签订后，乙方不得以货物市场价格上涨等各种理由断货、中止供货或要求甲方调价，否则，甲方有权解除合同并拒绝支付任何合同款项，乙方向甲方支付合同总价20%的违约金。</w:t>
      </w:r>
    </w:p>
    <w:p w14:paraId="77A2325D">
      <w:pPr>
        <w:spacing w:line="480" w:lineRule="exact"/>
        <w:ind w:firstLine="482" w:firstLineChars="200"/>
        <w:rPr>
          <w:rFonts w:hint="eastAsia" w:ascii="仿宋_GB2312" w:hAnsi="仿宋_GB2312" w:eastAsia="仿宋_GB2312" w:cs="Bookman Old Style"/>
          <w:b/>
          <w:color w:val="auto"/>
          <w:sz w:val="24"/>
          <w:highlight w:val="none"/>
        </w:rPr>
      </w:pPr>
      <w:r>
        <w:rPr>
          <w:rFonts w:hint="eastAsia" w:ascii="仿宋_GB2312" w:hAnsi="仿宋_GB2312" w:eastAsia="仿宋_GB2312" w:cs="Bookman Old Style"/>
          <w:b/>
          <w:color w:val="auto"/>
          <w:sz w:val="24"/>
          <w:highlight w:val="none"/>
        </w:rPr>
        <w:t>十一、不可抗力</w:t>
      </w:r>
    </w:p>
    <w:p w14:paraId="7591E47F">
      <w:pPr>
        <w:spacing w:line="480" w:lineRule="exact"/>
        <w:ind w:firstLine="480" w:firstLineChars="200"/>
        <w:rPr>
          <w:rFonts w:hint="eastAsia" w:ascii="仿宋_GB2312" w:hAnsi="仿宋_GB2312" w:eastAsia="仿宋_GB2312" w:cs="Bookman Old Style"/>
          <w:bCs/>
          <w:color w:val="auto"/>
          <w:sz w:val="24"/>
          <w:highlight w:val="none"/>
        </w:rPr>
      </w:pPr>
      <w:r>
        <w:rPr>
          <w:rFonts w:hint="eastAsia" w:ascii="仿宋_GB2312" w:hAnsi="仿宋_GB2312" w:eastAsia="仿宋_GB2312" w:cs="Bookman Old Style"/>
          <w:bCs/>
          <w:color w:val="auto"/>
          <w:sz w:val="24"/>
          <w:highlight w:val="none"/>
        </w:rPr>
        <w:t>1、甲乙双方的任何一方由于不可抗力的原因不能履行合同时，应及时向对方通报不能履行或不能完全履行的理由，在取得有关主管机关证明以后，允许延期履行、部分履行或者不履行合同，并根据情况可部分或全部免于承担违约责任。</w:t>
      </w:r>
    </w:p>
    <w:p w14:paraId="61985EF7">
      <w:pPr>
        <w:spacing w:line="480" w:lineRule="exact"/>
        <w:ind w:firstLine="480" w:firstLineChars="200"/>
        <w:rPr>
          <w:rFonts w:hint="eastAsia" w:ascii="仿宋_GB2312" w:hAnsi="仿宋_GB2312" w:eastAsia="仿宋_GB2312" w:cs="Bookman Old Style"/>
          <w:bCs/>
          <w:color w:val="auto"/>
          <w:sz w:val="24"/>
          <w:highlight w:val="none"/>
        </w:rPr>
      </w:pPr>
      <w:r>
        <w:rPr>
          <w:rFonts w:hint="eastAsia" w:ascii="仿宋_GB2312" w:hAnsi="仿宋_GB2312" w:eastAsia="仿宋_GB2312" w:cs="Bookman Old Style"/>
          <w:bCs/>
          <w:color w:val="auto"/>
          <w:sz w:val="24"/>
          <w:highlight w:val="none"/>
        </w:rPr>
        <w:t>2、“不可抗力”是指甲乙双方不能合理控制、不可预见或即使预见亦无法避免的事件，该事件妨碍、影响或延误任何一方根据合同履行其全部或部分义务。该事件包括但不限于政府行为、电信行业行为、自然灾害、战争或任何其他类似事件。</w:t>
      </w:r>
    </w:p>
    <w:p w14:paraId="41027CC8">
      <w:pPr>
        <w:spacing w:line="480" w:lineRule="exact"/>
        <w:ind w:firstLine="482" w:firstLineChars="200"/>
        <w:rPr>
          <w:rFonts w:hint="eastAsia" w:ascii="仿宋_GB2312" w:hAnsi="仿宋_GB2312" w:eastAsia="仿宋_GB2312" w:cs="Bookman Old Style"/>
          <w:b/>
          <w:color w:val="auto"/>
          <w:sz w:val="24"/>
          <w:highlight w:val="none"/>
        </w:rPr>
      </w:pPr>
      <w:r>
        <w:rPr>
          <w:rFonts w:hint="eastAsia" w:ascii="仿宋_GB2312" w:hAnsi="仿宋_GB2312" w:eastAsia="仿宋_GB2312" w:cs="Bookman Old Style"/>
          <w:b/>
          <w:color w:val="auto"/>
          <w:sz w:val="24"/>
          <w:highlight w:val="none"/>
        </w:rPr>
        <w:t>十二、争议解决</w:t>
      </w:r>
    </w:p>
    <w:p w14:paraId="75DD2E59">
      <w:pPr>
        <w:spacing w:line="480" w:lineRule="exact"/>
        <w:ind w:firstLine="480" w:firstLineChars="200"/>
        <w:rPr>
          <w:rFonts w:hint="eastAsia" w:ascii="仿宋_GB2312" w:hAnsi="仿宋_GB2312" w:eastAsia="仿宋_GB2312" w:cs="Bookman Old Style"/>
          <w:color w:val="auto"/>
          <w:sz w:val="24"/>
          <w:highlight w:val="none"/>
        </w:rPr>
      </w:pPr>
      <w:r>
        <w:rPr>
          <w:rFonts w:hint="eastAsia" w:ascii="仿宋_GB2312" w:hAnsi="仿宋_GB2312" w:eastAsia="仿宋_GB2312" w:cs="Bookman Old Style"/>
          <w:color w:val="auto"/>
          <w:sz w:val="24"/>
          <w:highlight w:val="none"/>
        </w:rPr>
        <w:t>本合同如发生纠纷，当事人双方应当及时协商解决，协商不成时，双方均可向甲方所在地人民法院起诉。</w:t>
      </w:r>
    </w:p>
    <w:p w14:paraId="0D909860">
      <w:pPr>
        <w:spacing w:line="480" w:lineRule="exact"/>
        <w:ind w:firstLine="482" w:firstLineChars="200"/>
        <w:rPr>
          <w:rFonts w:hint="eastAsia" w:ascii="仿宋_GB2312" w:hAnsi="仿宋_GB2312" w:eastAsia="仿宋_GB2312" w:cs="Bookman Old Style"/>
          <w:b/>
          <w:bCs/>
          <w:color w:val="auto"/>
          <w:sz w:val="24"/>
          <w:highlight w:val="none"/>
        </w:rPr>
      </w:pPr>
      <w:r>
        <w:rPr>
          <w:rFonts w:hint="eastAsia" w:ascii="仿宋_GB2312" w:hAnsi="仿宋_GB2312" w:eastAsia="仿宋_GB2312" w:cs="Bookman Old Style"/>
          <w:b/>
          <w:bCs/>
          <w:color w:val="auto"/>
          <w:sz w:val="24"/>
          <w:highlight w:val="none"/>
        </w:rPr>
        <w:t>十三、合同的文本及生效</w:t>
      </w:r>
    </w:p>
    <w:p w14:paraId="510C0899">
      <w:pPr>
        <w:spacing w:line="480" w:lineRule="exact"/>
        <w:ind w:firstLine="480" w:firstLineChars="200"/>
        <w:rPr>
          <w:rFonts w:hint="eastAsia" w:ascii="仿宋_GB2312" w:hAnsi="仿宋_GB2312" w:eastAsia="仿宋_GB2312" w:cs="Bookman Old Style"/>
          <w:bCs/>
          <w:color w:val="auto"/>
          <w:sz w:val="24"/>
          <w:highlight w:val="none"/>
        </w:rPr>
      </w:pPr>
      <w:r>
        <w:rPr>
          <w:rFonts w:hint="eastAsia" w:ascii="仿宋_GB2312" w:hAnsi="仿宋_GB2312" w:eastAsia="仿宋_GB2312" w:cs="Bookman Old Style"/>
          <w:bCs/>
          <w:color w:val="auto"/>
          <w:sz w:val="24"/>
          <w:highlight w:val="none"/>
        </w:rPr>
        <w:t>1、本合同一式陆份，甲方执肆份、乙方执贰份，具有同等法律效力</w:t>
      </w:r>
      <w:r>
        <w:rPr>
          <w:rFonts w:hint="eastAsia" w:ascii="仿宋_GB2312" w:eastAsia="仿宋_GB2312" w:cs="仿宋_GB2312"/>
          <w:bCs/>
          <w:color w:val="auto"/>
          <w:sz w:val="24"/>
          <w:szCs w:val="24"/>
          <w:highlight w:val="none"/>
          <w:lang w:bidi="ar"/>
        </w:rPr>
        <w:t>（若甲乙双方采取线上签约方式，则不涉及此条款）</w:t>
      </w:r>
      <w:r>
        <w:rPr>
          <w:rFonts w:hint="eastAsia" w:ascii="仿宋_GB2312" w:hAnsi="仿宋_GB2312" w:eastAsia="仿宋_GB2312" w:cs="Bookman Old Style"/>
          <w:bCs/>
          <w:color w:val="auto"/>
          <w:sz w:val="24"/>
          <w:highlight w:val="none"/>
        </w:rPr>
        <w:t>。</w:t>
      </w:r>
    </w:p>
    <w:p w14:paraId="34A6895E">
      <w:pPr>
        <w:spacing w:line="480" w:lineRule="exact"/>
        <w:ind w:firstLine="480" w:firstLineChars="200"/>
        <w:rPr>
          <w:rFonts w:hint="eastAsia" w:ascii="仿宋_GB2312" w:hAnsi="仿宋_GB2312" w:eastAsia="仿宋_GB2312" w:cs="Bookman Old Style"/>
          <w:bCs/>
          <w:color w:val="auto"/>
          <w:sz w:val="24"/>
          <w:highlight w:val="none"/>
        </w:rPr>
      </w:pPr>
      <w:r>
        <w:rPr>
          <w:rFonts w:hint="eastAsia" w:ascii="仿宋_GB2312" w:hAnsi="仿宋_GB2312" w:eastAsia="仿宋_GB2312" w:cs="Bookman Old Style"/>
          <w:bCs/>
          <w:color w:val="auto"/>
          <w:sz w:val="24"/>
          <w:highlight w:val="none"/>
        </w:rPr>
        <w:t>2、本合同经双方法定代表人</w:t>
      </w:r>
      <w:r>
        <w:rPr>
          <w:rFonts w:hint="eastAsia" w:ascii="仿宋_GB2312" w:eastAsia="仿宋_GB2312" w:cs="仿宋_GB2312"/>
          <w:bCs/>
          <w:color w:val="auto"/>
          <w:sz w:val="24"/>
          <w:szCs w:val="24"/>
          <w:highlight w:val="none"/>
          <w:lang w:bidi="ar"/>
        </w:rPr>
        <w:t>或委托代理人签字且单位盖章之日</w:t>
      </w:r>
      <w:r>
        <w:rPr>
          <w:rFonts w:ascii="仿宋_GB2312" w:eastAsia="仿宋_GB2312" w:cs="仿宋_GB2312"/>
          <w:bCs/>
          <w:color w:val="auto"/>
          <w:sz w:val="24"/>
          <w:szCs w:val="24"/>
          <w:highlight w:val="none"/>
          <w:lang w:bidi="ar"/>
        </w:rPr>
        <w:t>起</w:t>
      </w:r>
      <w:r>
        <w:rPr>
          <w:rFonts w:hint="eastAsia" w:ascii="仿宋_GB2312" w:hAnsi="仿宋_GB2312" w:eastAsia="仿宋_GB2312" w:cs="Bookman Old Style"/>
          <w:bCs/>
          <w:color w:val="auto"/>
          <w:sz w:val="24"/>
          <w:highlight w:val="none"/>
        </w:rPr>
        <w:t>成立生效。</w:t>
      </w:r>
    </w:p>
    <w:p w14:paraId="5B1BA24B">
      <w:pPr>
        <w:spacing w:line="480" w:lineRule="exact"/>
        <w:ind w:firstLine="480" w:firstLineChars="200"/>
        <w:rPr>
          <w:rFonts w:hint="eastAsia" w:ascii="仿宋_GB2312" w:hAnsi="仿宋_GB2312" w:eastAsia="仿宋_GB2312" w:cs="Bookman Old Style"/>
          <w:bCs/>
          <w:color w:val="auto"/>
          <w:sz w:val="24"/>
          <w:highlight w:val="none"/>
        </w:rPr>
      </w:pPr>
      <w:r>
        <w:rPr>
          <w:rFonts w:hint="eastAsia" w:ascii="仿宋_GB2312" w:hAnsi="仿宋_GB2312" w:eastAsia="仿宋_GB2312" w:cs="Bookman Old Style"/>
          <w:bCs/>
          <w:color w:val="auto"/>
          <w:sz w:val="24"/>
          <w:highlight w:val="none"/>
        </w:rPr>
        <w:t>3、合同内容如遇国家法律法规及政策另有规定的，从其规定。</w:t>
      </w:r>
    </w:p>
    <w:p w14:paraId="1B34D40E">
      <w:pPr>
        <w:spacing w:line="480" w:lineRule="exact"/>
        <w:ind w:firstLine="482" w:firstLineChars="200"/>
        <w:rPr>
          <w:rFonts w:hint="eastAsia" w:ascii="仿宋_GB2312" w:hAnsi="仿宋_GB2312" w:eastAsia="仿宋_GB2312"/>
          <w:b/>
          <w:color w:val="auto"/>
          <w:sz w:val="24"/>
          <w:highlight w:val="none"/>
        </w:rPr>
      </w:pPr>
      <w:r>
        <w:rPr>
          <w:rFonts w:hint="eastAsia" w:ascii="仿宋_GB2312" w:hAnsi="仿宋_GB2312" w:eastAsia="仿宋_GB2312"/>
          <w:b/>
          <w:color w:val="auto"/>
          <w:sz w:val="24"/>
          <w:highlight w:val="none"/>
        </w:rPr>
        <w:t>十四、其他约定事项</w:t>
      </w:r>
    </w:p>
    <w:p w14:paraId="6CAD41FA">
      <w:pPr>
        <w:spacing w:line="480" w:lineRule="exact"/>
        <w:ind w:firstLine="480" w:firstLineChars="200"/>
        <w:rPr>
          <w:rFonts w:hint="eastAsia" w:ascii="仿宋_GB2312" w:hAnsi="仿宋_GB2312" w:eastAsia="仿宋_GB2312" w:cs="Bookman Old Style"/>
          <w:color w:val="auto"/>
          <w:sz w:val="24"/>
          <w:highlight w:val="none"/>
        </w:rPr>
      </w:pPr>
      <w:r>
        <w:rPr>
          <w:rFonts w:hint="eastAsia" w:ascii="仿宋_GB2312" w:hAnsi="仿宋_GB2312" w:eastAsia="仿宋_GB2312" w:cs="Bookman Old Style"/>
          <w:color w:val="auto"/>
          <w:sz w:val="24"/>
          <w:highlight w:val="none"/>
        </w:rPr>
        <w:t>1、和本合同相关的双方往来函件（包括传真件、电子邮件）与原件具有同等的法律效力，修改无效。</w:t>
      </w:r>
    </w:p>
    <w:p w14:paraId="444F92DE">
      <w:pPr>
        <w:spacing w:line="480" w:lineRule="exact"/>
        <w:ind w:firstLine="480" w:firstLineChars="200"/>
        <w:rPr>
          <w:rFonts w:hint="eastAsia" w:ascii="仿宋_GB2312" w:hAnsi="仿宋_GB2312" w:eastAsia="仿宋_GB2312" w:cs="Bookman Old Style"/>
          <w:color w:val="auto"/>
          <w:sz w:val="24"/>
          <w:highlight w:val="none"/>
        </w:rPr>
      </w:pPr>
      <w:r>
        <w:rPr>
          <w:rFonts w:hint="eastAsia" w:ascii="仿宋_GB2312" w:hAnsi="仿宋_GB2312" w:eastAsia="仿宋_GB2312" w:cs="Bookman Old Style"/>
          <w:color w:val="auto"/>
          <w:sz w:val="24"/>
          <w:highlight w:val="none"/>
        </w:rPr>
        <w:t>2、与本合同有关的</w:t>
      </w:r>
      <w:r>
        <w:rPr>
          <w:rFonts w:hint="eastAsia" w:ascii="仿宋_GB2312" w:hAnsi="仿宋_GB2312" w:eastAsia="仿宋_GB2312" w:cs="Bookman Old Style"/>
          <w:color w:val="auto"/>
          <w:sz w:val="24"/>
          <w:highlight w:val="none"/>
          <w:lang w:val="en-US" w:eastAsia="zh-CN"/>
        </w:rPr>
        <w:t>补充协议、</w:t>
      </w:r>
      <w:r>
        <w:rPr>
          <w:rFonts w:hint="eastAsia" w:ascii="仿宋_GB2312" w:hAnsi="仿宋_GB2312" w:eastAsia="仿宋_GB2312" w:cs="Bookman Old Style"/>
          <w:color w:val="auto"/>
          <w:sz w:val="24"/>
          <w:highlight w:val="none"/>
        </w:rPr>
        <w:t>招投标文件、答疑附件、合同附件、中标（成交）通知书均是本合同不可分割的组成部分，与本合同具有同等法律效力，其他未尽事宜从其规定。</w:t>
      </w:r>
    </w:p>
    <w:p w14:paraId="33F288DF">
      <w:pPr>
        <w:pStyle w:val="10"/>
        <w:autoSpaceDE w:val="0"/>
        <w:autoSpaceDN w:val="0"/>
        <w:spacing w:line="480" w:lineRule="exact"/>
        <w:ind w:firstLine="480"/>
        <w:rPr>
          <w:rFonts w:hint="eastAsia" w:ascii="仿宋_GB2312" w:hAnsi="仿宋_GB2312" w:eastAsia="仿宋_GB2312" w:cs="Bookman Old Style"/>
          <w:color w:val="auto"/>
          <w:sz w:val="24"/>
          <w:highlight w:val="none"/>
        </w:rPr>
      </w:pPr>
      <w:r>
        <w:rPr>
          <w:rFonts w:hint="eastAsia" w:ascii="仿宋_GB2312" w:hAnsi="仿宋_GB2312" w:eastAsia="仿宋_GB2312" w:cs="Bookman Old Style"/>
          <w:color w:val="auto"/>
          <w:sz w:val="24"/>
          <w:highlight w:val="none"/>
        </w:rPr>
        <w:t>3、双方明确：本合同任何一方不得对招标文件确定的事项和中标人投标文件作实质性修改。如任何一方修改均为无效条款，该条款应以招标文件约定为准，招标文件未约定以中标通知书、投标文件为准。</w:t>
      </w:r>
    </w:p>
    <w:p w14:paraId="7ADB06BF">
      <w:pPr>
        <w:spacing w:line="480" w:lineRule="exact"/>
        <w:ind w:firstLine="480" w:firstLineChars="200"/>
        <w:rPr>
          <w:rFonts w:hint="eastAsia" w:ascii="仿宋_GB2312" w:hAnsi="仿宋_GB2312" w:eastAsia="仿宋_GB2312" w:cs="Bookman Old Style"/>
          <w:color w:val="auto"/>
          <w:sz w:val="24"/>
          <w:highlight w:val="none"/>
        </w:rPr>
      </w:pPr>
      <w:r>
        <w:rPr>
          <w:rFonts w:hint="eastAsia" w:ascii="仿宋_GB2312" w:hAnsi="仿宋_GB2312" w:eastAsia="仿宋_GB2312" w:cs="Bookman Old Style"/>
          <w:color w:val="auto"/>
          <w:sz w:val="24"/>
          <w:highlight w:val="none"/>
        </w:rPr>
        <w:t>4、本合同中所载的书面通知方式仅指当事人亲自送达、挂号信、EMS方式。一方采取当事人亲自送达方式的，另一方有积极配合签收的义务。如一方拒绝签收而使另一方变更送达方式的，由此所产生的费用应当由违约方承担；如以EMS或快递方式寄送的，如无相反证据证明，自寄送之日起的第三日为送达之日。</w:t>
      </w:r>
    </w:p>
    <w:p w14:paraId="21A79FAA">
      <w:pPr>
        <w:spacing w:line="480" w:lineRule="exact"/>
        <w:ind w:firstLine="480" w:firstLineChars="200"/>
        <w:rPr>
          <w:rFonts w:hint="eastAsia" w:ascii="仿宋_GB2312" w:hAnsi="仿宋_GB2312" w:eastAsia="仿宋_GB2312"/>
          <w:color w:val="auto"/>
          <w:sz w:val="24"/>
          <w:highlight w:val="none"/>
        </w:rPr>
      </w:pPr>
      <w:r>
        <w:rPr>
          <w:rFonts w:hint="eastAsia" w:ascii="仿宋_GB2312" w:hAnsi="仿宋_GB2312" w:eastAsia="仿宋_GB2312" w:cs="Bookman Old Style"/>
          <w:color w:val="auto"/>
          <w:sz w:val="24"/>
          <w:highlight w:val="none"/>
        </w:rPr>
        <w:t>5、本合同首部双方的联系方式及地址均为双方有效的送达地址，如有一方地址发生变更，应在变更后当日向对方书面通知，如因变更方未及时通知，相对方按合同尾部地址送达的，视为送达成功。</w:t>
      </w:r>
    </w:p>
    <w:p w14:paraId="5E4F4516">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根据本项目招标要求，供应商须充分知悉并承诺：凡因参与本次招标活动所产生的一切技术成果、商业数据、设计方案、书面文件及相关材料（包括但不限于著作权、专利权、商标权、商业秘密、软件源代码等知识产权载体），其全部知识产权及相关衍生权利均自完成之日起永久性、排他性地归属于采购人所有。供应商须确保其提交的成果不存在任何权利瑕疵，若因第三方主张权利导致采购人遭受诉讼、索赔或其他经济损失，供应商应承担全部连带责任，包括但不限于诉讼费用、和解赔偿及行政机关处罚等。</w:t>
      </w:r>
    </w:p>
    <w:p w14:paraId="26C5E2AA">
      <w:pPr>
        <w:keepNext w:val="0"/>
        <w:keepLines w:val="0"/>
        <w:pageBreakBefore w:val="0"/>
        <w:numPr>
          <w:ilvl w:val="0"/>
          <w:numId w:val="0"/>
        </w:numPr>
        <w:kinsoku/>
        <w:wordWrap/>
        <w:overflowPunct/>
        <w:topLinePunct w:val="0"/>
        <w:autoSpaceDE/>
        <w:autoSpaceDN/>
        <w:bidi w:val="0"/>
        <w:adjustRightInd/>
        <w:snapToGrid/>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采购人有权在全球范围内行使上述知识产权的使用、修改、许可及再开发等权利，无需另行支付费用。供应商须履行严格保密义务，未经采购人书面授权不得以任何形式披露、使用或授权第三方使用前述成果。</w:t>
      </w:r>
    </w:p>
    <w:p w14:paraId="4E754198">
      <w:pPr>
        <w:spacing w:line="480" w:lineRule="exact"/>
        <w:ind w:firstLine="360" w:firstLineChars="150"/>
        <w:rPr>
          <w:rFonts w:hint="eastAsia" w:ascii="仿宋_GB2312" w:hAnsi="仿宋_GB2312" w:eastAsia="仿宋_GB2312"/>
          <w:color w:val="auto"/>
          <w:sz w:val="24"/>
          <w:highlight w:val="none"/>
        </w:rPr>
      </w:pPr>
    </w:p>
    <w:p w14:paraId="5560EC2D">
      <w:pPr>
        <w:spacing w:line="480" w:lineRule="exact"/>
        <w:ind w:firstLine="360" w:firstLineChars="150"/>
        <w:rPr>
          <w:rFonts w:hint="eastAsia" w:ascii="仿宋_GB2312" w:hAnsi="仿宋_GB2312" w:eastAsia="仿宋_GB2312" w:cs="Bookman Old Style"/>
          <w:color w:val="auto"/>
          <w:sz w:val="24"/>
          <w:highlight w:val="none"/>
        </w:rPr>
      </w:pPr>
      <w:r>
        <w:rPr>
          <w:rFonts w:hint="eastAsia" w:ascii="仿宋_GB2312" w:hAnsi="仿宋_GB2312" w:eastAsia="仿宋_GB2312"/>
          <w:color w:val="auto"/>
          <w:sz w:val="24"/>
          <w:highlight w:val="none"/>
        </w:rPr>
        <w:t>（以下无正文，为本合同签署页）</w:t>
      </w:r>
    </w:p>
    <w:p w14:paraId="228F9E51">
      <w:pPr>
        <w:spacing w:line="480" w:lineRule="exact"/>
        <w:rPr>
          <w:rFonts w:hint="eastAsia" w:ascii="仿宋_GB2312" w:hAnsi="仿宋_GB2312" w:eastAsia="仿宋_GB2312"/>
          <w:color w:val="auto"/>
          <w:sz w:val="24"/>
          <w:highlight w:val="none"/>
        </w:rPr>
      </w:pPr>
    </w:p>
    <w:p w14:paraId="5D7B179E">
      <w:pPr>
        <w:spacing w:line="48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甲方（盖章）：乙方（盖章）：</w:t>
      </w:r>
    </w:p>
    <w:p w14:paraId="385E5AAF">
      <w:pPr>
        <w:spacing w:line="480" w:lineRule="exact"/>
        <w:rPr>
          <w:rFonts w:hint="eastAsia" w:ascii="仿宋_GB2312" w:hAnsi="仿宋_GB2312" w:eastAsia="仿宋_GB2312"/>
          <w:color w:val="auto"/>
          <w:sz w:val="24"/>
          <w:highlight w:val="none"/>
        </w:rPr>
      </w:pPr>
      <w:r>
        <w:rPr>
          <w:rFonts w:hint="eastAsia" w:ascii="仿宋_GB2312" w:hAnsi="仿宋_GB2312" w:eastAsia="仿宋_GB2312"/>
          <w:color w:val="auto"/>
          <w:sz w:val="24"/>
          <w:highlight w:val="none"/>
        </w:rPr>
        <w:t>法定代表人或授权代表（签字）：法定代表人或授权代表（签字）：</w:t>
      </w:r>
    </w:p>
    <w:p w14:paraId="7439A6EC">
      <w:pPr>
        <w:spacing w:line="480" w:lineRule="exac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地址：地址：</w:t>
      </w:r>
    </w:p>
    <w:p w14:paraId="457D83DD">
      <w:pPr>
        <w:spacing w:line="480" w:lineRule="exac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电话：电话：</w:t>
      </w:r>
    </w:p>
    <w:p w14:paraId="2BE840D9">
      <w:pPr>
        <w:spacing w:line="480" w:lineRule="exact"/>
        <w:rPr>
          <w:rFonts w:hint="eastAsia" w:ascii="仿宋_GB2312" w:hAnsi="仿宋_GB2312" w:eastAsia="仿宋_GB2312"/>
          <w:color w:val="auto"/>
          <w:sz w:val="24"/>
          <w:highlight w:val="none"/>
          <w:lang w:eastAsia="zh-CN"/>
        </w:rPr>
      </w:pPr>
      <w:r>
        <w:rPr>
          <w:rFonts w:hint="eastAsia" w:ascii="仿宋_GB2312" w:hAnsi="仿宋_GB2312" w:eastAsia="仿宋_GB2312"/>
          <w:color w:val="auto"/>
          <w:sz w:val="24"/>
          <w:highlight w:val="none"/>
        </w:rPr>
        <w:t>日期：日期：</w:t>
      </w:r>
    </w:p>
    <w:p w14:paraId="678D14F0">
      <w:pPr>
        <w:rPr>
          <w:color w:val="auto"/>
          <w:highlight w:val="none"/>
        </w:rPr>
      </w:pPr>
    </w:p>
    <w:p w14:paraId="255E2DA9">
      <w:pPr>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附件1：技术参数清单</w:t>
      </w:r>
    </w:p>
    <w:p w14:paraId="6542424B">
      <w:pPr>
        <w:rPr>
          <w:rFonts w:hint="eastAsia"/>
          <w:color w:val="auto"/>
          <w:highlight w:val="none"/>
        </w:rPr>
      </w:pPr>
    </w:p>
    <w:p w14:paraId="1B153104">
      <w:pPr>
        <w:spacing w:line="500" w:lineRule="exact"/>
        <w:rPr>
          <w:rFonts w:ascii="仿宋" w:hAnsi="仿宋" w:eastAsia="仿宋" w:cs="仿宋"/>
          <w:b/>
          <w:color w:val="auto"/>
          <w:sz w:val="44"/>
          <w:szCs w:val="44"/>
          <w:highlight w:val="none"/>
        </w:rPr>
      </w:pPr>
      <w:r>
        <w:rPr>
          <w:rFonts w:hint="eastAsia" w:ascii="仿宋" w:hAnsi="仿宋" w:eastAsia="仿宋" w:cs="仿宋"/>
          <w:color w:val="auto"/>
          <w:sz w:val="28"/>
          <w:szCs w:val="28"/>
          <w:highlight w:val="none"/>
        </w:rPr>
        <w:t>附件2：质量及服务承诺书</w:t>
      </w:r>
    </w:p>
    <w:p w14:paraId="12D11E39">
      <w:pPr>
        <w:jc w:val="center"/>
        <w:rPr>
          <w:rFonts w:hint="eastAsia" w:ascii="仿宋_GB2312" w:hAnsi="仿宋_GB2312" w:eastAsia="仿宋_GB2312" w:cs="仿宋"/>
          <w:b/>
          <w:bCs/>
          <w:color w:val="auto"/>
          <w:sz w:val="44"/>
          <w:szCs w:val="44"/>
          <w:highlight w:val="none"/>
        </w:rPr>
      </w:pPr>
      <w:r>
        <w:rPr>
          <w:rFonts w:hint="eastAsia" w:ascii="仿宋_GB2312" w:hAnsi="仿宋_GB2312" w:eastAsia="仿宋_GB2312" w:cs="仿宋"/>
          <w:b/>
          <w:bCs/>
          <w:color w:val="auto"/>
          <w:sz w:val="44"/>
          <w:szCs w:val="44"/>
          <w:highlight w:val="none"/>
        </w:rPr>
        <w:t>质量及服务承诺书</w:t>
      </w:r>
    </w:p>
    <w:p w14:paraId="22727885">
      <w:pPr>
        <w:rPr>
          <w:rFonts w:hint="eastAsia" w:ascii="仿宋_GB2312" w:hAnsi="仿宋_GB2312" w:eastAsia="仿宋_GB2312" w:cs="仿宋"/>
          <w:color w:val="auto"/>
          <w:sz w:val="24"/>
          <w:szCs w:val="24"/>
          <w:highlight w:val="none"/>
          <w:lang w:eastAsia="zh-CN"/>
        </w:rPr>
      </w:pPr>
      <w:r>
        <w:rPr>
          <w:rFonts w:hint="eastAsia" w:ascii="仿宋_GB2312" w:hAnsi="仿宋_GB2312" w:eastAsia="仿宋_GB2312" w:cs="仿宋"/>
          <w:color w:val="auto"/>
          <w:sz w:val="30"/>
          <w:szCs w:val="30"/>
          <w:highlight w:val="none"/>
        </w:rPr>
        <w:t>　</w:t>
      </w:r>
    </w:p>
    <w:p w14:paraId="2D0FDAB6">
      <w:pPr>
        <w:spacing w:line="480" w:lineRule="exact"/>
        <w:ind w:firstLine="480" w:firstLineChars="200"/>
        <w:rPr>
          <w:rFonts w:hint="eastAsia"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对于贵单位采购</w:t>
      </w:r>
      <w:r>
        <w:rPr>
          <w:rFonts w:hint="eastAsia" w:ascii="仿宋_GB2312" w:hAnsi="仿宋_GB2312" w:eastAsia="仿宋_GB2312" w:cs="仿宋"/>
          <w:color w:val="auto"/>
          <w:sz w:val="24"/>
          <w:szCs w:val="24"/>
          <w:highlight w:val="none"/>
          <w:u w:val="single"/>
          <w:lang w:eastAsia="zh-CN"/>
        </w:rPr>
        <w:t>新疆维吾尔自治区民政康复中心医疗条件改造提升项目（其他医疗设备）</w:t>
      </w:r>
      <w:r>
        <w:rPr>
          <w:rFonts w:hint="eastAsia" w:ascii="仿宋_GB2312" w:hAnsi="仿宋_GB2312" w:eastAsia="仿宋_GB2312" w:cs="仿宋"/>
          <w:color w:val="auto"/>
          <w:sz w:val="24"/>
          <w:szCs w:val="24"/>
          <w:highlight w:val="none"/>
        </w:rPr>
        <w:t>项目，我公司在售后服务方面做如下承诺：　　</w:t>
      </w:r>
    </w:p>
    <w:p w14:paraId="38729BE8">
      <w:pPr>
        <w:numPr>
          <w:ilvl w:val="0"/>
          <w:numId w:val="8"/>
        </w:numPr>
        <w:spacing w:line="480" w:lineRule="exact"/>
        <w:ind w:left="15" w:leftChars="7" w:firstLine="578" w:firstLineChars="241"/>
        <w:rPr>
          <w:rFonts w:hint="eastAsia"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我公司所有供应货物都有合格的《质量检测报告》和相关的产品合格证，符合国家的相关规定； 并保证及时提供所需的检测报告、合格证明等相关证件，并保证所有证件真实、合法、有效。我公司对产品质量实行三包，即：包退、包换、包修；　　</w:t>
      </w:r>
    </w:p>
    <w:p w14:paraId="3DE12A57">
      <w:pPr>
        <w:numPr>
          <w:ilvl w:val="0"/>
          <w:numId w:val="8"/>
        </w:numPr>
        <w:spacing w:line="480" w:lineRule="exact"/>
        <w:ind w:firstLine="480" w:firstLineChars="200"/>
        <w:rPr>
          <w:rFonts w:hint="eastAsia"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合同签订后，按时交货；严格遵守国家关于标签标识方面的管理规定，保证产品外包装符合要求；</w:t>
      </w:r>
    </w:p>
    <w:p w14:paraId="4697BCD7">
      <w:pPr>
        <w:spacing w:line="480" w:lineRule="exact"/>
        <w:ind w:left="15" w:leftChars="7" w:firstLine="578" w:firstLineChars="241"/>
        <w:rPr>
          <w:rFonts w:hint="eastAsia"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三、本公司确保所提供的货物调试达到合同指标，产品的制造和检测均有质量记录和检测资料。如因我公司产品质量或安装质量问题造成验收不合格，我公司将及时整改直至合格为止，其间产生的费用由我公司承担；　　</w:t>
      </w:r>
    </w:p>
    <w:p w14:paraId="4C221AEB">
      <w:pPr>
        <w:numPr>
          <w:ilvl w:val="0"/>
          <w:numId w:val="9"/>
        </w:numPr>
        <w:spacing w:line="480" w:lineRule="exact"/>
        <w:ind w:firstLine="480" w:firstLineChars="200"/>
        <w:rPr>
          <w:rFonts w:hint="eastAsia"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我公司在调试期间负责对贵单位操作、维修人员的培训，并能独立操作；对于贵单位的技术咨询，随时给予解答；</w:t>
      </w:r>
    </w:p>
    <w:p w14:paraId="687C19B8">
      <w:pPr>
        <w:numPr>
          <w:ilvl w:val="0"/>
          <w:numId w:val="9"/>
        </w:numPr>
        <w:spacing w:line="480" w:lineRule="exact"/>
        <w:ind w:firstLine="480" w:firstLineChars="200"/>
        <w:rPr>
          <w:rFonts w:hint="eastAsia"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在交付设备时，本公司向贵单位交付以下资料：发货清单、产品合格证、产品使用说明书、技术资料等；当接到贵单位反映质量问题的信函或电话后，保证24小时内作出答复，并于2个日历日内派出服务人员，以最快的速度到达现场，3日内解决问题；</w:t>
      </w:r>
    </w:p>
    <w:p w14:paraId="57ADA408">
      <w:pPr>
        <w:numPr>
          <w:ilvl w:val="0"/>
          <w:numId w:val="9"/>
        </w:numPr>
        <w:spacing w:line="480" w:lineRule="exact"/>
        <w:ind w:firstLine="480" w:firstLineChars="200"/>
        <w:rPr>
          <w:rFonts w:hint="eastAsia"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我公司所有供应货物如经贵单位按合同书面确认供应品牌后，对涉及该指定货物的使用性能和质量指标的生产厂家、配方、生产工艺等不作随意更换。　　　　</w:t>
      </w:r>
    </w:p>
    <w:p w14:paraId="2B7291DD">
      <w:pPr>
        <w:numPr>
          <w:ilvl w:val="0"/>
          <w:numId w:val="9"/>
        </w:numPr>
        <w:spacing w:line="480" w:lineRule="exact"/>
        <w:ind w:firstLine="480" w:firstLineChars="200"/>
        <w:rPr>
          <w:rFonts w:hint="eastAsia"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我公司供应货物的保质期绝不低于产品标注的保质期，如因我方供应产品质量问题，我方自愿承担由此所造成的所有损失及法律责任。　　</w:t>
      </w:r>
    </w:p>
    <w:p w14:paraId="59D51D6A">
      <w:pPr>
        <w:numPr>
          <w:ilvl w:val="0"/>
          <w:numId w:val="9"/>
        </w:numPr>
        <w:spacing w:line="480" w:lineRule="exact"/>
        <w:ind w:firstLine="480" w:firstLineChars="200"/>
        <w:rPr>
          <w:rFonts w:hint="eastAsia"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我公司所提供的货物，出现相关证照不全、品牌不符及任何质量问题的，我公司承诺无条件退货，并在贵单位规定时间内补充合格的货物，否则自愿承担由此造成的所有损失。　　</w:t>
      </w:r>
    </w:p>
    <w:p w14:paraId="75BCAD1A">
      <w:pPr>
        <w:spacing w:line="480" w:lineRule="exact"/>
        <w:ind w:firstLine="480" w:firstLineChars="200"/>
        <w:rPr>
          <w:rFonts w:hint="eastAsia"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为共同确保质量安全，我公司特向贵单位作出上述承诺，并愿意遵照执行；本承诺书在我司供货质保期内有效。　　</w:t>
      </w:r>
    </w:p>
    <w:p w14:paraId="6FBDD3CD">
      <w:pPr>
        <w:spacing w:line="540" w:lineRule="exact"/>
        <w:ind w:right="560"/>
        <w:jc w:val="center"/>
        <w:rPr>
          <w:rFonts w:hint="eastAsia" w:ascii="仿宋_GB2312" w:hAnsi="仿宋_GB2312" w:eastAsia="仿宋_GB2312" w:cs="仿宋"/>
          <w:color w:val="auto"/>
          <w:sz w:val="24"/>
          <w:szCs w:val="24"/>
          <w:highlight w:val="none"/>
        </w:rPr>
      </w:pPr>
    </w:p>
    <w:p w14:paraId="628ADD13">
      <w:pPr>
        <w:spacing w:line="540" w:lineRule="exact"/>
        <w:ind w:right="560"/>
        <w:jc w:val="center"/>
        <w:rPr>
          <w:rFonts w:ascii="仿宋_GB2312" w:hAnsi="仿宋_GB2312" w:eastAsia="仿宋_GB2312" w:cs="仿宋"/>
          <w:color w:val="auto"/>
          <w:sz w:val="24"/>
          <w:szCs w:val="24"/>
          <w:highlight w:val="none"/>
        </w:rPr>
      </w:pPr>
      <w:r>
        <w:rPr>
          <w:rFonts w:hint="eastAsia" w:ascii="仿宋_GB2312" w:hAnsi="仿宋_GB2312" w:eastAsia="仿宋_GB2312" w:cs="仿宋"/>
          <w:color w:val="auto"/>
          <w:sz w:val="24"/>
          <w:szCs w:val="24"/>
          <w:highlight w:val="none"/>
        </w:rPr>
        <w:t>承诺单位（盖章）：</w:t>
      </w:r>
    </w:p>
    <w:p w14:paraId="136D0E00">
      <w:pPr>
        <w:spacing w:line="540" w:lineRule="exact"/>
        <w:ind w:right="840"/>
        <w:jc w:val="center"/>
        <w:rPr>
          <w:rFonts w:hint="eastAsia" w:ascii="仿宋_GB2312" w:hAnsi="仿宋_GB2312" w:eastAsia="仿宋_GB2312" w:cs="仿宋"/>
          <w:color w:val="auto"/>
          <w:sz w:val="24"/>
          <w:szCs w:val="24"/>
          <w:highlight w:val="none"/>
          <w:lang w:eastAsia="zh-CN"/>
        </w:rPr>
      </w:pPr>
    </w:p>
    <w:p w14:paraId="40D33EED">
      <w:pPr>
        <w:spacing w:line="540" w:lineRule="exact"/>
        <w:ind w:left="3840" w:right="840" w:hanging="3840" w:hangingChars="1600"/>
        <w:jc w:val="left"/>
        <w:rPr>
          <w:rFonts w:hint="eastAsia" w:ascii="仿宋_GB2312" w:hAnsi="仿宋_GB2312" w:eastAsia="仿宋_GB2312" w:cs="仿宋"/>
          <w:color w:val="auto"/>
          <w:sz w:val="24"/>
          <w:szCs w:val="24"/>
          <w:highlight w:val="none"/>
          <w:lang w:eastAsia="zh-CN"/>
        </w:rPr>
      </w:pPr>
      <w:r>
        <w:rPr>
          <w:rFonts w:hint="eastAsia" w:ascii="仿宋_GB2312" w:hAnsi="仿宋_GB2312" w:eastAsia="仿宋_GB2312" w:cs="仿宋"/>
          <w:color w:val="auto"/>
          <w:sz w:val="24"/>
          <w:szCs w:val="24"/>
          <w:highlight w:val="none"/>
        </w:rPr>
        <w:t>法定代表人（或授权代理人）签字：</w:t>
      </w:r>
    </w:p>
    <w:p w14:paraId="4B35599F">
      <w:pPr>
        <w:spacing w:line="540" w:lineRule="exact"/>
        <w:ind w:right="840"/>
        <w:jc w:val="center"/>
        <w:rPr>
          <w:rFonts w:hint="eastAsia" w:ascii="仿宋_GB2312" w:hAnsi="仿宋_GB2312" w:eastAsia="仿宋_GB2312" w:cs="仿宋"/>
          <w:color w:val="auto"/>
          <w:sz w:val="24"/>
          <w:szCs w:val="24"/>
          <w:highlight w:val="none"/>
          <w:lang w:eastAsia="zh-CN"/>
        </w:rPr>
      </w:pPr>
    </w:p>
    <w:p w14:paraId="7D9DB1A4">
      <w:pPr>
        <w:spacing w:line="540" w:lineRule="exact"/>
        <w:ind w:firstLine="480" w:firstLineChars="200"/>
        <w:rPr>
          <w:rFonts w:hint="eastAsia" w:ascii="仿宋_GB2312" w:hAnsi="仿宋_GB2312" w:eastAsia="仿宋_GB2312" w:cs="仿宋"/>
          <w:color w:val="auto"/>
          <w:sz w:val="24"/>
          <w:szCs w:val="24"/>
          <w:highlight w:val="none"/>
          <w:lang w:eastAsia="zh-CN"/>
        </w:rPr>
      </w:pPr>
      <w:r>
        <w:rPr>
          <w:rFonts w:hint="eastAsia" w:ascii="仿宋_GB2312" w:hAnsi="仿宋_GB2312" w:eastAsia="仿宋_GB2312" w:cs="仿宋"/>
          <w:color w:val="auto"/>
          <w:sz w:val="24"/>
          <w:szCs w:val="24"/>
          <w:highlight w:val="none"/>
        </w:rPr>
        <w:t>日期：</w:t>
      </w:r>
    </w:p>
    <w:p w14:paraId="34E3580E">
      <w:pPr>
        <w:rPr>
          <w:color w:val="auto"/>
          <w:highlight w:val="none"/>
        </w:rPr>
      </w:pPr>
    </w:p>
    <w:p w14:paraId="7D24F871">
      <w:pPr>
        <w:rPr>
          <w:rFonts w:hint="eastAsia" w:ascii="仿宋" w:hAnsi="仿宋" w:eastAsia="仿宋" w:cs="仿宋"/>
          <w:color w:val="auto"/>
          <w:sz w:val="30"/>
          <w:szCs w:val="30"/>
          <w:highlight w:val="none"/>
        </w:rPr>
      </w:pPr>
    </w:p>
    <w:p w14:paraId="4D3D4765">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br w:type="page"/>
      </w:r>
    </w:p>
    <w:p w14:paraId="1CFB9C81">
      <w:pP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附件：廉政承诺书</w:t>
      </w:r>
    </w:p>
    <w:p w14:paraId="7DC1C7A0">
      <w:pPr>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廉政承诺书</w:t>
      </w:r>
    </w:p>
    <w:p w14:paraId="5669A285">
      <w:pPr>
        <w:spacing w:line="540" w:lineRule="exact"/>
        <w:ind w:firstLine="640" w:firstLineChars="200"/>
        <w:rPr>
          <w:rFonts w:hint="eastAsia" w:ascii="方正仿宋简体" w:hAnsi="方正仿宋简体" w:eastAsia="方正仿宋简体" w:cs="方正仿宋简体"/>
          <w:b w:val="0"/>
          <w:bCs w:val="0"/>
          <w:color w:val="auto"/>
          <w:sz w:val="32"/>
          <w:szCs w:val="32"/>
          <w:highlight w:val="none"/>
        </w:rPr>
      </w:pPr>
    </w:p>
    <w:p w14:paraId="2AD31AEF">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为建立廉洁自律的工作纪律，本公司作为新疆维吾尔自治区民政康复中心的供应商，在独立、客观、公正的基础上开展各项业务，杜绝发生违法、违纪和不良行为。本公司将严格按照以下措施做好各项工作，并自愿向贵校承诺如下：</w:t>
      </w:r>
    </w:p>
    <w:p w14:paraId="4FF62D3F">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第一条廉政内容</w:t>
      </w:r>
    </w:p>
    <w:p w14:paraId="017FFD47">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(一)严格遵守党规、党纪、国家法律、行政法规和贵校的各项规章制度，做到依法经营、诚实守信和廉洁自律；</w:t>
      </w:r>
    </w:p>
    <w:p w14:paraId="59EAEE2E">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(二)正确行使权力，不在贵校的管理、招投标活动和业务合作中发生任何违法、违规、违纪行为，不谋取不正当利益和损害贵校的利益；</w:t>
      </w:r>
    </w:p>
    <w:p w14:paraId="03A8A5C0">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(三)不以权谋私，不从事任何损害贵校利益的业务，不利用条件上的便利从事有偿居间活动；不利用条件上的便利为亲属、特定关系人谋取任何利益；</w:t>
      </w:r>
    </w:p>
    <w:p w14:paraId="0B780188">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(四)坚决抵制商业贿赂，绝不向贵校的工作人员及其家人行贿或变现行贿，不以任何形式向其赠送礼金、有价证券和贵重物品、以报销、提成、回扣等方式给予任何费用；</w:t>
      </w:r>
    </w:p>
    <w:p w14:paraId="04628A92">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(五)在业务合作过程中，如出现相关人员吃、拿、卡、要等现象应立即停止并向新疆维吾尔自治区民政康复中心进行反映；</w:t>
      </w:r>
    </w:p>
    <w:p w14:paraId="79920118">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（六）不以任何理由邀请新疆维吾尔自治区民政康复中心工作人员外出旅游或安排参加宴请及娱乐活动；</w:t>
      </w:r>
    </w:p>
    <w:p w14:paraId="12103DCB">
      <w:pPr>
        <w:autoSpaceDE w:val="0"/>
        <w:autoSpaceDN w:val="0"/>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七</w:t>
      </w:r>
      <w:r>
        <w:rPr>
          <w:rFonts w:hint="eastAsia" w:ascii="仿宋" w:hAnsi="仿宋" w:eastAsia="仿宋" w:cs="仿宋"/>
          <w:b w:val="0"/>
          <w:bCs w:val="0"/>
          <w:color w:val="auto"/>
          <w:sz w:val="24"/>
          <w:szCs w:val="24"/>
          <w:highlight w:val="none"/>
        </w:rPr>
        <w:t>）本公司指定业务代表洽谈业务，销售代表必须在工作时间到新疆维吾尔自治区民政康复中心指定地点联系商谈，不得到学校、学院、科室等推销任何产品，不得借故到相关领导、部门负责人及相关工作人员家中访谈并提供任何好处费。</w:t>
      </w:r>
    </w:p>
    <w:p w14:paraId="2253EABA">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第二条如本公司违反上述承诺，本公司自愿承担如下责任</w:t>
      </w:r>
    </w:p>
    <w:p w14:paraId="45884BC9">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(一)如因本公司的相关行为给贵校造成损失的，本公司剩余未结款项全部归贵校所有，如不足以弥补贵校损失的，本公司继续承担赔偿责任；</w:t>
      </w:r>
    </w:p>
    <w:p w14:paraId="03DEDB5A">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(二)如本公司的上述行为构成犯罪的，贵校有权直接报案，依法追究本公司的全部法律责任，凡被司法机关认定行贿罪的，按照合同总价款的20%承担违约责任；</w:t>
      </w:r>
    </w:p>
    <w:p w14:paraId="0946C9EF">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(三)本公司自愿接受被贵校列入员工黑名单的制裁，该制裁包括但不限于如下内容：</w:t>
      </w:r>
    </w:p>
    <w:p w14:paraId="265A8014">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（1）授权贵校在任何媒体对本公司的上述行为进行曝光，相关费用全部由本公司承担；</w:t>
      </w:r>
    </w:p>
    <w:p w14:paraId="77A11F66">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（2）授权贵校将本公司的上述行为作为反面案例，以任何形式在任何场所进行广泛宣传.</w:t>
      </w:r>
    </w:p>
    <w:p w14:paraId="3A41D8D1">
      <w:pPr>
        <w:spacing w:line="5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本公司将认真执行上述承诺事项，自愿对上述承诺内容承担法律责任、经济赔偿责任及刑事法律责任；</w:t>
      </w:r>
    </w:p>
    <w:p w14:paraId="421926BA">
      <w:pPr>
        <w:spacing w:line="540" w:lineRule="exact"/>
        <w:ind w:firstLine="480" w:firstLineChars="200"/>
        <w:rPr>
          <w:rFonts w:hint="eastAsia" w:ascii="仿宋" w:hAnsi="仿宋" w:eastAsia="仿宋" w:cs="仿宋"/>
          <w:b w:val="0"/>
          <w:bCs w:val="0"/>
          <w:color w:val="auto"/>
          <w:sz w:val="24"/>
          <w:szCs w:val="24"/>
          <w:highlight w:val="none"/>
        </w:rPr>
      </w:pPr>
    </w:p>
    <w:p w14:paraId="1E2530B6">
      <w:pPr>
        <w:spacing w:line="540" w:lineRule="exact"/>
        <w:ind w:right="560" w:firstLine="4800" w:firstLineChars="20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承诺单位（盖章）：</w:t>
      </w:r>
    </w:p>
    <w:p w14:paraId="0A2F114F">
      <w:pPr>
        <w:spacing w:line="540" w:lineRule="exact"/>
        <w:ind w:right="840"/>
        <w:jc w:val="center"/>
        <w:rPr>
          <w:rFonts w:hint="eastAsia" w:ascii="仿宋" w:hAnsi="仿宋" w:eastAsia="仿宋" w:cs="仿宋"/>
          <w:b w:val="0"/>
          <w:bCs w:val="0"/>
          <w:color w:val="auto"/>
          <w:sz w:val="24"/>
          <w:szCs w:val="24"/>
          <w:highlight w:val="none"/>
          <w:lang w:eastAsia="zh-CN"/>
        </w:rPr>
      </w:pPr>
    </w:p>
    <w:p w14:paraId="30520FB5">
      <w:pPr>
        <w:spacing w:line="540" w:lineRule="exact"/>
        <w:ind w:right="84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法定代表人（签名）：</w:t>
      </w:r>
    </w:p>
    <w:p w14:paraId="70E7D2F3">
      <w:pPr>
        <w:spacing w:line="540" w:lineRule="exact"/>
        <w:ind w:right="840"/>
        <w:jc w:val="center"/>
        <w:rPr>
          <w:rFonts w:hint="eastAsia" w:ascii="仿宋" w:hAnsi="仿宋" w:eastAsia="仿宋" w:cs="仿宋"/>
          <w:b w:val="0"/>
          <w:bCs w:val="0"/>
          <w:color w:val="auto"/>
          <w:sz w:val="24"/>
          <w:szCs w:val="24"/>
          <w:highlight w:val="none"/>
          <w:lang w:eastAsia="zh-CN"/>
        </w:rPr>
      </w:pPr>
    </w:p>
    <w:p w14:paraId="412F7111">
      <w:pP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日期：年月日</w:t>
      </w:r>
    </w:p>
    <w:p w14:paraId="5739857E">
      <w:pPr>
        <w:rPr>
          <w:rFonts w:hint="eastAsia" w:ascii="仿宋" w:hAnsi="仿宋" w:eastAsia="仿宋" w:cs="仿宋"/>
          <w:b/>
          <w:color w:val="auto"/>
          <w:sz w:val="36"/>
          <w:highlight w:val="none"/>
        </w:rPr>
      </w:pPr>
      <w:r>
        <w:rPr>
          <w:rFonts w:hint="eastAsia" w:ascii="仿宋" w:hAnsi="仿宋" w:eastAsia="仿宋" w:cs="仿宋"/>
          <w:b/>
          <w:color w:val="auto"/>
          <w:sz w:val="36"/>
          <w:highlight w:val="none"/>
        </w:rPr>
        <w:br w:type="page"/>
      </w:r>
    </w:p>
    <w:p w14:paraId="16C66D26">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6"/>
          <w:highlight w:val="none"/>
        </w:rPr>
        <w:t>第五部分响应文件格式</w:t>
      </w:r>
      <w:bookmarkEnd w:id="16"/>
    </w:p>
    <w:p w14:paraId="27262137">
      <w:pPr>
        <w:spacing w:line="360" w:lineRule="auto"/>
        <w:rPr>
          <w:rFonts w:hint="eastAsia" w:ascii="仿宋" w:hAnsi="仿宋" w:eastAsia="仿宋" w:cs="仿宋"/>
          <w:b/>
          <w:color w:val="auto"/>
          <w:sz w:val="24"/>
          <w:highlight w:val="none"/>
        </w:rPr>
      </w:pPr>
    </w:p>
    <w:p w14:paraId="3CB6E5A5">
      <w:pPr>
        <w:keepNext w:val="0"/>
        <w:keepLines w:val="0"/>
        <w:pageBreakBefore w:val="0"/>
        <w:widowControl w:val="0"/>
        <w:kinsoku/>
        <w:wordWrap/>
        <w:overflowPunct/>
        <w:topLinePunct w:val="0"/>
        <w:bidi w:val="0"/>
        <w:adjustRightInd/>
        <w:snapToGrid/>
        <w:spacing w:line="360" w:lineRule="auto"/>
        <w:ind w:firstLine="482" w:firstLineChars="200"/>
        <w:jc w:val="center"/>
        <w:textAlignment w:val="auto"/>
        <w:outlineLvl w:val="9"/>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响应文件封面</w:t>
      </w:r>
    </w:p>
    <w:p w14:paraId="783D495C">
      <w:pPr>
        <w:pStyle w:val="10"/>
        <w:ind w:firstLine="480"/>
        <w:rPr>
          <w:rFonts w:hint="eastAsia" w:ascii="仿宋" w:hAnsi="仿宋" w:eastAsia="仿宋" w:cs="仿宋"/>
          <w:color w:val="auto"/>
          <w:sz w:val="24"/>
          <w:highlight w:val="none"/>
        </w:rPr>
      </w:pPr>
    </w:p>
    <w:p w14:paraId="47E0A1F8">
      <w:pPr>
        <w:pStyle w:val="10"/>
        <w:ind w:firstLine="480"/>
        <w:rPr>
          <w:rFonts w:hint="eastAsia" w:ascii="仿宋" w:hAnsi="仿宋" w:eastAsia="仿宋" w:cs="仿宋"/>
          <w:color w:val="auto"/>
          <w:sz w:val="24"/>
          <w:highlight w:val="none"/>
        </w:rPr>
      </w:pPr>
    </w:p>
    <w:p w14:paraId="5B18A5C4">
      <w:pPr>
        <w:pStyle w:val="10"/>
        <w:ind w:firstLine="480"/>
        <w:rPr>
          <w:rFonts w:hint="eastAsia" w:ascii="仿宋" w:hAnsi="仿宋" w:eastAsia="仿宋" w:cs="仿宋"/>
          <w:color w:val="auto"/>
          <w:sz w:val="24"/>
          <w:highlight w:val="none"/>
        </w:rPr>
      </w:pPr>
    </w:p>
    <w:p w14:paraId="4F8F7C4C">
      <w:pPr>
        <w:spacing w:line="360" w:lineRule="auto"/>
        <w:rPr>
          <w:rFonts w:hint="eastAsia" w:ascii="仿宋" w:hAnsi="仿宋" w:eastAsia="仿宋" w:cs="仿宋"/>
          <w:color w:val="auto"/>
          <w:sz w:val="28"/>
          <w:szCs w:val="28"/>
          <w:highlight w:val="none"/>
        </w:rPr>
      </w:pPr>
      <w:bookmarkStart w:id="17" w:name="_Toc30719"/>
      <w:r>
        <w:rPr>
          <w:rFonts w:hint="eastAsia" w:ascii="仿宋" w:hAnsi="仿宋" w:eastAsia="仿宋" w:cs="仿宋"/>
          <w:color w:val="auto"/>
          <w:sz w:val="28"/>
          <w:szCs w:val="28"/>
          <w:highlight w:val="none"/>
        </w:rPr>
        <w:t>（项目名称）</w:t>
      </w:r>
      <w:bookmarkEnd w:id="17"/>
    </w:p>
    <w:p w14:paraId="5E30F220">
      <w:pPr>
        <w:spacing w:line="360" w:lineRule="auto"/>
        <w:jc w:val="center"/>
        <w:rPr>
          <w:rFonts w:hint="eastAsia" w:ascii="仿宋" w:hAnsi="仿宋" w:eastAsia="仿宋" w:cs="仿宋"/>
          <w:color w:val="auto"/>
          <w:sz w:val="28"/>
          <w:szCs w:val="28"/>
          <w:highlight w:val="none"/>
        </w:rPr>
      </w:pPr>
    </w:p>
    <w:p w14:paraId="03656B2D">
      <w:pPr>
        <w:spacing w:line="360" w:lineRule="auto"/>
        <w:rPr>
          <w:rFonts w:hint="eastAsia" w:ascii="仿宋" w:hAnsi="仿宋" w:eastAsia="仿宋" w:cs="仿宋"/>
          <w:color w:val="auto"/>
          <w:sz w:val="28"/>
          <w:szCs w:val="28"/>
          <w:highlight w:val="none"/>
        </w:rPr>
      </w:pPr>
      <w:bookmarkStart w:id="18" w:name="_Toc9780"/>
      <w:r>
        <w:rPr>
          <w:rFonts w:hint="eastAsia" w:ascii="仿宋" w:hAnsi="仿宋" w:eastAsia="仿宋" w:cs="仿宋"/>
          <w:color w:val="auto"/>
          <w:sz w:val="28"/>
          <w:szCs w:val="28"/>
          <w:highlight w:val="none"/>
        </w:rPr>
        <w:t>（项目编号）</w:t>
      </w:r>
      <w:bookmarkEnd w:id="18"/>
    </w:p>
    <w:p w14:paraId="57DD4A9C">
      <w:pPr>
        <w:spacing w:line="360" w:lineRule="auto"/>
        <w:rPr>
          <w:rFonts w:hint="eastAsia" w:ascii="仿宋" w:hAnsi="仿宋" w:eastAsia="仿宋" w:cs="仿宋"/>
          <w:color w:val="auto"/>
          <w:sz w:val="28"/>
          <w:szCs w:val="28"/>
          <w:highlight w:val="none"/>
        </w:rPr>
      </w:pPr>
    </w:p>
    <w:p w14:paraId="1AF477AF">
      <w:pPr>
        <w:pStyle w:val="10"/>
        <w:rPr>
          <w:rFonts w:hint="eastAsia" w:ascii="仿宋" w:hAnsi="仿宋" w:eastAsia="仿宋" w:cs="仿宋"/>
          <w:color w:val="auto"/>
          <w:highlight w:val="none"/>
        </w:rPr>
      </w:pPr>
    </w:p>
    <w:p w14:paraId="38456B32">
      <w:pPr>
        <w:spacing w:line="360" w:lineRule="auto"/>
        <w:jc w:val="center"/>
        <w:rPr>
          <w:rFonts w:hint="eastAsia" w:ascii="仿宋" w:hAnsi="仿宋" w:eastAsia="仿宋" w:cs="仿宋"/>
          <w:color w:val="auto"/>
          <w:sz w:val="24"/>
          <w:highlight w:val="none"/>
        </w:rPr>
      </w:pPr>
    </w:p>
    <w:p w14:paraId="68A9E77C">
      <w:pPr>
        <w:spacing w:line="360" w:lineRule="auto"/>
        <w:jc w:val="center"/>
        <w:rPr>
          <w:rFonts w:hint="eastAsia" w:ascii="仿宋" w:hAnsi="仿宋" w:eastAsia="仿宋" w:cs="仿宋"/>
          <w:color w:val="auto"/>
          <w:sz w:val="24"/>
          <w:highlight w:val="none"/>
        </w:rPr>
      </w:pPr>
    </w:p>
    <w:p w14:paraId="2930D3D9">
      <w:pPr>
        <w:spacing w:line="360" w:lineRule="auto"/>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响应文件</w:t>
      </w:r>
    </w:p>
    <w:p w14:paraId="0B6AD9BC">
      <w:pPr>
        <w:spacing w:line="360" w:lineRule="auto"/>
        <w:jc w:val="center"/>
        <w:rPr>
          <w:rFonts w:hint="eastAsia" w:ascii="仿宋" w:hAnsi="仿宋" w:eastAsia="仿宋" w:cs="仿宋"/>
          <w:color w:val="auto"/>
          <w:sz w:val="24"/>
          <w:highlight w:val="none"/>
        </w:rPr>
      </w:pPr>
    </w:p>
    <w:p w14:paraId="19C4B51F">
      <w:pPr>
        <w:spacing w:line="360" w:lineRule="auto"/>
        <w:jc w:val="center"/>
        <w:rPr>
          <w:rFonts w:hint="eastAsia" w:ascii="仿宋" w:hAnsi="仿宋" w:eastAsia="仿宋" w:cs="仿宋"/>
          <w:color w:val="auto"/>
          <w:sz w:val="24"/>
          <w:highlight w:val="none"/>
        </w:rPr>
      </w:pPr>
    </w:p>
    <w:p w14:paraId="03F7CEAD">
      <w:pPr>
        <w:pStyle w:val="10"/>
        <w:rPr>
          <w:rFonts w:hint="eastAsia" w:ascii="仿宋" w:hAnsi="仿宋" w:eastAsia="仿宋" w:cs="仿宋"/>
          <w:color w:val="auto"/>
          <w:highlight w:val="none"/>
        </w:rPr>
      </w:pPr>
    </w:p>
    <w:p w14:paraId="7BADF41E">
      <w:pPr>
        <w:spacing w:line="360" w:lineRule="auto"/>
        <w:jc w:val="center"/>
        <w:rPr>
          <w:rFonts w:hint="eastAsia" w:ascii="仿宋" w:hAnsi="仿宋" w:eastAsia="仿宋" w:cs="仿宋"/>
          <w:color w:val="auto"/>
          <w:sz w:val="28"/>
          <w:szCs w:val="28"/>
          <w:highlight w:val="none"/>
          <w:lang w:eastAsia="zh-CN"/>
        </w:rPr>
      </w:pPr>
    </w:p>
    <w:p w14:paraId="3239E525">
      <w:pPr>
        <w:spacing w:line="360" w:lineRule="auto"/>
        <w:jc w:val="left"/>
        <w:rPr>
          <w:rFonts w:hint="eastAsia" w:ascii="仿宋" w:hAnsi="仿宋" w:eastAsia="仿宋" w:cs="仿宋"/>
          <w:color w:val="auto"/>
          <w:sz w:val="28"/>
          <w:szCs w:val="28"/>
          <w:highlight w:val="none"/>
        </w:rPr>
      </w:pPr>
      <w:bookmarkStart w:id="19" w:name="_Toc25722"/>
      <w:bookmarkStart w:id="20" w:name="_Toc6759"/>
      <w:bookmarkStart w:id="21" w:name="_Toc134550686"/>
      <w:r>
        <w:rPr>
          <w:rFonts w:hint="eastAsia" w:ascii="仿宋" w:hAnsi="仿宋" w:eastAsia="仿宋" w:cs="仿宋"/>
          <w:color w:val="auto"/>
          <w:sz w:val="28"/>
          <w:szCs w:val="28"/>
          <w:highlight w:val="none"/>
        </w:rPr>
        <w:t>采购人：</w:t>
      </w:r>
      <w:bookmarkEnd w:id="19"/>
      <w:bookmarkEnd w:id="20"/>
      <w:bookmarkEnd w:id="21"/>
    </w:p>
    <w:p w14:paraId="12753BEC">
      <w:pPr>
        <w:spacing w:line="360" w:lineRule="auto"/>
        <w:jc w:val="left"/>
        <w:rPr>
          <w:rFonts w:hint="eastAsia" w:ascii="仿宋" w:hAnsi="仿宋" w:eastAsia="仿宋" w:cs="仿宋"/>
          <w:color w:val="auto"/>
          <w:sz w:val="28"/>
          <w:szCs w:val="28"/>
          <w:highlight w:val="none"/>
        </w:rPr>
      </w:pPr>
      <w:bookmarkStart w:id="22" w:name="_Toc2378"/>
      <w:bookmarkStart w:id="23" w:name="_Toc23994"/>
      <w:bookmarkStart w:id="24" w:name="_Toc134550687"/>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电子签章</w:t>
      </w:r>
      <w:r>
        <w:rPr>
          <w:rFonts w:hint="eastAsia" w:ascii="仿宋" w:hAnsi="仿宋" w:eastAsia="仿宋" w:cs="仿宋"/>
          <w:color w:val="auto"/>
          <w:sz w:val="28"/>
          <w:szCs w:val="28"/>
          <w:highlight w:val="none"/>
        </w:rPr>
        <w:t>）</w:t>
      </w:r>
      <w:bookmarkEnd w:id="22"/>
      <w:bookmarkEnd w:id="23"/>
      <w:bookmarkEnd w:id="24"/>
    </w:p>
    <w:p w14:paraId="3FDACF49">
      <w:pPr>
        <w:spacing w:line="360" w:lineRule="auto"/>
        <w:jc w:val="left"/>
        <w:rPr>
          <w:rFonts w:hint="eastAsia" w:ascii="仿宋" w:hAnsi="仿宋" w:eastAsia="仿宋" w:cs="仿宋"/>
          <w:color w:val="auto"/>
          <w:sz w:val="28"/>
          <w:szCs w:val="28"/>
          <w:highlight w:val="none"/>
        </w:rPr>
      </w:pPr>
      <w:bookmarkStart w:id="25" w:name="_Toc16989"/>
      <w:bookmarkStart w:id="26" w:name="_Toc134550688"/>
      <w:bookmarkStart w:id="27" w:name="_Toc14388"/>
      <w:r>
        <w:rPr>
          <w:rFonts w:hint="eastAsia" w:ascii="仿宋" w:hAnsi="仿宋" w:eastAsia="仿宋" w:cs="仿宋"/>
          <w:color w:val="auto"/>
          <w:sz w:val="28"/>
          <w:szCs w:val="28"/>
          <w:highlight w:val="none"/>
        </w:rPr>
        <w:t>法定代表人：（电子签名或签章）</w:t>
      </w:r>
      <w:bookmarkEnd w:id="25"/>
      <w:bookmarkEnd w:id="26"/>
      <w:bookmarkEnd w:id="27"/>
    </w:p>
    <w:p w14:paraId="1AAFA21B">
      <w:pPr>
        <w:spacing w:line="360" w:lineRule="auto"/>
        <w:jc w:val="left"/>
        <w:rPr>
          <w:rFonts w:hint="eastAsia" w:ascii="仿宋" w:hAnsi="仿宋" w:eastAsia="仿宋" w:cs="仿宋"/>
          <w:color w:val="auto"/>
          <w:sz w:val="28"/>
          <w:szCs w:val="28"/>
          <w:highlight w:val="none"/>
        </w:rPr>
      </w:pPr>
      <w:bookmarkStart w:id="28" w:name="_Toc29511"/>
      <w:bookmarkStart w:id="29" w:name="_Toc23799"/>
      <w:bookmarkStart w:id="30" w:name="_Toc134550690"/>
      <w:r>
        <w:rPr>
          <w:rFonts w:hint="eastAsia" w:ascii="仿宋" w:hAnsi="仿宋" w:eastAsia="仿宋" w:cs="仿宋"/>
          <w:color w:val="auto"/>
          <w:sz w:val="28"/>
          <w:szCs w:val="28"/>
          <w:highlight w:val="none"/>
        </w:rPr>
        <w:t>联系方式：</w:t>
      </w:r>
      <w:bookmarkEnd w:id="28"/>
      <w:bookmarkEnd w:id="29"/>
      <w:bookmarkEnd w:id="30"/>
    </w:p>
    <w:p w14:paraId="1183DBC7">
      <w:pPr>
        <w:spacing w:line="360" w:lineRule="auto"/>
        <w:jc w:val="left"/>
        <w:rPr>
          <w:rFonts w:hint="eastAsia" w:ascii="仿宋" w:hAnsi="仿宋" w:eastAsia="仿宋" w:cs="仿宋"/>
          <w:color w:val="auto"/>
          <w:sz w:val="28"/>
          <w:szCs w:val="28"/>
          <w:highlight w:val="none"/>
        </w:rPr>
      </w:pPr>
      <w:bookmarkStart w:id="31" w:name="_Toc12203"/>
      <w:bookmarkStart w:id="32" w:name="_Toc18523"/>
      <w:bookmarkStart w:id="33" w:name="_Toc134550691"/>
      <w:r>
        <w:rPr>
          <w:rFonts w:hint="eastAsia" w:ascii="仿宋" w:hAnsi="仿宋" w:eastAsia="仿宋" w:cs="仿宋"/>
          <w:color w:val="auto"/>
          <w:sz w:val="28"/>
          <w:szCs w:val="28"/>
          <w:highlight w:val="none"/>
        </w:rPr>
        <w:t>联系地址：</w:t>
      </w:r>
      <w:bookmarkEnd w:id="31"/>
      <w:bookmarkEnd w:id="32"/>
      <w:bookmarkEnd w:id="33"/>
    </w:p>
    <w:p w14:paraId="4A6779CD">
      <w:pPr>
        <w:spacing w:line="360" w:lineRule="auto"/>
        <w:jc w:val="left"/>
        <w:rPr>
          <w:rFonts w:hint="eastAsia" w:ascii="仿宋" w:hAnsi="仿宋" w:eastAsia="仿宋" w:cs="仿宋"/>
          <w:b/>
          <w:color w:val="auto"/>
          <w:sz w:val="32"/>
          <w:szCs w:val="32"/>
          <w:highlight w:val="none"/>
        </w:rPr>
      </w:pPr>
      <w:bookmarkStart w:id="34" w:name="_Toc10100"/>
      <w:bookmarkStart w:id="35" w:name="_Toc24903"/>
      <w:bookmarkStart w:id="36" w:name="_Toc134550692"/>
      <w:r>
        <w:rPr>
          <w:rFonts w:hint="eastAsia" w:ascii="仿宋" w:hAnsi="仿宋" w:eastAsia="仿宋" w:cs="仿宋"/>
          <w:color w:val="auto"/>
          <w:sz w:val="28"/>
          <w:szCs w:val="28"/>
          <w:highlight w:val="none"/>
        </w:rPr>
        <w:t>日期：年月日</w:t>
      </w:r>
      <w:bookmarkEnd w:id="34"/>
      <w:bookmarkEnd w:id="35"/>
      <w:r>
        <w:rPr>
          <w:rFonts w:hint="eastAsia" w:ascii="仿宋" w:hAnsi="仿宋" w:eastAsia="仿宋" w:cs="仿宋"/>
          <w:b/>
          <w:color w:val="auto"/>
          <w:sz w:val="32"/>
          <w:szCs w:val="32"/>
          <w:highlight w:val="none"/>
        </w:rPr>
        <w:br w:type="page"/>
      </w:r>
      <w:bookmarkStart w:id="37" w:name="_Toc134550693"/>
      <w:bookmarkStart w:id="38" w:name="_Toc5037"/>
      <w:bookmarkStart w:id="39" w:name="_Toc19240"/>
      <w:r>
        <w:rPr>
          <w:rFonts w:hint="eastAsia" w:ascii="仿宋" w:hAnsi="仿宋" w:eastAsia="仿宋" w:cs="仿宋"/>
          <w:b/>
          <w:color w:val="auto"/>
          <w:sz w:val="32"/>
          <w:szCs w:val="32"/>
          <w:highlight w:val="none"/>
        </w:rPr>
        <w:t>目录</w:t>
      </w:r>
      <w:bookmarkEnd w:id="36"/>
      <w:bookmarkEnd w:id="37"/>
      <w:bookmarkEnd w:id="38"/>
      <w:bookmarkEnd w:id="39"/>
    </w:p>
    <w:p w14:paraId="11EFA285">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一、资格</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w:t>
      </w:r>
    </w:p>
    <w:p w14:paraId="63865DB3">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1）具有独立承担民事责任的能力；（</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，提供在中华人民共和国境内注册</w:t>
      </w:r>
    </w:p>
    <w:p w14:paraId="349F8618">
      <w:pPr>
        <w:spacing w:line="400" w:lineRule="atLeast"/>
        <w:ind w:left="72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的法人或其他组织的营业执照或事业单位法人证书或社会团体法人登记证</w:t>
      </w:r>
      <w:r>
        <w:rPr>
          <w:rFonts w:hint="eastAsia" w:ascii="仿宋" w:hAnsi="仿宋" w:eastAsia="仿宋" w:cs="仿宋"/>
          <w:color w:val="auto"/>
          <w:kern w:val="0"/>
          <w:sz w:val="24"/>
          <w:szCs w:val="24"/>
          <w:highlight w:val="none"/>
          <w:lang w:val="en-US" w:eastAsia="zh-CN"/>
        </w:rPr>
        <w:t>原件</w:t>
      </w:r>
    </w:p>
    <w:p w14:paraId="54DF9616">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彩色清晰</w:t>
      </w:r>
      <w:r>
        <w:rPr>
          <w:rFonts w:hint="eastAsia" w:ascii="仿宋" w:hAnsi="仿宋" w:eastAsia="仿宋" w:cs="仿宋"/>
          <w:color w:val="auto"/>
          <w:kern w:val="0"/>
          <w:sz w:val="24"/>
          <w:szCs w:val="24"/>
          <w:highlight w:val="none"/>
        </w:rPr>
        <w:t>扫描件。）</w:t>
      </w:r>
    </w:p>
    <w:p w14:paraId="27C3F58A">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2）有依法缴纳税收和社会保障资金的良好记录；（</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，提供至本项目</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截止时间前一年内任意1个月缴纳税收凭据证明材料</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扫描件；如依法免税的，应提供相应文件证明；提供至本项目</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截止时间前一年内任意1个月缴纳社会保险的凭据证明材料</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扫描件；如依法不需要缴纳社会保障资金的，应提供相应文件证明。）</w:t>
      </w:r>
    </w:p>
    <w:p w14:paraId="74141F5F">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）具有良好的商业信誉和健全的财务会计制度；【</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，若</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成立超过</w:t>
      </w:r>
    </w:p>
    <w:p w14:paraId="44056379">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一年需提供2023年、2024年度任意一年的财务状况报表或经第三方审计出具的</w:t>
      </w:r>
    </w:p>
    <w:p w14:paraId="239143F6">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审计报告</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扫描件并加盖公章，</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成立不足一年（含一年）需提</w:t>
      </w:r>
    </w:p>
    <w:p w14:paraId="7BA3B99F">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供近三个月内任意一个月的财务报告</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扫描件并加盖公章（需包含资</w:t>
      </w:r>
    </w:p>
    <w:p w14:paraId="38CA2C7B">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产负债表、现金流量表、利润表）或近三个月内任意一个月的银行资信证明材料</w:t>
      </w:r>
    </w:p>
    <w:p w14:paraId="3ACD095F">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扫描件并加盖公章；】</w:t>
      </w:r>
    </w:p>
    <w:p w14:paraId="3BFF869F">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）拥有一定的技术支持和后续服务能力；（</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出具承诺函，承诺满足要求，加盖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公章。）</w:t>
      </w:r>
    </w:p>
    <w:p w14:paraId="6D987415">
      <w:pPr>
        <w:spacing w:line="400" w:lineRule="atLeast"/>
        <w:ind w:left="0" w:leftChars="0" w:firstLine="0" w:firstLineChars="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）参加采购活动前3年内，在经营活动中没有重大违法记录；（</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供应</w:t>
      </w:r>
    </w:p>
    <w:p w14:paraId="21E7D240">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商</w:t>
      </w:r>
      <w:r>
        <w:rPr>
          <w:rFonts w:hint="eastAsia" w:ascii="仿宋" w:hAnsi="仿宋" w:eastAsia="仿宋" w:cs="仿宋"/>
          <w:color w:val="auto"/>
          <w:kern w:val="0"/>
          <w:sz w:val="24"/>
          <w:szCs w:val="24"/>
          <w:highlight w:val="none"/>
        </w:rPr>
        <w:t>出具承诺函，加盖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公章。）</w:t>
      </w:r>
    </w:p>
    <w:p w14:paraId="1F83C050">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注：重大违法记录，是指</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因违法经营受到刑事处罚或者责令停产停业、吊</w:t>
      </w:r>
    </w:p>
    <w:p w14:paraId="59D9F163">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销许可证或者执照、较大数额罚款等行政处罚。（较大数额罚款按照发出行政处</w:t>
      </w:r>
    </w:p>
    <w:p w14:paraId="1A3AA8A5">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罚决定书部门所在省级政府，或实行垂直领导的国务院有关行政主管部门制定的</w:t>
      </w:r>
    </w:p>
    <w:p w14:paraId="0DBFD97F">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较大数额罚款标准，或罚款决定之前需要举行听证会的金额标准来认定。）</w:t>
      </w:r>
    </w:p>
    <w:p w14:paraId="28C0682C">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SA"/>
        </w:rPr>
        <w:t>6）</w:t>
      </w:r>
      <w:r>
        <w:rPr>
          <w:rFonts w:hint="eastAsia" w:ascii="仿宋" w:hAnsi="仿宋" w:eastAsia="仿宋" w:cs="仿宋"/>
          <w:color w:val="auto"/>
          <w:kern w:val="0"/>
          <w:sz w:val="24"/>
          <w:szCs w:val="24"/>
          <w:highlight w:val="none"/>
        </w:rPr>
        <w:t>信用记录：</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未被列入“信用中国”网站(www.creditchina.gov.cn)“记</w:t>
      </w:r>
    </w:p>
    <w:p w14:paraId="04AFAACC">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录失信被执行人、重大税收违法案件当事人名单、政府采购严重违法失信行为”</w:t>
      </w:r>
    </w:p>
    <w:p w14:paraId="169E1ED2">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记录名单；不处于中国政府采购网(www.ccgp.gov.cn)“政府采购严重违法失信</w:t>
      </w:r>
    </w:p>
    <w:p w14:paraId="45729DC9">
      <w:pPr>
        <w:spacing w:line="400" w:lineRule="atLeast"/>
        <w:ind w:left="72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行为信息记录”中的禁止参加政府采购活动期间。如相关失信记录已失效，</w:t>
      </w:r>
      <w:r>
        <w:rPr>
          <w:rFonts w:hint="eastAsia" w:ascii="仿宋" w:hAnsi="仿宋" w:eastAsia="仿宋" w:cs="仿宋"/>
          <w:color w:val="auto"/>
          <w:kern w:val="0"/>
          <w:sz w:val="24"/>
          <w:szCs w:val="24"/>
          <w:highlight w:val="none"/>
          <w:lang w:val="en-US" w:eastAsia="zh-CN"/>
        </w:rPr>
        <w:t>供应</w:t>
      </w:r>
    </w:p>
    <w:p w14:paraId="53C372E3">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商</w:t>
      </w:r>
      <w:r>
        <w:rPr>
          <w:rFonts w:hint="eastAsia" w:ascii="仿宋" w:hAnsi="仿宋" w:eastAsia="仿宋" w:cs="仿宋"/>
          <w:color w:val="auto"/>
          <w:kern w:val="0"/>
          <w:sz w:val="24"/>
          <w:szCs w:val="24"/>
          <w:highlight w:val="none"/>
        </w:rPr>
        <w:t>需提供相关证明资料，如在上述网站查询结果均显示没有相关记录，视为没有</w:t>
      </w:r>
    </w:p>
    <w:p w14:paraId="6AAAC908">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上述不良信用记录；（信用中国、中国政府采购网网站查询截图）</w:t>
      </w:r>
    </w:p>
    <w:p w14:paraId="360A91D0">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单位负责人为同一人或者存在直接控股、管理关系的不同</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，不得参加</w:t>
      </w:r>
    </w:p>
    <w:p w14:paraId="74AE0BFF">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同一合同项下的政府采购活动。与采购人存在利害关系可能影响招标公正性的法</w:t>
      </w:r>
    </w:p>
    <w:p w14:paraId="39530087">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人、其他组织或者个人，不得参加</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出具承诺函，加盖投</w:t>
      </w:r>
    </w:p>
    <w:p w14:paraId="2691386D">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标人公章。）</w:t>
      </w:r>
    </w:p>
    <w:p w14:paraId="6D337C27">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二、</w:t>
      </w:r>
      <w:r>
        <w:rPr>
          <w:rFonts w:hint="eastAsia" w:ascii="仿宋" w:hAnsi="仿宋" w:eastAsia="仿宋" w:cs="仿宋"/>
          <w:bCs/>
          <w:color w:val="auto"/>
          <w:sz w:val="24"/>
          <w:szCs w:val="24"/>
          <w:highlight w:val="none"/>
          <w:lang w:eastAsia="zh-CN"/>
        </w:rPr>
        <w:t>响应文件</w:t>
      </w:r>
    </w:p>
    <w:p w14:paraId="05BF9D3C">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商务技术文件</w:t>
      </w:r>
    </w:p>
    <w:p w14:paraId="79DE0A31">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1、</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lang w:eastAsia="zh-CN"/>
        </w:rPr>
        <w:t>函</w:t>
      </w:r>
    </w:p>
    <w:p w14:paraId="4530B225">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2、报价一览表</w:t>
      </w:r>
    </w:p>
    <w:p w14:paraId="416AC46E">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3、分项报价表</w:t>
      </w:r>
    </w:p>
    <w:p w14:paraId="444C2A41">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关于资格的声明函</w:t>
      </w:r>
    </w:p>
    <w:p w14:paraId="2E0C903B">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5、反商业贿赂承诺书</w:t>
      </w:r>
    </w:p>
    <w:p w14:paraId="3D459D6D">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6、法定代表人身份证明书</w:t>
      </w:r>
    </w:p>
    <w:p w14:paraId="0A229E65">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7、法定代表人授权委托书</w:t>
      </w:r>
    </w:p>
    <w:p w14:paraId="66D66071">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8、商务条款偏离表</w:t>
      </w:r>
    </w:p>
    <w:p w14:paraId="11E4F54A">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9、技术参数条款偏离表</w:t>
      </w:r>
    </w:p>
    <w:p w14:paraId="0173E127">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1</w:t>
      </w:r>
      <w:r>
        <w:rPr>
          <w:rFonts w:hint="eastAsia" w:ascii="仿宋" w:hAnsi="仿宋" w:eastAsia="仿宋" w:cs="仿宋"/>
          <w:bCs/>
          <w:color w:val="auto"/>
          <w:sz w:val="24"/>
          <w:szCs w:val="24"/>
          <w:highlight w:val="none"/>
          <w:lang w:val="en-US" w:eastAsia="zh-CN"/>
        </w:rPr>
        <w:t>0</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供应商</w:t>
      </w:r>
      <w:r>
        <w:rPr>
          <w:rFonts w:hint="eastAsia" w:ascii="仿宋" w:hAnsi="仿宋" w:eastAsia="仿宋" w:cs="仿宋"/>
          <w:bCs/>
          <w:color w:val="auto"/>
          <w:sz w:val="24"/>
          <w:szCs w:val="24"/>
          <w:highlight w:val="none"/>
          <w:lang w:eastAsia="zh-CN"/>
        </w:rPr>
        <w:t>近三年（202</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年</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月1日至今）</w:t>
      </w:r>
      <w:r>
        <w:rPr>
          <w:rFonts w:hint="eastAsia" w:ascii="仿宋" w:hAnsi="仿宋" w:eastAsia="仿宋" w:cs="仿宋"/>
          <w:bCs/>
          <w:color w:val="auto"/>
          <w:sz w:val="24"/>
          <w:szCs w:val="24"/>
          <w:highlight w:val="none"/>
          <w:lang w:val="en-US" w:eastAsia="zh-CN"/>
        </w:rPr>
        <w:t>类似</w:t>
      </w:r>
      <w:r>
        <w:rPr>
          <w:rFonts w:hint="eastAsia" w:ascii="仿宋" w:hAnsi="仿宋" w:eastAsia="仿宋" w:cs="仿宋"/>
          <w:bCs/>
          <w:color w:val="auto"/>
          <w:sz w:val="24"/>
          <w:szCs w:val="24"/>
          <w:highlight w:val="none"/>
          <w:lang w:eastAsia="zh-CN"/>
        </w:rPr>
        <w:t>业绩</w:t>
      </w:r>
    </w:p>
    <w:p w14:paraId="4103B925">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1</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、项目实施供货方案</w:t>
      </w:r>
    </w:p>
    <w:p w14:paraId="1165F8E1">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1</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、项目实施人员</w:t>
      </w:r>
    </w:p>
    <w:p w14:paraId="45B6E912">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13、本地化服务</w:t>
      </w:r>
    </w:p>
    <w:p w14:paraId="602CED17">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14、售后服务人员</w:t>
      </w:r>
    </w:p>
    <w:p w14:paraId="3975ED8F">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15、售后方案</w:t>
      </w:r>
    </w:p>
    <w:p w14:paraId="0B595A9D">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16、</w:t>
      </w:r>
      <w:r>
        <w:rPr>
          <w:rFonts w:hint="eastAsia" w:ascii="仿宋" w:hAnsi="仿宋" w:eastAsia="仿宋" w:cs="仿宋"/>
          <w:bCs/>
          <w:color w:val="auto"/>
          <w:sz w:val="24"/>
          <w:szCs w:val="24"/>
          <w:highlight w:val="none"/>
          <w:lang w:eastAsia="zh-CN"/>
        </w:rPr>
        <w:t>培训服务</w:t>
      </w:r>
    </w:p>
    <w:p w14:paraId="4114135A">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17、质量保证</w:t>
      </w:r>
    </w:p>
    <w:p w14:paraId="31EFEE53">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18、中小微企业、残疾人福利性单位、监狱企业声明函</w:t>
      </w:r>
    </w:p>
    <w:p w14:paraId="20B8B728">
      <w:pPr>
        <w:keepNext w:val="0"/>
        <w:keepLines w:val="0"/>
        <w:pageBreakBefore w:val="0"/>
        <w:widowControl w:val="0"/>
        <w:kinsoku/>
        <w:wordWrap/>
        <w:overflowPunct/>
        <w:topLinePunct w:val="0"/>
        <w:bidi w:val="0"/>
        <w:adjustRightInd/>
        <w:snapToGrid/>
        <w:spacing w:line="360" w:lineRule="auto"/>
        <w:ind w:firstLine="480" w:firstLineChars="200"/>
        <w:textAlignment w:val="auto"/>
        <w:outlineLvl w:val="9"/>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19、</w:t>
      </w:r>
      <w:r>
        <w:rPr>
          <w:rFonts w:hint="eastAsia" w:ascii="仿宋" w:hAnsi="仿宋" w:eastAsia="仿宋" w:cs="仿宋"/>
          <w:bCs/>
          <w:color w:val="auto"/>
          <w:sz w:val="24"/>
          <w:szCs w:val="24"/>
          <w:highlight w:val="none"/>
          <w:lang w:eastAsia="zh-CN"/>
        </w:rPr>
        <w:t>供应商认为需要提交的其他文件</w:t>
      </w:r>
    </w:p>
    <w:p w14:paraId="659324FC">
      <w:pPr>
        <w:spacing w:line="460" w:lineRule="exact"/>
        <w:rPr>
          <w:rFonts w:hint="eastAsia" w:ascii="仿宋" w:hAnsi="仿宋" w:eastAsia="仿宋" w:cs="仿宋"/>
          <w:b/>
          <w:bCs/>
          <w:color w:val="auto"/>
          <w:sz w:val="24"/>
          <w:szCs w:val="24"/>
          <w:highlight w:val="none"/>
        </w:rPr>
      </w:pPr>
    </w:p>
    <w:p w14:paraId="3D3EE029">
      <w:pPr>
        <w:spacing w:line="46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注：为了便于查找，请按上述顺序编制</w:t>
      </w:r>
      <w:r>
        <w:rPr>
          <w:rFonts w:hint="eastAsia" w:ascii="仿宋" w:hAnsi="仿宋" w:eastAsia="仿宋" w:cs="仿宋"/>
          <w:b/>
          <w:bCs/>
          <w:color w:val="auto"/>
          <w:sz w:val="24"/>
          <w:szCs w:val="24"/>
          <w:highlight w:val="none"/>
          <w:lang w:eastAsia="zh-CN"/>
        </w:rPr>
        <w:t>响应文件</w:t>
      </w:r>
      <w:r>
        <w:rPr>
          <w:rFonts w:hint="eastAsia" w:ascii="仿宋" w:hAnsi="仿宋" w:eastAsia="仿宋" w:cs="仿宋"/>
          <w:b/>
          <w:bCs/>
          <w:color w:val="auto"/>
          <w:sz w:val="24"/>
          <w:szCs w:val="24"/>
          <w:highlight w:val="none"/>
        </w:rPr>
        <w:t>内容，并在目录中标明每项内容的起始页码。</w:t>
      </w:r>
    </w:p>
    <w:p w14:paraId="6B09C0DB">
      <w:pPr>
        <w:pStyle w:val="100"/>
        <w:keepNext w:val="0"/>
        <w:keepLines w:val="0"/>
        <w:pageBreakBefore w:val="0"/>
        <w:widowControl/>
        <w:kinsoku/>
        <w:wordWrap/>
        <w:overflowPunct/>
        <w:topLinePunct w:val="0"/>
        <w:autoSpaceDE/>
        <w:autoSpaceDN/>
        <w:bidi w:val="0"/>
        <w:adjustRightInd/>
        <w:snapToGrid/>
        <w:textAlignment w:val="auto"/>
        <w:outlineLvl w:val="9"/>
        <w:rPr>
          <w:rFonts w:hint="eastAsia" w:ascii="仿宋" w:hAnsi="仿宋" w:eastAsia="仿宋" w:cs="仿宋"/>
          <w:color w:val="auto"/>
          <w:highlight w:val="none"/>
        </w:rPr>
      </w:pPr>
      <w:r>
        <w:rPr>
          <w:rFonts w:hint="eastAsia" w:ascii="仿宋" w:hAnsi="仿宋" w:eastAsia="仿宋" w:cs="仿宋"/>
          <w:bCs/>
          <w:color w:val="auto"/>
          <w:sz w:val="24"/>
          <w:highlight w:val="none"/>
        </w:rPr>
        <w:br w:type="page"/>
      </w:r>
      <w:bookmarkStart w:id="40" w:name="_Toc13964"/>
      <w:bookmarkStart w:id="41" w:name="_Toc20007_WPSOffice_Level1"/>
      <w:bookmarkStart w:id="42" w:name="_Toc15501_WPSOffice_Level1"/>
      <w:bookmarkStart w:id="43" w:name="_Toc8145_WPSOffice_Level1"/>
      <w:bookmarkStart w:id="44" w:name="_Toc2777_WPSOffice_Level1"/>
      <w:bookmarkStart w:id="45" w:name="_Toc21330"/>
      <w:bookmarkStart w:id="46" w:name="_Toc14685_WPSOffice_Level1"/>
      <w:bookmarkStart w:id="47" w:name="_Toc1385_WPSOffice_Level1"/>
      <w:bookmarkStart w:id="48" w:name="_Toc256000059"/>
      <w:bookmarkStart w:id="49" w:name="_Toc4441"/>
      <w:r>
        <w:rPr>
          <w:rFonts w:hint="eastAsia" w:ascii="仿宋" w:hAnsi="仿宋" w:eastAsia="仿宋" w:cs="仿宋"/>
          <w:color w:val="auto"/>
          <w:highlight w:val="none"/>
          <w:lang w:eastAsia="zh-CN"/>
        </w:rPr>
        <w:t>一</w:t>
      </w:r>
      <w:r>
        <w:rPr>
          <w:rFonts w:hint="eastAsia" w:ascii="仿宋" w:hAnsi="仿宋" w:eastAsia="仿宋" w:cs="仿宋"/>
          <w:color w:val="auto"/>
          <w:highlight w:val="none"/>
        </w:rPr>
        <w:t>、资格证明文件</w:t>
      </w:r>
      <w:bookmarkEnd w:id="40"/>
      <w:bookmarkEnd w:id="41"/>
      <w:bookmarkEnd w:id="42"/>
      <w:bookmarkEnd w:id="43"/>
      <w:bookmarkEnd w:id="44"/>
      <w:bookmarkEnd w:id="45"/>
      <w:bookmarkEnd w:id="46"/>
      <w:bookmarkEnd w:id="47"/>
    </w:p>
    <w:bookmarkEnd w:id="48"/>
    <w:p w14:paraId="57AD8D4F">
      <w:pPr>
        <w:pStyle w:val="102"/>
        <w:jc w:val="center"/>
        <w:rPr>
          <w:rFonts w:hint="eastAsia" w:ascii="仿宋" w:hAnsi="仿宋" w:eastAsia="仿宋" w:cs="仿宋"/>
          <w:color w:val="auto"/>
          <w:highlight w:val="none"/>
          <w:lang w:eastAsia="zh-CN"/>
        </w:rPr>
      </w:pPr>
      <w:bookmarkStart w:id="50" w:name="_Toc256000045"/>
      <w:bookmarkStart w:id="51" w:name="_Toc256000058"/>
      <w:r>
        <w:rPr>
          <w:rFonts w:hint="eastAsia" w:ascii="仿宋" w:hAnsi="仿宋" w:eastAsia="仿宋" w:cs="仿宋"/>
          <w:color w:val="auto"/>
          <w:highlight w:val="none"/>
        </w:rPr>
        <w:t>供应商基本情况表</w:t>
      </w:r>
      <w:bookmarkEnd w:id="50"/>
      <w:bookmarkEnd w:id="51"/>
    </w:p>
    <w:p w14:paraId="5961F028">
      <w:pPr>
        <w:pStyle w:val="103"/>
        <w:tabs>
          <w:tab w:val="left" w:pos="5570"/>
        </w:tabs>
        <w:spacing w:before="123"/>
        <w:ind w:left="217"/>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rPr>
        <w:tab/>
      </w:r>
    </w:p>
    <w:p w14:paraId="5612D3FC">
      <w:pPr>
        <w:pStyle w:val="103"/>
        <w:tabs>
          <w:tab w:val="left" w:pos="5570"/>
        </w:tabs>
        <w:spacing w:before="123"/>
        <w:ind w:left="217"/>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p w14:paraId="244D0651">
      <w:pPr>
        <w:pStyle w:val="104"/>
        <w:spacing w:before="9"/>
        <w:rPr>
          <w:rFonts w:hint="eastAsia" w:ascii="仿宋" w:hAnsi="仿宋" w:eastAsia="仿宋" w:cs="仿宋"/>
          <w:color w:val="auto"/>
          <w:sz w:val="24"/>
          <w:highlight w:val="none"/>
        </w:rPr>
      </w:pPr>
    </w:p>
    <w:tbl>
      <w:tblPr>
        <w:tblStyle w:val="33"/>
        <w:tblW w:w="0" w:type="auto"/>
        <w:jc w:val="center"/>
        <w:tblLayout w:type="fixed"/>
        <w:tblCellMar>
          <w:top w:w="0" w:type="dxa"/>
          <w:left w:w="0" w:type="dxa"/>
          <w:bottom w:w="0" w:type="dxa"/>
          <w:right w:w="0" w:type="dxa"/>
        </w:tblCellMar>
      </w:tblPr>
      <w:tblGrid>
        <w:gridCol w:w="1983"/>
        <w:gridCol w:w="3572"/>
        <w:gridCol w:w="3550"/>
      </w:tblGrid>
      <w:tr w14:paraId="331E6424">
        <w:tblPrEx>
          <w:tblCellMar>
            <w:top w:w="0" w:type="dxa"/>
            <w:left w:w="0" w:type="dxa"/>
            <w:bottom w:w="0" w:type="dxa"/>
            <w:right w:w="0" w:type="dxa"/>
          </w:tblCellMar>
        </w:tblPrEx>
        <w:trPr>
          <w:trHeight w:val="520" w:hRule="exact"/>
          <w:jc w:val="center"/>
        </w:trPr>
        <w:tc>
          <w:tcPr>
            <w:tcW w:w="1983" w:type="dxa"/>
            <w:tcBorders>
              <w:top w:val="single" w:color="000000" w:sz="4" w:space="0"/>
              <w:left w:val="single" w:color="000000" w:sz="4" w:space="0"/>
              <w:bottom w:val="single" w:color="000000" w:sz="4" w:space="0"/>
              <w:right w:val="single" w:color="000000" w:sz="4" w:space="0"/>
            </w:tcBorders>
            <w:noWrap w:val="0"/>
            <w:vAlign w:val="top"/>
          </w:tcPr>
          <w:p w14:paraId="5AC6CE2C">
            <w:pPr>
              <w:pStyle w:val="105"/>
              <w:spacing w:before="84"/>
              <w:ind w:left="587"/>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供应商名称</w:t>
            </w:r>
          </w:p>
        </w:tc>
        <w:tc>
          <w:tcPr>
            <w:tcW w:w="7122" w:type="dxa"/>
            <w:gridSpan w:val="2"/>
            <w:tcBorders>
              <w:top w:val="single" w:color="000000" w:sz="4" w:space="0"/>
              <w:left w:val="single" w:color="000000" w:sz="4" w:space="0"/>
              <w:bottom w:val="single" w:color="000000" w:sz="4" w:space="0"/>
              <w:right w:val="single" w:color="000000" w:sz="4" w:space="0"/>
            </w:tcBorders>
            <w:noWrap w:val="0"/>
            <w:vAlign w:val="top"/>
          </w:tcPr>
          <w:p w14:paraId="21674155">
            <w:pPr>
              <w:pStyle w:val="104"/>
              <w:rPr>
                <w:rFonts w:hint="eastAsia" w:ascii="仿宋" w:hAnsi="仿宋" w:eastAsia="仿宋" w:cs="仿宋"/>
                <w:color w:val="auto"/>
                <w:szCs w:val="21"/>
                <w:highlight w:val="none"/>
              </w:rPr>
            </w:pPr>
          </w:p>
        </w:tc>
      </w:tr>
      <w:tr w14:paraId="372FBCDB">
        <w:tblPrEx>
          <w:tblCellMar>
            <w:top w:w="0" w:type="dxa"/>
            <w:left w:w="0" w:type="dxa"/>
            <w:bottom w:w="0" w:type="dxa"/>
            <w:right w:w="0" w:type="dxa"/>
          </w:tblCellMar>
        </w:tblPrEx>
        <w:trPr>
          <w:trHeight w:val="521" w:hRule="exact"/>
          <w:jc w:val="center"/>
        </w:trPr>
        <w:tc>
          <w:tcPr>
            <w:tcW w:w="1983" w:type="dxa"/>
            <w:tcBorders>
              <w:top w:val="single" w:color="000000" w:sz="4" w:space="0"/>
              <w:left w:val="single" w:color="000000" w:sz="4" w:space="0"/>
              <w:bottom w:val="single" w:color="000000" w:sz="4" w:space="0"/>
              <w:right w:val="single" w:color="000000" w:sz="4" w:space="0"/>
            </w:tcBorders>
            <w:noWrap w:val="0"/>
            <w:vAlign w:val="top"/>
          </w:tcPr>
          <w:p w14:paraId="3CEAD785">
            <w:pPr>
              <w:pStyle w:val="105"/>
              <w:spacing w:before="86"/>
              <w:ind w:left="692"/>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联系地址</w:t>
            </w:r>
          </w:p>
        </w:tc>
        <w:tc>
          <w:tcPr>
            <w:tcW w:w="7122" w:type="dxa"/>
            <w:gridSpan w:val="2"/>
            <w:tcBorders>
              <w:top w:val="single" w:color="000000" w:sz="4" w:space="0"/>
              <w:left w:val="single" w:color="000000" w:sz="4" w:space="0"/>
              <w:bottom w:val="single" w:color="000000" w:sz="4" w:space="0"/>
              <w:right w:val="single" w:color="000000" w:sz="4" w:space="0"/>
            </w:tcBorders>
            <w:noWrap w:val="0"/>
            <w:vAlign w:val="top"/>
          </w:tcPr>
          <w:p w14:paraId="08EB1034">
            <w:pPr>
              <w:pStyle w:val="104"/>
              <w:rPr>
                <w:rFonts w:hint="eastAsia" w:ascii="仿宋" w:hAnsi="仿宋" w:eastAsia="仿宋" w:cs="仿宋"/>
                <w:color w:val="auto"/>
                <w:szCs w:val="21"/>
                <w:highlight w:val="none"/>
              </w:rPr>
            </w:pPr>
          </w:p>
        </w:tc>
      </w:tr>
      <w:tr w14:paraId="1A65F452">
        <w:tblPrEx>
          <w:tblCellMar>
            <w:top w:w="0" w:type="dxa"/>
            <w:left w:w="0" w:type="dxa"/>
            <w:bottom w:w="0" w:type="dxa"/>
            <w:right w:w="0" w:type="dxa"/>
          </w:tblCellMar>
        </w:tblPrEx>
        <w:trPr>
          <w:trHeight w:val="485" w:hRule="exact"/>
          <w:jc w:val="center"/>
        </w:trPr>
        <w:tc>
          <w:tcPr>
            <w:tcW w:w="1983" w:type="dxa"/>
            <w:tcBorders>
              <w:top w:val="single" w:color="000000" w:sz="4" w:space="0"/>
              <w:left w:val="single" w:color="000000" w:sz="4" w:space="0"/>
              <w:bottom w:val="single" w:color="000000" w:sz="4" w:space="0"/>
              <w:right w:val="single" w:color="000000" w:sz="4" w:space="0"/>
            </w:tcBorders>
            <w:noWrap w:val="0"/>
            <w:vAlign w:val="top"/>
          </w:tcPr>
          <w:p w14:paraId="4F926B41">
            <w:pPr>
              <w:pStyle w:val="105"/>
              <w:spacing w:before="84"/>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供应商从业人员数量</w:t>
            </w:r>
          </w:p>
        </w:tc>
        <w:tc>
          <w:tcPr>
            <w:tcW w:w="7122" w:type="dxa"/>
            <w:gridSpan w:val="2"/>
            <w:tcBorders>
              <w:top w:val="single" w:color="000000" w:sz="4" w:space="0"/>
              <w:left w:val="single" w:color="000000" w:sz="4" w:space="0"/>
              <w:bottom w:val="single" w:color="000000" w:sz="4" w:space="0"/>
              <w:right w:val="single" w:color="000000" w:sz="4" w:space="0"/>
            </w:tcBorders>
            <w:noWrap w:val="0"/>
            <w:vAlign w:val="top"/>
          </w:tcPr>
          <w:p w14:paraId="3BF59D7F">
            <w:pPr>
              <w:pStyle w:val="104"/>
              <w:rPr>
                <w:rFonts w:hint="eastAsia" w:ascii="仿宋" w:hAnsi="仿宋" w:eastAsia="仿宋" w:cs="仿宋"/>
                <w:color w:val="auto"/>
                <w:szCs w:val="21"/>
                <w:highlight w:val="none"/>
              </w:rPr>
            </w:pPr>
          </w:p>
        </w:tc>
      </w:tr>
      <w:tr w14:paraId="2D7B984A">
        <w:tblPrEx>
          <w:tblCellMar>
            <w:top w:w="0" w:type="dxa"/>
            <w:left w:w="0" w:type="dxa"/>
            <w:bottom w:w="0" w:type="dxa"/>
            <w:right w:w="0" w:type="dxa"/>
          </w:tblCellMar>
        </w:tblPrEx>
        <w:trPr>
          <w:trHeight w:val="520" w:hRule="exact"/>
          <w:jc w:val="center"/>
        </w:trPr>
        <w:tc>
          <w:tcPr>
            <w:tcW w:w="1983" w:type="dxa"/>
            <w:tcBorders>
              <w:top w:val="single" w:color="000000" w:sz="4" w:space="0"/>
              <w:left w:val="single" w:color="000000" w:sz="4" w:space="0"/>
              <w:bottom w:val="single" w:color="000000" w:sz="4" w:space="0"/>
              <w:right w:val="single" w:color="000000" w:sz="4" w:space="0"/>
            </w:tcBorders>
            <w:noWrap w:val="0"/>
            <w:vAlign w:val="top"/>
          </w:tcPr>
          <w:p w14:paraId="205210D4">
            <w:pPr>
              <w:pStyle w:val="105"/>
              <w:spacing w:before="84"/>
              <w:ind w:left="587"/>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法定代表人</w:t>
            </w:r>
          </w:p>
        </w:tc>
        <w:tc>
          <w:tcPr>
            <w:tcW w:w="3572" w:type="dxa"/>
            <w:tcBorders>
              <w:top w:val="single" w:color="000000" w:sz="4" w:space="0"/>
              <w:left w:val="single" w:color="000000" w:sz="4" w:space="0"/>
              <w:bottom w:val="single" w:color="000000" w:sz="4" w:space="0"/>
              <w:right w:val="nil"/>
            </w:tcBorders>
            <w:noWrap w:val="0"/>
            <w:vAlign w:val="top"/>
          </w:tcPr>
          <w:p w14:paraId="0864807C">
            <w:pPr>
              <w:pStyle w:val="105"/>
              <w:spacing w:before="84"/>
              <w:ind w:left="101"/>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姓名：职务：职称：</w:t>
            </w:r>
          </w:p>
        </w:tc>
        <w:tc>
          <w:tcPr>
            <w:tcW w:w="3550" w:type="dxa"/>
            <w:tcBorders>
              <w:top w:val="single" w:color="000000" w:sz="4" w:space="0"/>
              <w:left w:val="nil"/>
              <w:bottom w:val="single" w:color="000000" w:sz="4" w:space="0"/>
              <w:right w:val="single" w:color="000000" w:sz="4" w:space="0"/>
            </w:tcBorders>
            <w:noWrap w:val="0"/>
            <w:vAlign w:val="top"/>
          </w:tcPr>
          <w:p w14:paraId="46F51B1F">
            <w:pPr>
              <w:pStyle w:val="105"/>
              <w:spacing w:before="84"/>
              <w:ind w:left="42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电话：</w:t>
            </w:r>
          </w:p>
        </w:tc>
      </w:tr>
      <w:tr w14:paraId="333A4FA9">
        <w:tblPrEx>
          <w:tblCellMar>
            <w:top w:w="0" w:type="dxa"/>
            <w:left w:w="0" w:type="dxa"/>
            <w:bottom w:w="0" w:type="dxa"/>
            <w:right w:w="0" w:type="dxa"/>
          </w:tblCellMar>
        </w:tblPrEx>
        <w:trPr>
          <w:trHeight w:val="521" w:hRule="exact"/>
          <w:jc w:val="center"/>
        </w:trPr>
        <w:tc>
          <w:tcPr>
            <w:tcW w:w="1983" w:type="dxa"/>
            <w:tcBorders>
              <w:top w:val="single" w:color="000000" w:sz="4" w:space="0"/>
              <w:left w:val="single" w:color="000000" w:sz="4" w:space="0"/>
              <w:bottom w:val="single" w:color="000000" w:sz="4" w:space="0"/>
              <w:right w:val="single" w:color="000000" w:sz="4" w:space="0"/>
            </w:tcBorders>
            <w:noWrap w:val="0"/>
            <w:vAlign w:val="top"/>
          </w:tcPr>
          <w:p w14:paraId="029486B9">
            <w:pPr>
              <w:pStyle w:val="105"/>
              <w:spacing w:before="86"/>
              <w:ind w:left="587"/>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负责人</w:t>
            </w:r>
          </w:p>
        </w:tc>
        <w:tc>
          <w:tcPr>
            <w:tcW w:w="3572" w:type="dxa"/>
            <w:tcBorders>
              <w:top w:val="single" w:color="000000" w:sz="4" w:space="0"/>
              <w:left w:val="single" w:color="000000" w:sz="4" w:space="0"/>
              <w:bottom w:val="single" w:color="000000" w:sz="4" w:space="0"/>
              <w:right w:val="nil"/>
            </w:tcBorders>
            <w:noWrap w:val="0"/>
            <w:vAlign w:val="top"/>
          </w:tcPr>
          <w:p w14:paraId="586477E9">
            <w:pPr>
              <w:pStyle w:val="105"/>
              <w:spacing w:before="86"/>
              <w:ind w:left="101"/>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姓名：职务：职称：</w:t>
            </w:r>
          </w:p>
        </w:tc>
        <w:tc>
          <w:tcPr>
            <w:tcW w:w="3550" w:type="dxa"/>
            <w:tcBorders>
              <w:top w:val="single" w:color="000000" w:sz="4" w:space="0"/>
              <w:left w:val="nil"/>
              <w:bottom w:val="single" w:color="000000" w:sz="4" w:space="0"/>
              <w:right w:val="single" w:color="000000" w:sz="4" w:space="0"/>
            </w:tcBorders>
            <w:noWrap w:val="0"/>
            <w:vAlign w:val="top"/>
          </w:tcPr>
          <w:p w14:paraId="58C7F8C2">
            <w:pPr>
              <w:pStyle w:val="105"/>
              <w:spacing w:before="86"/>
              <w:ind w:left="42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电话：</w:t>
            </w:r>
          </w:p>
        </w:tc>
      </w:tr>
      <w:tr w14:paraId="3574B657">
        <w:tblPrEx>
          <w:tblCellMar>
            <w:top w:w="0" w:type="dxa"/>
            <w:left w:w="0" w:type="dxa"/>
            <w:bottom w:w="0" w:type="dxa"/>
            <w:right w:w="0" w:type="dxa"/>
          </w:tblCellMar>
        </w:tblPrEx>
        <w:trPr>
          <w:trHeight w:val="727" w:hRule="exact"/>
          <w:jc w:val="center"/>
        </w:trPr>
        <w:tc>
          <w:tcPr>
            <w:tcW w:w="1983" w:type="dxa"/>
            <w:tcBorders>
              <w:top w:val="single" w:color="000000" w:sz="4" w:space="0"/>
              <w:left w:val="single" w:color="000000" w:sz="4" w:space="0"/>
              <w:bottom w:val="single" w:color="000000" w:sz="4" w:space="0"/>
              <w:right w:val="single" w:color="000000" w:sz="4" w:space="0"/>
            </w:tcBorders>
            <w:noWrap w:val="0"/>
            <w:vAlign w:val="top"/>
          </w:tcPr>
          <w:p w14:paraId="6D326296">
            <w:pPr>
              <w:pStyle w:val="105"/>
              <w:spacing w:before="5"/>
              <w:jc w:val="both"/>
              <w:rPr>
                <w:rFonts w:hint="eastAsia" w:ascii="仿宋" w:hAnsi="仿宋" w:eastAsia="仿宋" w:cs="仿宋"/>
                <w:color w:val="auto"/>
                <w:kern w:val="2"/>
                <w:sz w:val="21"/>
                <w:szCs w:val="21"/>
                <w:highlight w:val="none"/>
              </w:rPr>
            </w:pPr>
          </w:p>
          <w:p w14:paraId="71446588">
            <w:pPr>
              <w:pStyle w:val="105"/>
              <w:ind w:left="692"/>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联系方式</w:t>
            </w:r>
          </w:p>
        </w:tc>
        <w:tc>
          <w:tcPr>
            <w:tcW w:w="7122" w:type="dxa"/>
            <w:gridSpan w:val="2"/>
            <w:tcBorders>
              <w:top w:val="single" w:color="000000" w:sz="4" w:space="0"/>
              <w:left w:val="single" w:color="000000" w:sz="4" w:space="0"/>
              <w:bottom w:val="single" w:color="000000" w:sz="4" w:space="0"/>
              <w:right w:val="single" w:color="000000" w:sz="4" w:space="0"/>
            </w:tcBorders>
            <w:noWrap w:val="0"/>
            <w:vAlign w:val="top"/>
          </w:tcPr>
          <w:p w14:paraId="2D52A4CE">
            <w:pPr>
              <w:pStyle w:val="105"/>
              <w:tabs>
                <w:tab w:val="left" w:pos="3735"/>
              </w:tabs>
              <w:spacing w:before="9"/>
              <w:ind w:left="101"/>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联系人：</w:t>
            </w:r>
            <w:r>
              <w:rPr>
                <w:rFonts w:hint="eastAsia" w:ascii="仿宋" w:hAnsi="仿宋" w:eastAsia="仿宋" w:cs="仿宋"/>
                <w:color w:val="auto"/>
                <w:kern w:val="2"/>
                <w:sz w:val="21"/>
                <w:szCs w:val="21"/>
                <w:highlight w:val="none"/>
                <w:lang w:eastAsia="zh-CN"/>
              </w:rPr>
              <w:tab/>
            </w:r>
            <w:r>
              <w:rPr>
                <w:rFonts w:hint="eastAsia" w:ascii="仿宋" w:hAnsi="仿宋" w:eastAsia="仿宋" w:cs="仿宋"/>
                <w:color w:val="auto"/>
                <w:kern w:val="2"/>
                <w:sz w:val="21"/>
                <w:szCs w:val="21"/>
                <w:highlight w:val="none"/>
                <w:lang w:eastAsia="zh-CN"/>
              </w:rPr>
              <w:t>电话：</w:t>
            </w:r>
          </w:p>
          <w:p w14:paraId="30345EB4">
            <w:pPr>
              <w:pStyle w:val="105"/>
              <w:tabs>
                <w:tab w:val="left" w:pos="3673"/>
              </w:tabs>
              <w:spacing w:before="84"/>
              <w:ind w:left="102"/>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传真：邮</w:t>
            </w:r>
            <w:r>
              <w:rPr>
                <w:rFonts w:hint="eastAsia" w:ascii="仿宋" w:hAnsi="仿宋" w:eastAsia="仿宋" w:cs="仿宋"/>
                <w:color w:val="auto"/>
                <w:kern w:val="2"/>
                <w:sz w:val="21"/>
                <w:szCs w:val="21"/>
                <w:highlight w:val="none"/>
                <w:lang w:eastAsia="zh-CN"/>
              </w:rPr>
              <w:tab/>
            </w:r>
            <w:r>
              <w:rPr>
                <w:rFonts w:hint="eastAsia" w:ascii="仿宋" w:hAnsi="仿宋" w:eastAsia="仿宋" w:cs="仿宋"/>
                <w:color w:val="auto"/>
                <w:kern w:val="2"/>
                <w:sz w:val="21"/>
                <w:szCs w:val="21"/>
                <w:highlight w:val="none"/>
                <w:lang w:eastAsia="zh-CN"/>
              </w:rPr>
              <w:t>箱：</w:t>
            </w:r>
          </w:p>
        </w:tc>
      </w:tr>
      <w:tr w14:paraId="71AEA8DC">
        <w:tblPrEx>
          <w:tblCellMar>
            <w:top w:w="0" w:type="dxa"/>
            <w:left w:w="0" w:type="dxa"/>
            <w:bottom w:w="0" w:type="dxa"/>
            <w:right w:w="0" w:type="dxa"/>
          </w:tblCellMar>
        </w:tblPrEx>
        <w:trPr>
          <w:trHeight w:val="673" w:hRule="exact"/>
          <w:jc w:val="center"/>
        </w:trPr>
        <w:tc>
          <w:tcPr>
            <w:tcW w:w="1983" w:type="dxa"/>
            <w:tcBorders>
              <w:top w:val="single" w:color="000000" w:sz="4" w:space="0"/>
              <w:left w:val="single" w:color="000000" w:sz="4" w:space="0"/>
              <w:bottom w:val="single" w:color="000000" w:sz="4" w:space="0"/>
              <w:right w:val="single" w:color="000000" w:sz="4" w:space="0"/>
            </w:tcBorders>
            <w:noWrap w:val="0"/>
            <w:vAlign w:val="top"/>
          </w:tcPr>
          <w:p w14:paraId="48C0A53F">
            <w:pPr>
              <w:pStyle w:val="105"/>
              <w:spacing w:before="84"/>
              <w:ind w:left="692"/>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基本账户</w:t>
            </w:r>
          </w:p>
        </w:tc>
        <w:tc>
          <w:tcPr>
            <w:tcW w:w="3572" w:type="dxa"/>
            <w:tcBorders>
              <w:top w:val="single" w:color="000000" w:sz="4" w:space="0"/>
              <w:left w:val="single" w:color="000000" w:sz="4" w:space="0"/>
              <w:bottom w:val="single" w:color="000000" w:sz="4" w:space="0"/>
              <w:right w:val="nil"/>
            </w:tcBorders>
            <w:noWrap w:val="0"/>
            <w:vAlign w:val="top"/>
          </w:tcPr>
          <w:p w14:paraId="07AF4E9A">
            <w:pPr>
              <w:pStyle w:val="105"/>
              <w:spacing w:before="84"/>
              <w:ind w:left="3041" w:leftChars="48" w:hanging="2940" w:hangingChars="1400"/>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rPr>
              <w:t>名称：</w:t>
            </w:r>
          </w:p>
        </w:tc>
        <w:tc>
          <w:tcPr>
            <w:tcW w:w="3550" w:type="dxa"/>
            <w:tcBorders>
              <w:top w:val="single" w:color="000000" w:sz="4" w:space="0"/>
              <w:left w:val="nil"/>
              <w:bottom w:val="single" w:color="000000" w:sz="4" w:space="0"/>
              <w:right w:val="single" w:color="000000" w:sz="4" w:space="0"/>
            </w:tcBorders>
            <w:noWrap w:val="0"/>
            <w:vAlign w:val="top"/>
          </w:tcPr>
          <w:p w14:paraId="1BABB4BF">
            <w:pPr>
              <w:pStyle w:val="105"/>
              <w:spacing w:before="84"/>
              <w:ind w:left="105" w:firstLine="210" w:firstLineChars="100"/>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账号：</w:t>
            </w:r>
          </w:p>
        </w:tc>
      </w:tr>
      <w:tr w14:paraId="15E5380F">
        <w:tblPrEx>
          <w:tblCellMar>
            <w:top w:w="0" w:type="dxa"/>
            <w:left w:w="0" w:type="dxa"/>
            <w:bottom w:w="0" w:type="dxa"/>
            <w:right w:w="0" w:type="dxa"/>
          </w:tblCellMar>
        </w:tblPrEx>
        <w:trPr>
          <w:trHeight w:val="298" w:hRule="exact"/>
          <w:jc w:val="center"/>
        </w:trPr>
        <w:tc>
          <w:tcPr>
            <w:tcW w:w="1983" w:type="dxa"/>
            <w:vMerge w:val="restart"/>
            <w:tcBorders>
              <w:top w:val="single" w:color="000000" w:sz="4" w:space="0"/>
              <w:left w:val="single" w:color="000000" w:sz="4" w:space="0"/>
              <w:bottom w:val="single" w:color="000000" w:sz="4" w:space="0"/>
              <w:right w:val="single" w:color="000000" w:sz="4" w:space="0"/>
            </w:tcBorders>
            <w:noWrap w:val="0"/>
            <w:vAlign w:val="top"/>
          </w:tcPr>
          <w:p w14:paraId="5D75587B">
            <w:pPr>
              <w:pStyle w:val="105"/>
              <w:rPr>
                <w:rFonts w:hint="eastAsia" w:ascii="仿宋" w:hAnsi="仿宋" w:eastAsia="仿宋" w:cs="仿宋"/>
                <w:color w:val="auto"/>
                <w:kern w:val="2"/>
                <w:sz w:val="21"/>
                <w:szCs w:val="21"/>
                <w:highlight w:val="none"/>
              </w:rPr>
            </w:pPr>
          </w:p>
          <w:p w14:paraId="60AE0F82">
            <w:pPr>
              <w:pStyle w:val="105"/>
              <w:rPr>
                <w:rFonts w:hint="eastAsia" w:ascii="仿宋" w:hAnsi="仿宋" w:eastAsia="仿宋" w:cs="仿宋"/>
                <w:color w:val="auto"/>
                <w:kern w:val="2"/>
                <w:sz w:val="21"/>
                <w:szCs w:val="21"/>
                <w:highlight w:val="none"/>
              </w:rPr>
            </w:pPr>
          </w:p>
          <w:p w14:paraId="55710758">
            <w:pPr>
              <w:pStyle w:val="105"/>
              <w:rPr>
                <w:rFonts w:hint="eastAsia" w:ascii="仿宋" w:hAnsi="仿宋" w:eastAsia="仿宋" w:cs="仿宋"/>
                <w:color w:val="auto"/>
                <w:kern w:val="2"/>
                <w:sz w:val="21"/>
                <w:szCs w:val="21"/>
                <w:highlight w:val="none"/>
              </w:rPr>
            </w:pPr>
          </w:p>
          <w:p w14:paraId="3FA94019">
            <w:pPr>
              <w:pStyle w:val="105"/>
              <w:rPr>
                <w:rFonts w:hint="eastAsia" w:ascii="仿宋" w:hAnsi="仿宋" w:eastAsia="仿宋" w:cs="仿宋"/>
                <w:color w:val="auto"/>
                <w:kern w:val="2"/>
                <w:sz w:val="21"/>
                <w:szCs w:val="21"/>
                <w:highlight w:val="none"/>
              </w:rPr>
            </w:pPr>
          </w:p>
          <w:p w14:paraId="04DDF14D">
            <w:pPr>
              <w:pStyle w:val="105"/>
              <w:rPr>
                <w:rFonts w:hint="eastAsia" w:ascii="仿宋" w:hAnsi="仿宋" w:eastAsia="仿宋" w:cs="仿宋"/>
                <w:color w:val="auto"/>
                <w:kern w:val="2"/>
                <w:sz w:val="21"/>
                <w:szCs w:val="21"/>
                <w:highlight w:val="none"/>
              </w:rPr>
            </w:pPr>
          </w:p>
          <w:p w14:paraId="3DF2268B">
            <w:pPr>
              <w:pStyle w:val="105"/>
              <w:spacing w:before="6"/>
              <w:rPr>
                <w:rFonts w:hint="eastAsia" w:ascii="仿宋" w:hAnsi="仿宋" w:eastAsia="仿宋" w:cs="仿宋"/>
                <w:color w:val="auto"/>
                <w:kern w:val="2"/>
                <w:sz w:val="21"/>
                <w:szCs w:val="21"/>
                <w:highlight w:val="none"/>
              </w:rPr>
            </w:pPr>
          </w:p>
          <w:p w14:paraId="1BCC8881">
            <w:pPr>
              <w:pStyle w:val="105"/>
              <w:ind w:left="108"/>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供应商关联情况</w:t>
            </w:r>
          </w:p>
        </w:tc>
        <w:tc>
          <w:tcPr>
            <w:tcW w:w="7122" w:type="dxa"/>
            <w:gridSpan w:val="2"/>
            <w:tcBorders>
              <w:top w:val="single" w:color="000000" w:sz="4" w:space="0"/>
              <w:left w:val="single" w:color="000000" w:sz="4" w:space="0"/>
              <w:bottom w:val="nil"/>
              <w:right w:val="single" w:color="000000" w:sz="4" w:space="0"/>
            </w:tcBorders>
            <w:noWrap w:val="0"/>
            <w:vAlign w:val="top"/>
          </w:tcPr>
          <w:p w14:paraId="4530FDA9">
            <w:pPr>
              <w:pStyle w:val="105"/>
              <w:spacing w:line="242" w:lineRule="exact"/>
              <w:ind w:left="101"/>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1：与我公司单位负责人为同一人的其他单位名称：</w:t>
            </w:r>
          </w:p>
        </w:tc>
      </w:tr>
      <w:tr w14:paraId="3E8484C4">
        <w:tblPrEx>
          <w:tblCellMar>
            <w:top w:w="0" w:type="dxa"/>
            <w:left w:w="0" w:type="dxa"/>
            <w:bottom w:w="0" w:type="dxa"/>
            <w:right w:w="0" w:type="dxa"/>
          </w:tblCellMar>
        </w:tblPrEx>
        <w:trPr>
          <w:trHeight w:val="313"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1479CE">
            <w:pPr>
              <w:widowControl/>
              <w:jc w:val="left"/>
              <w:rPr>
                <w:rFonts w:hint="eastAsia" w:ascii="仿宋" w:hAnsi="仿宋" w:eastAsia="仿宋" w:cs="仿宋"/>
                <w:color w:val="auto"/>
                <w:szCs w:val="21"/>
                <w:highlight w:val="none"/>
              </w:rPr>
            </w:pPr>
          </w:p>
        </w:tc>
        <w:tc>
          <w:tcPr>
            <w:tcW w:w="7122" w:type="dxa"/>
            <w:gridSpan w:val="2"/>
            <w:tcBorders>
              <w:top w:val="nil"/>
              <w:left w:val="single" w:color="000000" w:sz="4" w:space="0"/>
              <w:bottom w:val="nil"/>
              <w:right w:val="single" w:color="000000" w:sz="4" w:space="0"/>
            </w:tcBorders>
            <w:noWrap w:val="0"/>
            <w:vAlign w:val="top"/>
          </w:tcPr>
          <w:p w14:paraId="1400DEF9">
            <w:pPr>
              <w:pStyle w:val="105"/>
              <w:spacing w:line="262" w:lineRule="exact"/>
              <w:ind w:left="101"/>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rPr>
              <w:t>□无；</w:t>
            </w:r>
          </w:p>
        </w:tc>
      </w:tr>
      <w:tr w14:paraId="1A998032">
        <w:tblPrEx>
          <w:tblCellMar>
            <w:top w:w="0" w:type="dxa"/>
            <w:left w:w="0" w:type="dxa"/>
            <w:bottom w:w="0" w:type="dxa"/>
            <w:right w:w="0" w:type="dxa"/>
          </w:tblCellMar>
        </w:tblPrEx>
        <w:trPr>
          <w:trHeight w:val="313"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F4A6E1">
            <w:pPr>
              <w:widowControl/>
              <w:jc w:val="left"/>
              <w:rPr>
                <w:rFonts w:hint="eastAsia" w:ascii="仿宋" w:hAnsi="仿宋" w:eastAsia="仿宋" w:cs="仿宋"/>
                <w:color w:val="auto"/>
                <w:szCs w:val="21"/>
                <w:highlight w:val="none"/>
                <w:lang w:eastAsia="en-US"/>
              </w:rPr>
            </w:pPr>
          </w:p>
        </w:tc>
        <w:tc>
          <w:tcPr>
            <w:tcW w:w="7122" w:type="dxa"/>
            <w:gridSpan w:val="2"/>
            <w:tcBorders>
              <w:top w:val="nil"/>
              <w:left w:val="single" w:color="000000" w:sz="4" w:space="0"/>
              <w:bottom w:val="nil"/>
              <w:right w:val="single" w:color="000000" w:sz="4" w:space="0"/>
            </w:tcBorders>
            <w:noWrap w:val="0"/>
            <w:vAlign w:val="top"/>
          </w:tcPr>
          <w:p w14:paraId="4BFE460C">
            <w:pPr>
              <w:pStyle w:val="105"/>
              <w:spacing w:line="262" w:lineRule="exact"/>
              <w:ind w:left="101"/>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u w:val="single" w:color="000000"/>
              </w:rPr>
              <w:t>□</w:t>
            </w:r>
            <w:r>
              <w:rPr>
                <w:rFonts w:hint="eastAsia" w:ascii="仿宋" w:hAnsi="仿宋" w:eastAsia="仿宋" w:cs="仿宋"/>
                <w:color w:val="auto"/>
                <w:kern w:val="2"/>
                <w:sz w:val="21"/>
                <w:szCs w:val="21"/>
                <w:highlight w:val="none"/>
              </w:rPr>
              <w:t>有：。</w:t>
            </w:r>
          </w:p>
        </w:tc>
      </w:tr>
      <w:tr w14:paraId="5F5C251E">
        <w:tblPrEx>
          <w:tblCellMar>
            <w:top w:w="0" w:type="dxa"/>
            <w:left w:w="0" w:type="dxa"/>
            <w:bottom w:w="0" w:type="dxa"/>
            <w:right w:w="0" w:type="dxa"/>
          </w:tblCellMar>
        </w:tblPrEx>
        <w:trPr>
          <w:trHeight w:val="313"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34AE6C">
            <w:pPr>
              <w:widowControl/>
              <w:jc w:val="left"/>
              <w:rPr>
                <w:rFonts w:hint="eastAsia" w:ascii="仿宋" w:hAnsi="仿宋" w:eastAsia="仿宋" w:cs="仿宋"/>
                <w:color w:val="auto"/>
                <w:szCs w:val="21"/>
                <w:highlight w:val="none"/>
                <w:lang w:eastAsia="en-US"/>
              </w:rPr>
            </w:pPr>
          </w:p>
        </w:tc>
        <w:tc>
          <w:tcPr>
            <w:tcW w:w="7122" w:type="dxa"/>
            <w:gridSpan w:val="2"/>
            <w:tcBorders>
              <w:top w:val="nil"/>
              <w:left w:val="single" w:color="000000" w:sz="4" w:space="0"/>
              <w:bottom w:val="nil"/>
              <w:right w:val="single" w:color="000000" w:sz="4" w:space="0"/>
            </w:tcBorders>
            <w:noWrap w:val="0"/>
            <w:vAlign w:val="top"/>
          </w:tcPr>
          <w:p w14:paraId="385BE8E4">
            <w:pPr>
              <w:pStyle w:val="105"/>
              <w:spacing w:line="262" w:lineRule="exact"/>
              <w:ind w:left="101"/>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2、与我公司存在控股、管理关系的其他单位的名称：</w:t>
            </w:r>
          </w:p>
        </w:tc>
      </w:tr>
      <w:tr w14:paraId="1BAD7547">
        <w:tblPrEx>
          <w:tblCellMar>
            <w:top w:w="0" w:type="dxa"/>
            <w:left w:w="0" w:type="dxa"/>
            <w:bottom w:w="0" w:type="dxa"/>
            <w:right w:w="0" w:type="dxa"/>
          </w:tblCellMar>
        </w:tblPrEx>
        <w:trPr>
          <w:trHeight w:val="313"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FEEBD0">
            <w:pPr>
              <w:widowControl/>
              <w:jc w:val="left"/>
              <w:rPr>
                <w:rFonts w:hint="eastAsia" w:ascii="仿宋" w:hAnsi="仿宋" w:eastAsia="仿宋" w:cs="仿宋"/>
                <w:color w:val="auto"/>
                <w:szCs w:val="21"/>
                <w:highlight w:val="none"/>
              </w:rPr>
            </w:pPr>
          </w:p>
        </w:tc>
        <w:tc>
          <w:tcPr>
            <w:tcW w:w="7122" w:type="dxa"/>
            <w:gridSpan w:val="2"/>
            <w:tcBorders>
              <w:top w:val="nil"/>
              <w:left w:val="single" w:color="000000" w:sz="4" w:space="0"/>
              <w:bottom w:val="nil"/>
              <w:right w:val="single" w:color="000000" w:sz="4" w:space="0"/>
            </w:tcBorders>
            <w:noWrap w:val="0"/>
            <w:vAlign w:val="top"/>
          </w:tcPr>
          <w:p w14:paraId="7CBBF83F">
            <w:pPr>
              <w:pStyle w:val="105"/>
              <w:spacing w:line="262" w:lineRule="exact"/>
              <w:ind w:left="101"/>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rPr>
              <w:t>□无；</w:t>
            </w:r>
          </w:p>
        </w:tc>
      </w:tr>
      <w:tr w14:paraId="13F9E3CD">
        <w:tblPrEx>
          <w:tblCellMar>
            <w:top w:w="0" w:type="dxa"/>
            <w:left w:w="0" w:type="dxa"/>
            <w:bottom w:w="0" w:type="dxa"/>
            <w:right w:w="0" w:type="dxa"/>
          </w:tblCellMar>
        </w:tblPrEx>
        <w:trPr>
          <w:trHeight w:val="335"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1B680E">
            <w:pPr>
              <w:widowControl/>
              <w:jc w:val="left"/>
              <w:rPr>
                <w:rFonts w:hint="eastAsia" w:ascii="仿宋" w:hAnsi="仿宋" w:eastAsia="仿宋" w:cs="仿宋"/>
                <w:color w:val="auto"/>
                <w:szCs w:val="21"/>
                <w:highlight w:val="none"/>
                <w:lang w:eastAsia="en-US"/>
              </w:rPr>
            </w:pPr>
          </w:p>
        </w:tc>
        <w:tc>
          <w:tcPr>
            <w:tcW w:w="7122" w:type="dxa"/>
            <w:gridSpan w:val="2"/>
            <w:tcBorders>
              <w:top w:val="nil"/>
              <w:left w:val="single" w:color="000000" w:sz="4" w:space="0"/>
              <w:bottom w:val="nil"/>
              <w:right w:val="single" w:color="000000" w:sz="4" w:space="0"/>
            </w:tcBorders>
            <w:noWrap w:val="0"/>
            <w:vAlign w:val="top"/>
          </w:tcPr>
          <w:p w14:paraId="30C833A4">
            <w:pPr>
              <w:pStyle w:val="105"/>
              <w:spacing w:line="262" w:lineRule="exact"/>
              <w:ind w:left="101"/>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u w:val="single" w:color="000000"/>
              </w:rPr>
              <w:t>□</w:t>
            </w:r>
            <w:r>
              <w:rPr>
                <w:rFonts w:hint="eastAsia" w:ascii="仿宋" w:hAnsi="仿宋" w:eastAsia="仿宋" w:cs="仿宋"/>
                <w:color w:val="auto"/>
                <w:kern w:val="2"/>
                <w:sz w:val="21"/>
                <w:szCs w:val="21"/>
                <w:highlight w:val="none"/>
              </w:rPr>
              <w:t>有：。</w:t>
            </w:r>
          </w:p>
        </w:tc>
      </w:tr>
      <w:tr w14:paraId="5151CF42">
        <w:tblPrEx>
          <w:tblCellMar>
            <w:top w:w="0" w:type="dxa"/>
            <w:left w:w="0" w:type="dxa"/>
            <w:bottom w:w="0" w:type="dxa"/>
            <w:right w:w="0" w:type="dxa"/>
          </w:tblCellMar>
        </w:tblPrEx>
        <w:trPr>
          <w:trHeight w:val="358"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BF17DD">
            <w:pPr>
              <w:widowControl/>
              <w:jc w:val="left"/>
              <w:rPr>
                <w:rFonts w:hint="eastAsia" w:ascii="仿宋" w:hAnsi="仿宋" w:eastAsia="仿宋" w:cs="仿宋"/>
                <w:color w:val="auto"/>
                <w:szCs w:val="21"/>
                <w:highlight w:val="none"/>
                <w:lang w:eastAsia="en-US"/>
              </w:rPr>
            </w:pPr>
          </w:p>
        </w:tc>
        <w:tc>
          <w:tcPr>
            <w:tcW w:w="7122" w:type="dxa"/>
            <w:gridSpan w:val="2"/>
            <w:tcBorders>
              <w:top w:val="nil"/>
              <w:left w:val="single" w:color="000000" w:sz="4" w:space="0"/>
              <w:bottom w:val="nil"/>
              <w:right w:val="single" w:color="000000" w:sz="4" w:space="0"/>
            </w:tcBorders>
            <w:noWrap w:val="0"/>
            <w:vAlign w:val="top"/>
          </w:tcPr>
          <w:p w14:paraId="10A30F2E">
            <w:pPr>
              <w:pStyle w:val="105"/>
              <w:spacing w:before="8"/>
              <w:ind w:left="101"/>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备注：</w:t>
            </w:r>
          </w:p>
        </w:tc>
      </w:tr>
      <w:tr w14:paraId="5D680E19">
        <w:tblPrEx>
          <w:tblCellMar>
            <w:top w:w="0" w:type="dxa"/>
            <w:left w:w="0" w:type="dxa"/>
            <w:bottom w:w="0" w:type="dxa"/>
            <w:right w:w="0" w:type="dxa"/>
          </w:tblCellMar>
        </w:tblPrEx>
        <w:trPr>
          <w:trHeight w:val="364"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F6342">
            <w:pPr>
              <w:widowControl/>
              <w:jc w:val="left"/>
              <w:rPr>
                <w:rFonts w:hint="eastAsia" w:ascii="仿宋" w:hAnsi="仿宋" w:eastAsia="仿宋" w:cs="仿宋"/>
                <w:color w:val="auto"/>
                <w:szCs w:val="21"/>
                <w:highlight w:val="none"/>
                <w:lang w:eastAsia="en-US"/>
              </w:rPr>
            </w:pPr>
          </w:p>
        </w:tc>
        <w:tc>
          <w:tcPr>
            <w:tcW w:w="7122" w:type="dxa"/>
            <w:gridSpan w:val="2"/>
            <w:tcBorders>
              <w:top w:val="nil"/>
              <w:left w:val="single" w:color="000000" w:sz="4" w:space="0"/>
              <w:bottom w:val="nil"/>
              <w:right w:val="single" w:color="000000" w:sz="4" w:space="0"/>
            </w:tcBorders>
            <w:noWrap w:val="0"/>
            <w:vAlign w:val="top"/>
          </w:tcPr>
          <w:p w14:paraId="0B27EE70">
            <w:pPr>
              <w:pStyle w:val="105"/>
              <w:spacing w:before="9"/>
              <w:ind w:left="101"/>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1、“单位负责人”是指单位法定代表人或者法律、行政法规规定代表</w:t>
            </w:r>
          </w:p>
        </w:tc>
      </w:tr>
      <w:tr w14:paraId="3DB27437">
        <w:tblPrEx>
          <w:tblCellMar>
            <w:top w:w="0" w:type="dxa"/>
            <w:left w:w="0" w:type="dxa"/>
            <w:bottom w:w="0" w:type="dxa"/>
            <w:right w:w="0" w:type="dxa"/>
          </w:tblCellMar>
        </w:tblPrEx>
        <w:trPr>
          <w:trHeight w:val="354"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160403">
            <w:pPr>
              <w:widowControl/>
              <w:jc w:val="left"/>
              <w:rPr>
                <w:rFonts w:hint="eastAsia" w:ascii="仿宋" w:hAnsi="仿宋" w:eastAsia="仿宋" w:cs="仿宋"/>
                <w:color w:val="auto"/>
                <w:szCs w:val="21"/>
                <w:highlight w:val="none"/>
              </w:rPr>
            </w:pPr>
          </w:p>
        </w:tc>
        <w:tc>
          <w:tcPr>
            <w:tcW w:w="7122" w:type="dxa"/>
            <w:gridSpan w:val="2"/>
            <w:tcBorders>
              <w:top w:val="nil"/>
              <w:left w:val="single" w:color="000000" w:sz="4" w:space="0"/>
              <w:bottom w:val="nil"/>
              <w:right w:val="single" w:color="000000" w:sz="4" w:space="0"/>
            </w:tcBorders>
            <w:noWrap w:val="0"/>
            <w:vAlign w:val="top"/>
          </w:tcPr>
          <w:p w14:paraId="6D801DD0">
            <w:pPr>
              <w:pStyle w:val="105"/>
              <w:spacing w:before="4"/>
              <w:ind w:left="101"/>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单位行使职权的主要负责人。</w:t>
            </w:r>
          </w:p>
        </w:tc>
      </w:tr>
      <w:tr w14:paraId="4AE26200">
        <w:tblPrEx>
          <w:tblCellMar>
            <w:top w:w="0" w:type="dxa"/>
            <w:left w:w="0" w:type="dxa"/>
            <w:bottom w:w="0" w:type="dxa"/>
            <w:right w:w="0" w:type="dxa"/>
          </w:tblCellMar>
        </w:tblPrEx>
        <w:trPr>
          <w:trHeight w:val="364"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C2CCD3">
            <w:pPr>
              <w:widowControl/>
              <w:jc w:val="left"/>
              <w:rPr>
                <w:rFonts w:hint="eastAsia" w:ascii="仿宋" w:hAnsi="仿宋" w:eastAsia="仿宋" w:cs="仿宋"/>
                <w:color w:val="auto"/>
                <w:szCs w:val="21"/>
                <w:highlight w:val="none"/>
              </w:rPr>
            </w:pPr>
          </w:p>
        </w:tc>
        <w:tc>
          <w:tcPr>
            <w:tcW w:w="7122" w:type="dxa"/>
            <w:gridSpan w:val="2"/>
            <w:tcBorders>
              <w:top w:val="nil"/>
              <w:left w:val="single" w:color="000000" w:sz="4" w:space="0"/>
              <w:bottom w:val="nil"/>
              <w:right w:val="single" w:color="000000" w:sz="4" w:space="0"/>
            </w:tcBorders>
            <w:noWrap w:val="0"/>
            <w:vAlign w:val="top"/>
          </w:tcPr>
          <w:p w14:paraId="6B8E690F">
            <w:pPr>
              <w:pStyle w:val="105"/>
              <w:spacing w:before="9"/>
              <w:ind w:left="102"/>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2、本条所规定的控股、管理关系仅限于直接控股、直接管理关系，不</w:t>
            </w:r>
          </w:p>
        </w:tc>
      </w:tr>
      <w:tr w14:paraId="6C9FD7D0">
        <w:tblPrEx>
          <w:tblCellMar>
            <w:top w:w="0" w:type="dxa"/>
            <w:left w:w="0" w:type="dxa"/>
            <w:bottom w:w="0" w:type="dxa"/>
            <w:right w:w="0" w:type="dxa"/>
          </w:tblCellMar>
        </w:tblPrEx>
        <w:trPr>
          <w:trHeight w:val="359" w:hRule="atLeast"/>
          <w:jc w:val="center"/>
        </w:trPr>
        <w:tc>
          <w:tcPr>
            <w:tcW w:w="198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695BEC">
            <w:pPr>
              <w:widowControl/>
              <w:jc w:val="left"/>
              <w:rPr>
                <w:rFonts w:hint="eastAsia" w:ascii="仿宋" w:hAnsi="仿宋" w:eastAsia="仿宋" w:cs="仿宋"/>
                <w:color w:val="auto"/>
                <w:szCs w:val="21"/>
                <w:highlight w:val="none"/>
              </w:rPr>
            </w:pPr>
          </w:p>
        </w:tc>
        <w:tc>
          <w:tcPr>
            <w:tcW w:w="7122" w:type="dxa"/>
            <w:gridSpan w:val="2"/>
            <w:tcBorders>
              <w:top w:val="nil"/>
              <w:left w:val="single" w:color="000000" w:sz="4" w:space="0"/>
              <w:bottom w:val="single" w:color="000000" w:sz="4" w:space="0"/>
              <w:right w:val="single" w:color="000000" w:sz="4" w:space="0"/>
            </w:tcBorders>
            <w:noWrap w:val="0"/>
            <w:vAlign w:val="top"/>
          </w:tcPr>
          <w:p w14:paraId="7AC9BD6F">
            <w:pPr>
              <w:pStyle w:val="105"/>
              <w:spacing w:before="4"/>
              <w:ind w:left="102"/>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kern w:val="2"/>
                <w:sz w:val="21"/>
                <w:szCs w:val="21"/>
                <w:highlight w:val="none"/>
                <w:lang w:eastAsia="zh-CN"/>
              </w:rPr>
              <w:t>包括间接的控股或管理关系。</w:t>
            </w:r>
          </w:p>
        </w:tc>
      </w:tr>
    </w:tbl>
    <w:p w14:paraId="65F14986">
      <w:pPr>
        <w:pStyle w:val="103"/>
        <w:spacing w:before="35"/>
        <w:ind w:left="21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供应商名称[电子章]：</w:t>
      </w:r>
    </w:p>
    <w:p w14:paraId="4BB17E2D">
      <w:pPr>
        <w:pStyle w:val="103"/>
        <w:spacing w:before="35"/>
        <w:ind w:left="21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法定代表人或其委托代理人（签字或电子签章）：</w:t>
      </w:r>
    </w:p>
    <w:p w14:paraId="2F12777E">
      <w:pPr>
        <w:pStyle w:val="103"/>
        <w:spacing w:before="35"/>
        <w:ind w:left="21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日期：</w:t>
      </w:r>
    </w:p>
    <w:p w14:paraId="62082E81">
      <w:pPr>
        <w:spacing w:line="460" w:lineRule="atLeast"/>
        <w:ind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br w:type="page"/>
      </w:r>
      <w:r>
        <w:rPr>
          <w:rFonts w:hint="eastAsia" w:ascii="仿宋" w:hAnsi="仿宋" w:eastAsia="仿宋" w:cs="仿宋"/>
          <w:color w:val="auto"/>
          <w:sz w:val="24"/>
          <w:szCs w:val="24"/>
          <w:highlight w:val="none"/>
          <w:lang w:val="en-US" w:eastAsia="zh-CN"/>
        </w:rPr>
        <w:t>证明资料：</w:t>
      </w:r>
    </w:p>
    <w:p w14:paraId="69C7CAF5">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1）具有独立承担民事责任的能力；（</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，提供在中华人民共和国境内注册</w:t>
      </w:r>
    </w:p>
    <w:p w14:paraId="4EA8FC18">
      <w:pPr>
        <w:spacing w:line="400" w:lineRule="atLeast"/>
        <w:ind w:left="72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的法人或其他组织的营业执照或事业单位法人证书或社会团体法人登记证</w:t>
      </w:r>
      <w:r>
        <w:rPr>
          <w:rFonts w:hint="eastAsia" w:ascii="仿宋" w:hAnsi="仿宋" w:eastAsia="仿宋" w:cs="仿宋"/>
          <w:color w:val="auto"/>
          <w:kern w:val="0"/>
          <w:sz w:val="24"/>
          <w:szCs w:val="24"/>
          <w:highlight w:val="none"/>
          <w:lang w:val="en-US" w:eastAsia="zh-CN"/>
        </w:rPr>
        <w:t>原件</w:t>
      </w:r>
    </w:p>
    <w:p w14:paraId="1D0F52BC">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彩色清晰</w:t>
      </w:r>
      <w:r>
        <w:rPr>
          <w:rFonts w:hint="eastAsia" w:ascii="仿宋" w:hAnsi="仿宋" w:eastAsia="仿宋" w:cs="仿宋"/>
          <w:color w:val="auto"/>
          <w:kern w:val="0"/>
          <w:sz w:val="24"/>
          <w:szCs w:val="24"/>
          <w:highlight w:val="none"/>
        </w:rPr>
        <w:t>扫描件。）</w:t>
      </w:r>
    </w:p>
    <w:p w14:paraId="69F9F979">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2）有依法缴纳税收和社会保障资金的良好记录；（</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，提供至本项目</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截止时间前一年内任意1个月缴纳税收凭据证明材料</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扫描件；如依法免税的，应提供相应文件证明；提供至本项目</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截止时间前一年内任意1个月缴纳社会保险的凭据证明材料</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扫描件；如依法不需要缴纳社会保障资金的，应提供相应文件证明。）</w:t>
      </w:r>
    </w:p>
    <w:p w14:paraId="22DFB37F">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）具有良好的商业信誉和健全的财务会计制度；【</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，若</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成立超过</w:t>
      </w:r>
    </w:p>
    <w:p w14:paraId="61BEC7B9">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一年需提供2023年、2024年度任意一年的财务状况报表或经第三方审计出具的</w:t>
      </w:r>
    </w:p>
    <w:p w14:paraId="5795F78C">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审计报告</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扫描件并加盖公章，</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成立不足一年（含一年）需提</w:t>
      </w:r>
    </w:p>
    <w:p w14:paraId="0881B92E">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供近三个月内任意一个月的财务报告</w:t>
      </w: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扫描件并加盖公章（需包含资</w:t>
      </w:r>
    </w:p>
    <w:p w14:paraId="06C7A9B0">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产负债表、现金流量表、利润表）或近三个月内任意一个月的银行资信证明材料</w:t>
      </w:r>
    </w:p>
    <w:p w14:paraId="6619C2CE">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原件彩色清晰</w:t>
      </w:r>
      <w:r>
        <w:rPr>
          <w:rFonts w:hint="eastAsia" w:ascii="仿宋" w:hAnsi="仿宋" w:eastAsia="仿宋" w:cs="仿宋"/>
          <w:color w:val="auto"/>
          <w:kern w:val="0"/>
          <w:sz w:val="24"/>
          <w:szCs w:val="24"/>
          <w:highlight w:val="none"/>
        </w:rPr>
        <w:t>扫描件并加盖公章；】</w:t>
      </w:r>
    </w:p>
    <w:p w14:paraId="44198965">
      <w:pPr>
        <w:spacing w:line="400" w:lineRule="atLeast"/>
        <w:ind w:left="0" w:leftChars="0" w:firstLine="0" w:firstLineChars="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4）缴纳社会保障资金证明：提供社保机构出具的近三月内任意一月的社保缴纳证明，当月新成立公司无需提供；</w:t>
      </w:r>
    </w:p>
    <w:p w14:paraId="741F2950">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）拥有一定的技术支持和后续服务能力；（</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出具承诺函，承诺满足要求，加盖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公章。）</w:t>
      </w:r>
    </w:p>
    <w:p w14:paraId="794104AA">
      <w:pPr>
        <w:spacing w:line="400" w:lineRule="atLeast"/>
        <w:ind w:left="0" w:leftChars="0" w:firstLine="0" w:firstLineChars="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）参加采购活动前3年内，在经营活动中没有重大违法记录；（</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供应</w:t>
      </w:r>
    </w:p>
    <w:p w14:paraId="18C0F7C8">
      <w:pPr>
        <w:spacing w:line="400" w:lineRule="atLeast"/>
        <w:ind w:left="0" w:leftChars="0"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商</w:t>
      </w:r>
      <w:r>
        <w:rPr>
          <w:rFonts w:hint="eastAsia" w:ascii="仿宋" w:hAnsi="仿宋" w:eastAsia="仿宋" w:cs="仿宋"/>
          <w:color w:val="auto"/>
          <w:kern w:val="0"/>
          <w:sz w:val="24"/>
          <w:szCs w:val="24"/>
          <w:highlight w:val="none"/>
        </w:rPr>
        <w:t>出具承诺函，加盖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公章。）</w:t>
      </w:r>
    </w:p>
    <w:p w14:paraId="132FB93E">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注：重大违法记录，是指</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因违法经营受到刑事处罚或者责令停产停业、吊</w:t>
      </w:r>
    </w:p>
    <w:p w14:paraId="75BC047E">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销许可证或者执照、较大数额罚款等行政处罚。（较大数额罚款按照发出行政处</w:t>
      </w:r>
    </w:p>
    <w:p w14:paraId="7D507E72">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罚决定书部门所在省级政府，或实行垂直领导的国务院有关行政主管部门制定的</w:t>
      </w:r>
    </w:p>
    <w:p w14:paraId="313AFB70">
      <w:pPr>
        <w:spacing w:line="400" w:lineRule="atLeast"/>
        <w:ind w:left="72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较大数额罚款标准，或罚款决定之前需要举行听证会的金额标准来认定。）</w:t>
      </w:r>
    </w:p>
    <w:p w14:paraId="2D402BB7">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SA"/>
        </w:rPr>
        <w:t>7</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信用记录：</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未被列入“信用中国”网站(www.creditchina.gov.cn)“记</w:t>
      </w:r>
    </w:p>
    <w:p w14:paraId="72B9A1F6">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录失信被执行人、重大税收违法案件当事人名单、政府采购严重违法失信行为”</w:t>
      </w:r>
    </w:p>
    <w:p w14:paraId="082604F1">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记录名单；不处于中国政府采购网(www.ccgp.gov.cn)“政府采购严重违法失信</w:t>
      </w:r>
    </w:p>
    <w:p w14:paraId="5E6A1692">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行为信息记录”中的禁止参加政府采购活动期间。如相关失信记录已失效，</w:t>
      </w:r>
      <w:r>
        <w:rPr>
          <w:rFonts w:hint="eastAsia" w:ascii="仿宋" w:hAnsi="仿宋" w:eastAsia="仿宋" w:cs="仿宋"/>
          <w:color w:val="auto"/>
          <w:kern w:val="0"/>
          <w:sz w:val="24"/>
          <w:szCs w:val="24"/>
          <w:highlight w:val="none"/>
          <w:lang w:val="en-US" w:eastAsia="zh-CN"/>
        </w:rPr>
        <w:t>供应</w:t>
      </w:r>
    </w:p>
    <w:p w14:paraId="0306F841">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商</w:t>
      </w:r>
      <w:r>
        <w:rPr>
          <w:rFonts w:hint="eastAsia" w:ascii="仿宋" w:hAnsi="仿宋" w:eastAsia="仿宋" w:cs="仿宋"/>
          <w:color w:val="auto"/>
          <w:kern w:val="0"/>
          <w:sz w:val="24"/>
          <w:szCs w:val="24"/>
          <w:highlight w:val="none"/>
        </w:rPr>
        <w:t>需提供相关证明资料，如在上述网站查询结果均显示没有相关记录，视为没有</w:t>
      </w:r>
    </w:p>
    <w:p w14:paraId="2409A933">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上述不良信用记录；（信用中国、中国政府采购网网站查询截图）</w:t>
      </w:r>
    </w:p>
    <w:p w14:paraId="456F31BC">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单位负责人为同一人或者存在直接控股、管理关系的不同</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，不得参加</w:t>
      </w:r>
    </w:p>
    <w:p w14:paraId="70649655">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同一合同项下的政府采购活动。与采购人存在利害关系可能影响招标公正性的法</w:t>
      </w:r>
    </w:p>
    <w:p w14:paraId="65D79F9F">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人、其他组织或者个人，不得参加</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询价时</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出具承诺函，加盖投</w:t>
      </w:r>
    </w:p>
    <w:p w14:paraId="5767D7CD">
      <w:pPr>
        <w:numPr>
          <w:ilvl w:val="0"/>
          <w:numId w:val="0"/>
        </w:numPr>
        <w:spacing w:line="400" w:lineRule="atLeast"/>
        <w:ind w:left="720" w:leftChars="0" w:hanging="720" w:hangingChars="3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标人公章。）</w:t>
      </w:r>
    </w:p>
    <w:p w14:paraId="38DEF866">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864618E">
      <w:pPr>
        <w:widowControl/>
        <w:spacing w:line="360" w:lineRule="auto"/>
        <w:rPr>
          <w:rFonts w:hint="eastAsia" w:ascii="仿宋" w:hAnsi="仿宋" w:eastAsia="仿宋" w:cs="仿宋"/>
          <w:b/>
          <w:bCs/>
          <w:color w:val="auto"/>
          <w:kern w:val="2"/>
          <w:sz w:val="24"/>
          <w:szCs w:val="20"/>
          <w:highlight w:val="none"/>
          <w:lang w:eastAsia="zh-CN"/>
        </w:rPr>
      </w:pPr>
      <w:r>
        <w:rPr>
          <w:rFonts w:hint="eastAsia" w:ascii="仿宋" w:hAnsi="仿宋" w:eastAsia="仿宋" w:cs="仿宋"/>
          <w:b/>
          <w:bCs/>
          <w:color w:val="auto"/>
          <w:kern w:val="2"/>
          <w:sz w:val="32"/>
          <w:szCs w:val="32"/>
          <w:highlight w:val="none"/>
        </w:rPr>
        <w:t>二、</w:t>
      </w:r>
      <w:r>
        <w:rPr>
          <w:rFonts w:hint="eastAsia" w:ascii="仿宋" w:hAnsi="仿宋" w:eastAsia="仿宋" w:cs="仿宋"/>
          <w:b/>
          <w:bCs/>
          <w:color w:val="auto"/>
          <w:kern w:val="2"/>
          <w:sz w:val="32"/>
          <w:szCs w:val="32"/>
          <w:highlight w:val="none"/>
          <w:lang w:eastAsia="zh-CN"/>
        </w:rPr>
        <w:t>响应文件</w:t>
      </w:r>
    </w:p>
    <w:p w14:paraId="333EEB0C">
      <w:pPr>
        <w:pStyle w:val="26"/>
        <w:keepNext w:val="0"/>
        <w:keepLines w:val="0"/>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ascii="仿宋" w:hAnsi="仿宋" w:eastAsia="仿宋" w:cs="仿宋"/>
          <w:color w:val="auto"/>
          <w:sz w:val="30"/>
          <w:szCs w:val="30"/>
          <w:highlight w:val="none"/>
        </w:rPr>
      </w:pPr>
      <w:bookmarkStart w:id="52" w:name="_Toc16638"/>
      <w:bookmarkStart w:id="53" w:name="_Toc1420"/>
      <w:r>
        <w:rPr>
          <w:rFonts w:hint="eastAsia" w:ascii="仿宋" w:hAnsi="仿宋" w:eastAsia="仿宋" w:cs="仿宋"/>
          <w:color w:val="auto"/>
          <w:sz w:val="30"/>
          <w:szCs w:val="30"/>
          <w:highlight w:val="none"/>
          <w:lang w:val="en-US" w:eastAsia="zh-CN"/>
        </w:rPr>
        <w:t>1、响应</w:t>
      </w:r>
      <w:r>
        <w:rPr>
          <w:rFonts w:hint="eastAsia" w:ascii="仿宋" w:hAnsi="仿宋" w:eastAsia="仿宋" w:cs="仿宋"/>
          <w:color w:val="auto"/>
          <w:sz w:val="30"/>
          <w:szCs w:val="30"/>
          <w:highlight w:val="none"/>
        </w:rPr>
        <w:t>函</w:t>
      </w:r>
      <w:bookmarkEnd w:id="52"/>
      <w:bookmarkEnd w:id="53"/>
    </w:p>
    <w:p w14:paraId="3072E21B">
      <w:pPr>
        <w:adjustRightInd w:val="0"/>
        <w:snapToGrid w:val="0"/>
        <w:spacing w:line="360" w:lineRule="auto"/>
        <w:ind w:right="630" w:rightChars="3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（采购人或采购代理机构）：</w:t>
      </w:r>
    </w:p>
    <w:p w14:paraId="3E2C0C1D">
      <w:pPr>
        <w:adjustRightInd w:val="0"/>
        <w:snapToGrid w:val="0"/>
        <w:spacing w:line="360" w:lineRule="auto"/>
        <w:ind w:right="-21" w:rightChars="-1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根据贵方</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项目的</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公告,</w:t>
      </w:r>
      <w:r>
        <w:rPr>
          <w:rFonts w:hint="eastAsia" w:ascii="仿宋" w:hAnsi="仿宋" w:eastAsia="仿宋" w:cs="仿宋"/>
          <w:color w:val="auto"/>
          <w:sz w:val="24"/>
          <w:highlight w:val="none"/>
          <w:lang w:eastAsia="zh-CN"/>
        </w:rPr>
        <w:t>签字代表</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经正式授权并代表供应商</w:t>
      </w:r>
      <w:r>
        <w:rPr>
          <w:rFonts w:hint="eastAsia" w:ascii="仿宋" w:hAnsi="仿宋" w:eastAsia="仿宋" w:cs="仿宋"/>
          <w:color w:val="auto"/>
          <w:sz w:val="24"/>
          <w:highlight w:val="none"/>
          <w:u w:val="single"/>
        </w:rPr>
        <w:t>（名称、地址）</w:t>
      </w:r>
      <w:r>
        <w:rPr>
          <w:rFonts w:hint="eastAsia" w:ascii="仿宋" w:hAnsi="仿宋" w:eastAsia="仿宋" w:cs="仿宋"/>
          <w:color w:val="auto"/>
          <w:sz w:val="24"/>
          <w:highlight w:val="none"/>
        </w:rPr>
        <w:t>提交加密电子响应文件一份，并以形式出具的金额为人民币元的</w:t>
      </w:r>
      <w:r>
        <w:rPr>
          <w:rFonts w:hint="eastAsia" w:ascii="仿宋" w:hAnsi="仿宋" w:eastAsia="仿宋" w:cs="仿宋"/>
          <w:color w:val="auto"/>
          <w:sz w:val="24"/>
          <w:highlight w:val="none"/>
          <w:lang w:eastAsia="zh-CN"/>
        </w:rPr>
        <w:t>询价</w:t>
      </w:r>
      <w:r>
        <w:rPr>
          <w:rFonts w:hint="eastAsia" w:ascii="仿宋" w:hAnsi="仿宋" w:eastAsia="仿宋" w:cs="仿宋"/>
          <w:color w:val="auto"/>
          <w:sz w:val="24"/>
          <w:highlight w:val="none"/>
        </w:rPr>
        <w:t>保证金。</w:t>
      </w:r>
    </w:p>
    <w:p w14:paraId="386C8DB7">
      <w:pPr>
        <w:adjustRightInd w:val="0"/>
        <w:snapToGrid w:val="0"/>
        <w:spacing w:line="36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据此，签字代表宣布同意如下：</w:t>
      </w:r>
    </w:p>
    <w:p w14:paraId="2054E250">
      <w:pPr>
        <w:adjustRightInd w:val="0"/>
        <w:snapToGrid w:val="0"/>
        <w:spacing w:line="36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总价详见报价一览表。</w:t>
      </w:r>
    </w:p>
    <w:p w14:paraId="348B4B3E">
      <w:pPr>
        <w:adjustRightInd w:val="0"/>
        <w:snapToGrid w:val="0"/>
        <w:spacing w:line="36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（2）本项目有效期为自递交响应文件截止之日起个日历日。</w:t>
      </w:r>
    </w:p>
    <w:p w14:paraId="37722E1F">
      <w:pPr>
        <w:adjustRightInd w:val="0"/>
        <w:snapToGrid w:val="0"/>
        <w:spacing w:line="36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（3）已详细审查全部</w:t>
      </w:r>
      <w:r>
        <w:rPr>
          <w:rFonts w:hint="eastAsia" w:ascii="仿宋" w:hAnsi="仿宋" w:eastAsia="仿宋" w:cs="仿宋"/>
          <w:color w:val="auto"/>
          <w:sz w:val="24"/>
          <w:highlight w:val="none"/>
          <w:lang w:eastAsia="zh-CN"/>
        </w:rPr>
        <w:t>询价</w:t>
      </w:r>
      <w:r>
        <w:rPr>
          <w:rFonts w:hint="eastAsia" w:ascii="仿宋" w:hAnsi="仿宋" w:eastAsia="仿宋" w:cs="仿宋"/>
          <w:color w:val="auto"/>
          <w:sz w:val="24"/>
          <w:highlight w:val="none"/>
        </w:rPr>
        <w:t>文件，包括所有补充通知（如有）。</w:t>
      </w:r>
    </w:p>
    <w:p w14:paraId="2486C6AC">
      <w:pPr>
        <w:adjustRightInd w:val="0"/>
        <w:snapToGrid w:val="0"/>
        <w:spacing w:line="36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（4）在规定的时间后，遵守</w:t>
      </w:r>
      <w:r>
        <w:rPr>
          <w:rFonts w:hint="eastAsia" w:ascii="仿宋" w:hAnsi="仿宋" w:eastAsia="仿宋" w:cs="仿宋"/>
          <w:color w:val="auto"/>
          <w:sz w:val="24"/>
          <w:highlight w:val="none"/>
          <w:lang w:eastAsia="zh-CN"/>
        </w:rPr>
        <w:t>询价</w:t>
      </w:r>
      <w:r>
        <w:rPr>
          <w:rFonts w:hint="eastAsia" w:ascii="仿宋" w:hAnsi="仿宋" w:eastAsia="仿宋" w:cs="仿宋"/>
          <w:color w:val="auto"/>
          <w:sz w:val="24"/>
          <w:highlight w:val="none"/>
        </w:rPr>
        <w:t>文件中有关保证金的规定。</w:t>
      </w:r>
    </w:p>
    <w:p w14:paraId="7B9201C0">
      <w:pPr>
        <w:adjustRightInd w:val="0"/>
        <w:snapToGrid w:val="0"/>
        <w:spacing w:line="36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（5）在领取中标（成交）通知书的同时按</w:t>
      </w:r>
      <w:r>
        <w:rPr>
          <w:rFonts w:hint="eastAsia" w:ascii="仿宋" w:hAnsi="仿宋" w:eastAsia="仿宋" w:cs="仿宋"/>
          <w:color w:val="auto"/>
          <w:sz w:val="24"/>
          <w:highlight w:val="none"/>
          <w:lang w:eastAsia="zh-CN"/>
        </w:rPr>
        <w:t>询价</w:t>
      </w:r>
      <w:r>
        <w:rPr>
          <w:rFonts w:hint="eastAsia" w:ascii="仿宋" w:hAnsi="仿宋" w:eastAsia="仿宋" w:cs="仿宋"/>
          <w:color w:val="auto"/>
          <w:sz w:val="24"/>
          <w:highlight w:val="none"/>
        </w:rPr>
        <w:t>文件规定的形式，向贵方一次性支付代理服务费。</w:t>
      </w:r>
    </w:p>
    <w:p w14:paraId="278D0151">
      <w:pPr>
        <w:adjustRightInd w:val="0"/>
        <w:snapToGrid w:val="0"/>
        <w:spacing w:line="36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（6）按照贵方要求，提供与其响应有关的一切数据或资料，完全理解贵方不一定接受最低价的响应。</w:t>
      </w:r>
    </w:p>
    <w:p w14:paraId="57DC4AC3">
      <w:pPr>
        <w:adjustRightInd w:val="0"/>
        <w:snapToGrid w:val="0"/>
        <w:spacing w:line="36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（7）按照</w:t>
      </w:r>
      <w:r>
        <w:rPr>
          <w:rFonts w:hint="eastAsia" w:ascii="仿宋" w:hAnsi="仿宋" w:eastAsia="仿宋" w:cs="仿宋"/>
          <w:color w:val="auto"/>
          <w:sz w:val="24"/>
          <w:highlight w:val="none"/>
          <w:lang w:eastAsia="zh-CN"/>
        </w:rPr>
        <w:t>询价</w:t>
      </w:r>
      <w:r>
        <w:rPr>
          <w:rFonts w:hint="eastAsia" w:ascii="仿宋" w:hAnsi="仿宋" w:eastAsia="仿宋" w:cs="仿宋"/>
          <w:color w:val="auto"/>
          <w:sz w:val="24"/>
          <w:highlight w:val="none"/>
        </w:rPr>
        <w:t>文件的规定履行合同责任和义务。</w:t>
      </w:r>
    </w:p>
    <w:p w14:paraId="4756D7F1">
      <w:pPr>
        <w:adjustRightInd w:val="0"/>
        <w:snapToGrid w:val="0"/>
        <w:spacing w:line="36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（8）我方承诺响应文件中的证明材料真实、合法、有效。</w:t>
      </w:r>
    </w:p>
    <w:p w14:paraId="7EE02872">
      <w:pPr>
        <w:tabs>
          <w:tab w:val="left" w:pos="10467"/>
        </w:tabs>
        <w:adjustRightInd w:val="0"/>
        <w:snapToGrid w:val="0"/>
        <w:spacing w:line="360" w:lineRule="auto"/>
        <w:ind w:right="1050" w:rightChars="500" w:firstLine="544" w:firstLineChars="227"/>
        <w:rPr>
          <w:rFonts w:hint="eastAsia" w:ascii="仿宋" w:hAnsi="仿宋" w:eastAsia="仿宋" w:cs="仿宋"/>
          <w:color w:val="auto"/>
          <w:sz w:val="24"/>
          <w:highlight w:val="none"/>
        </w:rPr>
      </w:pPr>
      <w:r>
        <w:rPr>
          <w:rFonts w:hint="eastAsia" w:ascii="仿宋" w:hAnsi="仿宋" w:eastAsia="仿宋" w:cs="仿宋"/>
          <w:color w:val="auto"/>
          <w:sz w:val="24"/>
          <w:highlight w:val="none"/>
        </w:rPr>
        <w:t>与本会议有关的一切往来通讯请寄：</w:t>
      </w:r>
    </w:p>
    <w:p w14:paraId="0AFA079B">
      <w:pPr>
        <w:pStyle w:val="97"/>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p>
    <w:p w14:paraId="350D64A7">
      <w:pPr>
        <w:pStyle w:val="97"/>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邮编：　</w:t>
      </w:r>
    </w:p>
    <w:p w14:paraId="328A36F1">
      <w:pPr>
        <w:pStyle w:val="97"/>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电话：　</w:t>
      </w:r>
    </w:p>
    <w:p w14:paraId="3D345A52">
      <w:pPr>
        <w:pStyle w:val="97"/>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传真：</w:t>
      </w:r>
    </w:p>
    <w:p w14:paraId="45D5CF0B">
      <w:pPr>
        <w:pStyle w:val="97"/>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邮箱：</w:t>
      </w:r>
    </w:p>
    <w:p w14:paraId="3F23C6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名称（</w:t>
      </w:r>
      <w:r>
        <w:rPr>
          <w:rFonts w:hint="eastAsia" w:ascii="仿宋" w:hAnsi="仿宋" w:eastAsia="仿宋" w:cs="仿宋"/>
          <w:color w:val="auto"/>
          <w:sz w:val="24"/>
          <w:highlight w:val="none"/>
          <w:shd w:val="clear" w:color="auto" w:fill="auto"/>
          <w:lang w:val="en-US" w:eastAsia="zh-CN"/>
        </w:rPr>
        <w:t>电子签章</w:t>
      </w:r>
      <w:r>
        <w:rPr>
          <w:rFonts w:hint="eastAsia" w:ascii="仿宋" w:hAnsi="仿宋" w:eastAsia="仿宋" w:cs="仿宋"/>
          <w:color w:val="auto"/>
          <w:sz w:val="24"/>
          <w:highlight w:val="none"/>
          <w:shd w:val="clear" w:color="auto" w:fill="auto"/>
        </w:rPr>
        <w:t>）：</w:t>
      </w:r>
    </w:p>
    <w:p w14:paraId="75A81C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shd w:val="clear" w:color="auto" w:fill="auto"/>
          <w:lang w:eastAsia="zh-CN"/>
        </w:rPr>
        <w:t>法定代表人或委托</w:t>
      </w:r>
      <w:r>
        <w:rPr>
          <w:rFonts w:hint="eastAsia" w:ascii="仿宋" w:hAnsi="仿宋" w:eastAsia="仿宋" w:cs="仿宋"/>
          <w:color w:val="auto"/>
          <w:sz w:val="24"/>
          <w:highlight w:val="none"/>
          <w:shd w:val="clear" w:color="auto" w:fill="auto"/>
          <w:lang w:val="en-US" w:eastAsia="zh-CN"/>
        </w:rPr>
        <w:t>代理</w:t>
      </w:r>
      <w:r>
        <w:rPr>
          <w:rFonts w:hint="eastAsia" w:ascii="仿宋" w:hAnsi="仿宋" w:eastAsia="仿宋" w:cs="仿宋"/>
          <w:color w:val="auto"/>
          <w:sz w:val="24"/>
          <w:highlight w:val="none"/>
          <w:shd w:val="clear" w:color="auto" w:fill="auto"/>
          <w:lang w:eastAsia="zh-CN"/>
        </w:rPr>
        <w:t>人(</w:t>
      </w:r>
      <w:r>
        <w:rPr>
          <w:rFonts w:hint="eastAsia" w:ascii="仿宋" w:hAnsi="仿宋" w:eastAsia="仿宋" w:cs="仿宋"/>
          <w:color w:val="auto"/>
          <w:sz w:val="24"/>
          <w:highlight w:val="none"/>
        </w:rPr>
        <w:t>电子签名或签章</w:t>
      </w:r>
      <w:r>
        <w:rPr>
          <w:rFonts w:hint="eastAsia" w:ascii="仿宋" w:hAnsi="仿宋" w:eastAsia="仿宋" w:cs="仿宋"/>
          <w:color w:val="auto"/>
          <w:sz w:val="24"/>
          <w:highlight w:val="none"/>
          <w:shd w:val="clear" w:color="auto" w:fill="auto"/>
          <w:lang w:eastAsia="zh-CN"/>
        </w:rPr>
        <w:t>)：</w:t>
      </w:r>
    </w:p>
    <w:p w14:paraId="2C08E3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highlight w:val="none"/>
          <w:u w:val="single"/>
          <w:lang w:eastAsia="zh-CN"/>
        </w:rPr>
      </w:pPr>
      <w:r>
        <w:rPr>
          <w:rFonts w:hint="eastAsia" w:ascii="仿宋" w:hAnsi="仿宋" w:eastAsia="仿宋" w:cs="仿宋"/>
          <w:color w:val="auto"/>
          <w:sz w:val="24"/>
          <w:highlight w:val="none"/>
          <w:shd w:val="clear" w:color="auto" w:fill="auto"/>
          <w:lang w:eastAsia="zh-CN"/>
        </w:rPr>
        <w:t>日期：</w:t>
      </w:r>
    </w:p>
    <w:p w14:paraId="1B0BBB86">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left"/>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说明：除可填报项目外，对本</w:t>
      </w:r>
      <w:r>
        <w:rPr>
          <w:rFonts w:hint="eastAsia" w:ascii="仿宋" w:hAnsi="仿宋" w:eastAsia="仿宋" w:cs="仿宋"/>
          <w:bCs/>
          <w:color w:val="auto"/>
          <w:sz w:val="24"/>
          <w:highlight w:val="none"/>
          <w:lang w:eastAsia="zh-CN"/>
        </w:rPr>
        <w:t>响应</w:t>
      </w:r>
      <w:r>
        <w:rPr>
          <w:rFonts w:hint="eastAsia" w:ascii="仿宋" w:hAnsi="仿宋" w:eastAsia="仿宋" w:cs="仿宋"/>
          <w:bCs/>
          <w:color w:val="auto"/>
          <w:sz w:val="24"/>
          <w:highlight w:val="none"/>
        </w:rPr>
        <w:t>函的任何修改将被视为非实质性响应，从而导致该</w:t>
      </w:r>
      <w:r>
        <w:rPr>
          <w:rFonts w:hint="eastAsia" w:ascii="仿宋" w:hAnsi="仿宋" w:eastAsia="仿宋" w:cs="仿宋"/>
          <w:bCs/>
          <w:color w:val="auto"/>
          <w:sz w:val="24"/>
          <w:highlight w:val="none"/>
          <w:lang w:eastAsia="zh-CN"/>
        </w:rPr>
        <w:t>响应</w:t>
      </w:r>
      <w:r>
        <w:rPr>
          <w:rFonts w:hint="eastAsia" w:ascii="仿宋" w:hAnsi="仿宋" w:eastAsia="仿宋" w:cs="仿宋"/>
          <w:bCs/>
          <w:color w:val="auto"/>
          <w:sz w:val="24"/>
          <w:highlight w:val="none"/>
        </w:rPr>
        <w:t>被拒绝。</w:t>
      </w:r>
    </w:p>
    <w:p w14:paraId="5FED3D98">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b/>
          <w:color w:val="auto"/>
          <w:sz w:val="30"/>
          <w:szCs w:val="30"/>
          <w:highlight w:val="none"/>
          <w:lang w:eastAsia="zh-CN"/>
        </w:rPr>
      </w:pPr>
      <w:bookmarkStart w:id="54" w:name="_Toc29696"/>
      <w:bookmarkStart w:id="55" w:name="_Toc5014_WPSOffice_Level1"/>
    </w:p>
    <w:p w14:paraId="26CB85B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b/>
          <w:color w:val="auto"/>
          <w:sz w:val="30"/>
          <w:szCs w:val="30"/>
          <w:highlight w:val="none"/>
          <w:lang w:eastAsia="zh-CN"/>
        </w:rPr>
      </w:pPr>
    </w:p>
    <w:p w14:paraId="67E2090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2、</w:t>
      </w:r>
      <w:r>
        <w:rPr>
          <w:rFonts w:hint="eastAsia" w:ascii="仿宋" w:hAnsi="仿宋" w:eastAsia="仿宋" w:cs="仿宋"/>
          <w:b/>
          <w:color w:val="auto"/>
          <w:sz w:val="30"/>
          <w:szCs w:val="30"/>
          <w:highlight w:val="none"/>
        </w:rPr>
        <w:t>报价一览表</w:t>
      </w:r>
      <w:bookmarkEnd w:id="54"/>
      <w:bookmarkEnd w:id="55"/>
    </w:p>
    <w:p w14:paraId="2FB4CA00">
      <w:pPr>
        <w:adjustRightInd w:val="0"/>
        <w:snapToGrid w:val="0"/>
        <w:spacing w:line="360" w:lineRule="auto"/>
        <w:ind w:right="105" w:rightChars="50" w:firstLine="479"/>
        <w:jc w:val="left"/>
        <w:rPr>
          <w:rFonts w:hint="eastAsia" w:ascii="仿宋" w:hAnsi="仿宋" w:eastAsia="仿宋" w:cs="仿宋"/>
          <w:b/>
          <w:bCs/>
          <w:color w:val="auto"/>
          <w:szCs w:val="21"/>
          <w:highlight w:val="none"/>
        </w:rPr>
      </w:pPr>
    </w:p>
    <w:p w14:paraId="05B37618">
      <w:pPr>
        <w:adjustRightInd w:val="0"/>
        <w:snapToGrid w:val="0"/>
        <w:spacing w:line="360" w:lineRule="auto"/>
        <w:ind w:right="105" w:rightChars="50"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项目名称：项目编号：</w:t>
      </w:r>
    </w:p>
    <w:p w14:paraId="57CC9259">
      <w:pPr>
        <w:adjustRightInd w:val="0"/>
        <w:snapToGrid w:val="0"/>
        <w:spacing w:line="360" w:lineRule="auto"/>
        <w:ind w:right="105" w:rightChars="50" w:firstLine="240" w:firstLineChars="100"/>
        <w:jc w:val="left"/>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报价单位：人民币</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元</w:t>
      </w:r>
    </w:p>
    <w:tbl>
      <w:tblPr>
        <w:tblStyle w:val="33"/>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0"/>
        <w:gridCol w:w="4848"/>
      </w:tblGrid>
      <w:tr w14:paraId="5427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50" w:type="dxa"/>
            <w:noWrap w:val="0"/>
            <w:vAlign w:val="center"/>
          </w:tcPr>
          <w:p w14:paraId="3DB0FA21">
            <w:pPr>
              <w:tabs>
                <w:tab w:val="left" w:pos="9135"/>
              </w:tabs>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4848" w:type="dxa"/>
            <w:noWrap w:val="0"/>
            <w:vAlign w:val="center"/>
          </w:tcPr>
          <w:p w14:paraId="2B42E8FC">
            <w:pPr>
              <w:pStyle w:val="32"/>
              <w:ind w:firstLine="0" w:firstLineChars="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内容</w:t>
            </w:r>
          </w:p>
        </w:tc>
      </w:tr>
      <w:tr w14:paraId="6B38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950" w:type="dxa"/>
            <w:noWrap w:val="0"/>
            <w:vAlign w:val="center"/>
          </w:tcPr>
          <w:p w14:paraId="7ACB1518">
            <w:pPr>
              <w:tabs>
                <w:tab w:val="left" w:pos="9135"/>
              </w:tabs>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报价</w:t>
            </w:r>
          </w:p>
        </w:tc>
        <w:tc>
          <w:tcPr>
            <w:tcW w:w="4848" w:type="dxa"/>
            <w:noWrap w:val="0"/>
            <w:vAlign w:val="center"/>
          </w:tcPr>
          <w:p w14:paraId="31324276">
            <w:pPr>
              <w:tabs>
                <w:tab w:val="left" w:pos="9135"/>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大写（元）：；</w:t>
            </w:r>
          </w:p>
          <w:p w14:paraId="2277C642">
            <w:pPr>
              <w:tabs>
                <w:tab w:val="left" w:pos="9135"/>
              </w:tabs>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小写（元）：</w:t>
            </w:r>
            <w:bookmarkStart w:id="56" w:name="OLE_LINK51"/>
            <w:r>
              <w:rPr>
                <w:rFonts w:hint="eastAsia" w:ascii="仿宋" w:hAnsi="仿宋" w:eastAsia="仿宋" w:cs="仿宋"/>
                <w:color w:val="auto"/>
                <w:sz w:val="24"/>
                <w:szCs w:val="24"/>
                <w:highlight w:val="none"/>
              </w:rPr>
              <w:t>；</w:t>
            </w:r>
            <w:bookmarkEnd w:id="56"/>
          </w:p>
        </w:tc>
      </w:tr>
      <w:tr w14:paraId="4C6EC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950" w:type="dxa"/>
            <w:noWrap w:val="0"/>
            <w:vAlign w:val="center"/>
          </w:tcPr>
          <w:p w14:paraId="6BE9FAD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供货期</w:t>
            </w:r>
          </w:p>
        </w:tc>
        <w:tc>
          <w:tcPr>
            <w:tcW w:w="4848" w:type="dxa"/>
            <w:noWrap w:val="0"/>
            <w:vAlign w:val="center"/>
          </w:tcPr>
          <w:p w14:paraId="438DC573">
            <w:pPr>
              <w:tabs>
                <w:tab w:val="left" w:pos="9135"/>
              </w:tabs>
              <w:spacing w:line="360" w:lineRule="auto"/>
              <w:rPr>
                <w:rFonts w:hint="eastAsia" w:ascii="仿宋" w:hAnsi="仿宋" w:eastAsia="仿宋" w:cs="仿宋"/>
                <w:color w:val="auto"/>
                <w:sz w:val="24"/>
                <w:szCs w:val="24"/>
                <w:highlight w:val="none"/>
              </w:rPr>
            </w:pPr>
          </w:p>
        </w:tc>
      </w:tr>
      <w:tr w14:paraId="64C7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3950" w:type="dxa"/>
            <w:noWrap w:val="0"/>
            <w:vAlign w:val="center"/>
          </w:tcPr>
          <w:p w14:paraId="5C32F5A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p>
        </w:tc>
        <w:tc>
          <w:tcPr>
            <w:tcW w:w="4848" w:type="dxa"/>
            <w:noWrap w:val="0"/>
            <w:vAlign w:val="center"/>
          </w:tcPr>
          <w:p w14:paraId="665A3BC0">
            <w:pPr>
              <w:tabs>
                <w:tab w:val="left" w:pos="9135"/>
              </w:tabs>
              <w:spacing w:line="360" w:lineRule="auto"/>
              <w:ind w:firstLine="0" w:firstLineChars="0"/>
              <w:rPr>
                <w:rFonts w:hint="eastAsia" w:ascii="仿宋" w:hAnsi="仿宋" w:eastAsia="仿宋" w:cs="仿宋"/>
                <w:color w:val="auto"/>
                <w:sz w:val="24"/>
                <w:szCs w:val="24"/>
                <w:highlight w:val="none"/>
              </w:rPr>
            </w:pPr>
          </w:p>
        </w:tc>
      </w:tr>
      <w:tr w14:paraId="7969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798" w:type="dxa"/>
            <w:gridSpan w:val="2"/>
            <w:noWrap w:val="0"/>
            <w:vAlign w:val="center"/>
          </w:tcPr>
          <w:p w14:paraId="73B59F62">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eastAsia="zh-CN"/>
              </w:rPr>
              <w:t>响应报价</w:t>
            </w:r>
            <w:r>
              <w:rPr>
                <w:rFonts w:hint="eastAsia" w:ascii="仿宋" w:hAnsi="仿宋" w:eastAsia="仿宋" w:cs="仿宋"/>
                <w:color w:val="auto"/>
                <w:sz w:val="24"/>
                <w:szCs w:val="24"/>
                <w:highlight w:val="none"/>
              </w:rPr>
              <w:t>应包括</w:t>
            </w:r>
            <w:r>
              <w:rPr>
                <w:rFonts w:hint="eastAsia" w:ascii="仿宋" w:hAnsi="仿宋" w:eastAsia="仿宋" w:cs="仿宋"/>
                <w:color w:val="auto"/>
                <w:sz w:val="24"/>
                <w:szCs w:val="24"/>
                <w:highlight w:val="none"/>
                <w:lang w:val="zh-TW"/>
              </w:rPr>
              <w:t>但不限于</w:t>
            </w:r>
            <w:r>
              <w:rPr>
                <w:rFonts w:hint="eastAsia" w:ascii="仿宋" w:hAnsi="仿宋" w:eastAsia="仿宋" w:cs="仿宋"/>
                <w:color w:val="auto"/>
                <w:sz w:val="24"/>
                <w:szCs w:val="24"/>
                <w:highlight w:val="none"/>
              </w:rPr>
              <w:t>全部货品的供给、税费、包装费、运输、配送、装卸等和保险费，以及已支付或将支付的营业税和其它税费等所有费用</w:t>
            </w:r>
            <w:r>
              <w:rPr>
                <w:rFonts w:hint="eastAsia" w:ascii="仿宋" w:hAnsi="仿宋" w:eastAsia="仿宋" w:cs="仿宋"/>
                <w:color w:val="auto"/>
                <w:sz w:val="24"/>
                <w:szCs w:val="24"/>
                <w:highlight w:val="none"/>
                <w:lang w:val="zh-TW"/>
              </w:rPr>
              <w:t>，最终达到甲方使用要求。</w:t>
            </w:r>
          </w:p>
        </w:tc>
      </w:tr>
    </w:tbl>
    <w:p w14:paraId="41F5B643">
      <w:pPr>
        <w:pStyle w:val="81"/>
        <w:spacing w:line="44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注：1.表中大小写不一致时，以大写为准。</w:t>
      </w:r>
    </w:p>
    <w:p w14:paraId="61D026AD">
      <w:pPr>
        <w:spacing w:line="440" w:lineRule="exact"/>
        <w:rPr>
          <w:rFonts w:hint="eastAsia" w:ascii="仿宋" w:hAnsi="仿宋" w:eastAsia="仿宋" w:cs="仿宋"/>
          <w:bCs/>
          <w:color w:val="auto"/>
          <w:sz w:val="24"/>
          <w:szCs w:val="24"/>
          <w:highlight w:val="none"/>
        </w:rPr>
      </w:pPr>
    </w:p>
    <w:p w14:paraId="427530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（电子签章）：</w:t>
      </w:r>
      <w:r>
        <w:rPr>
          <w:rFonts w:hint="eastAsia" w:ascii="仿宋" w:hAnsi="仿宋" w:eastAsia="仿宋" w:cs="仿宋"/>
          <w:color w:val="auto"/>
          <w:sz w:val="24"/>
          <w:highlight w:val="none"/>
          <w:u w:val="single"/>
        </w:rPr>
        <w:t>　　　　　　</w:t>
      </w:r>
    </w:p>
    <w:p w14:paraId="1D8437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rPr>
        <w:t>法人代表</w:t>
      </w:r>
      <w:r>
        <w:rPr>
          <w:rFonts w:hint="eastAsia" w:ascii="仿宋" w:hAnsi="仿宋" w:eastAsia="仿宋" w:cs="仿宋"/>
          <w:color w:val="auto"/>
          <w:sz w:val="24"/>
          <w:highlight w:val="none"/>
        </w:rPr>
        <w:t>（电子签名或签章）</w:t>
      </w:r>
    </w:p>
    <w:p w14:paraId="5F56576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color w:val="auto"/>
          <w:highlight w:val="none"/>
          <w:u w:val="single"/>
          <w:lang w:eastAsia="zh-CN"/>
        </w:rPr>
      </w:pPr>
      <w:r>
        <w:rPr>
          <w:rFonts w:hint="eastAsia" w:ascii="仿宋" w:hAnsi="仿宋" w:eastAsia="仿宋" w:cs="仿宋"/>
          <w:color w:val="auto"/>
          <w:sz w:val="24"/>
          <w:highlight w:val="none"/>
          <w:shd w:val="clear" w:color="auto" w:fill="auto"/>
          <w:lang w:eastAsia="zh-CN"/>
        </w:rPr>
        <w:t>日期：</w:t>
      </w:r>
    </w:p>
    <w:p w14:paraId="0E7364C0">
      <w:pPr>
        <w:spacing w:line="440" w:lineRule="exact"/>
        <w:rPr>
          <w:rFonts w:hint="eastAsia" w:ascii="仿宋" w:hAnsi="仿宋" w:eastAsia="仿宋" w:cs="仿宋"/>
          <w:b/>
          <w:bCs/>
          <w:color w:val="auto"/>
          <w:sz w:val="24"/>
          <w:szCs w:val="24"/>
          <w:highlight w:val="none"/>
        </w:rPr>
      </w:pPr>
    </w:p>
    <w:p w14:paraId="74E771D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30"/>
          <w:szCs w:val="30"/>
          <w:highlight w:val="none"/>
        </w:rPr>
        <w:sectPr>
          <w:footerReference r:id="rId5" w:type="default"/>
          <w:pgSz w:w="11906" w:h="16838"/>
          <w:pgMar w:top="1418" w:right="1196" w:bottom="1418" w:left="1701" w:header="851" w:footer="590" w:gutter="0"/>
          <w:pgNumType w:fmt="decimal"/>
          <w:cols w:space="720" w:num="1"/>
          <w:docGrid w:linePitch="312" w:charSpace="-1185"/>
        </w:sectPr>
      </w:pPr>
    </w:p>
    <w:p w14:paraId="5A45A5E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rPr>
        <w:t>分项报价表</w:t>
      </w:r>
      <w:r>
        <w:rPr>
          <w:rFonts w:hint="eastAsia" w:ascii="仿宋" w:hAnsi="仿宋" w:eastAsia="仿宋" w:cs="仿宋"/>
          <w:b/>
          <w:color w:val="auto"/>
          <w:sz w:val="30"/>
          <w:szCs w:val="30"/>
          <w:highlight w:val="none"/>
          <w:lang w:val="en-US" w:eastAsia="zh-CN"/>
        </w:rPr>
        <w:t>-1</w:t>
      </w:r>
    </w:p>
    <w:p w14:paraId="7EA82CC0">
      <w:pPr>
        <w:spacing w:line="400" w:lineRule="atLeas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　　　　　　　　　　项目编号：</w:t>
      </w:r>
    </w:p>
    <w:p w14:paraId="6C1BAE86">
      <w:pPr>
        <w:spacing w:line="400" w:lineRule="atLeas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名称：　　　　　　　　　　</w:t>
      </w:r>
    </w:p>
    <w:tbl>
      <w:tblPr>
        <w:tblStyle w:val="34"/>
        <w:tblW w:w="14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75"/>
        <w:gridCol w:w="1818"/>
        <w:gridCol w:w="1219"/>
        <w:gridCol w:w="1345"/>
        <w:gridCol w:w="1345"/>
        <w:gridCol w:w="1348"/>
        <w:gridCol w:w="929"/>
        <w:gridCol w:w="834"/>
        <w:gridCol w:w="1233"/>
        <w:gridCol w:w="1067"/>
        <w:gridCol w:w="1209"/>
      </w:tblGrid>
      <w:tr w14:paraId="6609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05" w:type="dxa"/>
            <w:noWrap w:val="0"/>
            <w:vAlign w:val="center"/>
          </w:tcPr>
          <w:p w14:paraId="17AEE9B6">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775" w:type="dxa"/>
            <w:noWrap w:val="0"/>
            <w:vAlign w:val="center"/>
          </w:tcPr>
          <w:p w14:paraId="1DBB0705">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设备名称</w:t>
            </w:r>
          </w:p>
        </w:tc>
        <w:tc>
          <w:tcPr>
            <w:tcW w:w="1818" w:type="dxa"/>
            <w:noWrap w:val="0"/>
            <w:vAlign w:val="center"/>
          </w:tcPr>
          <w:p w14:paraId="7C2FB67C">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组成设备名称</w:t>
            </w:r>
          </w:p>
        </w:tc>
        <w:tc>
          <w:tcPr>
            <w:tcW w:w="1219" w:type="dxa"/>
            <w:noWrap w:val="0"/>
            <w:vAlign w:val="center"/>
          </w:tcPr>
          <w:p w14:paraId="3DE3AC11">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品牌</w:t>
            </w:r>
          </w:p>
        </w:tc>
        <w:tc>
          <w:tcPr>
            <w:tcW w:w="1345" w:type="dxa"/>
            <w:noWrap w:val="0"/>
            <w:vAlign w:val="center"/>
          </w:tcPr>
          <w:p w14:paraId="683C7418">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规格型号</w:t>
            </w:r>
          </w:p>
        </w:tc>
        <w:tc>
          <w:tcPr>
            <w:tcW w:w="1345" w:type="dxa"/>
            <w:noWrap w:val="0"/>
            <w:vAlign w:val="center"/>
          </w:tcPr>
          <w:p w14:paraId="418496B9">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生产厂家或产地</w:t>
            </w:r>
          </w:p>
        </w:tc>
        <w:tc>
          <w:tcPr>
            <w:tcW w:w="1348" w:type="dxa"/>
            <w:noWrap w:val="0"/>
            <w:vAlign w:val="center"/>
          </w:tcPr>
          <w:p w14:paraId="1BE44636">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技术参数</w:t>
            </w:r>
          </w:p>
        </w:tc>
        <w:tc>
          <w:tcPr>
            <w:tcW w:w="929" w:type="dxa"/>
            <w:noWrap w:val="0"/>
            <w:vAlign w:val="center"/>
          </w:tcPr>
          <w:p w14:paraId="22DBA400">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w:t>
            </w:r>
          </w:p>
        </w:tc>
        <w:tc>
          <w:tcPr>
            <w:tcW w:w="834" w:type="dxa"/>
            <w:noWrap w:val="0"/>
            <w:vAlign w:val="center"/>
          </w:tcPr>
          <w:p w14:paraId="7C7BA71E">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数量</w:t>
            </w:r>
          </w:p>
        </w:tc>
        <w:tc>
          <w:tcPr>
            <w:tcW w:w="1233" w:type="dxa"/>
            <w:noWrap w:val="0"/>
            <w:vAlign w:val="center"/>
          </w:tcPr>
          <w:p w14:paraId="5DEE7DE9">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含税单价（元）</w:t>
            </w:r>
          </w:p>
        </w:tc>
        <w:tc>
          <w:tcPr>
            <w:tcW w:w="1067" w:type="dxa"/>
            <w:noWrap w:val="0"/>
            <w:vAlign w:val="center"/>
          </w:tcPr>
          <w:p w14:paraId="0312ABE8">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合计</w:t>
            </w:r>
          </w:p>
          <w:p w14:paraId="26205952">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（元）</w:t>
            </w:r>
          </w:p>
        </w:tc>
        <w:tc>
          <w:tcPr>
            <w:tcW w:w="1209" w:type="dxa"/>
            <w:noWrap w:val="0"/>
            <w:vAlign w:val="center"/>
          </w:tcPr>
          <w:p w14:paraId="3057231B">
            <w:pP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p w14:paraId="5567B588">
            <w:pPr>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国产或进口</w:t>
            </w:r>
            <w:r>
              <w:rPr>
                <w:rFonts w:hint="eastAsia" w:ascii="仿宋" w:hAnsi="仿宋" w:eastAsia="仿宋" w:cs="仿宋"/>
                <w:color w:val="auto"/>
                <w:kern w:val="0"/>
                <w:sz w:val="24"/>
                <w:szCs w:val="24"/>
                <w:highlight w:val="none"/>
                <w:lang w:eastAsia="zh-CN"/>
              </w:rPr>
              <w:t>）</w:t>
            </w:r>
          </w:p>
        </w:tc>
      </w:tr>
      <w:tr w14:paraId="0444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jc w:val="center"/>
        </w:trPr>
        <w:tc>
          <w:tcPr>
            <w:tcW w:w="705" w:type="dxa"/>
            <w:noWrap w:val="0"/>
            <w:vAlign w:val="center"/>
          </w:tcPr>
          <w:p w14:paraId="7E2A3436">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775" w:type="dxa"/>
            <w:noWrap w:val="0"/>
            <w:vAlign w:val="center"/>
          </w:tcPr>
          <w:p w14:paraId="4E78291B">
            <w:pPr>
              <w:jc w:val="center"/>
              <w:rPr>
                <w:rFonts w:hint="eastAsia" w:ascii="仿宋" w:hAnsi="仿宋" w:eastAsia="仿宋" w:cs="仿宋"/>
                <w:i w:val="0"/>
                <w:iCs w:val="0"/>
                <w:color w:val="auto"/>
                <w:kern w:val="2"/>
                <w:sz w:val="24"/>
                <w:szCs w:val="24"/>
                <w:highlight w:val="none"/>
                <w:u w:val="none"/>
                <w:lang w:val="en-US" w:eastAsia="zh-CN" w:bidi="ar-SA"/>
              </w:rPr>
            </w:pPr>
          </w:p>
        </w:tc>
        <w:tc>
          <w:tcPr>
            <w:tcW w:w="1818" w:type="dxa"/>
            <w:noWrap w:val="0"/>
            <w:vAlign w:val="center"/>
          </w:tcPr>
          <w:p w14:paraId="30122395">
            <w:pPr>
              <w:jc w:val="center"/>
              <w:rPr>
                <w:rFonts w:hint="eastAsia" w:ascii="仿宋" w:hAnsi="仿宋" w:eastAsia="仿宋" w:cs="仿宋"/>
                <w:i w:val="0"/>
                <w:iCs w:val="0"/>
                <w:color w:val="auto"/>
                <w:kern w:val="2"/>
                <w:sz w:val="24"/>
                <w:szCs w:val="24"/>
                <w:highlight w:val="none"/>
                <w:u w:val="none"/>
                <w:lang w:val="en-US" w:eastAsia="zh-CN" w:bidi="ar-SA"/>
              </w:rPr>
            </w:pPr>
          </w:p>
        </w:tc>
        <w:tc>
          <w:tcPr>
            <w:tcW w:w="1219" w:type="dxa"/>
            <w:noWrap w:val="0"/>
            <w:vAlign w:val="center"/>
          </w:tcPr>
          <w:p w14:paraId="55A02708">
            <w:pPr>
              <w:spacing w:line="400" w:lineRule="atLeast"/>
              <w:jc w:val="center"/>
              <w:rPr>
                <w:rFonts w:hint="eastAsia" w:ascii="仿宋" w:hAnsi="仿宋" w:eastAsia="仿宋" w:cs="仿宋"/>
                <w:color w:val="auto"/>
                <w:kern w:val="0"/>
                <w:sz w:val="24"/>
                <w:szCs w:val="24"/>
                <w:highlight w:val="none"/>
              </w:rPr>
            </w:pPr>
          </w:p>
        </w:tc>
        <w:tc>
          <w:tcPr>
            <w:tcW w:w="1345" w:type="dxa"/>
            <w:noWrap w:val="0"/>
            <w:vAlign w:val="center"/>
          </w:tcPr>
          <w:p w14:paraId="7A08507A">
            <w:pPr>
              <w:spacing w:line="400" w:lineRule="atLeast"/>
              <w:jc w:val="center"/>
              <w:rPr>
                <w:rFonts w:hint="eastAsia" w:ascii="仿宋" w:hAnsi="仿宋" w:eastAsia="仿宋" w:cs="仿宋"/>
                <w:color w:val="auto"/>
                <w:kern w:val="0"/>
                <w:sz w:val="24"/>
                <w:szCs w:val="24"/>
                <w:highlight w:val="none"/>
              </w:rPr>
            </w:pPr>
          </w:p>
        </w:tc>
        <w:tc>
          <w:tcPr>
            <w:tcW w:w="1345" w:type="dxa"/>
            <w:noWrap w:val="0"/>
            <w:vAlign w:val="center"/>
          </w:tcPr>
          <w:p w14:paraId="031833ED">
            <w:pPr>
              <w:spacing w:line="400" w:lineRule="atLeast"/>
              <w:jc w:val="center"/>
              <w:rPr>
                <w:rFonts w:hint="eastAsia" w:ascii="仿宋" w:hAnsi="仿宋" w:eastAsia="仿宋" w:cs="仿宋"/>
                <w:color w:val="auto"/>
                <w:kern w:val="0"/>
                <w:sz w:val="24"/>
                <w:szCs w:val="24"/>
                <w:highlight w:val="none"/>
              </w:rPr>
            </w:pPr>
          </w:p>
        </w:tc>
        <w:tc>
          <w:tcPr>
            <w:tcW w:w="1348" w:type="dxa"/>
            <w:noWrap w:val="0"/>
            <w:vAlign w:val="center"/>
          </w:tcPr>
          <w:p w14:paraId="35A1ADFD">
            <w:pPr>
              <w:spacing w:line="400" w:lineRule="atLeast"/>
              <w:jc w:val="center"/>
              <w:rPr>
                <w:rFonts w:hint="eastAsia" w:ascii="仿宋" w:hAnsi="仿宋" w:eastAsia="仿宋" w:cs="仿宋"/>
                <w:color w:val="auto"/>
                <w:kern w:val="0"/>
                <w:sz w:val="24"/>
                <w:szCs w:val="24"/>
                <w:highlight w:val="none"/>
              </w:rPr>
            </w:pPr>
          </w:p>
        </w:tc>
        <w:tc>
          <w:tcPr>
            <w:tcW w:w="929" w:type="dxa"/>
            <w:noWrap w:val="0"/>
            <w:vAlign w:val="center"/>
          </w:tcPr>
          <w:p w14:paraId="7C9DE7D1">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kern w:val="2"/>
                <w:sz w:val="24"/>
                <w:szCs w:val="24"/>
                <w:highlight w:val="none"/>
                <w:u w:val="none"/>
                <w:lang w:val="en-US" w:eastAsia="zh-CN" w:bidi="ar-SA"/>
              </w:rPr>
            </w:pPr>
          </w:p>
        </w:tc>
        <w:tc>
          <w:tcPr>
            <w:tcW w:w="834" w:type="dxa"/>
            <w:noWrap w:val="0"/>
            <w:vAlign w:val="center"/>
          </w:tcPr>
          <w:p w14:paraId="607F4C37">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kern w:val="2"/>
                <w:sz w:val="24"/>
                <w:szCs w:val="24"/>
                <w:highlight w:val="none"/>
                <w:u w:val="none"/>
                <w:lang w:val="en-US" w:eastAsia="zh-CN" w:bidi="ar-SA"/>
              </w:rPr>
            </w:pPr>
          </w:p>
        </w:tc>
        <w:tc>
          <w:tcPr>
            <w:tcW w:w="1233" w:type="dxa"/>
            <w:noWrap w:val="0"/>
            <w:vAlign w:val="center"/>
          </w:tcPr>
          <w:p w14:paraId="6E6B3598">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i w:val="0"/>
                <w:iCs w:val="0"/>
                <w:color w:val="auto"/>
                <w:kern w:val="2"/>
                <w:sz w:val="24"/>
                <w:szCs w:val="24"/>
                <w:highlight w:val="none"/>
                <w:u w:val="none"/>
                <w:lang w:val="en-US" w:eastAsia="zh-CN" w:bidi="ar-SA"/>
              </w:rPr>
            </w:pPr>
          </w:p>
        </w:tc>
        <w:tc>
          <w:tcPr>
            <w:tcW w:w="1067" w:type="dxa"/>
            <w:noWrap w:val="0"/>
            <w:vAlign w:val="center"/>
          </w:tcPr>
          <w:p w14:paraId="309125D0">
            <w:pPr>
              <w:keepNext w:val="0"/>
              <w:keepLines w:val="0"/>
              <w:widowControl/>
              <w:suppressLineNumbers w:val="0"/>
              <w:jc w:val="center"/>
              <w:textAlignment w:val="center"/>
              <w:rPr>
                <w:rFonts w:hint="default" w:ascii="仿宋" w:hAnsi="仿宋" w:eastAsia="仿宋" w:cs="仿宋"/>
                <w:color w:val="auto"/>
                <w:kern w:val="0"/>
                <w:sz w:val="24"/>
                <w:szCs w:val="24"/>
                <w:highlight w:val="none"/>
                <w:lang w:val="en-US" w:eastAsia="zh-CN"/>
              </w:rPr>
            </w:pPr>
          </w:p>
        </w:tc>
        <w:tc>
          <w:tcPr>
            <w:tcW w:w="1209" w:type="dxa"/>
            <w:noWrap w:val="0"/>
            <w:vAlign w:val="center"/>
          </w:tcPr>
          <w:p w14:paraId="57406C52">
            <w:pPr>
              <w:jc w:val="center"/>
              <w:textAlignment w:val="center"/>
              <w:rPr>
                <w:rFonts w:hint="eastAsia" w:ascii="仿宋" w:hAnsi="仿宋" w:eastAsia="仿宋" w:cs="仿宋"/>
                <w:color w:val="auto"/>
                <w:kern w:val="0"/>
                <w:sz w:val="24"/>
                <w:szCs w:val="24"/>
                <w:highlight w:val="none"/>
              </w:rPr>
            </w:pPr>
          </w:p>
        </w:tc>
      </w:tr>
      <w:tr w14:paraId="7775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05" w:type="dxa"/>
            <w:noWrap w:val="0"/>
            <w:vAlign w:val="center"/>
          </w:tcPr>
          <w:p w14:paraId="7A9C8C00">
            <w:pPr>
              <w:spacing w:line="400" w:lineRule="atLeast"/>
              <w:jc w:val="center"/>
              <w:rPr>
                <w:rFonts w:hint="eastAsia" w:ascii="仿宋" w:hAnsi="仿宋" w:eastAsia="仿宋" w:cs="仿宋"/>
                <w:color w:val="auto"/>
                <w:kern w:val="0"/>
                <w:sz w:val="24"/>
                <w:szCs w:val="24"/>
                <w:highlight w:val="none"/>
              </w:rPr>
            </w:pPr>
          </w:p>
        </w:tc>
        <w:tc>
          <w:tcPr>
            <w:tcW w:w="8850" w:type="dxa"/>
            <w:gridSpan w:val="6"/>
            <w:noWrap w:val="0"/>
            <w:vAlign w:val="center"/>
          </w:tcPr>
          <w:p w14:paraId="55358543">
            <w:pPr>
              <w:spacing w:line="400" w:lineRule="atLeas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总报价</w:t>
            </w:r>
          </w:p>
        </w:tc>
        <w:tc>
          <w:tcPr>
            <w:tcW w:w="5272" w:type="dxa"/>
            <w:gridSpan w:val="5"/>
            <w:noWrap w:val="0"/>
            <w:vAlign w:val="center"/>
          </w:tcPr>
          <w:p w14:paraId="5F0E22F1">
            <w:pPr>
              <w:spacing w:line="400" w:lineRule="atLeas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大写：</w:t>
            </w:r>
          </w:p>
          <w:p w14:paraId="0FE94E5E">
            <w:pPr>
              <w:spacing w:line="400" w:lineRule="atLeast"/>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小写：</w:t>
            </w:r>
            <w:r>
              <w:rPr>
                <w:rFonts w:hint="eastAsia" w:ascii="仿宋" w:hAnsi="仿宋" w:eastAsia="仿宋" w:cs="仿宋"/>
                <w:color w:val="auto"/>
                <w:kern w:val="0"/>
                <w:sz w:val="24"/>
                <w:szCs w:val="24"/>
                <w:highlight w:val="none"/>
                <w:lang w:val="en-US" w:eastAsia="zh-CN"/>
              </w:rPr>
              <w:t>元</w:t>
            </w:r>
          </w:p>
        </w:tc>
      </w:tr>
    </w:tbl>
    <w:p w14:paraId="7A03E9F0">
      <w:pPr>
        <w:rPr>
          <w:rFonts w:ascii="仿宋" w:hAnsi="仿宋" w:eastAsia="仿宋" w:cs="仿宋"/>
          <w:color w:val="auto"/>
          <w:sz w:val="24"/>
          <w:szCs w:val="24"/>
          <w:highlight w:val="none"/>
          <w:lang w:val="zh-TW"/>
        </w:rPr>
      </w:pPr>
      <w:r>
        <w:rPr>
          <w:rFonts w:hint="eastAsia" w:ascii="仿宋" w:hAnsi="仿宋" w:eastAsia="仿宋" w:cs="仿宋"/>
          <w:color w:val="auto"/>
          <w:sz w:val="24"/>
          <w:szCs w:val="24"/>
          <w:highlight w:val="none"/>
        </w:rPr>
        <w:t>说明：分项报价表内容满足询价文件中“采购需求”的要求，且没有缺项漏项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需逐一列出所供产品的生产厂家及品牌规格参数，医疗设备需附产品注册证，否则报价无效</w:t>
      </w:r>
      <w:r>
        <w:rPr>
          <w:rFonts w:hint="eastAsia" w:ascii="仿宋" w:hAnsi="仿宋" w:eastAsia="仿宋" w:cs="仿宋"/>
          <w:color w:val="auto"/>
          <w:sz w:val="24"/>
          <w:szCs w:val="24"/>
          <w:highlight w:val="none"/>
          <w:lang w:val="zh-TW"/>
        </w:rPr>
        <w:t>。</w:t>
      </w:r>
    </w:p>
    <w:p w14:paraId="69B59BF9">
      <w:pPr>
        <w:pStyle w:val="10"/>
        <w:rPr>
          <w:rFonts w:hint="eastAsia"/>
          <w:color w:val="auto"/>
          <w:highlight w:val="none"/>
          <w:lang w:val="zh-TW"/>
        </w:rPr>
      </w:pPr>
    </w:p>
    <w:p w14:paraId="585D207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（电子签章）：</w:t>
      </w:r>
      <w:r>
        <w:rPr>
          <w:rFonts w:hint="eastAsia" w:ascii="仿宋" w:hAnsi="仿宋" w:eastAsia="仿宋" w:cs="仿宋"/>
          <w:color w:val="auto"/>
          <w:sz w:val="24"/>
          <w:highlight w:val="none"/>
          <w:u w:val="single"/>
        </w:rPr>
        <w:t>　　　　　　</w:t>
      </w:r>
    </w:p>
    <w:p w14:paraId="166400E1">
      <w:pPr>
        <w:spacing w:line="360" w:lineRule="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法人代表</w:t>
      </w:r>
      <w:r>
        <w:rPr>
          <w:rFonts w:hint="eastAsia" w:ascii="仿宋" w:hAnsi="仿宋" w:eastAsia="仿宋" w:cs="仿宋"/>
          <w:color w:val="auto"/>
          <w:sz w:val="24"/>
          <w:highlight w:val="none"/>
        </w:rPr>
        <w:t>（电子签名或签章）</w:t>
      </w:r>
      <w:r>
        <w:rPr>
          <w:rFonts w:hint="eastAsia" w:ascii="仿宋" w:hAnsi="仿宋" w:eastAsia="仿宋" w:cs="仿宋"/>
          <w:color w:val="auto"/>
          <w:sz w:val="24"/>
          <w:szCs w:val="24"/>
          <w:highlight w:val="none"/>
          <w:u w:val="single"/>
        </w:rPr>
        <w:t>　　　　　　　　　　　　</w:t>
      </w:r>
    </w:p>
    <w:p w14:paraId="255FB08D">
      <w:pPr>
        <w:pStyle w:val="14"/>
        <w:ind w:left="0"/>
        <w:rPr>
          <w:rFonts w:hint="eastAsia" w:ascii="仿宋" w:hAnsi="仿宋" w:eastAsia="仿宋" w:cs="仿宋"/>
          <w:color w:val="auto"/>
          <w:sz w:val="24"/>
          <w:szCs w:val="24"/>
          <w:highlight w:val="none"/>
        </w:rPr>
        <w:sectPr>
          <w:pgSz w:w="16838" w:h="11906" w:orient="landscape"/>
          <w:pgMar w:top="1701" w:right="1418" w:bottom="1196" w:left="1418" w:header="851" w:footer="590" w:gutter="0"/>
          <w:pgNumType w:fmt="decimal"/>
          <w:cols w:space="720" w:num="1"/>
          <w:docGrid w:linePitch="312" w:charSpace="-1185"/>
        </w:sectPr>
      </w:pPr>
      <w:r>
        <w:rPr>
          <w:rFonts w:hint="eastAsia" w:ascii="仿宋" w:hAnsi="仿宋" w:eastAsia="仿宋" w:cs="仿宋"/>
          <w:color w:val="auto"/>
          <w:sz w:val="24"/>
          <w:szCs w:val="24"/>
          <w:highlight w:val="none"/>
        </w:rPr>
        <w:t>日期：年月日</w:t>
      </w:r>
    </w:p>
    <w:p w14:paraId="479E41F7">
      <w:pPr>
        <w:rPr>
          <w:rFonts w:hint="eastAsia"/>
        </w:rPr>
      </w:pPr>
    </w:p>
    <w:p w14:paraId="3977C933">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4、</w:t>
      </w:r>
      <w:r>
        <w:rPr>
          <w:rFonts w:hint="eastAsia" w:ascii="仿宋" w:hAnsi="仿宋" w:eastAsia="仿宋" w:cs="仿宋"/>
          <w:b/>
          <w:color w:val="auto"/>
          <w:sz w:val="30"/>
          <w:szCs w:val="30"/>
          <w:highlight w:val="none"/>
        </w:rPr>
        <w:t>关于资格的声明函</w:t>
      </w:r>
    </w:p>
    <w:p w14:paraId="31D3E0B8">
      <w:pPr>
        <w:spacing w:line="360" w:lineRule="auto"/>
        <w:ind w:firstLine="480"/>
        <w:rPr>
          <w:rFonts w:hint="eastAsia" w:ascii="仿宋" w:hAnsi="仿宋" w:eastAsia="仿宋" w:cs="仿宋"/>
          <w:color w:val="auto"/>
          <w:sz w:val="24"/>
          <w:highlight w:val="none"/>
        </w:rPr>
      </w:pPr>
    </w:p>
    <w:p w14:paraId="2D3E07E2">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新疆恒达壹品项目管理咨询有限公司</w:t>
      </w:r>
      <w:r>
        <w:rPr>
          <w:rFonts w:hint="eastAsia" w:ascii="仿宋" w:hAnsi="仿宋" w:eastAsia="仿宋" w:cs="仿宋"/>
          <w:color w:val="auto"/>
          <w:sz w:val="24"/>
          <w:highlight w:val="none"/>
        </w:rPr>
        <w:t>：</w:t>
      </w:r>
    </w:p>
    <w:p w14:paraId="43B85C6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关于贵方年月日（项目编号）</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公告关于</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的项目，本签字人愿意参加</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，并有能力提供</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项目中的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采购</w:t>
      </w:r>
      <w:r>
        <w:rPr>
          <w:rFonts w:hint="eastAsia" w:ascii="仿宋" w:hAnsi="仿宋" w:eastAsia="仿宋" w:cs="仿宋"/>
          <w:color w:val="auto"/>
          <w:sz w:val="24"/>
          <w:highlight w:val="none"/>
          <w:u w:val="single"/>
        </w:rPr>
        <w:t>内容）</w:t>
      </w:r>
      <w:r>
        <w:rPr>
          <w:rFonts w:hint="eastAsia" w:ascii="仿宋" w:hAnsi="仿宋" w:eastAsia="仿宋" w:cs="仿宋"/>
          <w:color w:val="auto"/>
          <w:sz w:val="24"/>
          <w:highlight w:val="none"/>
        </w:rPr>
        <w:t>相关服务，并保证所提交的所有文件和说明是真实和准确的。</w:t>
      </w:r>
    </w:p>
    <w:p w14:paraId="7BB30F53">
      <w:pPr>
        <w:spacing w:line="360" w:lineRule="auto"/>
        <w:ind w:firstLine="480"/>
        <w:rPr>
          <w:rFonts w:hint="eastAsia" w:ascii="仿宋" w:hAnsi="仿宋" w:eastAsia="仿宋" w:cs="仿宋"/>
          <w:color w:val="auto"/>
          <w:sz w:val="24"/>
          <w:highlight w:val="none"/>
        </w:rPr>
      </w:pPr>
    </w:p>
    <w:p w14:paraId="2BB19FB6">
      <w:pPr>
        <w:spacing w:line="360" w:lineRule="auto"/>
        <w:ind w:firstLine="480"/>
        <w:rPr>
          <w:rFonts w:hint="eastAsia" w:ascii="仿宋" w:hAnsi="仿宋" w:eastAsia="仿宋" w:cs="仿宋"/>
          <w:color w:val="auto"/>
          <w:sz w:val="24"/>
          <w:highlight w:val="none"/>
        </w:rPr>
      </w:pPr>
    </w:p>
    <w:p w14:paraId="2A1A1802">
      <w:pPr>
        <w:spacing w:line="360" w:lineRule="auto"/>
        <w:ind w:firstLine="48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u w:val="single"/>
        </w:rPr>
        <w:t>（供应商名称）</w:t>
      </w:r>
      <w:r>
        <w:rPr>
          <w:rFonts w:hint="eastAsia" w:ascii="仿宋" w:hAnsi="仿宋" w:eastAsia="仿宋" w:cs="仿宋"/>
          <w:color w:val="auto"/>
          <w:sz w:val="24"/>
          <w:highlight w:val="none"/>
        </w:rPr>
        <w:t>签字人姓名、职务：</w:t>
      </w:r>
    </w:p>
    <w:p w14:paraId="2837FE42">
      <w:pPr>
        <w:spacing w:line="360" w:lineRule="auto"/>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地址：受权签署本资格文件人：</w:t>
      </w:r>
      <w:r>
        <w:rPr>
          <w:rFonts w:hint="eastAsia" w:ascii="仿宋" w:hAnsi="仿宋" w:eastAsia="仿宋" w:cs="仿宋"/>
          <w:color w:val="auto"/>
          <w:sz w:val="24"/>
          <w:highlight w:val="none"/>
          <w:u w:val="single"/>
        </w:rPr>
        <w:t>（授权人姓名）</w:t>
      </w:r>
    </w:p>
    <w:p w14:paraId="277D96E8">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传真：</w:t>
      </w:r>
    </w:p>
    <w:p w14:paraId="6B926721">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邮编：电话：</w:t>
      </w:r>
    </w:p>
    <w:p w14:paraId="21F02090">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供应商盖章：</w:t>
      </w:r>
    </w:p>
    <w:p w14:paraId="0D225447">
      <w:pPr>
        <w:spacing w:line="360" w:lineRule="auto"/>
        <w:ind w:firstLine="5520" w:firstLineChars="2300"/>
        <w:rPr>
          <w:rFonts w:hint="eastAsia" w:ascii="仿宋" w:hAnsi="仿宋" w:eastAsia="仿宋" w:cs="仿宋"/>
          <w:color w:val="auto"/>
          <w:sz w:val="24"/>
          <w:highlight w:val="none"/>
        </w:rPr>
      </w:pPr>
      <w:r>
        <w:rPr>
          <w:rFonts w:hint="eastAsia" w:ascii="仿宋" w:hAnsi="仿宋" w:eastAsia="仿宋" w:cs="仿宋"/>
          <w:color w:val="auto"/>
          <w:sz w:val="24"/>
          <w:highlight w:val="none"/>
        </w:rPr>
        <w:t>年月日</w:t>
      </w:r>
    </w:p>
    <w:p w14:paraId="7049BBD7">
      <w:pPr>
        <w:spacing w:line="360" w:lineRule="auto"/>
        <w:jc w:val="center"/>
        <w:rPr>
          <w:rFonts w:hint="eastAsia" w:ascii="仿宋" w:hAnsi="仿宋" w:eastAsia="仿宋" w:cs="仿宋"/>
          <w:color w:val="auto"/>
          <w:sz w:val="24"/>
          <w:highlight w:val="none"/>
          <w:lang w:val="en-US" w:eastAsia="zh-CN"/>
        </w:rPr>
      </w:pPr>
    </w:p>
    <w:p w14:paraId="1E01509C">
      <w:pPr>
        <w:pStyle w:val="12"/>
        <w:rPr>
          <w:rFonts w:hint="eastAsia" w:ascii="仿宋" w:hAnsi="仿宋" w:eastAsia="仿宋" w:cs="仿宋"/>
          <w:color w:val="auto"/>
          <w:highlight w:val="none"/>
        </w:rPr>
      </w:pPr>
    </w:p>
    <w:p w14:paraId="77667766">
      <w:pPr>
        <w:rPr>
          <w:rFonts w:hint="eastAsia" w:ascii="仿宋" w:hAnsi="仿宋" w:eastAsia="仿宋" w:cs="仿宋"/>
          <w:color w:val="auto"/>
          <w:highlight w:val="none"/>
        </w:rPr>
      </w:pPr>
    </w:p>
    <w:p w14:paraId="48AFEFB4">
      <w:pPr>
        <w:pStyle w:val="12"/>
        <w:rPr>
          <w:rFonts w:hint="eastAsia" w:ascii="仿宋" w:hAnsi="仿宋" w:eastAsia="仿宋" w:cs="仿宋"/>
          <w:color w:val="auto"/>
          <w:highlight w:val="none"/>
        </w:rPr>
      </w:pPr>
    </w:p>
    <w:p w14:paraId="4E43B474">
      <w:pPr>
        <w:rPr>
          <w:rFonts w:hint="eastAsia" w:ascii="仿宋" w:hAnsi="仿宋" w:eastAsia="仿宋" w:cs="仿宋"/>
          <w:color w:val="auto"/>
          <w:highlight w:val="none"/>
        </w:rPr>
      </w:pPr>
    </w:p>
    <w:p w14:paraId="526CB9DE">
      <w:pPr>
        <w:pStyle w:val="12"/>
        <w:rPr>
          <w:rFonts w:hint="eastAsia" w:ascii="仿宋" w:hAnsi="仿宋" w:eastAsia="仿宋" w:cs="仿宋"/>
          <w:color w:val="auto"/>
          <w:highlight w:val="none"/>
        </w:rPr>
      </w:pPr>
    </w:p>
    <w:p w14:paraId="2FEFA602">
      <w:pPr>
        <w:rPr>
          <w:rFonts w:hint="eastAsia" w:ascii="仿宋" w:hAnsi="仿宋" w:eastAsia="仿宋" w:cs="仿宋"/>
          <w:color w:val="auto"/>
          <w:highlight w:val="none"/>
        </w:rPr>
      </w:pPr>
    </w:p>
    <w:p w14:paraId="7672E537">
      <w:pPr>
        <w:pStyle w:val="12"/>
        <w:rPr>
          <w:rFonts w:hint="eastAsia" w:ascii="仿宋" w:hAnsi="仿宋" w:eastAsia="仿宋" w:cs="仿宋"/>
          <w:color w:val="auto"/>
          <w:highlight w:val="none"/>
        </w:rPr>
      </w:pPr>
    </w:p>
    <w:p w14:paraId="27A13A4E">
      <w:pPr>
        <w:rPr>
          <w:rFonts w:hint="eastAsia" w:ascii="仿宋" w:hAnsi="仿宋" w:eastAsia="仿宋" w:cs="仿宋"/>
          <w:color w:val="auto"/>
          <w:highlight w:val="none"/>
        </w:rPr>
      </w:pPr>
    </w:p>
    <w:p w14:paraId="73A5579A">
      <w:pPr>
        <w:pStyle w:val="12"/>
        <w:rPr>
          <w:rFonts w:hint="eastAsia" w:ascii="仿宋" w:hAnsi="仿宋" w:eastAsia="仿宋" w:cs="仿宋"/>
          <w:color w:val="auto"/>
          <w:highlight w:val="none"/>
        </w:rPr>
      </w:pPr>
    </w:p>
    <w:p w14:paraId="5724090B">
      <w:pPr>
        <w:rPr>
          <w:rFonts w:hint="eastAsia" w:ascii="仿宋" w:hAnsi="仿宋" w:eastAsia="仿宋" w:cs="仿宋"/>
          <w:color w:val="auto"/>
          <w:highlight w:val="none"/>
        </w:rPr>
      </w:pPr>
    </w:p>
    <w:p w14:paraId="469245A8">
      <w:pPr>
        <w:pStyle w:val="12"/>
        <w:rPr>
          <w:rFonts w:hint="eastAsia" w:ascii="仿宋" w:hAnsi="仿宋" w:eastAsia="仿宋" w:cs="仿宋"/>
          <w:color w:val="auto"/>
          <w:highlight w:val="none"/>
        </w:rPr>
      </w:pPr>
    </w:p>
    <w:p w14:paraId="485219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sz w:val="30"/>
          <w:szCs w:val="30"/>
          <w:highlight w:val="none"/>
          <w:lang w:val="en-US" w:eastAsia="zh-CN"/>
        </w:rPr>
        <w:t>5、</w:t>
      </w:r>
      <w:r>
        <w:rPr>
          <w:rFonts w:hint="eastAsia" w:ascii="仿宋" w:hAnsi="仿宋" w:eastAsia="仿宋" w:cs="仿宋"/>
          <w:b/>
          <w:color w:val="auto"/>
          <w:sz w:val="30"/>
          <w:szCs w:val="30"/>
          <w:highlight w:val="none"/>
        </w:rPr>
        <w:t>反商业贿赂承诺书</w:t>
      </w:r>
    </w:p>
    <w:p w14:paraId="72C1A64C">
      <w:pPr>
        <w:pStyle w:val="3"/>
        <w:rPr>
          <w:rFonts w:hint="eastAsia" w:ascii="仿宋" w:hAnsi="仿宋" w:eastAsia="仿宋" w:cs="仿宋"/>
          <w:color w:val="auto"/>
          <w:highlight w:val="none"/>
        </w:rPr>
      </w:pPr>
    </w:p>
    <w:p w14:paraId="6AF9A54C">
      <w:pPr>
        <w:pStyle w:val="3"/>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我公司承诺在</w:t>
      </w:r>
      <w:r>
        <w:rPr>
          <w:rFonts w:hint="eastAsia" w:ascii="仿宋" w:hAnsi="仿宋" w:eastAsia="仿宋" w:cs="仿宋"/>
          <w:color w:val="auto"/>
          <w:sz w:val="24"/>
          <w:szCs w:val="24"/>
          <w:highlight w:val="none"/>
          <w:u w:val="single"/>
        </w:rPr>
        <w:t>（项目名称、项目编号）</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过程中，不给予国家工作人员以及</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32C55F9C">
      <w:pPr>
        <w:pStyle w:val="3"/>
        <w:ind w:firstLine="480"/>
        <w:rPr>
          <w:rFonts w:hint="eastAsia" w:ascii="仿宋" w:hAnsi="仿宋" w:eastAsia="仿宋" w:cs="仿宋"/>
          <w:color w:val="auto"/>
          <w:sz w:val="24"/>
          <w:szCs w:val="24"/>
          <w:highlight w:val="none"/>
        </w:rPr>
      </w:pPr>
    </w:p>
    <w:p w14:paraId="63495166">
      <w:pPr>
        <w:pStyle w:val="2"/>
        <w:rPr>
          <w:rFonts w:hint="eastAsia" w:ascii="仿宋" w:hAnsi="仿宋" w:eastAsia="仿宋" w:cs="仿宋"/>
          <w:color w:val="auto"/>
          <w:sz w:val="24"/>
          <w:szCs w:val="24"/>
          <w:highlight w:val="none"/>
        </w:rPr>
      </w:pPr>
    </w:p>
    <w:p w14:paraId="73464B0B">
      <w:pPr>
        <w:rPr>
          <w:rFonts w:hint="eastAsia" w:ascii="仿宋" w:hAnsi="仿宋" w:eastAsia="仿宋" w:cs="仿宋"/>
          <w:color w:val="auto"/>
          <w:sz w:val="24"/>
          <w:szCs w:val="24"/>
          <w:highlight w:val="none"/>
        </w:rPr>
      </w:pPr>
    </w:p>
    <w:p w14:paraId="7061B284">
      <w:pPr>
        <w:pStyle w:val="10"/>
        <w:rPr>
          <w:rFonts w:hint="eastAsia" w:ascii="仿宋" w:hAnsi="仿宋" w:eastAsia="仿宋" w:cs="仿宋"/>
          <w:color w:val="auto"/>
          <w:sz w:val="24"/>
          <w:szCs w:val="24"/>
          <w:highlight w:val="none"/>
        </w:rPr>
      </w:pPr>
    </w:p>
    <w:p w14:paraId="7682E140">
      <w:pPr>
        <w:pStyle w:val="15"/>
        <w:rPr>
          <w:rFonts w:hint="eastAsia" w:ascii="仿宋" w:hAnsi="仿宋" w:eastAsia="仿宋" w:cs="仿宋"/>
          <w:color w:val="auto"/>
          <w:highlight w:val="none"/>
        </w:rPr>
      </w:pPr>
    </w:p>
    <w:p w14:paraId="17A4323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名称（</w:t>
      </w:r>
      <w:r>
        <w:rPr>
          <w:rFonts w:hint="eastAsia" w:ascii="仿宋" w:hAnsi="仿宋" w:eastAsia="仿宋" w:cs="仿宋"/>
          <w:color w:val="auto"/>
          <w:sz w:val="24"/>
          <w:highlight w:val="none"/>
          <w:shd w:val="clear" w:color="auto" w:fill="auto"/>
          <w:lang w:val="en-US" w:eastAsia="zh-CN"/>
        </w:rPr>
        <w:t>电子签章</w:t>
      </w:r>
      <w:r>
        <w:rPr>
          <w:rFonts w:hint="eastAsia" w:ascii="仿宋" w:hAnsi="仿宋" w:eastAsia="仿宋" w:cs="仿宋"/>
          <w:color w:val="auto"/>
          <w:sz w:val="24"/>
          <w:highlight w:val="none"/>
          <w:shd w:val="clear" w:color="auto" w:fill="auto"/>
        </w:rPr>
        <w:t>）：</w:t>
      </w:r>
    </w:p>
    <w:p w14:paraId="7F33455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shd w:val="clear" w:color="auto" w:fill="auto"/>
          <w:lang w:eastAsia="zh-CN"/>
        </w:rPr>
        <w:t>法定代表人或委托</w:t>
      </w:r>
      <w:r>
        <w:rPr>
          <w:rFonts w:hint="eastAsia" w:ascii="仿宋" w:hAnsi="仿宋" w:eastAsia="仿宋" w:cs="仿宋"/>
          <w:color w:val="auto"/>
          <w:sz w:val="24"/>
          <w:highlight w:val="none"/>
          <w:shd w:val="clear" w:color="auto" w:fill="auto"/>
          <w:lang w:val="en-US" w:eastAsia="zh-CN"/>
        </w:rPr>
        <w:t>代理</w:t>
      </w:r>
      <w:r>
        <w:rPr>
          <w:rFonts w:hint="eastAsia" w:ascii="仿宋" w:hAnsi="仿宋" w:eastAsia="仿宋" w:cs="仿宋"/>
          <w:color w:val="auto"/>
          <w:sz w:val="24"/>
          <w:highlight w:val="none"/>
          <w:shd w:val="clear" w:color="auto" w:fill="auto"/>
          <w:lang w:eastAsia="zh-CN"/>
        </w:rPr>
        <w:t>人(</w:t>
      </w:r>
      <w:r>
        <w:rPr>
          <w:rFonts w:hint="eastAsia" w:ascii="仿宋" w:hAnsi="仿宋" w:eastAsia="仿宋" w:cs="仿宋"/>
          <w:color w:val="auto"/>
          <w:sz w:val="24"/>
          <w:highlight w:val="none"/>
        </w:rPr>
        <w:t>电子签名或签章</w:t>
      </w:r>
      <w:r>
        <w:rPr>
          <w:rFonts w:hint="eastAsia" w:ascii="仿宋" w:hAnsi="仿宋" w:eastAsia="仿宋" w:cs="仿宋"/>
          <w:color w:val="auto"/>
          <w:sz w:val="24"/>
          <w:highlight w:val="none"/>
          <w:shd w:val="clear" w:color="auto" w:fill="auto"/>
          <w:lang w:eastAsia="zh-CN"/>
        </w:rPr>
        <w:t>)：</w:t>
      </w:r>
    </w:p>
    <w:p w14:paraId="4B40FD3D">
      <w:pPr>
        <w:keepNext w:val="0"/>
        <w:keepLines w:val="0"/>
        <w:pageBreakBefore w:val="0"/>
        <w:widowControl w:val="0"/>
        <w:kinsoku/>
        <w:wordWrap/>
        <w:overflowPunct/>
        <w:topLinePunct w:val="0"/>
        <w:autoSpaceDE/>
        <w:autoSpaceDN/>
        <w:bidi w:val="0"/>
        <w:adjustRightInd/>
        <w:snapToGrid/>
        <w:spacing w:line="480" w:lineRule="auto"/>
        <w:ind w:firstLine="0" w:firstLineChars="0"/>
        <w:jc w:val="left"/>
        <w:textAlignment w:val="auto"/>
        <w:rPr>
          <w:rFonts w:hint="eastAsia" w:ascii="仿宋" w:hAnsi="仿宋" w:eastAsia="仿宋" w:cs="仿宋"/>
          <w:color w:val="auto"/>
          <w:highlight w:val="none"/>
          <w:u w:val="single"/>
          <w:lang w:eastAsia="zh-CN"/>
        </w:rPr>
      </w:pPr>
      <w:r>
        <w:rPr>
          <w:rFonts w:hint="eastAsia" w:ascii="仿宋" w:hAnsi="仿宋" w:eastAsia="仿宋" w:cs="仿宋"/>
          <w:color w:val="auto"/>
          <w:sz w:val="24"/>
          <w:highlight w:val="none"/>
          <w:shd w:val="clear" w:color="auto" w:fill="auto"/>
          <w:lang w:eastAsia="zh-CN"/>
        </w:rPr>
        <w:t>日期：</w:t>
      </w:r>
    </w:p>
    <w:p w14:paraId="21B69B36">
      <w:pPr>
        <w:spacing w:line="360" w:lineRule="auto"/>
        <w:ind w:firstLine="420"/>
        <w:rPr>
          <w:rFonts w:hint="eastAsia" w:ascii="仿宋" w:hAnsi="仿宋" w:eastAsia="仿宋" w:cs="仿宋"/>
          <w:color w:val="auto"/>
          <w:sz w:val="24"/>
          <w:highlight w:val="none"/>
        </w:rPr>
      </w:pPr>
    </w:p>
    <w:p w14:paraId="2714FFA7">
      <w:pPr>
        <w:spacing w:line="360" w:lineRule="auto"/>
        <w:jc w:val="left"/>
        <w:rPr>
          <w:rFonts w:hint="eastAsia" w:ascii="仿宋" w:hAnsi="仿宋" w:eastAsia="仿宋" w:cs="仿宋"/>
          <w:b/>
          <w:color w:val="auto"/>
          <w:sz w:val="30"/>
          <w:szCs w:val="30"/>
          <w:highlight w:val="none"/>
        </w:rPr>
      </w:pPr>
    </w:p>
    <w:p w14:paraId="1FBE83D8">
      <w:pPr>
        <w:pStyle w:val="12"/>
        <w:rPr>
          <w:rFonts w:hint="eastAsia" w:ascii="仿宋" w:hAnsi="仿宋" w:eastAsia="仿宋" w:cs="仿宋"/>
          <w:color w:val="auto"/>
          <w:highlight w:val="none"/>
        </w:rPr>
      </w:pPr>
    </w:p>
    <w:p w14:paraId="4F0B69BB">
      <w:pPr>
        <w:rPr>
          <w:rFonts w:hint="eastAsia" w:ascii="仿宋" w:hAnsi="仿宋" w:eastAsia="仿宋" w:cs="仿宋"/>
          <w:color w:val="auto"/>
          <w:highlight w:val="none"/>
        </w:rPr>
      </w:pPr>
    </w:p>
    <w:p w14:paraId="031EF7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32"/>
          <w:szCs w:val="32"/>
          <w:highlight w:val="none"/>
        </w:rPr>
      </w:pPr>
      <w:bookmarkStart w:id="57" w:name="_Toc31475"/>
      <w:bookmarkStart w:id="58" w:name="_Toc16720"/>
      <w:r>
        <w:rPr>
          <w:rFonts w:hint="eastAsia" w:ascii="仿宋" w:hAnsi="仿宋" w:eastAsia="仿宋" w:cs="仿宋"/>
          <w:b/>
          <w:color w:val="auto"/>
          <w:sz w:val="30"/>
          <w:szCs w:val="30"/>
          <w:highlight w:val="none"/>
        </w:rPr>
        <w:br w:type="page"/>
      </w:r>
      <w:bookmarkEnd w:id="57"/>
      <w:bookmarkEnd w:id="58"/>
      <w:r>
        <w:rPr>
          <w:rFonts w:hint="eastAsia" w:ascii="仿宋" w:hAnsi="仿宋" w:eastAsia="仿宋" w:cs="仿宋"/>
          <w:b/>
          <w:color w:val="auto"/>
          <w:sz w:val="30"/>
          <w:szCs w:val="30"/>
          <w:highlight w:val="none"/>
          <w:lang w:val="en-US" w:eastAsia="zh-CN"/>
        </w:rPr>
        <w:t>6、</w:t>
      </w:r>
      <w:r>
        <w:rPr>
          <w:rFonts w:hint="eastAsia" w:ascii="仿宋" w:hAnsi="仿宋" w:eastAsia="仿宋" w:cs="仿宋"/>
          <w:b/>
          <w:bCs/>
          <w:color w:val="auto"/>
          <w:sz w:val="30"/>
          <w:szCs w:val="30"/>
          <w:highlight w:val="none"/>
        </w:rPr>
        <w:t>法定代表人身份证明书</w:t>
      </w:r>
    </w:p>
    <w:p w14:paraId="5CC90FB9">
      <w:pPr>
        <w:spacing w:line="360" w:lineRule="auto"/>
        <w:rPr>
          <w:rFonts w:hint="eastAsia" w:ascii="仿宋" w:hAnsi="仿宋" w:eastAsia="仿宋" w:cs="仿宋"/>
          <w:color w:val="auto"/>
          <w:sz w:val="24"/>
          <w:highlight w:val="none"/>
        </w:rPr>
      </w:pPr>
    </w:p>
    <w:p w14:paraId="25D4B411">
      <w:pPr>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单位名称：</w:t>
      </w:r>
    </w:p>
    <w:p w14:paraId="3D3BFC6A">
      <w:pPr>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企业类型：</w:t>
      </w:r>
    </w:p>
    <w:p w14:paraId="37CCA283">
      <w:pPr>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地址：</w:t>
      </w:r>
    </w:p>
    <w:p w14:paraId="6B259A77">
      <w:pPr>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营业期限：</w:t>
      </w:r>
    </w:p>
    <w:p w14:paraId="74AE7235">
      <w:pPr>
        <w:spacing w:line="360" w:lineRule="auto"/>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成立时间：</w:t>
      </w:r>
    </w:p>
    <w:p w14:paraId="1C593CA0">
      <w:pPr>
        <w:spacing w:line="360" w:lineRule="auto"/>
        <w:ind w:firstLine="840" w:firstLineChars="400"/>
        <w:rPr>
          <w:rFonts w:hint="eastAsia" w:ascii="仿宋" w:hAnsi="仿宋" w:eastAsia="仿宋" w:cs="仿宋"/>
          <w:color w:val="auto"/>
          <w:szCs w:val="21"/>
          <w:highlight w:val="none"/>
        </w:rPr>
      </w:pPr>
    </w:p>
    <w:p w14:paraId="67532BEF">
      <w:pPr>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姓名：，性别：，出生日期：，现任职务：，系（供应商名称）的法定代表人（或非法人组织负责人）。</w:t>
      </w:r>
    </w:p>
    <w:p w14:paraId="137313A9">
      <w:pPr>
        <w:rPr>
          <w:rFonts w:hint="eastAsia" w:ascii="仿宋" w:hAnsi="仿宋" w:eastAsia="仿宋" w:cs="仿宋"/>
          <w:color w:val="auto"/>
          <w:sz w:val="24"/>
          <w:szCs w:val="24"/>
          <w:highlight w:val="none"/>
          <w:lang w:eastAsia="zh-CN"/>
        </w:rPr>
      </w:pPr>
    </w:p>
    <w:p w14:paraId="61D5D2D6">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509D9D36">
      <w:pPr>
        <w:rPr>
          <w:rFonts w:hint="eastAsia" w:ascii="仿宋" w:hAnsi="仿宋" w:eastAsia="仿宋" w:cs="仿宋"/>
          <w:color w:val="auto"/>
          <w:szCs w:val="21"/>
          <w:highlight w:val="none"/>
        </w:rPr>
      </w:pPr>
    </w:p>
    <w:p w14:paraId="3D446B5E">
      <w:pPr>
        <w:rPr>
          <w:rFonts w:hint="eastAsia" w:ascii="仿宋" w:hAnsi="仿宋" w:eastAsia="仿宋" w:cs="仿宋"/>
          <w:color w:val="auto"/>
          <w:szCs w:val="21"/>
          <w:highlight w:val="non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2686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14:paraId="3CD84825">
            <w:pPr>
              <w:jc w:val="center"/>
              <w:rPr>
                <w:rFonts w:hint="eastAsia" w:ascii="仿宋" w:hAnsi="仿宋" w:eastAsia="仿宋" w:cs="仿宋"/>
                <w:color w:val="auto"/>
                <w:sz w:val="24"/>
                <w:highlight w:val="none"/>
              </w:rPr>
            </w:pPr>
          </w:p>
          <w:p w14:paraId="3779B9A8">
            <w:pPr>
              <w:jc w:val="center"/>
              <w:rPr>
                <w:rFonts w:hint="eastAsia" w:ascii="仿宋" w:hAnsi="仿宋" w:eastAsia="仿宋" w:cs="仿宋"/>
                <w:color w:val="auto"/>
                <w:sz w:val="24"/>
                <w:highlight w:val="none"/>
              </w:rPr>
            </w:pPr>
          </w:p>
          <w:p w14:paraId="749E9F65">
            <w:pPr>
              <w:jc w:val="center"/>
              <w:rPr>
                <w:rFonts w:hint="eastAsia" w:ascii="仿宋" w:hAnsi="仿宋" w:eastAsia="仿宋" w:cs="仿宋"/>
                <w:color w:val="auto"/>
                <w:sz w:val="24"/>
                <w:highlight w:val="none"/>
              </w:rPr>
            </w:pPr>
          </w:p>
          <w:p w14:paraId="70C7787A">
            <w:pPr>
              <w:jc w:val="center"/>
              <w:rPr>
                <w:rFonts w:hint="eastAsia" w:ascii="仿宋" w:hAnsi="仿宋" w:eastAsia="仿宋" w:cs="仿宋"/>
                <w:color w:val="auto"/>
                <w:sz w:val="24"/>
                <w:highlight w:val="none"/>
              </w:rPr>
            </w:pPr>
          </w:p>
          <w:p w14:paraId="3EF1F369">
            <w:pPr>
              <w:jc w:val="center"/>
              <w:rPr>
                <w:rFonts w:hint="eastAsia" w:ascii="仿宋" w:hAnsi="仿宋" w:eastAsia="仿宋" w:cs="仿宋"/>
                <w:color w:val="auto"/>
                <w:szCs w:val="21"/>
                <w:highlight w:val="none"/>
              </w:rPr>
            </w:pPr>
            <w:r>
              <w:rPr>
                <w:rFonts w:hint="eastAsia" w:ascii="仿宋" w:hAnsi="仿宋" w:eastAsia="仿宋" w:cs="仿宋"/>
                <w:color w:val="auto"/>
                <w:sz w:val="24"/>
                <w:highlight w:val="none"/>
              </w:rPr>
              <w:t>（法定代表人（或非法人组织负责人）身份证正、反面复印件）</w:t>
            </w:r>
          </w:p>
        </w:tc>
      </w:tr>
    </w:tbl>
    <w:p w14:paraId="0DE19EED">
      <w:pPr>
        <w:spacing w:line="360" w:lineRule="auto"/>
        <w:rPr>
          <w:rFonts w:hint="eastAsia" w:ascii="仿宋" w:hAnsi="仿宋" w:eastAsia="仿宋" w:cs="仿宋"/>
          <w:color w:val="auto"/>
          <w:sz w:val="24"/>
          <w:highlight w:val="none"/>
        </w:rPr>
      </w:pPr>
    </w:p>
    <w:p w14:paraId="69371B58">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highlight w:val="none"/>
          <w:shd w:val="clear" w:color="auto" w:fill="auto"/>
          <w:lang w:eastAsia="zh-CN"/>
        </w:rPr>
      </w:pPr>
    </w:p>
    <w:p w14:paraId="6215E1C1">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sz w:val="24"/>
          <w:highlight w:val="none"/>
          <w:shd w:val="clear" w:color="auto" w:fill="auto"/>
          <w:lang w:eastAsia="zh-CN"/>
        </w:rPr>
      </w:pPr>
    </w:p>
    <w:p w14:paraId="2382657D">
      <w:pPr>
        <w:keepNext w:val="0"/>
        <w:keepLines w:val="0"/>
        <w:pageBreakBefore w:val="0"/>
        <w:widowControl w:val="0"/>
        <w:kinsoku/>
        <w:wordWrap/>
        <w:overflowPunct/>
        <w:topLinePunct w:val="0"/>
        <w:autoSpaceDE/>
        <w:autoSpaceDN/>
        <w:bidi w:val="0"/>
        <w:snapToGrid w:val="0"/>
        <w:spacing w:line="480"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名称（</w:t>
      </w:r>
      <w:r>
        <w:rPr>
          <w:rFonts w:hint="eastAsia" w:ascii="仿宋" w:hAnsi="仿宋" w:eastAsia="仿宋" w:cs="仿宋"/>
          <w:color w:val="auto"/>
          <w:sz w:val="24"/>
          <w:highlight w:val="none"/>
          <w:shd w:val="clear" w:color="auto" w:fill="auto"/>
          <w:lang w:val="en-US" w:eastAsia="zh-CN"/>
        </w:rPr>
        <w:t>电子签章</w:t>
      </w:r>
      <w:r>
        <w:rPr>
          <w:rFonts w:hint="eastAsia" w:ascii="仿宋" w:hAnsi="仿宋" w:eastAsia="仿宋" w:cs="仿宋"/>
          <w:color w:val="auto"/>
          <w:sz w:val="24"/>
          <w:highlight w:val="none"/>
          <w:shd w:val="clear" w:color="auto" w:fill="auto"/>
        </w:rPr>
        <w:t>）：</w:t>
      </w:r>
    </w:p>
    <w:p w14:paraId="5FF0E324">
      <w:pPr>
        <w:keepNext w:val="0"/>
        <w:keepLines w:val="0"/>
        <w:pageBreakBefore w:val="0"/>
        <w:widowControl w:val="0"/>
        <w:kinsoku/>
        <w:wordWrap/>
        <w:overflowPunct/>
        <w:topLinePunct w:val="0"/>
        <w:autoSpaceDE/>
        <w:autoSpaceDN/>
        <w:bidi w:val="0"/>
        <w:adjustRightInd w:val="0"/>
        <w:snapToGrid w:val="0"/>
        <w:spacing w:line="480" w:lineRule="auto"/>
        <w:ind w:right="105" w:rightChars="50"/>
        <w:jc w:val="left"/>
        <w:textAlignment w:val="auto"/>
        <w:rPr>
          <w:rFonts w:hint="eastAsia" w:ascii="仿宋" w:hAnsi="仿宋" w:eastAsia="仿宋" w:cs="仿宋"/>
          <w:color w:val="auto"/>
          <w:highlight w:val="none"/>
          <w:u w:val="single"/>
          <w:lang w:eastAsia="zh-CN"/>
        </w:rPr>
      </w:pPr>
      <w:r>
        <w:rPr>
          <w:rFonts w:hint="eastAsia" w:ascii="仿宋" w:hAnsi="仿宋" w:eastAsia="仿宋" w:cs="仿宋"/>
          <w:color w:val="auto"/>
          <w:sz w:val="24"/>
          <w:highlight w:val="none"/>
          <w:shd w:val="clear" w:color="auto" w:fill="auto"/>
          <w:lang w:eastAsia="zh-CN"/>
        </w:rPr>
        <w:t>日期：</w:t>
      </w:r>
    </w:p>
    <w:p w14:paraId="66593F6B">
      <w:pPr>
        <w:spacing w:line="360" w:lineRule="auto"/>
        <w:ind w:firstLine="420"/>
        <w:rPr>
          <w:rFonts w:hint="eastAsia" w:ascii="仿宋" w:hAnsi="仿宋" w:eastAsia="仿宋" w:cs="仿宋"/>
          <w:color w:val="auto"/>
          <w:sz w:val="24"/>
          <w:highlight w:val="none"/>
        </w:rPr>
      </w:pPr>
    </w:p>
    <w:p w14:paraId="53D9988B">
      <w:pPr>
        <w:spacing w:line="360" w:lineRule="auto"/>
        <w:rPr>
          <w:rFonts w:hint="eastAsia" w:ascii="仿宋" w:hAnsi="仿宋" w:eastAsia="仿宋" w:cs="仿宋"/>
          <w:color w:val="auto"/>
          <w:sz w:val="24"/>
          <w:highlight w:val="none"/>
        </w:rPr>
      </w:pPr>
    </w:p>
    <w:p w14:paraId="44C9D2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32"/>
          <w:szCs w:val="32"/>
          <w:highlight w:val="none"/>
        </w:rPr>
      </w:pPr>
      <w:bookmarkStart w:id="59" w:name="_Toc2174"/>
      <w:bookmarkStart w:id="60" w:name="_Toc20397"/>
      <w:r>
        <w:rPr>
          <w:rFonts w:hint="eastAsia" w:ascii="仿宋" w:hAnsi="仿宋" w:eastAsia="仿宋" w:cs="仿宋"/>
          <w:b/>
          <w:color w:val="auto"/>
          <w:sz w:val="30"/>
          <w:szCs w:val="30"/>
          <w:highlight w:val="none"/>
        </w:rPr>
        <w:br w:type="page"/>
      </w:r>
      <w:bookmarkEnd w:id="59"/>
      <w:bookmarkEnd w:id="60"/>
      <w:r>
        <w:rPr>
          <w:rFonts w:hint="eastAsia" w:ascii="仿宋" w:hAnsi="仿宋" w:eastAsia="仿宋" w:cs="仿宋"/>
          <w:b/>
          <w:color w:val="auto"/>
          <w:sz w:val="30"/>
          <w:szCs w:val="30"/>
          <w:highlight w:val="none"/>
          <w:lang w:val="en-US" w:eastAsia="zh-CN"/>
        </w:rPr>
        <w:t>7、</w:t>
      </w:r>
      <w:r>
        <w:rPr>
          <w:rFonts w:hint="eastAsia" w:ascii="仿宋" w:hAnsi="仿宋" w:eastAsia="仿宋" w:cs="仿宋"/>
          <w:b/>
          <w:bCs/>
          <w:color w:val="auto"/>
          <w:sz w:val="30"/>
          <w:szCs w:val="30"/>
          <w:highlight w:val="none"/>
        </w:rPr>
        <w:t>法定代表人授权委托书</w:t>
      </w:r>
    </w:p>
    <w:p w14:paraId="000C851A">
      <w:pPr>
        <w:spacing w:line="360" w:lineRule="auto"/>
        <w:ind w:firstLine="420" w:firstLineChars="200"/>
        <w:rPr>
          <w:rFonts w:hint="eastAsia" w:ascii="仿宋" w:hAnsi="仿宋" w:eastAsia="仿宋" w:cs="仿宋"/>
          <w:color w:val="auto"/>
          <w:szCs w:val="21"/>
          <w:highlight w:val="none"/>
        </w:rPr>
      </w:pPr>
    </w:p>
    <w:p w14:paraId="5E8AB97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本授权书声明：注册于</w:t>
      </w:r>
      <w:r>
        <w:rPr>
          <w:rFonts w:hint="eastAsia" w:ascii="仿宋" w:hAnsi="仿宋" w:eastAsia="仿宋" w:cs="仿宋"/>
          <w:color w:val="auto"/>
          <w:sz w:val="24"/>
          <w:highlight w:val="none"/>
          <w:u w:val="single"/>
        </w:rPr>
        <w:t>（地区的名称）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（公司名称）</w:t>
      </w:r>
      <w:r>
        <w:rPr>
          <w:rFonts w:hint="eastAsia" w:ascii="仿宋" w:hAnsi="仿宋" w:eastAsia="仿宋" w:cs="仿宋"/>
          <w:color w:val="auto"/>
          <w:sz w:val="24"/>
          <w:highlight w:val="none"/>
        </w:rPr>
        <w:t>，在下面签字的法定代表人</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，代表本公司授权在下面签字的</w:t>
      </w:r>
      <w:r>
        <w:rPr>
          <w:rFonts w:hint="eastAsia" w:ascii="仿宋" w:hAnsi="仿宋" w:eastAsia="仿宋" w:cs="仿宋"/>
          <w:color w:val="auto"/>
          <w:sz w:val="24"/>
          <w:highlight w:val="none"/>
          <w:u w:val="single"/>
        </w:rPr>
        <w:t>（委托代理人的姓名、职务）</w:t>
      </w:r>
      <w:r>
        <w:rPr>
          <w:rFonts w:hint="eastAsia" w:ascii="仿宋" w:hAnsi="仿宋" w:eastAsia="仿宋" w:cs="仿宋"/>
          <w:color w:val="auto"/>
          <w:sz w:val="24"/>
          <w:highlight w:val="none"/>
        </w:rPr>
        <w:t>为本公司的合法代理人，就</w:t>
      </w:r>
      <w:r>
        <w:rPr>
          <w:rFonts w:hint="eastAsia" w:ascii="仿宋" w:hAnsi="仿宋" w:eastAsia="仿宋" w:cs="仿宋"/>
          <w:color w:val="auto"/>
          <w:sz w:val="24"/>
          <w:highlight w:val="none"/>
          <w:u w:val="single"/>
        </w:rPr>
        <w:t>（项目名称/编号）</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，以本公司的名义处理一切与之有关的事务。</w:t>
      </w:r>
    </w:p>
    <w:p w14:paraId="696514A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本授权书于年月日签字生效，特此声明。</w:t>
      </w:r>
    </w:p>
    <w:tbl>
      <w:tblPr>
        <w:tblStyle w:val="33"/>
        <w:tblpPr w:leftFromText="180" w:rightFromText="180" w:vertAnchor="text" w:horzAnchor="page" w:tblpX="1402" w:tblpY="3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0"/>
        <w:gridCol w:w="4429"/>
      </w:tblGrid>
      <w:tr w14:paraId="2D15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trPr>
        <w:tc>
          <w:tcPr>
            <w:tcW w:w="4710" w:type="dxa"/>
            <w:noWrap w:val="0"/>
            <w:vAlign w:val="top"/>
          </w:tcPr>
          <w:p w14:paraId="6D1558DF">
            <w:pPr>
              <w:adjustRightInd w:val="0"/>
              <w:snapToGrid w:val="0"/>
              <w:spacing w:line="360" w:lineRule="auto"/>
              <w:ind w:right="-21" w:rightChars="-10" w:firstLine="480" w:firstLineChars="200"/>
              <w:rPr>
                <w:rFonts w:hint="eastAsia" w:ascii="仿宋" w:hAnsi="仿宋" w:eastAsia="仿宋" w:cs="仿宋"/>
                <w:color w:val="auto"/>
                <w:sz w:val="24"/>
                <w:highlight w:val="none"/>
              </w:rPr>
            </w:pPr>
          </w:p>
          <w:p w14:paraId="4BD719DC">
            <w:pPr>
              <w:adjustRightInd w:val="0"/>
              <w:snapToGrid w:val="0"/>
              <w:spacing w:line="360" w:lineRule="auto"/>
              <w:ind w:right="-21" w:rightChars="-10" w:firstLine="480" w:firstLineChars="200"/>
              <w:rPr>
                <w:rFonts w:hint="eastAsia" w:ascii="仿宋" w:hAnsi="仿宋" w:eastAsia="仿宋" w:cs="仿宋"/>
                <w:color w:val="auto"/>
                <w:sz w:val="24"/>
                <w:highlight w:val="none"/>
              </w:rPr>
            </w:pPr>
          </w:p>
          <w:p w14:paraId="0D09F836">
            <w:pPr>
              <w:adjustRightInd w:val="0"/>
              <w:snapToGrid w:val="0"/>
              <w:spacing w:line="36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法定代表人身份证正、反面复印件</w:t>
            </w:r>
          </w:p>
        </w:tc>
        <w:tc>
          <w:tcPr>
            <w:tcW w:w="4429" w:type="dxa"/>
            <w:noWrap w:val="0"/>
            <w:vAlign w:val="top"/>
          </w:tcPr>
          <w:p w14:paraId="1DA911FE">
            <w:pPr>
              <w:adjustRightInd w:val="0"/>
              <w:snapToGrid w:val="0"/>
              <w:spacing w:line="360" w:lineRule="auto"/>
              <w:ind w:right="-21" w:rightChars="-10" w:firstLine="480" w:firstLineChars="200"/>
              <w:rPr>
                <w:rFonts w:hint="eastAsia" w:ascii="仿宋" w:hAnsi="仿宋" w:eastAsia="仿宋" w:cs="仿宋"/>
                <w:color w:val="auto"/>
                <w:sz w:val="24"/>
                <w:highlight w:val="none"/>
              </w:rPr>
            </w:pPr>
          </w:p>
          <w:p w14:paraId="1EF03F8D">
            <w:pPr>
              <w:adjustRightInd w:val="0"/>
              <w:snapToGrid w:val="0"/>
              <w:spacing w:line="360" w:lineRule="auto"/>
              <w:ind w:right="-21" w:rightChars="-10" w:firstLine="480" w:firstLineChars="200"/>
              <w:rPr>
                <w:rFonts w:hint="eastAsia" w:ascii="仿宋" w:hAnsi="仿宋" w:eastAsia="仿宋" w:cs="仿宋"/>
                <w:color w:val="auto"/>
                <w:sz w:val="24"/>
                <w:highlight w:val="none"/>
              </w:rPr>
            </w:pPr>
          </w:p>
          <w:p w14:paraId="78BB6124">
            <w:pPr>
              <w:adjustRightInd w:val="0"/>
              <w:snapToGrid w:val="0"/>
              <w:spacing w:line="360" w:lineRule="auto"/>
              <w:ind w:right="-21" w:rightChars="-1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委托代理人身份证正、反面复印件</w:t>
            </w:r>
          </w:p>
        </w:tc>
      </w:tr>
    </w:tbl>
    <w:p w14:paraId="49358066">
      <w:pPr>
        <w:adjustRightInd w:val="0"/>
        <w:snapToGrid w:val="0"/>
        <w:spacing w:line="360" w:lineRule="auto"/>
        <w:ind w:right="-21" w:rightChars="-10"/>
        <w:rPr>
          <w:rFonts w:hint="eastAsia" w:ascii="仿宋" w:hAnsi="仿宋" w:eastAsia="仿宋" w:cs="仿宋"/>
          <w:color w:val="auto"/>
          <w:sz w:val="24"/>
          <w:highlight w:val="none"/>
        </w:rPr>
      </w:pPr>
    </w:p>
    <w:p w14:paraId="341FF15E">
      <w:pPr>
        <w:adjustRightInd w:val="0"/>
        <w:snapToGrid w:val="0"/>
        <w:spacing w:line="480" w:lineRule="auto"/>
        <w:ind w:right="-21" w:rightChars="-1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电子</w:t>
      </w:r>
      <w:r>
        <w:rPr>
          <w:rFonts w:hint="eastAsia" w:ascii="仿宋" w:hAnsi="仿宋" w:eastAsia="仿宋" w:cs="仿宋"/>
          <w:color w:val="auto"/>
          <w:sz w:val="24"/>
          <w:highlight w:val="none"/>
          <w:lang w:val="en-US" w:eastAsia="zh-CN"/>
        </w:rPr>
        <w:t>签章</w:t>
      </w:r>
      <w:r>
        <w:rPr>
          <w:rFonts w:hint="eastAsia" w:ascii="仿宋" w:hAnsi="仿宋" w:eastAsia="仿宋" w:cs="仿宋"/>
          <w:color w:val="auto"/>
          <w:sz w:val="24"/>
          <w:highlight w:val="none"/>
        </w:rPr>
        <w:t>）：</w:t>
      </w:r>
    </w:p>
    <w:p w14:paraId="331C05FB">
      <w:pPr>
        <w:adjustRightInd w:val="0"/>
        <w:snapToGrid w:val="0"/>
        <w:spacing w:line="480" w:lineRule="auto"/>
        <w:ind w:right="-21" w:rightChars="-1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rPr>
        <w:t>法人代表</w:t>
      </w:r>
      <w:r>
        <w:rPr>
          <w:rFonts w:hint="eastAsia" w:ascii="仿宋" w:hAnsi="仿宋" w:eastAsia="仿宋" w:cs="仿宋"/>
          <w:color w:val="auto"/>
          <w:sz w:val="24"/>
          <w:highlight w:val="none"/>
        </w:rPr>
        <w:t>（电子签名或签章）：</w:t>
      </w:r>
    </w:p>
    <w:p w14:paraId="5CF5E504">
      <w:pPr>
        <w:adjustRightInd w:val="0"/>
        <w:snapToGrid w:val="0"/>
        <w:spacing w:line="480" w:lineRule="auto"/>
        <w:ind w:right="-21" w:rightChars="-1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电话：</w:t>
      </w:r>
    </w:p>
    <w:p w14:paraId="780497A9">
      <w:pPr>
        <w:adjustRightInd w:val="0"/>
        <w:snapToGrid w:val="0"/>
        <w:spacing w:line="480" w:lineRule="auto"/>
        <w:ind w:right="-21" w:rightChars="-1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日期:</w:t>
      </w:r>
    </w:p>
    <w:p w14:paraId="0DF64CB8">
      <w:pPr>
        <w:rPr>
          <w:rFonts w:hint="eastAsia" w:ascii="仿宋" w:hAnsi="仿宋" w:eastAsia="仿宋" w:cs="仿宋"/>
          <w:b/>
          <w:color w:val="auto"/>
          <w:sz w:val="30"/>
          <w:szCs w:val="30"/>
          <w:highlight w:val="none"/>
          <w:lang w:val="en-US" w:eastAsia="zh-CN"/>
        </w:rPr>
      </w:pPr>
      <w:bookmarkStart w:id="61" w:name="_Toc19431"/>
      <w:bookmarkStart w:id="62" w:name="_Toc15660"/>
      <w:bookmarkStart w:id="63" w:name="_Toc10131"/>
      <w:bookmarkStart w:id="64" w:name="_Toc3579"/>
      <w:bookmarkStart w:id="65" w:name="_Toc20884"/>
      <w:r>
        <w:rPr>
          <w:rFonts w:hint="eastAsia" w:ascii="仿宋" w:hAnsi="仿宋" w:eastAsia="仿宋" w:cs="仿宋"/>
          <w:b/>
          <w:color w:val="auto"/>
          <w:sz w:val="30"/>
          <w:szCs w:val="30"/>
          <w:highlight w:val="none"/>
          <w:lang w:val="en-US" w:eastAsia="zh-CN"/>
        </w:rPr>
        <w:br w:type="page"/>
      </w:r>
    </w:p>
    <w:p w14:paraId="55DC81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8、</w:t>
      </w:r>
      <w:r>
        <w:rPr>
          <w:rFonts w:hint="eastAsia" w:ascii="仿宋" w:hAnsi="仿宋" w:eastAsia="仿宋" w:cs="仿宋"/>
          <w:b/>
          <w:bCs/>
          <w:color w:val="auto"/>
          <w:sz w:val="30"/>
          <w:szCs w:val="30"/>
          <w:highlight w:val="none"/>
        </w:rPr>
        <w:t>商务条款偏离表</w:t>
      </w:r>
      <w:bookmarkEnd w:id="61"/>
      <w:bookmarkEnd w:id="62"/>
    </w:p>
    <w:p w14:paraId="66C8898E">
      <w:pPr>
        <w:pStyle w:val="62"/>
        <w:keepNext w:val="0"/>
        <w:keepLines w:val="0"/>
        <w:pageBreakBefore w:val="0"/>
        <w:widowControl/>
        <w:kinsoku/>
        <w:wordWrap/>
        <w:overflowPunct w:val="0"/>
        <w:topLinePunct w:val="0"/>
        <w:autoSpaceDE w:val="0"/>
        <w:autoSpaceDN w:val="0"/>
        <w:bidi w:val="0"/>
        <w:adjustRightInd w:val="0"/>
        <w:snapToGrid/>
        <w:spacing w:line="500" w:lineRule="exact"/>
        <w:ind w:left="0"/>
        <w:textAlignment w:val="baseline"/>
        <w:rPr>
          <w:rFonts w:hint="eastAsia" w:ascii="仿宋" w:hAnsi="仿宋" w:eastAsia="仿宋" w:cs="仿宋"/>
          <w:color w:val="auto"/>
          <w:highlight w:val="none"/>
          <w:u w:val="single"/>
          <w:lang w:eastAsia="zh-CN"/>
        </w:rPr>
      </w:pPr>
      <w:r>
        <w:rPr>
          <w:rFonts w:hint="eastAsia" w:ascii="仿宋" w:hAnsi="仿宋" w:eastAsia="仿宋" w:cs="仿宋"/>
          <w:color w:val="auto"/>
          <w:highlight w:val="none"/>
        </w:rPr>
        <w:t>供应商名称：项目编号：</w:t>
      </w:r>
    </w:p>
    <w:tbl>
      <w:tblPr>
        <w:tblStyle w:val="33"/>
        <w:tblW w:w="917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835"/>
        <w:gridCol w:w="2925"/>
        <w:gridCol w:w="1294"/>
        <w:gridCol w:w="1310"/>
      </w:tblGrid>
      <w:tr w14:paraId="2C68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4" w:type="dxa"/>
            <w:noWrap w:val="0"/>
            <w:vAlign w:val="center"/>
          </w:tcPr>
          <w:p w14:paraId="5BCEFDC5">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835" w:type="dxa"/>
            <w:noWrap w:val="0"/>
            <w:vAlign w:val="center"/>
          </w:tcPr>
          <w:p w14:paraId="5DC89DA9">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文件的商务条款</w:t>
            </w:r>
          </w:p>
        </w:tc>
        <w:tc>
          <w:tcPr>
            <w:tcW w:w="2925" w:type="dxa"/>
            <w:noWrap w:val="0"/>
            <w:vAlign w:val="center"/>
          </w:tcPr>
          <w:p w14:paraId="3EB3757F">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响应文件的商务条款</w:t>
            </w:r>
          </w:p>
        </w:tc>
        <w:tc>
          <w:tcPr>
            <w:tcW w:w="1294" w:type="dxa"/>
            <w:noWrap w:val="0"/>
            <w:vAlign w:val="center"/>
          </w:tcPr>
          <w:p w14:paraId="1675EB2B">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偏离</w:t>
            </w:r>
          </w:p>
        </w:tc>
        <w:tc>
          <w:tcPr>
            <w:tcW w:w="1310" w:type="dxa"/>
            <w:noWrap w:val="0"/>
            <w:vAlign w:val="center"/>
          </w:tcPr>
          <w:p w14:paraId="0122BD2A">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685F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349075D5">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835" w:type="dxa"/>
            <w:noWrap w:val="0"/>
            <w:vAlign w:val="top"/>
          </w:tcPr>
          <w:p w14:paraId="3A2B1084">
            <w:pPr>
              <w:pStyle w:val="62"/>
              <w:spacing w:line="500" w:lineRule="exac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交货期</w:t>
            </w:r>
          </w:p>
        </w:tc>
        <w:tc>
          <w:tcPr>
            <w:tcW w:w="2925" w:type="dxa"/>
            <w:noWrap w:val="0"/>
            <w:vAlign w:val="top"/>
          </w:tcPr>
          <w:p w14:paraId="139DDEF7">
            <w:pPr>
              <w:pStyle w:val="62"/>
              <w:spacing w:line="500" w:lineRule="exact"/>
              <w:jc w:val="center"/>
              <w:rPr>
                <w:rFonts w:hint="eastAsia" w:ascii="仿宋" w:hAnsi="仿宋" w:eastAsia="仿宋" w:cs="仿宋"/>
                <w:color w:val="auto"/>
                <w:highlight w:val="none"/>
              </w:rPr>
            </w:pPr>
          </w:p>
        </w:tc>
        <w:tc>
          <w:tcPr>
            <w:tcW w:w="1294" w:type="dxa"/>
            <w:noWrap w:val="0"/>
            <w:vAlign w:val="top"/>
          </w:tcPr>
          <w:p w14:paraId="35E86C39">
            <w:pPr>
              <w:pStyle w:val="62"/>
              <w:spacing w:line="500" w:lineRule="exact"/>
              <w:jc w:val="center"/>
              <w:rPr>
                <w:rFonts w:hint="eastAsia" w:ascii="仿宋" w:hAnsi="仿宋" w:eastAsia="仿宋" w:cs="仿宋"/>
                <w:color w:val="auto"/>
                <w:highlight w:val="none"/>
              </w:rPr>
            </w:pPr>
          </w:p>
        </w:tc>
        <w:tc>
          <w:tcPr>
            <w:tcW w:w="1310" w:type="dxa"/>
            <w:noWrap w:val="0"/>
            <w:vAlign w:val="top"/>
          </w:tcPr>
          <w:p w14:paraId="24996603">
            <w:pPr>
              <w:pStyle w:val="62"/>
              <w:spacing w:line="500" w:lineRule="exact"/>
              <w:jc w:val="center"/>
              <w:rPr>
                <w:rFonts w:hint="eastAsia" w:ascii="仿宋" w:hAnsi="仿宋" w:eastAsia="仿宋" w:cs="仿宋"/>
                <w:color w:val="auto"/>
                <w:highlight w:val="none"/>
              </w:rPr>
            </w:pPr>
          </w:p>
        </w:tc>
      </w:tr>
      <w:tr w14:paraId="0663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5BAA97A9">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2835" w:type="dxa"/>
            <w:noWrap w:val="0"/>
            <w:vAlign w:val="top"/>
          </w:tcPr>
          <w:p w14:paraId="48F9694E">
            <w:pPr>
              <w:pStyle w:val="62"/>
              <w:spacing w:line="500" w:lineRule="exact"/>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质保期</w:t>
            </w:r>
          </w:p>
        </w:tc>
        <w:tc>
          <w:tcPr>
            <w:tcW w:w="2925" w:type="dxa"/>
            <w:noWrap w:val="0"/>
            <w:vAlign w:val="top"/>
          </w:tcPr>
          <w:p w14:paraId="61581A2D">
            <w:pPr>
              <w:pStyle w:val="62"/>
              <w:spacing w:line="500" w:lineRule="exact"/>
              <w:jc w:val="center"/>
              <w:rPr>
                <w:rFonts w:hint="eastAsia" w:ascii="仿宋" w:hAnsi="仿宋" w:eastAsia="仿宋" w:cs="仿宋"/>
                <w:color w:val="auto"/>
                <w:highlight w:val="none"/>
              </w:rPr>
            </w:pPr>
          </w:p>
        </w:tc>
        <w:tc>
          <w:tcPr>
            <w:tcW w:w="1294" w:type="dxa"/>
            <w:noWrap w:val="0"/>
            <w:vAlign w:val="top"/>
          </w:tcPr>
          <w:p w14:paraId="062F3395">
            <w:pPr>
              <w:pStyle w:val="62"/>
              <w:spacing w:line="500" w:lineRule="exact"/>
              <w:jc w:val="center"/>
              <w:rPr>
                <w:rFonts w:hint="eastAsia" w:ascii="仿宋" w:hAnsi="仿宋" w:eastAsia="仿宋" w:cs="仿宋"/>
                <w:color w:val="auto"/>
                <w:highlight w:val="none"/>
              </w:rPr>
            </w:pPr>
          </w:p>
        </w:tc>
        <w:tc>
          <w:tcPr>
            <w:tcW w:w="1310" w:type="dxa"/>
            <w:noWrap w:val="0"/>
            <w:vAlign w:val="top"/>
          </w:tcPr>
          <w:p w14:paraId="044AA57F">
            <w:pPr>
              <w:pStyle w:val="62"/>
              <w:spacing w:line="500" w:lineRule="exact"/>
              <w:jc w:val="center"/>
              <w:rPr>
                <w:rFonts w:hint="eastAsia" w:ascii="仿宋" w:hAnsi="仿宋" w:eastAsia="仿宋" w:cs="仿宋"/>
                <w:color w:val="auto"/>
                <w:highlight w:val="none"/>
              </w:rPr>
            </w:pPr>
          </w:p>
        </w:tc>
      </w:tr>
      <w:tr w14:paraId="6A3D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3F0F354C">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2835" w:type="dxa"/>
            <w:noWrap w:val="0"/>
            <w:vAlign w:val="top"/>
          </w:tcPr>
          <w:p w14:paraId="647A71B5">
            <w:pPr>
              <w:pStyle w:val="62"/>
              <w:spacing w:line="500" w:lineRule="exact"/>
              <w:jc w:val="center"/>
              <w:rPr>
                <w:rFonts w:hint="eastAsia" w:ascii="仿宋" w:hAnsi="仿宋" w:eastAsia="仿宋" w:cs="仿宋"/>
                <w:color w:val="auto"/>
                <w:kern w:val="0"/>
                <w:sz w:val="24"/>
                <w:highlight w:val="none"/>
                <w:lang w:val="en-US" w:eastAsia="zh-CN" w:bidi="ar-SA"/>
              </w:rPr>
            </w:pPr>
            <w:r>
              <w:rPr>
                <w:rFonts w:hint="eastAsia" w:ascii="仿宋" w:hAnsi="仿宋" w:eastAsia="仿宋" w:cs="仿宋"/>
                <w:color w:val="auto"/>
                <w:kern w:val="0"/>
                <w:sz w:val="24"/>
                <w:highlight w:val="none"/>
                <w:lang w:val="en-US" w:eastAsia="zh-CN" w:bidi="ar-SA"/>
              </w:rPr>
              <w:t>供货要求</w:t>
            </w:r>
          </w:p>
        </w:tc>
        <w:tc>
          <w:tcPr>
            <w:tcW w:w="2925" w:type="dxa"/>
            <w:noWrap w:val="0"/>
            <w:vAlign w:val="top"/>
          </w:tcPr>
          <w:p w14:paraId="36ABD4A3">
            <w:pPr>
              <w:pStyle w:val="62"/>
              <w:spacing w:line="500" w:lineRule="exact"/>
              <w:jc w:val="center"/>
              <w:rPr>
                <w:rFonts w:hint="eastAsia" w:ascii="仿宋" w:hAnsi="仿宋" w:eastAsia="仿宋" w:cs="仿宋"/>
                <w:color w:val="auto"/>
                <w:highlight w:val="none"/>
              </w:rPr>
            </w:pPr>
          </w:p>
        </w:tc>
        <w:tc>
          <w:tcPr>
            <w:tcW w:w="1294" w:type="dxa"/>
            <w:noWrap w:val="0"/>
            <w:vAlign w:val="top"/>
          </w:tcPr>
          <w:p w14:paraId="781911D3">
            <w:pPr>
              <w:pStyle w:val="62"/>
              <w:spacing w:line="500" w:lineRule="exact"/>
              <w:jc w:val="center"/>
              <w:rPr>
                <w:rFonts w:hint="eastAsia" w:ascii="仿宋" w:hAnsi="仿宋" w:eastAsia="仿宋" w:cs="仿宋"/>
                <w:color w:val="auto"/>
                <w:highlight w:val="none"/>
              </w:rPr>
            </w:pPr>
          </w:p>
        </w:tc>
        <w:tc>
          <w:tcPr>
            <w:tcW w:w="1310" w:type="dxa"/>
            <w:noWrap w:val="0"/>
            <w:vAlign w:val="top"/>
          </w:tcPr>
          <w:p w14:paraId="7DBEE79A">
            <w:pPr>
              <w:pStyle w:val="62"/>
              <w:spacing w:line="500" w:lineRule="exact"/>
              <w:jc w:val="center"/>
              <w:rPr>
                <w:rFonts w:hint="eastAsia" w:ascii="仿宋" w:hAnsi="仿宋" w:eastAsia="仿宋" w:cs="仿宋"/>
                <w:color w:val="auto"/>
                <w:highlight w:val="none"/>
              </w:rPr>
            </w:pPr>
          </w:p>
        </w:tc>
      </w:tr>
      <w:tr w14:paraId="17EC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54E0F3B0">
            <w:pPr>
              <w:pStyle w:val="62"/>
              <w:spacing w:line="5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2835" w:type="dxa"/>
            <w:noWrap w:val="0"/>
            <w:vAlign w:val="top"/>
          </w:tcPr>
          <w:p w14:paraId="70EBEDEE">
            <w:pPr>
              <w:pStyle w:val="62"/>
              <w:spacing w:line="500" w:lineRule="exact"/>
              <w:jc w:val="center"/>
              <w:rPr>
                <w:rFonts w:hint="eastAsia" w:ascii="仿宋" w:hAnsi="仿宋" w:eastAsia="仿宋" w:cs="仿宋"/>
                <w:color w:val="auto"/>
                <w:kern w:val="0"/>
                <w:sz w:val="24"/>
                <w:highlight w:val="none"/>
                <w:lang w:val="en-US" w:eastAsia="zh-CN" w:bidi="ar-SA"/>
              </w:rPr>
            </w:pPr>
            <w:r>
              <w:rPr>
                <w:rFonts w:hint="eastAsia" w:ascii="仿宋" w:hAnsi="仿宋" w:eastAsia="仿宋" w:cs="仿宋"/>
                <w:color w:val="auto"/>
                <w:highlight w:val="none"/>
                <w:lang w:eastAsia="zh-CN"/>
              </w:rPr>
              <w:t>询价</w:t>
            </w:r>
            <w:r>
              <w:rPr>
                <w:rFonts w:hint="eastAsia" w:ascii="仿宋" w:hAnsi="仿宋" w:eastAsia="仿宋" w:cs="仿宋"/>
                <w:color w:val="auto"/>
                <w:highlight w:val="none"/>
              </w:rPr>
              <w:t>有效期</w:t>
            </w:r>
          </w:p>
        </w:tc>
        <w:tc>
          <w:tcPr>
            <w:tcW w:w="2925" w:type="dxa"/>
            <w:noWrap w:val="0"/>
            <w:vAlign w:val="top"/>
          </w:tcPr>
          <w:p w14:paraId="7D9B78C1">
            <w:pPr>
              <w:pStyle w:val="62"/>
              <w:spacing w:line="500" w:lineRule="exact"/>
              <w:jc w:val="center"/>
              <w:rPr>
                <w:rFonts w:hint="eastAsia" w:ascii="仿宋" w:hAnsi="仿宋" w:eastAsia="仿宋" w:cs="仿宋"/>
                <w:color w:val="auto"/>
                <w:highlight w:val="none"/>
              </w:rPr>
            </w:pPr>
          </w:p>
        </w:tc>
        <w:tc>
          <w:tcPr>
            <w:tcW w:w="1294" w:type="dxa"/>
            <w:noWrap w:val="0"/>
            <w:vAlign w:val="top"/>
          </w:tcPr>
          <w:p w14:paraId="579EBBB3">
            <w:pPr>
              <w:pStyle w:val="62"/>
              <w:spacing w:line="500" w:lineRule="exact"/>
              <w:jc w:val="center"/>
              <w:rPr>
                <w:rFonts w:hint="eastAsia" w:ascii="仿宋" w:hAnsi="仿宋" w:eastAsia="仿宋" w:cs="仿宋"/>
                <w:color w:val="auto"/>
                <w:highlight w:val="none"/>
              </w:rPr>
            </w:pPr>
          </w:p>
        </w:tc>
        <w:tc>
          <w:tcPr>
            <w:tcW w:w="1310" w:type="dxa"/>
            <w:noWrap w:val="0"/>
            <w:vAlign w:val="top"/>
          </w:tcPr>
          <w:p w14:paraId="290DDC38">
            <w:pPr>
              <w:pStyle w:val="62"/>
              <w:spacing w:line="500" w:lineRule="exact"/>
              <w:jc w:val="center"/>
              <w:rPr>
                <w:rFonts w:hint="eastAsia" w:ascii="仿宋" w:hAnsi="仿宋" w:eastAsia="仿宋" w:cs="仿宋"/>
                <w:color w:val="auto"/>
                <w:highlight w:val="none"/>
              </w:rPr>
            </w:pPr>
          </w:p>
        </w:tc>
      </w:tr>
      <w:tr w14:paraId="152A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4" w:type="dxa"/>
            <w:noWrap w:val="0"/>
            <w:vAlign w:val="top"/>
          </w:tcPr>
          <w:p w14:paraId="405D2785">
            <w:pPr>
              <w:pStyle w:val="62"/>
              <w:spacing w:line="50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2835" w:type="dxa"/>
            <w:noWrap w:val="0"/>
            <w:vAlign w:val="top"/>
          </w:tcPr>
          <w:p w14:paraId="70F21BFB">
            <w:pPr>
              <w:pStyle w:val="62"/>
              <w:spacing w:line="500" w:lineRule="exact"/>
              <w:jc w:val="center"/>
              <w:rPr>
                <w:rFonts w:hint="eastAsia" w:ascii="仿宋" w:hAnsi="仿宋" w:eastAsia="仿宋" w:cs="仿宋"/>
                <w:color w:val="auto"/>
                <w:kern w:val="0"/>
                <w:sz w:val="24"/>
                <w:highlight w:val="none"/>
                <w:lang w:val="en-US" w:eastAsia="zh-CN" w:bidi="ar-SA"/>
              </w:rPr>
            </w:pPr>
            <w:r>
              <w:rPr>
                <w:rFonts w:hint="eastAsia" w:ascii="仿宋" w:hAnsi="仿宋" w:eastAsia="仿宋" w:cs="仿宋"/>
                <w:color w:val="auto"/>
                <w:highlight w:val="none"/>
                <w:lang w:eastAsia="zh-CN"/>
              </w:rPr>
              <w:t>询价</w:t>
            </w:r>
            <w:r>
              <w:rPr>
                <w:rFonts w:hint="eastAsia" w:ascii="仿宋" w:hAnsi="仿宋" w:eastAsia="仿宋" w:cs="仿宋"/>
                <w:color w:val="auto"/>
                <w:highlight w:val="none"/>
              </w:rPr>
              <w:t>保证金</w:t>
            </w:r>
          </w:p>
        </w:tc>
        <w:tc>
          <w:tcPr>
            <w:tcW w:w="2925" w:type="dxa"/>
            <w:noWrap w:val="0"/>
            <w:vAlign w:val="top"/>
          </w:tcPr>
          <w:p w14:paraId="3C3B3098">
            <w:pPr>
              <w:pStyle w:val="62"/>
              <w:spacing w:line="500" w:lineRule="exact"/>
              <w:jc w:val="center"/>
              <w:rPr>
                <w:rFonts w:hint="eastAsia" w:ascii="仿宋" w:hAnsi="仿宋" w:eastAsia="仿宋" w:cs="仿宋"/>
                <w:color w:val="auto"/>
                <w:highlight w:val="none"/>
              </w:rPr>
            </w:pPr>
          </w:p>
        </w:tc>
        <w:tc>
          <w:tcPr>
            <w:tcW w:w="1294" w:type="dxa"/>
            <w:noWrap w:val="0"/>
            <w:vAlign w:val="top"/>
          </w:tcPr>
          <w:p w14:paraId="5BFABEA4">
            <w:pPr>
              <w:pStyle w:val="62"/>
              <w:spacing w:line="500" w:lineRule="exact"/>
              <w:jc w:val="center"/>
              <w:rPr>
                <w:rFonts w:hint="eastAsia" w:ascii="仿宋" w:hAnsi="仿宋" w:eastAsia="仿宋" w:cs="仿宋"/>
                <w:color w:val="auto"/>
                <w:highlight w:val="none"/>
              </w:rPr>
            </w:pPr>
          </w:p>
        </w:tc>
        <w:tc>
          <w:tcPr>
            <w:tcW w:w="1310" w:type="dxa"/>
            <w:noWrap w:val="0"/>
            <w:vAlign w:val="top"/>
          </w:tcPr>
          <w:p w14:paraId="21CC6778">
            <w:pPr>
              <w:pStyle w:val="62"/>
              <w:spacing w:line="500" w:lineRule="exact"/>
              <w:jc w:val="center"/>
              <w:rPr>
                <w:rFonts w:hint="eastAsia" w:ascii="仿宋" w:hAnsi="仿宋" w:eastAsia="仿宋" w:cs="仿宋"/>
                <w:color w:val="auto"/>
                <w:highlight w:val="none"/>
              </w:rPr>
            </w:pPr>
          </w:p>
        </w:tc>
      </w:tr>
      <w:tr w14:paraId="3C6C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65AC61A1">
            <w:pPr>
              <w:pStyle w:val="62"/>
              <w:spacing w:line="500" w:lineRule="exact"/>
              <w:jc w:val="center"/>
              <w:rPr>
                <w:rFonts w:hint="eastAsia" w:ascii="仿宋" w:hAnsi="仿宋" w:eastAsia="仿宋" w:cs="仿宋"/>
                <w:color w:val="auto"/>
                <w:highlight w:val="none"/>
              </w:rPr>
            </w:pPr>
          </w:p>
        </w:tc>
        <w:tc>
          <w:tcPr>
            <w:tcW w:w="2835" w:type="dxa"/>
            <w:noWrap w:val="0"/>
            <w:vAlign w:val="top"/>
          </w:tcPr>
          <w:p w14:paraId="36B069A5">
            <w:pPr>
              <w:pStyle w:val="62"/>
              <w:spacing w:line="500" w:lineRule="exact"/>
              <w:jc w:val="center"/>
              <w:rPr>
                <w:rFonts w:hint="eastAsia" w:ascii="仿宋" w:hAnsi="仿宋" w:eastAsia="仿宋" w:cs="仿宋"/>
                <w:color w:val="auto"/>
                <w:highlight w:val="none"/>
              </w:rPr>
            </w:pPr>
          </w:p>
        </w:tc>
        <w:tc>
          <w:tcPr>
            <w:tcW w:w="2925" w:type="dxa"/>
            <w:noWrap w:val="0"/>
            <w:vAlign w:val="top"/>
          </w:tcPr>
          <w:p w14:paraId="50580548">
            <w:pPr>
              <w:pStyle w:val="62"/>
              <w:spacing w:line="500" w:lineRule="exact"/>
              <w:jc w:val="center"/>
              <w:rPr>
                <w:rFonts w:hint="eastAsia" w:ascii="仿宋" w:hAnsi="仿宋" w:eastAsia="仿宋" w:cs="仿宋"/>
                <w:color w:val="auto"/>
                <w:highlight w:val="none"/>
              </w:rPr>
            </w:pPr>
          </w:p>
        </w:tc>
        <w:tc>
          <w:tcPr>
            <w:tcW w:w="1294" w:type="dxa"/>
            <w:noWrap w:val="0"/>
            <w:vAlign w:val="top"/>
          </w:tcPr>
          <w:p w14:paraId="41FFECD9">
            <w:pPr>
              <w:pStyle w:val="62"/>
              <w:spacing w:line="500" w:lineRule="exact"/>
              <w:jc w:val="center"/>
              <w:rPr>
                <w:rFonts w:hint="eastAsia" w:ascii="仿宋" w:hAnsi="仿宋" w:eastAsia="仿宋" w:cs="仿宋"/>
                <w:color w:val="auto"/>
                <w:highlight w:val="none"/>
              </w:rPr>
            </w:pPr>
          </w:p>
        </w:tc>
        <w:tc>
          <w:tcPr>
            <w:tcW w:w="1310" w:type="dxa"/>
            <w:noWrap w:val="0"/>
            <w:vAlign w:val="top"/>
          </w:tcPr>
          <w:p w14:paraId="02D2A7E5">
            <w:pPr>
              <w:pStyle w:val="62"/>
              <w:spacing w:line="500" w:lineRule="exact"/>
              <w:jc w:val="center"/>
              <w:rPr>
                <w:rFonts w:hint="eastAsia" w:ascii="仿宋" w:hAnsi="仿宋" w:eastAsia="仿宋" w:cs="仿宋"/>
                <w:color w:val="auto"/>
                <w:highlight w:val="none"/>
              </w:rPr>
            </w:pPr>
          </w:p>
        </w:tc>
      </w:tr>
      <w:tr w14:paraId="54D2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noWrap w:val="0"/>
            <w:vAlign w:val="top"/>
          </w:tcPr>
          <w:p w14:paraId="06AC802C">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2835" w:type="dxa"/>
            <w:noWrap w:val="0"/>
            <w:vAlign w:val="top"/>
          </w:tcPr>
          <w:p w14:paraId="4B6706AB">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2925" w:type="dxa"/>
            <w:noWrap w:val="0"/>
            <w:vAlign w:val="top"/>
          </w:tcPr>
          <w:p w14:paraId="3DD4ADF5">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294" w:type="dxa"/>
            <w:noWrap w:val="0"/>
            <w:vAlign w:val="top"/>
          </w:tcPr>
          <w:p w14:paraId="0BA47D18">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1310" w:type="dxa"/>
            <w:noWrap w:val="0"/>
            <w:vAlign w:val="top"/>
          </w:tcPr>
          <w:p w14:paraId="27DDE5C6">
            <w:pPr>
              <w:pStyle w:val="62"/>
              <w:spacing w:line="50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w:t>
            </w:r>
          </w:p>
        </w:tc>
      </w:tr>
    </w:tbl>
    <w:p w14:paraId="5385882B">
      <w:pPr>
        <w:pStyle w:val="62"/>
        <w:spacing w:line="5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注：若有偏离，请将具体偏离条款在”偏离”一栏中详细说明；若无偏离，请在”偏离”一栏中标注”无”字样.</w:t>
      </w:r>
    </w:p>
    <w:p w14:paraId="1E8AEF49">
      <w:pPr>
        <w:pStyle w:val="62"/>
        <w:spacing w:line="500" w:lineRule="exact"/>
        <w:ind w:left="480" w:firstLine="480"/>
        <w:rPr>
          <w:rFonts w:hint="eastAsia" w:ascii="仿宋" w:hAnsi="仿宋" w:eastAsia="仿宋" w:cs="仿宋"/>
          <w:color w:val="auto"/>
          <w:highlight w:val="none"/>
        </w:rPr>
      </w:pPr>
    </w:p>
    <w:p w14:paraId="4E272AD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名称（</w:t>
      </w:r>
      <w:r>
        <w:rPr>
          <w:rFonts w:hint="eastAsia" w:ascii="仿宋" w:hAnsi="仿宋" w:eastAsia="仿宋" w:cs="仿宋"/>
          <w:color w:val="auto"/>
          <w:sz w:val="24"/>
          <w:highlight w:val="none"/>
          <w:shd w:val="clear" w:color="auto" w:fill="auto"/>
          <w:lang w:val="en-US" w:eastAsia="zh-CN"/>
        </w:rPr>
        <w:t>电子签章</w:t>
      </w:r>
      <w:r>
        <w:rPr>
          <w:rFonts w:hint="eastAsia" w:ascii="仿宋" w:hAnsi="仿宋" w:eastAsia="仿宋" w:cs="仿宋"/>
          <w:color w:val="auto"/>
          <w:sz w:val="24"/>
          <w:highlight w:val="none"/>
          <w:shd w:val="clear" w:color="auto" w:fill="auto"/>
        </w:rPr>
        <w:t>）：</w:t>
      </w:r>
    </w:p>
    <w:p w14:paraId="2DCDFE6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rPr>
        <w:t>法人代表</w:t>
      </w:r>
      <w:r>
        <w:rPr>
          <w:rFonts w:hint="eastAsia" w:ascii="仿宋" w:hAnsi="仿宋" w:eastAsia="仿宋" w:cs="仿宋"/>
          <w:color w:val="auto"/>
          <w:sz w:val="24"/>
          <w:highlight w:val="none"/>
        </w:rPr>
        <w:t>（电子签名或签章）</w:t>
      </w:r>
      <w:r>
        <w:rPr>
          <w:rFonts w:hint="eastAsia" w:ascii="仿宋" w:hAnsi="仿宋" w:eastAsia="仿宋" w:cs="仿宋"/>
          <w:color w:val="auto"/>
          <w:sz w:val="24"/>
          <w:szCs w:val="24"/>
          <w:highlight w:val="none"/>
        </w:rPr>
        <w:t>：</w:t>
      </w:r>
    </w:p>
    <w:p w14:paraId="0D54A63C">
      <w:pPr>
        <w:keepNext w:val="0"/>
        <w:keepLines w:val="0"/>
        <w:pageBreakBefore w:val="0"/>
        <w:widowControl w:val="0"/>
        <w:kinsoku/>
        <w:wordWrap/>
        <w:overflowPunct/>
        <w:topLinePunct w:val="0"/>
        <w:autoSpaceDE/>
        <w:autoSpaceDN/>
        <w:bidi w:val="0"/>
        <w:adjustRightInd/>
        <w:snapToGrid/>
        <w:spacing w:line="480" w:lineRule="auto"/>
        <w:ind w:firstLine="0" w:firstLineChars="0"/>
        <w:jc w:val="left"/>
        <w:textAlignment w:val="auto"/>
        <w:rPr>
          <w:rFonts w:hint="eastAsia" w:ascii="仿宋" w:hAnsi="仿宋" w:eastAsia="仿宋" w:cs="仿宋"/>
          <w:color w:val="auto"/>
          <w:highlight w:val="none"/>
          <w:u w:val="single"/>
          <w:lang w:eastAsia="zh-CN"/>
        </w:rPr>
      </w:pPr>
      <w:r>
        <w:rPr>
          <w:rFonts w:hint="eastAsia" w:ascii="仿宋" w:hAnsi="仿宋" w:eastAsia="仿宋" w:cs="仿宋"/>
          <w:color w:val="auto"/>
          <w:sz w:val="24"/>
          <w:highlight w:val="none"/>
          <w:shd w:val="clear" w:color="auto" w:fill="auto"/>
          <w:lang w:eastAsia="zh-CN"/>
        </w:rPr>
        <w:t>日期：</w:t>
      </w:r>
    </w:p>
    <w:p w14:paraId="6667F0A6">
      <w:pPr>
        <w:pStyle w:val="10"/>
        <w:rPr>
          <w:rFonts w:hint="eastAsia" w:ascii="仿宋" w:hAnsi="仿宋" w:eastAsia="仿宋" w:cs="仿宋"/>
          <w:color w:val="auto"/>
          <w:highlight w:val="none"/>
        </w:rPr>
      </w:pPr>
    </w:p>
    <w:p w14:paraId="649C0567">
      <w:pPr>
        <w:pStyle w:val="102"/>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color w:val="auto"/>
          <w:kern w:val="2"/>
          <w:sz w:val="30"/>
          <w:szCs w:val="30"/>
          <w:highlight w:val="none"/>
          <w:lang w:val="en-US" w:eastAsia="zh-CN" w:bidi="ar-SA"/>
        </w:rPr>
      </w:pPr>
      <w:r>
        <w:rPr>
          <w:rFonts w:hint="eastAsia" w:ascii="仿宋" w:hAnsi="仿宋" w:eastAsia="仿宋" w:cs="仿宋"/>
          <w:b/>
          <w:color w:val="auto"/>
          <w:sz w:val="30"/>
          <w:szCs w:val="30"/>
          <w:highlight w:val="none"/>
        </w:rPr>
        <w:br w:type="page"/>
      </w:r>
      <w:bookmarkEnd w:id="63"/>
      <w:bookmarkEnd w:id="64"/>
      <w:bookmarkEnd w:id="65"/>
      <w:r>
        <w:rPr>
          <w:rFonts w:hint="eastAsia" w:ascii="仿宋" w:hAnsi="仿宋" w:eastAsia="仿宋" w:cs="仿宋"/>
          <w:b/>
          <w:bCs/>
          <w:color w:val="auto"/>
          <w:kern w:val="2"/>
          <w:sz w:val="30"/>
          <w:szCs w:val="30"/>
          <w:highlight w:val="none"/>
          <w:lang w:val="en-US" w:eastAsia="zh-CN" w:bidi="ar-SA"/>
        </w:rPr>
        <w:t>9、技术参数条款偏离表</w:t>
      </w:r>
    </w:p>
    <w:p w14:paraId="1B4AE8D9">
      <w:pPr>
        <w:pStyle w:val="120"/>
        <w:spacing w:line="360" w:lineRule="auto"/>
        <w:ind w:left="0" w:leftChars="0"/>
        <w:rPr>
          <w:rFonts w:hint="eastAsia" w:ascii="仿宋" w:hAnsi="仿宋" w:eastAsia="仿宋" w:cs="仿宋"/>
          <w:color w:val="auto"/>
          <w:highlight w:val="none"/>
          <w:lang w:eastAsia="zh-CN"/>
        </w:rPr>
      </w:pPr>
      <w:r>
        <w:rPr>
          <w:rFonts w:hint="eastAsia" w:ascii="仿宋" w:hAnsi="仿宋" w:eastAsia="仿宋" w:cs="仿宋"/>
          <w:color w:val="auto"/>
          <w:highlight w:val="none"/>
        </w:rPr>
        <w:t>供应商名称：项目编号：</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14:paraId="6FE5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noWrap w:val="0"/>
            <w:vAlign w:val="center"/>
          </w:tcPr>
          <w:p w14:paraId="0D496D94">
            <w:pPr>
              <w:pStyle w:val="121"/>
              <w:tabs>
                <w:tab w:val="left" w:pos="1337"/>
              </w:tabs>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2101" w:type="dxa"/>
            <w:tcBorders>
              <w:top w:val="single" w:color="auto" w:sz="12" w:space="0"/>
            </w:tcBorders>
            <w:noWrap w:val="0"/>
            <w:vAlign w:val="center"/>
          </w:tcPr>
          <w:p w14:paraId="7AF1C937">
            <w:pPr>
              <w:pStyle w:val="121"/>
              <w:tabs>
                <w:tab w:val="left" w:pos="1337"/>
              </w:tabs>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名称</w:t>
            </w:r>
          </w:p>
        </w:tc>
        <w:tc>
          <w:tcPr>
            <w:tcW w:w="1021" w:type="dxa"/>
            <w:tcBorders>
              <w:top w:val="single" w:color="auto" w:sz="12" w:space="0"/>
            </w:tcBorders>
            <w:noWrap w:val="0"/>
            <w:vAlign w:val="center"/>
          </w:tcPr>
          <w:p w14:paraId="430866C3">
            <w:pPr>
              <w:pStyle w:val="121"/>
              <w:tabs>
                <w:tab w:val="left" w:pos="1337"/>
              </w:tabs>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1707" w:type="dxa"/>
            <w:tcBorders>
              <w:top w:val="single" w:color="auto" w:sz="12" w:space="0"/>
            </w:tcBorders>
            <w:noWrap w:val="0"/>
            <w:vAlign w:val="center"/>
          </w:tcPr>
          <w:p w14:paraId="432005A8">
            <w:pPr>
              <w:pStyle w:val="121"/>
              <w:tabs>
                <w:tab w:val="left" w:pos="1337"/>
              </w:tabs>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采购</w:t>
            </w:r>
            <w:r>
              <w:rPr>
                <w:rFonts w:hint="eastAsia" w:ascii="仿宋" w:hAnsi="仿宋" w:eastAsia="仿宋" w:cs="仿宋"/>
                <w:bCs/>
                <w:color w:val="auto"/>
                <w:sz w:val="24"/>
                <w:highlight w:val="none"/>
              </w:rPr>
              <w:t>文件技术规范、要求</w:t>
            </w:r>
          </w:p>
        </w:tc>
        <w:tc>
          <w:tcPr>
            <w:tcW w:w="1337" w:type="dxa"/>
            <w:tcBorders>
              <w:top w:val="single" w:color="auto" w:sz="12" w:space="0"/>
            </w:tcBorders>
            <w:noWrap w:val="0"/>
            <w:vAlign w:val="center"/>
          </w:tcPr>
          <w:p w14:paraId="5669D81F">
            <w:pPr>
              <w:pStyle w:val="121"/>
              <w:tabs>
                <w:tab w:val="left" w:pos="1337"/>
              </w:tabs>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响应文件对应规范</w:t>
            </w:r>
          </w:p>
        </w:tc>
        <w:tc>
          <w:tcPr>
            <w:tcW w:w="1337" w:type="dxa"/>
            <w:tcBorders>
              <w:top w:val="single" w:color="auto" w:sz="12" w:space="0"/>
            </w:tcBorders>
            <w:noWrap w:val="0"/>
            <w:vAlign w:val="center"/>
          </w:tcPr>
          <w:p w14:paraId="60F99327">
            <w:pPr>
              <w:pStyle w:val="121"/>
              <w:tabs>
                <w:tab w:val="left" w:pos="1337"/>
              </w:tabs>
              <w:spacing w:line="360" w:lineRule="auto"/>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偏</w:t>
            </w:r>
            <w:r>
              <w:rPr>
                <w:rFonts w:hint="eastAsia" w:ascii="仿宋" w:hAnsi="仿宋" w:eastAsia="仿宋" w:cs="仿宋"/>
                <w:bCs/>
                <w:color w:val="auto"/>
                <w:sz w:val="24"/>
                <w:highlight w:val="none"/>
                <w:lang w:eastAsia="zh-CN"/>
              </w:rPr>
              <w:t>离</w:t>
            </w:r>
          </w:p>
        </w:tc>
        <w:tc>
          <w:tcPr>
            <w:tcW w:w="977" w:type="dxa"/>
            <w:tcBorders>
              <w:top w:val="single" w:color="auto" w:sz="12" w:space="0"/>
              <w:right w:val="single" w:color="auto" w:sz="12" w:space="0"/>
            </w:tcBorders>
            <w:noWrap w:val="0"/>
            <w:vAlign w:val="center"/>
          </w:tcPr>
          <w:p w14:paraId="3D831A51">
            <w:pPr>
              <w:pStyle w:val="121"/>
              <w:tabs>
                <w:tab w:val="left" w:pos="1337"/>
              </w:tabs>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14:paraId="35BF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noWrap w:val="0"/>
            <w:vAlign w:val="center"/>
          </w:tcPr>
          <w:p w14:paraId="5EE052AF">
            <w:pPr>
              <w:pStyle w:val="121"/>
              <w:tabs>
                <w:tab w:val="left" w:pos="1337"/>
              </w:tabs>
              <w:spacing w:line="360" w:lineRule="auto"/>
              <w:jc w:val="center"/>
              <w:rPr>
                <w:rFonts w:hint="eastAsia" w:ascii="仿宋" w:hAnsi="仿宋" w:eastAsia="仿宋" w:cs="仿宋"/>
                <w:color w:val="auto"/>
                <w:sz w:val="24"/>
                <w:highlight w:val="none"/>
              </w:rPr>
            </w:pPr>
          </w:p>
        </w:tc>
        <w:tc>
          <w:tcPr>
            <w:tcW w:w="2101" w:type="dxa"/>
            <w:noWrap w:val="0"/>
            <w:vAlign w:val="center"/>
          </w:tcPr>
          <w:p w14:paraId="3FB406BC">
            <w:pPr>
              <w:pStyle w:val="121"/>
              <w:tabs>
                <w:tab w:val="left" w:pos="1337"/>
              </w:tabs>
              <w:spacing w:line="360" w:lineRule="auto"/>
              <w:jc w:val="center"/>
              <w:rPr>
                <w:rFonts w:hint="eastAsia" w:ascii="仿宋" w:hAnsi="仿宋" w:eastAsia="仿宋" w:cs="仿宋"/>
                <w:color w:val="auto"/>
                <w:sz w:val="24"/>
                <w:highlight w:val="none"/>
              </w:rPr>
            </w:pPr>
          </w:p>
        </w:tc>
        <w:tc>
          <w:tcPr>
            <w:tcW w:w="1021" w:type="dxa"/>
            <w:noWrap w:val="0"/>
            <w:vAlign w:val="center"/>
          </w:tcPr>
          <w:p w14:paraId="0489837F">
            <w:pPr>
              <w:pStyle w:val="121"/>
              <w:tabs>
                <w:tab w:val="left" w:pos="1337"/>
              </w:tabs>
              <w:spacing w:line="360" w:lineRule="auto"/>
              <w:jc w:val="center"/>
              <w:rPr>
                <w:rFonts w:hint="eastAsia" w:ascii="仿宋" w:hAnsi="仿宋" w:eastAsia="仿宋" w:cs="仿宋"/>
                <w:color w:val="auto"/>
                <w:sz w:val="24"/>
                <w:highlight w:val="none"/>
              </w:rPr>
            </w:pPr>
          </w:p>
        </w:tc>
        <w:tc>
          <w:tcPr>
            <w:tcW w:w="1707" w:type="dxa"/>
            <w:noWrap w:val="0"/>
            <w:vAlign w:val="center"/>
          </w:tcPr>
          <w:p w14:paraId="66D71DC4">
            <w:pPr>
              <w:pStyle w:val="121"/>
              <w:tabs>
                <w:tab w:val="left" w:pos="1337"/>
              </w:tabs>
              <w:spacing w:line="360" w:lineRule="auto"/>
              <w:jc w:val="center"/>
              <w:rPr>
                <w:rFonts w:hint="eastAsia" w:ascii="仿宋" w:hAnsi="仿宋" w:eastAsia="仿宋" w:cs="仿宋"/>
                <w:color w:val="auto"/>
                <w:sz w:val="24"/>
                <w:highlight w:val="none"/>
              </w:rPr>
            </w:pPr>
          </w:p>
        </w:tc>
        <w:tc>
          <w:tcPr>
            <w:tcW w:w="1337" w:type="dxa"/>
            <w:noWrap w:val="0"/>
            <w:vAlign w:val="center"/>
          </w:tcPr>
          <w:p w14:paraId="4D4C302B">
            <w:pPr>
              <w:pStyle w:val="121"/>
              <w:tabs>
                <w:tab w:val="left" w:pos="1337"/>
              </w:tabs>
              <w:spacing w:line="360" w:lineRule="auto"/>
              <w:jc w:val="center"/>
              <w:rPr>
                <w:rFonts w:hint="eastAsia" w:ascii="仿宋" w:hAnsi="仿宋" w:eastAsia="仿宋" w:cs="仿宋"/>
                <w:color w:val="auto"/>
                <w:sz w:val="24"/>
                <w:highlight w:val="none"/>
              </w:rPr>
            </w:pPr>
          </w:p>
        </w:tc>
        <w:tc>
          <w:tcPr>
            <w:tcW w:w="1337" w:type="dxa"/>
            <w:noWrap w:val="0"/>
            <w:vAlign w:val="center"/>
          </w:tcPr>
          <w:p w14:paraId="49418EB5">
            <w:pPr>
              <w:pStyle w:val="121"/>
              <w:tabs>
                <w:tab w:val="left" w:pos="1337"/>
              </w:tabs>
              <w:spacing w:line="360" w:lineRule="auto"/>
              <w:jc w:val="center"/>
              <w:rPr>
                <w:rFonts w:hint="eastAsia" w:ascii="仿宋" w:hAnsi="仿宋" w:eastAsia="仿宋" w:cs="仿宋"/>
                <w:color w:val="auto"/>
                <w:sz w:val="24"/>
                <w:highlight w:val="none"/>
              </w:rPr>
            </w:pPr>
          </w:p>
        </w:tc>
        <w:tc>
          <w:tcPr>
            <w:tcW w:w="977" w:type="dxa"/>
            <w:tcBorders>
              <w:right w:val="single" w:color="auto" w:sz="12" w:space="0"/>
            </w:tcBorders>
            <w:noWrap w:val="0"/>
            <w:vAlign w:val="center"/>
          </w:tcPr>
          <w:p w14:paraId="30B67722">
            <w:pPr>
              <w:pStyle w:val="121"/>
              <w:tabs>
                <w:tab w:val="left" w:pos="1337"/>
              </w:tabs>
              <w:spacing w:line="360" w:lineRule="auto"/>
              <w:jc w:val="center"/>
              <w:rPr>
                <w:rFonts w:hint="eastAsia" w:ascii="仿宋" w:hAnsi="仿宋" w:eastAsia="仿宋" w:cs="仿宋"/>
                <w:color w:val="auto"/>
                <w:sz w:val="24"/>
                <w:highlight w:val="none"/>
              </w:rPr>
            </w:pPr>
          </w:p>
        </w:tc>
      </w:tr>
      <w:tr w14:paraId="08D9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noWrap w:val="0"/>
            <w:vAlign w:val="center"/>
          </w:tcPr>
          <w:p w14:paraId="4463E224">
            <w:pPr>
              <w:pStyle w:val="121"/>
              <w:tabs>
                <w:tab w:val="left" w:pos="1337"/>
              </w:tabs>
              <w:spacing w:line="360" w:lineRule="auto"/>
              <w:jc w:val="center"/>
              <w:rPr>
                <w:rFonts w:hint="eastAsia" w:ascii="仿宋" w:hAnsi="仿宋" w:eastAsia="仿宋" w:cs="仿宋"/>
                <w:color w:val="auto"/>
                <w:sz w:val="24"/>
                <w:highlight w:val="none"/>
              </w:rPr>
            </w:pPr>
          </w:p>
        </w:tc>
        <w:tc>
          <w:tcPr>
            <w:tcW w:w="2101" w:type="dxa"/>
            <w:noWrap w:val="0"/>
            <w:vAlign w:val="center"/>
          </w:tcPr>
          <w:p w14:paraId="6661A9B7">
            <w:pPr>
              <w:pStyle w:val="121"/>
              <w:tabs>
                <w:tab w:val="left" w:pos="1337"/>
              </w:tabs>
              <w:spacing w:line="360" w:lineRule="auto"/>
              <w:jc w:val="center"/>
              <w:rPr>
                <w:rFonts w:hint="eastAsia" w:ascii="仿宋" w:hAnsi="仿宋" w:eastAsia="仿宋" w:cs="仿宋"/>
                <w:color w:val="auto"/>
                <w:sz w:val="24"/>
                <w:highlight w:val="none"/>
              </w:rPr>
            </w:pPr>
          </w:p>
        </w:tc>
        <w:tc>
          <w:tcPr>
            <w:tcW w:w="1021" w:type="dxa"/>
            <w:noWrap w:val="0"/>
            <w:vAlign w:val="center"/>
          </w:tcPr>
          <w:p w14:paraId="6155FEEE">
            <w:pPr>
              <w:pStyle w:val="121"/>
              <w:tabs>
                <w:tab w:val="left" w:pos="1337"/>
              </w:tabs>
              <w:spacing w:line="360" w:lineRule="auto"/>
              <w:jc w:val="center"/>
              <w:rPr>
                <w:rFonts w:hint="eastAsia" w:ascii="仿宋" w:hAnsi="仿宋" w:eastAsia="仿宋" w:cs="仿宋"/>
                <w:color w:val="auto"/>
                <w:sz w:val="24"/>
                <w:highlight w:val="none"/>
              </w:rPr>
            </w:pPr>
          </w:p>
        </w:tc>
        <w:tc>
          <w:tcPr>
            <w:tcW w:w="1707" w:type="dxa"/>
            <w:noWrap w:val="0"/>
            <w:vAlign w:val="center"/>
          </w:tcPr>
          <w:p w14:paraId="76F99A66">
            <w:pPr>
              <w:pStyle w:val="121"/>
              <w:tabs>
                <w:tab w:val="left" w:pos="1337"/>
              </w:tabs>
              <w:spacing w:line="360" w:lineRule="auto"/>
              <w:jc w:val="center"/>
              <w:rPr>
                <w:rFonts w:hint="eastAsia" w:ascii="仿宋" w:hAnsi="仿宋" w:eastAsia="仿宋" w:cs="仿宋"/>
                <w:color w:val="auto"/>
                <w:sz w:val="24"/>
                <w:highlight w:val="none"/>
              </w:rPr>
            </w:pPr>
          </w:p>
        </w:tc>
        <w:tc>
          <w:tcPr>
            <w:tcW w:w="1337" w:type="dxa"/>
            <w:noWrap w:val="0"/>
            <w:vAlign w:val="center"/>
          </w:tcPr>
          <w:p w14:paraId="05F6DF2A">
            <w:pPr>
              <w:pStyle w:val="121"/>
              <w:tabs>
                <w:tab w:val="left" w:pos="1337"/>
              </w:tabs>
              <w:spacing w:line="360" w:lineRule="auto"/>
              <w:jc w:val="center"/>
              <w:rPr>
                <w:rFonts w:hint="eastAsia" w:ascii="仿宋" w:hAnsi="仿宋" w:eastAsia="仿宋" w:cs="仿宋"/>
                <w:color w:val="auto"/>
                <w:sz w:val="24"/>
                <w:highlight w:val="none"/>
              </w:rPr>
            </w:pPr>
          </w:p>
        </w:tc>
        <w:tc>
          <w:tcPr>
            <w:tcW w:w="1337" w:type="dxa"/>
            <w:noWrap w:val="0"/>
            <w:vAlign w:val="center"/>
          </w:tcPr>
          <w:p w14:paraId="2C7F0D63">
            <w:pPr>
              <w:pStyle w:val="121"/>
              <w:tabs>
                <w:tab w:val="left" w:pos="1337"/>
              </w:tabs>
              <w:spacing w:line="360" w:lineRule="auto"/>
              <w:jc w:val="center"/>
              <w:rPr>
                <w:rFonts w:hint="eastAsia" w:ascii="仿宋" w:hAnsi="仿宋" w:eastAsia="仿宋" w:cs="仿宋"/>
                <w:color w:val="auto"/>
                <w:sz w:val="24"/>
                <w:highlight w:val="none"/>
              </w:rPr>
            </w:pPr>
          </w:p>
        </w:tc>
        <w:tc>
          <w:tcPr>
            <w:tcW w:w="977" w:type="dxa"/>
            <w:tcBorders>
              <w:right w:val="single" w:color="auto" w:sz="12" w:space="0"/>
            </w:tcBorders>
            <w:noWrap w:val="0"/>
            <w:vAlign w:val="center"/>
          </w:tcPr>
          <w:p w14:paraId="586A8DD7">
            <w:pPr>
              <w:pStyle w:val="121"/>
              <w:tabs>
                <w:tab w:val="left" w:pos="1337"/>
              </w:tabs>
              <w:spacing w:line="360" w:lineRule="auto"/>
              <w:jc w:val="center"/>
              <w:rPr>
                <w:rFonts w:hint="eastAsia" w:ascii="仿宋" w:hAnsi="仿宋" w:eastAsia="仿宋" w:cs="仿宋"/>
                <w:color w:val="auto"/>
                <w:sz w:val="24"/>
                <w:highlight w:val="none"/>
              </w:rPr>
            </w:pPr>
          </w:p>
        </w:tc>
      </w:tr>
      <w:tr w14:paraId="25D8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noWrap w:val="0"/>
            <w:vAlign w:val="center"/>
          </w:tcPr>
          <w:p w14:paraId="04321F56">
            <w:pPr>
              <w:pStyle w:val="121"/>
              <w:tabs>
                <w:tab w:val="left" w:pos="1337"/>
              </w:tabs>
              <w:spacing w:line="360" w:lineRule="auto"/>
              <w:jc w:val="center"/>
              <w:rPr>
                <w:rFonts w:hint="eastAsia" w:ascii="仿宋" w:hAnsi="仿宋" w:eastAsia="仿宋" w:cs="仿宋"/>
                <w:color w:val="auto"/>
                <w:sz w:val="24"/>
                <w:highlight w:val="none"/>
              </w:rPr>
            </w:pPr>
          </w:p>
        </w:tc>
        <w:tc>
          <w:tcPr>
            <w:tcW w:w="2101" w:type="dxa"/>
            <w:noWrap w:val="0"/>
            <w:vAlign w:val="center"/>
          </w:tcPr>
          <w:p w14:paraId="5E1FDEC4">
            <w:pPr>
              <w:pStyle w:val="121"/>
              <w:tabs>
                <w:tab w:val="left" w:pos="1337"/>
              </w:tabs>
              <w:spacing w:line="360" w:lineRule="auto"/>
              <w:jc w:val="center"/>
              <w:rPr>
                <w:rFonts w:hint="eastAsia" w:ascii="仿宋" w:hAnsi="仿宋" w:eastAsia="仿宋" w:cs="仿宋"/>
                <w:color w:val="auto"/>
                <w:sz w:val="24"/>
                <w:highlight w:val="none"/>
              </w:rPr>
            </w:pPr>
          </w:p>
        </w:tc>
        <w:tc>
          <w:tcPr>
            <w:tcW w:w="1021" w:type="dxa"/>
            <w:noWrap w:val="0"/>
            <w:vAlign w:val="center"/>
          </w:tcPr>
          <w:p w14:paraId="629B5141">
            <w:pPr>
              <w:pStyle w:val="121"/>
              <w:tabs>
                <w:tab w:val="left" w:pos="1337"/>
              </w:tabs>
              <w:spacing w:line="360" w:lineRule="auto"/>
              <w:jc w:val="center"/>
              <w:rPr>
                <w:rFonts w:hint="eastAsia" w:ascii="仿宋" w:hAnsi="仿宋" w:eastAsia="仿宋" w:cs="仿宋"/>
                <w:color w:val="auto"/>
                <w:sz w:val="24"/>
                <w:highlight w:val="none"/>
              </w:rPr>
            </w:pPr>
          </w:p>
        </w:tc>
        <w:tc>
          <w:tcPr>
            <w:tcW w:w="1707" w:type="dxa"/>
            <w:noWrap w:val="0"/>
            <w:vAlign w:val="center"/>
          </w:tcPr>
          <w:p w14:paraId="168A0F0F">
            <w:pPr>
              <w:pStyle w:val="121"/>
              <w:tabs>
                <w:tab w:val="left" w:pos="1337"/>
              </w:tabs>
              <w:spacing w:line="360" w:lineRule="auto"/>
              <w:jc w:val="center"/>
              <w:rPr>
                <w:rFonts w:hint="eastAsia" w:ascii="仿宋" w:hAnsi="仿宋" w:eastAsia="仿宋" w:cs="仿宋"/>
                <w:color w:val="auto"/>
                <w:sz w:val="24"/>
                <w:highlight w:val="none"/>
              </w:rPr>
            </w:pPr>
          </w:p>
        </w:tc>
        <w:tc>
          <w:tcPr>
            <w:tcW w:w="1337" w:type="dxa"/>
            <w:noWrap w:val="0"/>
            <w:vAlign w:val="center"/>
          </w:tcPr>
          <w:p w14:paraId="6B622253">
            <w:pPr>
              <w:pStyle w:val="121"/>
              <w:tabs>
                <w:tab w:val="left" w:pos="1337"/>
              </w:tabs>
              <w:spacing w:line="360" w:lineRule="auto"/>
              <w:jc w:val="center"/>
              <w:rPr>
                <w:rFonts w:hint="eastAsia" w:ascii="仿宋" w:hAnsi="仿宋" w:eastAsia="仿宋" w:cs="仿宋"/>
                <w:color w:val="auto"/>
                <w:sz w:val="24"/>
                <w:highlight w:val="none"/>
              </w:rPr>
            </w:pPr>
          </w:p>
        </w:tc>
        <w:tc>
          <w:tcPr>
            <w:tcW w:w="1337" w:type="dxa"/>
            <w:noWrap w:val="0"/>
            <w:vAlign w:val="center"/>
          </w:tcPr>
          <w:p w14:paraId="7F8AFCAE">
            <w:pPr>
              <w:pStyle w:val="121"/>
              <w:tabs>
                <w:tab w:val="left" w:pos="1337"/>
              </w:tabs>
              <w:spacing w:line="360" w:lineRule="auto"/>
              <w:jc w:val="center"/>
              <w:rPr>
                <w:rFonts w:hint="eastAsia" w:ascii="仿宋" w:hAnsi="仿宋" w:eastAsia="仿宋" w:cs="仿宋"/>
                <w:color w:val="auto"/>
                <w:sz w:val="24"/>
                <w:highlight w:val="none"/>
              </w:rPr>
            </w:pPr>
          </w:p>
        </w:tc>
        <w:tc>
          <w:tcPr>
            <w:tcW w:w="977" w:type="dxa"/>
            <w:tcBorders>
              <w:right w:val="single" w:color="auto" w:sz="12" w:space="0"/>
            </w:tcBorders>
            <w:noWrap w:val="0"/>
            <w:vAlign w:val="center"/>
          </w:tcPr>
          <w:p w14:paraId="265B6DD9">
            <w:pPr>
              <w:pStyle w:val="121"/>
              <w:tabs>
                <w:tab w:val="left" w:pos="1337"/>
              </w:tabs>
              <w:spacing w:line="360" w:lineRule="auto"/>
              <w:jc w:val="center"/>
              <w:rPr>
                <w:rFonts w:hint="eastAsia" w:ascii="仿宋" w:hAnsi="仿宋" w:eastAsia="仿宋" w:cs="仿宋"/>
                <w:color w:val="auto"/>
                <w:sz w:val="24"/>
                <w:highlight w:val="none"/>
              </w:rPr>
            </w:pPr>
          </w:p>
        </w:tc>
      </w:tr>
      <w:tr w14:paraId="64ED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noWrap w:val="0"/>
            <w:vAlign w:val="center"/>
          </w:tcPr>
          <w:p w14:paraId="7D689D22">
            <w:pPr>
              <w:pStyle w:val="121"/>
              <w:tabs>
                <w:tab w:val="left" w:pos="1337"/>
              </w:tabs>
              <w:spacing w:line="360" w:lineRule="auto"/>
              <w:jc w:val="center"/>
              <w:rPr>
                <w:rFonts w:hint="eastAsia" w:ascii="仿宋" w:hAnsi="仿宋" w:eastAsia="仿宋" w:cs="仿宋"/>
                <w:color w:val="auto"/>
                <w:sz w:val="24"/>
                <w:highlight w:val="none"/>
              </w:rPr>
            </w:pPr>
          </w:p>
        </w:tc>
        <w:tc>
          <w:tcPr>
            <w:tcW w:w="2101" w:type="dxa"/>
            <w:noWrap w:val="0"/>
            <w:vAlign w:val="center"/>
          </w:tcPr>
          <w:p w14:paraId="510D6DDE">
            <w:pPr>
              <w:pStyle w:val="121"/>
              <w:tabs>
                <w:tab w:val="left" w:pos="1337"/>
              </w:tabs>
              <w:spacing w:line="360" w:lineRule="auto"/>
              <w:jc w:val="center"/>
              <w:rPr>
                <w:rFonts w:hint="eastAsia" w:ascii="仿宋" w:hAnsi="仿宋" w:eastAsia="仿宋" w:cs="仿宋"/>
                <w:color w:val="auto"/>
                <w:sz w:val="24"/>
                <w:highlight w:val="none"/>
              </w:rPr>
            </w:pPr>
          </w:p>
        </w:tc>
        <w:tc>
          <w:tcPr>
            <w:tcW w:w="1021" w:type="dxa"/>
            <w:noWrap w:val="0"/>
            <w:vAlign w:val="center"/>
          </w:tcPr>
          <w:p w14:paraId="493B92DA">
            <w:pPr>
              <w:pStyle w:val="121"/>
              <w:tabs>
                <w:tab w:val="left" w:pos="1337"/>
              </w:tabs>
              <w:spacing w:line="360" w:lineRule="auto"/>
              <w:jc w:val="center"/>
              <w:rPr>
                <w:rFonts w:hint="eastAsia" w:ascii="仿宋" w:hAnsi="仿宋" w:eastAsia="仿宋" w:cs="仿宋"/>
                <w:color w:val="auto"/>
                <w:sz w:val="24"/>
                <w:highlight w:val="none"/>
              </w:rPr>
            </w:pPr>
          </w:p>
        </w:tc>
        <w:tc>
          <w:tcPr>
            <w:tcW w:w="1707" w:type="dxa"/>
            <w:noWrap w:val="0"/>
            <w:vAlign w:val="center"/>
          </w:tcPr>
          <w:p w14:paraId="6505B061">
            <w:pPr>
              <w:pStyle w:val="121"/>
              <w:tabs>
                <w:tab w:val="left" w:pos="1337"/>
              </w:tabs>
              <w:spacing w:line="360" w:lineRule="auto"/>
              <w:jc w:val="center"/>
              <w:rPr>
                <w:rFonts w:hint="eastAsia" w:ascii="仿宋" w:hAnsi="仿宋" w:eastAsia="仿宋" w:cs="仿宋"/>
                <w:color w:val="auto"/>
                <w:sz w:val="24"/>
                <w:highlight w:val="none"/>
              </w:rPr>
            </w:pPr>
          </w:p>
        </w:tc>
        <w:tc>
          <w:tcPr>
            <w:tcW w:w="1337" w:type="dxa"/>
            <w:noWrap w:val="0"/>
            <w:vAlign w:val="center"/>
          </w:tcPr>
          <w:p w14:paraId="6328174D">
            <w:pPr>
              <w:pStyle w:val="121"/>
              <w:tabs>
                <w:tab w:val="left" w:pos="1337"/>
              </w:tabs>
              <w:spacing w:line="360" w:lineRule="auto"/>
              <w:jc w:val="center"/>
              <w:rPr>
                <w:rFonts w:hint="eastAsia" w:ascii="仿宋" w:hAnsi="仿宋" w:eastAsia="仿宋" w:cs="仿宋"/>
                <w:color w:val="auto"/>
                <w:sz w:val="24"/>
                <w:highlight w:val="none"/>
              </w:rPr>
            </w:pPr>
          </w:p>
        </w:tc>
        <w:tc>
          <w:tcPr>
            <w:tcW w:w="1337" w:type="dxa"/>
            <w:noWrap w:val="0"/>
            <w:vAlign w:val="center"/>
          </w:tcPr>
          <w:p w14:paraId="24CAB50C">
            <w:pPr>
              <w:pStyle w:val="121"/>
              <w:tabs>
                <w:tab w:val="left" w:pos="1337"/>
              </w:tabs>
              <w:spacing w:line="360" w:lineRule="auto"/>
              <w:jc w:val="center"/>
              <w:rPr>
                <w:rFonts w:hint="eastAsia" w:ascii="仿宋" w:hAnsi="仿宋" w:eastAsia="仿宋" w:cs="仿宋"/>
                <w:color w:val="auto"/>
                <w:sz w:val="24"/>
                <w:highlight w:val="none"/>
              </w:rPr>
            </w:pPr>
          </w:p>
        </w:tc>
        <w:tc>
          <w:tcPr>
            <w:tcW w:w="977" w:type="dxa"/>
            <w:tcBorders>
              <w:right w:val="single" w:color="auto" w:sz="12" w:space="0"/>
            </w:tcBorders>
            <w:noWrap w:val="0"/>
            <w:vAlign w:val="center"/>
          </w:tcPr>
          <w:p w14:paraId="14481BD9">
            <w:pPr>
              <w:pStyle w:val="121"/>
              <w:tabs>
                <w:tab w:val="left" w:pos="1337"/>
              </w:tabs>
              <w:spacing w:line="360" w:lineRule="auto"/>
              <w:jc w:val="center"/>
              <w:rPr>
                <w:rFonts w:hint="eastAsia" w:ascii="仿宋" w:hAnsi="仿宋" w:eastAsia="仿宋" w:cs="仿宋"/>
                <w:color w:val="auto"/>
                <w:sz w:val="24"/>
                <w:highlight w:val="none"/>
              </w:rPr>
            </w:pPr>
          </w:p>
        </w:tc>
      </w:tr>
      <w:tr w14:paraId="75F82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bottom w:val="single" w:color="auto" w:sz="12" w:space="0"/>
            </w:tcBorders>
            <w:noWrap w:val="0"/>
            <w:vAlign w:val="center"/>
          </w:tcPr>
          <w:p w14:paraId="296375A8">
            <w:pPr>
              <w:pStyle w:val="121"/>
              <w:tabs>
                <w:tab w:val="left" w:pos="1337"/>
              </w:tabs>
              <w:spacing w:line="360" w:lineRule="auto"/>
              <w:jc w:val="center"/>
              <w:rPr>
                <w:rFonts w:hint="eastAsia" w:ascii="仿宋" w:hAnsi="仿宋" w:eastAsia="仿宋" w:cs="仿宋"/>
                <w:color w:val="auto"/>
                <w:sz w:val="24"/>
                <w:highlight w:val="none"/>
              </w:rPr>
            </w:pPr>
          </w:p>
        </w:tc>
        <w:tc>
          <w:tcPr>
            <w:tcW w:w="2101" w:type="dxa"/>
            <w:tcBorders>
              <w:bottom w:val="single" w:color="auto" w:sz="12" w:space="0"/>
            </w:tcBorders>
            <w:noWrap w:val="0"/>
            <w:vAlign w:val="center"/>
          </w:tcPr>
          <w:p w14:paraId="058D92CB">
            <w:pPr>
              <w:pStyle w:val="121"/>
              <w:tabs>
                <w:tab w:val="left" w:pos="1337"/>
              </w:tabs>
              <w:spacing w:line="360" w:lineRule="auto"/>
              <w:jc w:val="center"/>
              <w:rPr>
                <w:rFonts w:hint="eastAsia" w:ascii="仿宋" w:hAnsi="仿宋" w:eastAsia="仿宋" w:cs="仿宋"/>
                <w:color w:val="auto"/>
                <w:sz w:val="24"/>
                <w:highlight w:val="none"/>
              </w:rPr>
            </w:pPr>
          </w:p>
        </w:tc>
        <w:tc>
          <w:tcPr>
            <w:tcW w:w="1021" w:type="dxa"/>
            <w:tcBorders>
              <w:bottom w:val="single" w:color="auto" w:sz="12" w:space="0"/>
            </w:tcBorders>
            <w:noWrap w:val="0"/>
            <w:vAlign w:val="center"/>
          </w:tcPr>
          <w:p w14:paraId="42126B56">
            <w:pPr>
              <w:pStyle w:val="121"/>
              <w:tabs>
                <w:tab w:val="left" w:pos="1337"/>
              </w:tabs>
              <w:spacing w:line="360" w:lineRule="auto"/>
              <w:jc w:val="center"/>
              <w:rPr>
                <w:rFonts w:hint="eastAsia" w:ascii="仿宋" w:hAnsi="仿宋" w:eastAsia="仿宋" w:cs="仿宋"/>
                <w:color w:val="auto"/>
                <w:sz w:val="24"/>
                <w:highlight w:val="none"/>
              </w:rPr>
            </w:pPr>
          </w:p>
        </w:tc>
        <w:tc>
          <w:tcPr>
            <w:tcW w:w="1707" w:type="dxa"/>
            <w:tcBorders>
              <w:bottom w:val="single" w:color="auto" w:sz="12" w:space="0"/>
            </w:tcBorders>
            <w:noWrap w:val="0"/>
            <w:vAlign w:val="center"/>
          </w:tcPr>
          <w:p w14:paraId="0F8D8C83">
            <w:pPr>
              <w:pStyle w:val="121"/>
              <w:tabs>
                <w:tab w:val="left" w:pos="1337"/>
              </w:tabs>
              <w:spacing w:line="360" w:lineRule="auto"/>
              <w:jc w:val="center"/>
              <w:rPr>
                <w:rFonts w:hint="eastAsia" w:ascii="仿宋" w:hAnsi="仿宋" w:eastAsia="仿宋" w:cs="仿宋"/>
                <w:color w:val="auto"/>
                <w:sz w:val="24"/>
                <w:highlight w:val="none"/>
              </w:rPr>
            </w:pPr>
          </w:p>
        </w:tc>
        <w:tc>
          <w:tcPr>
            <w:tcW w:w="1337" w:type="dxa"/>
            <w:tcBorders>
              <w:bottom w:val="single" w:color="auto" w:sz="12" w:space="0"/>
            </w:tcBorders>
            <w:noWrap w:val="0"/>
            <w:vAlign w:val="center"/>
          </w:tcPr>
          <w:p w14:paraId="243185DD">
            <w:pPr>
              <w:pStyle w:val="121"/>
              <w:tabs>
                <w:tab w:val="left" w:pos="1337"/>
              </w:tabs>
              <w:spacing w:line="360" w:lineRule="auto"/>
              <w:jc w:val="center"/>
              <w:rPr>
                <w:rFonts w:hint="eastAsia" w:ascii="仿宋" w:hAnsi="仿宋" w:eastAsia="仿宋" w:cs="仿宋"/>
                <w:color w:val="auto"/>
                <w:sz w:val="24"/>
                <w:highlight w:val="none"/>
              </w:rPr>
            </w:pPr>
          </w:p>
        </w:tc>
        <w:tc>
          <w:tcPr>
            <w:tcW w:w="1337" w:type="dxa"/>
            <w:tcBorders>
              <w:bottom w:val="single" w:color="auto" w:sz="12" w:space="0"/>
            </w:tcBorders>
            <w:noWrap w:val="0"/>
            <w:vAlign w:val="center"/>
          </w:tcPr>
          <w:p w14:paraId="5D06BAAD">
            <w:pPr>
              <w:pStyle w:val="121"/>
              <w:tabs>
                <w:tab w:val="left" w:pos="1337"/>
              </w:tabs>
              <w:spacing w:line="360" w:lineRule="auto"/>
              <w:jc w:val="center"/>
              <w:rPr>
                <w:rFonts w:hint="eastAsia" w:ascii="仿宋" w:hAnsi="仿宋" w:eastAsia="仿宋" w:cs="仿宋"/>
                <w:color w:val="auto"/>
                <w:sz w:val="24"/>
                <w:highlight w:val="none"/>
              </w:rPr>
            </w:pPr>
          </w:p>
        </w:tc>
        <w:tc>
          <w:tcPr>
            <w:tcW w:w="977" w:type="dxa"/>
            <w:tcBorders>
              <w:bottom w:val="single" w:color="auto" w:sz="12" w:space="0"/>
              <w:right w:val="single" w:color="auto" w:sz="12" w:space="0"/>
            </w:tcBorders>
            <w:noWrap w:val="0"/>
            <w:vAlign w:val="center"/>
          </w:tcPr>
          <w:p w14:paraId="30D76817">
            <w:pPr>
              <w:pStyle w:val="121"/>
              <w:tabs>
                <w:tab w:val="left" w:pos="1337"/>
              </w:tabs>
              <w:spacing w:line="360" w:lineRule="auto"/>
              <w:jc w:val="center"/>
              <w:rPr>
                <w:rFonts w:hint="eastAsia" w:ascii="仿宋" w:hAnsi="仿宋" w:eastAsia="仿宋" w:cs="仿宋"/>
                <w:color w:val="auto"/>
                <w:sz w:val="24"/>
                <w:highlight w:val="none"/>
              </w:rPr>
            </w:pPr>
          </w:p>
        </w:tc>
      </w:tr>
    </w:tbl>
    <w:p w14:paraId="54365928">
      <w:pPr>
        <w:pStyle w:val="121"/>
        <w:spacing w:line="360" w:lineRule="auto"/>
        <w:ind w:left="2"/>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说明：供应商</w:t>
      </w:r>
      <w:r>
        <w:rPr>
          <w:rFonts w:hint="eastAsia" w:ascii="仿宋" w:hAnsi="仿宋" w:eastAsia="仿宋" w:cs="仿宋"/>
          <w:color w:val="auto"/>
          <w:sz w:val="24"/>
          <w:highlight w:val="none"/>
          <w:lang w:eastAsia="zh-CN"/>
        </w:rPr>
        <w:t>须与本询价文件第三部分采购需求中技术指标要求应逐条填写偏离表。</w:t>
      </w:r>
    </w:p>
    <w:p w14:paraId="5616A17D">
      <w:pPr>
        <w:spacing w:line="520" w:lineRule="exact"/>
        <w:ind w:firstLine="2280" w:firstLineChars="950"/>
        <w:rPr>
          <w:rFonts w:hint="eastAsia" w:ascii="仿宋" w:hAnsi="仿宋" w:eastAsia="仿宋" w:cs="仿宋"/>
          <w:color w:val="auto"/>
          <w:sz w:val="24"/>
          <w:highlight w:val="none"/>
          <w:lang w:eastAsia="zh-CN"/>
        </w:rPr>
      </w:pPr>
    </w:p>
    <w:p w14:paraId="11352FC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名称（</w:t>
      </w:r>
      <w:r>
        <w:rPr>
          <w:rFonts w:hint="eastAsia" w:ascii="仿宋" w:hAnsi="仿宋" w:eastAsia="仿宋" w:cs="仿宋"/>
          <w:color w:val="auto"/>
          <w:sz w:val="24"/>
          <w:highlight w:val="none"/>
          <w:shd w:val="clear" w:color="auto" w:fill="auto"/>
          <w:lang w:val="en-US" w:eastAsia="zh-CN"/>
        </w:rPr>
        <w:t>电子章</w:t>
      </w:r>
      <w:r>
        <w:rPr>
          <w:rFonts w:hint="eastAsia" w:ascii="仿宋" w:hAnsi="仿宋" w:eastAsia="仿宋" w:cs="仿宋"/>
          <w:color w:val="auto"/>
          <w:sz w:val="24"/>
          <w:highlight w:val="none"/>
          <w:shd w:val="clear" w:color="auto" w:fill="auto"/>
        </w:rPr>
        <w:t>）：</w:t>
      </w:r>
    </w:p>
    <w:p w14:paraId="18CCBC0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shd w:val="clear" w:color="auto" w:fill="auto"/>
          <w:lang w:eastAsia="zh-CN"/>
        </w:rPr>
        <w:t>法定代表人或委托</w:t>
      </w:r>
      <w:r>
        <w:rPr>
          <w:rFonts w:hint="eastAsia" w:ascii="仿宋" w:hAnsi="仿宋" w:eastAsia="仿宋" w:cs="仿宋"/>
          <w:color w:val="auto"/>
          <w:sz w:val="24"/>
          <w:highlight w:val="none"/>
          <w:shd w:val="clear" w:color="auto" w:fill="auto"/>
          <w:lang w:val="en-US" w:eastAsia="zh-CN"/>
        </w:rPr>
        <w:t>代理</w:t>
      </w:r>
      <w:r>
        <w:rPr>
          <w:rFonts w:hint="eastAsia" w:ascii="仿宋" w:hAnsi="仿宋" w:eastAsia="仿宋" w:cs="仿宋"/>
          <w:color w:val="auto"/>
          <w:sz w:val="24"/>
          <w:highlight w:val="none"/>
          <w:shd w:val="clear" w:color="auto" w:fill="auto"/>
          <w:lang w:eastAsia="zh-CN"/>
        </w:rPr>
        <w:t>人(签字或</w:t>
      </w:r>
      <w:r>
        <w:rPr>
          <w:rFonts w:hint="eastAsia" w:ascii="仿宋" w:hAnsi="仿宋" w:eastAsia="仿宋" w:cs="仿宋"/>
          <w:color w:val="auto"/>
          <w:sz w:val="24"/>
          <w:highlight w:val="none"/>
          <w:shd w:val="clear" w:color="auto" w:fill="auto"/>
          <w:lang w:val="en-US" w:eastAsia="zh-CN"/>
        </w:rPr>
        <w:t>电子签章</w:t>
      </w:r>
      <w:r>
        <w:rPr>
          <w:rFonts w:hint="eastAsia" w:ascii="仿宋" w:hAnsi="仿宋" w:eastAsia="仿宋" w:cs="仿宋"/>
          <w:color w:val="auto"/>
          <w:sz w:val="24"/>
          <w:highlight w:val="none"/>
          <w:shd w:val="clear" w:color="auto" w:fill="auto"/>
          <w:lang w:eastAsia="zh-CN"/>
        </w:rPr>
        <w:t>)：</w:t>
      </w:r>
    </w:p>
    <w:p w14:paraId="6FB8809E">
      <w:pPr>
        <w:keepNext w:val="0"/>
        <w:keepLines w:val="0"/>
        <w:pageBreakBefore w:val="0"/>
        <w:widowControl w:val="0"/>
        <w:kinsoku/>
        <w:wordWrap/>
        <w:overflowPunct/>
        <w:topLinePunct w:val="0"/>
        <w:autoSpaceDE/>
        <w:autoSpaceDN/>
        <w:bidi w:val="0"/>
        <w:adjustRightInd/>
        <w:snapToGrid/>
        <w:spacing w:line="480" w:lineRule="auto"/>
        <w:ind w:firstLine="0" w:firstLineChars="0"/>
        <w:jc w:val="left"/>
        <w:textAlignment w:val="auto"/>
        <w:rPr>
          <w:rFonts w:hint="eastAsia" w:ascii="仿宋" w:hAnsi="仿宋" w:eastAsia="仿宋" w:cs="仿宋"/>
          <w:color w:val="auto"/>
          <w:highlight w:val="none"/>
          <w:u w:val="single"/>
          <w:lang w:eastAsia="zh-CN"/>
        </w:rPr>
      </w:pPr>
      <w:r>
        <w:rPr>
          <w:rFonts w:hint="eastAsia" w:ascii="仿宋" w:hAnsi="仿宋" w:eastAsia="仿宋" w:cs="仿宋"/>
          <w:color w:val="auto"/>
          <w:sz w:val="24"/>
          <w:highlight w:val="none"/>
          <w:shd w:val="clear" w:color="auto" w:fill="auto"/>
          <w:lang w:eastAsia="zh-CN"/>
        </w:rPr>
        <w:t>日期：</w:t>
      </w:r>
    </w:p>
    <w:p w14:paraId="19050B72">
      <w:pPr>
        <w:keepNext w:val="0"/>
        <w:keepLines w:val="0"/>
        <w:pageBreakBefore w:val="0"/>
        <w:widowControl w:val="0"/>
        <w:kinsoku/>
        <w:wordWrap/>
        <w:overflowPunct/>
        <w:topLinePunct w:val="0"/>
        <w:autoSpaceDE/>
        <w:autoSpaceDN/>
        <w:bidi w:val="0"/>
        <w:adjustRightInd/>
        <w:snapToGrid/>
        <w:spacing w:line="480" w:lineRule="auto"/>
        <w:ind w:firstLine="0" w:firstLineChars="0"/>
        <w:jc w:val="left"/>
        <w:textAlignment w:val="auto"/>
        <w:rPr>
          <w:rFonts w:hint="eastAsia" w:ascii="仿宋" w:hAnsi="仿宋" w:eastAsia="仿宋" w:cs="仿宋"/>
          <w:color w:val="auto"/>
          <w:highlight w:val="none"/>
          <w:u w:val="single"/>
        </w:rPr>
      </w:pPr>
    </w:p>
    <w:p w14:paraId="0D787AE8">
      <w:pPr>
        <w:pStyle w:val="12"/>
        <w:rPr>
          <w:rFonts w:hint="eastAsia" w:ascii="仿宋" w:hAnsi="仿宋" w:eastAsia="仿宋" w:cs="仿宋"/>
          <w:color w:val="auto"/>
          <w:highlight w:val="none"/>
          <w:lang w:eastAsia="zh-CN"/>
        </w:rPr>
      </w:pPr>
    </w:p>
    <w:p w14:paraId="5E4DA035">
      <w:pPr>
        <w:rPr>
          <w:rFonts w:hint="eastAsia"/>
          <w:color w:val="auto"/>
          <w:highlight w:val="none"/>
        </w:rPr>
      </w:pPr>
    </w:p>
    <w:p w14:paraId="136B55AF">
      <w:pPr>
        <w:widowControl/>
        <w:jc w:val="left"/>
        <w:rPr>
          <w:rFonts w:hint="eastAsia" w:ascii="仿宋" w:hAnsi="仿宋" w:eastAsia="仿宋" w:cs="仿宋"/>
          <w:b/>
          <w:color w:val="auto"/>
          <w:sz w:val="24"/>
          <w:szCs w:val="24"/>
          <w:highlight w:val="none"/>
        </w:rPr>
      </w:pPr>
    </w:p>
    <w:bookmarkEnd w:id="49"/>
    <w:p w14:paraId="5F078D21">
      <w:pPr>
        <w:rPr>
          <w:rFonts w:hint="eastAsia" w:ascii="仿宋" w:hAnsi="仿宋" w:eastAsia="仿宋" w:cs="仿宋"/>
          <w:b/>
          <w:bCs/>
          <w:color w:val="auto"/>
          <w:sz w:val="30"/>
          <w:szCs w:val="30"/>
          <w:highlight w:val="none"/>
          <w:lang w:val="en-US" w:eastAsia="zh-CN"/>
        </w:rPr>
      </w:pPr>
      <w:bookmarkStart w:id="66" w:name="_Hlk78746508"/>
      <w:bookmarkStart w:id="67" w:name="_Toc3574"/>
      <w:bookmarkStart w:id="68" w:name="_Toc13495"/>
      <w:bookmarkStart w:id="69" w:name="_Toc31169"/>
      <w:r>
        <w:rPr>
          <w:rFonts w:hint="eastAsia" w:ascii="仿宋" w:hAnsi="仿宋" w:eastAsia="仿宋" w:cs="仿宋"/>
          <w:b/>
          <w:bCs/>
          <w:color w:val="auto"/>
          <w:sz w:val="30"/>
          <w:szCs w:val="30"/>
          <w:highlight w:val="none"/>
          <w:lang w:val="en-US" w:eastAsia="zh-CN"/>
        </w:rPr>
        <w:br w:type="page"/>
      </w:r>
    </w:p>
    <w:p w14:paraId="60F95D86">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仿宋" w:hAnsi="仿宋" w:eastAsia="仿宋" w:cs="仿宋"/>
          <w:b/>
          <w:color w:val="auto"/>
          <w:sz w:val="30"/>
          <w:szCs w:val="30"/>
          <w:highlight w:val="none"/>
        </w:rPr>
      </w:pPr>
      <w:r>
        <w:rPr>
          <w:rFonts w:hint="eastAsia" w:ascii="仿宋" w:hAnsi="仿宋" w:eastAsia="仿宋" w:cs="仿宋"/>
          <w:b/>
          <w:bCs/>
          <w:color w:val="auto"/>
          <w:sz w:val="30"/>
          <w:szCs w:val="30"/>
          <w:highlight w:val="none"/>
          <w:lang w:val="en-US" w:eastAsia="zh-CN"/>
        </w:rPr>
        <w:t>10、供应商</w:t>
      </w:r>
      <w:r>
        <w:rPr>
          <w:rFonts w:hint="eastAsia" w:ascii="仿宋" w:hAnsi="仿宋" w:eastAsia="仿宋" w:cs="仿宋"/>
          <w:b/>
          <w:bCs/>
          <w:color w:val="auto"/>
          <w:sz w:val="30"/>
          <w:szCs w:val="30"/>
          <w:highlight w:val="none"/>
        </w:rPr>
        <w:t>近三</w:t>
      </w:r>
      <w:r>
        <w:rPr>
          <w:rFonts w:hint="eastAsia" w:ascii="仿宋" w:hAnsi="仿宋" w:eastAsia="仿宋" w:cs="仿宋"/>
          <w:b/>
          <w:color w:val="auto"/>
          <w:sz w:val="30"/>
          <w:szCs w:val="30"/>
          <w:highlight w:val="none"/>
        </w:rPr>
        <w:t>年（202</w:t>
      </w:r>
      <w:r>
        <w:rPr>
          <w:rFonts w:hint="eastAsia" w:ascii="仿宋" w:hAnsi="仿宋" w:eastAsia="仿宋" w:cs="仿宋"/>
          <w:b/>
          <w:color w:val="auto"/>
          <w:sz w:val="30"/>
          <w:szCs w:val="30"/>
          <w:highlight w:val="none"/>
          <w:lang w:val="en-US" w:eastAsia="zh-CN"/>
        </w:rPr>
        <w:t>2</w:t>
      </w:r>
      <w:r>
        <w:rPr>
          <w:rFonts w:hint="eastAsia" w:ascii="仿宋" w:hAnsi="仿宋" w:eastAsia="仿宋" w:cs="仿宋"/>
          <w:b/>
          <w:color w:val="auto"/>
          <w:sz w:val="30"/>
          <w:szCs w:val="30"/>
          <w:highlight w:val="none"/>
        </w:rPr>
        <w:t>年</w:t>
      </w:r>
      <w:r>
        <w:rPr>
          <w:rFonts w:hint="eastAsia" w:ascii="仿宋" w:hAnsi="仿宋" w:eastAsia="仿宋" w:cs="仿宋"/>
          <w:b/>
          <w:color w:val="auto"/>
          <w:sz w:val="30"/>
          <w:szCs w:val="30"/>
          <w:highlight w:val="none"/>
          <w:lang w:val="en-US" w:eastAsia="zh-CN"/>
        </w:rPr>
        <w:t>7</w:t>
      </w:r>
      <w:r>
        <w:rPr>
          <w:rFonts w:hint="eastAsia" w:ascii="仿宋" w:hAnsi="仿宋" w:eastAsia="仿宋" w:cs="仿宋"/>
          <w:b/>
          <w:color w:val="auto"/>
          <w:sz w:val="30"/>
          <w:szCs w:val="30"/>
          <w:highlight w:val="none"/>
        </w:rPr>
        <w:t>月1日至今）</w:t>
      </w:r>
      <w:r>
        <w:rPr>
          <w:rFonts w:hint="eastAsia" w:ascii="仿宋" w:hAnsi="仿宋" w:eastAsia="仿宋" w:cs="仿宋"/>
          <w:b/>
          <w:color w:val="auto"/>
          <w:sz w:val="30"/>
          <w:szCs w:val="30"/>
          <w:highlight w:val="none"/>
          <w:lang w:val="en-US" w:eastAsia="zh-CN"/>
        </w:rPr>
        <w:t>类似</w:t>
      </w:r>
      <w:r>
        <w:rPr>
          <w:rFonts w:hint="eastAsia" w:ascii="仿宋" w:hAnsi="仿宋" w:eastAsia="仿宋" w:cs="仿宋"/>
          <w:b/>
          <w:color w:val="auto"/>
          <w:sz w:val="30"/>
          <w:szCs w:val="30"/>
          <w:highlight w:val="none"/>
        </w:rPr>
        <w:t>业绩</w:t>
      </w:r>
    </w:p>
    <w:tbl>
      <w:tblPr>
        <w:tblStyle w:val="33"/>
        <w:tblpPr w:leftFromText="180" w:rightFromText="180" w:vertAnchor="text" w:horzAnchor="margin" w:tblpXSpec="center" w:tblpY="267"/>
        <w:tblOverlap w:val="never"/>
        <w:tblW w:w="988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0"/>
        <w:gridCol w:w="1280"/>
        <w:gridCol w:w="3384"/>
        <w:gridCol w:w="1633"/>
        <w:gridCol w:w="1635"/>
        <w:gridCol w:w="1250"/>
      </w:tblGrid>
      <w:tr w14:paraId="552577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0"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2A06E487">
            <w:pPr>
              <w:pStyle w:val="62"/>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280" w:type="dxa"/>
            <w:tcBorders>
              <w:top w:val="single" w:color="auto" w:sz="4" w:space="0"/>
              <w:left w:val="single" w:color="auto" w:sz="4" w:space="0"/>
              <w:bottom w:val="single" w:color="auto" w:sz="4" w:space="0"/>
              <w:right w:val="single" w:color="auto" w:sz="4" w:space="0"/>
            </w:tcBorders>
            <w:noWrap w:val="0"/>
            <w:vAlign w:val="center"/>
          </w:tcPr>
          <w:p w14:paraId="48050CEE">
            <w:pPr>
              <w:pStyle w:val="62"/>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日期</w:t>
            </w:r>
          </w:p>
        </w:tc>
        <w:tc>
          <w:tcPr>
            <w:tcW w:w="3384" w:type="dxa"/>
            <w:tcBorders>
              <w:top w:val="single" w:color="auto" w:sz="4" w:space="0"/>
              <w:left w:val="single" w:color="auto" w:sz="4" w:space="0"/>
              <w:bottom w:val="single" w:color="auto" w:sz="4" w:space="0"/>
              <w:right w:val="single" w:color="auto" w:sz="4" w:space="0"/>
            </w:tcBorders>
            <w:noWrap w:val="0"/>
            <w:vAlign w:val="center"/>
          </w:tcPr>
          <w:p w14:paraId="42A4DF8B">
            <w:pPr>
              <w:pStyle w:val="62"/>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采购</w:t>
            </w:r>
            <w:r>
              <w:rPr>
                <w:rFonts w:hint="eastAsia" w:ascii="仿宋" w:hAnsi="仿宋" w:eastAsia="仿宋" w:cs="仿宋"/>
                <w:color w:val="auto"/>
                <w:highlight w:val="none"/>
                <w:lang w:eastAsia="zh-CN"/>
              </w:rPr>
              <w:t>单位</w:t>
            </w:r>
          </w:p>
        </w:tc>
        <w:tc>
          <w:tcPr>
            <w:tcW w:w="1633" w:type="dxa"/>
            <w:tcBorders>
              <w:top w:val="single" w:color="auto" w:sz="4" w:space="0"/>
              <w:left w:val="single" w:color="auto" w:sz="4" w:space="0"/>
              <w:bottom w:val="single" w:color="auto" w:sz="4" w:space="0"/>
              <w:right w:val="single" w:color="auto" w:sz="4" w:space="0"/>
            </w:tcBorders>
            <w:noWrap w:val="0"/>
            <w:vAlign w:val="center"/>
          </w:tcPr>
          <w:p w14:paraId="64752418">
            <w:pPr>
              <w:pStyle w:val="62"/>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项目名称</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55CC6E0A">
            <w:pPr>
              <w:pStyle w:val="62"/>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合同金额</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A322662">
            <w:pPr>
              <w:pStyle w:val="62"/>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3FB809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39E3BB38">
            <w:pPr>
              <w:pStyle w:val="62"/>
              <w:spacing w:line="360" w:lineRule="auto"/>
              <w:jc w:val="center"/>
              <w:rPr>
                <w:rFonts w:hint="eastAsia" w:ascii="仿宋" w:hAnsi="仿宋" w:eastAsia="仿宋" w:cs="仿宋"/>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35E257A4">
            <w:pPr>
              <w:pStyle w:val="62"/>
              <w:spacing w:line="360" w:lineRule="auto"/>
              <w:jc w:val="center"/>
              <w:rPr>
                <w:rFonts w:hint="eastAsia" w:ascii="仿宋" w:hAnsi="仿宋" w:eastAsia="仿宋" w:cs="仿宋"/>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67AA8E89">
            <w:pPr>
              <w:pStyle w:val="62"/>
              <w:spacing w:line="360" w:lineRule="auto"/>
              <w:jc w:val="center"/>
              <w:rPr>
                <w:rFonts w:hint="eastAsia" w:ascii="仿宋" w:hAnsi="仿宋" w:eastAsia="仿宋" w:cs="仿宋"/>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5A07E94B">
            <w:pPr>
              <w:pStyle w:val="62"/>
              <w:spacing w:line="360" w:lineRule="auto"/>
              <w:jc w:val="center"/>
              <w:rPr>
                <w:rFonts w:hint="eastAsia" w:ascii="仿宋" w:hAnsi="仿宋" w:eastAsia="仿宋" w:cs="仿宋"/>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34273149">
            <w:pPr>
              <w:pStyle w:val="62"/>
              <w:spacing w:line="360" w:lineRule="auto"/>
              <w:jc w:val="center"/>
              <w:rPr>
                <w:rFonts w:hint="eastAsia" w:ascii="仿宋" w:hAnsi="仿宋" w:eastAsia="仿宋" w:cs="仿宋"/>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25F9A85">
            <w:pPr>
              <w:pStyle w:val="62"/>
              <w:spacing w:line="360" w:lineRule="auto"/>
              <w:jc w:val="center"/>
              <w:rPr>
                <w:rFonts w:hint="eastAsia" w:ascii="仿宋" w:hAnsi="仿宋" w:eastAsia="仿宋" w:cs="仿宋"/>
                <w:color w:val="auto"/>
                <w:highlight w:val="none"/>
              </w:rPr>
            </w:pPr>
          </w:p>
        </w:tc>
      </w:tr>
      <w:tr w14:paraId="306FAA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07B0D5EB">
            <w:pPr>
              <w:pStyle w:val="62"/>
              <w:spacing w:line="360" w:lineRule="auto"/>
              <w:jc w:val="center"/>
              <w:rPr>
                <w:rFonts w:hint="eastAsia" w:ascii="仿宋" w:hAnsi="仿宋" w:eastAsia="仿宋" w:cs="仿宋"/>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517BCAE0">
            <w:pPr>
              <w:pStyle w:val="62"/>
              <w:spacing w:line="360" w:lineRule="auto"/>
              <w:jc w:val="center"/>
              <w:rPr>
                <w:rFonts w:hint="eastAsia" w:ascii="仿宋" w:hAnsi="仿宋" w:eastAsia="仿宋" w:cs="仿宋"/>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23CE20CB">
            <w:pPr>
              <w:pStyle w:val="62"/>
              <w:spacing w:line="360" w:lineRule="auto"/>
              <w:jc w:val="center"/>
              <w:rPr>
                <w:rFonts w:hint="eastAsia" w:ascii="仿宋" w:hAnsi="仿宋" w:eastAsia="仿宋" w:cs="仿宋"/>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2F0A33D4">
            <w:pPr>
              <w:pStyle w:val="62"/>
              <w:spacing w:line="360" w:lineRule="auto"/>
              <w:jc w:val="center"/>
              <w:rPr>
                <w:rFonts w:hint="eastAsia" w:ascii="仿宋" w:hAnsi="仿宋" w:eastAsia="仿宋" w:cs="仿宋"/>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4E8E7416">
            <w:pPr>
              <w:pStyle w:val="62"/>
              <w:spacing w:line="360" w:lineRule="auto"/>
              <w:jc w:val="center"/>
              <w:rPr>
                <w:rFonts w:hint="eastAsia" w:ascii="仿宋" w:hAnsi="仿宋" w:eastAsia="仿宋" w:cs="仿宋"/>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0FC7C20">
            <w:pPr>
              <w:pStyle w:val="62"/>
              <w:spacing w:line="360" w:lineRule="auto"/>
              <w:jc w:val="center"/>
              <w:rPr>
                <w:rFonts w:hint="eastAsia" w:ascii="仿宋" w:hAnsi="仿宋" w:eastAsia="仿宋" w:cs="仿宋"/>
                <w:color w:val="auto"/>
                <w:highlight w:val="none"/>
              </w:rPr>
            </w:pPr>
          </w:p>
        </w:tc>
      </w:tr>
      <w:tr w14:paraId="04A57F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531B0534">
            <w:pPr>
              <w:pStyle w:val="62"/>
              <w:spacing w:line="360" w:lineRule="auto"/>
              <w:jc w:val="center"/>
              <w:rPr>
                <w:rFonts w:hint="eastAsia" w:ascii="仿宋" w:hAnsi="仿宋" w:eastAsia="仿宋" w:cs="仿宋"/>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2E272923">
            <w:pPr>
              <w:pStyle w:val="62"/>
              <w:spacing w:line="360" w:lineRule="auto"/>
              <w:jc w:val="center"/>
              <w:rPr>
                <w:rFonts w:hint="eastAsia" w:ascii="仿宋" w:hAnsi="仿宋" w:eastAsia="仿宋" w:cs="仿宋"/>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6CB32F4D">
            <w:pPr>
              <w:pStyle w:val="62"/>
              <w:spacing w:line="360" w:lineRule="auto"/>
              <w:jc w:val="center"/>
              <w:rPr>
                <w:rFonts w:hint="eastAsia" w:ascii="仿宋" w:hAnsi="仿宋" w:eastAsia="仿宋" w:cs="仿宋"/>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6309F7BD">
            <w:pPr>
              <w:pStyle w:val="62"/>
              <w:spacing w:line="360" w:lineRule="auto"/>
              <w:jc w:val="center"/>
              <w:rPr>
                <w:rFonts w:hint="eastAsia" w:ascii="仿宋" w:hAnsi="仿宋" w:eastAsia="仿宋" w:cs="仿宋"/>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11FE2C3D">
            <w:pPr>
              <w:pStyle w:val="62"/>
              <w:spacing w:line="360" w:lineRule="auto"/>
              <w:jc w:val="center"/>
              <w:rPr>
                <w:rFonts w:hint="eastAsia" w:ascii="仿宋" w:hAnsi="仿宋" w:eastAsia="仿宋" w:cs="仿宋"/>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9EB1D8D">
            <w:pPr>
              <w:pStyle w:val="62"/>
              <w:spacing w:line="360" w:lineRule="auto"/>
              <w:jc w:val="center"/>
              <w:rPr>
                <w:rFonts w:hint="eastAsia" w:ascii="仿宋" w:hAnsi="仿宋" w:eastAsia="仿宋" w:cs="仿宋"/>
                <w:color w:val="auto"/>
                <w:highlight w:val="none"/>
              </w:rPr>
            </w:pPr>
          </w:p>
        </w:tc>
      </w:tr>
      <w:tr w14:paraId="5D1868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11ABA84D">
            <w:pPr>
              <w:pStyle w:val="62"/>
              <w:spacing w:line="360" w:lineRule="auto"/>
              <w:jc w:val="center"/>
              <w:rPr>
                <w:rFonts w:hint="eastAsia" w:ascii="仿宋" w:hAnsi="仿宋" w:eastAsia="仿宋" w:cs="仿宋"/>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4C765D3">
            <w:pPr>
              <w:pStyle w:val="62"/>
              <w:spacing w:line="360" w:lineRule="auto"/>
              <w:jc w:val="center"/>
              <w:rPr>
                <w:rFonts w:hint="eastAsia" w:ascii="仿宋" w:hAnsi="仿宋" w:eastAsia="仿宋" w:cs="仿宋"/>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04708396">
            <w:pPr>
              <w:pStyle w:val="62"/>
              <w:spacing w:line="360" w:lineRule="auto"/>
              <w:jc w:val="center"/>
              <w:rPr>
                <w:rFonts w:hint="eastAsia" w:ascii="仿宋" w:hAnsi="仿宋" w:eastAsia="仿宋" w:cs="仿宋"/>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23F67086">
            <w:pPr>
              <w:pStyle w:val="62"/>
              <w:spacing w:line="360" w:lineRule="auto"/>
              <w:jc w:val="center"/>
              <w:rPr>
                <w:rFonts w:hint="eastAsia" w:ascii="仿宋" w:hAnsi="仿宋" w:eastAsia="仿宋" w:cs="仿宋"/>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5527B8E7">
            <w:pPr>
              <w:pStyle w:val="62"/>
              <w:spacing w:line="360" w:lineRule="auto"/>
              <w:jc w:val="center"/>
              <w:rPr>
                <w:rFonts w:hint="eastAsia" w:ascii="仿宋" w:hAnsi="仿宋" w:eastAsia="仿宋" w:cs="仿宋"/>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32A0FC11">
            <w:pPr>
              <w:pStyle w:val="62"/>
              <w:spacing w:line="360" w:lineRule="auto"/>
              <w:jc w:val="center"/>
              <w:rPr>
                <w:rFonts w:hint="eastAsia" w:ascii="仿宋" w:hAnsi="仿宋" w:eastAsia="仿宋" w:cs="仿宋"/>
                <w:color w:val="auto"/>
                <w:highlight w:val="none"/>
              </w:rPr>
            </w:pPr>
          </w:p>
        </w:tc>
      </w:tr>
      <w:tr w14:paraId="0E4B23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386F268B">
            <w:pPr>
              <w:pStyle w:val="62"/>
              <w:spacing w:line="360" w:lineRule="auto"/>
              <w:jc w:val="center"/>
              <w:rPr>
                <w:rFonts w:hint="eastAsia" w:ascii="仿宋" w:hAnsi="仿宋" w:eastAsia="仿宋" w:cs="仿宋"/>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11BBBDB9">
            <w:pPr>
              <w:pStyle w:val="62"/>
              <w:spacing w:line="360" w:lineRule="auto"/>
              <w:jc w:val="center"/>
              <w:rPr>
                <w:rFonts w:hint="eastAsia" w:ascii="仿宋" w:hAnsi="仿宋" w:eastAsia="仿宋" w:cs="仿宋"/>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6F909296">
            <w:pPr>
              <w:pStyle w:val="62"/>
              <w:spacing w:line="360" w:lineRule="auto"/>
              <w:jc w:val="center"/>
              <w:rPr>
                <w:rFonts w:hint="eastAsia" w:ascii="仿宋" w:hAnsi="仿宋" w:eastAsia="仿宋" w:cs="仿宋"/>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3BC8A8EA">
            <w:pPr>
              <w:pStyle w:val="62"/>
              <w:spacing w:line="360" w:lineRule="auto"/>
              <w:jc w:val="center"/>
              <w:rPr>
                <w:rFonts w:hint="eastAsia" w:ascii="仿宋" w:hAnsi="仿宋" w:eastAsia="仿宋" w:cs="仿宋"/>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7FE6E5F4">
            <w:pPr>
              <w:pStyle w:val="62"/>
              <w:spacing w:line="360" w:lineRule="auto"/>
              <w:jc w:val="center"/>
              <w:rPr>
                <w:rFonts w:hint="eastAsia" w:ascii="仿宋" w:hAnsi="仿宋" w:eastAsia="仿宋" w:cs="仿宋"/>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4418B0C">
            <w:pPr>
              <w:pStyle w:val="62"/>
              <w:spacing w:line="360" w:lineRule="auto"/>
              <w:jc w:val="center"/>
              <w:rPr>
                <w:rFonts w:hint="eastAsia" w:ascii="仿宋" w:hAnsi="仿宋" w:eastAsia="仿宋" w:cs="仿宋"/>
                <w:color w:val="auto"/>
                <w:highlight w:val="none"/>
              </w:rPr>
            </w:pPr>
          </w:p>
        </w:tc>
      </w:tr>
      <w:tr w14:paraId="3CCC4A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2FECBB7E">
            <w:pPr>
              <w:pStyle w:val="62"/>
              <w:spacing w:line="360" w:lineRule="auto"/>
              <w:jc w:val="center"/>
              <w:rPr>
                <w:rFonts w:hint="eastAsia" w:ascii="仿宋" w:hAnsi="仿宋" w:eastAsia="仿宋" w:cs="仿宋"/>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6D223CE3">
            <w:pPr>
              <w:pStyle w:val="62"/>
              <w:spacing w:line="360" w:lineRule="auto"/>
              <w:jc w:val="center"/>
              <w:rPr>
                <w:rFonts w:hint="eastAsia" w:ascii="仿宋" w:hAnsi="仿宋" w:eastAsia="仿宋" w:cs="仿宋"/>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56D26D68">
            <w:pPr>
              <w:pStyle w:val="62"/>
              <w:spacing w:line="360" w:lineRule="auto"/>
              <w:jc w:val="center"/>
              <w:rPr>
                <w:rFonts w:hint="eastAsia" w:ascii="仿宋" w:hAnsi="仿宋" w:eastAsia="仿宋" w:cs="仿宋"/>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50E2E35F">
            <w:pPr>
              <w:pStyle w:val="62"/>
              <w:spacing w:line="360" w:lineRule="auto"/>
              <w:jc w:val="center"/>
              <w:rPr>
                <w:rFonts w:hint="eastAsia" w:ascii="仿宋" w:hAnsi="仿宋" w:eastAsia="仿宋" w:cs="仿宋"/>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2D8525E1">
            <w:pPr>
              <w:pStyle w:val="62"/>
              <w:spacing w:line="360" w:lineRule="auto"/>
              <w:jc w:val="center"/>
              <w:rPr>
                <w:rFonts w:hint="eastAsia" w:ascii="仿宋" w:hAnsi="仿宋" w:eastAsia="仿宋" w:cs="仿宋"/>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DEBCCEF">
            <w:pPr>
              <w:pStyle w:val="62"/>
              <w:spacing w:line="360" w:lineRule="auto"/>
              <w:jc w:val="center"/>
              <w:rPr>
                <w:rFonts w:hint="eastAsia" w:ascii="仿宋" w:hAnsi="仿宋" w:eastAsia="仿宋" w:cs="仿宋"/>
                <w:color w:val="auto"/>
                <w:highlight w:val="none"/>
              </w:rPr>
            </w:pPr>
          </w:p>
        </w:tc>
      </w:tr>
      <w:tr w14:paraId="2E5F39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14:paraId="6A1F3616">
            <w:pPr>
              <w:pStyle w:val="62"/>
              <w:spacing w:line="360" w:lineRule="auto"/>
              <w:jc w:val="center"/>
              <w:rPr>
                <w:rFonts w:hint="eastAsia" w:ascii="仿宋" w:hAnsi="仿宋" w:eastAsia="仿宋" w:cs="仿宋"/>
                <w:color w:val="auto"/>
                <w:highlight w:val="none"/>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14:paraId="25A8CD89">
            <w:pPr>
              <w:pStyle w:val="62"/>
              <w:spacing w:line="360" w:lineRule="auto"/>
              <w:jc w:val="center"/>
              <w:rPr>
                <w:rFonts w:hint="eastAsia" w:ascii="仿宋" w:hAnsi="仿宋" w:eastAsia="仿宋" w:cs="仿宋"/>
                <w:color w:val="auto"/>
                <w:highlight w:val="none"/>
              </w:rPr>
            </w:pPr>
          </w:p>
        </w:tc>
        <w:tc>
          <w:tcPr>
            <w:tcW w:w="3384" w:type="dxa"/>
            <w:tcBorders>
              <w:top w:val="single" w:color="auto" w:sz="4" w:space="0"/>
              <w:left w:val="single" w:color="auto" w:sz="4" w:space="0"/>
              <w:bottom w:val="single" w:color="auto" w:sz="4" w:space="0"/>
              <w:right w:val="single" w:color="auto" w:sz="4" w:space="0"/>
            </w:tcBorders>
            <w:noWrap w:val="0"/>
            <w:vAlign w:val="center"/>
          </w:tcPr>
          <w:p w14:paraId="5CF930CC">
            <w:pPr>
              <w:pStyle w:val="62"/>
              <w:spacing w:line="360" w:lineRule="auto"/>
              <w:jc w:val="center"/>
              <w:rPr>
                <w:rFonts w:hint="eastAsia" w:ascii="仿宋" w:hAnsi="仿宋" w:eastAsia="仿宋" w:cs="仿宋"/>
                <w:color w:val="auto"/>
                <w:highlight w:val="none"/>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14:paraId="70E46496">
            <w:pPr>
              <w:pStyle w:val="62"/>
              <w:spacing w:line="360" w:lineRule="auto"/>
              <w:jc w:val="center"/>
              <w:rPr>
                <w:rFonts w:hint="eastAsia" w:ascii="仿宋" w:hAnsi="仿宋" w:eastAsia="仿宋" w:cs="仿宋"/>
                <w:color w:val="auto"/>
                <w:highlight w:val="none"/>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14:paraId="41EE6EFC">
            <w:pPr>
              <w:pStyle w:val="62"/>
              <w:spacing w:line="360" w:lineRule="auto"/>
              <w:jc w:val="center"/>
              <w:rPr>
                <w:rFonts w:hint="eastAsia" w:ascii="仿宋" w:hAnsi="仿宋" w:eastAsia="仿宋" w:cs="仿宋"/>
                <w:color w:val="auto"/>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3F55191">
            <w:pPr>
              <w:pStyle w:val="62"/>
              <w:spacing w:line="360" w:lineRule="auto"/>
              <w:jc w:val="center"/>
              <w:rPr>
                <w:rFonts w:hint="eastAsia" w:ascii="仿宋" w:hAnsi="仿宋" w:eastAsia="仿宋" w:cs="仿宋"/>
                <w:color w:val="auto"/>
                <w:highlight w:val="none"/>
              </w:rPr>
            </w:pPr>
          </w:p>
        </w:tc>
      </w:tr>
    </w:tbl>
    <w:p w14:paraId="50220A0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rPr>
        <w:t>注：</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提供近三年（2022年0</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月01日-至今）已完成或正在进行的类似项目供货业绩，须提供业绩合同或中标通知书原件彩色扫描件加盖公章。</w:t>
      </w:r>
    </w:p>
    <w:p w14:paraId="2843815F">
      <w:pPr>
        <w:rPr>
          <w:rFonts w:hint="eastAsia" w:ascii="仿宋" w:hAnsi="仿宋" w:eastAsia="仿宋" w:cs="仿宋"/>
          <w:color w:val="auto"/>
          <w:highlight w:val="none"/>
        </w:rPr>
      </w:pPr>
    </w:p>
    <w:p w14:paraId="24100C10">
      <w:pPr>
        <w:rPr>
          <w:rFonts w:hint="eastAsia" w:ascii="仿宋" w:hAnsi="仿宋" w:eastAsia="仿宋" w:cs="仿宋"/>
          <w:color w:val="auto"/>
          <w:highlight w:val="none"/>
        </w:rPr>
      </w:pPr>
    </w:p>
    <w:p w14:paraId="22AB84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highlight w:val="none"/>
          <w:shd w:val="clear" w:color="auto" w:fill="auto"/>
          <w:lang w:eastAsia="zh-CN"/>
        </w:rPr>
        <w:t>供应商</w:t>
      </w:r>
      <w:r>
        <w:rPr>
          <w:rFonts w:hint="eastAsia" w:ascii="仿宋" w:hAnsi="仿宋" w:eastAsia="仿宋" w:cs="仿宋"/>
          <w:color w:val="auto"/>
          <w:sz w:val="24"/>
          <w:highlight w:val="none"/>
          <w:shd w:val="clear" w:color="auto" w:fill="auto"/>
        </w:rPr>
        <w:t>名称</w:t>
      </w:r>
      <w:r>
        <w:rPr>
          <w:rFonts w:hint="eastAsia" w:ascii="仿宋" w:hAnsi="仿宋" w:eastAsia="仿宋" w:cs="仿宋"/>
          <w:color w:val="auto"/>
          <w:sz w:val="24"/>
          <w:highlight w:val="none"/>
          <w:shd w:val="clear" w:color="auto" w:fill="auto"/>
          <w:lang w:eastAsia="zh-CN"/>
        </w:rPr>
        <w:t>（</w:t>
      </w:r>
      <w:r>
        <w:rPr>
          <w:rFonts w:hint="eastAsia" w:ascii="仿宋" w:hAnsi="仿宋" w:eastAsia="仿宋" w:cs="仿宋"/>
          <w:color w:val="auto"/>
          <w:sz w:val="24"/>
          <w:highlight w:val="none"/>
          <w:shd w:val="clear" w:color="auto" w:fill="auto"/>
          <w:lang w:val="en-US" w:eastAsia="zh-CN"/>
        </w:rPr>
        <w:t>电子签章</w:t>
      </w:r>
      <w:r>
        <w:rPr>
          <w:rFonts w:hint="eastAsia" w:ascii="仿宋" w:hAnsi="仿宋" w:eastAsia="仿宋" w:cs="仿宋"/>
          <w:color w:val="auto"/>
          <w:sz w:val="24"/>
          <w:highlight w:val="none"/>
          <w:shd w:val="clear" w:color="auto" w:fill="auto"/>
        </w:rPr>
        <w:t>）：</w:t>
      </w:r>
    </w:p>
    <w:p w14:paraId="3DED12C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rPr>
        <w:t>法人代表</w:t>
      </w:r>
      <w:r>
        <w:rPr>
          <w:rFonts w:hint="eastAsia" w:ascii="仿宋" w:hAnsi="仿宋" w:eastAsia="仿宋" w:cs="仿宋"/>
          <w:color w:val="auto"/>
          <w:sz w:val="24"/>
          <w:highlight w:val="none"/>
        </w:rPr>
        <w:t>（电子签名或签章）</w:t>
      </w:r>
      <w:r>
        <w:rPr>
          <w:rFonts w:hint="eastAsia" w:ascii="仿宋" w:hAnsi="仿宋" w:eastAsia="仿宋" w:cs="仿宋"/>
          <w:color w:val="auto"/>
          <w:sz w:val="24"/>
          <w:szCs w:val="24"/>
          <w:highlight w:val="none"/>
        </w:rPr>
        <w:t>：</w:t>
      </w:r>
    </w:p>
    <w:p w14:paraId="45D98B7C">
      <w:pPr>
        <w:keepNext w:val="0"/>
        <w:keepLines w:val="0"/>
        <w:pageBreakBefore w:val="0"/>
        <w:widowControl w:val="0"/>
        <w:kinsoku/>
        <w:wordWrap/>
        <w:overflowPunct/>
        <w:topLinePunct w:val="0"/>
        <w:autoSpaceDE/>
        <w:autoSpaceDN/>
        <w:bidi w:val="0"/>
        <w:adjustRightInd/>
        <w:snapToGrid/>
        <w:spacing w:line="480" w:lineRule="auto"/>
        <w:ind w:firstLine="0" w:firstLineChars="0"/>
        <w:jc w:val="left"/>
        <w:textAlignment w:val="auto"/>
        <w:rPr>
          <w:rFonts w:hint="eastAsia" w:ascii="仿宋" w:hAnsi="仿宋" w:eastAsia="仿宋" w:cs="仿宋"/>
          <w:color w:val="auto"/>
          <w:highlight w:val="none"/>
          <w:u w:val="single"/>
          <w:lang w:eastAsia="zh-CN"/>
        </w:rPr>
      </w:pPr>
      <w:r>
        <w:rPr>
          <w:rFonts w:hint="eastAsia" w:ascii="仿宋" w:hAnsi="仿宋" w:eastAsia="仿宋" w:cs="仿宋"/>
          <w:color w:val="auto"/>
          <w:sz w:val="24"/>
          <w:highlight w:val="none"/>
          <w:shd w:val="clear" w:color="auto" w:fill="auto"/>
          <w:lang w:eastAsia="zh-CN"/>
        </w:rPr>
        <w:t>日期：</w:t>
      </w:r>
    </w:p>
    <w:bookmarkEnd w:id="66"/>
    <w:p w14:paraId="58DA1C71">
      <w:pPr>
        <w:pStyle w:val="10"/>
        <w:rPr>
          <w:rFonts w:hint="eastAsia" w:ascii="仿宋" w:hAnsi="仿宋" w:eastAsia="仿宋" w:cs="仿宋"/>
          <w:color w:val="auto"/>
          <w:highlight w:val="none"/>
          <w:u w:val="single"/>
        </w:rPr>
      </w:pPr>
    </w:p>
    <w:p w14:paraId="05057C43">
      <w:pPr>
        <w:pStyle w:val="15"/>
        <w:rPr>
          <w:rFonts w:hint="eastAsia" w:ascii="仿宋" w:hAnsi="仿宋" w:eastAsia="仿宋" w:cs="仿宋"/>
          <w:color w:val="auto"/>
          <w:highlight w:val="none"/>
        </w:rPr>
      </w:pPr>
    </w:p>
    <w:p w14:paraId="63FDBEFC">
      <w:pPr>
        <w:spacing w:line="360" w:lineRule="auto"/>
        <w:jc w:val="center"/>
        <w:rPr>
          <w:rFonts w:hint="eastAsia" w:ascii="仿宋" w:hAnsi="仿宋" w:eastAsia="仿宋" w:cs="仿宋"/>
          <w:b/>
          <w:color w:val="auto"/>
          <w:sz w:val="30"/>
          <w:szCs w:val="30"/>
          <w:highlight w:val="none"/>
        </w:rPr>
      </w:pPr>
    </w:p>
    <w:p w14:paraId="1F0C9FF4">
      <w:pPr>
        <w:spacing w:line="360" w:lineRule="auto"/>
        <w:rPr>
          <w:rFonts w:hint="eastAsia" w:ascii="仿宋" w:hAnsi="仿宋" w:eastAsia="仿宋" w:cs="仿宋"/>
          <w:b/>
          <w:color w:val="auto"/>
          <w:sz w:val="30"/>
          <w:szCs w:val="30"/>
          <w:highlight w:val="none"/>
        </w:rPr>
      </w:pPr>
    </w:p>
    <w:p w14:paraId="389FBD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bCs w:val="0"/>
          <w:color w:val="auto"/>
          <w:kern w:val="2"/>
          <w:sz w:val="30"/>
          <w:szCs w:val="30"/>
          <w:highlight w:val="none"/>
          <w:lang w:val="en-US" w:eastAsia="zh-CN" w:bidi="ar-SA"/>
        </w:rPr>
      </w:pPr>
      <w:bookmarkStart w:id="70" w:name="_Toc5541"/>
      <w:bookmarkStart w:id="71" w:name="_Toc29460"/>
    </w:p>
    <w:p w14:paraId="36D8D8A3">
      <w:pPr>
        <w:jc w:val="center"/>
        <w:rPr>
          <w:rFonts w:hint="eastAsia" w:ascii="仿宋" w:hAnsi="仿宋" w:eastAsia="仿宋" w:cs="仿宋"/>
          <w:b/>
          <w:bCs/>
          <w:color w:val="auto"/>
          <w:sz w:val="28"/>
          <w:szCs w:val="28"/>
          <w:highlight w:val="none"/>
        </w:rPr>
      </w:pPr>
      <w:bookmarkStart w:id="75" w:name="_GoBack"/>
      <w:bookmarkEnd w:id="75"/>
      <w:r>
        <w:rPr>
          <w:rFonts w:hint="eastAsia" w:ascii="仿宋" w:hAnsi="仿宋" w:eastAsia="仿宋" w:cs="仿宋"/>
          <w:b/>
          <w:color w:val="auto"/>
          <w:sz w:val="30"/>
          <w:szCs w:val="30"/>
          <w:highlight w:val="none"/>
        </w:rPr>
        <w:br w:type="page"/>
      </w:r>
      <w:bookmarkEnd w:id="70"/>
      <w:bookmarkEnd w:id="71"/>
      <w:bookmarkStart w:id="72" w:name="_Toc2098"/>
      <w:bookmarkStart w:id="73" w:name="_Toc29312"/>
      <w:bookmarkStart w:id="74" w:name="_Toc29174"/>
      <w:r>
        <w:rPr>
          <w:rFonts w:hint="eastAsia" w:ascii="仿宋" w:hAnsi="仿宋" w:eastAsia="仿宋" w:cs="仿宋"/>
          <w:b/>
          <w:bCs/>
          <w:color w:val="auto"/>
          <w:sz w:val="28"/>
          <w:szCs w:val="28"/>
          <w:highlight w:val="none"/>
          <w:lang w:val="en-US" w:eastAsia="zh-CN"/>
        </w:rPr>
        <w:t>11、</w:t>
      </w:r>
      <w:r>
        <w:rPr>
          <w:rFonts w:hint="eastAsia" w:ascii="仿宋" w:hAnsi="仿宋" w:eastAsia="仿宋" w:cs="仿宋"/>
          <w:b/>
          <w:bCs/>
          <w:color w:val="auto"/>
          <w:sz w:val="28"/>
          <w:szCs w:val="28"/>
          <w:highlight w:val="none"/>
        </w:rPr>
        <w:t>项目实施供货方案</w:t>
      </w:r>
    </w:p>
    <w:p w14:paraId="39C38090">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根据本项目特点，提供项目实施供货方案，包含但不仅限于：①实施供货计划、②供应进度安排、③人员安排组织；④供应货物质量保障、⑤货物包装方案、⑥货物交付及验收；所提供的方案全面内容可行、充实，且利于项目实施；</w:t>
      </w:r>
    </w:p>
    <w:p w14:paraId="326B3444">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格式自拟</w:t>
      </w:r>
    </w:p>
    <w:p w14:paraId="1B9EEB6F">
      <w:pPr>
        <w:rPr>
          <w:rFonts w:hint="eastAsia"/>
          <w:color w:val="auto"/>
          <w:highlight w:val="none"/>
        </w:rPr>
      </w:pPr>
    </w:p>
    <w:p w14:paraId="65067E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12、</w:t>
      </w:r>
      <w:r>
        <w:rPr>
          <w:rFonts w:hint="eastAsia" w:ascii="仿宋" w:hAnsi="仿宋" w:eastAsia="仿宋" w:cs="仿宋"/>
          <w:b/>
          <w:bCs/>
          <w:color w:val="auto"/>
          <w:sz w:val="30"/>
          <w:szCs w:val="30"/>
          <w:highlight w:val="none"/>
        </w:rPr>
        <w:t>项目实施人员</w:t>
      </w:r>
    </w:p>
    <w:p w14:paraId="55A8BF5B">
      <w:pPr>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eastAsia="zh-CN" w:bidi="ar"/>
        </w:rPr>
        <w:t>供应商</w:t>
      </w:r>
      <w:r>
        <w:rPr>
          <w:rFonts w:hint="eastAsia" w:ascii="仿宋" w:hAnsi="仿宋" w:eastAsia="仿宋" w:cs="仿宋"/>
          <w:color w:val="auto"/>
          <w:kern w:val="0"/>
          <w:sz w:val="24"/>
          <w:szCs w:val="24"/>
          <w:highlight w:val="none"/>
          <w:lang w:bidi="ar"/>
        </w:rPr>
        <w:t>提供服务本项目人员至少</w:t>
      </w:r>
      <w:r>
        <w:rPr>
          <w:rFonts w:hint="eastAsia" w:ascii="仿宋" w:hAnsi="仿宋" w:eastAsia="仿宋" w:cs="仿宋"/>
          <w:color w:val="auto"/>
          <w:kern w:val="0"/>
          <w:sz w:val="24"/>
          <w:szCs w:val="24"/>
          <w:highlight w:val="none"/>
          <w:lang w:val="en-US" w:eastAsia="zh-CN" w:bidi="ar"/>
        </w:rPr>
        <w:t>2</w:t>
      </w:r>
      <w:r>
        <w:rPr>
          <w:rFonts w:hint="eastAsia" w:ascii="仿宋" w:hAnsi="仿宋" w:eastAsia="仿宋" w:cs="仿宋"/>
          <w:color w:val="auto"/>
          <w:kern w:val="0"/>
          <w:sz w:val="24"/>
          <w:szCs w:val="24"/>
          <w:highlight w:val="none"/>
          <w:lang w:bidi="ar"/>
        </w:rPr>
        <w:t>人，承担设备的软硬件安装、调试工作，须提供人员的身份证、学历证原件彩色扫描件加盖公章</w:t>
      </w:r>
      <w:r>
        <w:rPr>
          <w:rFonts w:hint="eastAsia" w:ascii="仿宋" w:hAnsi="仿宋" w:eastAsia="仿宋" w:cs="仿宋"/>
          <w:color w:val="auto"/>
          <w:kern w:val="0"/>
          <w:sz w:val="24"/>
          <w:szCs w:val="24"/>
          <w:highlight w:val="none"/>
          <w:lang w:eastAsia="zh-CN" w:bidi="ar"/>
        </w:rPr>
        <w:t>。</w:t>
      </w:r>
    </w:p>
    <w:p w14:paraId="6E59B1C7">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格式自拟</w:t>
      </w:r>
    </w:p>
    <w:p w14:paraId="1AD377DD">
      <w:pPr>
        <w:pStyle w:val="10"/>
        <w:ind w:firstLine="480"/>
        <w:rPr>
          <w:rFonts w:hint="eastAsia" w:ascii="仿宋" w:hAnsi="仿宋" w:eastAsia="仿宋" w:cs="仿宋"/>
          <w:color w:val="auto"/>
          <w:sz w:val="24"/>
          <w:highlight w:val="none"/>
        </w:rPr>
      </w:pPr>
    </w:p>
    <w:p w14:paraId="221F3AB6">
      <w:pPr>
        <w:rPr>
          <w:rFonts w:hint="eastAsia"/>
          <w:color w:val="auto"/>
          <w:highlight w:val="none"/>
        </w:rPr>
      </w:pPr>
    </w:p>
    <w:p w14:paraId="53A8B078">
      <w:pPr>
        <w:rPr>
          <w:rFonts w:hint="eastAsia" w:ascii="仿宋" w:hAnsi="仿宋" w:eastAsia="仿宋" w:cs="仿宋"/>
          <w:color w:val="auto"/>
          <w:sz w:val="24"/>
          <w:highlight w:val="none"/>
        </w:rPr>
      </w:pPr>
    </w:p>
    <w:p w14:paraId="22BF62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13</w:t>
      </w:r>
      <w:r>
        <w:rPr>
          <w:rFonts w:hint="eastAsia" w:ascii="仿宋" w:hAnsi="仿宋" w:eastAsia="仿宋" w:cs="仿宋"/>
          <w:b/>
          <w:bCs/>
          <w:color w:val="auto"/>
          <w:sz w:val="30"/>
          <w:szCs w:val="30"/>
          <w:highlight w:val="none"/>
        </w:rPr>
        <w:t>、本地化服务</w:t>
      </w:r>
    </w:p>
    <w:p w14:paraId="7F033C88">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能够提供本地化技术支持和服务</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须提供证明材料（如承诺书或购房合同或租赁合同的原件彩色扫描件）。</w:t>
      </w:r>
    </w:p>
    <w:p w14:paraId="6F560E8A">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格式自拟</w:t>
      </w:r>
    </w:p>
    <w:p w14:paraId="0BFFAE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30"/>
          <w:szCs w:val="30"/>
          <w:highlight w:val="none"/>
        </w:rPr>
      </w:pPr>
    </w:p>
    <w:p w14:paraId="7F87BD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14</w:t>
      </w:r>
      <w:r>
        <w:rPr>
          <w:rFonts w:hint="eastAsia" w:ascii="仿宋" w:hAnsi="仿宋" w:eastAsia="仿宋" w:cs="仿宋"/>
          <w:b/>
          <w:bCs/>
          <w:color w:val="auto"/>
          <w:sz w:val="30"/>
          <w:szCs w:val="30"/>
          <w:highlight w:val="none"/>
        </w:rPr>
        <w:t>、售后服务人员</w:t>
      </w:r>
    </w:p>
    <w:p w14:paraId="7AEBB075">
      <w:pPr>
        <w:widowControl/>
        <w:ind w:firstLine="480" w:firstLineChars="200"/>
        <w:jc w:val="left"/>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eastAsia="zh-CN" w:bidi="ar"/>
        </w:rPr>
        <w:t>供应商</w:t>
      </w:r>
      <w:r>
        <w:rPr>
          <w:rFonts w:hint="eastAsia" w:ascii="仿宋" w:hAnsi="仿宋" w:eastAsia="仿宋" w:cs="仿宋"/>
          <w:color w:val="auto"/>
          <w:kern w:val="0"/>
          <w:sz w:val="24"/>
          <w:szCs w:val="24"/>
          <w:highlight w:val="none"/>
          <w:lang w:bidi="ar"/>
        </w:rPr>
        <w:t>提供专业售后服务人员至少</w:t>
      </w: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bidi="ar"/>
        </w:rPr>
        <w:t>人。</w:t>
      </w:r>
    </w:p>
    <w:p w14:paraId="2D477AB5">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售后服务人员须提供人员的身份证、学历证原件彩色扫描件。未提供或提供不全不得分。</w:t>
      </w:r>
      <w:r>
        <w:rPr>
          <w:rFonts w:hint="eastAsia" w:ascii="仿宋" w:hAnsi="仿宋" w:eastAsia="仿宋" w:cs="仿宋"/>
          <w:color w:val="auto"/>
          <w:sz w:val="24"/>
          <w:szCs w:val="24"/>
          <w:highlight w:val="none"/>
        </w:rPr>
        <w:t>格式自拟</w:t>
      </w:r>
    </w:p>
    <w:p w14:paraId="30E6A552">
      <w:pPr>
        <w:pStyle w:val="30"/>
        <w:rPr>
          <w:rFonts w:hint="eastAsia" w:ascii="仿宋" w:hAnsi="仿宋" w:eastAsia="仿宋" w:cs="仿宋"/>
          <w:color w:val="auto"/>
          <w:highlight w:val="none"/>
        </w:rPr>
      </w:pPr>
    </w:p>
    <w:p w14:paraId="0E24B43B">
      <w:pPr>
        <w:pStyle w:val="30"/>
        <w:rPr>
          <w:rFonts w:hint="eastAsia" w:ascii="仿宋" w:hAnsi="仿宋" w:eastAsia="仿宋" w:cs="仿宋"/>
          <w:color w:val="auto"/>
          <w:highlight w:val="none"/>
        </w:rPr>
      </w:pPr>
    </w:p>
    <w:p w14:paraId="49A92D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30"/>
          <w:szCs w:val="30"/>
          <w:highlight w:val="none"/>
        </w:rPr>
      </w:pPr>
    </w:p>
    <w:p w14:paraId="23345E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15、</w:t>
      </w:r>
      <w:r>
        <w:rPr>
          <w:rFonts w:hint="eastAsia" w:ascii="仿宋" w:hAnsi="仿宋" w:eastAsia="仿宋" w:cs="仿宋"/>
          <w:b/>
          <w:bCs/>
          <w:color w:val="auto"/>
          <w:sz w:val="30"/>
          <w:szCs w:val="30"/>
          <w:highlight w:val="none"/>
        </w:rPr>
        <w:t>售后方案</w:t>
      </w:r>
    </w:p>
    <w:p w14:paraId="79B95599">
      <w:pPr>
        <w:widowControl/>
        <w:ind w:firstLine="480" w:firstLineChars="200"/>
        <w:jc w:val="left"/>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eastAsia="zh-CN" w:bidi="ar"/>
        </w:rPr>
        <w:t>供应商具有优质的售后服务措施和零配件的供应方案，售后服务方案包含但不限于①售后服务方案及人员安排；②响应时间（接到报修通知后2小时内到达现场，24小时内解决问题）；③计划；④备品备件库存</w:t>
      </w:r>
      <w:r>
        <w:rPr>
          <w:rFonts w:hint="eastAsia" w:ascii="仿宋" w:hAnsi="仿宋" w:eastAsia="仿宋" w:cs="仿宋"/>
          <w:color w:val="auto"/>
          <w:kern w:val="0"/>
          <w:sz w:val="24"/>
          <w:szCs w:val="24"/>
          <w:highlight w:val="none"/>
          <w:lang w:val="en-US" w:eastAsia="zh-CN" w:bidi="ar"/>
        </w:rPr>
        <w:t>及</w:t>
      </w:r>
      <w:r>
        <w:rPr>
          <w:rFonts w:hint="eastAsia" w:ascii="仿宋" w:hAnsi="仿宋" w:eastAsia="仿宋" w:cs="仿宋"/>
          <w:color w:val="auto"/>
          <w:kern w:val="0"/>
          <w:sz w:val="24"/>
          <w:szCs w:val="24"/>
          <w:highlight w:val="none"/>
          <w:lang w:eastAsia="zh-CN" w:bidi="ar"/>
        </w:rPr>
        <w:t>保障措施（对退换货、补单、供货，返修时等情况）等。</w:t>
      </w:r>
    </w:p>
    <w:p w14:paraId="607F1876">
      <w:pPr>
        <w:widowControl/>
        <w:ind w:firstLine="480" w:firstLineChars="200"/>
        <w:jc w:val="left"/>
        <w:rPr>
          <w:rFonts w:hint="eastAsia" w:ascii="仿宋" w:hAnsi="仿宋" w:eastAsia="仿宋" w:cs="仿宋"/>
          <w:color w:val="auto"/>
          <w:kern w:val="0"/>
          <w:sz w:val="24"/>
          <w:szCs w:val="24"/>
          <w:highlight w:val="none"/>
          <w:lang w:eastAsia="zh-CN" w:bidi="ar"/>
        </w:rPr>
      </w:pPr>
      <w:r>
        <w:rPr>
          <w:rFonts w:hint="eastAsia" w:ascii="仿宋" w:hAnsi="仿宋" w:eastAsia="仿宋" w:cs="仿宋"/>
          <w:color w:val="auto"/>
          <w:kern w:val="0"/>
          <w:sz w:val="24"/>
          <w:szCs w:val="24"/>
          <w:highlight w:val="none"/>
          <w:lang w:eastAsia="zh-CN" w:bidi="ar"/>
        </w:rPr>
        <w:t>格式自拟</w:t>
      </w:r>
    </w:p>
    <w:p w14:paraId="0D1776A3">
      <w:pPr>
        <w:pStyle w:val="30"/>
        <w:ind w:firstLine="480" w:firstLineChars="200"/>
        <w:rPr>
          <w:rFonts w:hint="eastAsia" w:ascii="仿宋" w:hAnsi="仿宋" w:eastAsia="仿宋" w:cs="仿宋"/>
          <w:color w:val="auto"/>
          <w:sz w:val="24"/>
          <w:szCs w:val="24"/>
          <w:highlight w:val="none"/>
        </w:rPr>
      </w:pPr>
    </w:p>
    <w:p w14:paraId="1828C4B4">
      <w:pPr>
        <w:pStyle w:val="30"/>
        <w:ind w:firstLine="480" w:firstLineChars="200"/>
        <w:rPr>
          <w:rFonts w:hint="eastAsia" w:ascii="仿宋" w:hAnsi="仿宋" w:eastAsia="仿宋" w:cs="仿宋"/>
          <w:color w:val="auto"/>
          <w:sz w:val="24"/>
          <w:szCs w:val="24"/>
          <w:highlight w:val="none"/>
        </w:rPr>
      </w:pPr>
    </w:p>
    <w:p w14:paraId="42949B69">
      <w:pPr>
        <w:pStyle w:val="30"/>
        <w:ind w:firstLine="480" w:firstLineChars="200"/>
        <w:rPr>
          <w:rFonts w:hint="eastAsia" w:ascii="仿宋" w:hAnsi="仿宋" w:eastAsia="仿宋" w:cs="仿宋"/>
          <w:color w:val="auto"/>
          <w:sz w:val="24"/>
          <w:szCs w:val="24"/>
          <w:highlight w:val="none"/>
        </w:rPr>
      </w:pPr>
    </w:p>
    <w:p w14:paraId="333CA22F">
      <w:pPr>
        <w:pStyle w:val="30"/>
        <w:ind w:firstLine="480" w:firstLineChars="200"/>
        <w:rPr>
          <w:rFonts w:hint="eastAsia" w:ascii="仿宋" w:hAnsi="仿宋" w:eastAsia="仿宋" w:cs="仿宋"/>
          <w:color w:val="auto"/>
          <w:sz w:val="24"/>
          <w:szCs w:val="24"/>
          <w:highlight w:val="none"/>
        </w:rPr>
      </w:pPr>
    </w:p>
    <w:p w14:paraId="2CBEC29F">
      <w:pPr>
        <w:pStyle w:val="30"/>
        <w:ind w:firstLine="480" w:firstLineChars="200"/>
        <w:rPr>
          <w:rFonts w:hint="eastAsia" w:ascii="仿宋" w:hAnsi="仿宋" w:eastAsia="仿宋" w:cs="仿宋"/>
          <w:color w:val="auto"/>
          <w:sz w:val="24"/>
          <w:szCs w:val="24"/>
          <w:highlight w:val="none"/>
        </w:rPr>
      </w:pPr>
    </w:p>
    <w:p w14:paraId="6450B2C8">
      <w:pPr>
        <w:pStyle w:val="30"/>
        <w:ind w:firstLine="480" w:firstLineChars="200"/>
        <w:rPr>
          <w:rFonts w:hint="eastAsia" w:ascii="仿宋" w:hAnsi="仿宋" w:eastAsia="仿宋" w:cs="仿宋"/>
          <w:color w:val="auto"/>
          <w:sz w:val="24"/>
          <w:szCs w:val="24"/>
          <w:highlight w:val="none"/>
        </w:rPr>
      </w:pPr>
    </w:p>
    <w:p w14:paraId="0708CAFC">
      <w:pPr>
        <w:pStyle w:val="30"/>
        <w:numPr>
          <w:ilvl w:val="0"/>
          <w:numId w:val="0"/>
        </w:numPr>
        <w:jc w:val="center"/>
        <w:rPr>
          <w:rFonts w:hint="eastAsia" w:ascii="仿宋" w:hAnsi="仿宋" w:eastAsia="仿宋" w:cs="仿宋"/>
          <w:b/>
          <w:bCs/>
          <w:color w:val="auto"/>
          <w:kern w:val="2"/>
          <w:sz w:val="28"/>
          <w:szCs w:val="28"/>
          <w:highlight w:val="none"/>
          <w:lang w:bidi="ar-SA"/>
        </w:rPr>
      </w:pPr>
      <w:r>
        <w:rPr>
          <w:rFonts w:hint="eastAsia" w:ascii="仿宋" w:hAnsi="仿宋" w:eastAsia="仿宋" w:cs="仿宋"/>
          <w:b/>
          <w:bCs/>
          <w:color w:val="auto"/>
          <w:kern w:val="2"/>
          <w:sz w:val="28"/>
          <w:szCs w:val="28"/>
          <w:highlight w:val="none"/>
          <w:lang w:val="en-US" w:eastAsia="zh-CN" w:bidi="ar-SA"/>
        </w:rPr>
        <w:t>16、</w:t>
      </w:r>
      <w:r>
        <w:rPr>
          <w:rFonts w:hint="eastAsia" w:ascii="仿宋" w:hAnsi="仿宋" w:eastAsia="仿宋" w:cs="仿宋"/>
          <w:b/>
          <w:bCs/>
          <w:color w:val="auto"/>
          <w:kern w:val="2"/>
          <w:sz w:val="28"/>
          <w:szCs w:val="28"/>
          <w:highlight w:val="none"/>
          <w:lang w:bidi="ar-SA"/>
        </w:rPr>
        <w:t>培训服务</w:t>
      </w:r>
    </w:p>
    <w:p w14:paraId="42638CAB">
      <w:pPr>
        <w:pStyle w:val="30"/>
        <w:numPr>
          <w:ilvl w:val="0"/>
          <w:numId w:val="0"/>
        </w:numPr>
        <w:ind w:firstLine="480" w:firstLineChars="200"/>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eastAsia="zh-CN" w:bidi="ar"/>
        </w:rPr>
        <w:t>供应商</w:t>
      </w:r>
      <w:r>
        <w:rPr>
          <w:rFonts w:hint="eastAsia" w:ascii="仿宋" w:hAnsi="仿宋" w:eastAsia="仿宋" w:cs="仿宋"/>
          <w:color w:val="auto"/>
          <w:kern w:val="0"/>
          <w:sz w:val="24"/>
          <w:szCs w:val="24"/>
          <w:highlight w:val="none"/>
          <w:lang w:bidi="ar"/>
        </w:rPr>
        <w:t>根据采购人要求提供相关内容培训，培训方案包括：①设备的操作使用；②设备的日常保养；③设备安全注意事项；④设备简易故障排除；⑤培训形式；⑥培训人员配备等。</w:t>
      </w:r>
    </w:p>
    <w:p w14:paraId="5FF5DE2B">
      <w:pPr>
        <w:pStyle w:val="30"/>
        <w:numPr>
          <w:ilvl w:val="0"/>
          <w:numId w:val="0"/>
        </w:numPr>
        <w:ind w:firstLine="480" w:firstLineChars="200"/>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格式自拟</w:t>
      </w:r>
    </w:p>
    <w:p w14:paraId="03041053">
      <w:pPr>
        <w:pStyle w:val="30"/>
        <w:rPr>
          <w:rFonts w:ascii="仿宋" w:hAnsi="仿宋" w:eastAsia="仿宋" w:cs="仿宋"/>
          <w:color w:val="auto"/>
          <w:highlight w:val="none"/>
        </w:rPr>
      </w:pPr>
    </w:p>
    <w:p w14:paraId="312C8113">
      <w:pPr>
        <w:pStyle w:val="30"/>
        <w:rPr>
          <w:rFonts w:ascii="仿宋" w:hAnsi="仿宋" w:eastAsia="仿宋" w:cs="仿宋"/>
          <w:color w:val="auto"/>
          <w:highlight w:val="none"/>
        </w:rPr>
      </w:pPr>
    </w:p>
    <w:p w14:paraId="6E88082E">
      <w:pPr>
        <w:pStyle w:val="30"/>
        <w:rPr>
          <w:rFonts w:ascii="仿宋" w:hAnsi="仿宋" w:eastAsia="仿宋" w:cs="仿宋"/>
          <w:color w:val="auto"/>
          <w:highlight w:val="none"/>
        </w:rPr>
      </w:pPr>
    </w:p>
    <w:p w14:paraId="5E066ECE">
      <w:pPr>
        <w:pStyle w:val="30"/>
        <w:rPr>
          <w:rFonts w:ascii="仿宋" w:hAnsi="仿宋" w:eastAsia="仿宋" w:cs="仿宋"/>
          <w:color w:val="auto"/>
          <w:highlight w:val="none"/>
        </w:rPr>
      </w:pPr>
    </w:p>
    <w:p w14:paraId="4FFEE965">
      <w:pPr>
        <w:pStyle w:val="30"/>
        <w:numPr>
          <w:ilvl w:val="0"/>
          <w:numId w:val="0"/>
        </w:numPr>
        <w:jc w:val="center"/>
        <w:rPr>
          <w:rFonts w:hint="eastAsia" w:ascii="仿宋" w:hAnsi="仿宋" w:eastAsia="仿宋" w:cs="仿宋"/>
          <w:b/>
          <w:bCs/>
          <w:color w:val="auto"/>
          <w:kern w:val="2"/>
          <w:sz w:val="28"/>
          <w:szCs w:val="28"/>
          <w:highlight w:val="none"/>
        </w:rPr>
      </w:pPr>
      <w:r>
        <w:rPr>
          <w:rFonts w:hint="eastAsia" w:ascii="仿宋" w:hAnsi="仿宋" w:eastAsia="仿宋" w:cs="仿宋"/>
          <w:b/>
          <w:bCs/>
          <w:color w:val="auto"/>
          <w:kern w:val="2"/>
          <w:sz w:val="28"/>
          <w:szCs w:val="28"/>
          <w:highlight w:val="none"/>
          <w:lang w:val="en-US" w:eastAsia="zh-CN"/>
        </w:rPr>
        <w:t>17</w:t>
      </w:r>
      <w:r>
        <w:rPr>
          <w:rFonts w:hint="eastAsia" w:ascii="仿宋" w:hAnsi="仿宋" w:eastAsia="仿宋" w:cs="仿宋"/>
          <w:b/>
          <w:bCs/>
          <w:color w:val="auto"/>
          <w:kern w:val="2"/>
          <w:sz w:val="28"/>
          <w:szCs w:val="28"/>
          <w:highlight w:val="none"/>
        </w:rPr>
        <w:t>、质量保证</w:t>
      </w:r>
    </w:p>
    <w:p w14:paraId="58C3FA11">
      <w:pPr>
        <w:pStyle w:val="30"/>
        <w:numPr>
          <w:ilvl w:val="0"/>
          <w:numId w:val="0"/>
        </w:numPr>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供所投设备的质量检测报告，提供的质检报告须为有效期内的由国家质量技术监督管理职能部门或国家质量技术监督管理职能部门授权认可的第三方检测机构出具的产品质检报告，报告须体现产品名称，设备或功能参数等（检测报告须符合国家标准，提供检测报告原件彩色扫描件加盖公章）</w:t>
      </w:r>
      <w:r>
        <w:rPr>
          <w:rFonts w:hint="eastAsia" w:ascii="仿宋" w:hAnsi="仿宋" w:eastAsia="仿宋" w:cs="仿宋"/>
          <w:color w:val="auto"/>
          <w:sz w:val="24"/>
          <w:szCs w:val="24"/>
          <w:highlight w:val="none"/>
          <w:lang w:eastAsia="zh-CN"/>
        </w:rPr>
        <w:t>。</w:t>
      </w:r>
    </w:p>
    <w:p w14:paraId="577D25F0">
      <w:pPr>
        <w:pStyle w:val="30"/>
        <w:numPr>
          <w:ilvl w:val="0"/>
          <w:numId w:val="0"/>
        </w:numPr>
        <w:ind w:firstLine="480" w:firstLineChars="200"/>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格式自拟</w:t>
      </w:r>
    </w:p>
    <w:bookmarkEnd w:id="72"/>
    <w:bookmarkEnd w:id="73"/>
    <w:bookmarkEnd w:id="74"/>
    <w:p w14:paraId="3E61D58B">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br w:type="page"/>
      </w:r>
    </w:p>
    <w:p w14:paraId="5A04C4FF">
      <w:pPr>
        <w:pStyle w:val="30"/>
        <w:numPr>
          <w:ilvl w:val="0"/>
          <w:numId w:val="0"/>
        </w:numPr>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18、中小微企业、残疾人福利性单位、监狱企业声明函</w:t>
      </w:r>
      <w:bookmarkEnd w:id="67"/>
      <w:bookmarkEnd w:id="68"/>
      <w:bookmarkEnd w:id="69"/>
    </w:p>
    <w:p w14:paraId="27A35330">
      <w:pPr>
        <w:pStyle w:val="30"/>
        <w:numPr>
          <w:ilvl w:val="0"/>
          <w:numId w:val="0"/>
        </w:numPr>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18.1、企业类型声明函（货物）</w:t>
      </w:r>
    </w:p>
    <w:p w14:paraId="62C10134">
      <w:pPr>
        <w:rPr>
          <w:rFonts w:hint="eastAsia"/>
          <w:color w:val="auto"/>
          <w:highlight w:val="none"/>
        </w:rPr>
      </w:pPr>
    </w:p>
    <w:p w14:paraId="3ABB4181">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kern w:val="0"/>
          <w:sz w:val="24"/>
          <w:szCs w:val="24"/>
          <w:highlight w:val="none"/>
          <w:u w:val="single"/>
        </w:rPr>
        <w:t>（单位名称）</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u w:val="single"/>
        </w:rPr>
        <w:t>（项目名称）</w:t>
      </w:r>
      <w:r>
        <w:rPr>
          <w:rFonts w:hint="eastAsia" w:ascii="仿宋" w:hAnsi="仿宋" w:eastAsia="仿宋" w:cs="仿宋"/>
          <w:color w:val="auto"/>
          <w:kern w:val="0"/>
          <w:sz w:val="24"/>
          <w:szCs w:val="24"/>
          <w:highlight w:val="none"/>
        </w:rPr>
        <w:t>采购活动，提供的货物全部由符合政策要求的中小企业制造。相关企业（含联合体中的中小企业、签订分包意向协议的中小企业）的具体情况如下：</w:t>
      </w:r>
    </w:p>
    <w:p w14:paraId="7961EDF0">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（采购文件中明确的所属行业）行业</w:t>
      </w:r>
      <w:r>
        <w:rPr>
          <w:rFonts w:hint="eastAsia" w:ascii="仿宋" w:hAnsi="仿宋" w:eastAsia="仿宋" w:cs="仿宋"/>
          <w:color w:val="auto"/>
          <w:kern w:val="0"/>
          <w:sz w:val="24"/>
          <w:szCs w:val="24"/>
          <w:highlight w:val="none"/>
        </w:rPr>
        <w:t>；制造商为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，从业人员人，营业收入为万元，资产总额为万元</w:t>
      </w:r>
      <w:r>
        <w:rPr>
          <w:rFonts w:hint="eastAsia" w:ascii="仿宋" w:hAnsi="仿宋" w:eastAsia="仿宋" w:cs="仿宋"/>
          <w:color w:val="auto"/>
          <w:kern w:val="0"/>
          <w:sz w:val="24"/>
          <w:szCs w:val="24"/>
          <w:highlight w:val="none"/>
          <w:vertAlign w:val="superscript"/>
        </w:rPr>
        <w:t>1</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14:paraId="44F17F2B">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rPr>
        <w:t>（标的名称）</w:t>
      </w:r>
      <w:r>
        <w:rPr>
          <w:rFonts w:hint="eastAsia" w:ascii="仿宋" w:hAnsi="仿宋" w:eastAsia="仿宋" w:cs="仿宋"/>
          <w:color w:val="auto"/>
          <w:kern w:val="0"/>
          <w:sz w:val="24"/>
          <w:szCs w:val="24"/>
          <w:highlight w:val="none"/>
        </w:rPr>
        <w:t>，属于</w:t>
      </w:r>
      <w:r>
        <w:rPr>
          <w:rFonts w:hint="eastAsia" w:ascii="仿宋" w:hAnsi="仿宋" w:eastAsia="仿宋" w:cs="仿宋"/>
          <w:color w:val="auto"/>
          <w:kern w:val="0"/>
          <w:sz w:val="24"/>
          <w:szCs w:val="24"/>
          <w:highlight w:val="none"/>
          <w:u w:val="single"/>
        </w:rPr>
        <w:t>（采购文件中明确的所属行业）</w:t>
      </w:r>
      <w:r>
        <w:rPr>
          <w:rFonts w:hint="eastAsia" w:ascii="仿宋" w:hAnsi="仿宋" w:eastAsia="仿宋" w:cs="仿宋"/>
          <w:color w:val="auto"/>
          <w:kern w:val="0"/>
          <w:sz w:val="24"/>
          <w:szCs w:val="24"/>
          <w:highlight w:val="none"/>
        </w:rPr>
        <w:t>行业；制造商为</w:t>
      </w:r>
      <w:r>
        <w:rPr>
          <w:rFonts w:hint="eastAsia" w:ascii="仿宋" w:hAnsi="仿宋" w:eastAsia="仿宋" w:cs="仿宋"/>
          <w:color w:val="auto"/>
          <w:kern w:val="0"/>
          <w:sz w:val="24"/>
          <w:szCs w:val="24"/>
          <w:highlight w:val="none"/>
          <w:u w:val="single"/>
        </w:rPr>
        <w:t>（企业名称）</w:t>
      </w:r>
      <w:r>
        <w:rPr>
          <w:rFonts w:hint="eastAsia" w:ascii="仿宋" w:hAnsi="仿宋" w:eastAsia="仿宋" w:cs="仿宋"/>
          <w:color w:val="auto"/>
          <w:kern w:val="0"/>
          <w:sz w:val="24"/>
          <w:szCs w:val="24"/>
          <w:highlight w:val="none"/>
        </w:rPr>
        <w:t>，从业人员人，营业收为万元，资产总额为万元，属于</w:t>
      </w:r>
      <w:r>
        <w:rPr>
          <w:rFonts w:hint="eastAsia" w:ascii="仿宋" w:hAnsi="仿宋" w:eastAsia="仿宋" w:cs="仿宋"/>
          <w:color w:val="auto"/>
          <w:kern w:val="0"/>
          <w:sz w:val="24"/>
          <w:szCs w:val="24"/>
          <w:highlight w:val="none"/>
          <w:u w:val="single"/>
        </w:rPr>
        <w:t>（中型企业、小型企业、微型企业）</w:t>
      </w:r>
      <w:r>
        <w:rPr>
          <w:rFonts w:hint="eastAsia" w:ascii="仿宋" w:hAnsi="仿宋" w:eastAsia="仿宋" w:cs="仿宋"/>
          <w:color w:val="auto"/>
          <w:kern w:val="0"/>
          <w:sz w:val="24"/>
          <w:szCs w:val="24"/>
          <w:highlight w:val="none"/>
        </w:rPr>
        <w:t>；</w:t>
      </w:r>
    </w:p>
    <w:p w14:paraId="7C115748">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07BB28ED">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以上企业，不属于大企业的分支机构，不存在控股股东为大企业的情形，也不存在与大企业的负责人为同一人的情形。</w:t>
      </w:r>
    </w:p>
    <w:p w14:paraId="235BF16C">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本企业对上述声明内容的真实性负责。如有虚假，将依法承担相应责任。</w:t>
      </w:r>
    </w:p>
    <w:p w14:paraId="64F2D488">
      <w:pPr>
        <w:widowControl/>
        <w:wordWrap w:val="0"/>
        <w:spacing w:line="360" w:lineRule="auto"/>
        <w:ind w:firstLine="480" w:firstLineChars="200"/>
        <w:jc w:val="right"/>
        <w:rPr>
          <w:rFonts w:hint="eastAsia" w:ascii="仿宋" w:hAnsi="仿宋" w:eastAsia="仿宋" w:cs="仿宋"/>
          <w:color w:val="auto"/>
          <w:kern w:val="0"/>
          <w:sz w:val="24"/>
          <w:szCs w:val="24"/>
          <w:highlight w:val="none"/>
        </w:rPr>
      </w:pPr>
    </w:p>
    <w:p w14:paraId="3FE013C0">
      <w:pPr>
        <w:widowControl/>
        <w:wordWrap w:val="0"/>
        <w:spacing w:line="360" w:lineRule="auto"/>
        <w:ind w:firstLine="480" w:firstLineChars="200"/>
        <w:jc w:val="righ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企业名称（</w:t>
      </w:r>
      <w:r>
        <w:rPr>
          <w:rFonts w:hint="eastAsia" w:ascii="仿宋" w:hAnsi="仿宋" w:eastAsia="仿宋" w:cs="仿宋"/>
          <w:color w:val="auto"/>
          <w:sz w:val="24"/>
          <w:highlight w:val="none"/>
        </w:rPr>
        <w:t>电子签章</w:t>
      </w:r>
      <w:r>
        <w:rPr>
          <w:rFonts w:hint="eastAsia" w:ascii="仿宋" w:hAnsi="仿宋" w:eastAsia="仿宋" w:cs="仿宋"/>
          <w:color w:val="auto"/>
          <w:kern w:val="0"/>
          <w:sz w:val="24"/>
          <w:szCs w:val="24"/>
          <w:highlight w:val="none"/>
        </w:rPr>
        <w:t>）：</w:t>
      </w:r>
    </w:p>
    <w:p w14:paraId="41CBBE04">
      <w:pPr>
        <w:widowControl/>
        <w:wordWrap w:val="0"/>
        <w:spacing w:line="360" w:lineRule="auto"/>
        <w:ind w:right="480" w:firstLine="480" w:firstLineChars="20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日期：</w:t>
      </w:r>
    </w:p>
    <w:p w14:paraId="76E698FB">
      <w:pPr>
        <w:widowControl/>
        <w:wordWrap/>
        <w:spacing w:line="360" w:lineRule="auto"/>
        <w:ind w:right="480" w:firstLine="480" w:firstLineChars="200"/>
        <w:jc w:val="right"/>
        <w:rPr>
          <w:rFonts w:hint="eastAsia" w:ascii="仿宋" w:hAnsi="仿宋" w:eastAsia="仿宋" w:cs="仿宋"/>
          <w:color w:val="auto"/>
          <w:kern w:val="0"/>
          <w:sz w:val="24"/>
          <w:szCs w:val="24"/>
          <w:highlight w:val="none"/>
        </w:rPr>
      </w:pPr>
    </w:p>
    <w:p w14:paraId="35D17361">
      <w:pPr>
        <w:widowControl/>
        <w:wordWrap/>
        <w:spacing w:line="360" w:lineRule="auto"/>
        <w:ind w:right="480" w:firstLine="480" w:firstLineChars="200"/>
        <w:jc w:val="right"/>
        <w:rPr>
          <w:rFonts w:hint="eastAsia" w:ascii="仿宋" w:hAnsi="仿宋" w:eastAsia="仿宋" w:cs="仿宋"/>
          <w:color w:val="auto"/>
          <w:kern w:val="0"/>
          <w:sz w:val="24"/>
          <w:szCs w:val="24"/>
          <w:highlight w:val="none"/>
        </w:rPr>
      </w:pPr>
    </w:p>
    <w:p w14:paraId="56D08C95">
      <w:pPr>
        <w:widowControl/>
        <w:wordWrap/>
        <w:spacing w:line="360" w:lineRule="auto"/>
        <w:ind w:right="480" w:firstLine="480" w:firstLineChars="200"/>
        <w:jc w:val="right"/>
        <w:rPr>
          <w:rFonts w:hint="eastAsia" w:ascii="仿宋" w:hAnsi="仿宋" w:eastAsia="仿宋" w:cs="仿宋"/>
          <w:color w:val="auto"/>
          <w:kern w:val="0"/>
          <w:sz w:val="24"/>
          <w:szCs w:val="24"/>
          <w:highlight w:val="none"/>
        </w:rPr>
      </w:pPr>
    </w:p>
    <w:p w14:paraId="6F26F822">
      <w:pPr>
        <w:widowControl/>
        <w:wordWrap/>
        <w:spacing w:line="360" w:lineRule="auto"/>
        <w:ind w:right="480" w:firstLine="480" w:firstLineChars="200"/>
        <w:jc w:val="right"/>
        <w:rPr>
          <w:rFonts w:hint="eastAsia" w:ascii="仿宋" w:hAnsi="仿宋" w:eastAsia="仿宋" w:cs="仿宋"/>
          <w:color w:val="auto"/>
          <w:kern w:val="0"/>
          <w:sz w:val="24"/>
          <w:szCs w:val="24"/>
          <w:highlight w:val="none"/>
        </w:rPr>
      </w:pPr>
    </w:p>
    <w:p w14:paraId="1981DA3F">
      <w:pPr>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注：</w:t>
      </w:r>
      <w:r>
        <w:rPr>
          <w:rFonts w:hint="eastAsia" w:ascii="仿宋" w:hAnsi="仿宋" w:eastAsia="仿宋" w:cs="仿宋"/>
          <w:color w:val="auto"/>
          <w:kern w:val="0"/>
          <w:sz w:val="22"/>
          <w:szCs w:val="22"/>
          <w:highlight w:val="none"/>
        </w:rPr>
        <w:t>从业人员、营业收入、资产总额填报上一年度数据，无上一年度数据的新成立企业可不填报。（若</w:t>
      </w:r>
      <w:r>
        <w:rPr>
          <w:rFonts w:hint="eastAsia" w:ascii="仿宋" w:hAnsi="仿宋" w:eastAsia="仿宋" w:cs="仿宋"/>
          <w:color w:val="auto"/>
          <w:kern w:val="0"/>
          <w:sz w:val="22"/>
          <w:szCs w:val="22"/>
          <w:highlight w:val="none"/>
          <w:lang w:eastAsia="zh-CN"/>
        </w:rPr>
        <w:t>响应</w:t>
      </w:r>
      <w:r>
        <w:rPr>
          <w:rFonts w:hint="eastAsia" w:ascii="仿宋" w:hAnsi="仿宋" w:eastAsia="仿宋" w:cs="仿宋"/>
          <w:color w:val="auto"/>
          <w:kern w:val="0"/>
          <w:sz w:val="22"/>
          <w:szCs w:val="22"/>
          <w:highlight w:val="none"/>
        </w:rPr>
        <w:t>文件中无上述文件，则在评审时不考虑对该小、微企业的相关优惠。）</w:t>
      </w:r>
    </w:p>
    <w:p w14:paraId="7E12C9CC">
      <w:pPr>
        <w:ind w:firstLine="440" w:firstLineChars="200"/>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rPr>
        <w:t>说明：1、标的名称填写为采购清单（采购目录）中各项货物名称，</w:t>
      </w:r>
      <w:r>
        <w:rPr>
          <w:rFonts w:hint="eastAsia" w:ascii="仿宋" w:hAnsi="仿宋" w:eastAsia="仿宋" w:cs="仿宋"/>
          <w:color w:val="auto"/>
          <w:kern w:val="0"/>
          <w:sz w:val="22"/>
          <w:szCs w:val="22"/>
          <w:highlight w:val="none"/>
          <w:lang w:eastAsia="zh-CN"/>
        </w:rPr>
        <w:t>供应商</w:t>
      </w:r>
      <w:r>
        <w:rPr>
          <w:rFonts w:hint="eastAsia" w:ascii="仿宋" w:hAnsi="仿宋" w:eastAsia="仿宋" w:cs="仿宋"/>
          <w:color w:val="auto"/>
          <w:kern w:val="0"/>
          <w:sz w:val="22"/>
          <w:szCs w:val="22"/>
          <w:highlight w:val="none"/>
        </w:rPr>
        <w:t>须全部填报，不得缺项、漏项；2、《中小企业声明函》内容填写厂家信息，落款</w:t>
      </w:r>
      <w:r>
        <w:rPr>
          <w:rFonts w:hint="eastAsia" w:ascii="仿宋" w:hAnsi="仿宋" w:eastAsia="仿宋" w:cs="仿宋"/>
          <w:color w:val="auto"/>
          <w:kern w:val="0"/>
          <w:sz w:val="22"/>
          <w:szCs w:val="22"/>
          <w:highlight w:val="none"/>
          <w:lang w:eastAsia="zh-CN"/>
        </w:rPr>
        <w:t>供应商</w:t>
      </w:r>
      <w:r>
        <w:rPr>
          <w:rFonts w:hint="eastAsia" w:ascii="仿宋" w:hAnsi="仿宋" w:eastAsia="仿宋" w:cs="仿宋"/>
          <w:color w:val="auto"/>
          <w:kern w:val="0"/>
          <w:sz w:val="22"/>
          <w:szCs w:val="22"/>
          <w:highlight w:val="none"/>
        </w:rPr>
        <w:t>盖章即可。</w:t>
      </w:r>
    </w:p>
    <w:p w14:paraId="5A9BED78">
      <w:pPr>
        <w:pStyle w:val="118"/>
        <w:spacing w:line="440" w:lineRule="exact"/>
        <w:ind w:firstLine="420"/>
        <w:rPr>
          <w:rFonts w:hint="eastAsia" w:ascii="仿宋" w:hAnsi="仿宋" w:eastAsia="仿宋" w:cs="仿宋"/>
          <w:b/>
          <w:bCs/>
          <w:color w:val="auto"/>
          <w:spacing w:val="6"/>
          <w:kern w:val="0"/>
          <w:sz w:val="28"/>
          <w:szCs w:val="28"/>
          <w:highlight w:val="none"/>
        </w:rPr>
      </w:pPr>
    </w:p>
    <w:p w14:paraId="3F125E15">
      <w:pPr>
        <w:rPr>
          <w:rFonts w:hint="eastAsia" w:ascii="仿宋" w:hAnsi="仿宋" w:eastAsia="仿宋" w:cs="仿宋"/>
          <w:bCs/>
          <w:color w:val="auto"/>
          <w:spacing w:val="6"/>
          <w:sz w:val="28"/>
          <w:szCs w:val="28"/>
          <w:highlight w:val="none"/>
          <w:lang w:val="en-US" w:eastAsia="zh-CN"/>
        </w:rPr>
      </w:pPr>
      <w:r>
        <w:rPr>
          <w:rFonts w:hint="eastAsia" w:ascii="仿宋" w:hAnsi="仿宋" w:eastAsia="仿宋" w:cs="仿宋"/>
          <w:bCs/>
          <w:color w:val="auto"/>
          <w:spacing w:val="6"/>
          <w:sz w:val="28"/>
          <w:szCs w:val="28"/>
          <w:highlight w:val="none"/>
          <w:lang w:val="en-US" w:eastAsia="zh-CN"/>
        </w:rPr>
        <w:br w:type="page"/>
      </w:r>
    </w:p>
    <w:p w14:paraId="5227494B">
      <w:pPr>
        <w:pStyle w:val="30"/>
        <w:numPr>
          <w:ilvl w:val="0"/>
          <w:numId w:val="0"/>
        </w:numPr>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18.2、监狱企业声明函</w:t>
      </w:r>
    </w:p>
    <w:p w14:paraId="0319B039">
      <w:pPr>
        <w:pStyle w:val="118"/>
        <w:spacing w:line="440" w:lineRule="exact"/>
        <w:rPr>
          <w:rFonts w:hint="eastAsia" w:ascii="仿宋" w:hAnsi="仿宋" w:eastAsia="仿宋" w:cs="仿宋"/>
          <w:b/>
          <w:color w:val="auto"/>
          <w:spacing w:val="6"/>
          <w:sz w:val="30"/>
          <w:szCs w:val="30"/>
          <w:highlight w:val="none"/>
        </w:rPr>
      </w:pPr>
    </w:p>
    <w:p w14:paraId="1487E2CA">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（监狱企业适用）</w:t>
      </w:r>
    </w:p>
    <w:p w14:paraId="3678A09B">
      <w:pPr>
        <w:spacing w:line="360" w:lineRule="auto"/>
        <w:ind w:firstLine="540" w:firstLineChars="22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本公司郑重声明，根据《关于政府采购支持监狱企业发展有关问题的通知》（财库[2014]68号）的规定，本公司为监狱企业。</w:t>
      </w:r>
    </w:p>
    <w:p w14:paraId="3886E7E8">
      <w:pPr>
        <w:spacing w:line="360" w:lineRule="auto"/>
        <w:ind w:firstLine="540" w:firstLineChars="22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本公司参加______单位的______项目采购活动，采购活动提供本企业（填写制造的货物，由本企业承担工程、提供服务）。</w:t>
      </w:r>
    </w:p>
    <w:p w14:paraId="4B589854">
      <w:pPr>
        <w:spacing w:line="360" w:lineRule="auto"/>
        <w:ind w:firstLine="540" w:firstLineChars="22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本条所称货物不包括使用大型企业注册商标的货物和服务。</w:t>
      </w:r>
    </w:p>
    <w:p w14:paraId="6141D279">
      <w:pPr>
        <w:spacing w:line="360" w:lineRule="auto"/>
        <w:ind w:firstLine="540" w:firstLineChars="22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本公司对上述声明的真实性负责。如有虚假，将依法承担相应责任。</w:t>
      </w:r>
    </w:p>
    <w:p w14:paraId="06984337">
      <w:pPr>
        <w:spacing w:line="360" w:lineRule="auto"/>
        <w:ind w:firstLine="4860" w:firstLineChars="2025"/>
        <w:rPr>
          <w:rFonts w:hint="eastAsia" w:ascii="仿宋" w:hAnsi="仿宋" w:eastAsia="仿宋" w:cs="仿宋"/>
          <w:color w:val="auto"/>
          <w:kern w:val="0"/>
          <w:sz w:val="24"/>
          <w:szCs w:val="24"/>
          <w:highlight w:val="none"/>
        </w:rPr>
      </w:pPr>
    </w:p>
    <w:p w14:paraId="1159DF71">
      <w:pPr>
        <w:spacing w:line="440" w:lineRule="exact"/>
        <w:ind w:firstLine="600"/>
        <w:rPr>
          <w:rFonts w:hint="eastAsia" w:ascii="仿宋" w:hAnsi="仿宋" w:eastAsia="仿宋" w:cs="仿宋"/>
          <w:color w:val="auto"/>
          <w:sz w:val="24"/>
          <w:szCs w:val="24"/>
          <w:highlight w:val="none"/>
        </w:rPr>
      </w:pPr>
    </w:p>
    <w:p w14:paraId="382D47B2">
      <w:pPr>
        <w:spacing w:line="400" w:lineRule="atLeas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（电子签章）：</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　　　　　　　</w:t>
      </w:r>
    </w:p>
    <w:p w14:paraId="62C966CA">
      <w:pPr>
        <w:spacing w:line="400" w:lineRule="atLeast"/>
        <w:ind w:firstLine="240" w:firstLineChars="1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法定代表人（电子签名或签章）：</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　　　　　　　　　　　　　</w:t>
      </w:r>
    </w:p>
    <w:p w14:paraId="5D0ABC0F">
      <w:pPr>
        <w:spacing w:line="400" w:lineRule="atLeas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日期：年月日</w:t>
      </w:r>
    </w:p>
    <w:p w14:paraId="3822E849">
      <w:pPr>
        <w:spacing w:line="360" w:lineRule="auto"/>
        <w:ind w:firstLine="480" w:firstLineChars="200"/>
        <w:rPr>
          <w:rFonts w:hint="eastAsia" w:ascii="仿宋" w:hAnsi="仿宋" w:eastAsia="仿宋" w:cs="仿宋"/>
          <w:color w:val="auto"/>
          <w:kern w:val="0"/>
          <w:sz w:val="24"/>
          <w:szCs w:val="24"/>
          <w:highlight w:val="none"/>
        </w:rPr>
      </w:pPr>
    </w:p>
    <w:p w14:paraId="127F690C">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注：后附监狱企业资格证明文件</w:t>
      </w:r>
    </w:p>
    <w:p w14:paraId="7CE4DC19">
      <w:pPr>
        <w:spacing w:line="440" w:lineRule="exact"/>
        <w:ind w:firstLine="56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1.省级以上监狱管理局、戒毒管理局（含新疆生产建设兵团）出具的属于监狱企业的证明文件；</w:t>
      </w:r>
    </w:p>
    <w:p w14:paraId="2D13C5F7">
      <w:pPr>
        <w:tabs>
          <w:tab w:val="left" w:pos="2880"/>
        </w:tabs>
        <w:spacing w:line="460" w:lineRule="atLeast"/>
        <w:ind w:firstLine="566" w:firstLineChars="236"/>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2.证明材料加盖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p>
    <w:p w14:paraId="05F9A2CF">
      <w:pPr>
        <w:spacing w:line="360" w:lineRule="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（若响应性文件中无上述证明文件，则在评审时不考虑对该监狱企业的相关优惠。）</w:t>
      </w:r>
    </w:p>
    <w:p w14:paraId="5EB98874">
      <w:pPr>
        <w:tabs>
          <w:tab w:val="left" w:pos="3600"/>
        </w:tabs>
        <w:adjustRightInd w:val="0"/>
        <w:snapToGrid w:val="0"/>
        <w:spacing w:line="440" w:lineRule="exact"/>
        <w:jc w:val="center"/>
        <w:rPr>
          <w:rFonts w:hint="eastAsia" w:ascii="仿宋" w:hAnsi="仿宋" w:eastAsia="仿宋" w:cs="仿宋"/>
          <w:color w:val="auto"/>
          <w:sz w:val="24"/>
          <w:szCs w:val="24"/>
          <w:highlight w:val="none"/>
        </w:rPr>
      </w:pPr>
    </w:p>
    <w:p w14:paraId="38F55D94">
      <w:pPr>
        <w:widowControl/>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bidi="ar"/>
        </w:rPr>
        <w:t>（如</w:t>
      </w:r>
      <w:r>
        <w:rPr>
          <w:rFonts w:hint="eastAsia" w:ascii="仿宋" w:hAnsi="仿宋" w:eastAsia="仿宋" w:cs="仿宋"/>
          <w:b/>
          <w:bCs/>
          <w:color w:val="auto"/>
          <w:kern w:val="0"/>
          <w:sz w:val="24"/>
          <w:szCs w:val="24"/>
          <w:highlight w:val="none"/>
          <w:lang w:eastAsia="zh-CN" w:bidi="ar"/>
        </w:rPr>
        <w:t>供应商</w:t>
      </w:r>
      <w:r>
        <w:rPr>
          <w:rFonts w:hint="eastAsia" w:ascii="仿宋" w:hAnsi="仿宋" w:eastAsia="仿宋" w:cs="仿宋"/>
          <w:b/>
          <w:bCs/>
          <w:color w:val="auto"/>
          <w:kern w:val="0"/>
          <w:sz w:val="24"/>
          <w:szCs w:val="24"/>
          <w:highlight w:val="none"/>
          <w:lang w:bidi="ar"/>
        </w:rPr>
        <w:t>不符合条件，不需提供）</w:t>
      </w:r>
    </w:p>
    <w:p w14:paraId="309EC394">
      <w:pPr>
        <w:pStyle w:val="118"/>
        <w:adjustRightInd w:val="0"/>
        <w:snapToGrid w:val="0"/>
        <w:spacing w:line="360" w:lineRule="auto"/>
        <w:ind w:right="24"/>
        <w:rPr>
          <w:rFonts w:hint="eastAsia" w:ascii="仿宋" w:hAnsi="仿宋" w:eastAsia="仿宋" w:cs="仿宋"/>
          <w:b/>
          <w:color w:val="auto"/>
          <w:highlight w:val="none"/>
        </w:rPr>
      </w:pPr>
    </w:p>
    <w:p w14:paraId="33F520FB">
      <w:pPr>
        <w:pStyle w:val="118"/>
        <w:spacing w:line="440" w:lineRule="exact"/>
        <w:ind w:firstLine="420"/>
        <w:jc w:val="center"/>
        <w:rPr>
          <w:rFonts w:hint="eastAsia" w:ascii="仿宋" w:hAnsi="仿宋" w:eastAsia="仿宋" w:cs="仿宋"/>
          <w:b/>
          <w:color w:val="auto"/>
          <w:highlight w:val="none"/>
        </w:rPr>
      </w:pPr>
    </w:p>
    <w:p w14:paraId="0FCBCE78">
      <w:pPr>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br w:type="page"/>
      </w:r>
    </w:p>
    <w:p w14:paraId="0CDAA242">
      <w:pPr>
        <w:pStyle w:val="30"/>
        <w:numPr>
          <w:ilvl w:val="0"/>
          <w:numId w:val="0"/>
        </w:numPr>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18.3、残疾人福利性单位声明函</w:t>
      </w:r>
    </w:p>
    <w:p w14:paraId="595FFC1C">
      <w:pPr>
        <w:autoSpaceDE w:val="0"/>
        <w:autoSpaceDN w:val="0"/>
        <w:adjustRightInd w:val="0"/>
        <w:spacing w:line="440" w:lineRule="exact"/>
        <w:rPr>
          <w:rFonts w:hint="eastAsia" w:ascii="仿宋" w:hAnsi="仿宋" w:eastAsia="仿宋" w:cs="仿宋"/>
          <w:bCs/>
          <w:color w:val="auto"/>
          <w:spacing w:val="6"/>
          <w:kern w:val="0"/>
          <w:sz w:val="24"/>
          <w:szCs w:val="24"/>
          <w:highlight w:val="none"/>
        </w:rPr>
      </w:pPr>
    </w:p>
    <w:p w14:paraId="672E5A96">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3E65808">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lang w:eastAsia="zh-CN"/>
        </w:rPr>
      </w:pPr>
      <w:r>
        <w:rPr>
          <w:rFonts w:hint="eastAsia" w:ascii="仿宋" w:hAnsi="仿宋" w:eastAsia="仿宋" w:cs="仿宋"/>
          <w:color w:val="auto"/>
          <w:spacing w:val="6"/>
          <w:kern w:val="0"/>
          <w:sz w:val="24"/>
          <w:szCs w:val="24"/>
          <w:highlight w:val="none"/>
        </w:rPr>
        <w:t>本单位对上述声明的真实性负责。如有虚假，将依法承担相应责任。</w:t>
      </w:r>
    </w:p>
    <w:p w14:paraId="7D01D75B">
      <w:pPr>
        <w:widowControl/>
        <w:adjustRightInd w:val="0"/>
        <w:snapToGrid w:val="0"/>
        <w:spacing w:line="360" w:lineRule="auto"/>
        <w:ind w:firstLine="504" w:firstLineChars="200"/>
        <w:jc w:val="left"/>
        <w:rPr>
          <w:rFonts w:hint="eastAsia" w:ascii="仿宋" w:hAnsi="仿宋" w:eastAsia="仿宋" w:cs="仿宋"/>
          <w:color w:val="auto"/>
          <w:spacing w:val="6"/>
          <w:kern w:val="0"/>
          <w:sz w:val="24"/>
          <w:szCs w:val="24"/>
          <w:highlight w:val="none"/>
        </w:rPr>
      </w:pPr>
    </w:p>
    <w:p w14:paraId="086B97E5">
      <w:pPr>
        <w:widowControl/>
        <w:adjustRightInd w:val="0"/>
        <w:snapToGrid w:val="0"/>
        <w:spacing w:line="360" w:lineRule="auto"/>
        <w:ind w:firstLine="5544" w:firstLineChars="2200"/>
        <w:jc w:val="left"/>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单位名称（</w:t>
      </w:r>
      <w:r>
        <w:rPr>
          <w:rFonts w:hint="eastAsia" w:ascii="仿宋" w:hAnsi="仿宋" w:eastAsia="仿宋" w:cs="仿宋"/>
          <w:color w:val="auto"/>
          <w:sz w:val="24"/>
          <w:highlight w:val="none"/>
        </w:rPr>
        <w:t>电子签章</w:t>
      </w:r>
      <w:r>
        <w:rPr>
          <w:rFonts w:hint="eastAsia" w:ascii="仿宋" w:hAnsi="仿宋" w:eastAsia="仿宋" w:cs="仿宋"/>
          <w:color w:val="auto"/>
          <w:spacing w:val="6"/>
          <w:kern w:val="0"/>
          <w:sz w:val="24"/>
          <w:szCs w:val="24"/>
          <w:highlight w:val="none"/>
        </w:rPr>
        <w:t>）：</w:t>
      </w:r>
    </w:p>
    <w:p w14:paraId="65BA935B">
      <w:pPr>
        <w:widowControl/>
        <w:adjustRightInd w:val="0"/>
        <w:snapToGrid w:val="0"/>
        <w:spacing w:line="360" w:lineRule="auto"/>
        <w:ind w:firstLine="504" w:firstLineChars="200"/>
        <w:jc w:val="left"/>
        <w:rPr>
          <w:rFonts w:hint="eastAsia" w:ascii="仿宋" w:hAnsi="仿宋" w:eastAsia="仿宋" w:cs="仿宋"/>
          <w:color w:val="auto"/>
          <w:highlight w:val="none"/>
        </w:rPr>
      </w:pPr>
      <w:r>
        <w:rPr>
          <w:rFonts w:hint="eastAsia" w:ascii="仿宋" w:hAnsi="仿宋" w:eastAsia="仿宋" w:cs="仿宋"/>
          <w:color w:val="auto"/>
          <w:spacing w:val="6"/>
          <w:kern w:val="0"/>
          <w:sz w:val="24"/>
          <w:szCs w:val="24"/>
          <w:highlight w:val="none"/>
        </w:rPr>
        <w:t>日期：</w:t>
      </w:r>
    </w:p>
    <w:p w14:paraId="15B1BC54">
      <w:pPr>
        <w:spacing w:line="400" w:lineRule="atLeast"/>
        <w:ind w:firstLine="3730"/>
        <w:rPr>
          <w:rFonts w:hint="eastAsia" w:ascii="仿宋" w:hAnsi="仿宋" w:eastAsia="仿宋" w:cs="仿宋"/>
          <w:color w:val="auto"/>
          <w:sz w:val="24"/>
          <w:szCs w:val="24"/>
          <w:highlight w:val="none"/>
        </w:rPr>
      </w:pPr>
    </w:p>
    <w:p w14:paraId="02E7703A">
      <w:pPr>
        <w:pStyle w:val="10"/>
        <w:rPr>
          <w:rFonts w:hint="eastAsia" w:ascii="仿宋" w:hAnsi="仿宋" w:eastAsia="仿宋" w:cs="仿宋"/>
          <w:color w:val="auto"/>
          <w:highlight w:val="none"/>
        </w:rPr>
      </w:pPr>
    </w:p>
    <w:p w14:paraId="39647B34">
      <w:pPr>
        <w:widowControl/>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bidi="ar"/>
        </w:rPr>
        <w:t>（如</w:t>
      </w:r>
      <w:r>
        <w:rPr>
          <w:rFonts w:hint="eastAsia" w:ascii="仿宋" w:hAnsi="仿宋" w:eastAsia="仿宋" w:cs="仿宋"/>
          <w:b/>
          <w:bCs/>
          <w:color w:val="auto"/>
          <w:kern w:val="0"/>
          <w:sz w:val="24"/>
          <w:szCs w:val="24"/>
          <w:highlight w:val="none"/>
          <w:lang w:eastAsia="zh-CN" w:bidi="ar"/>
        </w:rPr>
        <w:t>供应商</w:t>
      </w:r>
      <w:r>
        <w:rPr>
          <w:rFonts w:hint="eastAsia" w:ascii="仿宋" w:hAnsi="仿宋" w:eastAsia="仿宋" w:cs="仿宋"/>
          <w:b/>
          <w:bCs/>
          <w:color w:val="auto"/>
          <w:kern w:val="0"/>
          <w:sz w:val="24"/>
          <w:szCs w:val="24"/>
          <w:highlight w:val="none"/>
          <w:lang w:bidi="ar"/>
        </w:rPr>
        <w:t>不符合条件，不需提供）</w:t>
      </w:r>
    </w:p>
    <w:p w14:paraId="60F82378">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14:paraId="467EF2B2">
      <w:pPr>
        <w:pStyle w:val="30"/>
        <w:numPr>
          <w:ilvl w:val="0"/>
          <w:numId w:val="0"/>
        </w:numPr>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19、供应商认为需要提交的其他文件</w:t>
      </w:r>
    </w:p>
    <w:p w14:paraId="540F1729">
      <w:pPr>
        <w:rPr>
          <w:rFonts w:hint="eastAsia"/>
          <w:color w:val="auto"/>
          <w:highlight w:val="none"/>
        </w:rPr>
      </w:pPr>
    </w:p>
    <w:p w14:paraId="54A1C4C8">
      <w:pPr>
        <w:rPr>
          <w:rFonts w:ascii="仿宋" w:hAnsi="仿宋" w:eastAsia="仿宋"/>
          <w:color w:val="auto"/>
          <w:kern w:val="0"/>
          <w:sz w:val="24"/>
          <w:highlight w:val="none"/>
        </w:rPr>
      </w:pPr>
      <w:r>
        <w:rPr>
          <w:rFonts w:hint="eastAsia" w:ascii="仿宋" w:hAnsi="仿宋" w:eastAsia="仿宋"/>
          <w:color w:val="auto"/>
          <w:kern w:val="0"/>
          <w:sz w:val="24"/>
          <w:highlight w:val="none"/>
        </w:rPr>
        <w:t>1、保证金凭证</w:t>
      </w:r>
    </w:p>
    <w:p w14:paraId="7C9F24C8">
      <w:pPr>
        <w:rPr>
          <w:rFonts w:hint="eastAsia" w:ascii="仿宋" w:hAnsi="仿宋" w:eastAsia="仿宋"/>
          <w:color w:val="auto"/>
          <w:kern w:val="0"/>
          <w:sz w:val="24"/>
          <w:highlight w:val="none"/>
          <w:lang w:val="en-US"/>
        </w:rPr>
      </w:pPr>
      <w:r>
        <w:rPr>
          <w:rFonts w:hint="eastAsia" w:ascii="仿宋" w:hAnsi="仿宋" w:eastAsia="仿宋"/>
          <w:color w:val="auto"/>
          <w:kern w:val="0"/>
          <w:sz w:val="24"/>
          <w:highlight w:val="none"/>
        </w:rPr>
        <w:t>2、供应商认为应提交的其他材料，可在此附件中提交。</w:t>
      </w:r>
    </w:p>
    <w:sectPr>
      <w:pgSz w:w="11906" w:h="16838"/>
      <w:pgMar w:top="1418" w:right="1196" w:bottom="1418" w:left="1701" w:header="851" w:footer="590" w:gutter="0"/>
      <w:pgNumType w:fmt="decimal"/>
      <w:cols w:space="720" w:num="1"/>
      <w:docGrid w:linePitch="312" w:charSpace="-11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Bookman Old Style">
    <w:altName w:val="Segoe Print"/>
    <w:panose1 w:val="020506040505050202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7394A">
    <w:pPr>
      <w:pStyle w:val="23"/>
      <w:ind w:right="1080" w:firstLine="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8BF68">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08BF68">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B50AE">
    <w:pPr>
      <w:pStyle w:val="23"/>
      <w:ind w:right="1080" w:firstLine="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AD51EB">
                          <w:pPr>
                            <w:pStyle w:val="23"/>
                          </w:pPr>
                          <w:r>
                            <w:fldChar w:fldCharType="begin"/>
                          </w:r>
                          <w:r>
                            <w:instrText xml:space="preserve"> PAGE  \* MERGEFORMAT </w:instrText>
                          </w:r>
                          <w:r>
                            <w:fldChar w:fldCharType="separate"/>
                          </w:r>
                          <w:r>
                            <w:t>40</w:t>
                          </w:r>
                          <w:r>
                            <w:fldChar w:fldCharType="end"/>
                          </w:r>
                        </w:p>
                      </w:txbxContent>
                    </wps:txbx>
                    <wps:bodyPr vert="horz" wrap="none" lIns="0" tIns="0" rIns="0" bIns="0" anchor="t" anchorCtr="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UjU9I4QEAAMEDAAAOAAAA&#10;AAAAAAEAIAAAAB4BAABkcnMvZTJvRG9jLnhtbFBLBQYAAAAABgAGAFkBAABxBQAAAAA=&#10;">
              <v:fill on="f" focussize="0,0"/>
              <v:stroke on="f"/>
              <v:imagedata o:title=""/>
              <o:lock v:ext="edit" aspectratio="f"/>
              <v:textbox inset="0mm,0mm,0mm,0mm" style="mso-fit-shape-to-text:t;">
                <w:txbxContent>
                  <w:p w14:paraId="2BAD51EB">
                    <w:pPr>
                      <w:pStyle w:val="2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CAE69">
    <w:pPr>
      <w:pStyle w:val="24"/>
      <w:pBdr>
        <w:bottom w:val="none" w:color="auto" w:sz="0" w:space="1"/>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8FD21"/>
    <w:multiLevelType w:val="singleLevel"/>
    <w:tmpl w:val="9148FD21"/>
    <w:lvl w:ilvl="0" w:tentative="0">
      <w:start w:val="4"/>
      <w:numFmt w:val="chineseCounting"/>
      <w:suff w:val="space"/>
      <w:lvlText w:val="%1、"/>
      <w:lvlJc w:val="left"/>
      <w:rPr>
        <w:rFonts w:hint="eastAsia"/>
      </w:rPr>
    </w:lvl>
  </w:abstractNum>
  <w:abstractNum w:abstractNumId="1">
    <w:nsid w:val="B52B9322"/>
    <w:multiLevelType w:val="singleLevel"/>
    <w:tmpl w:val="B52B9322"/>
    <w:lvl w:ilvl="0" w:tentative="0">
      <w:start w:val="29"/>
      <w:numFmt w:val="decimal"/>
      <w:suff w:val="space"/>
      <w:lvlText w:val="%1."/>
      <w:lvlJc w:val="left"/>
      <w:rPr>
        <w:rFonts w:hint="default"/>
        <w:b/>
        <w:bCs/>
      </w:rPr>
    </w:lvl>
  </w:abstractNum>
  <w:abstractNum w:abstractNumId="2">
    <w:nsid w:val="EFCD094D"/>
    <w:multiLevelType w:val="singleLevel"/>
    <w:tmpl w:val="EFCD094D"/>
    <w:lvl w:ilvl="0" w:tentative="0">
      <w:start w:val="8"/>
      <w:numFmt w:val="chineseCounting"/>
      <w:suff w:val="nothing"/>
      <w:lvlText w:val="%1、"/>
      <w:lvlJc w:val="left"/>
      <w:rPr>
        <w:rFonts w:hint="eastAsia"/>
      </w:rPr>
    </w:lvl>
  </w:abstractNum>
  <w:abstractNum w:abstractNumId="3">
    <w:nsid w:val="00000000"/>
    <w:multiLevelType w:val="singleLevel"/>
    <w:tmpl w:val="00000000"/>
    <w:lvl w:ilvl="0" w:tentative="0">
      <w:start w:val="2"/>
      <w:numFmt w:val="decimal"/>
      <w:suff w:val="nothing"/>
      <w:lvlText w:val="%1、"/>
      <w:lvlJc w:val="left"/>
    </w:lvl>
  </w:abstractNum>
  <w:abstractNum w:abstractNumId="4">
    <w:nsid w:val="15812A10"/>
    <w:multiLevelType w:val="multilevel"/>
    <w:tmpl w:val="15812A10"/>
    <w:lvl w:ilvl="0" w:tentative="0">
      <w:start w:val="1"/>
      <w:numFmt w:val="upperLetter"/>
      <w:pStyle w:val="4"/>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A9B683D"/>
    <w:multiLevelType w:val="singleLevel"/>
    <w:tmpl w:val="3A9B683D"/>
    <w:lvl w:ilvl="0" w:tentative="0">
      <w:start w:val="1"/>
      <w:numFmt w:val="chineseCounting"/>
      <w:suff w:val="space"/>
      <w:lvlText w:val="%1、"/>
      <w:lvlJc w:val="left"/>
      <w:rPr>
        <w:rFonts w:hint="eastAsia"/>
      </w:rPr>
    </w:lvl>
  </w:abstractNum>
  <w:abstractNum w:abstractNumId="6">
    <w:nsid w:val="482462E9"/>
    <w:multiLevelType w:val="singleLevel"/>
    <w:tmpl w:val="482462E9"/>
    <w:lvl w:ilvl="0" w:tentative="0">
      <w:start w:val="2"/>
      <w:numFmt w:val="chineseCounting"/>
      <w:suff w:val="nothing"/>
      <w:lvlText w:val="%1、"/>
      <w:lvlJc w:val="left"/>
      <w:rPr>
        <w:rFonts w:hint="eastAsia"/>
      </w:rPr>
    </w:lvl>
  </w:abstractNum>
  <w:abstractNum w:abstractNumId="7">
    <w:nsid w:val="5A324592"/>
    <w:multiLevelType w:val="multilevel"/>
    <w:tmpl w:val="5A324592"/>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8">
    <w:nsid w:val="60ECA9A9"/>
    <w:multiLevelType w:val="singleLevel"/>
    <w:tmpl w:val="60ECA9A9"/>
    <w:lvl w:ilvl="0" w:tentative="0">
      <w:start w:val="1"/>
      <w:numFmt w:val="chineseCounting"/>
      <w:suff w:val="nothing"/>
      <w:lvlText w:val="%1、"/>
      <w:lvlJc w:val="left"/>
      <w:rPr>
        <w:rFonts w:hint="eastAsia"/>
      </w:rPr>
    </w:lvl>
  </w:abstractNum>
  <w:num w:numId="1">
    <w:abstractNumId w:val="4"/>
  </w:num>
  <w:num w:numId="2">
    <w:abstractNumId w:val="7"/>
  </w:num>
  <w:num w:numId="3">
    <w:abstractNumId w:val="1"/>
  </w:num>
  <w:num w:numId="4">
    <w:abstractNumId w:val="8"/>
  </w:num>
  <w:num w:numId="5">
    <w:abstractNumId w:val="6"/>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ZjlhNTA5MjZlNTgwODFkZjNjZmQ2MGNhOWEwZWUifQ=="/>
  </w:docVars>
  <w:rsids>
    <w:rsidRoot w:val="00676FD0"/>
    <w:rsid w:val="0000107A"/>
    <w:rsid w:val="000010E2"/>
    <w:rsid w:val="00002870"/>
    <w:rsid w:val="00003E9B"/>
    <w:rsid w:val="00004CAD"/>
    <w:rsid w:val="00004D70"/>
    <w:rsid w:val="000052D0"/>
    <w:rsid w:val="00006097"/>
    <w:rsid w:val="00007402"/>
    <w:rsid w:val="00012698"/>
    <w:rsid w:val="000135AB"/>
    <w:rsid w:val="00013F60"/>
    <w:rsid w:val="00014CD6"/>
    <w:rsid w:val="00015255"/>
    <w:rsid w:val="0001732D"/>
    <w:rsid w:val="00017C9E"/>
    <w:rsid w:val="00017E78"/>
    <w:rsid w:val="00020659"/>
    <w:rsid w:val="00021743"/>
    <w:rsid w:val="0002181E"/>
    <w:rsid w:val="000233CA"/>
    <w:rsid w:val="00025376"/>
    <w:rsid w:val="00026ABA"/>
    <w:rsid w:val="0002738D"/>
    <w:rsid w:val="00027750"/>
    <w:rsid w:val="00027B31"/>
    <w:rsid w:val="000302F9"/>
    <w:rsid w:val="000306A7"/>
    <w:rsid w:val="00031258"/>
    <w:rsid w:val="000315BE"/>
    <w:rsid w:val="0003460A"/>
    <w:rsid w:val="00034E0E"/>
    <w:rsid w:val="00040740"/>
    <w:rsid w:val="00040CBD"/>
    <w:rsid w:val="000418B8"/>
    <w:rsid w:val="00043070"/>
    <w:rsid w:val="000448BF"/>
    <w:rsid w:val="00046131"/>
    <w:rsid w:val="00047539"/>
    <w:rsid w:val="00047BAA"/>
    <w:rsid w:val="0005025E"/>
    <w:rsid w:val="000536E3"/>
    <w:rsid w:val="00054C75"/>
    <w:rsid w:val="0005580A"/>
    <w:rsid w:val="00056451"/>
    <w:rsid w:val="000564C0"/>
    <w:rsid w:val="00056620"/>
    <w:rsid w:val="000570F9"/>
    <w:rsid w:val="00057378"/>
    <w:rsid w:val="00060822"/>
    <w:rsid w:val="00060A5B"/>
    <w:rsid w:val="000633D0"/>
    <w:rsid w:val="00064036"/>
    <w:rsid w:val="000660FB"/>
    <w:rsid w:val="000663C0"/>
    <w:rsid w:val="00066A78"/>
    <w:rsid w:val="00066EC2"/>
    <w:rsid w:val="0007044F"/>
    <w:rsid w:val="0007076E"/>
    <w:rsid w:val="00070922"/>
    <w:rsid w:val="00071227"/>
    <w:rsid w:val="00071834"/>
    <w:rsid w:val="00072559"/>
    <w:rsid w:val="000754E2"/>
    <w:rsid w:val="0007638E"/>
    <w:rsid w:val="000765DB"/>
    <w:rsid w:val="00077107"/>
    <w:rsid w:val="0007732A"/>
    <w:rsid w:val="000775E0"/>
    <w:rsid w:val="00077E2A"/>
    <w:rsid w:val="00077E8E"/>
    <w:rsid w:val="00077FCD"/>
    <w:rsid w:val="000800E9"/>
    <w:rsid w:val="00080603"/>
    <w:rsid w:val="000817BC"/>
    <w:rsid w:val="00081B00"/>
    <w:rsid w:val="000822F2"/>
    <w:rsid w:val="00083430"/>
    <w:rsid w:val="00083538"/>
    <w:rsid w:val="0008379D"/>
    <w:rsid w:val="000837A6"/>
    <w:rsid w:val="00083DE9"/>
    <w:rsid w:val="00084473"/>
    <w:rsid w:val="00085568"/>
    <w:rsid w:val="00086342"/>
    <w:rsid w:val="00086A61"/>
    <w:rsid w:val="000920D6"/>
    <w:rsid w:val="00092116"/>
    <w:rsid w:val="00092588"/>
    <w:rsid w:val="00093507"/>
    <w:rsid w:val="000944D6"/>
    <w:rsid w:val="000972CA"/>
    <w:rsid w:val="00097AFC"/>
    <w:rsid w:val="000A1EE5"/>
    <w:rsid w:val="000A3C66"/>
    <w:rsid w:val="000A5DA7"/>
    <w:rsid w:val="000A65A4"/>
    <w:rsid w:val="000A7386"/>
    <w:rsid w:val="000B418C"/>
    <w:rsid w:val="000B4864"/>
    <w:rsid w:val="000B5477"/>
    <w:rsid w:val="000B7206"/>
    <w:rsid w:val="000B76BD"/>
    <w:rsid w:val="000B779E"/>
    <w:rsid w:val="000B7B2C"/>
    <w:rsid w:val="000B7B9D"/>
    <w:rsid w:val="000C22D6"/>
    <w:rsid w:val="000C3BAE"/>
    <w:rsid w:val="000C4E72"/>
    <w:rsid w:val="000C51D1"/>
    <w:rsid w:val="000C5D7B"/>
    <w:rsid w:val="000C6812"/>
    <w:rsid w:val="000C7056"/>
    <w:rsid w:val="000C7A22"/>
    <w:rsid w:val="000C7EC2"/>
    <w:rsid w:val="000D0630"/>
    <w:rsid w:val="000D1DB7"/>
    <w:rsid w:val="000D35B8"/>
    <w:rsid w:val="000D6F54"/>
    <w:rsid w:val="000D720C"/>
    <w:rsid w:val="000E0129"/>
    <w:rsid w:val="000E0660"/>
    <w:rsid w:val="000E07FD"/>
    <w:rsid w:val="000E0BFD"/>
    <w:rsid w:val="000E1261"/>
    <w:rsid w:val="000E1965"/>
    <w:rsid w:val="000E232D"/>
    <w:rsid w:val="000E2995"/>
    <w:rsid w:val="000E31B6"/>
    <w:rsid w:val="000E35B9"/>
    <w:rsid w:val="000E4F78"/>
    <w:rsid w:val="000E5744"/>
    <w:rsid w:val="000E5B99"/>
    <w:rsid w:val="000E5F3E"/>
    <w:rsid w:val="000E6A74"/>
    <w:rsid w:val="000E77F2"/>
    <w:rsid w:val="000E7921"/>
    <w:rsid w:val="000E7DFD"/>
    <w:rsid w:val="000E7EBC"/>
    <w:rsid w:val="000F06DC"/>
    <w:rsid w:val="000F332B"/>
    <w:rsid w:val="000F4571"/>
    <w:rsid w:val="000F45F8"/>
    <w:rsid w:val="000F5091"/>
    <w:rsid w:val="000F5097"/>
    <w:rsid w:val="000F5F6B"/>
    <w:rsid w:val="00100410"/>
    <w:rsid w:val="00100E52"/>
    <w:rsid w:val="00101DC5"/>
    <w:rsid w:val="001021DF"/>
    <w:rsid w:val="00104792"/>
    <w:rsid w:val="00104CF4"/>
    <w:rsid w:val="00104D48"/>
    <w:rsid w:val="00104ECC"/>
    <w:rsid w:val="00105BE4"/>
    <w:rsid w:val="00106733"/>
    <w:rsid w:val="00107A33"/>
    <w:rsid w:val="00107F10"/>
    <w:rsid w:val="00107F8B"/>
    <w:rsid w:val="001115D1"/>
    <w:rsid w:val="00111EE7"/>
    <w:rsid w:val="001126C6"/>
    <w:rsid w:val="00112E5A"/>
    <w:rsid w:val="00114704"/>
    <w:rsid w:val="00116023"/>
    <w:rsid w:val="00116247"/>
    <w:rsid w:val="001166BD"/>
    <w:rsid w:val="00116FB0"/>
    <w:rsid w:val="00117289"/>
    <w:rsid w:val="001178D6"/>
    <w:rsid w:val="00120AB5"/>
    <w:rsid w:val="00120B34"/>
    <w:rsid w:val="00120B4C"/>
    <w:rsid w:val="00121527"/>
    <w:rsid w:val="0012159F"/>
    <w:rsid w:val="00121791"/>
    <w:rsid w:val="0012262E"/>
    <w:rsid w:val="00122701"/>
    <w:rsid w:val="0012301F"/>
    <w:rsid w:val="0012303F"/>
    <w:rsid w:val="001261AB"/>
    <w:rsid w:val="00126FED"/>
    <w:rsid w:val="00130C60"/>
    <w:rsid w:val="0013133C"/>
    <w:rsid w:val="00131881"/>
    <w:rsid w:val="00136B38"/>
    <w:rsid w:val="00140B8E"/>
    <w:rsid w:val="001419FB"/>
    <w:rsid w:val="00145E09"/>
    <w:rsid w:val="00146418"/>
    <w:rsid w:val="001475D6"/>
    <w:rsid w:val="0015077D"/>
    <w:rsid w:val="00150E48"/>
    <w:rsid w:val="00151091"/>
    <w:rsid w:val="0015140A"/>
    <w:rsid w:val="00153404"/>
    <w:rsid w:val="00153530"/>
    <w:rsid w:val="0015357D"/>
    <w:rsid w:val="00154BA3"/>
    <w:rsid w:val="00154EC6"/>
    <w:rsid w:val="00154FC3"/>
    <w:rsid w:val="001551AD"/>
    <w:rsid w:val="00155A8B"/>
    <w:rsid w:val="00155E50"/>
    <w:rsid w:val="00156CA3"/>
    <w:rsid w:val="00157018"/>
    <w:rsid w:val="001572BC"/>
    <w:rsid w:val="00157F2A"/>
    <w:rsid w:val="001601CF"/>
    <w:rsid w:val="001603A8"/>
    <w:rsid w:val="001603A9"/>
    <w:rsid w:val="00160F6F"/>
    <w:rsid w:val="00162FCB"/>
    <w:rsid w:val="00165D8B"/>
    <w:rsid w:val="00176F7E"/>
    <w:rsid w:val="00177860"/>
    <w:rsid w:val="001822EE"/>
    <w:rsid w:val="0018316C"/>
    <w:rsid w:val="00184ABD"/>
    <w:rsid w:val="00185AF2"/>
    <w:rsid w:val="00186047"/>
    <w:rsid w:val="00187067"/>
    <w:rsid w:val="001878BC"/>
    <w:rsid w:val="0019079D"/>
    <w:rsid w:val="001918C6"/>
    <w:rsid w:val="00192972"/>
    <w:rsid w:val="00192A6C"/>
    <w:rsid w:val="00192EF9"/>
    <w:rsid w:val="00194248"/>
    <w:rsid w:val="00194DCC"/>
    <w:rsid w:val="0019562B"/>
    <w:rsid w:val="0019582D"/>
    <w:rsid w:val="001A0E6A"/>
    <w:rsid w:val="001A1D1A"/>
    <w:rsid w:val="001A3760"/>
    <w:rsid w:val="001A4CB7"/>
    <w:rsid w:val="001A5107"/>
    <w:rsid w:val="001A5258"/>
    <w:rsid w:val="001A5844"/>
    <w:rsid w:val="001A65A0"/>
    <w:rsid w:val="001A66DA"/>
    <w:rsid w:val="001A6D9E"/>
    <w:rsid w:val="001A6EA2"/>
    <w:rsid w:val="001B1AE6"/>
    <w:rsid w:val="001B1B6A"/>
    <w:rsid w:val="001B315F"/>
    <w:rsid w:val="001B38DB"/>
    <w:rsid w:val="001B4854"/>
    <w:rsid w:val="001B5507"/>
    <w:rsid w:val="001B5966"/>
    <w:rsid w:val="001B5D3E"/>
    <w:rsid w:val="001B6E2B"/>
    <w:rsid w:val="001B7C32"/>
    <w:rsid w:val="001C28F4"/>
    <w:rsid w:val="001C3873"/>
    <w:rsid w:val="001C518E"/>
    <w:rsid w:val="001C53A6"/>
    <w:rsid w:val="001C7016"/>
    <w:rsid w:val="001D0400"/>
    <w:rsid w:val="001D0C11"/>
    <w:rsid w:val="001D0FDC"/>
    <w:rsid w:val="001D107D"/>
    <w:rsid w:val="001D113E"/>
    <w:rsid w:val="001D1215"/>
    <w:rsid w:val="001D2265"/>
    <w:rsid w:val="001D22E4"/>
    <w:rsid w:val="001D31FD"/>
    <w:rsid w:val="001D3B3F"/>
    <w:rsid w:val="001D3C2D"/>
    <w:rsid w:val="001D413B"/>
    <w:rsid w:val="001D4346"/>
    <w:rsid w:val="001D5DEA"/>
    <w:rsid w:val="001D73C3"/>
    <w:rsid w:val="001D752D"/>
    <w:rsid w:val="001D7A7B"/>
    <w:rsid w:val="001E0364"/>
    <w:rsid w:val="001E1107"/>
    <w:rsid w:val="001E1118"/>
    <w:rsid w:val="001E2620"/>
    <w:rsid w:val="001E2956"/>
    <w:rsid w:val="001E3721"/>
    <w:rsid w:val="001E4282"/>
    <w:rsid w:val="001E5AE3"/>
    <w:rsid w:val="001E6357"/>
    <w:rsid w:val="001E745B"/>
    <w:rsid w:val="001F0248"/>
    <w:rsid w:val="001F02CB"/>
    <w:rsid w:val="001F0504"/>
    <w:rsid w:val="001F1138"/>
    <w:rsid w:val="001F145D"/>
    <w:rsid w:val="001F307B"/>
    <w:rsid w:val="001F4100"/>
    <w:rsid w:val="001F4ABB"/>
    <w:rsid w:val="001F5231"/>
    <w:rsid w:val="002001EB"/>
    <w:rsid w:val="002009BD"/>
    <w:rsid w:val="00200A4C"/>
    <w:rsid w:val="00201010"/>
    <w:rsid w:val="00201B1C"/>
    <w:rsid w:val="0020371E"/>
    <w:rsid w:val="00203ADF"/>
    <w:rsid w:val="00204561"/>
    <w:rsid w:val="00204B0A"/>
    <w:rsid w:val="00204BF3"/>
    <w:rsid w:val="00204D32"/>
    <w:rsid w:val="002067B0"/>
    <w:rsid w:val="002117F9"/>
    <w:rsid w:val="00212608"/>
    <w:rsid w:val="002142A7"/>
    <w:rsid w:val="00215488"/>
    <w:rsid w:val="00215FDD"/>
    <w:rsid w:val="00216EE1"/>
    <w:rsid w:val="00217A7A"/>
    <w:rsid w:val="0022070B"/>
    <w:rsid w:val="00222868"/>
    <w:rsid w:val="00222B72"/>
    <w:rsid w:val="00223B8A"/>
    <w:rsid w:val="002251B8"/>
    <w:rsid w:val="00225E54"/>
    <w:rsid w:val="0023334E"/>
    <w:rsid w:val="0023341C"/>
    <w:rsid w:val="00237B4C"/>
    <w:rsid w:val="00237D5A"/>
    <w:rsid w:val="002407C7"/>
    <w:rsid w:val="002412D0"/>
    <w:rsid w:val="00241330"/>
    <w:rsid w:val="00242D6A"/>
    <w:rsid w:val="00243F87"/>
    <w:rsid w:val="002442F4"/>
    <w:rsid w:val="00246923"/>
    <w:rsid w:val="00246CD4"/>
    <w:rsid w:val="00247B3E"/>
    <w:rsid w:val="00250F98"/>
    <w:rsid w:val="002517E5"/>
    <w:rsid w:val="0025180B"/>
    <w:rsid w:val="00254137"/>
    <w:rsid w:val="00254A4B"/>
    <w:rsid w:val="00255452"/>
    <w:rsid w:val="00255579"/>
    <w:rsid w:val="0025563F"/>
    <w:rsid w:val="00260177"/>
    <w:rsid w:val="002606DA"/>
    <w:rsid w:val="00260C31"/>
    <w:rsid w:val="0026140D"/>
    <w:rsid w:val="00261DFF"/>
    <w:rsid w:val="002622DA"/>
    <w:rsid w:val="00262536"/>
    <w:rsid w:val="0026316F"/>
    <w:rsid w:val="00263866"/>
    <w:rsid w:val="002638E4"/>
    <w:rsid w:val="00263924"/>
    <w:rsid w:val="002643ED"/>
    <w:rsid w:val="00264B57"/>
    <w:rsid w:val="00267CA0"/>
    <w:rsid w:val="00267CF3"/>
    <w:rsid w:val="002705BD"/>
    <w:rsid w:val="00270AE0"/>
    <w:rsid w:val="00270E2B"/>
    <w:rsid w:val="00272E18"/>
    <w:rsid w:val="00273053"/>
    <w:rsid w:val="00274337"/>
    <w:rsid w:val="002757CC"/>
    <w:rsid w:val="00277063"/>
    <w:rsid w:val="0027727F"/>
    <w:rsid w:val="002775CA"/>
    <w:rsid w:val="00280182"/>
    <w:rsid w:val="0028171D"/>
    <w:rsid w:val="00282A66"/>
    <w:rsid w:val="00282FFF"/>
    <w:rsid w:val="00284544"/>
    <w:rsid w:val="00284A39"/>
    <w:rsid w:val="0028620C"/>
    <w:rsid w:val="00286FC4"/>
    <w:rsid w:val="00287039"/>
    <w:rsid w:val="00287785"/>
    <w:rsid w:val="0028798B"/>
    <w:rsid w:val="00287FE8"/>
    <w:rsid w:val="002906CF"/>
    <w:rsid w:val="002909FF"/>
    <w:rsid w:val="00291C0E"/>
    <w:rsid w:val="00292018"/>
    <w:rsid w:val="00293063"/>
    <w:rsid w:val="0029324A"/>
    <w:rsid w:val="00293F94"/>
    <w:rsid w:val="0029485A"/>
    <w:rsid w:val="00295637"/>
    <w:rsid w:val="00296438"/>
    <w:rsid w:val="00296839"/>
    <w:rsid w:val="002972F5"/>
    <w:rsid w:val="002A0B68"/>
    <w:rsid w:val="002A13A6"/>
    <w:rsid w:val="002A218F"/>
    <w:rsid w:val="002A5A24"/>
    <w:rsid w:val="002A6D7C"/>
    <w:rsid w:val="002A72FE"/>
    <w:rsid w:val="002A7744"/>
    <w:rsid w:val="002A775D"/>
    <w:rsid w:val="002B0487"/>
    <w:rsid w:val="002B1D61"/>
    <w:rsid w:val="002B2409"/>
    <w:rsid w:val="002B2D13"/>
    <w:rsid w:val="002B3159"/>
    <w:rsid w:val="002B73DF"/>
    <w:rsid w:val="002C03BC"/>
    <w:rsid w:val="002C1E3B"/>
    <w:rsid w:val="002C20DF"/>
    <w:rsid w:val="002C2E81"/>
    <w:rsid w:val="002C3054"/>
    <w:rsid w:val="002C338D"/>
    <w:rsid w:val="002C3AFA"/>
    <w:rsid w:val="002C3B22"/>
    <w:rsid w:val="002C4797"/>
    <w:rsid w:val="002C602D"/>
    <w:rsid w:val="002C6FB2"/>
    <w:rsid w:val="002C7346"/>
    <w:rsid w:val="002D00BD"/>
    <w:rsid w:val="002D32AD"/>
    <w:rsid w:val="002D4B42"/>
    <w:rsid w:val="002D5184"/>
    <w:rsid w:val="002D5335"/>
    <w:rsid w:val="002D5865"/>
    <w:rsid w:val="002D5CED"/>
    <w:rsid w:val="002D62AD"/>
    <w:rsid w:val="002E0E16"/>
    <w:rsid w:val="002E12B5"/>
    <w:rsid w:val="002E1D70"/>
    <w:rsid w:val="002E2638"/>
    <w:rsid w:val="002E29ED"/>
    <w:rsid w:val="002E2C16"/>
    <w:rsid w:val="002E5C51"/>
    <w:rsid w:val="002E65E5"/>
    <w:rsid w:val="002E69AF"/>
    <w:rsid w:val="002E79E4"/>
    <w:rsid w:val="002F0E9F"/>
    <w:rsid w:val="002F1139"/>
    <w:rsid w:val="002F1218"/>
    <w:rsid w:val="002F1D1F"/>
    <w:rsid w:val="002F1EDB"/>
    <w:rsid w:val="002F20EB"/>
    <w:rsid w:val="002F2ACE"/>
    <w:rsid w:val="002F350B"/>
    <w:rsid w:val="002F6559"/>
    <w:rsid w:val="002F68C4"/>
    <w:rsid w:val="002F794F"/>
    <w:rsid w:val="00300DA9"/>
    <w:rsid w:val="0030202B"/>
    <w:rsid w:val="003031F3"/>
    <w:rsid w:val="00303609"/>
    <w:rsid w:val="00304C87"/>
    <w:rsid w:val="00306CFC"/>
    <w:rsid w:val="00307753"/>
    <w:rsid w:val="00310062"/>
    <w:rsid w:val="0031092E"/>
    <w:rsid w:val="00311259"/>
    <w:rsid w:val="003130D2"/>
    <w:rsid w:val="003177B0"/>
    <w:rsid w:val="0032060D"/>
    <w:rsid w:val="00320D7C"/>
    <w:rsid w:val="00322A90"/>
    <w:rsid w:val="003254BF"/>
    <w:rsid w:val="003262BF"/>
    <w:rsid w:val="0033074A"/>
    <w:rsid w:val="00330E78"/>
    <w:rsid w:val="00331261"/>
    <w:rsid w:val="0033253D"/>
    <w:rsid w:val="003325D4"/>
    <w:rsid w:val="00332D0D"/>
    <w:rsid w:val="00332F50"/>
    <w:rsid w:val="003330C1"/>
    <w:rsid w:val="0033400D"/>
    <w:rsid w:val="0033443A"/>
    <w:rsid w:val="00335BDC"/>
    <w:rsid w:val="00335D54"/>
    <w:rsid w:val="00336505"/>
    <w:rsid w:val="00336A4F"/>
    <w:rsid w:val="00337751"/>
    <w:rsid w:val="00340DFD"/>
    <w:rsid w:val="00340F3E"/>
    <w:rsid w:val="003410A5"/>
    <w:rsid w:val="00341B3F"/>
    <w:rsid w:val="003422A5"/>
    <w:rsid w:val="0034330F"/>
    <w:rsid w:val="0034358C"/>
    <w:rsid w:val="0034438B"/>
    <w:rsid w:val="00344571"/>
    <w:rsid w:val="00344A43"/>
    <w:rsid w:val="00344D00"/>
    <w:rsid w:val="00346C1D"/>
    <w:rsid w:val="00347136"/>
    <w:rsid w:val="00350693"/>
    <w:rsid w:val="00350FCB"/>
    <w:rsid w:val="003515C5"/>
    <w:rsid w:val="003519BC"/>
    <w:rsid w:val="00351C84"/>
    <w:rsid w:val="00352F8C"/>
    <w:rsid w:val="00353120"/>
    <w:rsid w:val="00353785"/>
    <w:rsid w:val="00354515"/>
    <w:rsid w:val="00354A93"/>
    <w:rsid w:val="00354B9D"/>
    <w:rsid w:val="003560D2"/>
    <w:rsid w:val="00357642"/>
    <w:rsid w:val="00357FA2"/>
    <w:rsid w:val="00357FDB"/>
    <w:rsid w:val="00360733"/>
    <w:rsid w:val="0036154E"/>
    <w:rsid w:val="00361986"/>
    <w:rsid w:val="0036223F"/>
    <w:rsid w:val="00362A64"/>
    <w:rsid w:val="00363D75"/>
    <w:rsid w:val="00367854"/>
    <w:rsid w:val="00371452"/>
    <w:rsid w:val="00372D4B"/>
    <w:rsid w:val="003735A2"/>
    <w:rsid w:val="003741E8"/>
    <w:rsid w:val="00374B3A"/>
    <w:rsid w:val="00374CD0"/>
    <w:rsid w:val="00374E7C"/>
    <w:rsid w:val="003757FE"/>
    <w:rsid w:val="00375FAB"/>
    <w:rsid w:val="003763B6"/>
    <w:rsid w:val="00377282"/>
    <w:rsid w:val="0038215B"/>
    <w:rsid w:val="00382BA2"/>
    <w:rsid w:val="00382C7D"/>
    <w:rsid w:val="003843EE"/>
    <w:rsid w:val="00384C45"/>
    <w:rsid w:val="00384C7B"/>
    <w:rsid w:val="0038553D"/>
    <w:rsid w:val="00385E17"/>
    <w:rsid w:val="00385E8B"/>
    <w:rsid w:val="00386939"/>
    <w:rsid w:val="00387C57"/>
    <w:rsid w:val="0039272A"/>
    <w:rsid w:val="00393107"/>
    <w:rsid w:val="00393572"/>
    <w:rsid w:val="00393D5E"/>
    <w:rsid w:val="00396C74"/>
    <w:rsid w:val="003A02D0"/>
    <w:rsid w:val="003A057F"/>
    <w:rsid w:val="003A22B6"/>
    <w:rsid w:val="003A2990"/>
    <w:rsid w:val="003A33EA"/>
    <w:rsid w:val="003A3FE0"/>
    <w:rsid w:val="003A4614"/>
    <w:rsid w:val="003A55C3"/>
    <w:rsid w:val="003A6EB2"/>
    <w:rsid w:val="003A7613"/>
    <w:rsid w:val="003B1D6C"/>
    <w:rsid w:val="003B246E"/>
    <w:rsid w:val="003B2813"/>
    <w:rsid w:val="003B3B80"/>
    <w:rsid w:val="003B3BE5"/>
    <w:rsid w:val="003B4866"/>
    <w:rsid w:val="003B4A5D"/>
    <w:rsid w:val="003B6E5A"/>
    <w:rsid w:val="003C0E2B"/>
    <w:rsid w:val="003C2E0B"/>
    <w:rsid w:val="003C2F77"/>
    <w:rsid w:val="003C4C9F"/>
    <w:rsid w:val="003C57F0"/>
    <w:rsid w:val="003C5E79"/>
    <w:rsid w:val="003C69A1"/>
    <w:rsid w:val="003C7A19"/>
    <w:rsid w:val="003C7D86"/>
    <w:rsid w:val="003C7F77"/>
    <w:rsid w:val="003D02B3"/>
    <w:rsid w:val="003D16BC"/>
    <w:rsid w:val="003D45E7"/>
    <w:rsid w:val="003D6BCA"/>
    <w:rsid w:val="003D6BFE"/>
    <w:rsid w:val="003E0F10"/>
    <w:rsid w:val="003E0F16"/>
    <w:rsid w:val="003E255A"/>
    <w:rsid w:val="003E2C31"/>
    <w:rsid w:val="003E3BA1"/>
    <w:rsid w:val="003E42CE"/>
    <w:rsid w:val="003E443D"/>
    <w:rsid w:val="003E4DD5"/>
    <w:rsid w:val="003E4F7E"/>
    <w:rsid w:val="003E519C"/>
    <w:rsid w:val="003E7758"/>
    <w:rsid w:val="003F0346"/>
    <w:rsid w:val="003F1A15"/>
    <w:rsid w:val="003F2EB9"/>
    <w:rsid w:val="003F3D7B"/>
    <w:rsid w:val="003F455E"/>
    <w:rsid w:val="003F5130"/>
    <w:rsid w:val="003F7237"/>
    <w:rsid w:val="003F7528"/>
    <w:rsid w:val="00400A28"/>
    <w:rsid w:val="00400BF3"/>
    <w:rsid w:val="004011C5"/>
    <w:rsid w:val="0040146E"/>
    <w:rsid w:val="00402DD2"/>
    <w:rsid w:val="0040336A"/>
    <w:rsid w:val="00403791"/>
    <w:rsid w:val="00406379"/>
    <w:rsid w:val="00411395"/>
    <w:rsid w:val="0041206A"/>
    <w:rsid w:val="00413D20"/>
    <w:rsid w:val="00414BA1"/>
    <w:rsid w:val="00415BCA"/>
    <w:rsid w:val="00416326"/>
    <w:rsid w:val="00416965"/>
    <w:rsid w:val="00417B24"/>
    <w:rsid w:val="00420B65"/>
    <w:rsid w:val="00420C5D"/>
    <w:rsid w:val="00420E78"/>
    <w:rsid w:val="0042111D"/>
    <w:rsid w:val="004212F2"/>
    <w:rsid w:val="0042131F"/>
    <w:rsid w:val="004220AC"/>
    <w:rsid w:val="004229A9"/>
    <w:rsid w:val="00423B94"/>
    <w:rsid w:val="0042595B"/>
    <w:rsid w:val="0043023A"/>
    <w:rsid w:val="00431CA0"/>
    <w:rsid w:val="0043274E"/>
    <w:rsid w:val="004331BA"/>
    <w:rsid w:val="004335A8"/>
    <w:rsid w:val="004355B0"/>
    <w:rsid w:val="00435E4E"/>
    <w:rsid w:val="00435FAA"/>
    <w:rsid w:val="0043695B"/>
    <w:rsid w:val="004452C0"/>
    <w:rsid w:val="00445FAB"/>
    <w:rsid w:val="00446342"/>
    <w:rsid w:val="00447C4A"/>
    <w:rsid w:val="00450852"/>
    <w:rsid w:val="00450B79"/>
    <w:rsid w:val="00451987"/>
    <w:rsid w:val="00451D45"/>
    <w:rsid w:val="00453B13"/>
    <w:rsid w:val="00454440"/>
    <w:rsid w:val="00454C18"/>
    <w:rsid w:val="00456977"/>
    <w:rsid w:val="0045716E"/>
    <w:rsid w:val="004572AA"/>
    <w:rsid w:val="0045758D"/>
    <w:rsid w:val="0046009E"/>
    <w:rsid w:val="00460414"/>
    <w:rsid w:val="00460D5D"/>
    <w:rsid w:val="00460D8E"/>
    <w:rsid w:val="00462A68"/>
    <w:rsid w:val="00466DBA"/>
    <w:rsid w:val="00470473"/>
    <w:rsid w:val="00471FBC"/>
    <w:rsid w:val="00473109"/>
    <w:rsid w:val="004745E2"/>
    <w:rsid w:val="00474C8E"/>
    <w:rsid w:val="00475E66"/>
    <w:rsid w:val="004763E1"/>
    <w:rsid w:val="0047780E"/>
    <w:rsid w:val="004819B6"/>
    <w:rsid w:val="00481EFE"/>
    <w:rsid w:val="0048334D"/>
    <w:rsid w:val="00483847"/>
    <w:rsid w:val="0048407B"/>
    <w:rsid w:val="004848A3"/>
    <w:rsid w:val="00485F17"/>
    <w:rsid w:val="004864FB"/>
    <w:rsid w:val="00487243"/>
    <w:rsid w:val="0048751B"/>
    <w:rsid w:val="00487943"/>
    <w:rsid w:val="004933C7"/>
    <w:rsid w:val="00494607"/>
    <w:rsid w:val="00496A30"/>
    <w:rsid w:val="004A02C0"/>
    <w:rsid w:val="004A150F"/>
    <w:rsid w:val="004A2667"/>
    <w:rsid w:val="004A29F9"/>
    <w:rsid w:val="004A57B6"/>
    <w:rsid w:val="004A67D4"/>
    <w:rsid w:val="004A7B0F"/>
    <w:rsid w:val="004A7BBB"/>
    <w:rsid w:val="004B0585"/>
    <w:rsid w:val="004B2250"/>
    <w:rsid w:val="004B39C4"/>
    <w:rsid w:val="004B3AA9"/>
    <w:rsid w:val="004B3F91"/>
    <w:rsid w:val="004B65E8"/>
    <w:rsid w:val="004B76FF"/>
    <w:rsid w:val="004B7E3F"/>
    <w:rsid w:val="004C1C72"/>
    <w:rsid w:val="004C1E15"/>
    <w:rsid w:val="004C235D"/>
    <w:rsid w:val="004C2556"/>
    <w:rsid w:val="004C2F88"/>
    <w:rsid w:val="004C46D5"/>
    <w:rsid w:val="004C494A"/>
    <w:rsid w:val="004C62D6"/>
    <w:rsid w:val="004C7F3A"/>
    <w:rsid w:val="004D1951"/>
    <w:rsid w:val="004D19C6"/>
    <w:rsid w:val="004D26F8"/>
    <w:rsid w:val="004D539E"/>
    <w:rsid w:val="004D5486"/>
    <w:rsid w:val="004D607A"/>
    <w:rsid w:val="004D6E27"/>
    <w:rsid w:val="004D74E7"/>
    <w:rsid w:val="004E00F6"/>
    <w:rsid w:val="004E1BE0"/>
    <w:rsid w:val="004E399B"/>
    <w:rsid w:val="004E3F37"/>
    <w:rsid w:val="004E4B25"/>
    <w:rsid w:val="004E5668"/>
    <w:rsid w:val="004E7BFD"/>
    <w:rsid w:val="004F023A"/>
    <w:rsid w:val="004F1764"/>
    <w:rsid w:val="004F257E"/>
    <w:rsid w:val="004F40F1"/>
    <w:rsid w:val="004F48C4"/>
    <w:rsid w:val="004F4A99"/>
    <w:rsid w:val="004F4ED3"/>
    <w:rsid w:val="004F5686"/>
    <w:rsid w:val="004F6906"/>
    <w:rsid w:val="004F7EF4"/>
    <w:rsid w:val="00500510"/>
    <w:rsid w:val="0050242C"/>
    <w:rsid w:val="00503983"/>
    <w:rsid w:val="00503AA7"/>
    <w:rsid w:val="00506470"/>
    <w:rsid w:val="0050778D"/>
    <w:rsid w:val="00511040"/>
    <w:rsid w:val="005122D2"/>
    <w:rsid w:val="00513335"/>
    <w:rsid w:val="00514CF7"/>
    <w:rsid w:val="00515222"/>
    <w:rsid w:val="005154B3"/>
    <w:rsid w:val="005156E2"/>
    <w:rsid w:val="005159D6"/>
    <w:rsid w:val="00516ED6"/>
    <w:rsid w:val="00517892"/>
    <w:rsid w:val="00520414"/>
    <w:rsid w:val="00520748"/>
    <w:rsid w:val="00520A21"/>
    <w:rsid w:val="0052121D"/>
    <w:rsid w:val="00521825"/>
    <w:rsid w:val="005220AF"/>
    <w:rsid w:val="00522264"/>
    <w:rsid w:val="005222E1"/>
    <w:rsid w:val="00522CBF"/>
    <w:rsid w:val="00523399"/>
    <w:rsid w:val="00523CC5"/>
    <w:rsid w:val="005244BC"/>
    <w:rsid w:val="00524B63"/>
    <w:rsid w:val="0052748F"/>
    <w:rsid w:val="00527759"/>
    <w:rsid w:val="00527A45"/>
    <w:rsid w:val="00527BE5"/>
    <w:rsid w:val="00530C9B"/>
    <w:rsid w:val="00530E16"/>
    <w:rsid w:val="00531F28"/>
    <w:rsid w:val="00534337"/>
    <w:rsid w:val="005353C6"/>
    <w:rsid w:val="005357E9"/>
    <w:rsid w:val="00537C09"/>
    <w:rsid w:val="00540898"/>
    <w:rsid w:val="005421AD"/>
    <w:rsid w:val="00543C43"/>
    <w:rsid w:val="00544A3D"/>
    <w:rsid w:val="00544F36"/>
    <w:rsid w:val="00545595"/>
    <w:rsid w:val="00546226"/>
    <w:rsid w:val="00546C98"/>
    <w:rsid w:val="00552019"/>
    <w:rsid w:val="005534D6"/>
    <w:rsid w:val="005538AA"/>
    <w:rsid w:val="005538B9"/>
    <w:rsid w:val="00553C41"/>
    <w:rsid w:val="00553FB7"/>
    <w:rsid w:val="00554F7B"/>
    <w:rsid w:val="00555605"/>
    <w:rsid w:val="00555BC0"/>
    <w:rsid w:val="00557153"/>
    <w:rsid w:val="00557F3C"/>
    <w:rsid w:val="00561465"/>
    <w:rsid w:val="00562385"/>
    <w:rsid w:val="0056254F"/>
    <w:rsid w:val="00562710"/>
    <w:rsid w:val="00563752"/>
    <w:rsid w:val="00564343"/>
    <w:rsid w:val="005644B0"/>
    <w:rsid w:val="00565172"/>
    <w:rsid w:val="005658F8"/>
    <w:rsid w:val="00571365"/>
    <w:rsid w:val="005723E8"/>
    <w:rsid w:val="00572EE9"/>
    <w:rsid w:val="00573A39"/>
    <w:rsid w:val="00574B52"/>
    <w:rsid w:val="00577008"/>
    <w:rsid w:val="00577C3C"/>
    <w:rsid w:val="0058219C"/>
    <w:rsid w:val="00582584"/>
    <w:rsid w:val="00582680"/>
    <w:rsid w:val="00582702"/>
    <w:rsid w:val="00583271"/>
    <w:rsid w:val="00583ACD"/>
    <w:rsid w:val="00583DE3"/>
    <w:rsid w:val="005845AC"/>
    <w:rsid w:val="00587B1B"/>
    <w:rsid w:val="00587DED"/>
    <w:rsid w:val="00591C66"/>
    <w:rsid w:val="00595AFF"/>
    <w:rsid w:val="0059615B"/>
    <w:rsid w:val="005A020F"/>
    <w:rsid w:val="005A07A9"/>
    <w:rsid w:val="005A0CE2"/>
    <w:rsid w:val="005A0E7C"/>
    <w:rsid w:val="005A26B7"/>
    <w:rsid w:val="005A2BA0"/>
    <w:rsid w:val="005A2D67"/>
    <w:rsid w:val="005A32BF"/>
    <w:rsid w:val="005A3FB2"/>
    <w:rsid w:val="005A6339"/>
    <w:rsid w:val="005A6C3F"/>
    <w:rsid w:val="005A6F60"/>
    <w:rsid w:val="005A7705"/>
    <w:rsid w:val="005A7BB7"/>
    <w:rsid w:val="005B00D6"/>
    <w:rsid w:val="005B01B0"/>
    <w:rsid w:val="005B1642"/>
    <w:rsid w:val="005B3FCC"/>
    <w:rsid w:val="005B6530"/>
    <w:rsid w:val="005B6B87"/>
    <w:rsid w:val="005B7D19"/>
    <w:rsid w:val="005B7ED4"/>
    <w:rsid w:val="005C0699"/>
    <w:rsid w:val="005C0C92"/>
    <w:rsid w:val="005C271C"/>
    <w:rsid w:val="005C364D"/>
    <w:rsid w:val="005C3BAE"/>
    <w:rsid w:val="005C4ABA"/>
    <w:rsid w:val="005C52A3"/>
    <w:rsid w:val="005C73F2"/>
    <w:rsid w:val="005D1DA3"/>
    <w:rsid w:val="005D3534"/>
    <w:rsid w:val="005D48F1"/>
    <w:rsid w:val="005D58A6"/>
    <w:rsid w:val="005D65D6"/>
    <w:rsid w:val="005D6BFB"/>
    <w:rsid w:val="005D7FA5"/>
    <w:rsid w:val="005E0A6D"/>
    <w:rsid w:val="005E1CF3"/>
    <w:rsid w:val="005E1DE2"/>
    <w:rsid w:val="005E23BC"/>
    <w:rsid w:val="005E2452"/>
    <w:rsid w:val="005E31D6"/>
    <w:rsid w:val="005E33BD"/>
    <w:rsid w:val="005E3E42"/>
    <w:rsid w:val="005E5645"/>
    <w:rsid w:val="005E6A97"/>
    <w:rsid w:val="005F0986"/>
    <w:rsid w:val="005F40C9"/>
    <w:rsid w:val="005F422D"/>
    <w:rsid w:val="005F4BCA"/>
    <w:rsid w:val="005F52BC"/>
    <w:rsid w:val="005F5C7E"/>
    <w:rsid w:val="005F5F68"/>
    <w:rsid w:val="006002D0"/>
    <w:rsid w:val="00601644"/>
    <w:rsid w:val="00601CE0"/>
    <w:rsid w:val="00603458"/>
    <w:rsid w:val="006035CA"/>
    <w:rsid w:val="00603721"/>
    <w:rsid w:val="00603EDE"/>
    <w:rsid w:val="006042A3"/>
    <w:rsid w:val="00610039"/>
    <w:rsid w:val="00610051"/>
    <w:rsid w:val="00610361"/>
    <w:rsid w:val="00612623"/>
    <w:rsid w:val="006147D1"/>
    <w:rsid w:val="00614888"/>
    <w:rsid w:val="006162C1"/>
    <w:rsid w:val="00617667"/>
    <w:rsid w:val="0062038E"/>
    <w:rsid w:val="00620B47"/>
    <w:rsid w:val="00620DE4"/>
    <w:rsid w:val="006215B4"/>
    <w:rsid w:val="00622BCC"/>
    <w:rsid w:val="00623269"/>
    <w:rsid w:val="00623412"/>
    <w:rsid w:val="00623967"/>
    <w:rsid w:val="006245E4"/>
    <w:rsid w:val="00625901"/>
    <w:rsid w:val="00626EBC"/>
    <w:rsid w:val="0063092D"/>
    <w:rsid w:val="00630C1D"/>
    <w:rsid w:val="00630E85"/>
    <w:rsid w:val="00631C5A"/>
    <w:rsid w:val="00632171"/>
    <w:rsid w:val="0063342B"/>
    <w:rsid w:val="00633512"/>
    <w:rsid w:val="006336CB"/>
    <w:rsid w:val="00633E47"/>
    <w:rsid w:val="00633E5A"/>
    <w:rsid w:val="006342BE"/>
    <w:rsid w:val="00634406"/>
    <w:rsid w:val="00635373"/>
    <w:rsid w:val="00640A7E"/>
    <w:rsid w:val="00641193"/>
    <w:rsid w:val="00641C7B"/>
    <w:rsid w:val="00642CF0"/>
    <w:rsid w:val="00642EBB"/>
    <w:rsid w:val="006449E1"/>
    <w:rsid w:val="00644C59"/>
    <w:rsid w:val="00645852"/>
    <w:rsid w:val="00645C9A"/>
    <w:rsid w:val="006460B0"/>
    <w:rsid w:val="00647F2F"/>
    <w:rsid w:val="006507B9"/>
    <w:rsid w:val="00650B46"/>
    <w:rsid w:val="006511FC"/>
    <w:rsid w:val="00651B75"/>
    <w:rsid w:val="00652B35"/>
    <w:rsid w:val="00653152"/>
    <w:rsid w:val="006535F4"/>
    <w:rsid w:val="00653ACC"/>
    <w:rsid w:val="00655541"/>
    <w:rsid w:val="006574A8"/>
    <w:rsid w:val="00662652"/>
    <w:rsid w:val="00664021"/>
    <w:rsid w:val="006659EB"/>
    <w:rsid w:val="00666557"/>
    <w:rsid w:val="00666592"/>
    <w:rsid w:val="006666A5"/>
    <w:rsid w:val="0067152E"/>
    <w:rsid w:val="0067183E"/>
    <w:rsid w:val="00672337"/>
    <w:rsid w:val="00674A4F"/>
    <w:rsid w:val="0067623D"/>
    <w:rsid w:val="00676FD0"/>
    <w:rsid w:val="00677427"/>
    <w:rsid w:val="00680642"/>
    <w:rsid w:val="00680B40"/>
    <w:rsid w:val="00680F2A"/>
    <w:rsid w:val="00684331"/>
    <w:rsid w:val="00684A22"/>
    <w:rsid w:val="00687814"/>
    <w:rsid w:val="006878CC"/>
    <w:rsid w:val="00687D6F"/>
    <w:rsid w:val="00690308"/>
    <w:rsid w:val="0069048C"/>
    <w:rsid w:val="006904F5"/>
    <w:rsid w:val="006931FA"/>
    <w:rsid w:val="00693347"/>
    <w:rsid w:val="006935B2"/>
    <w:rsid w:val="00693EA6"/>
    <w:rsid w:val="006944C9"/>
    <w:rsid w:val="00694501"/>
    <w:rsid w:val="006945C4"/>
    <w:rsid w:val="00694CE3"/>
    <w:rsid w:val="00696E6E"/>
    <w:rsid w:val="006A0A7B"/>
    <w:rsid w:val="006A28F0"/>
    <w:rsid w:val="006A2AA2"/>
    <w:rsid w:val="006A4343"/>
    <w:rsid w:val="006A45E7"/>
    <w:rsid w:val="006A5254"/>
    <w:rsid w:val="006A58DE"/>
    <w:rsid w:val="006A71D9"/>
    <w:rsid w:val="006A7FE4"/>
    <w:rsid w:val="006B04AB"/>
    <w:rsid w:val="006B0801"/>
    <w:rsid w:val="006B0A8C"/>
    <w:rsid w:val="006B1989"/>
    <w:rsid w:val="006B2A1F"/>
    <w:rsid w:val="006B3273"/>
    <w:rsid w:val="006B3929"/>
    <w:rsid w:val="006B5A62"/>
    <w:rsid w:val="006B72EB"/>
    <w:rsid w:val="006B76FA"/>
    <w:rsid w:val="006C0137"/>
    <w:rsid w:val="006C066C"/>
    <w:rsid w:val="006C1480"/>
    <w:rsid w:val="006C1FA0"/>
    <w:rsid w:val="006C2882"/>
    <w:rsid w:val="006C2C7D"/>
    <w:rsid w:val="006C45D5"/>
    <w:rsid w:val="006C5C19"/>
    <w:rsid w:val="006C63E6"/>
    <w:rsid w:val="006C77BF"/>
    <w:rsid w:val="006C7FFE"/>
    <w:rsid w:val="006D094E"/>
    <w:rsid w:val="006D0EE6"/>
    <w:rsid w:val="006D2156"/>
    <w:rsid w:val="006D2F9F"/>
    <w:rsid w:val="006D3DE0"/>
    <w:rsid w:val="006D4F05"/>
    <w:rsid w:val="006D5630"/>
    <w:rsid w:val="006D5901"/>
    <w:rsid w:val="006D5908"/>
    <w:rsid w:val="006D613A"/>
    <w:rsid w:val="006D6808"/>
    <w:rsid w:val="006D6B86"/>
    <w:rsid w:val="006D72E5"/>
    <w:rsid w:val="006D73F0"/>
    <w:rsid w:val="006D7A90"/>
    <w:rsid w:val="006E0DAD"/>
    <w:rsid w:val="006E1BC1"/>
    <w:rsid w:val="006E2A80"/>
    <w:rsid w:val="006E47FA"/>
    <w:rsid w:val="006E57BF"/>
    <w:rsid w:val="006E67C3"/>
    <w:rsid w:val="006F03C7"/>
    <w:rsid w:val="006F0F76"/>
    <w:rsid w:val="006F108B"/>
    <w:rsid w:val="006F2341"/>
    <w:rsid w:val="006F2FA5"/>
    <w:rsid w:val="006F3C41"/>
    <w:rsid w:val="006F3F41"/>
    <w:rsid w:val="006F4574"/>
    <w:rsid w:val="006F5A69"/>
    <w:rsid w:val="006F5D94"/>
    <w:rsid w:val="006F649F"/>
    <w:rsid w:val="006F6EEB"/>
    <w:rsid w:val="007002C3"/>
    <w:rsid w:val="00702A0F"/>
    <w:rsid w:val="00702BB9"/>
    <w:rsid w:val="00704783"/>
    <w:rsid w:val="00705C49"/>
    <w:rsid w:val="007067C1"/>
    <w:rsid w:val="00706A2F"/>
    <w:rsid w:val="00707B14"/>
    <w:rsid w:val="007103B0"/>
    <w:rsid w:val="007105B5"/>
    <w:rsid w:val="00710A71"/>
    <w:rsid w:val="0071180E"/>
    <w:rsid w:val="00713BA7"/>
    <w:rsid w:val="00714668"/>
    <w:rsid w:val="00715188"/>
    <w:rsid w:val="0072156F"/>
    <w:rsid w:val="007224A6"/>
    <w:rsid w:val="00722A5C"/>
    <w:rsid w:val="00722E70"/>
    <w:rsid w:val="00723349"/>
    <w:rsid w:val="00723D85"/>
    <w:rsid w:val="00724751"/>
    <w:rsid w:val="00724BE4"/>
    <w:rsid w:val="007256FD"/>
    <w:rsid w:val="00725711"/>
    <w:rsid w:val="00726126"/>
    <w:rsid w:val="00731DEA"/>
    <w:rsid w:val="00732AAA"/>
    <w:rsid w:val="00732D03"/>
    <w:rsid w:val="0073349B"/>
    <w:rsid w:val="007337C4"/>
    <w:rsid w:val="00734A81"/>
    <w:rsid w:val="00734C05"/>
    <w:rsid w:val="00734DD8"/>
    <w:rsid w:val="0073747E"/>
    <w:rsid w:val="00737C1D"/>
    <w:rsid w:val="007418D5"/>
    <w:rsid w:val="007431D1"/>
    <w:rsid w:val="0074457E"/>
    <w:rsid w:val="00745252"/>
    <w:rsid w:val="007505FD"/>
    <w:rsid w:val="00750F7F"/>
    <w:rsid w:val="00751AB5"/>
    <w:rsid w:val="0075285B"/>
    <w:rsid w:val="007541D7"/>
    <w:rsid w:val="00754416"/>
    <w:rsid w:val="007547AD"/>
    <w:rsid w:val="007572BE"/>
    <w:rsid w:val="00757BB9"/>
    <w:rsid w:val="00757C41"/>
    <w:rsid w:val="0076091F"/>
    <w:rsid w:val="007613AF"/>
    <w:rsid w:val="0076177F"/>
    <w:rsid w:val="007620ED"/>
    <w:rsid w:val="0076324B"/>
    <w:rsid w:val="00764C12"/>
    <w:rsid w:val="00765197"/>
    <w:rsid w:val="00767123"/>
    <w:rsid w:val="007704BB"/>
    <w:rsid w:val="007705BE"/>
    <w:rsid w:val="00770CD7"/>
    <w:rsid w:val="00770E97"/>
    <w:rsid w:val="00771B0A"/>
    <w:rsid w:val="0077306E"/>
    <w:rsid w:val="00773571"/>
    <w:rsid w:val="0077427A"/>
    <w:rsid w:val="0077538C"/>
    <w:rsid w:val="00775FD7"/>
    <w:rsid w:val="00776720"/>
    <w:rsid w:val="0077746B"/>
    <w:rsid w:val="007813CE"/>
    <w:rsid w:val="00781D20"/>
    <w:rsid w:val="007831E9"/>
    <w:rsid w:val="0078336C"/>
    <w:rsid w:val="00783606"/>
    <w:rsid w:val="00783CB8"/>
    <w:rsid w:val="007848DB"/>
    <w:rsid w:val="00784FCE"/>
    <w:rsid w:val="00785FE1"/>
    <w:rsid w:val="00786985"/>
    <w:rsid w:val="00787249"/>
    <w:rsid w:val="00787BA3"/>
    <w:rsid w:val="00790737"/>
    <w:rsid w:val="00791941"/>
    <w:rsid w:val="007924A2"/>
    <w:rsid w:val="00793C90"/>
    <w:rsid w:val="00793DE2"/>
    <w:rsid w:val="007945A8"/>
    <w:rsid w:val="00794776"/>
    <w:rsid w:val="007A1F9C"/>
    <w:rsid w:val="007A3214"/>
    <w:rsid w:val="007A4651"/>
    <w:rsid w:val="007A6ADE"/>
    <w:rsid w:val="007A6EAB"/>
    <w:rsid w:val="007A7842"/>
    <w:rsid w:val="007A795E"/>
    <w:rsid w:val="007B0977"/>
    <w:rsid w:val="007B19D7"/>
    <w:rsid w:val="007B249C"/>
    <w:rsid w:val="007B252A"/>
    <w:rsid w:val="007B30C5"/>
    <w:rsid w:val="007B43AB"/>
    <w:rsid w:val="007B712D"/>
    <w:rsid w:val="007B75F3"/>
    <w:rsid w:val="007B7763"/>
    <w:rsid w:val="007C0139"/>
    <w:rsid w:val="007C1919"/>
    <w:rsid w:val="007C3282"/>
    <w:rsid w:val="007C3412"/>
    <w:rsid w:val="007C61BA"/>
    <w:rsid w:val="007C6C0C"/>
    <w:rsid w:val="007C6C6D"/>
    <w:rsid w:val="007D319D"/>
    <w:rsid w:val="007D37F4"/>
    <w:rsid w:val="007D3ABD"/>
    <w:rsid w:val="007D3DA9"/>
    <w:rsid w:val="007D5D08"/>
    <w:rsid w:val="007D6DCB"/>
    <w:rsid w:val="007E038C"/>
    <w:rsid w:val="007E1D54"/>
    <w:rsid w:val="007E5445"/>
    <w:rsid w:val="007E5C0E"/>
    <w:rsid w:val="007E5C91"/>
    <w:rsid w:val="007E67E4"/>
    <w:rsid w:val="007E7537"/>
    <w:rsid w:val="007F1079"/>
    <w:rsid w:val="007F1091"/>
    <w:rsid w:val="007F10CA"/>
    <w:rsid w:val="007F1A8A"/>
    <w:rsid w:val="007F1DDD"/>
    <w:rsid w:val="007F292B"/>
    <w:rsid w:val="007F2AEE"/>
    <w:rsid w:val="007F2CCB"/>
    <w:rsid w:val="007F321C"/>
    <w:rsid w:val="007F32C2"/>
    <w:rsid w:val="007F50C7"/>
    <w:rsid w:val="007F5704"/>
    <w:rsid w:val="007F62C6"/>
    <w:rsid w:val="007F6D29"/>
    <w:rsid w:val="007F6EB9"/>
    <w:rsid w:val="007F7462"/>
    <w:rsid w:val="007F7E54"/>
    <w:rsid w:val="007F7EFD"/>
    <w:rsid w:val="008012B0"/>
    <w:rsid w:val="008021EF"/>
    <w:rsid w:val="00803AC9"/>
    <w:rsid w:val="008041AC"/>
    <w:rsid w:val="00804C22"/>
    <w:rsid w:val="00804D76"/>
    <w:rsid w:val="0080673B"/>
    <w:rsid w:val="00807519"/>
    <w:rsid w:val="0081085B"/>
    <w:rsid w:val="00812399"/>
    <w:rsid w:val="00812895"/>
    <w:rsid w:val="00813B4B"/>
    <w:rsid w:val="00813C4E"/>
    <w:rsid w:val="00813E1B"/>
    <w:rsid w:val="008142E0"/>
    <w:rsid w:val="0081486C"/>
    <w:rsid w:val="0081770F"/>
    <w:rsid w:val="00825607"/>
    <w:rsid w:val="00825F18"/>
    <w:rsid w:val="00826ACD"/>
    <w:rsid w:val="00827423"/>
    <w:rsid w:val="0083071E"/>
    <w:rsid w:val="008328F4"/>
    <w:rsid w:val="00833276"/>
    <w:rsid w:val="00833688"/>
    <w:rsid w:val="008358CE"/>
    <w:rsid w:val="0083689B"/>
    <w:rsid w:val="00836A46"/>
    <w:rsid w:val="008404C7"/>
    <w:rsid w:val="00841AA3"/>
    <w:rsid w:val="00843D77"/>
    <w:rsid w:val="008440D9"/>
    <w:rsid w:val="008441D1"/>
    <w:rsid w:val="00845B6A"/>
    <w:rsid w:val="00846F80"/>
    <w:rsid w:val="0084709D"/>
    <w:rsid w:val="0084712C"/>
    <w:rsid w:val="0084750D"/>
    <w:rsid w:val="008475EA"/>
    <w:rsid w:val="00850919"/>
    <w:rsid w:val="00850A14"/>
    <w:rsid w:val="00851650"/>
    <w:rsid w:val="00851F1C"/>
    <w:rsid w:val="00852837"/>
    <w:rsid w:val="00852FB5"/>
    <w:rsid w:val="008540B0"/>
    <w:rsid w:val="00854F0A"/>
    <w:rsid w:val="0085500D"/>
    <w:rsid w:val="00856269"/>
    <w:rsid w:val="0085650A"/>
    <w:rsid w:val="00856B96"/>
    <w:rsid w:val="0085712F"/>
    <w:rsid w:val="00857252"/>
    <w:rsid w:val="00857BF6"/>
    <w:rsid w:val="008603AC"/>
    <w:rsid w:val="00861506"/>
    <w:rsid w:val="008615C8"/>
    <w:rsid w:val="008622AA"/>
    <w:rsid w:val="008624D8"/>
    <w:rsid w:val="0086267B"/>
    <w:rsid w:val="00862A08"/>
    <w:rsid w:val="00865B49"/>
    <w:rsid w:val="00866DA3"/>
    <w:rsid w:val="008701A3"/>
    <w:rsid w:val="00872045"/>
    <w:rsid w:val="00872B63"/>
    <w:rsid w:val="00873A31"/>
    <w:rsid w:val="00874E9C"/>
    <w:rsid w:val="00876AD1"/>
    <w:rsid w:val="0087761D"/>
    <w:rsid w:val="00877760"/>
    <w:rsid w:val="00885320"/>
    <w:rsid w:val="008854A0"/>
    <w:rsid w:val="00887BFA"/>
    <w:rsid w:val="00887EDD"/>
    <w:rsid w:val="00892755"/>
    <w:rsid w:val="00893553"/>
    <w:rsid w:val="00893F22"/>
    <w:rsid w:val="0089543C"/>
    <w:rsid w:val="00895A42"/>
    <w:rsid w:val="00896273"/>
    <w:rsid w:val="00897EDA"/>
    <w:rsid w:val="008A35C4"/>
    <w:rsid w:val="008A3B13"/>
    <w:rsid w:val="008A750D"/>
    <w:rsid w:val="008B02E7"/>
    <w:rsid w:val="008B2CA3"/>
    <w:rsid w:val="008B52BE"/>
    <w:rsid w:val="008B55D0"/>
    <w:rsid w:val="008B6666"/>
    <w:rsid w:val="008B7062"/>
    <w:rsid w:val="008B752F"/>
    <w:rsid w:val="008B7D09"/>
    <w:rsid w:val="008C0563"/>
    <w:rsid w:val="008C356A"/>
    <w:rsid w:val="008C3789"/>
    <w:rsid w:val="008C4871"/>
    <w:rsid w:val="008C4E2F"/>
    <w:rsid w:val="008C54FD"/>
    <w:rsid w:val="008D01A8"/>
    <w:rsid w:val="008D0A7B"/>
    <w:rsid w:val="008D0B7C"/>
    <w:rsid w:val="008D1326"/>
    <w:rsid w:val="008D2751"/>
    <w:rsid w:val="008D363D"/>
    <w:rsid w:val="008D48A6"/>
    <w:rsid w:val="008D6E81"/>
    <w:rsid w:val="008D729F"/>
    <w:rsid w:val="008E05A9"/>
    <w:rsid w:val="008E05F2"/>
    <w:rsid w:val="008E094E"/>
    <w:rsid w:val="008E1371"/>
    <w:rsid w:val="008E3590"/>
    <w:rsid w:val="008E51FE"/>
    <w:rsid w:val="008E61DB"/>
    <w:rsid w:val="008E6F47"/>
    <w:rsid w:val="008E6F92"/>
    <w:rsid w:val="008F1240"/>
    <w:rsid w:val="008F1F9D"/>
    <w:rsid w:val="008F293F"/>
    <w:rsid w:val="008F3F4F"/>
    <w:rsid w:val="008F493A"/>
    <w:rsid w:val="008F4F6B"/>
    <w:rsid w:val="008F5C9C"/>
    <w:rsid w:val="008F66EE"/>
    <w:rsid w:val="008F68DD"/>
    <w:rsid w:val="008F6FEB"/>
    <w:rsid w:val="008F71D7"/>
    <w:rsid w:val="00901919"/>
    <w:rsid w:val="009026E0"/>
    <w:rsid w:val="00902B80"/>
    <w:rsid w:val="00903009"/>
    <w:rsid w:val="00903A78"/>
    <w:rsid w:val="009043A8"/>
    <w:rsid w:val="00904A4E"/>
    <w:rsid w:val="00905E8D"/>
    <w:rsid w:val="009063E0"/>
    <w:rsid w:val="009069E9"/>
    <w:rsid w:val="0090743F"/>
    <w:rsid w:val="00911774"/>
    <w:rsid w:val="0091194E"/>
    <w:rsid w:val="009132BA"/>
    <w:rsid w:val="00914E25"/>
    <w:rsid w:val="0092046C"/>
    <w:rsid w:val="00924094"/>
    <w:rsid w:val="009241C0"/>
    <w:rsid w:val="00924404"/>
    <w:rsid w:val="00924476"/>
    <w:rsid w:val="009248D2"/>
    <w:rsid w:val="00924BCE"/>
    <w:rsid w:val="00925178"/>
    <w:rsid w:val="00926A7A"/>
    <w:rsid w:val="00927002"/>
    <w:rsid w:val="0093529B"/>
    <w:rsid w:val="00935A95"/>
    <w:rsid w:val="00935E31"/>
    <w:rsid w:val="0093619C"/>
    <w:rsid w:val="00936346"/>
    <w:rsid w:val="0093787D"/>
    <w:rsid w:val="0093796F"/>
    <w:rsid w:val="00937C04"/>
    <w:rsid w:val="0094214B"/>
    <w:rsid w:val="00942B86"/>
    <w:rsid w:val="00943282"/>
    <w:rsid w:val="009439D7"/>
    <w:rsid w:val="009450A0"/>
    <w:rsid w:val="0094629E"/>
    <w:rsid w:val="00947075"/>
    <w:rsid w:val="009520E1"/>
    <w:rsid w:val="00952211"/>
    <w:rsid w:val="0095260D"/>
    <w:rsid w:val="00953D5A"/>
    <w:rsid w:val="00954BBE"/>
    <w:rsid w:val="0095599D"/>
    <w:rsid w:val="00955A03"/>
    <w:rsid w:val="0095605D"/>
    <w:rsid w:val="00956A0F"/>
    <w:rsid w:val="009573A5"/>
    <w:rsid w:val="00957974"/>
    <w:rsid w:val="009622B3"/>
    <w:rsid w:val="00962399"/>
    <w:rsid w:val="00962690"/>
    <w:rsid w:val="009631E4"/>
    <w:rsid w:val="00964BF6"/>
    <w:rsid w:val="009656FD"/>
    <w:rsid w:val="0096676C"/>
    <w:rsid w:val="00970456"/>
    <w:rsid w:val="00971709"/>
    <w:rsid w:val="00971C10"/>
    <w:rsid w:val="00972C4B"/>
    <w:rsid w:val="009730F1"/>
    <w:rsid w:val="009734C1"/>
    <w:rsid w:val="0097482A"/>
    <w:rsid w:val="00974CED"/>
    <w:rsid w:val="0098087D"/>
    <w:rsid w:val="00981880"/>
    <w:rsid w:val="009820F3"/>
    <w:rsid w:val="00982625"/>
    <w:rsid w:val="00982B46"/>
    <w:rsid w:val="00982E3C"/>
    <w:rsid w:val="009833F2"/>
    <w:rsid w:val="0098604F"/>
    <w:rsid w:val="009871EF"/>
    <w:rsid w:val="009873DA"/>
    <w:rsid w:val="0099121F"/>
    <w:rsid w:val="009923A1"/>
    <w:rsid w:val="009928E5"/>
    <w:rsid w:val="00992B98"/>
    <w:rsid w:val="009932F6"/>
    <w:rsid w:val="0099645C"/>
    <w:rsid w:val="00996C12"/>
    <w:rsid w:val="00996C57"/>
    <w:rsid w:val="00997FEE"/>
    <w:rsid w:val="009A08FA"/>
    <w:rsid w:val="009A150C"/>
    <w:rsid w:val="009A2007"/>
    <w:rsid w:val="009A41F5"/>
    <w:rsid w:val="009A4678"/>
    <w:rsid w:val="009A53C6"/>
    <w:rsid w:val="009A62A9"/>
    <w:rsid w:val="009B05A9"/>
    <w:rsid w:val="009B076D"/>
    <w:rsid w:val="009B0B2B"/>
    <w:rsid w:val="009B0F0B"/>
    <w:rsid w:val="009B10F3"/>
    <w:rsid w:val="009B1402"/>
    <w:rsid w:val="009B186E"/>
    <w:rsid w:val="009B32E9"/>
    <w:rsid w:val="009B44C4"/>
    <w:rsid w:val="009B4E1D"/>
    <w:rsid w:val="009B5754"/>
    <w:rsid w:val="009B6312"/>
    <w:rsid w:val="009B6588"/>
    <w:rsid w:val="009B69F5"/>
    <w:rsid w:val="009B7485"/>
    <w:rsid w:val="009C0E57"/>
    <w:rsid w:val="009C222D"/>
    <w:rsid w:val="009C2B19"/>
    <w:rsid w:val="009C38DA"/>
    <w:rsid w:val="009C5031"/>
    <w:rsid w:val="009C5D67"/>
    <w:rsid w:val="009C75A8"/>
    <w:rsid w:val="009D09A2"/>
    <w:rsid w:val="009D1E1A"/>
    <w:rsid w:val="009D2056"/>
    <w:rsid w:val="009D255F"/>
    <w:rsid w:val="009D27DF"/>
    <w:rsid w:val="009D36EA"/>
    <w:rsid w:val="009D3A10"/>
    <w:rsid w:val="009D42A0"/>
    <w:rsid w:val="009D489B"/>
    <w:rsid w:val="009D7ABA"/>
    <w:rsid w:val="009E077A"/>
    <w:rsid w:val="009E2272"/>
    <w:rsid w:val="009E243E"/>
    <w:rsid w:val="009E2567"/>
    <w:rsid w:val="009E2CFA"/>
    <w:rsid w:val="009E43A0"/>
    <w:rsid w:val="009E450C"/>
    <w:rsid w:val="009E45C9"/>
    <w:rsid w:val="009E531C"/>
    <w:rsid w:val="009E5CDA"/>
    <w:rsid w:val="009E763D"/>
    <w:rsid w:val="009F1233"/>
    <w:rsid w:val="009F1607"/>
    <w:rsid w:val="009F301A"/>
    <w:rsid w:val="009F4FD3"/>
    <w:rsid w:val="009F589A"/>
    <w:rsid w:val="009F6F72"/>
    <w:rsid w:val="009F7B2C"/>
    <w:rsid w:val="009F7E7F"/>
    <w:rsid w:val="00A00403"/>
    <w:rsid w:val="00A00E2F"/>
    <w:rsid w:val="00A021E8"/>
    <w:rsid w:val="00A02CBA"/>
    <w:rsid w:val="00A031B7"/>
    <w:rsid w:val="00A03E1B"/>
    <w:rsid w:val="00A06076"/>
    <w:rsid w:val="00A0670C"/>
    <w:rsid w:val="00A07412"/>
    <w:rsid w:val="00A074A9"/>
    <w:rsid w:val="00A07C31"/>
    <w:rsid w:val="00A07CD5"/>
    <w:rsid w:val="00A10A72"/>
    <w:rsid w:val="00A10D17"/>
    <w:rsid w:val="00A11C58"/>
    <w:rsid w:val="00A12C81"/>
    <w:rsid w:val="00A17026"/>
    <w:rsid w:val="00A17906"/>
    <w:rsid w:val="00A20FC9"/>
    <w:rsid w:val="00A21633"/>
    <w:rsid w:val="00A218A0"/>
    <w:rsid w:val="00A21B55"/>
    <w:rsid w:val="00A21DFD"/>
    <w:rsid w:val="00A22672"/>
    <w:rsid w:val="00A235FE"/>
    <w:rsid w:val="00A23885"/>
    <w:rsid w:val="00A238D0"/>
    <w:rsid w:val="00A24BD2"/>
    <w:rsid w:val="00A25B63"/>
    <w:rsid w:val="00A25E64"/>
    <w:rsid w:val="00A25F6C"/>
    <w:rsid w:val="00A27E72"/>
    <w:rsid w:val="00A27F51"/>
    <w:rsid w:val="00A33587"/>
    <w:rsid w:val="00A33893"/>
    <w:rsid w:val="00A33ADF"/>
    <w:rsid w:val="00A3497F"/>
    <w:rsid w:val="00A35A15"/>
    <w:rsid w:val="00A36918"/>
    <w:rsid w:val="00A36A8B"/>
    <w:rsid w:val="00A36BC3"/>
    <w:rsid w:val="00A37728"/>
    <w:rsid w:val="00A40C2E"/>
    <w:rsid w:val="00A41499"/>
    <w:rsid w:val="00A41C9C"/>
    <w:rsid w:val="00A4316C"/>
    <w:rsid w:val="00A432E7"/>
    <w:rsid w:val="00A43A7A"/>
    <w:rsid w:val="00A474AA"/>
    <w:rsid w:val="00A50ECD"/>
    <w:rsid w:val="00A52386"/>
    <w:rsid w:val="00A530EA"/>
    <w:rsid w:val="00A534BC"/>
    <w:rsid w:val="00A53CD1"/>
    <w:rsid w:val="00A5435A"/>
    <w:rsid w:val="00A5468F"/>
    <w:rsid w:val="00A5479D"/>
    <w:rsid w:val="00A54C8C"/>
    <w:rsid w:val="00A55A31"/>
    <w:rsid w:val="00A56122"/>
    <w:rsid w:val="00A5619A"/>
    <w:rsid w:val="00A56A1A"/>
    <w:rsid w:val="00A60041"/>
    <w:rsid w:val="00A608F1"/>
    <w:rsid w:val="00A60986"/>
    <w:rsid w:val="00A617AA"/>
    <w:rsid w:val="00A618AA"/>
    <w:rsid w:val="00A6231F"/>
    <w:rsid w:val="00A6472E"/>
    <w:rsid w:val="00A64AC6"/>
    <w:rsid w:val="00A667A7"/>
    <w:rsid w:val="00A676B7"/>
    <w:rsid w:val="00A7095C"/>
    <w:rsid w:val="00A709DD"/>
    <w:rsid w:val="00A71E00"/>
    <w:rsid w:val="00A72304"/>
    <w:rsid w:val="00A72751"/>
    <w:rsid w:val="00A72866"/>
    <w:rsid w:val="00A746F0"/>
    <w:rsid w:val="00A753F4"/>
    <w:rsid w:val="00A756E0"/>
    <w:rsid w:val="00A75EF3"/>
    <w:rsid w:val="00A7743E"/>
    <w:rsid w:val="00A80182"/>
    <w:rsid w:val="00A803EB"/>
    <w:rsid w:val="00A8255E"/>
    <w:rsid w:val="00A846C0"/>
    <w:rsid w:val="00A86614"/>
    <w:rsid w:val="00A876A1"/>
    <w:rsid w:val="00A90A42"/>
    <w:rsid w:val="00A922A5"/>
    <w:rsid w:val="00A92EC4"/>
    <w:rsid w:val="00A93447"/>
    <w:rsid w:val="00A935BA"/>
    <w:rsid w:val="00A93ED7"/>
    <w:rsid w:val="00A944E6"/>
    <w:rsid w:val="00A94B92"/>
    <w:rsid w:val="00A97271"/>
    <w:rsid w:val="00A97310"/>
    <w:rsid w:val="00A978A2"/>
    <w:rsid w:val="00AA0923"/>
    <w:rsid w:val="00AA1796"/>
    <w:rsid w:val="00AA2E40"/>
    <w:rsid w:val="00AA3D6D"/>
    <w:rsid w:val="00AA57E9"/>
    <w:rsid w:val="00AA65E9"/>
    <w:rsid w:val="00AA6767"/>
    <w:rsid w:val="00AA69A4"/>
    <w:rsid w:val="00AA7AD9"/>
    <w:rsid w:val="00AB1AD1"/>
    <w:rsid w:val="00AB1FD3"/>
    <w:rsid w:val="00AB3A43"/>
    <w:rsid w:val="00AB62C4"/>
    <w:rsid w:val="00AB6D09"/>
    <w:rsid w:val="00AB6E1C"/>
    <w:rsid w:val="00AB7361"/>
    <w:rsid w:val="00AC1A48"/>
    <w:rsid w:val="00AC36D8"/>
    <w:rsid w:val="00AC40AF"/>
    <w:rsid w:val="00AC475C"/>
    <w:rsid w:val="00AC612E"/>
    <w:rsid w:val="00AC7BC7"/>
    <w:rsid w:val="00AC7F5A"/>
    <w:rsid w:val="00AD05F5"/>
    <w:rsid w:val="00AD1884"/>
    <w:rsid w:val="00AD18BF"/>
    <w:rsid w:val="00AD23DE"/>
    <w:rsid w:val="00AD579F"/>
    <w:rsid w:val="00AD587D"/>
    <w:rsid w:val="00AD6472"/>
    <w:rsid w:val="00AD6D27"/>
    <w:rsid w:val="00AE1414"/>
    <w:rsid w:val="00AE1648"/>
    <w:rsid w:val="00AE6182"/>
    <w:rsid w:val="00AE73DB"/>
    <w:rsid w:val="00AF12B4"/>
    <w:rsid w:val="00AF2716"/>
    <w:rsid w:val="00AF2CA0"/>
    <w:rsid w:val="00AF393C"/>
    <w:rsid w:val="00AF3E9E"/>
    <w:rsid w:val="00AF4E25"/>
    <w:rsid w:val="00AF4E2E"/>
    <w:rsid w:val="00AF6E12"/>
    <w:rsid w:val="00AF6E61"/>
    <w:rsid w:val="00AF77A2"/>
    <w:rsid w:val="00B00805"/>
    <w:rsid w:val="00B00C96"/>
    <w:rsid w:val="00B010E3"/>
    <w:rsid w:val="00B01DBC"/>
    <w:rsid w:val="00B022AD"/>
    <w:rsid w:val="00B022C4"/>
    <w:rsid w:val="00B02CBC"/>
    <w:rsid w:val="00B04EE5"/>
    <w:rsid w:val="00B06341"/>
    <w:rsid w:val="00B06F33"/>
    <w:rsid w:val="00B0723C"/>
    <w:rsid w:val="00B0750E"/>
    <w:rsid w:val="00B10B7D"/>
    <w:rsid w:val="00B1105C"/>
    <w:rsid w:val="00B11D34"/>
    <w:rsid w:val="00B16320"/>
    <w:rsid w:val="00B20087"/>
    <w:rsid w:val="00B200F5"/>
    <w:rsid w:val="00B20DB2"/>
    <w:rsid w:val="00B213DA"/>
    <w:rsid w:val="00B21DDA"/>
    <w:rsid w:val="00B22261"/>
    <w:rsid w:val="00B2239C"/>
    <w:rsid w:val="00B231C3"/>
    <w:rsid w:val="00B2395A"/>
    <w:rsid w:val="00B25416"/>
    <w:rsid w:val="00B268A4"/>
    <w:rsid w:val="00B27035"/>
    <w:rsid w:val="00B275B0"/>
    <w:rsid w:val="00B27B0D"/>
    <w:rsid w:val="00B30185"/>
    <w:rsid w:val="00B30808"/>
    <w:rsid w:val="00B30A88"/>
    <w:rsid w:val="00B30FD3"/>
    <w:rsid w:val="00B310C8"/>
    <w:rsid w:val="00B31ECF"/>
    <w:rsid w:val="00B32470"/>
    <w:rsid w:val="00B3331D"/>
    <w:rsid w:val="00B340F0"/>
    <w:rsid w:val="00B34E0E"/>
    <w:rsid w:val="00B35408"/>
    <w:rsid w:val="00B36A1C"/>
    <w:rsid w:val="00B40290"/>
    <w:rsid w:val="00B45F4E"/>
    <w:rsid w:val="00B472F6"/>
    <w:rsid w:val="00B516C2"/>
    <w:rsid w:val="00B52516"/>
    <w:rsid w:val="00B537FA"/>
    <w:rsid w:val="00B547FA"/>
    <w:rsid w:val="00B55374"/>
    <w:rsid w:val="00B554CF"/>
    <w:rsid w:val="00B560E3"/>
    <w:rsid w:val="00B56678"/>
    <w:rsid w:val="00B57637"/>
    <w:rsid w:val="00B60536"/>
    <w:rsid w:val="00B623EB"/>
    <w:rsid w:val="00B634E4"/>
    <w:rsid w:val="00B64922"/>
    <w:rsid w:val="00B64B64"/>
    <w:rsid w:val="00B65816"/>
    <w:rsid w:val="00B65E29"/>
    <w:rsid w:val="00B6604A"/>
    <w:rsid w:val="00B66B15"/>
    <w:rsid w:val="00B66FFB"/>
    <w:rsid w:val="00B714D7"/>
    <w:rsid w:val="00B72539"/>
    <w:rsid w:val="00B72A13"/>
    <w:rsid w:val="00B72E8C"/>
    <w:rsid w:val="00B73255"/>
    <w:rsid w:val="00B73332"/>
    <w:rsid w:val="00B74A16"/>
    <w:rsid w:val="00B75A77"/>
    <w:rsid w:val="00B76FA1"/>
    <w:rsid w:val="00B80FAE"/>
    <w:rsid w:val="00B81480"/>
    <w:rsid w:val="00B826D2"/>
    <w:rsid w:val="00B8361F"/>
    <w:rsid w:val="00B83D84"/>
    <w:rsid w:val="00B83ED3"/>
    <w:rsid w:val="00B84301"/>
    <w:rsid w:val="00B84EA4"/>
    <w:rsid w:val="00B86D49"/>
    <w:rsid w:val="00B91ACE"/>
    <w:rsid w:val="00B92375"/>
    <w:rsid w:val="00B932A4"/>
    <w:rsid w:val="00B9596E"/>
    <w:rsid w:val="00B95D6C"/>
    <w:rsid w:val="00BA06D8"/>
    <w:rsid w:val="00BA1130"/>
    <w:rsid w:val="00BA136E"/>
    <w:rsid w:val="00BA1820"/>
    <w:rsid w:val="00BA3170"/>
    <w:rsid w:val="00BA7197"/>
    <w:rsid w:val="00BB2283"/>
    <w:rsid w:val="00BB295B"/>
    <w:rsid w:val="00BB2EA5"/>
    <w:rsid w:val="00BB2F2A"/>
    <w:rsid w:val="00BB2FB6"/>
    <w:rsid w:val="00BB3CD4"/>
    <w:rsid w:val="00BB4349"/>
    <w:rsid w:val="00BB5D11"/>
    <w:rsid w:val="00BB7D2E"/>
    <w:rsid w:val="00BC1993"/>
    <w:rsid w:val="00BC2757"/>
    <w:rsid w:val="00BC2C35"/>
    <w:rsid w:val="00BC31A1"/>
    <w:rsid w:val="00BC35AC"/>
    <w:rsid w:val="00BC38DD"/>
    <w:rsid w:val="00BC4567"/>
    <w:rsid w:val="00BC7400"/>
    <w:rsid w:val="00BD00D8"/>
    <w:rsid w:val="00BD033D"/>
    <w:rsid w:val="00BD0453"/>
    <w:rsid w:val="00BD06F8"/>
    <w:rsid w:val="00BD0E2A"/>
    <w:rsid w:val="00BD0E4F"/>
    <w:rsid w:val="00BD28E8"/>
    <w:rsid w:val="00BD3B74"/>
    <w:rsid w:val="00BD3E22"/>
    <w:rsid w:val="00BD550A"/>
    <w:rsid w:val="00BE033E"/>
    <w:rsid w:val="00BE20AB"/>
    <w:rsid w:val="00BE2620"/>
    <w:rsid w:val="00BE2C28"/>
    <w:rsid w:val="00BE3EDE"/>
    <w:rsid w:val="00BE52FB"/>
    <w:rsid w:val="00BE5566"/>
    <w:rsid w:val="00BF00B2"/>
    <w:rsid w:val="00BF0DAD"/>
    <w:rsid w:val="00BF43B9"/>
    <w:rsid w:val="00BF4BA1"/>
    <w:rsid w:val="00BF761D"/>
    <w:rsid w:val="00BF7989"/>
    <w:rsid w:val="00BF7BC5"/>
    <w:rsid w:val="00C0008A"/>
    <w:rsid w:val="00C01845"/>
    <w:rsid w:val="00C02196"/>
    <w:rsid w:val="00C0260D"/>
    <w:rsid w:val="00C02A45"/>
    <w:rsid w:val="00C03313"/>
    <w:rsid w:val="00C03BF7"/>
    <w:rsid w:val="00C04117"/>
    <w:rsid w:val="00C05864"/>
    <w:rsid w:val="00C0636F"/>
    <w:rsid w:val="00C06952"/>
    <w:rsid w:val="00C06AE2"/>
    <w:rsid w:val="00C06FE8"/>
    <w:rsid w:val="00C07979"/>
    <w:rsid w:val="00C10456"/>
    <w:rsid w:val="00C109FB"/>
    <w:rsid w:val="00C11818"/>
    <w:rsid w:val="00C12651"/>
    <w:rsid w:val="00C13052"/>
    <w:rsid w:val="00C1318E"/>
    <w:rsid w:val="00C133FA"/>
    <w:rsid w:val="00C160A8"/>
    <w:rsid w:val="00C17E8F"/>
    <w:rsid w:val="00C20660"/>
    <w:rsid w:val="00C212DF"/>
    <w:rsid w:val="00C22562"/>
    <w:rsid w:val="00C239D1"/>
    <w:rsid w:val="00C24362"/>
    <w:rsid w:val="00C26475"/>
    <w:rsid w:val="00C265CF"/>
    <w:rsid w:val="00C2723A"/>
    <w:rsid w:val="00C27F92"/>
    <w:rsid w:val="00C304B9"/>
    <w:rsid w:val="00C3098B"/>
    <w:rsid w:val="00C32280"/>
    <w:rsid w:val="00C33293"/>
    <w:rsid w:val="00C3686A"/>
    <w:rsid w:val="00C376D0"/>
    <w:rsid w:val="00C416AC"/>
    <w:rsid w:val="00C419BF"/>
    <w:rsid w:val="00C42C30"/>
    <w:rsid w:val="00C4382C"/>
    <w:rsid w:val="00C43E1E"/>
    <w:rsid w:val="00C44104"/>
    <w:rsid w:val="00C44A6A"/>
    <w:rsid w:val="00C44BF9"/>
    <w:rsid w:val="00C45F80"/>
    <w:rsid w:val="00C46BEA"/>
    <w:rsid w:val="00C47FE3"/>
    <w:rsid w:val="00C50683"/>
    <w:rsid w:val="00C508F6"/>
    <w:rsid w:val="00C50C7E"/>
    <w:rsid w:val="00C51C48"/>
    <w:rsid w:val="00C51EB3"/>
    <w:rsid w:val="00C52F39"/>
    <w:rsid w:val="00C53D4D"/>
    <w:rsid w:val="00C53EE1"/>
    <w:rsid w:val="00C562EA"/>
    <w:rsid w:val="00C564B4"/>
    <w:rsid w:val="00C60C66"/>
    <w:rsid w:val="00C61C5C"/>
    <w:rsid w:val="00C6234D"/>
    <w:rsid w:val="00C6418C"/>
    <w:rsid w:val="00C64A5D"/>
    <w:rsid w:val="00C64BAB"/>
    <w:rsid w:val="00C73E82"/>
    <w:rsid w:val="00C761CC"/>
    <w:rsid w:val="00C77542"/>
    <w:rsid w:val="00C77D6C"/>
    <w:rsid w:val="00C77E7B"/>
    <w:rsid w:val="00C80671"/>
    <w:rsid w:val="00C80B34"/>
    <w:rsid w:val="00C82251"/>
    <w:rsid w:val="00C8319B"/>
    <w:rsid w:val="00C84C55"/>
    <w:rsid w:val="00C90067"/>
    <w:rsid w:val="00C90F0B"/>
    <w:rsid w:val="00C9101A"/>
    <w:rsid w:val="00C91D66"/>
    <w:rsid w:val="00C9275C"/>
    <w:rsid w:val="00C9279C"/>
    <w:rsid w:val="00C92C26"/>
    <w:rsid w:val="00C93D7B"/>
    <w:rsid w:val="00C94B6F"/>
    <w:rsid w:val="00C964BC"/>
    <w:rsid w:val="00CA1242"/>
    <w:rsid w:val="00CA4679"/>
    <w:rsid w:val="00CA5243"/>
    <w:rsid w:val="00CA707B"/>
    <w:rsid w:val="00CB0946"/>
    <w:rsid w:val="00CB1472"/>
    <w:rsid w:val="00CB2946"/>
    <w:rsid w:val="00CB3786"/>
    <w:rsid w:val="00CB4F13"/>
    <w:rsid w:val="00CB618D"/>
    <w:rsid w:val="00CC2733"/>
    <w:rsid w:val="00CC354C"/>
    <w:rsid w:val="00CC4580"/>
    <w:rsid w:val="00CC4B35"/>
    <w:rsid w:val="00CC56A0"/>
    <w:rsid w:val="00CC57D3"/>
    <w:rsid w:val="00CC61BB"/>
    <w:rsid w:val="00CC6DF9"/>
    <w:rsid w:val="00CC7144"/>
    <w:rsid w:val="00CD1597"/>
    <w:rsid w:val="00CD2C16"/>
    <w:rsid w:val="00CD4200"/>
    <w:rsid w:val="00CD44BA"/>
    <w:rsid w:val="00CD504F"/>
    <w:rsid w:val="00CD548A"/>
    <w:rsid w:val="00CD556C"/>
    <w:rsid w:val="00CD683F"/>
    <w:rsid w:val="00CD71BF"/>
    <w:rsid w:val="00CD776F"/>
    <w:rsid w:val="00CE0567"/>
    <w:rsid w:val="00CE118F"/>
    <w:rsid w:val="00CE15F5"/>
    <w:rsid w:val="00CE167A"/>
    <w:rsid w:val="00CE3D49"/>
    <w:rsid w:val="00CE4B9D"/>
    <w:rsid w:val="00CE4E34"/>
    <w:rsid w:val="00CE5A8B"/>
    <w:rsid w:val="00CE66AF"/>
    <w:rsid w:val="00CE7C5F"/>
    <w:rsid w:val="00CF0DB5"/>
    <w:rsid w:val="00CF1731"/>
    <w:rsid w:val="00CF1836"/>
    <w:rsid w:val="00CF1C9D"/>
    <w:rsid w:val="00CF1FA1"/>
    <w:rsid w:val="00CF34BA"/>
    <w:rsid w:val="00CF38BB"/>
    <w:rsid w:val="00CF398E"/>
    <w:rsid w:val="00CF3B1C"/>
    <w:rsid w:val="00CF3FCE"/>
    <w:rsid w:val="00CF7525"/>
    <w:rsid w:val="00CF7FEF"/>
    <w:rsid w:val="00D00561"/>
    <w:rsid w:val="00D0057E"/>
    <w:rsid w:val="00D008B9"/>
    <w:rsid w:val="00D01883"/>
    <w:rsid w:val="00D0290D"/>
    <w:rsid w:val="00D04208"/>
    <w:rsid w:val="00D06CAA"/>
    <w:rsid w:val="00D13199"/>
    <w:rsid w:val="00D1416F"/>
    <w:rsid w:val="00D14B69"/>
    <w:rsid w:val="00D16179"/>
    <w:rsid w:val="00D164F9"/>
    <w:rsid w:val="00D20C86"/>
    <w:rsid w:val="00D22B57"/>
    <w:rsid w:val="00D23013"/>
    <w:rsid w:val="00D2402A"/>
    <w:rsid w:val="00D259B4"/>
    <w:rsid w:val="00D25CD7"/>
    <w:rsid w:val="00D26031"/>
    <w:rsid w:val="00D2661D"/>
    <w:rsid w:val="00D305A2"/>
    <w:rsid w:val="00D307F7"/>
    <w:rsid w:val="00D315DF"/>
    <w:rsid w:val="00D343E6"/>
    <w:rsid w:val="00D34684"/>
    <w:rsid w:val="00D35651"/>
    <w:rsid w:val="00D36581"/>
    <w:rsid w:val="00D36F37"/>
    <w:rsid w:val="00D37C78"/>
    <w:rsid w:val="00D37C87"/>
    <w:rsid w:val="00D37D57"/>
    <w:rsid w:val="00D37E50"/>
    <w:rsid w:val="00D400B6"/>
    <w:rsid w:val="00D41561"/>
    <w:rsid w:val="00D41BF5"/>
    <w:rsid w:val="00D41F90"/>
    <w:rsid w:val="00D42DE1"/>
    <w:rsid w:val="00D43418"/>
    <w:rsid w:val="00D442E7"/>
    <w:rsid w:val="00D46FBE"/>
    <w:rsid w:val="00D507EC"/>
    <w:rsid w:val="00D562AE"/>
    <w:rsid w:val="00D56A3C"/>
    <w:rsid w:val="00D56D20"/>
    <w:rsid w:val="00D56E1E"/>
    <w:rsid w:val="00D61A51"/>
    <w:rsid w:val="00D61D43"/>
    <w:rsid w:val="00D6255C"/>
    <w:rsid w:val="00D62A99"/>
    <w:rsid w:val="00D62CCE"/>
    <w:rsid w:val="00D63D99"/>
    <w:rsid w:val="00D65513"/>
    <w:rsid w:val="00D65784"/>
    <w:rsid w:val="00D7176D"/>
    <w:rsid w:val="00D733AF"/>
    <w:rsid w:val="00D734E5"/>
    <w:rsid w:val="00D7454C"/>
    <w:rsid w:val="00D74701"/>
    <w:rsid w:val="00D74F32"/>
    <w:rsid w:val="00D74F37"/>
    <w:rsid w:val="00D75383"/>
    <w:rsid w:val="00D75F17"/>
    <w:rsid w:val="00D76A28"/>
    <w:rsid w:val="00D76BFE"/>
    <w:rsid w:val="00D77971"/>
    <w:rsid w:val="00D82085"/>
    <w:rsid w:val="00D841FE"/>
    <w:rsid w:val="00D85378"/>
    <w:rsid w:val="00D85FF1"/>
    <w:rsid w:val="00D86177"/>
    <w:rsid w:val="00D87473"/>
    <w:rsid w:val="00D907E7"/>
    <w:rsid w:val="00D91E45"/>
    <w:rsid w:val="00D92E07"/>
    <w:rsid w:val="00D945B5"/>
    <w:rsid w:val="00D955FD"/>
    <w:rsid w:val="00D97D4B"/>
    <w:rsid w:val="00DA066B"/>
    <w:rsid w:val="00DA11C1"/>
    <w:rsid w:val="00DA3C67"/>
    <w:rsid w:val="00DA4F72"/>
    <w:rsid w:val="00DA5E7D"/>
    <w:rsid w:val="00DA69DA"/>
    <w:rsid w:val="00DA6BBC"/>
    <w:rsid w:val="00DA7A25"/>
    <w:rsid w:val="00DA7AC5"/>
    <w:rsid w:val="00DA7F25"/>
    <w:rsid w:val="00DB00C4"/>
    <w:rsid w:val="00DB0E6E"/>
    <w:rsid w:val="00DB1C5E"/>
    <w:rsid w:val="00DB2FEA"/>
    <w:rsid w:val="00DB30AF"/>
    <w:rsid w:val="00DB445B"/>
    <w:rsid w:val="00DB463A"/>
    <w:rsid w:val="00DB4729"/>
    <w:rsid w:val="00DB5867"/>
    <w:rsid w:val="00DB7D1A"/>
    <w:rsid w:val="00DC0FDE"/>
    <w:rsid w:val="00DC1A7D"/>
    <w:rsid w:val="00DC3238"/>
    <w:rsid w:val="00DC3737"/>
    <w:rsid w:val="00DC5276"/>
    <w:rsid w:val="00DC5825"/>
    <w:rsid w:val="00DC7B5F"/>
    <w:rsid w:val="00DD1BAA"/>
    <w:rsid w:val="00DD39F9"/>
    <w:rsid w:val="00DD3D40"/>
    <w:rsid w:val="00DD5B10"/>
    <w:rsid w:val="00DD5E42"/>
    <w:rsid w:val="00DD654F"/>
    <w:rsid w:val="00DD6AB2"/>
    <w:rsid w:val="00DE054D"/>
    <w:rsid w:val="00DE152F"/>
    <w:rsid w:val="00DE2A1B"/>
    <w:rsid w:val="00DE422F"/>
    <w:rsid w:val="00DE61BD"/>
    <w:rsid w:val="00DE7048"/>
    <w:rsid w:val="00DE7294"/>
    <w:rsid w:val="00DF06F2"/>
    <w:rsid w:val="00DF1946"/>
    <w:rsid w:val="00DF2348"/>
    <w:rsid w:val="00DF274B"/>
    <w:rsid w:val="00DF2A28"/>
    <w:rsid w:val="00DF2CC7"/>
    <w:rsid w:val="00DF320E"/>
    <w:rsid w:val="00DF4370"/>
    <w:rsid w:val="00DF44AD"/>
    <w:rsid w:val="00DF4660"/>
    <w:rsid w:val="00DF4FE0"/>
    <w:rsid w:val="00DF53D7"/>
    <w:rsid w:val="00DF7188"/>
    <w:rsid w:val="00DF7533"/>
    <w:rsid w:val="00DF7570"/>
    <w:rsid w:val="00E02DD7"/>
    <w:rsid w:val="00E04611"/>
    <w:rsid w:val="00E04CF5"/>
    <w:rsid w:val="00E05B15"/>
    <w:rsid w:val="00E063CF"/>
    <w:rsid w:val="00E067A5"/>
    <w:rsid w:val="00E06F28"/>
    <w:rsid w:val="00E10E1E"/>
    <w:rsid w:val="00E10E3D"/>
    <w:rsid w:val="00E12199"/>
    <w:rsid w:val="00E13F5E"/>
    <w:rsid w:val="00E14DDF"/>
    <w:rsid w:val="00E17C43"/>
    <w:rsid w:val="00E20725"/>
    <w:rsid w:val="00E21866"/>
    <w:rsid w:val="00E21CA4"/>
    <w:rsid w:val="00E2237E"/>
    <w:rsid w:val="00E22964"/>
    <w:rsid w:val="00E237A4"/>
    <w:rsid w:val="00E24723"/>
    <w:rsid w:val="00E26C18"/>
    <w:rsid w:val="00E3140A"/>
    <w:rsid w:val="00E31AF5"/>
    <w:rsid w:val="00E31D2F"/>
    <w:rsid w:val="00E31DB2"/>
    <w:rsid w:val="00E33303"/>
    <w:rsid w:val="00E33BDF"/>
    <w:rsid w:val="00E33E57"/>
    <w:rsid w:val="00E33EF4"/>
    <w:rsid w:val="00E34340"/>
    <w:rsid w:val="00E34366"/>
    <w:rsid w:val="00E34533"/>
    <w:rsid w:val="00E34D6B"/>
    <w:rsid w:val="00E35846"/>
    <w:rsid w:val="00E35B46"/>
    <w:rsid w:val="00E361C6"/>
    <w:rsid w:val="00E3698D"/>
    <w:rsid w:val="00E404EC"/>
    <w:rsid w:val="00E40735"/>
    <w:rsid w:val="00E4096C"/>
    <w:rsid w:val="00E417AC"/>
    <w:rsid w:val="00E41868"/>
    <w:rsid w:val="00E450F8"/>
    <w:rsid w:val="00E45385"/>
    <w:rsid w:val="00E45B8F"/>
    <w:rsid w:val="00E45DC7"/>
    <w:rsid w:val="00E46158"/>
    <w:rsid w:val="00E46284"/>
    <w:rsid w:val="00E4689C"/>
    <w:rsid w:val="00E474C6"/>
    <w:rsid w:val="00E511D0"/>
    <w:rsid w:val="00E52A3C"/>
    <w:rsid w:val="00E52D6E"/>
    <w:rsid w:val="00E53BFB"/>
    <w:rsid w:val="00E55DDE"/>
    <w:rsid w:val="00E5646C"/>
    <w:rsid w:val="00E611A1"/>
    <w:rsid w:val="00E62613"/>
    <w:rsid w:val="00E630B4"/>
    <w:rsid w:val="00E643FC"/>
    <w:rsid w:val="00E6780E"/>
    <w:rsid w:val="00E67FE0"/>
    <w:rsid w:val="00E70069"/>
    <w:rsid w:val="00E710C1"/>
    <w:rsid w:val="00E725D4"/>
    <w:rsid w:val="00E74ED0"/>
    <w:rsid w:val="00E76BB7"/>
    <w:rsid w:val="00E82455"/>
    <w:rsid w:val="00E838BE"/>
    <w:rsid w:val="00E84697"/>
    <w:rsid w:val="00E846F3"/>
    <w:rsid w:val="00E85095"/>
    <w:rsid w:val="00E853D7"/>
    <w:rsid w:val="00E871A6"/>
    <w:rsid w:val="00E901DB"/>
    <w:rsid w:val="00E90B33"/>
    <w:rsid w:val="00E90DE9"/>
    <w:rsid w:val="00E910D4"/>
    <w:rsid w:val="00E917E2"/>
    <w:rsid w:val="00E924FD"/>
    <w:rsid w:val="00E92AE7"/>
    <w:rsid w:val="00E935DD"/>
    <w:rsid w:val="00E9372C"/>
    <w:rsid w:val="00E93D5B"/>
    <w:rsid w:val="00E95809"/>
    <w:rsid w:val="00E95C51"/>
    <w:rsid w:val="00E96025"/>
    <w:rsid w:val="00E97BD5"/>
    <w:rsid w:val="00E97D25"/>
    <w:rsid w:val="00EA0728"/>
    <w:rsid w:val="00EA1F26"/>
    <w:rsid w:val="00EA30E0"/>
    <w:rsid w:val="00EA44BE"/>
    <w:rsid w:val="00EA4943"/>
    <w:rsid w:val="00EA5064"/>
    <w:rsid w:val="00EA5D99"/>
    <w:rsid w:val="00EA6B1A"/>
    <w:rsid w:val="00EA6B3F"/>
    <w:rsid w:val="00EA6CBA"/>
    <w:rsid w:val="00EB07E7"/>
    <w:rsid w:val="00EB0D7A"/>
    <w:rsid w:val="00EB129E"/>
    <w:rsid w:val="00EB24C6"/>
    <w:rsid w:val="00EB2C16"/>
    <w:rsid w:val="00EB4835"/>
    <w:rsid w:val="00EB4C9D"/>
    <w:rsid w:val="00EB6429"/>
    <w:rsid w:val="00EB666F"/>
    <w:rsid w:val="00EC133C"/>
    <w:rsid w:val="00EC209F"/>
    <w:rsid w:val="00EC3562"/>
    <w:rsid w:val="00EC3F8E"/>
    <w:rsid w:val="00EC5611"/>
    <w:rsid w:val="00EC64BC"/>
    <w:rsid w:val="00EC7751"/>
    <w:rsid w:val="00ED0E5B"/>
    <w:rsid w:val="00ED3321"/>
    <w:rsid w:val="00ED3867"/>
    <w:rsid w:val="00ED46A4"/>
    <w:rsid w:val="00ED4761"/>
    <w:rsid w:val="00ED5A4B"/>
    <w:rsid w:val="00EE0AAE"/>
    <w:rsid w:val="00EE29B2"/>
    <w:rsid w:val="00EE2A54"/>
    <w:rsid w:val="00EE39FE"/>
    <w:rsid w:val="00EE3E6E"/>
    <w:rsid w:val="00EE4687"/>
    <w:rsid w:val="00EE511A"/>
    <w:rsid w:val="00EE5968"/>
    <w:rsid w:val="00EE6859"/>
    <w:rsid w:val="00EE68DE"/>
    <w:rsid w:val="00EE701B"/>
    <w:rsid w:val="00EE75D4"/>
    <w:rsid w:val="00EF0E62"/>
    <w:rsid w:val="00EF0F45"/>
    <w:rsid w:val="00EF1AE8"/>
    <w:rsid w:val="00EF2825"/>
    <w:rsid w:val="00EF4DD1"/>
    <w:rsid w:val="00EF6E29"/>
    <w:rsid w:val="00EF7F53"/>
    <w:rsid w:val="00F010DC"/>
    <w:rsid w:val="00F0144D"/>
    <w:rsid w:val="00F01817"/>
    <w:rsid w:val="00F01C25"/>
    <w:rsid w:val="00F01CF1"/>
    <w:rsid w:val="00F023CB"/>
    <w:rsid w:val="00F0302F"/>
    <w:rsid w:val="00F03DA2"/>
    <w:rsid w:val="00F04C24"/>
    <w:rsid w:val="00F05BF2"/>
    <w:rsid w:val="00F06D1B"/>
    <w:rsid w:val="00F1005E"/>
    <w:rsid w:val="00F103CD"/>
    <w:rsid w:val="00F10847"/>
    <w:rsid w:val="00F10979"/>
    <w:rsid w:val="00F10BAD"/>
    <w:rsid w:val="00F117E5"/>
    <w:rsid w:val="00F120A0"/>
    <w:rsid w:val="00F13945"/>
    <w:rsid w:val="00F152CF"/>
    <w:rsid w:val="00F154B4"/>
    <w:rsid w:val="00F20336"/>
    <w:rsid w:val="00F20A48"/>
    <w:rsid w:val="00F20F94"/>
    <w:rsid w:val="00F2733E"/>
    <w:rsid w:val="00F30536"/>
    <w:rsid w:val="00F30EDA"/>
    <w:rsid w:val="00F32F41"/>
    <w:rsid w:val="00F33275"/>
    <w:rsid w:val="00F33ABA"/>
    <w:rsid w:val="00F3451A"/>
    <w:rsid w:val="00F35ABB"/>
    <w:rsid w:val="00F35B7A"/>
    <w:rsid w:val="00F36FE0"/>
    <w:rsid w:val="00F37265"/>
    <w:rsid w:val="00F378E1"/>
    <w:rsid w:val="00F407A4"/>
    <w:rsid w:val="00F4091A"/>
    <w:rsid w:val="00F40DC0"/>
    <w:rsid w:val="00F418B9"/>
    <w:rsid w:val="00F4201F"/>
    <w:rsid w:val="00F42C55"/>
    <w:rsid w:val="00F42D7F"/>
    <w:rsid w:val="00F4351D"/>
    <w:rsid w:val="00F4629A"/>
    <w:rsid w:val="00F46BAC"/>
    <w:rsid w:val="00F5097E"/>
    <w:rsid w:val="00F50E81"/>
    <w:rsid w:val="00F51103"/>
    <w:rsid w:val="00F51D06"/>
    <w:rsid w:val="00F5343C"/>
    <w:rsid w:val="00F540E7"/>
    <w:rsid w:val="00F54EB9"/>
    <w:rsid w:val="00F54FBA"/>
    <w:rsid w:val="00F55305"/>
    <w:rsid w:val="00F5533A"/>
    <w:rsid w:val="00F57122"/>
    <w:rsid w:val="00F60A50"/>
    <w:rsid w:val="00F61A3C"/>
    <w:rsid w:val="00F61D7A"/>
    <w:rsid w:val="00F64B1A"/>
    <w:rsid w:val="00F66554"/>
    <w:rsid w:val="00F66A5F"/>
    <w:rsid w:val="00F70093"/>
    <w:rsid w:val="00F7013D"/>
    <w:rsid w:val="00F71061"/>
    <w:rsid w:val="00F7263E"/>
    <w:rsid w:val="00F72EC2"/>
    <w:rsid w:val="00F73910"/>
    <w:rsid w:val="00F74336"/>
    <w:rsid w:val="00F762C6"/>
    <w:rsid w:val="00F764A1"/>
    <w:rsid w:val="00F76652"/>
    <w:rsid w:val="00F7668A"/>
    <w:rsid w:val="00F76F3E"/>
    <w:rsid w:val="00F8162D"/>
    <w:rsid w:val="00F81FAD"/>
    <w:rsid w:val="00F8379D"/>
    <w:rsid w:val="00F86358"/>
    <w:rsid w:val="00F86E7F"/>
    <w:rsid w:val="00F8741D"/>
    <w:rsid w:val="00F87DC3"/>
    <w:rsid w:val="00F91366"/>
    <w:rsid w:val="00F9409E"/>
    <w:rsid w:val="00F9497A"/>
    <w:rsid w:val="00F95DC9"/>
    <w:rsid w:val="00F96526"/>
    <w:rsid w:val="00FA2057"/>
    <w:rsid w:val="00FA3971"/>
    <w:rsid w:val="00FA73B3"/>
    <w:rsid w:val="00FB0767"/>
    <w:rsid w:val="00FB1616"/>
    <w:rsid w:val="00FB1649"/>
    <w:rsid w:val="00FB2417"/>
    <w:rsid w:val="00FB5D2B"/>
    <w:rsid w:val="00FB5F82"/>
    <w:rsid w:val="00FB6A12"/>
    <w:rsid w:val="00FC472A"/>
    <w:rsid w:val="00FD06D4"/>
    <w:rsid w:val="00FD0878"/>
    <w:rsid w:val="00FD08B5"/>
    <w:rsid w:val="00FD16B4"/>
    <w:rsid w:val="00FD17A7"/>
    <w:rsid w:val="00FD28AD"/>
    <w:rsid w:val="00FD30BB"/>
    <w:rsid w:val="00FD4062"/>
    <w:rsid w:val="00FD4231"/>
    <w:rsid w:val="00FD54BA"/>
    <w:rsid w:val="00FD6C0E"/>
    <w:rsid w:val="00FD6D15"/>
    <w:rsid w:val="00FD70F5"/>
    <w:rsid w:val="00FD73AD"/>
    <w:rsid w:val="00FD73E4"/>
    <w:rsid w:val="00FD76AF"/>
    <w:rsid w:val="00FD7CC8"/>
    <w:rsid w:val="00FD7DCD"/>
    <w:rsid w:val="00FE12E6"/>
    <w:rsid w:val="00FE1909"/>
    <w:rsid w:val="00FE1C69"/>
    <w:rsid w:val="00FE2FAA"/>
    <w:rsid w:val="00FE3B9A"/>
    <w:rsid w:val="00FE4430"/>
    <w:rsid w:val="00FE5081"/>
    <w:rsid w:val="00FE547A"/>
    <w:rsid w:val="00FE54AB"/>
    <w:rsid w:val="00FE733C"/>
    <w:rsid w:val="00FE756A"/>
    <w:rsid w:val="00FE7EA5"/>
    <w:rsid w:val="00FE7EF3"/>
    <w:rsid w:val="00FE7F91"/>
    <w:rsid w:val="00FF0506"/>
    <w:rsid w:val="00FF0814"/>
    <w:rsid w:val="00FF0F98"/>
    <w:rsid w:val="00FF14A7"/>
    <w:rsid w:val="00FF3CC0"/>
    <w:rsid w:val="00FF47DD"/>
    <w:rsid w:val="00FF4AA2"/>
    <w:rsid w:val="00FF64B0"/>
    <w:rsid w:val="00FF6E30"/>
    <w:rsid w:val="00FF72D6"/>
    <w:rsid w:val="017367E9"/>
    <w:rsid w:val="01761B79"/>
    <w:rsid w:val="01906DE3"/>
    <w:rsid w:val="01975E62"/>
    <w:rsid w:val="01C04FD3"/>
    <w:rsid w:val="02147A4D"/>
    <w:rsid w:val="022C20CD"/>
    <w:rsid w:val="027D37A4"/>
    <w:rsid w:val="02DE6813"/>
    <w:rsid w:val="02EC3DBB"/>
    <w:rsid w:val="02F64040"/>
    <w:rsid w:val="02F64819"/>
    <w:rsid w:val="02FB69F2"/>
    <w:rsid w:val="03245D9D"/>
    <w:rsid w:val="03257445"/>
    <w:rsid w:val="033755DF"/>
    <w:rsid w:val="03A500AF"/>
    <w:rsid w:val="03C55ACE"/>
    <w:rsid w:val="03D21873"/>
    <w:rsid w:val="03F953DD"/>
    <w:rsid w:val="0428630E"/>
    <w:rsid w:val="04310216"/>
    <w:rsid w:val="04385CE0"/>
    <w:rsid w:val="043B2F16"/>
    <w:rsid w:val="04590B6A"/>
    <w:rsid w:val="04C93B69"/>
    <w:rsid w:val="04ED001A"/>
    <w:rsid w:val="051E5B3E"/>
    <w:rsid w:val="0526698B"/>
    <w:rsid w:val="054057CF"/>
    <w:rsid w:val="0548214F"/>
    <w:rsid w:val="055E7919"/>
    <w:rsid w:val="05675622"/>
    <w:rsid w:val="05687CD1"/>
    <w:rsid w:val="05703F82"/>
    <w:rsid w:val="05C46D84"/>
    <w:rsid w:val="05C8786C"/>
    <w:rsid w:val="05CE6BFF"/>
    <w:rsid w:val="062A1F4A"/>
    <w:rsid w:val="064E7CEC"/>
    <w:rsid w:val="0666006F"/>
    <w:rsid w:val="067B2B16"/>
    <w:rsid w:val="06A15B48"/>
    <w:rsid w:val="06BA061D"/>
    <w:rsid w:val="06BC4F06"/>
    <w:rsid w:val="06FB026C"/>
    <w:rsid w:val="07273E17"/>
    <w:rsid w:val="072D6B36"/>
    <w:rsid w:val="07561B9E"/>
    <w:rsid w:val="076334CA"/>
    <w:rsid w:val="07691ADF"/>
    <w:rsid w:val="07F54170"/>
    <w:rsid w:val="080F57EE"/>
    <w:rsid w:val="081215E2"/>
    <w:rsid w:val="083345B5"/>
    <w:rsid w:val="08423ABD"/>
    <w:rsid w:val="08964F11"/>
    <w:rsid w:val="08971E19"/>
    <w:rsid w:val="089F5EED"/>
    <w:rsid w:val="08BB636A"/>
    <w:rsid w:val="08C44A69"/>
    <w:rsid w:val="08E20F87"/>
    <w:rsid w:val="08F07C31"/>
    <w:rsid w:val="0919443A"/>
    <w:rsid w:val="09533A35"/>
    <w:rsid w:val="09905A49"/>
    <w:rsid w:val="09C821D5"/>
    <w:rsid w:val="09D2659F"/>
    <w:rsid w:val="0A1042DF"/>
    <w:rsid w:val="0A2C0411"/>
    <w:rsid w:val="0A2D396D"/>
    <w:rsid w:val="0A380803"/>
    <w:rsid w:val="0A4E4BF5"/>
    <w:rsid w:val="0A594281"/>
    <w:rsid w:val="0A6A19B7"/>
    <w:rsid w:val="0A8C7FBE"/>
    <w:rsid w:val="0A8F13E6"/>
    <w:rsid w:val="0AA34C31"/>
    <w:rsid w:val="0AAB58FA"/>
    <w:rsid w:val="0AC323F5"/>
    <w:rsid w:val="0B2C1180"/>
    <w:rsid w:val="0B731E5B"/>
    <w:rsid w:val="0B7C2DAB"/>
    <w:rsid w:val="0BCF4299"/>
    <w:rsid w:val="0C1048BB"/>
    <w:rsid w:val="0C105CA9"/>
    <w:rsid w:val="0C337FFD"/>
    <w:rsid w:val="0C8221A1"/>
    <w:rsid w:val="0CA13DE8"/>
    <w:rsid w:val="0D1C592A"/>
    <w:rsid w:val="0D652864"/>
    <w:rsid w:val="0D81263F"/>
    <w:rsid w:val="0D8713A0"/>
    <w:rsid w:val="0D8F4EEB"/>
    <w:rsid w:val="0DA725BF"/>
    <w:rsid w:val="0DAE5F61"/>
    <w:rsid w:val="0DBA17E8"/>
    <w:rsid w:val="0DDB2390"/>
    <w:rsid w:val="0E2903F1"/>
    <w:rsid w:val="0E2C060C"/>
    <w:rsid w:val="0E312FAD"/>
    <w:rsid w:val="0E381EDB"/>
    <w:rsid w:val="0E813BB2"/>
    <w:rsid w:val="0EA305AB"/>
    <w:rsid w:val="0EC27334"/>
    <w:rsid w:val="0F194B54"/>
    <w:rsid w:val="0F2A57D0"/>
    <w:rsid w:val="0F40581B"/>
    <w:rsid w:val="0F426B16"/>
    <w:rsid w:val="0F6634D4"/>
    <w:rsid w:val="0F6A42A4"/>
    <w:rsid w:val="0F7D4657"/>
    <w:rsid w:val="0FAE3348"/>
    <w:rsid w:val="0FDB6054"/>
    <w:rsid w:val="0FEF4B78"/>
    <w:rsid w:val="10497553"/>
    <w:rsid w:val="106F47EC"/>
    <w:rsid w:val="10756DCA"/>
    <w:rsid w:val="10843FAB"/>
    <w:rsid w:val="10C34A38"/>
    <w:rsid w:val="113414AA"/>
    <w:rsid w:val="11692E07"/>
    <w:rsid w:val="116C4AAE"/>
    <w:rsid w:val="11B91EE0"/>
    <w:rsid w:val="11D566EF"/>
    <w:rsid w:val="11EE0EB5"/>
    <w:rsid w:val="124A5A13"/>
    <w:rsid w:val="125C4F23"/>
    <w:rsid w:val="127C60A1"/>
    <w:rsid w:val="12837680"/>
    <w:rsid w:val="128F7CF2"/>
    <w:rsid w:val="12A13D4A"/>
    <w:rsid w:val="12AF4536"/>
    <w:rsid w:val="12C859D3"/>
    <w:rsid w:val="12D62FF1"/>
    <w:rsid w:val="12F346F4"/>
    <w:rsid w:val="12FF3020"/>
    <w:rsid w:val="130C7CD3"/>
    <w:rsid w:val="13201BEB"/>
    <w:rsid w:val="135E4EDF"/>
    <w:rsid w:val="136A5B2B"/>
    <w:rsid w:val="137D4AB6"/>
    <w:rsid w:val="13BA02E8"/>
    <w:rsid w:val="13C035EB"/>
    <w:rsid w:val="13E334E7"/>
    <w:rsid w:val="13F06E51"/>
    <w:rsid w:val="140F6B5E"/>
    <w:rsid w:val="141A5F16"/>
    <w:rsid w:val="142D6FA1"/>
    <w:rsid w:val="14540736"/>
    <w:rsid w:val="14725B6E"/>
    <w:rsid w:val="14752A35"/>
    <w:rsid w:val="147577A2"/>
    <w:rsid w:val="14EC1179"/>
    <w:rsid w:val="15274591"/>
    <w:rsid w:val="156D4E90"/>
    <w:rsid w:val="157D2BE0"/>
    <w:rsid w:val="15A16F7D"/>
    <w:rsid w:val="15CA21B7"/>
    <w:rsid w:val="15CA6308"/>
    <w:rsid w:val="15CE0282"/>
    <w:rsid w:val="15D8200E"/>
    <w:rsid w:val="162B7750"/>
    <w:rsid w:val="16513E22"/>
    <w:rsid w:val="165B5AB6"/>
    <w:rsid w:val="16671B37"/>
    <w:rsid w:val="16975C4F"/>
    <w:rsid w:val="16D621CD"/>
    <w:rsid w:val="173A77F7"/>
    <w:rsid w:val="17442248"/>
    <w:rsid w:val="177578CE"/>
    <w:rsid w:val="17AF12B0"/>
    <w:rsid w:val="17C73DE1"/>
    <w:rsid w:val="17EC1D90"/>
    <w:rsid w:val="181857F1"/>
    <w:rsid w:val="18320C86"/>
    <w:rsid w:val="183C349C"/>
    <w:rsid w:val="187F666C"/>
    <w:rsid w:val="18817378"/>
    <w:rsid w:val="18E71ABD"/>
    <w:rsid w:val="192052D2"/>
    <w:rsid w:val="196053C8"/>
    <w:rsid w:val="196554D0"/>
    <w:rsid w:val="19700015"/>
    <w:rsid w:val="1989032F"/>
    <w:rsid w:val="19A9723A"/>
    <w:rsid w:val="19B116AD"/>
    <w:rsid w:val="1A0101B9"/>
    <w:rsid w:val="1A226E53"/>
    <w:rsid w:val="1A790F1E"/>
    <w:rsid w:val="1A7D513E"/>
    <w:rsid w:val="1A916CD3"/>
    <w:rsid w:val="1AAC4EDE"/>
    <w:rsid w:val="1AD2170B"/>
    <w:rsid w:val="1AD62246"/>
    <w:rsid w:val="1AE076C7"/>
    <w:rsid w:val="1AF241BB"/>
    <w:rsid w:val="1B1E3775"/>
    <w:rsid w:val="1B252E1B"/>
    <w:rsid w:val="1B2F41DB"/>
    <w:rsid w:val="1B603543"/>
    <w:rsid w:val="1B7C12F7"/>
    <w:rsid w:val="1B8023F3"/>
    <w:rsid w:val="1B8E685A"/>
    <w:rsid w:val="1BAA1E5B"/>
    <w:rsid w:val="1BB03A84"/>
    <w:rsid w:val="1BCF270A"/>
    <w:rsid w:val="1BFF71F2"/>
    <w:rsid w:val="1C4363E0"/>
    <w:rsid w:val="1C48300F"/>
    <w:rsid w:val="1C502EA6"/>
    <w:rsid w:val="1CE760D3"/>
    <w:rsid w:val="1CF540E9"/>
    <w:rsid w:val="1D0600A4"/>
    <w:rsid w:val="1D2A3AED"/>
    <w:rsid w:val="1D4A4435"/>
    <w:rsid w:val="1D5675F2"/>
    <w:rsid w:val="1D597A8F"/>
    <w:rsid w:val="1D6E3F43"/>
    <w:rsid w:val="1DB96E42"/>
    <w:rsid w:val="1DBD2D42"/>
    <w:rsid w:val="1DC55B0F"/>
    <w:rsid w:val="1DD146A6"/>
    <w:rsid w:val="1DE83057"/>
    <w:rsid w:val="1DF012E9"/>
    <w:rsid w:val="1E1C321D"/>
    <w:rsid w:val="1E37175C"/>
    <w:rsid w:val="1E38363E"/>
    <w:rsid w:val="1E672DC4"/>
    <w:rsid w:val="1EBE231E"/>
    <w:rsid w:val="1F0500FE"/>
    <w:rsid w:val="1F581228"/>
    <w:rsid w:val="1F685A5C"/>
    <w:rsid w:val="1F9F061F"/>
    <w:rsid w:val="1FA16E10"/>
    <w:rsid w:val="1FA80AFA"/>
    <w:rsid w:val="1FCE4638"/>
    <w:rsid w:val="201B3793"/>
    <w:rsid w:val="20364FD1"/>
    <w:rsid w:val="205D4E0F"/>
    <w:rsid w:val="2096008A"/>
    <w:rsid w:val="20BB143F"/>
    <w:rsid w:val="20C271DD"/>
    <w:rsid w:val="20C9797F"/>
    <w:rsid w:val="20FC1025"/>
    <w:rsid w:val="211803A6"/>
    <w:rsid w:val="212743C7"/>
    <w:rsid w:val="21371ABB"/>
    <w:rsid w:val="214A157D"/>
    <w:rsid w:val="215E7C50"/>
    <w:rsid w:val="217923BA"/>
    <w:rsid w:val="21921152"/>
    <w:rsid w:val="21C55A13"/>
    <w:rsid w:val="21FE0EA7"/>
    <w:rsid w:val="226D315B"/>
    <w:rsid w:val="22835243"/>
    <w:rsid w:val="22A172F0"/>
    <w:rsid w:val="22B0515E"/>
    <w:rsid w:val="22C34C3F"/>
    <w:rsid w:val="230F189F"/>
    <w:rsid w:val="23230E91"/>
    <w:rsid w:val="233C65C1"/>
    <w:rsid w:val="23424572"/>
    <w:rsid w:val="23456E3F"/>
    <w:rsid w:val="235C6C70"/>
    <w:rsid w:val="23894069"/>
    <w:rsid w:val="23981F77"/>
    <w:rsid w:val="23B302FF"/>
    <w:rsid w:val="23C32FCA"/>
    <w:rsid w:val="23C860B3"/>
    <w:rsid w:val="23E570A9"/>
    <w:rsid w:val="23F1033F"/>
    <w:rsid w:val="23F61864"/>
    <w:rsid w:val="24265436"/>
    <w:rsid w:val="24495070"/>
    <w:rsid w:val="246937B1"/>
    <w:rsid w:val="24843087"/>
    <w:rsid w:val="24D56C6A"/>
    <w:rsid w:val="24D91F57"/>
    <w:rsid w:val="2500187D"/>
    <w:rsid w:val="25615D50"/>
    <w:rsid w:val="25623FEF"/>
    <w:rsid w:val="25A83D26"/>
    <w:rsid w:val="25AB07BF"/>
    <w:rsid w:val="25B01C04"/>
    <w:rsid w:val="25E34D06"/>
    <w:rsid w:val="262C35EC"/>
    <w:rsid w:val="26530A43"/>
    <w:rsid w:val="26875139"/>
    <w:rsid w:val="268E70FB"/>
    <w:rsid w:val="26C90EDC"/>
    <w:rsid w:val="26D02F42"/>
    <w:rsid w:val="26D07A6A"/>
    <w:rsid w:val="26DB0483"/>
    <w:rsid w:val="27146BCE"/>
    <w:rsid w:val="271D7E59"/>
    <w:rsid w:val="27322DE3"/>
    <w:rsid w:val="27355840"/>
    <w:rsid w:val="277D4FA2"/>
    <w:rsid w:val="280E605F"/>
    <w:rsid w:val="28216945"/>
    <w:rsid w:val="28291A98"/>
    <w:rsid w:val="2830482F"/>
    <w:rsid w:val="283D0875"/>
    <w:rsid w:val="28403AB2"/>
    <w:rsid w:val="284F6E0C"/>
    <w:rsid w:val="286435D1"/>
    <w:rsid w:val="286D1199"/>
    <w:rsid w:val="28861CD7"/>
    <w:rsid w:val="28A450B4"/>
    <w:rsid w:val="28E367E3"/>
    <w:rsid w:val="28FB33EB"/>
    <w:rsid w:val="28FD61B3"/>
    <w:rsid w:val="29154682"/>
    <w:rsid w:val="294760B8"/>
    <w:rsid w:val="29550D25"/>
    <w:rsid w:val="2961443A"/>
    <w:rsid w:val="29E004E4"/>
    <w:rsid w:val="2A133E00"/>
    <w:rsid w:val="2A35143F"/>
    <w:rsid w:val="2A87434A"/>
    <w:rsid w:val="2A8C72D2"/>
    <w:rsid w:val="2A9D4E6E"/>
    <w:rsid w:val="2AD81DA9"/>
    <w:rsid w:val="2AE97055"/>
    <w:rsid w:val="2B5209A4"/>
    <w:rsid w:val="2B5D1B5F"/>
    <w:rsid w:val="2B763D52"/>
    <w:rsid w:val="2B882146"/>
    <w:rsid w:val="2BC50D91"/>
    <w:rsid w:val="2BFF23D2"/>
    <w:rsid w:val="2C1D7055"/>
    <w:rsid w:val="2C3A34D5"/>
    <w:rsid w:val="2C5A0F68"/>
    <w:rsid w:val="2CA333CE"/>
    <w:rsid w:val="2D2B6769"/>
    <w:rsid w:val="2D3A52AC"/>
    <w:rsid w:val="2D6B130D"/>
    <w:rsid w:val="2DA46DD9"/>
    <w:rsid w:val="2DAE1460"/>
    <w:rsid w:val="2DBA5D11"/>
    <w:rsid w:val="2DCD3147"/>
    <w:rsid w:val="2DD23713"/>
    <w:rsid w:val="2DE22CAD"/>
    <w:rsid w:val="2DFC3B09"/>
    <w:rsid w:val="2E063C32"/>
    <w:rsid w:val="2E132621"/>
    <w:rsid w:val="2E34076F"/>
    <w:rsid w:val="2E6121CD"/>
    <w:rsid w:val="2E6C46D4"/>
    <w:rsid w:val="2EAC48FC"/>
    <w:rsid w:val="2F5765AB"/>
    <w:rsid w:val="2F837332"/>
    <w:rsid w:val="2FAB4A93"/>
    <w:rsid w:val="2FD65AA5"/>
    <w:rsid w:val="2FD67846"/>
    <w:rsid w:val="2FE001D5"/>
    <w:rsid w:val="2FEF6855"/>
    <w:rsid w:val="2FFF765A"/>
    <w:rsid w:val="30155ADD"/>
    <w:rsid w:val="30A7222C"/>
    <w:rsid w:val="30AF4F16"/>
    <w:rsid w:val="30C04D68"/>
    <w:rsid w:val="30C8184E"/>
    <w:rsid w:val="30D86127"/>
    <w:rsid w:val="30E33F4C"/>
    <w:rsid w:val="310143A7"/>
    <w:rsid w:val="313016C5"/>
    <w:rsid w:val="31365EBB"/>
    <w:rsid w:val="3176454F"/>
    <w:rsid w:val="31D31915"/>
    <w:rsid w:val="31E63BA8"/>
    <w:rsid w:val="31E9135A"/>
    <w:rsid w:val="324C4712"/>
    <w:rsid w:val="327A0EC0"/>
    <w:rsid w:val="328006E3"/>
    <w:rsid w:val="330C4FE2"/>
    <w:rsid w:val="33474DEB"/>
    <w:rsid w:val="33697E46"/>
    <w:rsid w:val="337C2A16"/>
    <w:rsid w:val="339154E1"/>
    <w:rsid w:val="33D744F5"/>
    <w:rsid w:val="3400446B"/>
    <w:rsid w:val="3471661B"/>
    <w:rsid w:val="34721790"/>
    <w:rsid w:val="34875796"/>
    <w:rsid w:val="34D80795"/>
    <w:rsid w:val="34DC5AF1"/>
    <w:rsid w:val="35340912"/>
    <w:rsid w:val="35355955"/>
    <w:rsid w:val="35E91C56"/>
    <w:rsid w:val="35EF3D34"/>
    <w:rsid w:val="35F25380"/>
    <w:rsid w:val="360A2FA2"/>
    <w:rsid w:val="36234001"/>
    <w:rsid w:val="365657A0"/>
    <w:rsid w:val="36733057"/>
    <w:rsid w:val="368451F4"/>
    <w:rsid w:val="36AA35C5"/>
    <w:rsid w:val="36CF5F58"/>
    <w:rsid w:val="36D0714B"/>
    <w:rsid w:val="36E87CCA"/>
    <w:rsid w:val="36EC226B"/>
    <w:rsid w:val="36F02BD0"/>
    <w:rsid w:val="36FF56AE"/>
    <w:rsid w:val="374B2E06"/>
    <w:rsid w:val="376D112C"/>
    <w:rsid w:val="377D597D"/>
    <w:rsid w:val="378A04B1"/>
    <w:rsid w:val="37CF64AC"/>
    <w:rsid w:val="37F52D97"/>
    <w:rsid w:val="38586B66"/>
    <w:rsid w:val="3886629A"/>
    <w:rsid w:val="38B43C74"/>
    <w:rsid w:val="38B619EA"/>
    <w:rsid w:val="38B955D3"/>
    <w:rsid w:val="38BA438C"/>
    <w:rsid w:val="38EE5950"/>
    <w:rsid w:val="3932513B"/>
    <w:rsid w:val="39442589"/>
    <w:rsid w:val="39760DD5"/>
    <w:rsid w:val="39BB381D"/>
    <w:rsid w:val="39BF136E"/>
    <w:rsid w:val="39D37108"/>
    <w:rsid w:val="39DB4726"/>
    <w:rsid w:val="3A1228E4"/>
    <w:rsid w:val="3A3F2C02"/>
    <w:rsid w:val="3A4D4545"/>
    <w:rsid w:val="3A7531C4"/>
    <w:rsid w:val="3A7F3E04"/>
    <w:rsid w:val="3A8E6E23"/>
    <w:rsid w:val="3AA54D83"/>
    <w:rsid w:val="3AA751F1"/>
    <w:rsid w:val="3AB26D1E"/>
    <w:rsid w:val="3ACE7785"/>
    <w:rsid w:val="3AD02EC4"/>
    <w:rsid w:val="3AE40544"/>
    <w:rsid w:val="3B054C5A"/>
    <w:rsid w:val="3B1940DA"/>
    <w:rsid w:val="3B1A170F"/>
    <w:rsid w:val="3B2B6C48"/>
    <w:rsid w:val="3B303319"/>
    <w:rsid w:val="3B3551C3"/>
    <w:rsid w:val="3B42398E"/>
    <w:rsid w:val="3B4447F3"/>
    <w:rsid w:val="3B474839"/>
    <w:rsid w:val="3B5461DE"/>
    <w:rsid w:val="3B67773C"/>
    <w:rsid w:val="3B6904C5"/>
    <w:rsid w:val="3B8028A9"/>
    <w:rsid w:val="3B891DBC"/>
    <w:rsid w:val="3BA60CB3"/>
    <w:rsid w:val="3BAF628D"/>
    <w:rsid w:val="3BD117F8"/>
    <w:rsid w:val="3C1A73F5"/>
    <w:rsid w:val="3C382891"/>
    <w:rsid w:val="3C504A40"/>
    <w:rsid w:val="3CBE57F8"/>
    <w:rsid w:val="3CDE30FF"/>
    <w:rsid w:val="3D5A0F8B"/>
    <w:rsid w:val="3D7B4AF8"/>
    <w:rsid w:val="3DA71523"/>
    <w:rsid w:val="3DA9189B"/>
    <w:rsid w:val="3DB3421B"/>
    <w:rsid w:val="3DCB46B1"/>
    <w:rsid w:val="3DF326E8"/>
    <w:rsid w:val="3DFF0E27"/>
    <w:rsid w:val="3E7359A9"/>
    <w:rsid w:val="3E927592"/>
    <w:rsid w:val="3E98675F"/>
    <w:rsid w:val="3EAF54F5"/>
    <w:rsid w:val="3EB621C0"/>
    <w:rsid w:val="3EC7548D"/>
    <w:rsid w:val="3F082EB4"/>
    <w:rsid w:val="3F115944"/>
    <w:rsid w:val="3F4F5380"/>
    <w:rsid w:val="3F5B0017"/>
    <w:rsid w:val="3F5B1373"/>
    <w:rsid w:val="3F604BA8"/>
    <w:rsid w:val="3F64419B"/>
    <w:rsid w:val="3F6532BD"/>
    <w:rsid w:val="3F6F675D"/>
    <w:rsid w:val="3F7D5B4C"/>
    <w:rsid w:val="3FB825FB"/>
    <w:rsid w:val="3FF94FBF"/>
    <w:rsid w:val="4023061E"/>
    <w:rsid w:val="402512F5"/>
    <w:rsid w:val="402545F8"/>
    <w:rsid w:val="402B72E7"/>
    <w:rsid w:val="404B0467"/>
    <w:rsid w:val="4073788A"/>
    <w:rsid w:val="408E70AC"/>
    <w:rsid w:val="40C05907"/>
    <w:rsid w:val="40EB1E44"/>
    <w:rsid w:val="40FA1332"/>
    <w:rsid w:val="411918A4"/>
    <w:rsid w:val="41281AE7"/>
    <w:rsid w:val="417454AB"/>
    <w:rsid w:val="41AB26EB"/>
    <w:rsid w:val="41B71861"/>
    <w:rsid w:val="41BC6C52"/>
    <w:rsid w:val="41CD4A50"/>
    <w:rsid w:val="41D844DE"/>
    <w:rsid w:val="41F26EE8"/>
    <w:rsid w:val="4213165D"/>
    <w:rsid w:val="4228217E"/>
    <w:rsid w:val="4234796F"/>
    <w:rsid w:val="42421C0B"/>
    <w:rsid w:val="42704260"/>
    <w:rsid w:val="4277580E"/>
    <w:rsid w:val="42876CE2"/>
    <w:rsid w:val="429C4C22"/>
    <w:rsid w:val="42FB6020"/>
    <w:rsid w:val="42FE1026"/>
    <w:rsid w:val="438056A3"/>
    <w:rsid w:val="43900378"/>
    <w:rsid w:val="439A1B4B"/>
    <w:rsid w:val="439E461E"/>
    <w:rsid w:val="43B12074"/>
    <w:rsid w:val="43B34573"/>
    <w:rsid w:val="43C10389"/>
    <w:rsid w:val="44034933"/>
    <w:rsid w:val="44322FE2"/>
    <w:rsid w:val="445D2710"/>
    <w:rsid w:val="446B597A"/>
    <w:rsid w:val="44AF4F31"/>
    <w:rsid w:val="44D3620E"/>
    <w:rsid w:val="44DB48CA"/>
    <w:rsid w:val="44E60919"/>
    <w:rsid w:val="450072D4"/>
    <w:rsid w:val="45DE7DF6"/>
    <w:rsid w:val="4611354E"/>
    <w:rsid w:val="464D3E1C"/>
    <w:rsid w:val="466E7E25"/>
    <w:rsid w:val="468139D8"/>
    <w:rsid w:val="46B5693A"/>
    <w:rsid w:val="471054F8"/>
    <w:rsid w:val="47274B46"/>
    <w:rsid w:val="4747295E"/>
    <w:rsid w:val="47600768"/>
    <w:rsid w:val="47847045"/>
    <w:rsid w:val="47E27467"/>
    <w:rsid w:val="48140F9F"/>
    <w:rsid w:val="481969F8"/>
    <w:rsid w:val="48452AAB"/>
    <w:rsid w:val="48577867"/>
    <w:rsid w:val="485F342F"/>
    <w:rsid w:val="486A137D"/>
    <w:rsid w:val="487A636D"/>
    <w:rsid w:val="48867920"/>
    <w:rsid w:val="48AE2ED5"/>
    <w:rsid w:val="48AE321A"/>
    <w:rsid w:val="48C13945"/>
    <w:rsid w:val="48EF4E15"/>
    <w:rsid w:val="48F56ABF"/>
    <w:rsid w:val="491E1C06"/>
    <w:rsid w:val="496569BC"/>
    <w:rsid w:val="49A1568E"/>
    <w:rsid w:val="49CD76D0"/>
    <w:rsid w:val="49E13AB3"/>
    <w:rsid w:val="49FB7AAA"/>
    <w:rsid w:val="4A016507"/>
    <w:rsid w:val="4A68105A"/>
    <w:rsid w:val="4A890E51"/>
    <w:rsid w:val="4A8D2388"/>
    <w:rsid w:val="4A982C56"/>
    <w:rsid w:val="4AD75A64"/>
    <w:rsid w:val="4AEC756D"/>
    <w:rsid w:val="4B1E046D"/>
    <w:rsid w:val="4B7D557C"/>
    <w:rsid w:val="4BAF49FC"/>
    <w:rsid w:val="4BC36DB8"/>
    <w:rsid w:val="4BF67D8F"/>
    <w:rsid w:val="4C071A1C"/>
    <w:rsid w:val="4C0E407D"/>
    <w:rsid w:val="4C1939D0"/>
    <w:rsid w:val="4C1E2465"/>
    <w:rsid w:val="4C391AC4"/>
    <w:rsid w:val="4C3D7544"/>
    <w:rsid w:val="4D0E4287"/>
    <w:rsid w:val="4D1344C2"/>
    <w:rsid w:val="4D150608"/>
    <w:rsid w:val="4D6322B3"/>
    <w:rsid w:val="4D720342"/>
    <w:rsid w:val="4D8252F8"/>
    <w:rsid w:val="4DBC1F35"/>
    <w:rsid w:val="4DF73EBA"/>
    <w:rsid w:val="4DFA3B89"/>
    <w:rsid w:val="4E8937F7"/>
    <w:rsid w:val="4ECE1302"/>
    <w:rsid w:val="4EFB0AFB"/>
    <w:rsid w:val="4EFF6ABD"/>
    <w:rsid w:val="4F071A96"/>
    <w:rsid w:val="4F23755B"/>
    <w:rsid w:val="4F5008D7"/>
    <w:rsid w:val="4F901D37"/>
    <w:rsid w:val="4F990716"/>
    <w:rsid w:val="4FA258AE"/>
    <w:rsid w:val="4FC62E9B"/>
    <w:rsid w:val="4FD234C3"/>
    <w:rsid w:val="4FD803B5"/>
    <w:rsid w:val="501716A5"/>
    <w:rsid w:val="501D3601"/>
    <w:rsid w:val="505E7E1F"/>
    <w:rsid w:val="50824519"/>
    <w:rsid w:val="51114E3C"/>
    <w:rsid w:val="51460047"/>
    <w:rsid w:val="51473FD6"/>
    <w:rsid w:val="51720DF7"/>
    <w:rsid w:val="51852FFB"/>
    <w:rsid w:val="52367603"/>
    <w:rsid w:val="52486C78"/>
    <w:rsid w:val="52556ED3"/>
    <w:rsid w:val="526E38F2"/>
    <w:rsid w:val="527D2DC8"/>
    <w:rsid w:val="52CC79ED"/>
    <w:rsid w:val="53010A83"/>
    <w:rsid w:val="53013C58"/>
    <w:rsid w:val="532A16EF"/>
    <w:rsid w:val="533810A3"/>
    <w:rsid w:val="53467F62"/>
    <w:rsid w:val="53546E7C"/>
    <w:rsid w:val="53785BCD"/>
    <w:rsid w:val="53793F27"/>
    <w:rsid w:val="53A048CC"/>
    <w:rsid w:val="53B33201"/>
    <w:rsid w:val="53CA493C"/>
    <w:rsid w:val="53CE7AF3"/>
    <w:rsid w:val="54A37135"/>
    <w:rsid w:val="54BF2A43"/>
    <w:rsid w:val="55320F1C"/>
    <w:rsid w:val="55351C8F"/>
    <w:rsid w:val="55597610"/>
    <w:rsid w:val="55801AFB"/>
    <w:rsid w:val="558A1438"/>
    <w:rsid w:val="55A57A34"/>
    <w:rsid w:val="55BD2326"/>
    <w:rsid w:val="55E616A8"/>
    <w:rsid w:val="55ED2633"/>
    <w:rsid w:val="56010A69"/>
    <w:rsid w:val="56056606"/>
    <w:rsid w:val="560D7A4C"/>
    <w:rsid w:val="562760D7"/>
    <w:rsid w:val="563B584F"/>
    <w:rsid w:val="56443496"/>
    <w:rsid w:val="569B748D"/>
    <w:rsid w:val="56A47A0A"/>
    <w:rsid w:val="56CA51FA"/>
    <w:rsid w:val="57070696"/>
    <w:rsid w:val="572A3118"/>
    <w:rsid w:val="574027A8"/>
    <w:rsid w:val="576511E4"/>
    <w:rsid w:val="5769267C"/>
    <w:rsid w:val="578D6857"/>
    <w:rsid w:val="57A32DC2"/>
    <w:rsid w:val="57C816F0"/>
    <w:rsid w:val="57D1482F"/>
    <w:rsid w:val="58267EF3"/>
    <w:rsid w:val="58320FA9"/>
    <w:rsid w:val="583F2FA8"/>
    <w:rsid w:val="585A4825"/>
    <w:rsid w:val="58713A5A"/>
    <w:rsid w:val="588F6FE2"/>
    <w:rsid w:val="58C30541"/>
    <w:rsid w:val="58FC6E48"/>
    <w:rsid w:val="59263C7C"/>
    <w:rsid w:val="593212FE"/>
    <w:rsid w:val="597F0694"/>
    <w:rsid w:val="59995821"/>
    <w:rsid w:val="599F5C1F"/>
    <w:rsid w:val="59E36A9C"/>
    <w:rsid w:val="59F12151"/>
    <w:rsid w:val="59F6057D"/>
    <w:rsid w:val="5A033E77"/>
    <w:rsid w:val="5A05386F"/>
    <w:rsid w:val="5A4B52A9"/>
    <w:rsid w:val="5AA42921"/>
    <w:rsid w:val="5AC00405"/>
    <w:rsid w:val="5ACD0956"/>
    <w:rsid w:val="5AD978C3"/>
    <w:rsid w:val="5AFC28FD"/>
    <w:rsid w:val="5B030C45"/>
    <w:rsid w:val="5B1D59F4"/>
    <w:rsid w:val="5B3678E5"/>
    <w:rsid w:val="5B843B48"/>
    <w:rsid w:val="5B917915"/>
    <w:rsid w:val="5BE55C2C"/>
    <w:rsid w:val="5C1803E7"/>
    <w:rsid w:val="5C9C4330"/>
    <w:rsid w:val="5CCD5897"/>
    <w:rsid w:val="5CCF5A6F"/>
    <w:rsid w:val="5CFF1AEC"/>
    <w:rsid w:val="5D3A3BF0"/>
    <w:rsid w:val="5DB97D1F"/>
    <w:rsid w:val="5DC42740"/>
    <w:rsid w:val="5DD3128F"/>
    <w:rsid w:val="5E0F4D2E"/>
    <w:rsid w:val="5E1824AD"/>
    <w:rsid w:val="5E422BFD"/>
    <w:rsid w:val="5E557E4F"/>
    <w:rsid w:val="5E842202"/>
    <w:rsid w:val="5EA70018"/>
    <w:rsid w:val="5EC32A49"/>
    <w:rsid w:val="5ECD0EA2"/>
    <w:rsid w:val="5F26235C"/>
    <w:rsid w:val="5F362755"/>
    <w:rsid w:val="5F4B4017"/>
    <w:rsid w:val="5F84127C"/>
    <w:rsid w:val="5FC279EF"/>
    <w:rsid w:val="5FC71D87"/>
    <w:rsid w:val="5FD76C25"/>
    <w:rsid w:val="5FDB7EA8"/>
    <w:rsid w:val="5FE6202E"/>
    <w:rsid w:val="60462EE0"/>
    <w:rsid w:val="605111C2"/>
    <w:rsid w:val="606D3C39"/>
    <w:rsid w:val="607E1028"/>
    <w:rsid w:val="6096403E"/>
    <w:rsid w:val="60967ED3"/>
    <w:rsid w:val="60A23D35"/>
    <w:rsid w:val="60CB7AE3"/>
    <w:rsid w:val="60CC094D"/>
    <w:rsid w:val="610A4D98"/>
    <w:rsid w:val="61335A9C"/>
    <w:rsid w:val="61355DAA"/>
    <w:rsid w:val="61386F29"/>
    <w:rsid w:val="613975DD"/>
    <w:rsid w:val="614724A5"/>
    <w:rsid w:val="61717C7C"/>
    <w:rsid w:val="618B6709"/>
    <w:rsid w:val="61CC1553"/>
    <w:rsid w:val="61E570B4"/>
    <w:rsid w:val="623E22E1"/>
    <w:rsid w:val="6248622C"/>
    <w:rsid w:val="62576DB1"/>
    <w:rsid w:val="62670A97"/>
    <w:rsid w:val="626B2421"/>
    <w:rsid w:val="6274090B"/>
    <w:rsid w:val="62971DA6"/>
    <w:rsid w:val="62A5507D"/>
    <w:rsid w:val="62A665D8"/>
    <w:rsid w:val="62B34D14"/>
    <w:rsid w:val="62BD2580"/>
    <w:rsid w:val="62BE5E10"/>
    <w:rsid w:val="62D16E61"/>
    <w:rsid w:val="62E90304"/>
    <w:rsid w:val="62E94474"/>
    <w:rsid w:val="6356778F"/>
    <w:rsid w:val="63665266"/>
    <w:rsid w:val="639332E1"/>
    <w:rsid w:val="639808F7"/>
    <w:rsid w:val="63CB051D"/>
    <w:rsid w:val="644E6EC3"/>
    <w:rsid w:val="64584186"/>
    <w:rsid w:val="647213A0"/>
    <w:rsid w:val="65444391"/>
    <w:rsid w:val="65692B10"/>
    <w:rsid w:val="656B6FA3"/>
    <w:rsid w:val="65D57105"/>
    <w:rsid w:val="65DC3CCD"/>
    <w:rsid w:val="65E81496"/>
    <w:rsid w:val="65E977F5"/>
    <w:rsid w:val="65FB4F05"/>
    <w:rsid w:val="660E2E5D"/>
    <w:rsid w:val="66702197"/>
    <w:rsid w:val="66721A79"/>
    <w:rsid w:val="667679A4"/>
    <w:rsid w:val="66C57ACB"/>
    <w:rsid w:val="66FB6196"/>
    <w:rsid w:val="6712154F"/>
    <w:rsid w:val="671A33F4"/>
    <w:rsid w:val="674C5D1D"/>
    <w:rsid w:val="676843D9"/>
    <w:rsid w:val="677A7225"/>
    <w:rsid w:val="678135EA"/>
    <w:rsid w:val="67936F1A"/>
    <w:rsid w:val="67964C4D"/>
    <w:rsid w:val="67A0509F"/>
    <w:rsid w:val="6857768D"/>
    <w:rsid w:val="689E4241"/>
    <w:rsid w:val="68BC7190"/>
    <w:rsid w:val="68F83568"/>
    <w:rsid w:val="693C4933"/>
    <w:rsid w:val="698A26C1"/>
    <w:rsid w:val="69972382"/>
    <w:rsid w:val="69A01CDB"/>
    <w:rsid w:val="69AF6012"/>
    <w:rsid w:val="69C52442"/>
    <w:rsid w:val="69E2467A"/>
    <w:rsid w:val="69E95657"/>
    <w:rsid w:val="6A05414B"/>
    <w:rsid w:val="6A0E40A4"/>
    <w:rsid w:val="6A5B5EB6"/>
    <w:rsid w:val="6A664F9F"/>
    <w:rsid w:val="6A7160D0"/>
    <w:rsid w:val="6AD77439"/>
    <w:rsid w:val="6ADA732A"/>
    <w:rsid w:val="6AF723A7"/>
    <w:rsid w:val="6B1116BB"/>
    <w:rsid w:val="6B3804DD"/>
    <w:rsid w:val="6B5B634B"/>
    <w:rsid w:val="6B740F01"/>
    <w:rsid w:val="6B8C56D6"/>
    <w:rsid w:val="6B8D7C85"/>
    <w:rsid w:val="6B8E3C2A"/>
    <w:rsid w:val="6B925E6F"/>
    <w:rsid w:val="6BCE1A00"/>
    <w:rsid w:val="6BD061D6"/>
    <w:rsid w:val="6BDC43A6"/>
    <w:rsid w:val="6BE2777C"/>
    <w:rsid w:val="6BF035F0"/>
    <w:rsid w:val="6C07661A"/>
    <w:rsid w:val="6C655215"/>
    <w:rsid w:val="6C7C3640"/>
    <w:rsid w:val="6C864EA6"/>
    <w:rsid w:val="6C982889"/>
    <w:rsid w:val="6CA47228"/>
    <w:rsid w:val="6CAE7C56"/>
    <w:rsid w:val="6CB03A06"/>
    <w:rsid w:val="6CC74A15"/>
    <w:rsid w:val="6CE2456D"/>
    <w:rsid w:val="6D56641F"/>
    <w:rsid w:val="6D5D610D"/>
    <w:rsid w:val="6D626B7A"/>
    <w:rsid w:val="6D6E68A4"/>
    <w:rsid w:val="6D8E6A7C"/>
    <w:rsid w:val="6E081DBD"/>
    <w:rsid w:val="6E17794B"/>
    <w:rsid w:val="6E4E2F9D"/>
    <w:rsid w:val="6E500C05"/>
    <w:rsid w:val="6E650E71"/>
    <w:rsid w:val="6E6A0B89"/>
    <w:rsid w:val="6E9768A5"/>
    <w:rsid w:val="6EB44CD9"/>
    <w:rsid w:val="6ED66683"/>
    <w:rsid w:val="6EDB553B"/>
    <w:rsid w:val="6F110B11"/>
    <w:rsid w:val="6F1A0916"/>
    <w:rsid w:val="6F2F7DC6"/>
    <w:rsid w:val="6F393C06"/>
    <w:rsid w:val="6F3D377B"/>
    <w:rsid w:val="6F6A3C2E"/>
    <w:rsid w:val="6FB02B95"/>
    <w:rsid w:val="6FD22BCB"/>
    <w:rsid w:val="6FEF3A03"/>
    <w:rsid w:val="700B5927"/>
    <w:rsid w:val="703D5EF5"/>
    <w:rsid w:val="7080699B"/>
    <w:rsid w:val="70A2416A"/>
    <w:rsid w:val="70B54178"/>
    <w:rsid w:val="70C4143B"/>
    <w:rsid w:val="70DC1E76"/>
    <w:rsid w:val="70E71F82"/>
    <w:rsid w:val="70EC412D"/>
    <w:rsid w:val="70F36CED"/>
    <w:rsid w:val="71111279"/>
    <w:rsid w:val="711571D0"/>
    <w:rsid w:val="711D2275"/>
    <w:rsid w:val="71914F51"/>
    <w:rsid w:val="71A55E4B"/>
    <w:rsid w:val="71BF7E29"/>
    <w:rsid w:val="71C007DA"/>
    <w:rsid w:val="72176C0A"/>
    <w:rsid w:val="721A51BD"/>
    <w:rsid w:val="721F5FBC"/>
    <w:rsid w:val="72432F32"/>
    <w:rsid w:val="72533F84"/>
    <w:rsid w:val="72534F16"/>
    <w:rsid w:val="727B4DE6"/>
    <w:rsid w:val="727D078E"/>
    <w:rsid w:val="72851B49"/>
    <w:rsid w:val="72C5115C"/>
    <w:rsid w:val="72C61EE5"/>
    <w:rsid w:val="72EE2B49"/>
    <w:rsid w:val="72FD2B80"/>
    <w:rsid w:val="7311616A"/>
    <w:rsid w:val="73164DB6"/>
    <w:rsid w:val="73485164"/>
    <w:rsid w:val="73646831"/>
    <w:rsid w:val="736E39AB"/>
    <w:rsid w:val="73CA6863"/>
    <w:rsid w:val="73CB05D7"/>
    <w:rsid w:val="73D32269"/>
    <w:rsid w:val="73F26255"/>
    <w:rsid w:val="742B44C5"/>
    <w:rsid w:val="745F756F"/>
    <w:rsid w:val="746448E8"/>
    <w:rsid w:val="746F3C27"/>
    <w:rsid w:val="74726F95"/>
    <w:rsid w:val="74771E4A"/>
    <w:rsid w:val="74AB1EC6"/>
    <w:rsid w:val="74DC2A68"/>
    <w:rsid w:val="75024CB0"/>
    <w:rsid w:val="75104791"/>
    <w:rsid w:val="752813A9"/>
    <w:rsid w:val="753B1E04"/>
    <w:rsid w:val="754C78B8"/>
    <w:rsid w:val="756D573F"/>
    <w:rsid w:val="757D3C3B"/>
    <w:rsid w:val="75A90B07"/>
    <w:rsid w:val="75AA30D6"/>
    <w:rsid w:val="760E4842"/>
    <w:rsid w:val="76430A97"/>
    <w:rsid w:val="76536D79"/>
    <w:rsid w:val="76806C46"/>
    <w:rsid w:val="76C02894"/>
    <w:rsid w:val="76ED71B4"/>
    <w:rsid w:val="76EE5842"/>
    <w:rsid w:val="770E3FF3"/>
    <w:rsid w:val="776E4957"/>
    <w:rsid w:val="77A15B74"/>
    <w:rsid w:val="77DB1A41"/>
    <w:rsid w:val="77E33D98"/>
    <w:rsid w:val="781A7330"/>
    <w:rsid w:val="782B1858"/>
    <w:rsid w:val="78365FE9"/>
    <w:rsid w:val="78414C61"/>
    <w:rsid w:val="785A431D"/>
    <w:rsid w:val="78B502C5"/>
    <w:rsid w:val="78E91B65"/>
    <w:rsid w:val="78F80AA6"/>
    <w:rsid w:val="792D3445"/>
    <w:rsid w:val="792D3638"/>
    <w:rsid w:val="792E168A"/>
    <w:rsid w:val="796536D9"/>
    <w:rsid w:val="79A500E5"/>
    <w:rsid w:val="79A84CF6"/>
    <w:rsid w:val="79AC5601"/>
    <w:rsid w:val="79C731D1"/>
    <w:rsid w:val="79F26375"/>
    <w:rsid w:val="79FB79F0"/>
    <w:rsid w:val="7A0538B8"/>
    <w:rsid w:val="7A1958AE"/>
    <w:rsid w:val="7A6909E2"/>
    <w:rsid w:val="7A6B543C"/>
    <w:rsid w:val="7A715EAE"/>
    <w:rsid w:val="7A827EE6"/>
    <w:rsid w:val="7A863568"/>
    <w:rsid w:val="7AEF3556"/>
    <w:rsid w:val="7B5969BF"/>
    <w:rsid w:val="7B5E1302"/>
    <w:rsid w:val="7B6E5D6D"/>
    <w:rsid w:val="7B790A7A"/>
    <w:rsid w:val="7B801809"/>
    <w:rsid w:val="7B9A223F"/>
    <w:rsid w:val="7B9B131C"/>
    <w:rsid w:val="7B9F6CDB"/>
    <w:rsid w:val="7BAE122A"/>
    <w:rsid w:val="7BB57030"/>
    <w:rsid w:val="7C246D74"/>
    <w:rsid w:val="7C575410"/>
    <w:rsid w:val="7C606A54"/>
    <w:rsid w:val="7C7C31CE"/>
    <w:rsid w:val="7CAC2E65"/>
    <w:rsid w:val="7CBC41CE"/>
    <w:rsid w:val="7CD86E85"/>
    <w:rsid w:val="7D11426A"/>
    <w:rsid w:val="7D15265C"/>
    <w:rsid w:val="7D1B3199"/>
    <w:rsid w:val="7D317B36"/>
    <w:rsid w:val="7D447A06"/>
    <w:rsid w:val="7D6E0039"/>
    <w:rsid w:val="7D98249E"/>
    <w:rsid w:val="7DA266AF"/>
    <w:rsid w:val="7DE26E35"/>
    <w:rsid w:val="7E154BC6"/>
    <w:rsid w:val="7E873135"/>
    <w:rsid w:val="7E98232E"/>
    <w:rsid w:val="7F301A81"/>
    <w:rsid w:val="7F374375"/>
    <w:rsid w:val="7F4C0F54"/>
    <w:rsid w:val="7FB90D50"/>
    <w:rsid w:val="7FC92441"/>
    <w:rsid w:val="7FE45A41"/>
    <w:rsid w:val="7FF13A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qFormat="1" w:unhideWhenUsed="0" w:uiPriority="99" w:semiHidden="0"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qFormat="1" w:unhideWhenUsed="0" w:uiPriority="0" w:semiHidden="0" w:name="footnote text"/>
    <w:lsdException w:qFormat="1" w:uiPriority="1"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qFormat="1" w:uiPriority="99" w:semiHidden="0"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autoRedefine/>
    <w:qFormat/>
    <w:uiPriority w:val="0"/>
    <w:pPr>
      <w:keepNext/>
      <w:numPr>
        <w:ilvl w:val="0"/>
        <w:numId w:val="1"/>
      </w:numPr>
      <w:outlineLvl w:val="0"/>
    </w:pPr>
    <w:rPr>
      <w:b/>
    </w:rPr>
  </w:style>
  <w:style w:type="paragraph" w:styleId="5">
    <w:name w:val="heading 2"/>
    <w:basedOn w:val="1"/>
    <w:next w:val="1"/>
    <w:autoRedefine/>
    <w:qFormat/>
    <w:uiPriority w:val="0"/>
    <w:pPr>
      <w:keepNext/>
      <w:keepLines/>
      <w:spacing w:before="260" w:after="260" w:line="416" w:lineRule="auto"/>
      <w:outlineLvl w:val="1"/>
    </w:pPr>
    <w:rPr>
      <w:rFonts w:ascii="Arial Black" w:hAnsi="Arial Black"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280" w:after="290" w:line="376" w:lineRule="auto"/>
      <w:outlineLvl w:val="3"/>
    </w:pPr>
    <w:rPr>
      <w:b/>
      <w:bCs/>
      <w:sz w:val="28"/>
      <w:szCs w:val="28"/>
    </w:rPr>
  </w:style>
  <w:style w:type="paragraph" w:styleId="8">
    <w:name w:val="heading 6"/>
    <w:basedOn w:val="1"/>
    <w:next w:val="1"/>
    <w:autoRedefine/>
    <w:qFormat/>
    <w:uiPriority w:val="0"/>
    <w:pPr>
      <w:keepNext/>
      <w:keepLines/>
      <w:numPr>
        <w:ilvl w:val="5"/>
        <w:numId w:val="2"/>
      </w:numPr>
      <w:spacing w:before="240" w:beforeLines="0" w:after="64" w:afterLines="0" w:line="317" w:lineRule="auto"/>
      <w:ind w:left="1151" w:hanging="1151"/>
      <w:outlineLvl w:val="5"/>
    </w:pPr>
    <w:rPr>
      <w:rFonts w:ascii="Arial" w:hAnsi="Arial" w:eastAsia="黑体"/>
      <w:b/>
      <w:sz w:val="24"/>
    </w:rPr>
  </w:style>
  <w:style w:type="character" w:default="1" w:styleId="35">
    <w:name w:val="Default Paragraph Font"/>
    <w:autoRedefine/>
    <w:semiHidden/>
    <w:qFormat/>
    <w:uiPriority w:val="0"/>
  </w:style>
  <w:style w:type="table" w:default="1" w:styleId="3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spacing w:after="120" w:line="240" w:lineRule="auto"/>
      <w:ind w:left="420" w:leftChars="200"/>
    </w:pPr>
    <w:rPr>
      <w:rFonts w:ascii="Times New Roman" w:hAnsi="Times New Roman"/>
      <w:szCs w:val="24"/>
    </w:rPr>
  </w:style>
  <w:style w:type="paragraph" w:styleId="3">
    <w:name w:val="Body Text Indent"/>
    <w:basedOn w:val="1"/>
    <w:link w:val="49"/>
    <w:autoRedefine/>
    <w:qFormat/>
    <w:uiPriority w:val="0"/>
    <w:pPr>
      <w:spacing w:after="120"/>
      <w:ind w:left="420" w:leftChars="200"/>
    </w:pPr>
  </w:style>
  <w:style w:type="paragraph" w:styleId="9">
    <w:name w:val="List 3"/>
    <w:basedOn w:val="1"/>
    <w:autoRedefine/>
    <w:qFormat/>
    <w:uiPriority w:val="0"/>
    <w:pPr>
      <w:ind w:left="100" w:leftChars="400" w:hanging="200" w:hangingChars="200"/>
    </w:pPr>
  </w:style>
  <w:style w:type="paragraph" w:styleId="10">
    <w:name w:val="Normal Indent"/>
    <w:basedOn w:val="1"/>
    <w:next w:val="1"/>
    <w:autoRedefine/>
    <w:unhideWhenUsed/>
    <w:qFormat/>
    <w:uiPriority w:val="0"/>
    <w:pPr>
      <w:ind w:firstLine="420" w:firstLineChars="200"/>
    </w:pPr>
  </w:style>
  <w:style w:type="paragraph" w:styleId="11">
    <w:name w:val="Document Map"/>
    <w:basedOn w:val="1"/>
    <w:autoRedefine/>
    <w:semiHidden/>
    <w:qFormat/>
    <w:uiPriority w:val="0"/>
    <w:pPr>
      <w:shd w:val="clear" w:color="auto" w:fill="000080"/>
    </w:pPr>
  </w:style>
  <w:style w:type="paragraph" w:styleId="12">
    <w:name w:val="toa heading"/>
    <w:basedOn w:val="1"/>
    <w:next w:val="1"/>
    <w:autoRedefine/>
    <w:qFormat/>
    <w:uiPriority w:val="0"/>
    <w:pPr>
      <w:spacing w:before="120"/>
    </w:pPr>
    <w:rPr>
      <w:rFonts w:ascii="Arial" w:hAnsi="Arial"/>
      <w:sz w:val="24"/>
      <w:szCs w:val="21"/>
    </w:rPr>
  </w:style>
  <w:style w:type="paragraph" w:styleId="13">
    <w:name w:val="annotation text"/>
    <w:basedOn w:val="1"/>
    <w:unhideWhenUsed/>
    <w:qFormat/>
    <w:uiPriority w:val="1"/>
    <w:pPr>
      <w:jc w:val="left"/>
    </w:pPr>
  </w:style>
  <w:style w:type="paragraph" w:styleId="14">
    <w:name w:val="index 6"/>
    <w:basedOn w:val="1"/>
    <w:next w:val="1"/>
    <w:qFormat/>
    <w:uiPriority w:val="99"/>
    <w:pPr>
      <w:ind w:left="2100"/>
    </w:pPr>
  </w:style>
  <w:style w:type="paragraph" w:styleId="15">
    <w:name w:val="Body Text"/>
    <w:basedOn w:val="1"/>
    <w:next w:val="16"/>
    <w:autoRedefine/>
    <w:qFormat/>
    <w:uiPriority w:val="0"/>
    <w:pPr>
      <w:spacing w:after="120" w:afterLines="0"/>
    </w:pPr>
  </w:style>
  <w:style w:type="paragraph" w:customStyle="1" w:styleId="16">
    <w:name w:val="Default"/>
    <w:basedOn w:val="17"/>
    <w:next w:val="4"/>
    <w:autoRedefine/>
    <w:qFormat/>
    <w:uiPriority w:val="0"/>
    <w:pPr>
      <w:widowControl w:val="0"/>
      <w:autoSpaceDE w:val="0"/>
      <w:autoSpaceDN w:val="0"/>
      <w:adjustRightInd w:val="0"/>
    </w:pPr>
    <w:rPr>
      <w:rFonts w:ascii="楷体_GB2312" w:hAnsi="Times New Roman" w:eastAsia="楷体_GB2312" w:cs="Times New Roman"/>
      <w:color w:val="000000"/>
      <w:sz w:val="24"/>
      <w:lang w:val="en-US" w:eastAsia="zh-CN" w:bidi="ar-SA"/>
    </w:rPr>
  </w:style>
  <w:style w:type="paragraph" w:styleId="17">
    <w:name w:val="Title"/>
    <w:basedOn w:val="1"/>
    <w:next w:val="1"/>
    <w:autoRedefine/>
    <w:qFormat/>
    <w:uiPriority w:val="0"/>
    <w:pPr>
      <w:adjustRightInd w:val="0"/>
      <w:snapToGrid w:val="0"/>
      <w:spacing w:before="120" w:after="120" w:line="520" w:lineRule="exact"/>
      <w:jc w:val="center"/>
      <w:outlineLvl w:val="0"/>
    </w:pPr>
    <w:rPr>
      <w:rFonts w:ascii="黑体" w:eastAsia="黑体"/>
      <w:snapToGrid w:val="0"/>
      <w:kern w:val="0"/>
      <w:sz w:val="28"/>
    </w:rPr>
  </w:style>
  <w:style w:type="paragraph" w:styleId="18">
    <w:name w:val="index 4"/>
    <w:basedOn w:val="1"/>
    <w:next w:val="1"/>
    <w:autoRedefine/>
    <w:unhideWhenUsed/>
    <w:qFormat/>
    <w:uiPriority w:val="99"/>
    <w:pPr>
      <w:autoSpaceDE w:val="0"/>
      <w:autoSpaceDN w:val="0"/>
      <w:ind w:left="600" w:leftChars="600"/>
      <w:jc w:val="left"/>
    </w:pPr>
    <w:rPr>
      <w:rFonts w:ascii="宋体" w:hAnsi="宋体" w:eastAsia="宋体" w:cs="宋体"/>
      <w:kern w:val="0"/>
      <w:sz w:val="22"/>
      <w:lang w:val="zh-CN" w:bidi="zh-CN"/>
    </w:rPr>
  </w:style>
  <w:style w:type="paragraph" w:styleId="19">
    <w:name w:val="Plain Text"/>
    <w:basedOn w:val="1"/>
    <w:next w:val="1"/>
    <w:link w:val="50"/>
    <w:autoRedefine/>
    <w:qFormat/>
    <w:uiPriority w:val="99"/>
    <w:rPr>
      <w:rFonts w:ascii="宋体" w:hAnsi="Courier New"/>
    </w:rPr>
  </w:style>
  <w:style w:type="paragraph" w:styleId="20">
    <w:name w:val="Date"/>
    <w:basedOn w:val="1"/>
    <w:next w:val="1"/>
    <w:autoRedefine/>
    <w:qFormat/>
    <w:uiPriority w:val="0"/>
    <w:pPr>
      <w:adjustRightInd w:val="0"/>
      <w:spacing w:line="360" w:lineRule="atLeast"/>
      <w:ind w:firstLine="454"/>
      <w:textAlignment w:val="baseline"/>
    </w:pPr>
    <w:rPr>
      <w:kern w:val="0"/>
    </w:rPr>
  </w:style>
  <w:style w:type="paragraph" w:styleId="21">
    <w:name w:val="Body Text Indent 2"/>
    <w:basedOn w:val="1"/>
    <w:link w:val="51"/>
    <w:autoRedefine/>
    <w:qFormat/>
    <w:uiPriority w:val="0"/>
    <w:pPr>
      <w:ind w:firstLine="480"/>
    </w:pPr>
    <w:rPr>
      <w:rFonts w:ascii="宋体" w:hAnsi="宋体"/>
      <w:sz w:val="30"/>
      <w:szCs w:val="24"/>
    </w:rPr>
  </w:style>
  <w:style w:type="paragraph" w:styleId="22">
    <w:name w:val="Balloon Text"/>
    <w:basedOn w:val="1"/>
    <w:link w:val="52"/>
    <w:autoRedefine/>
    <w:unhideWhenUsed/>
    <w:qFormat/>
    <w:uiPriority w:val="99"/>
    <w:rPr>
      <w:sz w:val="18"/>
      <w:szCs w:val="18"/>
    </w:rPr>
  </w:style>
  <w:style w:type="paragraph" w:styleId="23">
    <w:name w:val="footer"/>
    <w:basedOn w:val="1"/>
    <w:link w:val="53"/>
    <w:autoRedefine/>
    <w:qFormat/>
    <w:uiPriority w:val="99"/>
    <w:pPr>
      <w:tabs>
        <w:tab w:val="center" w:pos="4153"/>
        <w:tab w:val="right" w:pos="8306"/>
      </w:tabs>
      <w:snapToGrid w:val="0"/>
      <w:jc w:val="left"/>
    </w:pPr>
    <w:rPr>
      <w:sz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5">
    <w:name w:val="toc 1"/>
    <w:basedOn w:val="1"/>
    <w:next w:val="1"/>
    <w:autoRedefine/>
    <w:unhideWhenUsed/>
    <w:qFormat/>
    <w:uiPriority w:val="39"/>
    <w:pPr>
      <w:tabs>
        <w:tab w:val="right" w:leader="dot" w:pos="8999"/>
      </w:tabs>
      <w:spacing w:line="480" w:lineRule="auto"/>
    </w:pPr>
  </w:style>
  <w:style w:type="paragraph" w:styleId="26">
    <w:name w:val="Subtitle"/>
    <w:basedOn w:val="1"/>
    <w:next w:val="1"/>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27">
    <w:name w:val="footnote text"/>
    <w:basedOn w:val="1"/>
    <w:autoRedefine/>
    <w:qFormat/>
    <w:uiPriority w:val="0"/>
    <w:pPr>
      <w:snapToGrid w:val="0"/>
    </w:pPr>
    <w:rPr>
      <w:rFonts w:ascii="Calibri" w:hAnsi="Calibri"/>
      <w:sz w:val="18"/>
      <w:szCs w:val="18"/>
    </w:rPr>
  </w:style>
  <w:style w:type="paragraph" w:styleId="28">
    <w:name w:val="toc 6"/>
    <w:basedOn w:val="1"/>
    <w:next w:val="1"/>
    <w:autoRedefine/>
    <w:unhideWhenUsed/>
    <w:qFormat/>
    <w:uiPriority w:val="39"/>
    <w:pPr>
      <w:ind w:left="1050"/>
      <w:jc w:val="left"/>
    </w:pPr>
    <w:rPr>
      <w:rFonts w:ascii="Calibri" w:hAnsi="Calibri"/>
      <w:sz w:val="18"/>
      <w:szCs w:val="18"/>
    </w:rPr>
  </w:style>
  <w:style w:type="paragraph" w:styleId="29">
    <w:name w:val="Body Text Indent 3"/>
    <w:basedOn w:val="1"/>
    <w:autoRedefine/>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30">
    <w:name w:val="HTML Preformatted"/>
    <w:basedOn w:val="1"/>
    <w:link w:val="54"/>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1">
    <w:name w:val="Normal (Web)"/>
    <w:basedOn w:val="1"/>
    <w:autoRedefine/>
    <w:unhideWhenUsed/>
    <w:qFormat/>
    <w:uiPriority w:val="0"/>
    <w:pPr>
      <w:widowControl/>
      <w:spacing w:before="100" w:beforeAutospacing="1" w:after="100" w:afterAutospacing="1"/>
      <w:jc w:val="left"/>
    </w:pPr>
    <w:rPr>
      <w:rFonts w:ascii="宋体" w:hAnsi="宋体" w:cs="宋体"/>
      <w:color w:val="000000"/>
      <w:kern w:val="0"/>
      <w:sz w:val="24"/>
      <w:szCs w:val="24"/>
    </w:rPr>
  </w:style>
  <w:style w:type="paragraph" w:styleId="32">
    <w:name w:val="Body Text First Indent"/>
    <w:basedOn w:val="15"/>
    <w:autoRedefine/>
    <w:qFormat/>
    <w:uiPriority w:val="99"/>
    <w:pPr>
      <w:spacing w:after="120"/>
      <w:ind w:firstLine="420" w:firstLineChars="100"/>
    </w:pPr>
  </w:style>
  <w:style w:type="table" w:styleId="34">
    <w:name w:val="Table Grid"/>
    <w:basedOn w:val="3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autoRedefine/>
    <w:qFormat/>
    <w:uiPriority w:val="22"/>
    <w:rPr>
      <w:b/>
      <w:bCs/>
    </w:rPr>
  </w:style>
  <w:style w:type="character" w:styleId="37">
    <w:name w:val="page number"/>
    <w:basedOn w:val="35"/>
    <w:autoRedefine/>
    <w:qFormat/>
    <w:uiPriority w:val="0"/>
  </w:style>
  <w:style w:type="character" w:styleId="38">
    <w:name w:val="Hyperlink"/>
    <w:autoRedefine/>
    <w:qFormat/>
    <w:uiPriority w:val="99"/>
    <w:rPr>
      <w:color w:val="0000FF"/>
      <w:u w:val="single"/>
    </w:rPr>
  </w:style>
  <w:style w:type="character" w:styleId="39">
    <w:name w:val="HTML Sample"/>
    <w:basedOn w:val="35"/>
    <w:autoRedefine/>
    <w:unhideWhenUsed/>
    <w:qFormat/>
    <w:uiPriority w:val="99"/>
    <w:rPr>
      <w:rFonts w:ascii="Courier New" w:hAnsi="Courier New"/>
    </w:rPr>
  </w:style>
  <w:style w:type="paragraph" w:customStyle="1" w:styleId="40">
    <w:name w:val="_Style 2"/>
    <w:basedOn w:val="1"/>
    <w:next w:val="1"/>
    <w:autoRedefine/>
    <w:qFormat/>
    <w:uiPriority w:val="99"/>
    <w:pPr>
      <w:ind w:firstLine="420" w:firstLineChars="200"/>
    </w:pPr>
  </w:style>
  <w:style w:type="paragraph" w:customStyle="1" w:styleId="41">
    <w:name w:val="Char Char10 Char Char Char Char"/>
    <w:basedOn w:val="1"/>
    <w:next w:val="1"/>
    <w:autoRedefine/>
    <w:qFormat/>
    <w:uiPriority w:val="0"/>
    <w:rPr>
      <w:rFonts w:ascii="Calibri" w:hAnsi="Calibri"/>
      <w:kern w:val="0"/>
    </w:rPr>
  </w:style>
  <w:style w:type="paragraph" w:customStyle="1" w:styleId="42">
    <w:name w:val="正文文本_0"/>
    <w:basedOn w:val="43"/>
    <w:autoRedefine/>
    <w:semiHidden/>
    <w:qFormat/>
    <w:uiPriority w:val="0"/>
    <w:pPr>
      <w:spacing w:before="100" w:beforeAutospacing="1" w:after="120"/>
    </w:pPr>
    <w:rPr>
      <w:rFonts w:ascii="Calibri" w:hAnsi="Calibri"/>
      <w:szCs w:val="21"/>
    </w:rPr>
  </w:style>
  <w:style w:type="paragraph" w:customStyle="1" w:styleId="43">
    <w:name w:val="正文_1_0"/>
    <w:basedOn w:val="44"/>
    <w:next w:val="46"/>
    <w:autoRedefine/>
    <w:qFormat/>
    <w:uiPriority w:val="0"/>
    <w:pPr>
      <w:widowControl w:val="0"/>
      <w:jc w:val="both"/>
    </w:pPr>
    <w:rPr>
      <w:rFonts w:ascii="Calibri" w:hAnsi="Calibri"/>
      <w:kern w:val="2"/>
      <w:sz w:val="21"/>
      <w:szCs w:val="22"/>
      <w:lang w:val="en-US" w:eastAsia="zh-CN" w:bidi="ar-SA"/>
    </w:rPr>
  </w:style>
  <w:style w:type="paragraph" w:customStyle="1" w:styleId="44">
    <w:name w:val="正文_2"/>
    <w:next w:val="45"/>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45">
    <w:name w:val="正文文本_1"/>
    <w:basedOn w:val="43"/>
    <w:autoRedefine/>
    <w:qFormat/>
    <w:uiPriority w:val="0"/>
    <w:pPr>
      <w:adjustRightInd w:val="0"/>
      <w:spacing w:after="60" w:line="360" w:lineRule="atLeast"/>
      <w:ind w:left="72" w:leftChars="30" w:right="30" w:rightChars="30"/>
      <w:jc w:val="center"/>
      <w:textAlignment w:val="baseline"/>
    </w:pPr>
    <w:rPr>
      <w:rFonts w:ascii="Calibri" w:hAnsi="Calibri" w:eastAsia="宋体"/>
    </w:rPr>
  </w:style>
  <w:style w:type="paragraph" w:customStyle="1" w:styleId="46">
    <w:name w:val="正文首行缩进1"/>
    <w:basedOn w:val="47"/>
    <w:autoRedefine/>
    <w:unhideWhenUsed/>
    <w:qFormat/>
    <w:uiPriority w:val="99"/>
    <w:pPr>
      <w:ind w:firstLine="420" w:firstLineChars="100"/>
    </w:pPr>
    <w:rPr>
      <w:szCs w:val="22"/>
    </w:rPr>
  </w:style>
  <w:style w:type="paragraph" w:customStyle="1" w:styleId="47">
    <w:name w:val="正文文本_0_0"/>
    <w:basedOn w:val="48"/>
    <w:autoRedefine/>
    <w:qFormat/>
    <w:uiPriority w:val="0"/>
    <w:pPr>
      <w:spacing w:before="100" w:beforeAutospacing="1" w:after="120"/>
    </w:pPr>
    <w:rPr>
      <w:rFonts w:ascii="Calibri" w:hAnsi="Calibri"/>
    </w:rPr>
  </w:style>
  <w:style w:type="paragraph" w:customStyle="1" w:styleId="48">
    <w:name w:val="正文_1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
    <w:name w:val="正文文本缩进 Char"/>
    <w:link w:val="3"/>
    <w:autoRedefine/>
    <w:qFormat/>
    <w:uiPriority w:val="0"/>
    <w:rPr>
      <w:kern w:val="2"/>
      <w:sz w:val="21"/>
    </w:rPr>
  </w:style>
  <w:style w:type="character" w:customStyle="1" w:styleId="50">
    <w:name w:val="纯文本 Char"/>
    <w:link w:val="19"/>
    <w:autoRedefine/>
    <w:qFormat/>
    <w:uiPriority w:val="99"/>
    <w:rPr>
      <w:rFonts w:ascii="宋体" w:hAnsi="Courier New"/>
      <w:kern w:val="2"/>
      <w:sz w:val="21"/>
    </w:rPr>
  </w:style>
  <w:style w:type="character" w:customStyle="1" w:styleId="51">
    <w:name w:val="正文文本缩进 2 Char"/>
    <w:link w:val="21"/>
    <w:autoRedefine/>
    <w:qFormat/>
    <w:uiPriority w:val="0"/>
    <w:rPr>
      <w:rFonts w:ascii="宋体" w:hAnsi="宋体"/>
      <w:kern w:val="2"/>
      <w:sz w:val="30"/>
      <w:szCs w:val="24"/>
    </w:rPr>
  </w:style>
  <w:style w:type="character" w:customStyle="1" w:styleId="52">
    <w:name w:val="批注框文本 Char"/>
    <w:link w:val="22"/>
    <w:autoRedefine/>
    <w:semiHidden/>
    <w:qFormat/>
    <w:uiPriority w:val="99"/>
    <w:rPr>
      <w:kern w:val="2"/>
      <w:sz w:val="18"/>
      <w:szCs w:val="18"/>
    </w:rPr>
  </w:style>
  <w:style w:type="character" w:customStyle="1" w:styleId="53">
    <w:name w:val="页脚 Char"/>
    <w:link w:val="23"/>
    <w:autoRedefine/>
    <w:qFormat/>
    <w:uiPriority w:val="99"/>
    <w:rPr>
      <w:kern w:val="2"/>
      <w:sz w:val="18"/>
    </w:rPr>
  </w:style>
  <w:style w:type="character" w:customStyle="1" w:styleId="54">
    <w:name w:val="HTML 预设格式 Char"/>
    <w:link w:val="30"/>
    <w:autoRedefine/>
    <w:qFormat/>
    <w:uiPriority w:val="0"/>
    <w:rPr>
      <w:rFonts w:ascii="宋体" w:hAnsi="宋体" w:cs="宋体"/>
      <w:sz w:val="24"/>
      <w:szCs w:val="24"/>
    </w:rPr>
  </w:style>
  <w:style w:type="character" w:customStyle="1" w:styleId="55">
    <w:name w:val="font71"/>
    <w:basedOn w:val="35"/>
    <w:autoRedefine/>
    <w:qFormat/>
    <w:uiPriority w:val="0"/>
    <w:rPr>
      <w:rFonts w:hint="eastAsia" w:ascii="黑体" w:hAnsi="宋体" w:eastAsia="黑体" w:cs="黑体"/>
      <w:color w:val="000000"/>
      <w:sz w:val="36"/>
      <w:szCs w:val="36"/>
      <w:u w:val="none"/>
    </w:rPr>
  </w:style>
  <w:style w:type="character" w:customStyle="1" w:styleId="56">
    <w:name w:val="font51"/>
    <w:basedOn w:val="35"/>
    <w:autoRedefine/>
    <w:qFormat/>
    <w:uiPriority w:val="0"/>
    <w:rPr>
      <w:rFonts w:hint="eastAsia" w:ascii="宋体" w:hAnsi="宋体" w:eastAsia="宋体" w:cs="宋体"/>
      <w:color w:val="000000"/>
      <w:sz w:val="24"/>
      <w:szCs w:val="24"/>
      <w:u w:val="none"/>
    </w:rPr>
  </w:style>
  <w:style w:type="character" w:customStyle="1" w:styleId="57">
    <w:name w:val="font31"/>
    <w:basedOn w:val="35"/>
    <w:autoRedefine/>
    <w:qFormat/>
    <w:uiPriority w:val="0"/>
    <w:rPr>
      <w:rFonts w:hint="default" w:ascii="Times New Roman" w:hAnsi="Times New Roman" w:cs="Times New Roman"/>
      <w:b/>
      <w:color w:val="000000"/>
      <w:sz w:val="24"/>
      <w:szCs w:val="24"/>
      <w:u w:val="none"/>
    </w:rPr>
  </w:style>
  <w:style w:type="character" w:customStyle="1" w:styleId="58">
    <w:name w:val="NormalCharacter"/>
    <w:link w:val="59"/>
    <w:autoRedefine/>
    <w:qFormat/>
    <w:uiPriority w:val="0"/>
  </w:style>
  <w:style w:type="paragraph" w:customStyle="1" w:styleId="59">
    <w:name w:val="UserStyle_5"/>
    <w:basedOn w:val="1"/>
    <w:link w:val="58"/>
    <w:autoRedefine/>
    <w:qFormat/>
    <w:uiPriority w:val="0"/>
    <w:pPr>
      <w:widowControl/>
      <w:spacing w:after="160" w:line="240" w:lineRule="exact"/>
      <w:jc w:val="left"/>
      <w:textAlignment w:val="baseline"/>
    </w:pPr>
  </w:style>
  <w:style w:type="character" w:customStyle="1" w:styleId="60">
    <w:name w:val="font11"/>
    <w:basedOn w:val="35"/>
    <w:autoRedefine/>
    <w:qFormat/>
    <w:uiPriority w:val="0"/>
    <w:rPr>
      <w:rFonts w:hint="eastAsia" w:ascii="宋体" w:hAnsi="宋体" w:eastAsia="宋体" w:cs="宋体"/>
      <w:color w:val="000000"/>
      <w:sz w:val="24"/>
      <w:szCs w:val="24"/>
      <w:u w:val="none"/>
      <w:vertAlign w:val="superscript"/>
    </w:rPr>
  </w:style>
  <w:style w:type="character" w:customStyle="1" w:styleId="61">
    <w:name w:val="Default Text Char"/>
    <w:link w:val="62"/>
    <w:autoRedefine/>
    <w:qFormat/>
    <w:uiPriority w:val="0"/>
    <w:rPr>
      <w:color w:val="000000"/>
      <w:sz w:val="24"/>
      <w:szCs w:val="24"/>
      <w:lang w:val="en-US" w:eastAsia="zh-CN" w:bidi="ar-SA"/>
    </w:rPr>
  </w:style>
  <w:style w:type="paragraph" w:customStyle="1" w:styleId="62">
    <w:name w:val="Default Text"/>
    <w:link w:val="6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3">
    <w:name w:val="font21"/>
    <w:basedOn w:val="35"/>
    <w:autoRedefine/>
    <w:qFormat/>
    <w:uiPriority w:val="0"/>
    <w:rPr>
      <w:rFonts w:hint="default" w:ascii="Times New Roman" w:hAnsi="Times New Roman" w:cs="Times New Roman"/>
      <w:color w:val="000000"/>
      <w:sz w:val="24"/>
      <w:szCs w:val="24"/>
      <w:u w:val="none"/>
      <w:vertAlign w:val="superscript"/>
    </w:rPr>
  </w:style>
  <w:style w:type="character" w:customStyle="1" w:styleId="64">
    <w:name w:val="case31"/>
    <w:autoRedefine/>
    <w:qFormat/>
    <w:uiPriority w:val="0"/>
    <w:rPr>
      <w:rFonts w:hint="default" w:ascii="ˎ̥" w:hAnsi="ˎ̥"/>
      <w:sz w:val="21"/>
      <w:szCs w:val="21"/>
    </w:rPr>
  </w:style>
  <w:style w:type="character" w:customStyle="1" w:styleId="65">
    <w:name w:val="font41"/>
    <w:basedOn w:val="35"/>
    <w:autoRedefine/>
    <w:qFormat/>
    <w:uiPriority w:val="0"/>
    <w:rPr>
      <w:rFonts w:hint="default" w:ascii="Times New Roman" w:hAnsi="Times New Roman" w:cs="Times New Roman"/>
      <w:color w:val="000000"/>
      <w:sz w:val="24"/>
      <w:szCs w:val="24"/>
      <w:u w:val="none"/>
    </w:rPr>
  </w:style>
  <w:style w:type="character" w:customStyle="1" w:styleId="66">
    <w:name w:val="hs14"/>
    <w:basedOn w:val="35"/>
    <w:autoRedefine/>
    <w:qFormat/>
    <w:uiPriority w:val="0"/>
  </w:style>
  <w:style w:type="character" w:customStyle="1" w:styleId="67">
    <w:name w:val="font61"/>
    <w:basedOn w:val="35"/>
    <w:autoRedefine/>
    <w:qFormat/>
    <w:uiPriority w:val="0"/>
    <w:rPr>
      <w:rFonts w:hint="eastAsia" w:ascii="宋体" w:hAnsi="宋体" w:eastAsia="宋体" w:cs="宋体"/>
      <w:b/>
      <w:color w:val="000000"/>
      <w:sz w:val="24"/>
      <w:szCs w:val="24"/>
      <w:u w:val="none"/>
    </w:rPr>
  </w:style>
  <w:style w:type="character" w:customStyle="1" w:styleId="68">
    <w:name w:val="p2"/>
    <w:basedOn w:val="35"/>
    <w:autoRedefine/>
    <w:qFormat/>
    <w:uiPriority w:val="0"/>
  </w:style>
  <w:style w:type="paragraph" w:customStyle="1" w:styleId="69">
    <w:name w:val="标书样式"/>
    <w:basedOn w:val="1"/>
    <w:autoRedefine/>
    <w:qFormat/>
    <w:uiPriority w:val="0"/>
    <w:pPr>
      <w:widowControl/>
      <w:spacing w:line="360" w:lineRule="auto"/>
      <w:ind w:firstLine="200" w:firstLineChars="200"/>
      <w:jc w:val="left"/>
    </w:pPr>
    <w:rPr>
      <w:rFonts w:ascii="Calibri" w:hAnsi="Calibri"/>
      <w:kern w:val="0"/>
      <w:sz w:val="24"/>
      <w:szCs w:val="22"/>
      <w:lang w:eastAsia="en-US" w:bidi="en-US"/>
    </w:rPr>
  </w:style>
  <w:style w:type="paragraph" w:customStyle="1" w:styleId="70">
    <w:name w:val="样式 首行缩进:  2 字符"/>
    <w:basedOn w:val="1"/>
    <w:autoRedefine/>
    <w:qFormat/>
    <w:uiPriority w:val="99"/>
    <w:pPr>
      <w:spacing w:beforeLines="50" w:afterLines="50"/>
      <w:ind w:firstLine="200" w:firstLineChars="200"/>
    </w:pPr>
    <w:rPr>
      <w:rFonts w:eastAsia="仿宋" w:cs="宋体"/>
      <w:sz w:val="24"/>
      <w:szCs w:val="20"/>
    </w:rPr>
  </w:style>
  <w:style w:type="paragraph" w:customStyle="1" w:styleId="71">
    <w:name w:val="WPS Plain"/>
    <w:autoRedefine/>
    <w:qFormat/>
    <w:uiPriority w:val="0"/>
    <w:rPr>
      <w:rFonts w:ascii="Times New Roman" w:hAnsi="Times New Roman" w:eastAsia="宋体" w:cs="Times New Roman"/>
      <w:lang w:val="en-US" w:eastAsia="zh-CN" w:bidi="ar-SA"/>
    </w:rPr>
  </w:style>
  <w:style w:type="paragraph" w:customStyle="1" w:styleId="72">
    <w:name w:val="正文表标题"/>
    <w:next w:val="1"/>
    <w:autoRedefine/>
    <w:qFormat/>
    <w:uiPriority w:val="0"/>
    <w:pPr>
      <w:tabs>
        <w:tab w:val="left" w:pos="360"/>
      </w:tabs>
      <w:ind w:left="360" w:hanging="360"/>
      <w:jc w:val="center"/>
    </w:pPr>
    <w:rPr>
      <w:rFonts w:ascii="黑体" w:hAnsi="Times New Roman" w:eastAsia="黑体" w:cs="Times New Roman"/>
      <w:sz w:val="22"/>
      <w:lang w:val="en-US" w:eastAsia="en-US" w:bidi="en-US"/>
    </w:rPr>
  </w:style>
  <w:style w:type="paragraph" w:customStyle="1" w:styleId="73">
    <w:name w:val="xl2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74">
    <w:name w:val="列出段落1"/>
    <w:basedOn w:val="1"/>
    <w:autoRedefine/>
    <w:qFormat/>
    <w:uiPriority w:val="0"/>
    <w:pPr>
      <w:ind w:firstLine="420" w:firstLineChars="200"/>
    </w:pPr>
    <w:rPr>
      <w:rFonts w:hint="eastAsia"/>
      <w:szCs w:val="24"/>
    </w:rPr>
  </w:style>
  <w:style w:type="paragraph" w:customStyle="1" w:styleId="75">
    <w:name w:val="Body text|1"/>
    <w:basedOn w:val="1"/>
    <w:autoRedefine/>
    <w:qFormat/>
    <w:uiPriority w:val="0"/>
    <w:pPr>
      <w:spacing w:after="170" w:line="410" w:lineRule="auto"/>
      <w:ind w:firstLine="400"/>
    </w:pPr>
    <w:rPr>
      <w:rFonts w:ascii="宋体" w:hAnsi="宋体" w:eastAsia="宋体" w:cs="宋体"/>
      <w:lang w:val="zh-TW" w:eastAsia="zh-TW" w:bidi="zh-TW"/>
    </w:rPr>
  </w:style>
  <w:style w:type="paragraph" w:styleId="76">
    <w:name w:val="List Paragraph"/>
    <w:basedOn w:val="1"/>
    <w:autoRedefine/>
    <w:qFormat/>
    <w:uiPriority w:val="99"/>
    <w:pPr>
      <w:ind w:firstLine="420" w:firstLineChars="200"/>
    </w:pPr>
    <w:rPr>
      <w:rFonts w:ascii="Calibri" w:hAnsi="Calibri" w:eastAsia="仿宋" w:cs="Times New Roman"/>
      <w:sz w:val="32"/>
      <w:szCs w:val="22"/>
    </w:rPr>
  </w:style>
  <w:style w:type="paragraph" w:customStyle="1" w:styleId="77">
    <w:name w:val="p0"/>
    <w:basedOn w:val="1"/>
    <w:autoRedefine/>
    <w:qFormat/>
    <w:uiPriority w:val="0"/>
    <w:pPr>
      <w:widowControl/>
    </w:pPr>
    <w:rPr>
      <w:rFonts w:ascii="Calibri" w:hAnsi="Calibri" w:cs="宋体"/>
      <w:kern w:val="0"/>
      <w:szCs w:val="21"/>
    </w:rPr>
  </w:style>
  <w:style w:type="paragraph" w:customStyle="1" w:styleId="78">
    <w:name w:val="段"/>
    <w:autoRedefine/>
    <w:qFormat/>
    <w:uiPriority w:val="0"/>
    <w:pPr>
      <w:autoSpaceDE w:val="0"/>
      <w:autoSpaceDN w:val="0"/>
      <w:ind w:firstLine="200" w:firstLineChars="200"/>
      <w:jc w:val="both"/>
    </w:pPr>
    <w:rPr>
      <w:rFonts w:ascii="宋体" w:hAnsi="Times New Roman" w:eastAsia="宋体" w:cs="Times New Roman"/>
      <w:sz w:val="22"/>
      <w:lang w:val="en-US" w:eastAsia="en-US" w:bidi="en-US"/>
    </w:rPr>
  </w:style>
  <w:style w:type="paragraph" w:customStyle="1" w:styleId="79">
    <w:name w:val="Char Char Char"/>
    <w:basedOn w:val="11"/>
    <w:autoRedefine/>
    <w:qFormat/>
    <w:uiPriority w:val="0"/>
    <w:rPr>
      <w:rFonts w:ascii="Tahoma" w:hAnsi="Tahoma"/>
      <w:sz w:val="24"/>
      <w:szCs w:val="24"/>
    </w:rPr>
  </w:style>
  <w:style w:type="paragraph" w:customStyle="1" w:styleId="80">
    <w:name w:val="一级标题"/>
    <w:basedOn w:val="17"/>
    <w:next w:val="1"/>
    <w:autoRedefine/>
    <w:qFormat/>
    <w:uiPriority w:val="0"/>
    <w:pPr>
      <w:spacing w:line="360" w:lineRule="auto"/>
    </w:pPr>
    <w:rPr>
      <w:rFonts w:hAnsi="宋体"/>
      <w:sz w:val="72"/>
      <w:szCs w:val="72"/>
    </w:rPr>
  </w:style>
  <w:style w:type="paragraph" w:customStyle="1" w:styleId="81">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2">
    <w:name w:val="List Paragraph1"/>
    <w:basedOn w:val="1"/>
    <w:autoRedefine/>
    <w:qFormat/>
    <w:uiPriority w:val="34"/>
    <w:pPr>
      <w:ind w:firstLine="420" w:firstLineChars="200"/>
    </w:pPr>
    <w:rPr>
      <w:rFonts w:ascii="Calibri" w:hAnsi="Calibri"/>
      <w:szCs w:val="24"/>
    </w:rPr>
  </w:style>
  <w:style w:type="paragraph" w:customStyle="1" w:styleId="83">
    <w:name w:val=" Char Char Char Char"/>
    <w:basedOn w:val="1"/>
    <w:autoRedefine/>
    <w:qFormat/>
    <w:uiPriority w:val="0"/>
    <w:pPr>
      <w:widowControl/>
      <w:spacing w:after="160" w:line="240" w:lineRule="exact"/>
      <w:jc w:val="left"/>
    </w:pPr>
    <w:rPr>
      <w:rFonts w:ascii="Verdana" w:hAnsi="Verdana" w:cs="Verdana"/>
      <w:kern w:val="0"/>
      <w:szCs w:val="21"/>
      <w:lang w:eastAsia="en-US"/>
    </w:rPr>
  </w:style>
  <w:style w:type="paragraph" w:customStyle="1" w:styleId="84">
    <w:name w:val="文件正文"/>
    <w:link w:val="85"/>
    <w:autoRedefine/>
    <w:qFormat/>
    <w:uiPriority w:val="0"/>
    <w:pPr>
      <w:ind w:firstLine="200" w:firstLineChars="200"/>
      <w:jc w:val="both"/>
    </w:pPr>
    <w:rPr>
      <w:rFonts w:ascii="Times New Roman" w:hAnsi="Times New Roman" w:eastAsia="仿宋" w:cs="Times New Roman"/>
      <w:sz w:val="32"/>
      <w:lang w:val="en-US" w:eastAsia="zh-CN" w:bidi="ar-SA"/>
    </w:rPr>
  </w:style>
  <w:style w:type="character" w:customStyle="1" w:styleId="85">
    <w:name w:val="文件正文 Char"/>
    <w:link w:val="84"/>
    <w:autoRedefine/>
    <w:qFormat/>
    <w:uiPriority w:val="0"/>
    <w:rPr>
      <w:rFonts w:eastAsia="仿宋"/>
      <w:sz w:val="32"/>
      <w:lang w:val="en-US" w:eastAsia="zh-CN" w:bidi="ar-SA"/>
    </w:rPr>
  </w:style>
  <w:style w:type="paragraph" w:customStyle="1" w:styleId="86">
    <w:name w:val="±í¸ñÎÄ±¾"/>
    <w:basedOn w:val="1"/>
    <w:autoRedefine/>
    <w:qFormat/>
    <w:uiPriority w:val="0"/>
    <w:pPr>
      <w:widowControl/>
      <w:tabs>
        <w:tab w:val="decimal" w:pos="0"/>
      </w:tabs>
      <w:overflowPunct w:val="0"/>
      <w:autoSpaceDE w:val="0"/>
      <w:autoSpaceDN w:val="0"/>
      <w:adjustRightInd w:val="0"/>
      <w:textAlignment w:val="baseline"/>
    </w:pPr>
    <w:rPr>
      <w:kern w:val="0"/>
      <w:sz w:val="24"/>
      <w:lang w:val="zh-CN" w:eastAsia="zh-CN"/>
    </w:rPr>
  </w:style>
  <w:style w:type="paragraph" w:customStyle="1" w:styleId="87">
    <w:name w:val="WPSOffice手动目录 1"/>
    <w:autoRedefine/>
    <w:qFormat/>
    <w:uiPriority w:val="0"/>
    <w:rPr>
      <w:rFonts w:ascii="Times New Roman" w:hAnsi="Times New Roman" w:eastAsia="宋体" w:cs="Times New Roman"/>
      <w:lang w:val="en-US" w:eastAsia="zh-CN" w:bidi="ar-SA"/>
    </w:rPr>
  </w:style>
  <w:style w:type="paragraph" w:customStyle="1" w:styleId="88">
    <w:name w:val=" Char Char Char"/>
    <w:basedOn w:val="11"/>
    <w:autoRedefine/>
    <w:qFormat/>
    <w:uiPriority w:val="0"/>
    <w:rPr>
      <w:rFonts w:ascii="Tahoma" w:hAnsi="Tahoma"/>
      <w:sz w:val="24"/>
      <w:szCs w:val="24"/>
    </w:rPr>
  </w:style>
  <w:style w:type="table" w:customStyle="1" w:styleId="89">
    <w:name w:val="网格型11"/>
    <w:basedOn w:val="3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0">
    <w:name w:val="正文1"/>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91">
    <w:name w:val="正文_1_1"/>
    <w:autoRedefine/>
    <w:qFormat/>
    <w:uiPriority w:val="0"/>
    <w:pPr>
      <w:widowControl w:val="0"/>
      <w:jc w:val="both"/>
    </w:pPr>
    <w:rPr>
      <w:rFonts w:ascii="Calibri" w:hAnsi="Calibri" w:eastAsia="宋体" w:cs="Times New Roman"/>
      <w:lang w:val="en-US" w:eastAsia="zh-CN" w:bidi="ar-SA"/>
    </w:rPr>
  </w:style>
  <w:style w:type="paragraph" w:customStyle="1" w:styleId="92">
    <w:name w:val="BodyText1I2"/>
    <w:basedOn w:val="93"/>
    <w:autoRedefine/>
    <w:qFormat/>
    <w:uiPriority w:val="0"/>
    <w:pPr>
      <w:spacing w:after="120" w:line="240" w:lineRule="auto"/>
      <w:ind w:left="420" w:leftChars="200" w:firstLine="420" w:firstLineChars="200"/>
      <w:jc w:val="both"/>
    </w:pPr>
    <w:rPr>
      <w:rFonts w:ascii="Times New Roman" w:hAnsi="Times New Roman" w:eastAsia="宋体" w:cs="Times New Roman"/>
      <w:kern w:val="2"/>
      <w:sz w:val="21"/>
    </w:rPr>
  </w:style>
  <w:style w:type="paragraph" w:customStyle="1" w:styleId="93">
    <w:name w:val="BodyTextIndent"/>
    <w:basedOn w:val="1"/>
    <w:next w:val="94"/>
    <w:autoRedefine/>
    <w:qFormat/>
    <w:uiPriority w:val="0"/>
    <w:pPr>
      <w:spacing w:line="360" w:lineRule="auto"/>
      <w:ind w:firstLine="480"/>
      <w:jc w:val="left"/>
      <w:textAlignment w:val="baseline"/>
    </w:pPr>
    <w:rPr>
      <w:rFonts w:ascii="宋体" w:hAnsi="宋体" w:eastAsia="宋体" w:cs="Times New Roman"/>
      <w:kern w:val="0"/>
      <w:sz w:val="24"/>
    </w:rPr>
  </w:style>
  <w:style w:type="paragraph" w:customStyle="1" w:styleId="94">
    <w:name w:val="EnvelopeReturn"/>
    <w:basedOn w:val="1"/>
    <w:autoRedefine/>
    <w:qFormat/>
    <w:uiPriority w:val="0"/>
    <w:pPr>
      <w:snapToGrid w:val="0"/>
      <w:textAlignment w:val="baseline"/>
    </w:pPr>
    <w:rPr>
      <w:rFonts w:ascii="Arial" w:hAnsi="Arial" w:eastAsia="宋体" w:cs="Times New Roman"/>
    </w:rPr>
  </w:style>
  <w:style w:type="paragraph" w:customStyle="1" w:styleId="95">
    <w:name w:val="Normal_3"/>
    <w:autoRedefine/>
    <w:qFormat/>
    <w:uiPriority w:val="0"/>
    <w:rPr>
      <w:rFonts w:ascii="黑体" w:hAnsi="黑体" w:eastAsia="黑体" w:cs="Times New Roman"/>
      <w:b/>
      <w:sz w:val="32"/>
      <w:szCs w:val="24"/>
      <w:lang w:val="en-US" w:eastAsia="zh-CN" w:bidi="ar-SA"/>
    </w:rPr>
  </w:style>
  <w:style w:type="paragraph" w:customStyle="1" w:styleId="96">
    <w:name w:val="Normal_11"/>
    <w:autoRedefine/>
    <w:qFormat/>
    <w:uiPriority w:val="0"/>
    <w:rPr>
      <w:rFonts w:ascii="黑体" w:hAnsi="黑体" w:eastAsia="黑体" w:cs="Times New Roman"/>
      <w:b/>
      <w:sz w:val="32"/>
      <w:szCs w:val="24"/>
      <w:lang w:val="en-US" w:eastAsia="zh-CN" w:bidi="ar-SA"/>
    </w:rPr>
  </w:style>
  <w:style w:type="paragraph" w:customStyle="1" w:styleId="97">
    <w:name w:val="日期_0"/>
    <w:basedOn w:val="98"/>
    <w:next w:val="99"/>
    <w:autoRedefine/>
    <w:qFormat/>
    <w:uiPriority w:val="0"/>
    <w:pPr>
      <w:ind w:left="100" w:leftChars="2500"/>
    </w:pPr>
    <w:rPr>
      <w:rFonts w:ascii="Times New Roman" w:hAnsi="Times New Roman" w:eastAsia="宋体"/>
      <w:szCs w:val="24"/>
    </w:rPr>
  </w:style>
  <w:style w:type="paragraph" w:customStyle="1" w:styleId="98">
    <w:name w:val="正文_5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
    <w:name w:val="正文_12"/>
    <w:autoRedefine/>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Normal_8"/>
    <w:autoRedefine/>
    <w:qFormat/>
    <w:uiPriority w:val="0"/>
    <w:rPr>
      <w:rFonts w:ascii="黑体" w:hAnsi="黑体" w:eastAsia="黑体" w:cs="Times New Roman"/>
      <w:b/>
      <w:sz w:val="32"/>
      <w:szCs w:val="24"/>
      <w:lang w:val="en-US" w:eastAsia="zh-CN" w:bidi="ar-SA"/>
    </w:rPr>
  </w:style>
  <w:style w:type="paragraph" w:customStyle="1" w:styleId="101">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02">
    <w:name w:val="Normal_17"/>
    <w:autoRedefine/>
    <w:qFormat/>
    <w:uiPriority w:val="0"/>
    <w:rPr>
      <w:rFonts w:ascii="黑体" w:hAnsi="黑体" w:eastAsia="黑体" w:cs="Times New Roman"/>
      <w:b/>
      <w:sz w:val="32"/>
      <w:szCs w:val="24"/>
      <w:lang w:val="en-US" w:eastAsia="zh-CN" w:bidi="ar-SA"/>
    </w:rPr>
  </w:style>
  <w:style w:type="paragraph" w:customStyle="1" w:styleId="103">
    <w:name w:val="正文文本_1_0"/>
    <w:basedOn w:val="104"/>
    <w:autoRedefine/>
    <w:qFormat/>
    <w:uiPriority w:val="0"/>
    <w:pPr>
      <w:spacing w:after="120"/>
    </w:pPr>
    <w:rPr>
      <w:rFonts w:ascii="Times New Roman" w:hAnsi="Times New Roman" w:eastAsia="宋体"/>
      <w:szCs w:val="24"/>
    </w:rPr>
  </w:style>
  <w:style w:type="paragraph" w:customStyle="1" w:styleId="104">
    <w:name w:val="正文_0_2_0"/>
    <w:autoRedefine/>
    <w:semiHidden/>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5">
    <w:name w:val="Table Paragraph"/>
    <w:basedOn w:val="104"/>
    <w:autoRedefine/>
    <w:semiHidden/>
    <w:qFormat/>
    <w:uiPriority w:val="0"/>
    <w:pPr>
      <w:jc w:val="left"/>
    </w:pPr>
    <w:rPr>
      <w:kern w:val="0"/>
      <w:sz w:val="22"/>
      <w:szCs w:val="22"/>
      <w:lang w:eastAsia="en-US"/>
    </w:rPr>
  </w:style>
  <w:style w:type="paragraph" w:customStyle="1" w:styleId="106">
    <w:name w:val="正文_0_1_0"/>
    <w:autoRedefine/>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正文_1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
    <w:name w:val="Normal_7"/>
    <w:autoRedefine/>
    <w:qFormat/>
    <w:uiPriority w:val="0"/>
    <w:rPr>
      <w:rFonts w:ascii="黑体" w:hAnsi="黑体" w:eastAsia="黑体" w:cs="Times New Roman"/>
      <w:b/>
      <w:sz w:val="32"/>
      <w:szCs w:val="24"/>
      <w:lang w:val="en-US" w:eastAsia="zh-CN" w:bidi="ar-SA"/>
    </w:rPr>
  </w:style>
  <w:style w:type="paragraph" w:customStyle="1" w:styleId="109">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Normal_14"/>
    <w:autoRedefine/>
    <w:qFormat/>
    <w:uiPriority w:val="0"/>
    <w:rPr>
      <w:rFonts w:ascii="黑体" w:hAnsi="黑体" w:eastAsia="黑体" w:cs="Times New Roman"/>
      <w:b/>
      <w:sz w:val="32"/>
      <w:szCs w:val="24"/>
      <w:lang w:val="en-US" w:eastAsia="zh-CN" w:bidi="ar-SA"/>
    </w:rPr>
  </w:style>
  <w:style w:type="paragraph" w:customStyle="1" w:styleId="111">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12">
    <w:name w:val="标题 3_0_0"/>
    <w:basedOn w:val="111"/>
    <w:next w:val="111"/>
    <w:autoRedefine/>
    <w:qFormat/>
    <w:uiPriority w:val="0"/>
    <w:pPr>
      <w:autoSpaceDE w:val="0"/>
      <w:autoSpaceDN w:val="0"/>
      <w:adjustRightInd w:val="0"/>
      <w:spacing w:line="500" w:lineRule="exact"/>
      <w:jc w:val="center"/>
      <w:outlineLvl w:val="2"/>
    </w:pPr>
    <w:rPr>
      <w:rFonts w:ascii="宋体" w:hAnsi="宋体" w:eastAsia="宋体"/>
      <w:b/>
      <w:szCs w:val="28"/>
    </w:rPr>
  </w:style>
  <w:style w:type="paragraph" w:customStyle="1" w:styleId="113">
    <w:name w:val="正文_4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4">
    <w:name w:val="Normal_10"/>
    <w:autoRedefine/>
    <w:qFormat/>
    <w:uiPriority w:val="0"/>
    <w:rPr>
      <w:rFonts w:ascii="黑体" w:hAnsi="黑体" w:eastAsia="黑体" w:cs="Times New Roman"/>
      <w:b/>
      <w:sz w:val="32"/>
      <w:szCs w:val="24"/>
      <w:lang w:val="en-US" w:eastAsia="zh-CN" w:bidi="ar-SA"/>
    </w:rPr>
  </w:style>
  <w:style w:type="paragraph" w:customStyle="1" w:styleId="115">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6">
    <w:name w:val="正文_0_0_2"/>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17">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18">
    <w:name w:val="正文_1_1_0_0"/>
    <w:autoRedefine/>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4_0_0_0"/>
    <w:autoRedefine/>
    <w:semiHidden/>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正文文本缩进_2_0"/>
    <w:basedOn w:val="121"/>
    <w:autoRedefine/>
    <w:unhideWhenUsed/>
    <w:qFormat/>
    <w:uiPriority w:val="99"/>
    <w:pPr>
      <w:spacing w:after="120"/>
      <w:ind w:left="420" w:leftChars="200"/>
    </w:pPr>
    <w:rPr>
      <w:rFonts w:ascii="Calibri" w:hAnsi="Calibri" w:eastAsia="宋体"/>
    </w:rPr>
  </w:style>
  <w:style w:type="paragraph" w:customStyle="1" w:styleId="121">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题注_0"/>
    <w:basedOn w:val="121"/>
    <w:next w:val="121"/>
    <w:autoRedefine/>
    <w:qFormat/>
    <w:uiPriority w:val="0"/>
    <w:pPr>
      <w:spacing w:before="152" w:after="160"/>
    </w:pPr>
    <w:rPr>
      <w:rFonts w:ascii="Arial" w:hAnsi="Arial" w:eastAsia="黑体" w:cs="Arial"/>
      <w:sz w:val="20"/>
      <w:szCs w:val="20"/>
    </w:rPr>
  </w:style>
  <w:style w:type="paragraph" w:customStyle="1" w:styleId="123">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Normal_19"/>
    <w:autoRedefine/>
    <w:qFormat/>
    <w:uiPriority w:val="0"/>
    <w:rPr>
      <w:rFonts w:ascii="黑体" w:hAnsi="黑体" w:eastAsia="黑体" w:cs="Times New Roman"/>
      <w:b/>
      <w:sz w:val="32"/>
      <w:szCs w:val="24"/>
      <w:lang w:val="en-US" w:eastAsia="zh-CN" w:bidi="ar-SA"/>
    </w:rPr>
  </w:style>
  <w:style w:type="paragraph" w:customStyle="1" w:styleId="125">
    <w:name w:val="Style1"/>
    <w:basedOn w:val="1"/>
    <w:autoRedefine/>
    <w:qFormat/>
    <w:uiPriority w:val="0"/>
    <w:pPr>
      <w:widowControl/>
      <w:tabs>
        <w:tab w:val="left" w:pos="-720"/>
      </w:tabs>
      <w:spacing w:after="120" w:afterLines="0"/>
    </w:pPr>
    <w:rPr>
      <w:rFonts w:ascii="Times New Roman" w:hAnsi="Times New Roman" w:eastAsia="宋体" w:cs="Times New Roman"/>
      <w:spacing w:val="-3"/>
      <w:kern w:val="0"/>
      <w:sz w:val="24"/>
      <w:szCs w:val="20"/>
      <w:lang w:val="en-AU" w:eastAsia="en-US"/>
    </w:rPr>
  </w:style>
  <w:style w:type="paragraph" w:customStyle="1" w:styleId="126">
    <w:name w:val="正文_3"/>
    <w:basedOn w:val="44"/>
    <w:next w:val="32"/>
    <w:autoRedefine/>
    <w:qFormat/>
    <w:uiPriority w:val="0"/>
    <w:pPr>
      <w:widowControl w:val="0"/>
      <w:jc w:val="both"/>
    </w:pPr>
    <w:rPr>
      <w:kern w:val="2"/>
      <w:sz w:val="21"/>
      <w:szCs w:val="24"/>
      <w:lang w:val="en-US" w:eastAsia="zh-CN" w:bidi="ar-SA"/>
    </w:rPr>
  </w:style>
  <w:style w:type="paragraph" w:customStyle="1" w:styleId="127">
    <w:name w:val="Heading3"/>
    <w:basedOn w:val="1"/>
    <w:next w:val="1"/>
    <w:autoRedefine/>
    <w:qFormat/>
    <w:uiPriority w:val="0"/>
    <w:pPr>
      <w:widowControl/>
      <w:spacing w:after="50" w:line="360" w:lineRule="auto"/>
      <w:ind w:left="-4"/>
      <w:jc w:val="left"/>
      <w:textAlignment w:val="baseline"/>
    </w:pPr>
    <w:rPr>
      <w:rFonts w:ascii="宋体" w:hAnsi="宋体" w:cs="Times New Roman"/>
      <w:b/>
      <w:color w:val="000000"/>
      <w:kern w:val="0"/>
      <w:sz w:val="30"/>
      <w:lang w:val="en-GB"/>
    </w:rPr>
  </w:style>
  <w:style w:type="paragraph" w:customStyle="1" w:styleId="128">
    <w:name w:val="正文缩进1"/>
    <w:basedOn w:val="1"/>
    <w:autoRedefine/>
    <w:qFormat/>
    <w:uiPriority w:val="99"/>
    <w:pPr>
      <w:ind w:firstLine="420" w:firstLineChars="200"/>
    </w:pPr>
    <w:rPr>
      <w:rFonts w:ascii="Calibri" w:hAnsi="Calibri"/>
    </w:rPr>
  </w:style>
  <w:style w:type="paragraph" w:customStyle="1" w:styleId="12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3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79</Pages>
  <Words>24025</Words>
  <Characters>27124</Characters>
  <Lines>206</Lines>
  <Paragraphs>58</Paragraphs>
  <TotalTime>61</TotalTime>
  <ScaleCrop>false</ScaleCrop>
  <LinksUpToDate>false</LinksUpToDate>
  <CharactersWithSpaces>27165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2023-05-09T10:40:00Z</dcterms:created>
  <dc:creator>李霆</dc:creator>
  <cp:lastModifiedBy>009xk</cp:lastModifiedBy>
  <cp:lastPrinted>2025-06-26T09:44:00Z</cp:lastPrinted>
  <dcterms:modified xsi:type="dcterms:W3CDTF">2025-07-10T08:15:25Z</dcterms:modified>
  <dc:title>新疆维吾尔自治区政府采购中心</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E7306721DCE540929CCDBE5288CC082D_13</vt:lpwstr>
  </property>
  <property fmtid="{D5CDD505-2E9C-101B-9397-08002B2CF9AE}" pid="4" name="KSOTemplateDocerSaveRecord">
    <vt:lpwstr>eyJoZGlkIjoiZjkzODJkOWMyZTEzZjk2NzU3N2EyNTc1ODQ3YTNhNDYiLCJ1c2VySWQiOiI1MDI5Mzg1MTgifQ==</vt:lpwstr>
  </property>
</Properties>
</file>