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61A5">
      <w:pPr>
        <w:snapToGrid w:val="0"/>
        <w:spacing w:after="120" w:line="540" w:lineRule="exact"/>
        <w:jc w:val="left"/>
        <w:rPr>
          <w:rFonts w:ascii="宋体" w:hAnsi="宋体"/>
          <w:color w:val="auto"/>
          <w:sz w:val="44"/>
          <w:highlight w:val="none"/>
        </w:rPr>
      </w:pPr>
    </w:p>
    <w:p w14:paraId="422081AD">
      <w:pPr>
        <w:snapToGrid w:val="0"/>
        <w:spacing w:line="360" w:lineRule="auto"/>
        <w:jc w:val="center"/>
        <w:rPr>
          <w:rStyle w:val="43"/>
          <w:color w:val="auto"/>
          <w:sz w:val="36"/>
          <w:szCs w:val="36"/>
          <w:highlight w:val="none"/>
        </w:rPr>
      </w:pPr>
      <w:r>
        <w:rPr>
          <w:rFonts w:hint="eastAsia" w:ascii="宋体" w:hAnsi="宋体"/>
          <w:b/>
          <w:color w:val="auto"/>
          <w:sz w:val="52"/>
          <w:szCs w:val="52"/>
          <w:highlight w:val="none"/>
        </w:rPr>
        <w:t xml:space="preserve">招 标 </w:t>
      </w:r>
      <w:r>
        <w:rPr>
          <w:rFonts w:ascii="宋体" w:hAnsi="宋体"/>
          <w:b/>
          <w:color w:val="auto"/>
          <w:sz w:val="52"/>
          <w:szCs w:val="52"/>
          <w:highlight w:val="none"/>
        </w:rPr>
        <w:t>文</w:t>
      </w:r>
      <w:r>
        <w:rPr>
          <w:rFonts w:hint="eastAsia" w:ascii="宋体" w:hAnsi="宋体"/>
          <w:b/>
          <w:color w:val="auto"/>
          <w:sz w:val="52"/>
          <w:szCs w:val="52"/>
          <w:highlight w:val="none"/>
        </w:rPr>
        <w:t xml:space="preserve"> </w:t>
      </w:r>
      <w:r>
        <w:rPr>
          <w:rFonts w:ascii="宋体" w:hAnsi="宋体"/>
          <w:b/>
          <w:color w:val="auto"/>
          <w:sz w:val="52"/>
          <w:szCs w:val="52"/>
          <w:highlight w:val="none"/>
        </w:rPr>
        <w:t>件</w:t>
      </w:r>
    </w:p>
    <w:p w14:paraId="224C39F5">
      <w:pPr>
        <w:snapToGrid w:val="0"/>
        <w:jc w:val="center"/>
        <w:rPr>
          <w:rStyle w:val="43"/>
          <w:rFonts w:cs="仿宋"/>
          <w:b w:val="0"/>
          <w:bCs/>
          <w:color w:val="auto"/>
          <w:highlight w:val="none"/>
        </w:rPr>
      </w:pPr>
    </w:p>
    <w:p w14:paraId="672F8064">
      <w:pPr>
        <w:snapToGrid w:val="0"/>
        <w:jc w:val="center"/>
        <w:rPr>
          <w:rStyle w:val="43"/>
          <w:rFonts w:cs="仿宋"/>
          <w:b w:val="0"/>
          <w:bCs/>
          <w:color w:val="auto"/>
          <w:highlight w:val="none"/>
        </w:rPr>
      </w:pPr>
    </w:p>
    <w:p w14:paraId="3B56CC11">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项目名称：</w:t>
      </w:r>
      <w:r>
        <w:rPr>
          <w:rStyle w:val="41"/>
          <w:rFonts w:hint="eastAsia" w:ascii="宋体" w:hAnsi="宋体"/>
          <w:bCs/>
          <w:color w:val="auto"/>
          <w:sz w:val="24"/>
          <w:highlight w:val="none"/>
          <w:lang w:eastAsia="zh-CN"/>
        </w:rPr>
        <w:t>乌鲁木齐市民生实事燃气、一氧化碳报警设备（含安装）采购项目</w:t>
      </w:r>
    </w:p>
    <w:p w14:paraId="6287D26C">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项目编号：</w:t>
      </w:r>
      <w:r>
        <w:rPr>
          <w:rStyle w:val="41"/>
          <w:rFonts w:hint="eastAsia" w:ascii="宋体" w:hAnsi="宋体"/>
          <w:bCs/>
          <w:color w:val="auto"/>
          <w:sz w:val="24"/>
          <w:highlight w:val="none"/>
          <w:lang w:eastAsia="zh-CN"/>
        </w:rPr>
        <w:t>ZYHX-RHY-202503（</w:t>
      </w:r>
      <w:r>
        <w:rPr>
          <w:rStyle w:val="41"/>
          <w:rFonts w:hint="eastAsia" w:ascii="宋体" w:hAnsi="宋体"/>
          <w:bCs/>
          <w:color w:val="auto"/>
          <w:sz w:val="24"/>
          <w:highlight w:val="none"/>
          <w:lang w:val="en-US" w:eastAsia="zh-CN"/>
        </w:rPr>
        <w:t>2</w:t>
      </w:r>
      <w:r>
        <w:rPr>
          <w:rStyle w:val="41"/>
          <w:rFonts w:hint="eastAsia" w:ascii="宋体" w:hAnsi="宋体"/>
          <w:bCs/>
          <w:color w:val="auto"/>
          <w:sz w:val="24"/>
          <w:highlight w:val="none"/>
          <w:lang w:eastAsia="zh-CN"/>
        </w:rPr>
        <w:t>）</w:t>
      </w:r>
    </w:p>
    <w:p w14:paraId="6E719D45">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采购人（盖章）:</w:t>
      </w:r>
      <w:r>
        <w:rPr>
          <w:rStyle w:val="41"/>
          <w:rFonts w:hint="eastAsia" w:ascii="宋体" w:hAnsi="宋体"/>
          <w:bCs/>
          <w:color w:val="auto"/>
          <w:sz w:val="24"/>
          <w:highlight w:val="none"/>
          <w:lang w:eastAsia="zh-CN"/>
        </w:rPr>
        <w:t>乌鲁木齐市应急管理局（市矿山安全监督管理局）</w:t>
      </w:r>
    </w:p>
    <w:p w14:paraId="200BDC06">
      <w:pPr>
        <w:snapToGrid w:val="0"/>
        <w:spacing w:line="480" w:lineRule="auto"/>
        <w:ind w:firstLine="357"/>
        <w:rPr>
          <w:rStyle w:val="41"/>
          <w:rFonts w:ascii="宋体" w:hAnsi="宋体"/>
          <w:bCs/>
          <w:color w:val="auto"/>
          <w:sz w:val="24"/>
          <w:highlight w:val="none"/>
        </w:rPr>
      </w:pPr>
      <w:r>
        <w:rPr>
          <w:rStyle w:val="41"/>
          <w:rFonts w:hint="eastAsia" w:ascii="宋体" w:hAnsi="宋体"/>
          <w:bCs/>
          <w:color w:val="auto"/>
          <w:sz w:val="24"/>
          <w:highlight w:val="none"/>
        </w:rPr>
        <w:t>法定代表人（签章）:/</w:t>
      </w:r>
    </w:p>
    <w:p w14:paraId="0117F831">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联系人：</w:t>
      </w:r>
      <w:r>
        <w:rPr>
          <w:rStyle w:val="41"/>
          <w:rFonts w:hint="eastAsia" w:ascii="宋体" w:hAnsi="宋体"/>
          <w:bCs/>
          <w:color w:val="auto"/>
          <w:sz w:val="24"/>
          <w:highlight w:val="none"/>
          <w:lang w:val="en-US" w:eastAsia="zh-CN"/>
        </w:rPr>
        <w:t>陆健</w:t>
      </w:r>
    </w:p>
    <w:p w14:paraId="0DE83A0C">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电话：</w:t>
      </w:r>
      <w:r>
        <w:rPr>
          <w:rStyle w:val="41"/>
          <w:rFonts w:hint="eastAsia" w:ascii="宋体" w:hAnsi="宋体"/>
          <w:bCs/>
          <w:color w:val="auto"/>
          <w:sz w:val="24"/>
          <w:highlight w:val="none"/>
          <w:lang w:val="en-US" w:eastAsia="zh-CN"/>
        </w:rPr>
        <w:t xml:space="preserve"> 0991-4671820</w:t>
      </w:r>
    </w:p>
    <w:p w14:paraId="1E482FCD">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详细地址：</w:t>
      </w:r>
      <w:r>
        <w:rPr>
          <w:rStyle w:val="41"/>
          <w:rFonts w:hint="eastAsia" w:ascii="宋体" w:hAnsi="宋体"/>
          <w:bCs/>
          <w:color w:val="auto"/>
          <w:sz w:val="24"/>
          <w:highlight w:val="none"/>
          <w:lang w:eastAsia="zh-CN"/>
        </w:rPr>
        <w:t>乌鲁木齐市水磨沟区准噶尔街299号益民大厦B区三楼</w:t>
      </w:r>
    </w:p>
    <w:p w14:paraId="491B5836">
      <w:pPr>
        <w:snapToGrid w:val="0"/>
        <w:spacing w:line="480" w:lineRule="auto"/>
        <w:ind w:firstLine="357"/>
        <w:rPr>
          <w:rStyle w:val="41"/>
          <w:rFonts w:ascii="宋体" w:hAnsi="宋体"/>
          <w:bCs/>
          <w:color w:val="auto"/>
          <w:sz w:val="24"/>
          <w:highlight w:val="none"/>
        </w:rPr>
      </w:pPr>
    </w:p>
    <w:p w14:paraId="5BCABB21">
      <w:pPr>
        <w:snapToGrid w:val="0"/>
        <w:spacing w:line="480" w:lineRule="auto"/>
        <w:ind w:firstLine="357"/>
        <w:rPr>
          <w:rStyle w:val="41"/>
          <w:rFonts w:ascii="宋体" w:hAnsi="宋体"/>
          <w:bCs/>
          <w:color w:val="auto"/>
          <w:sz w:val="24"/>
          <w:highlight w:val="none"/>
        </w:rPr>
      </w:pPr>
    </w:p>
    <w:p w14:paraId="5E17F8FD">
      <w:pPr>
        <w:snapToGrid w:val="0"/>
        <w:spacing w:line="480" w:lineRule="auto"/>
        <w:ind w:firstLine="357"/>
        <w:rPr>
          <w:rStyle w:val="41"/>
          <w:rFonts w:hint="eastAsia" w:ascii="宋体" w:hAnsi="宋体" w:eastAsia="宋体"/>
          <w:bCs/>
          <w:color w:val="auto"/>
          <w:sz w:val="24"/>
          <w:highlight w:val="none"/>
          <w:lang w:eastAsia="zh-CN"/>
        </w:rPr>
      </w:pPr>
      <w:r>
        <w:rPr>
          <w:rStyle w:val="41"/>
          <w:rFonts w:hint="eastAsia" w:ascii="宋体" w:hAnsi="宋体"/>
          <w:bCs/>
          <w:color w:val="auto"/>
          <w:sz w:val="24"/>
          <w:highlight w:val="none"/>
        </w:rPr>
        <w:t>采购代理机构</w:t>
      </w:r>
      <w:r>
        <w:rPr>
          <w:rStyle w:val="41"/>
          <w:rFonts w:ascii="宋体" w:hAnsi="宋体"/>
          <w:bCs/>
          <w:color w:val="auto"/>
          <w:sz w:val="24"/>
          <w:highlight w:val="none"/>
        </w:rPr>
        <w:t>（盖章）:</w:t>
      </w:r>
      <w:r>
        <w:rPr>
          <w:rStyle w:val="41"/>
          <w:rFonts w:hint="eastAsia" w:ascii="宋体" w:hAnsi="宋体"/>
          <w:bCs/>
          <w:color w:val="auto"/>
          <w:sz w:val="24"/>
          <w:highlight w:val="none"/>
          <w:lang w:eastAsia="zh-CN"/>
        </w:rPr>
        <w:t>新疆泽源和忻项目管理咨询有限公司</w:t>
      </w:r>
    </w:p>
    <w:p w14:paraId="18F80E83">
      <w:pPr>
        <w:snapToGrid w:val="0"/>
        <w:spacing w:line="480" w:lineRule="auto"/>
        <w:ind w:firstLine="357"/>
        <w:rPr>
          <w:rFonts w:ascii="宋体" w:hAnsi="宋体"/>
          <w:bCs/>
          <w:color w:val="auto"/>
          <w:sz w:val="24"/>
          <w:highlight w:val="none"/>
        </w:rPr>
      </w:pPr>
      <w:r>
        <w:rPr>
          <w:rStyle w:val="41"/>
          <w:rFonts w:ascii="宋体" w:hAnsi="宋体"/>
          <w:bCs/>
          <w:color w:val="auto"/>
          <w:spacing w:val="35"/>
          <w:kern w:val="0"/>
          <w:sz w:val="24"/>
          <w:highlight w:val="none"/>
        </w:rPr>
        <w:t>法定代表</w:t>
      </w:r>
      <w:r>
        <w:rPr>
          <w:rStyle w:val="41"/>
          <w:rFonts w:ascii="宋体" w:hAnsi="宋体"/>
          <w:bCs/>
          <w:color w:val="auto"/>
          <w:spacing w:val="3"/>
          <w:kern w:val="0"/>
          <w:sz w:val="24"/>
          <w:highlight w:val="none"/>
        </w:rPr>
        <w:t>人</w:t>
      </w:r>
      <w:r>
        <w:rPr>
          <w:rStyle w:val="41"/>
          <w:rFonts w:ascii="宋体" w:hAnsi="宋体"/>
          <w:bCs/>
          <w:color w:val="auto"/>
          <w:sz w:val="24"/>
          <w:highlight w:val="none"/>
        </w:rPr>
        <w:t>（盖章）:</w:t>
      </w:r>
    </w:p>
    <w:p w14:paraId="451AF325">
      <w:pPr>
        <w:snapToGrid w:val="0"/>
        <w:spacing w:line="480" w:lineRule="auto"/>
        <w:ind w:firstLine="357"/>
        <w:rPr>
          <w:rStyle w:val="41"/>
          <w:rFonts w:ascii="宋体" w:hAnsi="宋体"/>
          <w:bCs/>
          <w:color w:val="auto"/>
          <w:sz w:val="24"/>
          <w:highlight w:val="none"/>
        </w:rPr>
      </w:pPr>
      <w:r>
        <w:rPr>
          <w:rStyle w:val="41"/>
          <w:rFonts w:ascii="宋体" w:hAnsi="宋体"/>
          <w:bCs/>
          <w:color w:val="auto"/>
          <w:spacing w:val="35"/>
          <w:kern w:val="0"/>
          <w:sz w:val="24"/>
          <w:highlight w:val="none"/>
        </w:rPr>
        <w:t>项</w:t>
      </w:r>
      <w:r>
        <w:rPr>
          <w:rStyle w:val="41"/>
          <w:rFonts w:hint="eastAsia" w:ascii="宋体" w:hAnsi="宋体"/>
          <w:bCs/>
          <w:color w:val="auto"/>
          <w:spacing w:val="35"/>
          <w:kern w:val="0"/>
          <w:sz w:val="24"/>
          <w:highlight w:val="none"/>
        </w:rPr>
        <w:t xml:space="preserve"> </w:t>
      </w:r>
      <w:r>
        <w:rPr>
          <w:rStyle w:val="41"/>
          <w:rFonts w:ascii="宋体" w:hAnsi="宋体"/>
          <w:bCs/>
          <w:color w:val="auto"/>
          <w:spacing w:val="35"/>
          <w:kern w:val="0"/>
          <w:sz w:val="24"/>
          <w:highlight w:val="none"/>
        </w:rPr>
        <w:t>目</w:t>
      </w:r>
      <w:r>
        <w:rPr>
          <w:rStyle w:val="41"/>
          <w:rFonts w:hint="eastAsia" w:ascii="宋体" w:hAnsi="宋体"/>
          <w:bCs/>
          <w:color w:val="auto"/>
          <w:spacing w:val="35"/>
          <w:kern w:val="0"/>
          <w:sz w:val="24"/>
          <w:highlight w:val="none"/>
        </w:rPr>
        <w:t xml:space="preserve"> 联系人</w:t>
      </w:r>
      <w:r>
        <w:rPr>
          <w:rStyle w:val="41"/>
          <w:rFonts w:ascii="宋体" w:hAnsi="宋体"/>
          <w:bCs/>
          <w:color w:val="auto"/>
          <w:sz w:val="24"/>
          <w:highlight w:val="none"/>
        </w:rPr>
        <w:t>：</w:t>
      </w:r>
      <w:r>
        <w:rPr>
          <w:rStyle w:val="41"/>
          <w:rFonts w:hint="eastAsia" w:ascii="宋体" w:hAnsi="宋体"/>
          <w:bCs/>
          <w:color w:val="auto"/>
          <w:sz w:val="24"/>
          <w:highlight w:val="none"/>
          <w:lang w:val="en-US" w:eastAsia="zh-CN"/>
        </w:rPr>
        <w:t>任宏元</w:t>
      </w:r>
    </w:p>
    <w:p w14:paraId="17B8228F">
      <w:pPr>
        <w:snapToGrid w:val="0"/>
        <w:spacing w:line="480" w:lineRule="auto"/>
        <w:ind w:firstLine="357"/>
        <w:rPr>
          <w:rStyle w:val="41"/>
          <w:rFonts w:ascii="宋体" w:hAnsi="宋体"/>
          <w:bCs/>
          <w:color w:val="auto"/>
          <w:sz w:val="24"/>
          <w:highlight w:val="none"/>
        </w:rPr>
      </w:pPr>
      <w:r>
        <w:rPr>
          <w:rStyle w:val="41"/>
          <w:rFonts w:ascii="宋体" w:hAnsi="宋体"/>
          <w:bCs/>
          <w:color w:val="auto"/>
          <w:spacing w:val="560"/>
          <w:kern w:val="0"/>
          <w:sz w:val="24"/>
          <w:highlight w:val="none"/>
        </w:rPr>
        <w:t>电</w:t>
      </w:r>
      <w:r>
        <w:rPr>
          <w:rStyle w:val="41"/>
          <w:rFonts w:ascii="宋体" w:hAnsi="宋体"/>
          <w:bCs/>
          <w:color w:val="auto"/>
          <w:kern w:val="0"/>
          <w:sz w:val="24"/>
          <w:highlight w:val="none"/>
        </w:rPr>
        <w:t>话</w:t>
      </w:r>
      <w:r>
        <w:rPr>
          <w:rStyle w:val="41"/>
          <w:rFonts w:ascii="宋体" w:hAnsi="宋体"/>
          <w:bCs/>
          <w:color w:val="auto"/>
          <w:sz w:val="24"/>
          <w:highlight w:val="none"/>
        </w:rPr>
        <w:t>：</w:t>
      </w:r>
      <w:r>
        <w:rPr>
          <w:rStyle w:val="41"/>
          <w:rFonts w:hint="eastAsia" w:ascii="宋体" w:hAnsi="宋体"/>
          <w:bCs/>
          <w:color w:val="auto"/>
          <w:sz w:val="24"/>
          <w:highlight w:val="none"/>
          <w:lang w:val="en-US" w:eastAsia="zh-CN"/>
        </w:rPr>
        <w:t>15699192193</w:t>
      </w:r>
    </w:p>
    <w:p w14:paraId="359B7B90">
      <w:pPr>
        <w:snapToGrid w:val="0"/>
        <w:spacing w:line="480" w:lineRule="auto"/>
        <w:ind w:firstLine="357"/>
        <w:rPr>
          <w:rStyle w:val="41"/>
          <w:rFonts w:hint="eastAsia" w:ascii="宋体" w:hAnsi="宋体" w:eastAsia="宋体"/>
          <w:bCs/>
          <w:color w:val="auto"/>
          <w:sz w:val="24"/>
          <w:highlight w:val="none"/>
          <w:lang w:eastAsia="zh-CN"/>
        </w:rPr>
      </w:pPr>
      <w:r>
        <w:rPr>
          <w:rStyle w:val="41"/>
          <w:rFonts w:ascii="宋体" w:hAnsi="宋体"/>
          <w:bCs/>
          <w:color w:val="auto"/>
          <w:spacing w:val="93"/>
          <w:kern w:val="0"/>
          <w:sz w:val="24"/>
          <w:highlight w:val="none"/>
        </w:rPr>
        <w:t>详细地</w:t>
      </w:r>
      <w:r>
        <w:rPr>
          <w:rStyle w:val="41"/>
          <w:rFonts w:ascii="宋体" w:hAnsi="宋体"/>
          <w:bCs/>
          <w:color w:val="auto"/>
          <w:spacing w:val="1"/>
          <w:kern w:val="0"/>
          <w:sz w:val="24"/>
          <w:highlight w:val="none"/>
        </w:rPr>
        <w:t>址</w:t>
      </w:r>
      <w:r>
        <w:rPr>
          <w:rStyle w:val="41"/>
          <w:rFonts w:hint="eastAsia" w:ascii="宋体" w:hAnsi="宋体"/>
          <w:bCs/>
          <w:color w:val="auto"/>
          <w:spacing w:val="1"/>
          <w:kern w:val="0"/>
          <w:sz w:val="24"/>
          <w:highlight w:val="none"/>
        </w:rPr>
        <w:t>：</w:t>
      </w:r>
      <w:r>
        <w:rPr>
          <w:rStyle w:val="41"/>
          <w:rFonts w:hint="eastAsia" w:ascii="宋体" w:hAnsi="宋体"/>
          <w:bCs/>
          <w:color w:val="auto"/>
          <w:sz w:val="24"/>
          <w:highlight w:val="none"/>
          <w:lang w:eastAsia="zh-CN"/>
        </w:rPr>
        <w:t>乌鲁木齐市水磨沟区红光山路1119号大成尔雅A座1210室</w:t>
      </w:r>
    </w:p>
    <w:p w14:paraId="42C68BBB">
      <w:pPr>
        <w:pStyle w:val="12"/>
        <w:rPr>
          <w:rStyle w:val="41"/>
          <w:rFonts w:ascii="宋体" w:hAnsi="宋体"/>
          <w:bCs/>
          <w:color w:val="auto"/>
          <w:sz w:val="24"/>
          <w:highlight w:val="none"/>
        </w:rPr>
      </w:pPr>
    </w:p>
    <w:p w14:paraId="16A8A1FC">
      <w:pPr>
        <w:snapToGrid w:val="0"/>
        <w:spacing w:after="120" w:line="540" w:lineRule="exact"/>
        <w:ind w:firstLine="437"/>
        <w:jc w:val="center"/>
        <w:rPr>
          <w:rFonts w:ascii="宋体" w:hAnsi="宋体"/>
          <w:color w:val="auto"/>
          <w:sz w:val="44"/>
          <w:highlight w:val="none"/>
        </w:rPr>
      </w:pPr>
    </w:p>
    <w:p w14:paraId="209CC89E">
      <w:pPr>
        <w:snapToGrid w:val="0"/>
        <w:spacing w:after="120" w:line="540" w:lineRule="exact"/>
        <w:ind w:firstLine="437"/>
        <w:jc w:val="center"/>
        <w:rPr>
          <w:rFonts w:ascii="宋体" w:hAnsi="宋体"/>
          <w:color w:val="auto"/>
          <w:sz w:val="44"/>
          <w:highlight w:val="none"/>
        </w:rPr>
      </w:pPr>
    </w:p>
    <w:p w14:paraId="4A687842">
      <w:pPr>
        <w:snapToGrid w:val="0"/>
        <w:spacing w:after="120" w:line="540" w:lineRule="exact"/>
        <w:rPr>
          <w:rFonts w:ascii="宋体" w:hAnsi="宋体"/>
          <w:color w:val="auto"/>
          <w:sz w:val="44"/>
          <w:highlight w:val="none"/>
        </w:rPr>
      </w:pPr>
    </w:p>
    <w:p w14:paraId="4B7611CA">
      <w:pPr>
        <w:spacing w:line="500" w:lineRule="exact"/>
        <w:jc w:val="center"/>
        <w:outlineLvl w:val="0"/>
        <w:rPr>
          <w:rFonts w:hint="eastAsia" w:ascii="宋体" w:hAnsi="宋体" w:eastAsia="宋体" w:cs="宋体"/>
          <w:b/>
          <w:color w:val="auto"/>
          <w:sz w:val="24"/>
          <w:szCs w:val="24"/>
          <w:highlight w:val="none"/>
        </w:rPr>
      </w:pPr>
      <w:bookmarkStart w:id="0" w:name="_Toc9822"/>
      <w:bookmarkStart w:id="1" w:name="_Toc31371"/>
      <w:r>
        <w:rPr>
          <w:rFonts w:hint="eastAsia" w:ascii="宋体" w:hAnsi="宋体" w:eastAsia="宋体" w:cs="宋体"/>
          <w:b/>
          <w:color w:val="auto"/>
          <w:sz w:val="24"/>
          <w:szCs w:val="24"/>
          <w:highlight w:val="none"/>
        </w:rPr>
        <w:t>目    录</w:t>
      </w:r>
      <w:bookmarkEnd w:id="0"/>
      <w:bookmarkEnd w:id="1"/>
    </w:p>
    <w:p w14:paraId="6E2C7BC8">
      <w:pPr>
        <w:pStyle w:val="20"/>
        <w:tabs>
          <w:tab w:val="right" w:leader="dot" w:pos="8959"/>
        </w:tabs>
        <w:rPr>
          <w:rFonts w:hint="eastAsia" w:ascii="宋体" w:hAnsi="宋体" w:eastAsia="宋体" w:cs="宋体"/>
          <w:color w:val="auto"/>
          <w:sz w:val="24"/>
          <w:szCs w:val="24"/>
          <w:highlight w:val="none"/>
        </w:rPr>
      </w:pPr>
    </w:p>
    <w:sdt>
      <w:sdtPr>
        <w:rPr>
          <w:rFonts w:ascii="宋体" w:hAnsi="宋体" w:eastAsia="宋体" w:cs="Times New Roman"/>
          <w:color w:val="auto"/>
          <w:kern w:val="2"/>
          <w:sz w:val="18"/>
          <w:szCs w:val="21"/>
          <w:highlight w:val="none"/>
          <w:lang w:val="en-US" w:eastAsia="zh-CN" w:bidi="ar-SA"/>
        </w:rPr>
        <w:id w:val="147476755"/>
        <w15:color w:val="DBDBDB"/>
        <w:docPartObj>
          <w:docPartGallery w:val="Table of Contents"/>
          <w:docPartUnique/>
        </w:docPartObj>
      </w:sdtPr>
      <w:sdtEndPr>
        <w:rPr>
          <w:rFonts w:ascii="宋体" w:hAnsi="宋体" w:eastAsia="宋体" w:cs="宋体"/>
          <w:bCs w:val="0"/>
          <w:color w:val="auto"/>
          <w:kern w:val="44"/>
          <w:sz w:val="44"/>
          <w:szCs w:val="24"/>
          <w:highlight w:val="none"/>
          <w:lang w:val="en-US" w:eastAsia="zh-CN" w:bidi="ar-SA"/>
        </w:rPr>
      </w:sdtEndPr>
      <w:sdtContent>
        <w:p w14:paraId="6BB2A8E7">
          <w:pPr>
            <w:spacing w:before="0" w:beforeLines="0" w:after="0" w:afterLines="0" w:line="240" w:lineRule="auto"/>
            <w:ind w:left="0" w:leftChars="0" w:right="0" w:rightChars="0" w:firstLine="0" w:firstLineChars="0"/>
            <w:jc w:val="center"/>
            <w:rPr>
              <w:color w:val="auto"/>
              <w:sz w:val="18"/>
              <w:szCs w:val="21"/>
              <w:highlight w:val="none"/>
            </w:rPr>
          </w:pPr>
        </w:p>
        <w:p w14:paraId="698D15EA">
          <w:pPr>
            <w:pStyle w:val="81"/>
            <w:tabs>
              <w:tab w:val="right" w:leader="dot" w:pos="9747"/>
            </w:tabs>
            <w:spacing w:line="480" w:lineRule="auto"/>
            <w:rPr>
              <w:color w:val="auto"/>
              <w:sz w:val="28"/>
              <w:szCs w:val="28"/>
              <w:highlight w:val="none"/>
            </w:rPr>
          </w:pPr>
          <w:r>
            <w:rPr>
              <w:rFonts w:ascii="宋体" w:hAnsi="宋体" w:cs="宋体"/>
              <w:bCs w:val="0"/>
              <w:color w:val="auto"/>
              <w:sz w:val="40"/>
              <w:szCs w:val="40"/>
              <w:highlight w:val="none"/>
            </w:rPr>
            <w:fldChar w:fldCharType="begin"/>
          </w:r>
          <w:r>
            <w:rPr>
              <w:rFonts w:ascii="宋体" w:hAnsi="宋体" w:cs="宋体"/>
              <w:bCs w:val="0"/>
              <w:color w:val="auto"/>
              <w:sz w:val="40"/>
              <w:szCs w:val="40"/>
              <w:highlight w:val="none"/>
            </w:rPr>
            <w:instrText xml:space="preserve">TOC \o "1-1" \h \u </w:instrText>
          </w:r>
          <w:r>
            <w:rPr>
              <w:rFonts w:ascii="宋体" w:hAnsi="宋体" w:cs="宋体"/>
              <w:bCs w:val="0"/>
              <w:color w:val="auto"/>
              <w:sz w:val="40"/>
              <w:szCs w:val="40"/>
              <w:highlight w:val="none"/>
            </w:rPr>
            <w:fldChar w:fldCharType="separate"/>
          </w: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_Toc24711 </w:instrText>
          </w:r>
          <w:r>
            <w:rPr>
              <w:rFonts w:ascii="宋体" w:hAnsi="宋体" w:cs="宋体"/>
              <w:bCs w:val="0"/>
              <w:color w:val="auto"/>
              <w:sz w:val="28"/>
              <w:szCs w:val="40"/>
              <w:highlight w:val="none"/>
            </w:rPr>
            <w:fldChar w:fldCharType="separate"/>
          </w:r>
          <w:r>
            <w:rPr>
              <w:rFonts w:hint="eastAsia"/>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_Toc24711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ascii="宋体" w:hAnsi="宋体" w:cs="宋体"/>
              <w:bCs w:val="0"/>
              <w:color w:val="auto"/>
              <w:sz w:val="28"/>
              <w:szCs w:val="40"/>
              <w:highlight w:val="none"/>
            </w:rPr>
            <w:fldChar w:fldCharType="end"/>
          </w:r>
        </w:p>
        <w:p w14:paraId="46D8D854">
          <w:pPr>
            <w:pStyle w:val="81"/>
            <w:tabs>
              <w:tab w:val="right" w:leader="dot" w:pos="9747"/>
            </w:tabs>
            <w:spacing w:line="480" w:lineRule="auto"/>
            <w:rPr>
              <w:color w:val="auto"/>
              <w:sz w:val="28"/>
              <w:szCs w:val="28"/>
              <w:highlight w:val="none"/>
            </w:rPr>
          </w:pP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_Toc12635 </w:instrText>
          </w:r>
          <w:r>
            <w:rPr>
              <w:rFonts w:ascii="宋体" w:hAnsi="宋体" w:cs="宋体"/>
              <w:bCs w:val="0"/>
              <w:color w:val="auto"/>
              <w:sz w:val="28"/>
              <w:szCs w:val="40"/>
              <w:highlight w:val="none"/>
            </w:rPr>
            <w:fldChar w:fldCharType="separate"/>
          </w:r>
          <w:r>
            <w:rPr>
              <w:rFonts w:hint="eastAsia"/>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_Toc12635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cs="宋体"/>
              <w:bCs w:val="0"/>
              <w:color w:val="auto"/>
              <w:sz w:val="28"/>
              <w:szCs w:val="40"/>
              <w:highlight w:val="none"/>
            </w:rPr>
            <w:fldChar w:fldCharType="end"/>
          </w:r>
        </w:p>
        <w:p w14:paraId="7DFF9AD7">
          <w:pPr>
            <w:pStyle w:val="81"/>
            <w:tabs>
              <w:tab w:val="right" w:leader="dot" w:pos="9747"/>
            </w:tabs>
            <w:spacing w:line="480" w:lineRule="auto"/>
            <w:rPr>
              <w:color w:val="auto"/>
              <w:sz w:val="28"/>
              <w:szCs w:val="28"/>
              <w:highlight w:val="none"/>
            </w:rPr>
          </w:pP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_Toc12260 </w:instrText>
          </w:r>
          <w:r>
            <w:rPr>
              <w:rFonts w:ascii="宋体" w:hAnsi="宋体" w:cs="宋体"/>
              <w:bCs w:val="0"/>
              <w:color w:val="auto"/>
              <w:sz w:val="28"/>
              <w:szCs w:val="40"/>
              <w:highlight w:val="none"/>
            </w:rPr>
            <w:fldChar w:fldCharType="separate"/>
          </w:r>
          <w:r>
            <w:rPr>
              <w:rFonts w:hint="eastAsia"/>
              <w:color w:val="auto"/>
              <w:sz w:val="28"/>
              <w:szCs w:val="28"/>
              <w:highlight w:val="none"/>
            </w:rPr>
            <w:t>第三章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_Toc12260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ascii="宋体" w:hAnsi="宋体" w:cs="宋体"/>
              <w:bCs w:val="0"/>
              <w:color w:val="auto"/>
              <w:sz w:val="28"/>
              <w:szCs w:val="40"/>
              <w:highlight w:val="none"/>
            </w:rPr>
            <w:fldChar w:fldCharType="end"/>
          </w:r>
        </w:p>
        <w:p w14:paraId="06F70F11">
          <w:pPr>
            <w:pStyle w:val="81"/>
            <w:tabs>
              <w:tab w:val="right" w:leader="dot" w:pos="9747"/>
            </w:tabs>
            <w:spacing w:line="480" w:lineRule="auto"/>
            <w:rPr>
              <w:color w:val="auto"/>
              <w:sz w:val="28"/>
              <w:szCs w:val="28"/>
              <w:highlight w:val="none"/>
            </w:rPr>
          </w:pP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_Toc21616 </w:instrText>
          </w:r>
          <w:r>
            <w:rPr>
              <w:rFonts w:ascii="宋体" w:hAnsi="宋体" w:cs="宋体"/>
              <w:bCs w:val="0"/>
              <w:color w:val="auto"/>
              <w:sz w:val="28"/>
              <w:szCs w:val="40"/>
              <w:highlight w:val="none"/>
            </w:rPr>
            <w:fldChar w:fldCharType="separate"/>
          </w:r>
          <w:r>
            <w:rPr>
              <w:rFonts w:hint="eastAsia"/>
              <w:color w:val="auto"/>
              <w:sz w:val="28"/>
              <w:szCs w:val="28"/>
              <w:highlight w:val="none"/>
              <w:lang w:eastAsia="zh-CN"/>
            </w:rPr>
            <w:t>第四章  招标项目技术要求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_Toc21616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ascii="宋体" w:hAnsi="宋体" w:cs="宋体"/>
              <w:bCs w:val="0"/>
              <w:color w:val="auto"/>
              <w:sz w:val="28"/>
              <w:szCs w:val="40"/>
              <w:highlight w:val="none"/>
            </w:rPr>
            <w:fldChar w:fldCharType="end"/>
          </w:r>
        </w:p>
        <w:p w14:paraId="4A1A6CE7">
          <w:pPr>
            <w:pStyle w:val="81"/>
            <w:tabs>
              <w:tab w:val="right" w:leader="dot" w:pos="9747"/>
            </w:tabs>
            <w:spacing w:line="480" w:lineRule="auto"/>
            <w:rPr>
              <w:color w:val="auto"/>
              <w:sz w:val="28"/>
              <w:szCs w:val="28"/>
              <w:highlight w:val="none"/>
            </w:rPr>
          </w:pP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_Toc27846 </w:instrText>
          </w:r>
          <w:r>
            <w:rPr>
              <w:rFonts w:ascii="宋体" w:hAnsi="宋体" w:cs="宋体"/>
              <w:bCs w:val="0"/>
              <w:color w:val="auto"/>
              <w:sz w:val="28"/>
              <w:szCs w:val="40"/>
              <w:highlight w:val="none"/>
            </w:rPr>
            <w:fldChar w:fldCharType="separate"/>
          </w:r>
          <w:r>
            <w:rPr>
              <w:rFonts w:hint="eastAsia"/>
              <w:color w:val="auto"/>
              <w:sz w:val="28"/>
              <w:szCs w:val="28"/>
              <w:highlight w:val="none"/>
            </w:rPr>
            <w:t>第五章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_Toc27846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ascii="宋体" w:hAnsi="宋体" w:cs="宋体"/>
              <w:bCs w:val="0"/>
              <w:color w:val="auto"/>
              <w:sz w:val="28"/>
              <w:szCs w:val="40"/>
              <w:highlight w:val="none"/>
            </w:rPr>
            <w:fldChar w:fldCharType="end"/>
          </w:r>
        </w:p>
        <w:p w14:paraId="11209309">
          <w:pPr>
            <w:pStyle w:val="81"/>
            <w:tabs>
              <w:tab w:val="right" w:leader="dot" w:pos="9747"/>
            </w:tabs>
            <w:spacing w:line="480" w:lineRule="auto"/>
            <w:rPr>
              <w:color w:val="auto"/>
              <w:sz w:val="28"/>
              <w:szCs w:val="28"/>
              <w:highlight w:val="none"/>
            </w:rPr>
          </w:pPr>
          <w:r>
            <w:rPr>
              <w:rFonts w:ascii="宋体" w:hAnsi="宋体" w:cs="宋体"/>
              <w:bCs w:val="0"/>
              <w:color w:val="auto"/>
              <w:sz w:val="28"/>
              <w:szCs w:val="40"/>
              <w:highlight w:val="none"/>
            </w:rPr>
            <w:fldChar w:fldCharType="begin"/>
          </w:r>
          <w:r>
            <w:rPr>
              <w:rFonts w:ascii="宋体" w:hAnsi="宋体" w:cs="宋体"/>
              <w:bCs w:val="0"/>
              <w:color w:val="auto"/>
              <w:sz w:val="28"/>
              <w:szCs w:val="40"/>
              <w:highlight w:val="none"/>
            </w:rPr>
            <w:instrText xml:space="preserve"> HYPERLINK \l _Toc7810 </w:instrText>
          </w:r>
          <w:r>
            <w:rPr>
              <w:rFonts w:ascii="宋体" w:hAnsi="宋体" w:cs="宋体"/>
              <w:bCs w:val="0"/>
              <w:color w:val="auto"/>
              <w:sz w:val="28"/>
              <w:szCs w:val="40"/>
              <w:highlight w:val="none"/>
            </w:rPr>
            <w:fldChar w:fldCharType="separate"/>
          </w:r>
          <w:r>
            <w:rPr>
              <w:rFonts w:hint="eastAsia"/>
              <w:color w:val="auto"/>
              <w:sz w:val="28"/>
              <w:szCs w:val="28"/>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_Toc7810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rFonts w:ascii="宋体" w:hAnsi="宋体" w:cs="宋体"/>
              <w:bCs w:val="0"/>
              <w:color w:val="auto"/>
              <w:sz w:val="28"/>
              <w:szCs w:val="40"/>
              <w:highlight w:val="none"/>
            </w:rPr>
            <w:fldChar w:fldCharType="end"/>
          </w:r>
        </w:p>
        <w:p w14:paraId="57416BFF">
          <w:pPr>
            <w:pStyle w:val="2"/>
            <w:spacing w:line="480" w:lineRule="auto"/>
            <w:outlineLvl w:val="9"/>
            <w:rPr>
              <w:rFonts w:ascii="宋体" w:hAnsi="宋体" w:eastAsia="宋体" w:cs="宋体"/>
              <w:bCs w:val="0"/>
              <w:color w:val="auto"/>
              <w:kern w:val="44"/>
              <w:sz w:val="44"/>
              <w:szCs w:val="24"/>
              <w:highlight w:val="none"/>
              <w:lang w:val="en-US" w:eastAsia="zh-CN" w:bidi="ar-SA"/>
            </w:rPr>
          </w:pPr>
          <w:r>
            <w:rPr>
              <w:rFonts w:ascii="宋体" w:hAnsi="宋体" w:cs="宋体"/>
              <w:bCs w:val="0"/>
              <w:color w:val="auto"/>
              <w:sz w:val="60"/>
              <w:szCs w:val="40"/>
              <w:highlight w:val="none"/>
            </w:rPr>
            <w:fldChar w:fldCharType="end"/>
          </w:r>
        </w:p>
      </w:sdtContent>
    </w:sdt>
    <w:p w14:paraId="1DAD47B6">
      <w:pPr>
        <w:pStyle w:val="3"/>
        <w:rPr>
          <w:color w:val="auto"/>
          <w:highlight w:val="none"/>
        </w:rPr>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14:paraId="1FE55804">
      <w:pPr>
        <w:numPr>
          <w:ilvl w:val="0"/>
          <w:numId w:val="4"/>
        </w:numPr>
        <w:bidi w:val="0"/>
        <w:jc w:val="center"/>
        <w:rPr>
          <w:rFonts w:hint="eastAsia"/>
          <w:color w:val="auto"/>
          <w:sz w:val="24"/>
          <w:szCs w:val="32"/>
          <w:highlight w:val="none"/>
        </w:rPr>
      </w:pPr>
      <w:bookmarkStart w:id="2" w:name="_Toc647_WPSOffice_Level1"/>
      <w:bookmarkStart w:id="3" w:name="_Toc3427"/>
      <w:bookmarkStart w:id="4" w:name="_Toc24711"/>
      <w:r>
        <w:rPr>
          <w:rFonts w:hint="eastAsia"/>
          <w:color w:val="auto"/>
          <w:sz w:val="24"/>
          <w:szCs w:val="32"/>
          <w:highlight w:val="none"/>
        </w:rPr>
        <w:t xml:space="preserve"> </w:t>
      </w:r>
      <w:bookmarkEnd w:id="2"/>
      <w:r>
        <w:rPr>
          <w:rFonts w:hint="eastAsia"/>
          <w:color w:val="auto"/>
          <w:sz w:val="24"/>
          <w:szCs w:val="32"/>
          <w:highlight w:val="none"/>
        </w:rPr>
        <w:t>招标公告</w:t>
      </w:r>
      <w:bookmarkEnd w:id="3"/>
      <w:bookmarkEnd w:id="4"/>
    </w:p>
    <w:p w14:paraId="364EFBB2">
      <w:pPr>
        <w:pStyle w:val="6"/>
        <w:numPr>
          <w:ilvl w:val="0"/>
          <w:numId w:val="0"/>
        </w:numPr>
        <w:rPr>
          <w:rFonts w:hint="eastAsia"/>
          <w:color w:val="auto"/>
          <w:highlight w:val="none"/>
          <w:lang w:val="en-US" w:eastAsia="zh-CN"/>
        </w:rPr>
      </w:pPr>
    </w:p>
    <w:p w14:paraId="56C3492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bookmarkStart w:id="5" w:name="_Toc213396945"/>
      <w:bookmarkStart w:id="6" w:name="_Toc213397009"/>
      <w:bookmarkStart w:id="7" w:name="_Toc213396759"/>
      <w:bookmarkStart w:id="8" w:name="_Toc856_WPSOffice_Level1"/>
      <w:bookmarkStart w:id="9" w:name="_Toc217446031"/>
      <w:bookmarkStart w:id="10" w:name="_Toc213496267"/>
      <w:r>
        <w:rPr>
          <w:rFonts w:hint="eastAsia" w:ascii="宋体" w:hAnsi="宋体" w:eastAsia="宋体" w:cs="宋体"/>
          <w:color w:val="auto"/>
          <w:sz w:val="24"/>
          <w:szCs w:val="24"/>
          <w:highlight w:val="none"/>
        </w:rPr>
        <w:t>项目概况</w:t>
      </w:r>
    </w:p>
    <w:p w14:paraId="19E44C6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乌鲁木齐市民生实事燃气、一氧化碳报警设备（含安装）采购项目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 xml:space="preserve"> 8 </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 xml:space="preserve"> 4 </w:t>
      </w:r>
      <w:r>
        <w:rPr>
          <w:rFonts w:hint="eastAsia" w:ascii="宋体" w:hAnsi="宋体" w:eastAsia="宋体" w:cs="宋体"/>
          <w:bCs/>
          <w:color w:val="auto"/>
          <w:sz w:val="24"/>
          <w:szCs w:val="24"/>
          <w:highlight w:val="none"/>
          <w:u w:val="single"/>
        </w:rPr>
        <w:t>日 11 点 00 分（</w:t>
      </w:r>
      <w:r>
        <w:rPr>
          <w:rFonts w:hint="eastAsia" w:ascii="宋体" w:hAnsi="宋体" w:eastAsia="宋体" w:cs="宋体"/>
          <w:bCs/>
          <w:color w:val="auto"/>
          <w:sz w:val="24"/>
          <w:szCs w:val="24"/>
          <w:highlight w:val="none"/>
        </w:rPr>
        <w:t>北京时间）前</w:t>
      </w:r>
      <w:r>
        <w:rPr>
          <w:rFonts w:hint="eastAsia" w:ascii="宋体" w:hAnsi="宋体" w:cs="宋体"/>
          <w:bCs/>
          <w:color w:val="auto"/>
          <w:sz w:val="24"/>
          <w:szCs w:val="24"/>
          <w:highlight w:val="none"/>
          <w:lang w:eastAsia="zh-CN"/>
        </w:rPr>
        <w:t>上传</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p>
    <w:p w14:paraId="7E890D69">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11" w:name="_Toc35393791"/>
      <w:bookmarkStart w:id="12" w:name="_Toc28359003"/>
      <w:bookmarkStart w:id="13" w:name="_Toc28359080"/>
      <w:bookmarkStart w:id="14" w:name="_Toc35393622"/>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4D0B9F4B">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 xml:space="preserve">项目编号： </w:t>
      </w:r>
      <w:r>
        <w:rPr>
          <w:rStyle w:val="41"/>
          <w:rFonts w:hint="eastAsia" w:hAnsi="宋体"/>
          <w:bCs/>
          <w:color w:val="auto"/>
          <w:sz w:val="24"/>
          <w:highlight w:val="none"/>
          <w:lang w:eastAsia="zh-CN"/>
        </w:rPr>
        <w:t>ZYHX-RHY-202503（</w:t>
      </w:r>
      <w:r>
        <w:rPr>
          <w:rStyle w:val="41"/>
          <w:rFonts w:hint="eastAsia" w:hAnsi="宋体"/>
          <w:bCs/>
          <w:color w:val="auto"/>
          <w:sz w:val="24"/>
          <w:highlight w:val="none"/>
          <w:lang w:val="en-US" w:eastAsia="zh-CN"/>
        </w:rPr>
        <w:t>2</w:t>
      </w:r>
      <w:r>
        <w:rPr>
          <w:rStyle w:val="41"/>
          <w:rFonts w:hint="eastAsia" w:hAnsi="宋体"/>
          <w:bCs/>
          <w:color w:val="auto"/>
          <w:sz w:val="24"/>
          <w:highlight w:val="none"/>
          <w:lang w:eastAsia="zh-CN"/>
        </w:rPr>
        <w:t>）</w:t>
      </w:r>
    </w:p>
    <w:p w14:paraId="2FCE5CD8">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color w:val="auto"/>
          <w:sz w:val="24"/>
          <w:szCs w:val="24"/>
          <w:highlight w:val="none"/>
          <w:u w:val="none"/>
          <w:lang w:eastAsia="zh-CN"/>
        </w:rPr>
        <w:t>乌鲁木齐市民生实事燃气、一氧化碳报警设备（含安装）采购项目</w:t>
      </w:r>
    </w:p>
    <w:p w14:paraId="46F60307">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hAnsi="宋体" w:cs="宋体"/>
          <w:b w:val="0"/>
          <w:bCs/>
          <w:color w:val="auto"/>
          <w:sz w:val="24"/>
          <w:szCs w:val="24"/>
          <w:highlight w:val="none"/>
          <w:shd w:val="clear" w:color="auto" w:fill="auto"/>
          <w:lang w:val="en-US" w:eastAsia="zh-CN"/>
        </w:rPr>
        <w:t>公开招标</w:t>
      </w:r>
    </w:p>
    <w:p w14:paraId="0105BCA1">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70.2万</w:t>
      </w:r>
    </w:p>
    <w:p w14:paraId="48A3B863">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70.2万</w:t>
      </w:r>
    </w:p>
    <w:p w14:paraId="2C400A84">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采购需求：</w:t>
      </w:r>
    </w:p>
    <w:p w14:paraId="27AFC44F">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color w:val="auto"/>
          <w:sz w:val="24"/>
          <w:szCs w:val="24"/>
          <w:highlight w:val="none"/>
          <w:u w:val="none"/>
          <w:lang w:eastAsia="zh-CN"/>
        </w:rPr>
        <w:t>乌鲁木齐市民生实事燃气、一氧化碳报警设备（含安装）采购项目</w:t>
      </w:r>
    </w:p>
    <w:p w14:paraId="097330E8">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ascii="宋体" w:hAnsi="宋体" w:eastAsia="宋体" w:cs="宋体"/>
          <w:b w:val="0"/>
          <w:bCs/>
          <w:color w:val="auto"/>
          <w:sz w:val="24"/>
          <w:szCs w:val="24"/>
          <w:highlight w:val="none"/>
          <w:shd w:val="clear" w:color="auto" w:fill="auto"/>
          <w:lang w:val="en-US" w:eastAsia="zh-CN"/>
        </w:rPr>
        <w:t>燃气紧急切断阀（民用）</w:t>
      </w:r>
      <w:r>
        <w:rPr>
          <w:rFonts w:hint="eastAsia" w:hAnsi="宋体" w:cs="宋体"/>
          <w:b w:val="0"/>
          <w:bCs/>
          <w:color w:val="auto"/>
          <w:sz w:val="24"/>
          <w:szCs w:val="24"/>
          <w:highlight w:val="none"/>
          <w:shd w:val="clear" w:color="auto" w:fill="auto"/>
          <w:lang w:val="en-US" w:eastAsia="zh-CN"/>
        </w:rPr>
        <w:t>，</w:t>
      </w:r>
      <w:r>
        <w:rPr>
          <w:rFonts w:hint="eastAsia" w:ascii="宋体" w:hAnsi="宋体" w:eastAsia="宋体" w:cs="宋体"/>
          <w:b w:val="0"/>
          <w:bCs/>
          <w:color w:val="auto"/>
          <w:sz w:val="24"/>
          <w:szCs w:val="24"/>
          <w:highlight w:val="none"/>
          <w:shd w:val="clear" w:color="auto" w:fill="auto"/>
          <w:lang w:val="en-US" w:eastAsia="zh-CN"/>
        </w:rPr>
        <w:t>燃气报警器2000套</w:t>
      </w:r>
      <w:r>
        <w:rPr>
          <w:rFonts w:hint="eastAsia" w:hAnsi="宋体" w:cs="宋体"/>
          <w:b w:val="0"/>
          <w:bCs/>
          <w:color w:val="auto"/>
          <w:sz w:val="24"/>
          <w:szCs w:val="24"/>
          <w:highlight w:val="none"/>
          <w:shd w:val="clear" w:color="auto" w:fill="auto"/>
          <w:lang w:val="en-US" w:eastAsia="zh-CN"/>
        </w:rPr>
        <w:t>、</w:t>
      </w:r>
      <w:r>
        <w:rPr>
          <w:rFonts w:hint="eastAsia" w:hAnsi="宋体" w:cs="宋体"/>
          <w:color w:val="auto"/>
          <w:sz w:val="24"/>
          <w:szCs w:val="24"/>
          <w:highlight w:val="none"/>
          <w:u w:val="none"/>
          <w:lang w:eastAsia="zh-CN"/>
        </w:rPr>
        <w:t>一氧化碳报警设备</w:t>
      </w:r>
      <w:r>
        <w:rPr>
          <w:rFonts w:hint="eastAsia" w:hAnsi="宋体" w:cs="宋体"/>
          <w:color w:val="auto"/>
          <w:sz w:val="24"/>
          <w:szCs w:val="24"/>
          <w:highlight w:val="none"/>
          <w:u w:val="none"/>
          <w:lang w:val="en-US" w:eastAsia="zh-CN"/>
        </w:rPr>
        <w:t>2000台</w:t>
      </w:r>
    </w:p>
    <w:p w14:paraId="0DFE2243">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b w:val="0"/>
          <w:bCs/>
          <w:color w:val="auto"/>
          <w:sz w:val="24"/>
          <w:szCs w:val="24"/>
          <w:highlight w:val="none"/>
          <w:shd w:val="clear" w:color="auto" w:fill="auto"/>
          <w:lang w:val="en-US" w:eastAsia="zh-CN"/>
        </w:rPr>
        <w:t>70.2万</w:t>
      </w:r>
    </w:p>
    <w:p w14:paraId="6DEB7A56">
      <w:pPr>
        <w:pStyle w:val="31"/>
        <w:spacing w:line="480" w:lineRule="exact"/>
        <w:ind w:firstLine="480"/>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b w:val="0"/>
          <w:bCs/>
          <w:color w:val="auto"/>
          <w:sz w:val="24"/>
          <w:szCs w:val="24"/>
          <w:highlight w:val="none"/>
          <w:u w:val="single"/>
          <w:shd w:val="clear" w:color="auto" w:fill="auto"/>
        </w:rPr>
        <w:t>为有效应对经济困难老年人家庭燃气泄漏、一氧化碳中毒等安全风险，扎实推进市政府民生实事项目，为困难老年人家庭免费安装燃气、一氧化碳报警设备，通过实时监测预警的技防手段实现事故隐患早发现早处置，切实保障老年群体的生命财产安全。</w:t>
      </w:r>
    </w:p>
    <w:p w14:paraId="65146D4E">
      <w:pPr>
        <w:pStyle w:val="31"/>
        <w:spacing w:line="480" w:lineRule="exact"/>
        <w:ind w:firstLine="480"/>
        <w:rPr>
          <w:rFonts w:hint="default" w:ascii="宋体" w:hAnsi="宋体" w:eastAsia="宋体" w:cs="宋体"/>
          <w:b w:val="0"/>
          <w:bCs/>
          <w:color w:val="auto"/>
          <w:sz w:val="24"/>
          <w:szCs w:val="24"/>
          <w:highlight w:val="none"/>
          <w:shd w:val="clear" w:color="auto" w:fill="auto"/>
          <w:lang w:val="en-US" w:eastAsia="zh-CN"/>
        </w:rPr>
      </w:pPr>
      <w:r>
        <w:rPr>
          <w:rFonts w:hint="eastAsia" w:hAnsi="宋体" w:cs="宋体"/>
          <w:color w:val="auto"/>
          <w:sz w:val="24"/>
          <w:szCs w:val="24"/>
          <w:highlight w:val="none"/>
          <w:u w:val="none"/>
          <w:lang w:eastAsia="zh-CN"/>
        </w:rPr>
        <w:t>采购</w:t>
      </w:r>
      <w:r>
        <w:rPr>
          <w:rFonts w:hint="eastAsia" w:hAnsi="宋体" w:cs="宋体"/>
          <w:color w:val="auto"/>
          <w:sz w:val="24"/>
          <w:szCs w:val="24"/>
          <w:highlight w:val="none"/>
          <w:u w:val="none"/>
          <w:lang w:val="en-US" w:eastAsia="zh-CN"/>
        </w:rPr>
        <w:t>户内燃气紧急切断阀（民用）</w:t>
      </w:r>
      <w:r>
        <w:rPr>
          <w:rFonts w:hint="eastAsia" w:hAnsi="宋体" w:cs="宋体"/>
          <w:color w:val="auto"/>
          <w:sz w:val="24"/>
          <w:szCs w:val="24"/>
          <w:highlight w:val="none"/>
          <w:u w:val="none"/>
          <w:lang w:eastAsia="zh-CN"/>
        </w:rPr>
        <w:t>、</w:t>
      </w:r>
      <w:r>
        <w:rPr>
          <w:rFonts w:hint="eastAsia" w:ascii="宋体" w:hAnsi="宋体" w:eastAsia="宋体" w:cs="宋体"/>
          <w:b w:val="0"/>
          <w:bCs/>
          <w:color w:val="auto"/>
          <w:sz w:val="24"/>
          <w:szCs w:val="24"/>
          <w:highlight w:val="none"/>
          <w:shd w:val="clear" w:color="auto" w:fill="auto"/>
          <w:lang w:val="en-US" w:eastAsia="zh-CN"/>
        </w:rPr>
        <w:t>燃气报警器</w:t>
      </w:r>
      <w:r>
        <w:rPr>
          <w:rFonts w:hint="eastAsia" w:ascii="宋体" w:hAnsi="宋体" w:cs="宋体"/>
          <w:b w:val="0"/>
          <w:bCs/>
          <w:color w:val="auto"/>
          <w:sz w:val="24"/>
          <w:szCs w:val="24"/>
          <w:highlight w:val="none"/>
          <w:shd w:val="clear" w:color="auto" w:fill="auto"/>
          <w:lang w:val="en-US" w:eastAsia="zh-CN"/>
        </w:rPr>
        <w:t>、</w:t>
      </w:r>
      <w:r>
        <w:rPr>
          <w:rFonts w:hint="eastAsia" w:hAnsi="宋体" w:cs="宋体"/>
          <w:color w:val="auto"/>
          <w:sz w:val="24"/>
          <w:szCs w:val="24"/>
          <w:highlight w:val="none"/>
          <w:u w:val="none"/>
          <w:lang w:eastAsia="zh-CN"/>
        </w:rPr>
        <w:t>一氧化碳报警设备</w:t>
      </w:r>
      <w:r>
        <w:rPr>
          <w:rFonts w:hint="eastAsia" w:hAnsi="宋体" w:cs="宋体"/>
          <w:b/>
          <w:bCs/>
          <w:color w:val="auto"/>
          <w:sz w:val="24"/>
          <w:szCs w:val="24"/>
          <w:highlight w:val="none"/>
          <w:u w:val="none"/>
          <w:lang w:eastAsia="zh-CN"/>
        </w:rPr>
        <w:t>（</w:t>
      </w:r>
      <w:r>
        <w:rPr>
          <w:rFonts w:hint="eastAsia" w:hAnsi="宋体" w:cs="宋体"/>
          <w:b/>
          <w:bCs/>
          <w:color w:val="auto"/>
          <w:sz w:val="24"/>
          <w:szCs w:val="24"/>
          <w:highlight w:val="none"/>
          <w:u w:val="none"/>
          <w:lang w:val="en-US" w:eastAsia="zh-CN"/>
        </w:rPr>
        <w:t>只包含</w:t>
      </w:r>
      <w:r>
        <w:rPr>
          <w:rFonts w:hint="eastAsia" w:hAnsi="宋体" w:cs="宋体"/>
          <w:b/>
          <w:bCs/>
          <w:color w:val="auto"/>
          <w:sz w:val="24"/>
          <w:szCs w:val="24"/>
          <w:highlight w:val="none"/>
          <w:u w:val="none"/>
          <w:lang w:eastAsia="zh-CN"/>
        </w:rPr>
        <w:t>一氧化碳报警设备的</w:t>
      </w:r>
      <w:r>
        <w:rPr>
          <w:rFonts w:hint="eastAsia" w:hAnsi="宋体" w:cs="宋体"/>
          <w:b/>
          <w:bCs/>
          <w:color w:val="auto"/>
          <w:sz w:val="24"/>
          <w:szCs w:val="24"/>
          <w:highlight w:val="none"/>
          <w:u w:val="none"/>
          <w:lang w:val="en-US" w:eastAsia="zh-CN"/>
        </w:rPr>
        <w:t>安装服务</w:t>
      </w:r>
      <w:r>
        <w:rPr>
          <w:rFonts w:hint="eastAsia" w:hAnsi="宋体" w:cs="宋体"/>
          <w:b/>
          <w:bCs/>
          <w:color w:val="auto"/>
          <w:sz w:val="24"/>
          <w:szCs w:val="24"/>
          <w:highlight w:val="none"/>
          <w:u w:val="none"/>
          <w:lang w:eastAsia="zh-CN"/>
        </w:rPr>
        <w:t>）</w:t>
      </w:r>
    </w:p>
    <w:p w14:paraId="5AE2BD2F">
      <w:pPr>
        <w:pStyle w:val="38"/>
        <w:spacing w:line="360" w:lineRule="auto"/>
        <w:rPr>
          <w:rFonts w:hint="default" w:eastAsia="宋体"/>
          <w:color w:val="auto"/>
          <w:highlight w:val="none"/>
          <w:lang w:val="en-US" w:eastAsia="zh-CN"/>
        </w:rPr>
      </w:pPr>
      <w:r>
        <w:rPr>
          <w:rFonts w:hint="eastAsia" w:eastAsia="宋体"/>
          <w:color w:val="auto"/>
          <w:sz w:val="24"/>
          <w:szCs w:val="24"/>
          <w:highlight w:val="none"/>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84AA7C0">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w:t>
      </w:r>
      <w:r>
        <w:rPr>
          <w:rFonts w:hint="eastAsia" w:hAnsi="宋体" w:cs="宋体"/>
          <w:b w:val="0"/>
          <w:bCs/>
          <w:color w:val="auto"/>
          <w:sz w:val="24"/>
          <w:szCs w:val="24"/>
          <w:highlight w:val="none"/>
          <w:shd w:val="clear" w:color="auto" w:fill="auto"/>
          <w:lang w:val="en-US" w:eastAsia="zh-CN"/>
        </w:rPr>
        <w:t>详见招标文件</w:t>
      </w:r>
      <w:r>
        <w:rPr>
          <w:rFonts w:hint="eastAsia" w:ascii="宋体" w:hAnsi="宋体" w:eastAsia="宋体" w:cs="宋体"/>
          <w:b w:val="0"/>
          <w:bCs/>
          <w:color w:val="auto"/>
          <w:sz w:val="24"/>
          <w:szCs w:val="24"/>
          <w:highlight w:val="none"/>
          <w:shd w:val="clear" w:color="auto" w:fill="auto"/>
        </w:rPr>
        <w:t>。</w:t>
      </w:r>
    </w:p>
    <w:p w14:paraId="4F8308C7">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573559F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bookmarkEnd w:id="11"/>
      <w:bookmarkEnd w:id="12"/>
      <w:bookmarkEnd w:id="13"/>
      <w:bookmarkEnd w:id="14"/>
    </w:p>
    <w:p w14:paraId="02F253D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A41C15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15" w:name="_Toc28359081"/>
      <w:bookmarkStart w:id="16" w:name="_Toc28359004"/>
      <w:r>
        <w:rPr>
          <w:rFonts w:hint="eastAsia" w:ascii="宋体" w:hAnsi="宋体" w:eastAsia="宋体" w:cs="宋体"/>
          <w:color w:val="auto"/>
          <w:sz w:val="24"/>
          <w:szCs w:val="24"/>
          <w:highlight w:val="none"/>
        </w:rPr>
        <w:t>2.落实政府采购政策需满足的资格要求：</w:t>
      </w:r>
    </w:p>
    <w:p w14:paraId="5850B34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本项目专门</w:t>
      </w:r>
      <w:r>
        <w:rPr>
          <w:rFonts w:hint="eastAsia" w:ascii="宋体" w:hAnsi="宋体" w:cs="宋体"/>
          <w:color w:val="auto"/>
          <w:sz w:val="24"/>
          <w:szCs w:val="24"/>
          <w:highlight w:val="none"/>
          <w:lang w:val="en-US" w:eastAsia="zh-CN"/>
        </w:rPr>
        <w:t>面向</w:t>
      </w:r>
      <w:r>
        <w:rPr>
          <w:rFonts w:hint="eastAsia" w:ascii="宋体" w:hAnsi="宋体" w:eastAsia="宋体" w:cs="宋体"/>
          <w:color w:val="auto"/>
          <w:sz w:val="24"/>
          <w:szCs w:val="24"/>
          <w:highlight w:val="none"/>
          <w:lang w:val="en-US" w:eastAsia="zh-CN"/>
        </w:rPr>
        <w:t>中小企业</w:t>
      </w:r>
      <w:r>
        <w:rPr>
          <w:rFonts w:hint="eastAsia" w:ascii="宋体" w:hAnsi="宋体" w:eastAsia="宋体" w:cs="宋体"/>
          <w:color w:val="auto"/>
          <w:sz w:val="24"/>
          <w:szCs w:val="24"/>
          <w:highlight w:val="none"/>
        </w:rPr>
        <w:t>，供应商投标时需提供《中小企业声明函》；</w:t>
      </w:r>
    </w:p>
    <w:p w14:paraId="050E5F3D">
      <w:pPr>
        <w:pageBreakBefore w:val="0"/>
        <w:widowControl w:val="0"/>
        <w:numPr>
          <w:ilvl w:val="0"/>
          <w:numId w:val="5"/>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 xml:space="preserve"> </w:t>
      </w:r>
    </w:p>
    <w:p w14:paraId="68CB4AD7">
      <w:pPr>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与招标人存在利害关系可能影响招标公正性的法人、其他组织或者个人，不得参加同一标段投标或者未划分标段的同一招标不得参加投标；</w:t>
      </w:r>
    </w:p>
    <w:p w14:paraId="49109BF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3.2</w:t>
      </w:r>
      <w:r>
        <w:rPr>
          <w:rFonts w:hint="eastAsia" w:ascii="宋体" w:hAnsi="宋体" w:eastAsia="宋体" w:cs="宋体"/>
          <w:color w:val="auto"/>
          <w:sz w:val="24"/>
          <w:szCs w:val="24"/>
          <w:highlight w:val="none"/>
        </w:rPr>
        <w:t>投标人负责人为同一人或者存在控股、管理关系的不同单位，不得同时参加本项目的投标。</w:t>
      </w:r>
    </w:p>
    <w:p w14:paraId="04FA620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3.3</w:t>
      </w:r>
      <w:r>
        <w:rPr>
          <w:rFonts w:hint="eastAsia" w:ascii="宋体" w:hAnsi="宋体" w:eastAsia="宋体" w:cs="宋体"/>
          <w:color w:val="auto"/>
          <w:sz w:val="24"/>
          <w:szCs w:val="24"/>
          <w:highlight w:val="none"/>
        </w:rPr>
        <w:t>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处罚期内)，不得参加本项目投标。</w:t>
      </w:r>
    </w:p>
    <w:p w14:paraId="148828F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7D6128E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17" w:name="_Toc35393623"/>
      <w:bookmarkStart w:id="18" w:name="_Toc35393792"/>
      <w:r>
        <w:rPr>
          <w:rFonts w:hint="eastAsia" w:ascii="宋体" w:hAnsi="宋体" w:eastAsia="宋体" w:cs="宋体"/>
          <w:color w:val="auto"/>
          <w:sz w:val="24"/>
          <w:szCs w:val="24"/>
          <w:highlight w:val="none"/>
        </w:rPr>
        <w:t>三、获取招标文件</w:t>
      </w:r>
      <w:bookmarkEnd w:id="15"/>
      <w:bookmarkEnd w:id="16"/>
      <w:bookmarkEnd w:id="17"/>
      <w:bookmarkEnd w:id="18"/>
    </w:p>
    <w:p w14:paraId="1DE1DA4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14 </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21 </w:t>
      </w:r>
      <w:r>
        <w:rPr>
          <w:rFonts w:hint="eastAsia" w:ascii="宋体" w:hAnsi="宋体" w:eastAsia="宋体" w:cs="宋体"/>
          <w:color w:val="auto"/>
          <w:sz w:val="24"/>
          <w:szCs w:val="24"/>
          <w:highlight w:val="none"/>
        </w:rPr>
        <w:t>日，每天上午10: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0至19：00（北京时间，线上获取法定节假日均可 ）</w:t>
      </w:r>
    </w:p>
    <w:p w14:paraId="12CC780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30EF39AE">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方式：投标人登录新疆政府采购云平台https://www.zcygov.cn/在线申请获取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（登录政府采购云平台 → 项目采购 → 获取招标文件→ 申请，审核通过后可下载招标文件）</w:t>
      </w:r>
    </w:p>
    <w:p w14:paraId="7319A96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23E9FDF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19" w:name="_Toc28359005"/>
      <w:bookmarkStart w:id="20" w:name="_Toc28359082"/>
      <w:bookmarkStart w:id="21" w:name="_Toc35393624"/>
      <w:bookmarkStart w:id="22" w:name="_Toc35393793"/>
      <w:r>
        <w:rPr>
          <w:rFonts w:hint="eastAsia" w:ascii="宋体" w:hAnsi="宋体" w:eastAsia="宋体" w:cs="宋体"/>
          <w:color w:val="auto"/>
          <w:sz w:val="24"/>
          <w:szCs w:val="24"/>
          <w:highlight w:val="none"/>
        </w:rPr>
        <w:t>四、提交投标文件</w:t>
      </w:r>
      <w:bookmarkEnd w:id="19"/>
      <w:bookmarkEnd w:id="20"/>
      <w:r>
        <w:rPr>
          <w:rFonts w:hint="eastAsia" w:ascii="宋体" w:hAnsi="宋体" w:eastAsia="宋体" w:cs="宋体"/>
          <w:color w:val="auto"/>
          <w:sz w:val="24"/>
          <w:szCs w:val="24"/>
          <w:highlight w:val="none"/>
        </w:rPr>
        <w:t>截止时间、开标时间和地点</w:t>
      </w:r>
      <w:bookmarkEnd w:id="21"/>
      <w:bookmarkEnd w:id="22"/>
    </w:p>
    <w:p w14:paraId="66EEADF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日11点00分（北京时间）</w:t>
      </w:r>
    </w:p>
    <w:p w14:paraId="02EBDD0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日11点00分（北京时间）</w:t>
      </w:r>
    </w:p>
    <w:p w14:paraId="3CE2591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23" w:name="_Toc35393625"/>
      <w:bookmarkStart w:id="24" w:name="_Toc28359007"/>
      <w:bookmarkStart w:id="25" w:name="_Toc28359084"/>
      <w:bookmarkStart w:id="26" w:name="_Toc35393794"/>
      <w:r>
        <w:rPr>
          <w:rFonts w:hint="eastAsia" w:ascii="宋体" w:hAnsi="宋体" w:eastAsia="宋体" w:cs="宋体"/>
          <w:color w:val="auto"/>
          <w:sz w:val="24"/>
          <w:szCs w:val="24"/>
          <w:highlight w:val="none"/>
        </w:rPr>
        <w:t>政采云平台http://www.zcygov.cn/</w:t>
      </w:r>
    </w:p>
    <w:p w14:paraId="214E27D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bookmarkEnd w:id="23"/>
      <w:bookmarkEnd w:id="24"/>
      <w:bookmarkEnd w:id="25"/>
      <w:bookmarkEnd w:id="26"/>
    </w:p>
    <w:p w14:paraId="27444EF0">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194CB9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27" w:name="_Toc35393626"/>
      <w:bookmarkStart w:id="28" w:name="_Toc35393795"/>
      <w:r>
        <w:rPr>
          <w:rFonts w:hint="eastAsia" w:ascii="宋体" w:hAnsi="宋体" w:eastAsia="宋体" w:cs="宋体"/>
          <w:color w:val="auto"/>
          <w:sz w:val="24"/>
          <w:szCs w:val="24"/>
          <w:highlight w:val="none"/>
        </w:rPr>
        <w:t>六、其他补充事宜</w:t>
      </w:r>
      <w:bookmarkEnd w:id="27"/>
      <w:bookmarkEnd w:id="28"/>
    </w:p>
    <w:p w14:paraId="2826D05F">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bookmarkStart w:id="29" w:name="_Toc35393627"/>
      <w:bookmarkStart w:id="30" w:name="_Toc28359008"/>
      <w:bookmarkStart w:id="31" w:name="_Toc35393796"/>
      <w:bookmarkStart w:id="32" w:name="_Toc28359085"/>
      <w:r>
        <w:rPr>
          <w:rFonts w:hint="eastAsia" w:asciiTheme="minorEastAsia" w:hAnsiTheme="minorEastAsia" w:eastAsiaTheme="minorEastAsia" w:cstheme="minorEastAsia"/>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60418EE5">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39234E86">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4A21D17C">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44966425">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7D87C28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七、对本次招标提出询问，请按以下方式联系</w:t>
      </w:r>
      <w:bookmarkEnd w:id="29"/>
      <w:bookmarkEnd w:id="30"/>
      <w:bookmarkEnd w:id="31"/>
      <w:bookmarkEnd w:id="32"/>
      <w:r>
        <w:rPr>
          <w:rFonts w:hint="eastAsia" w:ascii="宋体" w:hAnsi="宋体" w:eastAsia="宋体" w:cs="宋体"/>
          <w:color w:val="auto"/>
          <w:sz w:val="24"/>
          <w:szCs w:val="24"/>
          <w:highlight w:val="none"/>
          <w:lang w:eastAsia="zh-CN"/>
        </w:rPr>
        <w:t>：</w:t>
      </w:r>
    </w:p>
    <w:p w14:paraId="79C4CFC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85A230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乌鲁木齐市应急管理局（市矿山安全监督管理局）</w:t>
      </w:r>
      <w:r>
        <w:rPr>
          <w:rFonts w:hint="eastAsia" w:ascii="宋体" w:hAnsi="宋体" w:eastAsia="宋体" w:cs="宋体"/>
          <w:color w:val="auto"/>
          <w:sz w:val="24"/>
          <w:szCs w:val="24"/>
          <w:highlight w:val="none"/>
        </w:rPr>
        <w:t>　　　　　　　　　　　</w:t>
      </w:r>
    </w:p>
    <w:p w14:paraId="681FC287">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乌鲁木齐市水磨沟区准噶尔街299号益民大厦B区三楼</w:t>
      </w:r>
      <w:r>
        <w:rPr>
          <w:rFonts w:hint="eastAsia" w:ascii="宋体" w:hAnsi="宋体" w:eastAsia="宋体" w:cs="宋体"/>
          <w:color w:val="auto"/>
          <w:sz w:val="24"/>
          <w:szCs w:val="24"/>
          <w:highlight w:val="none"/>
        </w:rPr>
        <w:t>　</w:t>
      </w:r>
    </w:p>
    <w:p w14:paraId="0C67AF1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陆健</w:t>
      </w:r>
      <w:r>
        <w:rPr>
          <w:rFonts w:hint="eastAsia" w:ascii="宋体" w:hAnsi="宋体" w:cs="宋体"/>
          <w:color w:val="auto"/>
          <w:sz w:val="24"/>
          <w:szCs w:val="24"/>
          <w:highlight w:val="none"/>
          <w:lang w:eastAsia="zh-CN"/>
        </w:rPr>
        <w:t>　　　　　　　</w:t>
      </w:r>
    </w:p>
    <w:p w14:paraId="1000A08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联系方式：0991-4671820</w:t>
      </w:r>
    </w:p>
    <w:p w14:paraId="1355EEA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3" w:name="_Toc28359009"/>
      <w:bookmarkStart w:id="34" w:name="_Toc28359086"/>
    </w:p>
    <w:p w14:paraId="73A1C4A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3"/>
      <w:bookmarkEnd w:id="34"/>
    </w:p>
    <w:p w14:paraId="572184F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新疆泽源和忻项目管理咨询有限公司</w:t>
      </w:r>
      <w:r>
        <w:rPr>
          <w:rFonts w:hint="eastAsia" w:ascii="宋体" w:hAnsi="宋体" w:eastAsia="宋体" w:cs="宋体"/>
          <w:color w:val="auto"/>
          <w:sz w:val="24"/>
          <w:szCs w:val="24"/>
          <w:highlight w:val="none"/>
        </w:rPr>
        <w:t>　　　　　　　　　　　　</w:t>
      </w:r>
    </w:p>
    <w:p w14:paraId="06ED393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乌鲁木齐市水磨沟区红光山路1119号大成尔雅A座1210室</w:t>
      </w:r>
      <w:r>
        <w:rPr>
          <w:rFonts w:hint="eastAsia" w:ascii="宋体" w:hAnsi="宋体" w:eastAsia="宋体" w:cs="宋体"/>
          <w:color w:val="auto"/>
          <w:sz w:val="24"/>
          <w:szCs w:val="24"/>
          <w:highlight w:val="none"/>
        </w:rPr>
        <w:t>　　　　　　　　　　　　</w:t>
      </w:r>
    </w:p>
    <w:p w14:paraId="1FDD74B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任宏元</w:t>
      </w:r>
    </w:p>
    <w:p w14:paraId="6A751EE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15699192193</w:t>
      </w:r>
    </w:p>
    <w:p w14:paraId="3D8D27F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16B7A24">
      <w:pPr>
        <w:bidi w:val="0"/>
        <w:jc w:val="center"/>
        <w:rPr>
          <w:rFonts w:hint="eastAsia"/>
          <w:color w:val="auto"/>
          <w:sz w:val="24"/>
          <w:szCs w:val="24"/>
          <w:highlight w:val="none"/>
        </w:rPr>
      </w:pPr>
      <w:r>
        <w:rPr>
          <w:rFonts w:hint="eastAsia" w:ascii="宋体" w:hAnsi="宋体" w:eastAsia="宋体" w:cs="宋体"/>
          <w:color w:val="auto"/>
          <w:szCs w:val="24"/>
          <w:highlight w:val="none"/>
        </w:rPr>
        <w:br w:type="page"/>
      </w:r>
      <w:bookmarkStart w:id="35" w:name="_Toc12635"/>
      <w:bookmarkStart w:id="36" w:name="_Toc28983"/>
      <w:r>
        <w:rPr>
          <w:rFonts w:hint="eastAsia"/>
          <w:color w:val="auto"/>
          <w:sz w:val="24"/>
          <w:szCs w:val="24"/>
          <w:highlight w:val="none"/>
        </w:rPr>
        <w:t>第二章  投标人须知</w:t>
      </w:r>
      <w:bookmarkEnd w:id="5"/>
      <w:bookmarkEnd w:id="6"/>
      <w:bookmarkEnd w:id="7"/>
      <w:bookmarkEnd w:id="8"/>
      <w:bookmarkEnd w:id="9"/>
      <w:bookmarkEnd w:id="10"/>
      <w:bookmarkEnd w:id="35"/>
      <w:bookmarkEnd w:id="36"/>
    </w:p>
    <w:p w14:paraId="1A090A4E">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auto"/>
          <w:sz w:val="24"/>
          <w:szCs w:val="24"/>
          <w:highlight w:val="none"/>
        </w:rPr>
      </w:pPr>
      <w:bookmarkStart w:id="37" w:name="_Toc213396760"/>
      <w:bookmarkStart w:id="38" w:name="_Toc189727030"/>
      <w:bookmarkStart w:id="39" w:name="_Toc213496268"/>
      <w:bookmarkStart w:id="40" w:name="_Toc217446032"/>
      <w:bookmarkStart w:id="41" w:name="_Toc213396946"/>
      <w:bookmarkStart w:id="42" w:name="_Toc213397010"/>
      <w:r>
        <w:rPr>
          <w:rFonts w:hint="eastAsia" w:ascii="宋体" w:hAnsi="宋体" w:eastAsia="宋体" w:cs="宋体"/>
          <w:b/>
          <w:bCs/>
          <w:color w:val="auto"/>
          <w:sz w:val="24"/>
          <w:szCs w:val="24"/>
          <w:highlight w:val="none"/>
        </w:rPr>
        <w:t>一、投标人须知前附表</w:t>
      </w:r>
      <w:bookmarkEnd w:id="37"/>
      <w:bookmarkEnd w:id="38"/>
      <w:bookmarkEnd w:id="39"/>
      <w:bookmarkEnd w:id="40"/>
      <w:bookmarkEnd w:id="41"/>
      <w:bookmarkEnd w:id="42"/>
    </w:p>
    <w:tbl>
      <w:tblPr>
        <w:tblStyle w:val="32"/>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540"/>
      </w:tblGrid>
      <w:tr w14:paraId="78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77BA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40" w:type="dxa"/>
            <w:vAlign w:val="center"/>
          </w:tcPr>
          <w:p w14:paraId="32FF37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6540" w:type="dxa"/>
            <w:vAlign w:val="center"/>
          </w:tcPr>
          <w:p w14:paraId="5A821C6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635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71" w:type="dxa"/>
            <w:vAlign w:val="center"/>
          </w:tcPr>
          <w:p w14:paraId="1A1563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0" w:type="dxa"/>
            <w:vAlign w:val="center"/>
          </w:tcPr>
          <w:p w14:paraId="032C8EE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540" w:type="dxa"/>
            <w:vAlign w:val="center"/>
          </w:tcPr>
          <w:p w14:paraId="3FD04C0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乌鲁木齐市应急管理局（市矿山安全监督管理局）</w:t>
            </w:r>
          </w:p>
          <w:p w14:paraId="7BD308B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乌鲁木齐市水磨沟区准噶尔街299号益民大厦B区三楼</w:t>
            </w:r>
          </w:p>
          <w:p w14:paraId="644FA65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eastAsia="zh-CN"/>
              </w:rPr>
              <w:t>陆健</w:t>
            </w:r>
          </w:p>
          <w:p w14:paraId="7D0B3305">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电话： </w:t>
            </w:r>
            <w:r>
              <w:rPr>
                <w:rFonts w:hint="eastAsia" w:ascii="宋体" w:hAnsi="宋体" w:cs="宋体"/>
                <w:color w:val="auto"/>
                <w:sz w:val="24"/>
                <w:szCs w:val="24"/>
                <w:highlight w:val="none"/>
                <w:lang w:val="en-US" w:eastAsia="zh-CN"/>
              </w:rPr>
              <w:t>0991-4671820</w:t>
            </w:r>
          </w:p>
        </w:tc>
      </w:tr>
      <w:tr w14:paraId="58C6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F78B0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vAlign w:val="center"/>
          </w:tcPr>
          <w:p w14:paraId="6F66831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540" w:type="dxa"/>
            <w:vAlign w:val="center"/>
          </w:tcPr>
          <w:p w14:paraId="4CDE928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新疆泽源和忻项目管理咨询有限公司</w:t>
            </w:r>
          </w:p>
          <w:p w14:paraId="0380FB2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zh-CN"/>
              </w:rPr>
              <w:t>乌鲁木齐市水磨沟区红光山路1119号大成尔雅A座1210室</w:t>
            </w:r>
          </w:p>
          <w:p w14:paraId="7D67E7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任宏元</w:t>
            </w:r>
            <w:r>
              <w:rPr>
                <w:rFonts w:hint="eastAsia" w:ascii="宋体" w:hAnsi="宋体" w:eastAsia="宋体" w:cs="宋体"/>
                <w:color w:val="auto"/>
                <w:sz w:val="24"/>
                <w:szCs w:val="24"/>
                <w:highlight w:val="none"/>
              </w:rPr>
              <w:t xml:space="preserve"> </w:t>
            </w:r>
          </w:p>
          <w:p w14:paraId="678440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eastAsia="zh-CN"/>
              </w:rPr>
              <w:t>15699192193</w:t>
            </w:r>
          </w:p>
        </w:tc>
      </w:tr>
      <w:tr w14:paraId="3C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6E3283E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vAlign w:val="center"/>
          </w:tcPr>
          <w:p w14:paraId="77FEA96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40" w:type="dxa"/>
            <w:vAlign w:val="center"/>
          </w:tcPr>
          <w:p w14:paraId="7B7032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乌鲁木齐市民生实事燃气、一氧化碳报警设备（含安装）采购项目</w:t>
            </w:r>
          </w:p>
        </w:tc>
      </w:tr>
      <w:tr w14:paraId="7547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F07FCF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vAlign w:val="center"/>
          </w:tcPr>
          <w:p w14:paraId="2F41A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540" w:type="dxa"/>
            <w:vAlign w:val="center"/>
          </w:tcPr>
          <w:p w14:paraId="6ED2D1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Style w:val="41"/>
                <w:rFonts w:hint="eastAsia" w:ascii="宋体" w:hAnsi="宋体"/>
                <w:bCs/>
                <w:color w:val="auto"/>
                <w:sz w:val="24"/>
                <w:highlight w:val="none"/>
                <w:lang w:eastAsia="zh-CN"/>
              </w:rPr>
              <w:t>ZYHX-RHY-202503（</w:t>
            </w:r>
            <w:r>
              <w:rPr>
                <w:rStyle w:val="41"/>
                <w:rFonts w:hint="eastAsia" w:ascii="宋体" w:hAnsi="宋体"/>
                <w:bCs/>
                <w:color w:val="auto"/>
                <w:sz w:val="24"/>
                <w:highlight w:val="none"/>
                <w:lang w:val="en-US" w:eastAsia="zh-CN"/>
              </w:rPr>
              <w:t>2</w:t>
            </w:r>
            <w:r>
              <w:rPr>
                <w:rStyle w:val="41"/>
                <w:rFonts w:hint="eastAsia" w:ascii="宋体" w:hAnsi="宋体"/>
                <w:bCs/>
                <w:color w:val="auto"/>
                <w:sz w:val="24"/>
                <w:highlight w:val="none"/>
                <w:lang w:eastAsia="zh-CN"/>
              </w:rPr>
              <w:t>）</w:t>
            </w:r>
          </w:p>
        </w:tc>
      </w:tr>
      <w:tr w14:paraId="19F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E2D6E6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0" w:type="dxa"/>
            <w:vAlign w:val="center"/>
          </w:tcPr>
          <w:p w14:paraId="4057FA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资金来源、预算金额及最高限价</w:t>
            </w:r>
          </w:p>
        </w:tc>
        <w:tc>
          <w:tcPr>
            <w:tcW w:w="6540" w:type="dxa"/>
            <w:vAlign w:val="center"/>
          </w:tcPr>
          <w:p w14:paraId="4326F5C8">
            <w:pPr>
              <w:keepNext w:val="0"/>
              <w:keepLines w:val="0"/>
              <w:pageBreakBefore w:val="0"/>
              <w:kinsoku/>
              <w:wordWrap/>
              <w:overflowPunct/>
              <w:topLinePunct w:val="0"/>
              <w:autoSpaceDE/>
              <w:autoSpaceDN/>
              <w:bidi w:val="0"/>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val="en-US" w:eastAsia="zh-CN"/>
              </w:rPr>
              <w:t>财政资金</w:t>
            </w:r>
          </w:p>
          <w:p w14:paraId="2068B3A8">
            <w:pPr>
              <w:pStyle w:val="38"/>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预算金额（最高限价）</w:t>
            </w:r>
            <w:r>
              <w:rPr>
                <w:rFonts w:hint="eastAsia" w:ascii="宋体" w:hAnsi="宋体" w:eastAsia="宋体" w:cs="宋体"/>
                <w:color w:val="auto"/>
                <w:kern w:val="2"/>
                <w:sz w:val="24"/>
                <w:szCs w:val="24"/>
                <w:highlight w:val="none"/>
                <w:lang w:val="en-US" w:eastAsia="zh-CN" w:bidi="ar-SA"/>
              </w:rPr>
              <w:t>：70.2万</w:t>
            </w:r>
            <w:r>
              <w:rPr>
                <w:rFonts w:hint="eastAsia" w:hAnsi="宋体" w:cs="宋体"/>
                <w:b w:val="0"/>
                <w:bCs/>
                <w:color w:val="auto"/>
                <w:sz w:val="24"/>
                <w:szCs w:val="24"/>
                <w:highlight w:val="none"/>
                <w:shd w:val="clear" w:color="auto" w:fill="auto"/>
                <w:lang w:val="en-US" w:eastAsia="zh-CN"/>
              </w:rPr>
              <w:t>元</w:t>
            </w:r>
          </w:p>
          <w:p w14:paraId="0CF96D3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auto"/>
                <w:sz w:val="24"/>
                <w:szCs w:val="24"/>
                <w:highlight w:val="none"/>
              </w:rPr>
            </w:pPr>
            <w:r>
              <w:rPr>
                <w:rFonts w:hint="default" w:ascii="Times New Roman" w:hAnsi="Times New Roman" w:cs="Times New Roman"/>
                <w:b/>
                <w:bCs/>
                <w:color w:val="auto"/>
                <w:sz w:val="24"/>
                <w:szCs w:val="24"/>
                <w:highlight w:val="none"/>
                <w:lang w:eastAsia="zh-CN"/>
              </w:rPr>
              <w:t>投标人报价不得高于最高投标限价，如超过上述最高投标限价</w:t>
            </w:r>
            <w:r>
              <w:rPr>
                <w:rFonts w:hint="default" w:ascii="Times New Roman" w:hAnsi="Times New Roman" w:cs="Times New Roman"/>
                <w:b/>
                <w:bCs/>
                <w:color w:val="auto"/>
                <w:sz w:val="24"/>
                <w:szCs w:val="24"/>
                <w:highlight w:val="none"/>
                <w:lang w:val="en-US" w:eastAsia="zh-CN"/>
              </w:rPr>
              <w:t>及单价</w:t>
            </w:r>
            <w:r>
              <w:rPr>
                <w:rFonts w:hint="default" w:ascii="Times New Roman" w:hAnsi="Times New Roman" w:cs="Times New Roman"/>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投标无效</w:t>
            </w:r>
            <w:r>
              <w:rPr>
                <w:rFonts w:hint="eastAsia" w:ascii="宋体" w:hAnsi="宋体" w:eastAsia="宋体" w:cs="宋体"/>
                <w:b/>
                <w:color w:val="auto"/>
                <w:sz w:val="24"/>
                <w:szCs w:val="24"/>
                <w:highlight w:val="none"/>
              </w:rPr>
              <w:t>。</w:t>
            </w:r>
          </w:p>
        </w:tc>
      </w:tr>
      <w:tr w14:paraId="64C8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990A62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40" w:type="dxa"/>
            <w:vAlign w:val="center"/>
          </w:tcPr>
          <w:p w14:paraId="4B40252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shd w:val="clear" w:color="auto" w:fill="auto"/>
              </w:rPr>
              <w:t>数量</w:t>
            </w:r>
          </w:p>
        </w:tc>
        <w:tc>
          <w:tcPr>
            <w:tcW w:w="6540" w:type="dxa"/>
            <w:vAlign w:val="center"/>
          </w:tcPr>
          <w:p w14:paraId="73F2A49E">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燃气紧急切断阀（民用，燃气报警器）2000套</w:t>
            </w:r>
          </w:p>
          <w:p w14:paraId="46C6C325">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cs="Times New Roman"/>
                <w:b/>
                <w:bCs/>
                <w:color w:val="auto"/>
                <w:sz w:val="24"/>
                <w:szCs w:val="24"/>
                <w:highlight w:val="none"/>
                <w:lang w:eastAsia="zh-CN"/>
              </w:rPr>
            </w:pPr>
            <w:r>
              <w:rPr>
                <w:rFonts w:hint="eastAsia" w:hAnsi="宋体" w:cs="宋体"/>
                <w:color w:val="auto"/>
                <w:sz w:val="24"/>
                <w:szCs w:val="24"/>
                <w:highlight w:val="none"/>
                <w:u w:val="none"/>
                <w:lang w:eastAsia="zh-CN"/>
              </w:rPr>
              <w:t>一氧化碳报警设备</w:t>
            </w:r>
            <w:r>
              <w:rPr>
                <w:rFonts w:hint="eastAsia" w:hAnsi="宋体" w:cs="宋体"/>
                <w:color w:val="auto"/>
                <w:sz w:val="24"/>
                <w:szCs w:val="24"/>
                <w:highlight w:val="none"/>
                <w:u w:val="none"/>
                <w:lang w:val="en-US" w:eastAsia="zh-CN"/>
              </w:rPr>
              <w:t>2000台</w:t>
            </w:r>
          </w:p>
        </w:tc>
      </w:tr>
      <w:tr w14:paraId="67B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5E0A12C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440" w:type="dxa"/>
            <w:vAlign w:val="center"/>
          </w:tcPr>
          <w:p w14:paraId="2C794D3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采购需求</w:t>
            </w:r>
          </w:p>
        </w:tc>
        <w:tc>
          <w:tcPr>
            <w:tcW w:w="6540" w:type="dxa"/>
            <w:vAlign w:val="center"/>
          </w:tcPr>
          <w:p w14:paraId="54BDD1CA">
            <w:pPr>
              <w:pStyle w:val="38"/>
              <w:spacing w:line="360" w:lineRule="auto"/>
              <w:rPr>
                <w:rFonts w:hint="default"/>
                <w:color w:val="auto"/>
                <w:sz w:val="24"/>
                <w:szCs w:val="24"/>
                <w:highlight w:val="none"/>
                <w:lang w:val="en-US" w:eastAsia="zh-CN"/>
              </w:rPr>
            </w:pPr>
            <w:r>
              <w:rPr>
                <w:rFonts w:hint="eastAsia" w:hAnsi="宋体" w:cs="宋体"/>
                <w:color w:val="auto"/>
                <w:sz w:val="24"/>
                <w:szCs w:val="24"/>
                <w:highlight w:val="none"/>
                <w:u w:val="none"/>
                <w:lang w:eastAsia="zh-CN"/>
              </w:rPr>
              <w:t>采购</w:t>
            </w:r>
            <w:r>
              <w:rPr>
                <w:rFonts w:hint="eastAsia" w:hAnsi="宋体" w:cs="宋体"/>
                <w:color w:val="auto"/>
                <w:sz w:val="24"/>
                <w:szCs w:val="24"/>
                <w:highlight w:val="none"/>
                <w:u w:val="none"/>
                <w:lang w:val="en-US" w:eastAsia="zh-CN"/>
              </w:rPr>
              <w:t>户内燃气紧急切断阀（民用）</w:t>
            </w:r>
            <w:r>
              <w:rPr>
                <w:rFonts w:hint="eastAsia" w:hAnsi="宋体" w:cs="宋体"/>
                <w:color w:val="auto"/>
                <w:sz w:val="24"/>
                <w:szCs w:val="24"/>
                <w:highlight w:val="none"/>
                <w:u w:val="none"/>
                <w:lang w:eastAsia="zh-CN"/>
              </w:rPr>
              <w:t>、一氧化碳报警设备</w:t>
            </w:r>
            <w:r>
              <w:rPr>
                <w:rFonts w:hint="eastAsia" w:hAnsi="宋体" w:cs="宋体"/>
                <w:b/>
                <w:bCs/>
                <w:color w:val="auto"/>
                <w:sz w:val="24"/>
                <w:szCs w:val="24"/>
                <w:highlight w:val="none"/>
                <w:u w:val="none"/>
                <w:lang w:eastAsia="zh-CN"/>
              </w:rPr>
              <w:t>（</w:t>
            </w:r>
            <w:r>
              <w:rPr>
                <w:rFonts w:hint="eastAsia" w:hAnsi="宋体" w:cs="宋体"/>
                <w:b/>
                <w:bCs/>
                <w:color w:val="auto"/>
                <w:sz w:val="24"/>
                <w:szCs w:val="24"/>
                <w:highlight w:val="none"/>
                <w:u w:val="none"/>
                <w:lang w:val="en-US" w:eastAsia="zh-CN"/>
              </w:rPr>
              <w:t>只包含</w:t>
            </w:r>
            <w:r>
              <w:rPr>
                <w:rFonts w:hint="eastAsia" w:hAnsi="宋体" w:cs="宋体"/>
                <w:b/>
                <w:bCs/>
                <w:color w:val="auto"/>
                <w:sz w:val="24"/>
                <w:szCs w:val="24"/>
                <w:highlight w:val="none"/>
                <w:u w:val="none"/>
                <w:lang w:eastAsia="zh-CN"/>
              </w:rPr>
              <w:t>一氧化碳报警设备的</w:t>
            </w:r>
            <w:r>
              <w:rPr>
                <w:rFonts w:hint="eastAsia" w:hAnsi="宋体" w:cs="宋体"/>
                <w:b/>
                <w:bCs/>
                <w:color w:val="auto"/>
                <w:sz w:val="24"/>
                <w:szCs w:val="24"/>
                <w:highlight w:val="none"/>
                <w:u w:val="none"/>
                <w:lang w:val="en-US" w:eastAsia="zh-CN"/>
              </w:rPr>
              <w:t>安装服务</w:t>
            </w:r>
            <w:r>
              <w:rPr>
                <w:rFonts w:hint="eastAsia" w:hAnsi="宋体" w:cs="宋体"/>
                <w:b/>
                <w:bCs/>
                <w:color w:val="auto"/>
                <w:sz w:val="24"/>
                <w:szCs w:val="24"/>
                <w:highlight w:val="none"/>
                <w:u w:val="none"/>
                <w:lang w:eastAsia="zh-CN"/>
              </w:rPr>
              <w:t>）</w:t>
            </w:r>
          </w:p>
        </w:tc>
      </w:tr>
      <w:tr w14:paraId="672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01BBC4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440" w:type="dxa"/>
            <w:vAlign w:val="center"/>
          </w:tcPr>
          <w:p w14:paraId="3D768C8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标段（包）划分</w:t>
            </w:r>
          </w:p>
        </w:tc>
        <w:tc>
          <w:tcPr>
            <w:tcW w:w="6540" w:type="dxa"/>
            <w:vAlign w:val="center"/>
          </w:tcPr>
          <w:p w14:paraId="37007FFE">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本次招标共</w:t>
            </w:r>
            <w:r>
              <w:rPr>
                <w:rFonts w:hint="eastAsia" w:ascii="宋体" w:hAnsi="宋体" w:cs="宋体"/>
                <w:color w:val="auto"/>
                <w:sz w:val="24"/>
                <w:szCs w:val="24"/>
                <w:highlight w:val="none"/>
                <w:lang w:val="en-US" w:eastAsia="zh-CN"/>
              </w:rPr>
              <w:t>1个标项</w:t>
            </w:r>
          </w:p>
        </w:tc>
      </w:tr>
      <w:tr w14:paraId="68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09A2476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440" w:type="dxa"/>
            <w:vAlign w:val="center"/>
          </w:tcPr>
          <w:p w14:paraId="0B97073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供货期</w:t>
            </w:r>
          </w:p>
        </w:tc>
        <w:tc>
          <w:tcPr>
            <w:tcW w:w="6540" w:type="dxa"/>
            <w:vAlign w:val="center"/>
          </w:tcPr>
          <w:p w14:paraId="52D32804">
            <w:pPr>
              <w:pStyle w:val="38"/>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eastAsia="zh-CN"/>
              </w:rPr>
              <w:t>签订合同后</w:t>
            </w:r>
            <w:r>
              <w:rPr>
                <w:rFonts w:hint="eastAsia" w:ascii="宋体" w:hAnsi="宋体" w:eastAsia="宋体" w:cs="宋体"/>
                <w:color w:val="auto"/>
                <w:sz w:val="24"/>
                <w:szCs w:val="24"/>
                <w:highlight w:val="none"/>
                <w:shd w:val="clear" w:color="auto" w:fill="auto"/>
                <w:lang w:val="en-US" w:eastAsia="zh-CN"/>
              </w:rPr>
              <w:t>30</w:t>
            </w:r>
            <w:r>
              <w:rPr>
                <w:rFonts w:hint="eastAsia" w:ascii="宋体" w:hAnsi="宋体" w:eastAsia="宋体" w:cs="宋体"/>
                <w:color w:val="auto"/>
                <w:sz w:val="24"/>
                <w:szCs w:val="24"/>
                <w:highlight w:val="none"/>
                <w:shd w:val="clear" w:color="auto" w:fill="auto"/>
                <w:lang w:eastAsia="zh-CN"/>
              </w:rPr>
              <w:t>日内</w:t>
            </w:r>
          </w:p>
        </w:tc>
      </w:tr>
      <w:tr w14:paraId="68C4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69F8EADB">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440" w:type="dxa"/>
            <w:vAlign w:val="center"/>
          </w:tcPr>
          <w:p w14:paraId="0082A93E">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6540" w:type="dxa"/>
            <w:vAlign w:val="center"/>
          </w:tcPr>
          <w:p w14:paraId="493DE22C">
            <w:pPr>
              <w:pStyle w:val="38"/>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五年</w:t>
            </w:r>
          </w:p>
        </w:tc>
      </w:tr>
      <w:tr w14:paraId="6F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6E7111A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p>
        </w:tc>
        <w:tc>
          <w:tcPr>
            <w:tcW w:w="1440" w:type="dxa"/>
            <w:vAlign w:val="center"/>
          </w:tcPr>
          <w:p w14:paraId="7A6875DD">
            <w:pPr>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核心产品</w:t>
            </w:r>
          </w:p>
        </w:tc>
        <w:tc>
          <w:tcPr>
            <w:tcW w:w="6540" w:type="dxa"/>
            <w:vAlign w:val="center"/>
          </w:tcPr>
          <w:p w14:paraId="3AAB9735">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 xml:space="preserve">有  </w:t>
            </w: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无 （核心产品为：一氧化碳报警设备）</w:t>
            </w:r>
          </w:p>
        </w:tc>
      </w:tr>
      <w:tr w14:paraId="72E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1" w:type="dxa"/>
            <w:vAlign w:val="center"/>
          </w:tcPr>
          <w:p w14:paraId="68D69C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440" w:type="dxa"/>
            <w:vAlign w:val="center"/>
          </w:tcPr>
          <w:p w14:paraId="285379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投标人资格要求</w:t>
            </w:r>
          </w:p>
        </w:tc>
        <w:tc>
          <w:tcPr>
            <w:tcW w:w="6540" w:type="dxa"/>
            <w:vAlign w:val="center"/>
          </w:tcPr>
          <w:p w14:paraId="2B206D98">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008AACF">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本项目专门面</w:t>
            </w:r>
            <w:r>
              <w:rPr>
                <w:rFonts w:hint="eastAsia" w:ascii="宋体" w:hAnsi="宋体" w:cs="宋体"/>
                <w:color w:val="auto"/>
                <w:sz w:val="24"/>
                <w:szCs w:val="24"/>
                <w:highlight w:val="none"/>
                <w:lang w:val="en-US" w:eastAsia="zh-CN"/>
              </w:rPr>
              <w:t>向</w:t>
            </w:r>
            <w:r>
              <w:rPr>
                <w:rFonts w:hint="eastAsia" w:ascii="宋体" w:hAnsi="宋体" w:eastAsia="宋体" w:cs="宋体"/>
                <w:color w:val="auto"/>
                <w:sz w:val="24"/>
                <w:szCs w:val="24"/>
                <w:highlight w:val="none"/>
                <w:lang w:val="en-US" w:eastAsia="zh-CN"/>
              </w:rPr>
              <w:t>中小企业。</w:t>
            </w:r>
          </w:p>
          <w:p w14:paraId="1A68642C">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C66787B">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与招标人存在利害关系可能影响招标公正性的法人、其他组织或者个人，不得参加同一标段投标或者未划分标段的同一招标不得参加投标；</w:t>
            </w:r>
          </w:p>
          <w:p w14:paraId="00694662">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3.2</w:t>
            </w:r>
            <w:r>
              <w:rPr>
                <w:rFonts w:hint="eastAsia" w:ascii="宋体" w:hAnsi="宋体" w:eastAsia="宋体" w:cs="宋体"/>
                <w:color w:val="auto"/>
                <w:sz w:val="24"/>
                <w:szCs w:val="24"/>
                <w:highlight w:val="none"/>
              </w:rPr>
              <w:t>投标人负责人为同一人或者存在控股、管理关系的不同单位，不得同时参加本项目的投标。</w:t>
            </w:r>
          </w:p>
          <w:p w14:paraId="085AF38A">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3.3</w:t>
            </w:r>
            <w:r>
              <w:rPr>
                <w:rFonts w:hint="eastAsia" w:ascii="宋体" w:hAnsi="宋体" w:eastAsia="宋体" w:cs="宋体"/>
                <w:color w:val="auto"/>
                <w:sz w:val="24"/>
                <w:szCs w:val="24"/>
                <w:highlight w:val="none"/>
              </w:rPr>
              <w:t>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处罚期内)，不得参加本项目投标。</w:t>
            </w:r>
          </w:p>
        </w:tc>
      </w:tr>
      <w:tr w14:paraId="247B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6BDC7F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440" w:type="dxa"/>
            <w:vAlign w:val="center"/>
          </w:tcPr>
          <w:p w14:paraId="53E8237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540" w:type="dxa"/>
            <w:vAlign w:val="center"/>
          </w:tcPr>
          <w:p w14:paraId="72E71906">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保证金金额：</w:t>
            </w:r>
          </w:p>
          <w:p w14:paraId="01C478E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w:t>
            </w:r>
            <w:r>
              <w:rPr>
                <w:rFonts w:hint="eastAsia" w:ascii="宋体" w:hAnsi="宋体" w:cs="宋体"/>
                <w:color w:val="auto"/>
                <w:sz w:val="24"/>
                <w:szCs w:val="24"/>
                <w:highlight w:val="none"/>
                <w:lang w:val="en-US" w:eastAsia="zh-CN"/>
              </w:rPr>
              <w:t>7000</w:t>
            </w:r>
            <w:r>
              <w:rPr>
                <w:rFonts w:hint="eastAsia" w:ascii="宋体" w:hAnsi="宋体" w:eastAsia="宋体" w:cs="宋体"/>
                <w:color w:val="auto"/>
                <w:sz w:val="24"/>
                <w:szCs w:val="24"/>
                <w:highlight w:val="none"/>
                <w:lang w:val="en-US" w:eastAsia="zh-CN"/>
              </w:rPr>
              <w:t>元；（大写：</w:t>
            </w:r>
            <w:r>
              <w:rPr>
                <w:rFonts w:hint="eastAsia" w:ascii="宋体" w:hAnsi="宋体" w:cs="宋体"/>
                <w:color w:val="auto"/>
                <w:sz w:val="24"/>
                <w:szCs w:val="24"/>
                <w:highlight w:val="none"/>
                <w:lang w:val="en-US" w:eastAsia="zh-CN"/>
              </w:rPr>
              <w:t>柒仟</w:t>
            </w:r>
            <w:r>
              <w:rPr>
                <w:rFonts w:hint="eastAsia" w:ascii="宋体" w:hAnsi="宋体" w:eastAsia="宋体" w:cs="宋体"/>
                <w:color w:val="auto"/>
                <w:sz w:val="24"/>
                <w:szCs w:val="24"/>
                <w:highlight w:val="none"/>
                <w:lang w:val="en-US" w:eastAsia="zh-CN"/>
              </w:rPr>
              <w:t>元整）；</w:t>
            </w:r>
          </w:p>
          <w:p w14:paraId="60548B87">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投标保证金缴纳方式：转账、电汇、投标保函等非现金形式。</w:t>
            </w:r>
          </w:p>
          <w:p w14:paraId="3BFBD48D">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网银转账的形式需由供应商的基本账户账户汇出（转账备注：项目名称+标段+保证金，超出备注字数的，供应商可自行缩写），须于投标文件递交截止时间前交至招标代理机构指定账户（以到账时间为准）。</w:t>
            </w:r>
          </w:p>
          <w:p w14:paraId="22D0764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账户名称：新疆泽源和忻项目管理咨询有限公司</w:t>
            </w:r>
          </w:p>
          <w:p w14:paraId="492C7431">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银行账号：0000020060110097946923</w:t>
            </w:r>
          </w:p>
          <w:p w14:paraId="2C6DD4D4">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开户行名称：乌鲁木齐银行股份有限公司乌鲁木齐龙盛街支行</w:t>
            </w:r>
          </w:p>
          <w:p w14:paraId="1C1508CF">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银行行号：313881000867</w:t>
            </w:r>
          </w:p>
          <w:p w14:paraId="3EF89F0F">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如采用保函形式缴纳，需将保函制作到电子投标文件中即可。需在投标截止时间前将扫描件发送至采购代理机构邮箱：</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"mailto:852148321@qq.com"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852148321@qq.com</w:t>
            </w:r>
            <w:r>
              <w:rPr>
                <w:rFonts w:hint="eastAsia" w:ascii="宋体" w:hAnsi="宋体" w:eastAsia="宋体" w:cs="宋体"/>
                <w:b/>
                <w:bCs/>
                <w:color w:val="auto"/>
                <w:sz w:val="24"/>
                <w:szCs w:val="24"/>
                <w:highlight w:val="none"/>
                <w:lang w:val="en-US" w:eastAsia="zh-CN"/>
              </w:rPr>
              <w:fldChar w:fldCharType="end"/>
            </w:r>
          </w:p>
          <w:p w14:paraId="5ABBBCD5">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退还保证金需提供以下资料：</w:t>
            </w:r>
          </w:p>
          <w:p w14:paraId="5A0FDD6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1、新疆泽源和忻项目管理咨询有限公司开具的收款收据原件。</w:t>
            </w:r>
          </w:p>
          <w:p w14:paraId="1C5E7748">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2、投标单位开具退款收据（收据上需清楚的盖有财务章，写清楚退款的项目名称）</w:t>
            </w:r>
          </w:p>
          <w:p w14:paraId="390F5207">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3、打款凭证盖章。</w:t>
            </w:r>
          </w:p>
          <w:p w14:paraId="2D94FA1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4、投标单位账户信息，并加盖公章。（账户信息上需写清楚：单位名称、开户银行、账号、行号、联系人、联系电话）</w:t>
            </w:r>
          </w:p>
          <w:p w14:paraId="7E8C8BEF">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不予退还保证金的情形有下列情形之一的，保证金不予退还：（1）供应商在提交投标文件截止时间后撤回投标文件的；（2）供应商在投标文件中提供虚假材料的；（3）除因不可抗力或招标文件认可的情形以外，成交供应商不与采购人签订合同的；（4）供应商与采购人、其他供应商或者采购代理机构恶意串通的；（5）招标文件规定的其他情形。</w:t>
            </w:r>
          </w:p>
        </w:tc>
      </w:tr>
      <w:tr w14:paraId="099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8F4D4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440" w:type="dxa"/>
            <w:vAlign w:val="center"/>
          </w:tcPr>
          <w:p w14:paraId="2DDB825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540" w:type="dxa"/>
            <w:vAlign w:val="center"/>
          </w:tcPr>
          <w:p w14:paraId="587F1D9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接受</w:t>
            </w:r>
          </w:p>
        </w:tc>
      </w:tr>
      <w:tr w14:paraId="75A6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671" w:type="dxa"/>
            <w:vAlign w:val="center"/>
          </w:tcPr>
          <w:p w14:paraId="32848FC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440" w:type="dxa"/>
            <w:vAlign w:val="center"/>
          </w:tcPr>
          <w:p w14:paraId="791CD4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540" w:type="dxa"/>
            <w:vAlign w:val="center"/>
          </w:tcPr>
          <w:p w14:paraId="1D02E1E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w:t>
            </w:r>
          </w:p>
        </w:tc>
      </w:tr>
      <w:tr w14:paraId="766C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4DBF3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1440" w:type="dxa"/>
            <w:vAlign w:val="center"/>
          </w:tcPr>
          <w:p w14:paraId="4C8EDDA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截止时间及地点</w:t>
            </w:r>
          </w:p>
        </w:tc>
        <w:tc>
          <w:tcPr>
            <w:tcW w:w="6540" w:type="dxa"/>
            <w:vAlign w:val="center"/>
          </w:tcPr>
          <w:p w14:paraId="0FEE578A">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pP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投标</w:t>
            </w:r>
            <w:r>
              <w:rPr>
                <w:rFonts w:hint="eastAsia" w:asciiTheme="minorEastAsia" w:hAnsiTheme="minorEastAsia" w:eastAsiaTheme="minorEastAsia" w:cstheme="minorEastAsia"/>
                <w:b w:val="0"/>
                <w:bCs/>
                <w:color w:val="auto"/>
                <w:sz w:val="24"/>
                <w:szCs w:val="24"/>
                <w:highlight w:val="none"/>
                <w:u w:val="none"/>
                <w:shd w:val="clear" w:color="auto" w:fill="auto"/>
              </w:rPr>
              <w:t>文件</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上传</w:t>
            </w:r>
            <w:r>
              <w:rPr>
                <w:rFonts w:hint="eastAsia" w:asciiTheme="minorEastAsia" w:hAnsiTheme="minorEastAsia" w:eastAsiaTheme="minorEastAsia" w:cstheme="minorEastAsia"/>
                <w:b w:val="0"/>
                <w:bCs/>
                <w:color w:val="auto"/>
                <w:sz w:val="24"/>
                <w:szCs w:val="24"/>
                <w:highlight w:val="none"/>
                <w:u w:val="none"/>
                <w:shd w:val="clear" w:color="auto" w:fill="auto"/>
              </w:rPr>
              <w:t>截止时间</w:t>
            </w:r>
            <w:r>
              <w:rPr>
                <w:rFonts w:hint="eastAsia" w:asciiTheme="minorEastAsia" w:hAnsiTheme="minorEastAsia" w:eastAsiaTheme="minorEastAsia" w:cstheme="minorEastAsia"/>
                <w:b w:val="0"/>
                <w:bCs/>
                <w:color w:val="auto"/>
                <w:sz w:val="24"/>
                <w:szCs w:val="24"/>
                <w:highlight w:val="none"/>
                <w:u w:val="none"/>
                <w:shd w:val="clear" w:color="auto" w:fill="auto"/>
                <w:lang w:eastAsia="zh-CN"/>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日</w:t>
            </w:r>
            <w:r>
              <w:rPr>
                <w:rFonts w:hint="eastAsia" w:asciiTheme="minorEastAsia" w:hAnsiTheme="minorEastAsia" w:eastAsiaTheme="minorEastAsia" w:cstheme="minorEastAsia"/>
                <w:b w:val="0"/>
                <w:bCs/>
                <w:color w:val="auto"/>
                <w:sz w:val="24"/>
                <w:szCs w:val="24"/>
                <w:highlight w:val="none"/>
                <w:u w:val="single"/>
                <w:shd w:val="clear" w:color="auto" w:fill="auto"/>
                <w:lang w:val="en-US" w:eastAsia="zh-CN"/>
              </w:rPr>
              <w:t>11</w:t>
            </w:r>
            <w:r>
              <w:rPr>
                <w:rFonts w:hint="eastAsia" w:asciiTheme="minorEastAsia" w:hAnsiTheme="minorEastAsia" w:eastAsiaTheme="minorEastAsia" w:cstheme="minorEastAsia"/>
                <w:b w:val="0"/>
                <w:bCs/>
                <w:color w:val="auto"/>
                <w:sz w:val="24"/>
                <w:szCs w:val="24"/>
                <w:highlight w:val="none"/>
                <w:u w:val="none"/>
                <w:shd w:val="clear" w:color="auto" w:fill="auto"/>
              </w:rPr>
              <w:t>时</w:t>
            </w:r>
            <w:r>
              <w:rPr>
                <w:rFonts w:hint="eastAsia" w:asciiTheme="minorEastAsia" w:hAnsiTheme="minorEastAsia" w:eastAsiaTheme="minorEastAsia" w:cstheme="minorEastAsia"/>
                <w:b w:val="0"/>
                <w:bCs/>
                <w:color w:val="auto"/>
                <w:sz w:val="24"/>
                <w:szCs w:val="24"/>
                <w:highlight w:val="none"/>
                <w:u w:val="single"/>
                <w:shd w:val="clear" w:color="auto" w:fill="auto"/>
              </w:rPr>
              <w:t>00</w:t>
            </w:r>
            <w:r>
              <w:rPr>
                <w:rFonts w:hint="eastAsia" w:asciiTheme="minorEastAsia" w:hAnsiTheme="minorEastAsia" w:eastAsiaTheme="minorEastAsia" w:cstheme="minorEastAsia"/>
                <w:b w:val="0"/>
                <w:bCs/>
                <w:color w:val="auto"/>
                <w:sz w:val="24"/>
                <w:szCs w:val="24"/>
                <w:highlight w:val="none"/>
                <w:u w:val="none"/>
                <w:shd w:val="clear" w:color="auto" w:fill="auto"/>
              </w:rPr>
              <w:t>分</w:t>
            </w:r>
            <w:r>
              <w:rPr>
                <w:rFonts w:hint="eastAsia" w:asciiTheme="minorEastAsia" w:hAnsiTheme="minorEastAsia" w:eastAsiaTheme="minorEastAsia" w:cstheme="minorEastAsia"/>
                <w:b w:val="0"/>
                <w:bCs/>
                <w:color w:val="auto"/>
                <w:kern w:val="0"/>
                <w:sz w:val="24"/>
                <w:szCs w:val="24"/>
                <w:highlight w:val="none"/>
                <w:u w:val="none"/>
                <w:shd w:val="clear" w:color="auto" w:fill="auto"/>
              </w:rPr>
              <w:t>（北京时间）</w:t>
            </w:r>
            <w:r>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t>；</w:t>
            </w:r>
          </w:p>
          <w:p w14:paraId="17E0A086">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应在投标截止时间前将“电子加密投标文件”成功</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至“政府采购云平台”，否则投标无效。</w:t>
            </w:r>
          </w:p>
        </w:tc>
      </w:tr>
      <w:tr w14:paraId="6E6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D29EE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1440" w:type="dxa"/>
            <w:vAlign w:val="center"/>
          </w:tcPr>
          <w:p w14:paraId="421282D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采用电子招标投标</w:t>
            </w:r>
          </w:p>
        </w:tc>
        <w:tc>
          <w:tcPr>
            <w:tcW w:w="6540" w:type="dxa"/>
            <w:vAlign w:val="center"/>
          </w:tcPr>
          <w:p w14:paraId="16E9DB2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w:t>
            </w:r>
          </w:p>
          <w:p w14:paraId="669917D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1、投标文件解密时间：</w:t>
            </w:r>
            <w:r>
              <w:rPr>
                <w:rFonts w:hint="eastAsia" w:ascii="宋体" w:hAnsi="宋体" w:eastAsia="宋体" w:cs="宋体"/>
                <w:color w:val="auto"/>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cs="宋体"/>
                <w:color w:val="auto"/>
                <w:sz w:val="24"/>
                <w:szCs w:val="24"/>
                <w:highlight w:val="none"/>
                <w:lang w:eastAsia="zh-CN"/>
              </w:rPr>
              <w:t>投标无效</w:t>
            </w:r>
            <w:r>
              <w:rPr>
                <w:rFonts w:hint="eastAsia" w:ascii="宋体" w:hAnsi="宋体" w:eastAsia="宋体" w:cs="宋体"/>
                <w:color w:val="auto"/>
                <w:sz w:val="24"/>
                <w:szCs w:val="24"/>
                <w:highlight w:val="none"/>
              </w:rPr>
              <w:t>。（解密时间开始时政采云平台将以短信形式向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在政采云平台预留的手机号发送短信通知，请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及时关注。）</w:t>
            </w:r>
          </w:p>
          <w:p w14:paraId="59BE2EF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报价CA签字确认：</w:t>
            </w:r>
            <w:r>
              <w:rPr>
                <w:rFonts w:hint="eastAsia" w:ascii="宋体" w:hAnsi="宋体" w:eastAsia="宋体" w:cs="宋体"/>
                <w:color w:val="auto"/>
                <w:sz w:val="24"/>
                <w:szCs w:val="24"/>
                <w:highlight w:val="none"/>
              </w:rPr>
              <w:t>报价文件开启后将开启签字时段，</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须在20分钟内用CA证书对报价进行签字确认。</w:t>
            </w:r>
          </w:p>
          <w:p w14:paraId="26B54EF2">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3、备注:</w:t>
            </w:r>
          </w:p>
          <w:p w14:paraId="29DCDC75">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（1）本次采购采用电子交易方式，电子交易平台为“政府采购云平台（www.zcygov.cn）”。</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参与本项目电子交易活动前，应注册成为政府采购平台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。编制电子投标文件前还需申领CA证书并绑定帐号.</w:t>
            </w:r>
          </w:p>
          <w:p w14:paraId="048FAFAC">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编制电子投标文件应安装“电子招投标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客户端”软件，并按照本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客户端的要求编制并加密投标文件。未按规定加密的投标文件，将被电子招投标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客户端拒收。“电子招投标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自行前往“新疆政府采购网—下载专区—新疆维吾尔自治区全流程电子招投标项目管理系统--电子招投标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客户端”版块获取。</w:t>
            </w:r>
          </w:p>
          <w:p w14:paraId="52702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应当在投标截止时间前，将“电子招投标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客户端”生成的“电子加密投标文件”上传电子交易平台。</w:t>
            </w:r>
          </w:p>
          <w:p w14:paraId="1483734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（5）服务与支持。各政府采购代理机构（含集采机构）及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对不见面开评标系统的技术操作咨询，可通过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https://edu.zcygov.cn/luban/xinjiang-e-biding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自助查询，也可在政采云帮助中心常见问题解答和操作流程讲解视频中自助查询，网址为：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https://service.zcygov.cn/#/help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”版面获取操作指南，同时对自助查询无法解决的问题可通过钉钉群及政采云在线客服获取服务支持。政采云热线人工号码：400-881-7190（工作时间：工作日08:00~20：00）</w:t>
            </w:r>
          </w:p>
        </w:tc>
      </w:tr>
      <w:tr w14:paraId="3214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6571CF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440" w:type="dxa"/>
            <w:vAlign w:val="center"/>
          </w:tcPr>
          <w:p w14:paraId="0CB7B51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540" w:type="dxa"/>
            <w:vAlign w:val="center"/>
          </w:tcPr>
          <w:p w14:paraId="18977B03">
            <w:pPr>
              <w:keepNext w:val="0"/>
              <w:keepLines w:val="0"/>
              <w:pageBreakBefore w:val="0"/>
              <w:numPr>
                <w:ilvl w:val="0"/>
                <w:numId w:val="6"/>
              </w:numPr>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投标人的报价明显低于其他通过符合性审查投标人的报价，有可能影响</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30468A2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2、投标人的报价包含提供的所有</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及相关工作范围内所有费用的总价。</w:t>
            </w:r>
          </w:p>
        </w:tc>
      </w:tr>
      <w:tr w14:paraId="2A7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05DC45F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440" w:type="dxa"/>
            <w:vAlign w:val="center"/>
          </w:tcPr>
          <w:p w14:paraId="4B6C91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540" w:type="dxa"/>
            <w:vAlign w:val="center"/>
          </w:tcPr>
          <w:p w14:paraId="7AC1A93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不组织，投标人自行踏勘，无论投标人对现场考察与否，都将被视为熟悉履行合同有关的一切情况，投标人现场踏勘发生的费用自理。</w:t>
            </w:r>
          </w:p>
        </w:tc>
      </w:tr>
      <w:tr w14:paraId="62BB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FCA000">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440" w:type="dxa"/>
            <w:vAlign w:val="center"/>
          </w:tcPr>
          <w:p w14:paraId="1A20C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6540" w:type="dxa"/>
            <w:vAlign w:val="center"/>
          </w:tcPr>
          <w:p w14:paraId="28F0CBD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 xml:space="preserve">不召开  </w:t>
            </w:r>
          </w:p>
        </w:tc>
      </w:tr>
      <w:tr w14:paraId="366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1C3A8A9">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w:t>
            </w:r>
          </w:p>
        </w:tc>
        <w:tc>
          <w:tcPr>
            <w:tcW w:w="1440" w:type="dxa"/>
            <w:vAlign w:val="center"/>
          </w:tcPr>
          <w:p w14:paraId="09BD407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近年财务状况年份要求</w:t>
            </w:r>
          </w:p>
        </w:tc>
        <w:tc>
          <w:tcPr>
            <w:tcW w:w="6540" w:type="dxa"/>
            <w:vAlign w:val="center"/>
          </w:tcPr>
          <w:p w14:paraId="3E81D28B">
            <w:pPr>
              <w:pStyle w:val="25"/>
              <w:keepNext w:val="0"/>
              <w:keepLines w:val="0"/>
              <w:pageBreakBefore w:val="0"/>
              <w:kinsoku/>
              <w:wordWrap/>
              <w:overflowPunct/>
              <w:topLinePunct w:val="0"/>
              <w:autoSpaceDE/>
              <w:autoSpaceDN/>
              <w:bidi w:val="0"/>
              <w:spacing w:line="400" w:lineRule="exact"/>
              <w:ind w:left="0" w:firstLine="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银行出具的近1年内资信证明或</w:t>
            </w:r>
            <w:r>
              <w:rPr>
                <w:rFonts w:hint="eastAsia" w:ascii="宋体" w:hAnsi="宋体" w:eastAsia="宋体" w:cs="宋体"/>
                <w:b/>
                <w:bCs/>
                <w:color w:val="auto"/>
                <w:sz w:val="24"/>
                <w:szCs w:val="24"/>
                <w:highlight w:val="none"/>
                <w:lang w:val="en-US" w:eastAsia="zh-CN"/>
              </w:rPr>
              <w:t>2024年度（如2024年审计报告未出可提供</w:t>
            </w:r>
            <w:r>
              <w:rPr>
                <w:rFonts w:hint="default" w:ascii="宋体" w:hAnsi="宋体" w:eastAsia="宋体" w:cs="宋体"/>
                <w:b/>
                <w:bCs/>
                <w:color w:val="auto"/>
                <w:sz w:val="24"/>
                <w:szCs w:val="24"/>
                <w:highlight w:val="none"/>
                <w:lang w:val="en-US" w:eastAsia="zh-CN"/>
              </w:rPr>
              <w:t>2023年度</w:t>
            </w:r>
            <w:r>
              <w:rPr>
                <w:rFonts w:hint="eastAsia" w:ascii="宋体" w:hAnsi="宋体" w:eastAsia="宋体" w:cs="宋体"/>
                <w:b/>
                <w:bCs/>
                <w:color w:val="auto"/>
                <w:sz w:val="24"/>
                <w:szCs w:val="24"/>
                <w:highlight w:val="none"/>
                <w:lang w:val="en-US" w:eastAsia="zh-CN"/>
              </w:rPr>
              <w:t>审计报告）</w:t>
            </w:r>
            <w:r>
              <w:rPr>
                <w:rFonts w:hint="default" w:ascii="宋体" w:hAnsi="宋体" w:eastAsia="宋体" w:cs="宋体"/>
                <w:b/>
                <w:bCs/>
                <w:color w:val="auto"/>
                <w:sz w:val="24"/>
                <w:szCs w:val="24"/>
                <w:highlight w:val="none"/>
                <w:lang w:val="en-US" w:eastAsia="zh-CN"/>
              </w:rPr>
              <w:t>经审计的财务报告</w:t>
            </w:r>
          </w:p>
        </w:tc>
      </w:tr>
      <w:tr w14:paraId="7EF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483850">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440" w:type="dxa"/>
            <w:vAlign w:val="center"/>
          </w:tcPr>
          <w:p w14:paraId="7FEE0B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40" w:type="dxa"/>
            <w:vAlign w:val="center"/>
          </w:tcPr>
          <w:p w14:paraId="05EBA4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从开标之日起60日历天</w:t>
            </w:r>
          </w:p>
        </w:tc>
      </w:tr>
      <w:tr w14:paraId="6D9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F176C78">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440" w:type="dxa"/>
            <w:vAlign w:val="center"/>
          </w:tcPr>
          <w:p w14:paraId="51F24DC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540" w:type="dxa"/>
            <w:vAlign w:val="center"/>
          </w:tcPr>
          <w:p w14:paraId="025CDE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p>
          <w:p w14:paraId="79386FE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评标专家确定方式：经济、技术专家不少于评标委员会组成人员的三分之二，按相关规定从政府采购专家库中随机抽取。</w:t>
            </w:r>
          </w:p>
        </w:tc>
      </w:tr>
      <w:tr w14:paraId="67D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1" w:type="dxa"/>
            <w:vAlign w:val="center"/>
          </w:tcPr>
          <w:p w14:paraId="0C8EE879">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440" w:type="dxa"/>
            <w:vAlign w:val="center"/>
          </w:tcPr>
          <w:p w14:paraId="30C9E9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40" w:type="dxa"/>
            <w:vAlign w:val="center"/>
          </w:tcPr>
          <w:p w14:paraId="2843C18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241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ED0E94A">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440" w:type="dxa"/>
            <w:vAlign w:val="center"/>
          </w:tcPr>
          <w:p w14:paraId="4D0C88A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540" w:type="dxa"/>
            <w:vAlign w:val="center"/>
          </w:tcPr>
          <w:p w14:paraId="509A534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6A7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647AB6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440" w:type="dxa"/>
            <w:vAlign w:val="center"/>
          </w:tcPr>
          <w:p w14:paraId="26A881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540" w:type="dxa"/>
            <w:vAlign w:val="center"/>
          </w:tcPr>
          <w:p w14:paraId="13ED89D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471A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F1B34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1440" w:type="dxa"/>
            <w:vAlign w:val="center"/>
          </w:tcPr>
          <w:p w14:paraId="1CE44C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代理费用</w:t>
            </w:r>
          </w:p>
        </w:tc>
        <w:tc>
          <w:tcPr>
            <w:tcW w:w="6540" w:type="dxa"/>
            <w:vAlign w:val="center"/>
          </w:tcPr>
          <w:p w14:paraId="4DD31D8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招标代理服务费参照国家计委关于《招标代理服务收费管理暂行办法》（计价格[2002]1980号）和国家发改价格【2011】534号文件的取费标准，以中标价为基准,由中标单位支付。                         </w:t>
            </w:r>
          </w:p>
        </w:tc>
      </w:tr>
      <w:tr w14:paraId="7B3C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671" w:type="dxa"/>
            <w:vAlign w:val="center"/>
          </w:tcPr>
          <w:p w14:paraId="17DB196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p>
        </w:tc>
        <w:tc>
          <w:tcPr>
            <w:tcW w:w="1440" w:type="dxa"/>
            <w:vAlign w:val="center"/>
          </w:tcPr>
          <w:p w14:paraId="208BF87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540" w:type="dxa"/>
            <w:vAlign w:val="center"/>
          </w:tcPr>
          <w:p w14:paraId="485BE47B">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国库集中支付</w:t>
            </w:r>
          </w:p>
        </w:tc>
      </w:tr>
      <w:tr w14:paraId="4E0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0CC7201B">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440" w:type="dxa"/>
            <w:vAlign w:val="center"/>
          </w:tcPr>
          <w:p w14:paraId="70AC9927">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540" w:type="dxa"/>
            <w:vAlign w:val="center"/>
          </w:tcPr>
          <w:p w14:paraId="56521E10">
            <w:pPr>
              <w:widowControl/>
              <w:numPr>
                <w:ilvl w:val="0"/>
                <w:numId w:val="0"/>
              </w:numPr>
              <w:tabs>
                <w:tab w:val="left" w:pos="720"/>
                <w:tab w:val="left" w:pos="900"/>
                <w:tab w:val="left" w:pos="1080"/>
                <w:tab w:val="left" w:pos="1260"/>
                <w:tab w:val="left" w:pos="1440"/>
                <w:tab w:val="left" w:pos="1800"/>
              </w:tabs>
              <w:spacing w:line="288" w:lineRule="auto"/>
              <w:jc w:val="left"/>
              <w:rPr>
                <w:rFonts w:hint="default" w:eastAsia="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本次招标如有变更、澄清或其他通知将在发布招标公告的网站上公布。</w:t>
            </w:r>
          </w:p>
        </w:tc>
      </w:tr>
    </w:tbl>
    <w:p w14:paraId="4DAC0506">
      <w:pPr>
        <w:pStyle w:val="4"/>
        <w:pageBreakBefore w:val="0"/>
        <w:widowControl w:val="0"/>
        <w:kinsoku/>
        <w:wordWrap/>
        <w:overflowPunct/>
        <w:topLinePunct w:val="0"/>
        <w:autoSpaceDE/>
        <w:autoSpaceDN/>
        <w:bidi w:val="0"/>
        <w:adjustRightInd/>
        <w:spacing w:before="156" w:after="156" w:line="480"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rPr>
        <w:t>二、总  则</w:t>
      </w:r>
    </w:p>
    <w:p w14:paraId="7004E91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3" w:name="_Toc183582205"/>
      <w:bookmarkStart w:id="44" w:name="_Toc183682342"/>
      <w:bookmarkStart w:id="45" w:name="_Toc217446034"/>
      <w:r>
        <w:rPr>
          <w:rFonts w:hint="eastAsia" w:ascii="宋体" w:hAnsi="宋体" w:eastAsia="宋体" w:cs="宋体"/>
          <w:color w:val="auto"/>
          <w:sz w:val="24"/>
          <w:szCs w:val="24"/>
          <w:highlight w:val="none"/>
        </w:rPr>
        <w:t>1.</w:t>
      </w:r>
      <w:bookmarkEnd w:id="43"/>
      <w:bookmarkEnd w:id="44"/>
      <w:r>
        <w:rPr>
          <w:rFonts w:hint="eastAsia" w:ascii="宋体" w:hAnsi="宋体" w:eastAsia="宋体" w:cs="宋体"/>
          <w:color w:val="auto"/>
          <w:sz w:val="24"/>
          <w:szCs w:val="24"/>
          <w:highlight w:val="none"/>
        </w:rPr>
        <w:t xml:space="preserve"> 适用范围</w:t>
      </w:r>
      <w:bookmarkEnd w:id="45"/>
    </w:p>
    <w:p w14:paraId="213F69A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本招标文件仅适用于本次招标项目。</w:t>
      </w:r>
    </w:p>
    <w:p w14:paraId="0DEBD89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6" w:name="_Toc183582206"/>
      <w:bookmarkStart w:id="47" w:name="_Toc183682343"/>
      <w:bookmarkStart w:id="48" w:name="_Toc217446035"/>
      <w:r>
        <w:rPr>
          <w:rFonts w:hint="eastAsia" w:ascii="宋体" w:hAnsi="宋体" w:eastAsia="宋体" w:cs="宋体"/>
          <w:color w:val="auto"/>
          <w:sz w:val="24"/>
          <w:szCs w:val="24"/>
          <w:highlight w:val="none"/>
        </w:rPr>
        <w:t xml:space="preserve">2. </w:t>
      </w:r>
      <w:bookmarkEnd w:id="46"/>
      <w:bookmarkEnd w:id="47"/>
      <w:r>
        <w:rPr>
          <w:rFonts w:hint="eastAsia" w:ascii="宋体" w:hAnsi="宋体" w:eastAsia="宋体" w:cs="宋体"/>
          <w:color w:val="auto"/>
          <w:sz w:val="24"/>
          <w:szCs w:val="24"/>
          <w:highlight w:val="none"/>
        </w:rPr>
        <w:t>有关定义</w:t>
      </w:r>
      <w:bookmarkEnd w:id="48"/>
    </w:p>
    <w:p w14:paraId="4A553B3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“采购人”系指依法进行政府采购的国家机关、事业单位、团体组织。本项目采购人是</w:t>
      </w:r>
      <w:r>
        <w:rPr>
          <w:rFonts w:hint="eastAsia" w:ascii="宋体" w:hAnsi="宋体" w:cs="宋体"/>
          <w:color w:val="auto"/>
          <w:sz w:val="24"/>
          <w:szCs w:val="24"/>
          <w:highlight w:val="none"/>
          <w:u w:val="single"/>
          <w:lang w:eastAsia="zh-CN"/>
        </w:rPr>
        <w:t>乌鲁木齐市应急管理局（市矿山安全监督管理局）</w:t>
      </w:r>
      <w:r>
        <w:rPr>
          <w:rFonts w:hint="eastAsia" w:ascii="宋体" w:hAnsi="宋体" w:eastAsia="宋体" w:cs="宋体"/>
          <w:color w:val="auto"/>
          <w:sz w:val="24"/>
          <w:szCs w:val="24"/>
          <w:highlight w:val="none"/>
        </w:rPr>
        <w:t>。</w:t>
      </w:r>
    </w:p>
    <w:p w14:paraId="32FAE97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“采购代理机构”系指根据采购人的委托依法办理招标事宜的采购机构。本次招标的采购代理机构是</w:t>
      </w:r>
      <w:r>
        <w:rPr>
          <w:rFonts w:hint="eastAsia" w:ascii="宋体" w:hAnsi="宋体" w:cs="宋体"/>
          <w:color w:val="auto"/>
          <w:sz w:val="24"/>
          <w:szCs w:val="24"/>
          <w:highlight w:val="none"/>
          <w:u w:val="single"/>
          <w:lang w:eastAsia="zh-CN"/>
        </w:rPr>
        <w:t>新疆泽源和忻项目管理咨询有限公司</w:t>
      </w:r>
      <w:r>
        <w:rPr>
          <w:rFonts w:hint="eastAsia" w:ascii="宋体" w:hAnsi="宋体" w:eastAsia="宋体" w:cs="宋体"/>
          <w:color w:val="auto"/>
          <w:sz w:val="24"/>
          <w:szCs w:val="24"/>
          <w:highlight w:val="none"/>
        </w:rPr>
        <w:t>。</w:t>
      </w:r>
    </w:p>
    <w:p w14:paraId="2841EAC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“采购单位”系指“采购人”和“采购代理机构”的统称。</w:t>
      </w:r>
    </w:p>
    <w:p w14:paraId="15A6F09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“投标人”系指下载了招标文件拟参加投标和向采购人提供货物的投标人。</w:t>
      </w:r>
    </w:p>
    <w:p w14:paraId="08C53B6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49" w:name="_Toc183582207"/>
      <w:bookmarkStart w:id="50" w:name="_Toc217390843"/>
      <w:bookmarkStart w:id="51" w:name="_Toc217446036"/>
      <w:bookmarkStart w:id="52" w:name="_Toc183682344"/>
      <w:r>
        <w:rPr>
          <w:rFonts w:hint="eastAsia" w:ascii="宋体" w:hAnsi="宋体" w:eastAsia="宋体" w:cs="宋体"/>
          <w:color w:val="auto"/>
          <w:sz w:val="24"/>
          <w:szCs w:val="24"/>
          <w:highlight w:val="none"/>
        </w:rPr>
        <w:t>3. 合格的</w:t>
      </w:r>
      <w:bookmarkEnd w:id="49"/>
      <w:bookmarkEnd w:id="50"/>
      <w:bookmarkEnd w:id="51"/>
      <w:bookmarkEnd w:id="52"/>
      <w:r>
        <w:rPr>
          <w:rFonts w:hint="eastAsia" w:ascii="宋体" w:hAnsi="宋体" w:eastAsia="宋体" w:cs="宋体"/>
          <w:color w:val="auto"/>
          <w:sz w:val="24"/>
          <w:szCs w:val="24"/>
          <w:highlight w:val="none"/>
        </w:rPr>
        <w:t>投标人</w:t>
      </w:r>
    </w:p>
    <w:p w14:paraId="5E8AD51C">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14:paraId="7E2B8E0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（1）本招标文件“招标公告”第二条规定的条件</w:t>
      </w:r>
      <w:r>
        <w:rPr>
          <w:rFonts w:hint="eastAsia" w:ascii="宋体" w:hAnsi="宋体" w:eastAsia="宋体" w:cs="宋体"/>
          <w:color w:val="auto"/>
          <w:spacing w:val="-4"/>
          <w:sz w:val="24"/>
          <w:szCs w:val="24"/>
          <w:highlight w:val="none"/>
        </w:rPr>
        <w:t>；</w:t>
      </w:r>
    </w:p>
    <w:p w14:paraId="068DB1D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（2）遵守国家有关的法律、法规、规章和其他政策规定；</w:t>
      </w:r>
    </w:p>
    <w:p w14:paraId="0B456E8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（3）下载招标文件并参与竞争。</w:t>
      </w:r>
    </w:p>
    <w:p w14:paraId="054B95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53" w:name="_Toc183582208"/>
      <w:bookmarkStart w:id="54" w:name="_Toc183682345"/>
      <w:bookmarkStart w:id="55" w:name="_Toc217446037"/>
      <w:r>
        <w:rPr>
          <w:rFonts w:hint="eastAsia" w:ascii="宋体" w:hAnsi="宋体" w:eastAsia="宋体" w:cs="宋体"/>
          <w:color w:val="auto"/>
          <w:sz w:val="24"/>
          <w:szCs w:val="24"/>
          <w:highlight w:val="none"/>
        </w:rPr>
        <w:t>4. 投标费用</w:t>
      </w:r>
      <w:bookmarkEnd w:id="53"/>
      <w:bookmarkEnd w:id="54"/>
      <w:bookmarkEnd w:id="55"/>
    </w:p>
    <w:p w14:paraId="08AB82D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投标人参加投标的有关费用由投标人自行承担。</w:t>
      </w:r>
    </w:p>
    <w:p w14:paraId="54FA401B">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auto"/>
          <w:sz w:val="24"/>
          <w:szCs w:val="24"/>
          <w:highlight w:val="none"/>
        </w:rPr>
      </w:pPr>
      <w:bookmarkStart w:id="56" w:name="_Toc77400779"/>
      <w:bookmarkStart w:id="57" w:name="_Toc183682346"/>
      <w:bookmarkStart w:id="58" w:name="_Toc89075875"/>
      <w:bookmarkStart w:id="59" w:name="_Toc217446038"/>
      <w:bookmarkStart w:id="60" w:name="_Toc183582209"/>
      <w:r>
        <w:rPr>
          <w:rFonts w:hint="eastAsia" w:ascii="宋体" w:hAnsi="宋体" w:eastAsia="宋体" w:cs="宋体"/>
          <w:bCs w:val="0"/>
          <w:color w:val="auto"/>
          <w:sz w:val="24"/>
          <w:szCs w:val="24"/>
          <w:highlight w:val="none"/>
        </w:rPr>
        <w:t>三、</w:t>
      </w:r>
      <w:bookmarkEnd w:id="56"/>
      <w:bookmarkEnd w:id="57"/>
      <w:bookmarkEnd w:id="58"/>
      <w:bookmarkEnd w:id="59"/>
      <w:bookmarkEnd w:id="60"/>
      <w:r>
        <w:rPr>
          <w:rFonts w:hint="eastAsia" w:ascii="宋体" w:hAnsi="宋体" w:eastAsia="宋体" w:cs="宋体"/>
          <w:bCs w:val="0"/>
          <w:color w:val="auto"/>
          <w:sz w:val="24"/>
          <w:szCs w:val="24"/>
          <w:highlight w:val="none"/>
        </w:rPr>
        <w:t>招标文件</w:t>
      </w:r>
    </w:p>
    <w:p w14:paraId="4EDE00F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1" w:name="_Toc183682347"/>
      <w:bookmarkStart w:id="62" w:name="_Toc217446039"/>
      <w:bookmarkStart w:id="63" w:name="_Toc183582210"/>
      <w:r>
        <w:rPr>
          <w:rFonts w:hint="eastAsia" w:ascii="宋体" w:hAnsi="宋体" w:eastAsia="宋体" w:cs="宋体"/>
          <w:color w:val="auto"/>
          <w:sz w:val="24"/>
          <w:szCs w:val="24"/>
          <w:highlight w:val="none"/>
        </w:rPr>
        <w:t>5．招标文件的构成</w:t>
      </w:r>
      <w:bookmarkEnd w:id="61"/>
      <w:bookmarkEnd w:id="62"/>
      <w:bookmarkEnd w:id="63"/>
    </w:p>
    <w:p w14:paraId="4FFC90C5">
      <w:pPr>
        <w:pageBreakBefore w:val="0"/>
        <w:widowControl w:val="0"/>
        <w:tabs>
          <w:tab w:val="left" w:pos="72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88403C3">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r>
        <w:rPr>
          <w:rFonts w:hint="eastAsia" w:ascii="宋体" w:hAnsi="宋体" w:eastAsia="宋体" w:cs="宋体"/>
          <w:color w:val="auto"/>
          <w:sz w:val="24"/>
          <w:szCs w:val="24"/>
          <w:highlight w:val="none"/>
        </w:rPr>
        <w:tab/>
      </w:r>
    </w:p>
    <w:p w14:paraId="1AEED1E6">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r>
        <w:rPr>
          <w:rFonts w:hint="eastAsia" w:ascii="宋体" w:hAnsi="宋体" w:eastAsia="宋体" w:cs="宋体"/>
          <w:color w:val="auto"/>
          <w:sz w:val="24"/>
          <w:szCs w:val="24"/>
          <w:highlight w:val="none"/>
        </w:rPr>
        <w:tab/>
      </w:r>
    </w:p>
    <w:p w14:paraId="584175D8">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w:t>
      </w:r>
      <w:r>
        <w:rPr>
          <w:rFonts w:hint="eastAsia" w:ascii="宋体" w:hAnsi="宋体" w:eastAsia="宋体" w:cs="宋体"/>
          <w:color w:val="auto"/>
          <w:sz w:val="24"/>
          <w:szCs w:val="24"/>
          <w:highlight w:val="none"/>
        </w:rPr>
        <w:tab/>
      </w:r>
    </w:p>
    <w:p w14:paraId="5CBFFDB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（4）招标项目技术要求</w:t>
      </w:r>
      <w:r>
        <w:rPr>
          <w:rFonts w:hint="eastAsia" w:ascii="宋体" w:hAnsi="宋体" w:eastAsia="宋体" w:cs="宋体"/>
          <w:color w:val="auto"/>
          <w:sz w:val="24"/>
          <w:szCs w:val="24"/>
          <w:highlight w:val="none"/>
        </w:rPr>
        <w:tab/>
      </w:r>
    </w:p>
    <w:p w14:paraId="51AAD27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w:t>
      </w:r>
      <w:r>
        <w:rPr>
          <w:rFonts w:hint="eastAsia" w:ascii="宋体" w:hAnsi="宋体" w:eastAsia="宋体" w:cs="宋体"/>
          <w:color w:val="auto"/>
          <w:sz w:val="24"/>
          <w:szCs w:val="24"/>
          <w:highlight w:val="none"/>
        </w:rPr>
        <w:tab/>
      </w:r>
    </w:p>
    <w:p w14:paraId="5E6BD620">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（6）拟签订的合同文本</w:t>
      </w:r>
      <w:r>
        <w:rPr>
          <w:rFonts w:hint="eastAsia" w:ascii="宋体" w:hAnsi="宋体" w:eastAsia="宋体" w:cs="宋体"/>
          <w:color w:val="auto"/>
          <w:sz w:val="24"/>
          <w:szCs w:val="24"/>
          <w:highlight w:val="none"/>
        </w:rPr>
        <w:tab/>
      </w:r>
    </w:p>
    <w:p w14:paraId="60B1D1F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auto"/>
          <w:sz w:val="24"/>
          <w:szCs w:val="24"/>
          <w:highlight w:val="none"/>
        </w:rPr>
        <w:t>无效处理</w:t>
      </w:r>
      <w:r>
        <w:rPr>
          <w:rFonts w:hint="eastAsia" w:ascii="宋体" w:hAnsi="宋体" w:eastAsia="宋体" w:cs="宋体"/>
          <w:color w:val="auto"/>
          <w:sz w:val="24"/>
          <w:szCs w:val="24"/>
          <w:highlight w:val="none"/>
        </w:rPr>
        <w:t>。</w:t>
      </w:r>
    </w:p>
    <w:p w14:paraId="5B474A6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4" w:name="_Toc183582211"/>
      <w:bookmarkStart w:id="65" w:name="_Toc183682348"/>
      <w:bookmarkStart w:id="66" w:name="_Toc217446040"/>
      <w:r>
        <w:rPr>
          <w:rFonts w:hint="eastAsia" w:ascii="宋体" w:hAnsi="宋体" w:eastAsia="宋体" w:cs="宋体"/>
          <w:color w:val="auto"/>
          <w:sz w:val="24"/>
          <w:szCs w:val="24"/>
          <w:highlight w:val="none"/>
        </w:rPr>
        <w:t>6. 招标文件的澄清</w:t>
      </w:r>
      <w:bookmarkEnd w:id="64"/>
      <w:bookmarkEnd w:id="65"/>
      <w:r>
        <w:rPr>
          <w:rFonts w:hint="eastAsia" w:ascii="宋体" w:hAnsi="宋体" w:eastAsia="宋体" w:cs="宋体"/>
          <w:color w:val="auto"/>
          <w:sz w:val="24"/>
          <w:szCs w:val="24"/>
          <w:highlight w:val="none"/>
        </w:rPr>
        <w:t>和修改</w:t>
      </w:r>
      <w:bookmarkEnd w:id="66"/>
    </w:p>
    <w:p w14:paraId="25C7832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 </w:t>
      </w:r>
      <w:bookmarkStart w:id="67" w:name="_Toc217446041"/>
      <w:bookmarkStart w:id="68" w:name="_Toc208848971"/>
      <w:r>
        <w:rPr>
          <w:rFonts w:hint="eastAsia" w:ascii="宋体" w:hAnsi="宋体" w:eastAsia="宋体" w:cs="宋体"/>
          <w:color w:val="auto"/>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62F9B1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0D20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答疑会和现场考察</w:t>
      </w:r>
      <w:bookmarkEnd w:id="67"/>
      <w:bookmarkEnd w:id="68"/>
      <w:r>
        <w:rPr>
          <w:rFonts w:hint="eastAsia" w:ascii="宋体" w:hAnsi="宋体" w:eastAsia="宋体" w:cs="宋体"/>
          <w:color w:val="auto"/>
          <w:sz w:val="24"/>
          <w:szCs w:val="24"/>
          <w:highlight w:val="none"/>
        </w:rPr>
        <w:t>。</w:t>
      </w:r>
    </w:p>
    <w:p w14:paraId="1342080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9" w:name="_Toc89075876"/>
      <w:bookmarkStart w:id="70" w:name="_Toc77400780"/>
      <w:bookmarkStart w:id="71" w:name="_Toc183682351"/>
      <w:bookmarkStart w:id="72" w:name="_Toc183582214"/>
      <w:bookmarkStart w:id="73" w:name="_Toc217446042"/>
      <w:r>
        <w:rPr>
          <w:rFonts w:hint="eastAsia" w:ascii="宋体" w:hAnsi="宋体" w:eastAsia="宋体" w:cs="宋体"/>
          <w:color w:val="auto"/>
          <w:sz w:val="24"/>
          <w:szCs w:val="24"/>
          <w:highlight w:val="none"/>
        </w:rPr>
        <w:t>7.1 本项目不组织答疑会和现场考察。</w:t>
      </w:r>
    </w:p>
    <w:p w14:paraId="7764CC02">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69"/>
      <w:bookmarkEnd w:id="70"/>
      <w:bookmarkEnd w:id="71"/>
      <w:bookmarkEnd w:id="72"/>
      <w:bookmarkEnd w:id="73"/>
      <w:r>
        <w:rPr>
          <w:rFonts w:hint="eastAsia" w:ascii="宋体" w:hAnsi="宋体" w:eastAsia="宋体" w:cs="宋体"/>
          <w:bCs w:val="0"/>
          <w:color w:val="auto"/>
          <w:sz w:val="24"/>
          <w:szCs w:val="24"/>
          <w:highlight w:val="none"/>
        </w:rPr>
        <w:t>投标文件</w:t>
      </w:r>
    </w:p>
    <w:p w14:paraId="48065A1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4" w:name="_Toc217446043"/>
      <w:bookmarkStart w:id="75" w:name="_Toc183682352"/>
      <w:bookmarkStart w:id="76" w:name="_Toc183582215"/>
      <w:r>
        <w:rPr>
          <w:rFonts w:hint="eastAsia" w:ascii="宋体" w:hAnsi="宋体" w:eastAsia="宋体" w:cs="宋体"/>
          <w:color w:val="auto"/>
          <w:sz w:val="24"/>
          <w:szCs w:val="24"/>
          <w:highlight w:val="none"/>
        </w:rPr>
        <w:t>8．投标文件的语言</w:t>
      </w:r>
      <w:bookmarkEnd w:id="74"/>
      <w:bookmarkEnd w:id="75"/>
      <w:bookmarkEnd w:id="76"/>
    </w:p>
    <w:p w14:paraId="2534CB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2AAE431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1DACB2C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77" w:name="_Toc183582216"/>
      <w:bookmarkStart w:id="78" w:name="_Toc217446044"/>
      <w:bookmarkStart w:id="79" w:name="_Toc183682353"/>
      <w:r>
        <w:rPr>
          <w:rFonts w:hint="eastAsia" w:ascii="宋体" w:hAnsi="宋体" w:eastAsia="宋体" w:cs="宋体"/>
          <w:color w:val="auto"/>
          <w:sz w:val="24"/>
          <w:szCs w:val="24"/>
          <w:highlight w:val="none"/>
        </w:rPr>
        <w:t>9．计量单位</w:t>
      </w:r>
      <w:bookmarkEnd w:id="77"/>
      <w:bookmarkEnd w:id="78"/>
      <w:bookmarkEnd w:id="79"/>
    </w:p>
    <w:p w14:paraId="4B2DB17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除招标文件中另有规定外，本招标项下的投标均采用国家法定的计量单位。</w:t>
      </w:r>
    </w:p>
    <w:p w14:paraId="4E1768F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0" w:name="_Toc217446045"/>
      <w:r>
        <w:rPr>
          <w:rFonts w:hint="eastAsia" w:ascii="宋体" w:hAnsi="宋体" w:eastAsia="宋体" w:cs="宋体"/>
          <w:color w:val="auto"/>
          <w:sz w:val="24"/>
          <w:szCs w:val="24"/>
          <w:highlight w:val="none"/>
        </w:rPr>
        <w:t>10. 投标货币</w:t>
      </w:r>
      <w:bookmarkEnd w:id="80"/>
    </w:p>
    <w:p w14:paraId="4358FB00">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653EBE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1" w:name="_Toc217446046"/>
      <w:r>
        <w:rPr>
          <w:rFonts w:hint="eastAsia" w:ascii="宋体" w:hAnsi="宋体" w:eastAsia="宋体" w:cs="宋体"/>
          <w:color w:val="auto"/>
          <w:sz w:val="24"/>
          <w:szCs w:val="24"/>
          <w:highlight w:val="none"/>
        </w:rPr>
        <w:t>11. 联合体投标</w:t>
      </w:r>
      <w:bookmarkEnd w:id="81"/>
    </w:p>
    <w:p w14:paraId="71C2F649">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详见“投标人须知前附表”第13条。</w:t>
      </w:r>
    </w:p>
    <w:p w14:paraId="1ED65FD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2" w:name="_Toc217446047"/>
      <w:r>
        <w:rPr>
          <w:rFonts w:hint="eastAsia" w:ascii="宋体" w:hAnsi="宋体" w:eastAsia="宋体" w:cs="宋体"/>
          <w:color w:val="auto"/>
          <w:sz w:val="24"/>
          <w:szCs w:val="24"/>
          <w:highlight w:val="none"/>
        </w:rPr>
        <w:t>12. 知识产权</w:t>
      </w:r>
      <w:bookmarkEnd w:id="82"/>
    </w:p>
    <w:p w14:paraId="3EF61830">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51D31C57">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14:paraId="1D03A1E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C8A067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如采用投标人所不拥有的知识产权，则在投标报价中必须包括合法获取该知识产权的相关费用。 </w:t>
      </w:r>
    </w:p>
    <w:p w14:paraId="023A9C4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3" w:name="_Toc183682354"/>
      <w:bookmarkStart w:id="84" w:name="_Toc217446048"/>
      <w:bookmarkStart w:id="85" w:name="_Toc183582217"/>
      <w:r>
        <w:rPr>
          <w:rFonts w:hint="eastAsia" w:ascii="宋体" w:hAnsi="宋体" w:eastAsia="宋体" w:cs="宋体"/>
          <w:color w:val="auto"/>
          <w:sz w:val="24"/>
          <w:szCs w:val="24"/>
          <w:highlight w:val="none"/>
        </w:rPr>
        <w:t>13．投标文件的组成</w:t>
      </w:r>
      <w:bookmarkEnd w:id="83"/>
      <w:bookmarkEnd w:id="84"/>
      <w:bookmarkEnd w:id="85"/>
    </w:p>
    <w:p w14:paraId="4A9794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0B4879B8">
      <w:pPr>
        <w:tabs>
          <w:tab w:val="left" w:pos="3480"/>
        </w:tabs>
        <w:spacing w:line="500" w:lineRule="exact"/>
        <w:ind w:firstLine="480" w:firstLineChars="200"/>
        <w:rPr>
          <w:rFonts w:hint="eastAsia" w:ascii="宋体" w:hAnsi="宋体" w:eastAsia="宋体" w:cs="宋体"/>
          <w:color w:val="auto"/>
          <w:sz w:val="24"/>
          <w:szCs w:val="24"/>
          <w:highlight w:val="none"/>
        </w:rPr>
      </w:pPr>
      <w:bookmarkStart w:id="86" w:name="_Toc183582218"/>
      <w:bookmarkStart w:id="87" w:name="_Toc217446049"/>
      <w:bookmarkStart w:id="88" w:name="_Toc183682355"/>
      <w:r>
        <w:rPr>
          <w:rFonts w:hint="eastAsia" w:ascii="宋体" w:hAnsi="宋体" w:eastAsia="宋体" w:cs="宋体"/>
          <w:color w:val="auto"/>
          <w:sz w:val="24"/>
          <w:szCs w:val="24"/>
          <w:highlight w:val="none"/>
        </w:rPr>
        <w:t>一、投标函</w:t>
      </w:r>
    </w:p>
    <w:p w14:paraId="2FD5BB0F">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二、身份证明书及授权委托书</w:t>
      </w:r>
    </w:p>
    <w:p w14:paraId="1AD4FF86">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三、投标人基本情况表</w:t>
      </w:r>
    </w:p>
    <w:p w14:paraId="616ED948">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、投标人类似项目业绩一览表</w:t>
      </w:r>
    </w:p>
    <w:p w14:paraId="52F8A96F">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、商务、技术需求偏离表</w:t>
      </w:r>
    </w:p>
    <w:p w14:paraId="7BFD1922">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、拟配备人员情况</w:t>
      </w:r>
    </w:p>
    <w:p w14:paraId="375C2745">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、实施方案</w:t>
      </w:r>
    </w:p>
    <w:p w14:paraId="3D5A2581">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、投标人认为需要提供的其他文件和资料</w:t>
      </w:r>
    </w:p>
    <w:p w14:paraId="1D3622E5">
      <w:pPr>
        <w:pageBreakBefore w:val="0"/>
        <w:widowControl w:val="0"/>
        <w:tabs>
          <w:tab w:val="left" w:pos="348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14．投标文件格式</w:t>
      </w:r>
      <w:bookmarkEnd w:id="86"/>
      <w:bookmarkEnd w:id="87"/>
      <w:bookmarkEnd w:id="88"/>
      <w:r>
        <w:rPr>
          <w:rFonts w:hint="eastAsia" w:ascii="宋体" w:hAnsi="宋体" w:eastAsia="宋体" w:cs="宋体"/>
          <w:color w:val="auto"/>
          <w:sz w:val="24"/>
          <w:szCs w:val="24"/>
          <w:highlight w:val="none"/>
        </w:rPr>
        <w:tab/>
      </w:r>
    </w:p>
    <w:p w14:paraId="47BE2E06">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512B177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对于没有格式要求的投标文件由投标人自行编写。</w:t>
      </w:r>
    </w:p>
    <w:p w14:paraId="40A5D2B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89" w:name="_Toc217446050"/>
      <w:bookmarkStart w:id="90" w:name="_Toc183582223"/>
      <w:bookmarkStart w:id="91" w:name="_Toc183682360"/>
      <w:r>
        <w:rPr>
          <w:rFonts w:hint="eastAsia" w:ascii="宋体" w:hAnsi="宋体" w:eastAsia="宋体" w:cs="宋体"/>
          <w:color w:val="auto"/>
          <w:sz w:val="24"/>
          <w:szCs w:val="24"/>
          <w:highlight w:val="none"/>
        </w:rPr>
        <w:t>15．投标保证金</w:t>
      </w:r>
      <w:bookmarkEnd w:id="89"/>
      <w:bookmarkEnd w:id="90"/>
      <w:bookmarkEnd w:id="91"/>
    </w:p>
    <w:p w14:paraId="73C436C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投标人投标时，必须按招标文件规定数额和形式缴纳投标保证金，并作为其投标文件的一部分。</w:t>
      </w:r>
    </w:p>
    <w:p w14:paraId="4B64C46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15.2未按招标文件要求在规定时间前缴纳规定数额和形式的投标保证金，将被视为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DAF6EA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投标人所缴纳的投标保证金不计利息。</w:t>
      </w:r>
    </w:p>
    <w:p w14:paraId="57D958B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15.4未中标人的投标保证金，将在中标通知书发出后五个工作日内全额退还。中标人的投标保证金，自采购合同签订之日起5个工作日内退还中标人的投标保证金。</w:t>
      </w:r>
    </w:p>
    <w:p w14:paraId="4395BB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15.5发生下列情形之一的，采购代理机构将不予退还投标人缴纳的投标保证金：</w:t>
      </w:r>
    </w:p>
    <w:p w14:paraId="6E1CEF5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92" w:name="_Toc183682361"/>
      <w:bookmarkStart w:id="93" w:name="_Toc183582224"/>
      <w:bookmarkStart w:id="94" w:name="_Toc217446051"/>
      <w:r>
        <w:rPr>
          <w:rFonts w:hint="eastAsia" w:ascii="宋体" w:hAnsi="宋体" w:eastAsia="宋体" w:cs="宋体"/>
          <w:color w:val="auto"/>
          <w:sz w:val="24"/>
          <w:szCs w:val="24"/>
          <w:highlight w:val="none"/>
        </w:rPr>
        <w:t>（1）投标人在提交投标文件截止时间后撤回投标文件的；</w:t>
      </w:r>
    </w:p>
    <w:p w14:paraId="486BED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14:paraId="2BF3F2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（3）投标人不接受按投标文件规定对其投标报价进行修正的；</w:t>
      </w:r>
    </w:p>
    <w:p w14:paraId="7114D0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（4）除因不可抗力或投标文件认可的情形以外，中标人不履行与采购人签订合同的，在签订合同时向采购人提出附加条件；</w:t>
      </w:r>
    </w:p>
    <w:p w14:paraId="31A3FDE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（5）中标人未能在规定期限内与采购人签署合同协议书或提交履约保证金的；</w:t>
      </w:r>
    </w:p>
    <w:p w14:paraId="4852710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（6）投标人与采购人、其他投标人或者采购代理机构恶意串通的；</w:t>
      </w:r>
    </w:p>
    <w:p w14:paraId="16B62A8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（7）招标文件规定的其他情形；</w:t>
      </w:r>
    </w:p>
    <w:p w14:paraId="45C4EC6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（8）符合法律、法规规定的其他情形的。 </w:t>
      </w:r>
    </w:p>
    <w:p w14:paraId="5386E67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16．投标有效期</w:t>
      </w:r>
      <w:bookmarkEnd w:id="92"/>
      <w:bookmarkEnd w:id="93"/>
      <w:bookmarkEnd w:id="94"/>
    </w:p>
    <w:p w14:paraId="4CE6A411">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投标有效期详见投标人须知前附表。投标有效期短于此规定期限的，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122747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auto"/>
          <w:spacing w:val="8"/>
          <w:sz w:val="24"/>
          <w:szCs w:val="24"/>
          <w:highlight w:val="none"/>
        </w:rPr>
        <w:t>不被没收。</w:t>
      </w:r>
      <w:r>
        <w:rPr>
          <w:rFonts w:hint="eastAsia" w:ascii="宋体" w:hAnsi="宋体" w:eastAsia="宋体" w:cs="宋体"/>
          <w:color w:val="auto"/>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4E6D673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95" w:name="_Toc183682362"/>
      <w:bookmarkStart w:id="96" w:name="_Toc183582225"/>
      <w:bookmarkStart w:id="97" w:name="_Toc217446052"/>
      <w:bookmarkStart w:id="98" w:name="_Toc183682365"/>
      <w:bookmarkStart w:id="99" w:name="_Toc183582228"/>
      <w:bookmarkStart w:id="100" w:name="_Toc217446055"/>
      <w:r>
        <w:rPr>
          <w:rFonts w:hint="eastAsia" w:asciiTheme="minorEastAsia" w:hAnsiTheme="minorEastAsia" w:eastAsiaTheme="minorEastAsia" w:cstheme="minorEastAsia"/>
          <w:color w:val="auto"/>
          <w:sz w:val="24"/>
          <w:szCs w:val="24"/>
          <w:highlight w:val="none"/>
        </w:rPr>
        <w:t>17．投标文件的印制和签署</w:t>
      </w:r>
      <w:bookmarkEnd w:id="95"/>
      <w:bookmarkEnd w:id="96"/>
      <w:bookmarkEnd w:id="97"/>
    </w:p>
    <w:p w14:paraId="263A5C24">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r>
        <w:rPr>
          <w:rFonts w:ascii="宋体" w:hAnsi="宋体" w:eastAsia="宋体" w:cs="宋体"/>
          <w:color w:val="auto"/>
          <w:sz w:val="24"/>
          <w:szCs w:val="24"/>
          <w:highlight w:val="none"/>
        </w:rPr>
        <w:t>招标文件要求供应商法定代表人或者被授权代表签字处，均须加盖其 个人电子印章，并逐页加盖单位公章的电子印章。</w:t>
      </w:r>
    </w:p>
    <w:p w14:paraId="2E16523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01" w:name="_Toc183682363"/>
      <w:bookmarkStart w:id="102" w:name="_Toc183582226"/>
      <w:bookmarkStart w:id="103" w:name="_Toc77400781"/>
      <w:bookmarkStart w:id="104" w:name="_Toc89075877"/>
      <w:bookmarkStart w:id="105" w:name="_Toc217446053"/>
      <w:r>
        <w:rPr>
          <w:rFonts w:hint="eastAsia" w:asciiTheme="minorEastAsia" w:hAnsiTheme="minorEastAsia" w:eastAsiaTheme="minorEastAsia" w:cstheme="minorEastAsia"/>
          <w:color w:val="auto"/>
          <w:sz w:val="24"/>
          <w:szCs w:val="24"/>
          <w:highlight w:val="none"/>
        </w:rPr>
        <w:t>18. 投标文件的密封和标</w:t>
      </w:r>
      <w:bookmarkEnd w:id="101"/>
      <w:bookmarkEnd w:id="102"/>
      <w:bookmarkEnd w:id="103"/>
      <w:bookmarkEnd w:id="104"/>
      <w:r>
        <w:rPr>
          <w:rFonts w:hint="eastAsia" w:asciiTheme="minorEastAsia" w:hAnsiTheme="minorEastAsia" w:eastAsiaTheme="minorEastAsia" w:cstheme="minorEastAsia"/>
          <w:color w:val="auto"/>
          <w:sz w:val="24"/>
          <w:szCs w:val="24"/>
          <w:highlight w:val="none"/>
        </w:rPr>
        <w:t>注</w:t>
      </w:r>
      <w:bookmarkEnd w:id="105"/>
    </w:p>
    <w:p w14:paraId="25A0F42C">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59C5ADA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06" w:name="_Toc183682364"/>
      <w:bookmarkStart w:id="107" w:name="_Toc183582227"/>
      <w:bookmarkStart w:id="108" w:name="_Toc217446054"/>
      <w:r>
        <w:rPr>
          <w:rFonts w:hint="eastAsia" w:asciiTheme="minorEastAsia" w:hAnsiTheme="minorEastAsia" w:eastAsiaTheme="minorEastAsia" w:cstheme="minorEastAsia"/>
          <w:color w:val="auto"/>
          <w:sz w:val="24"/>
          <w:szCs w:val="24"/>
          <w:highlight w:val="none"/>
        </w:rPr>
        <w:t>19．投标文件的</w:t>
      </w:r>
      <w:bookmarkEnd w:id="106"/>
      <w:bookmarkEnd w:id="107"/>
      <w:bookmarkEnd w:id="108"/>
      <w:r>
        <w:rPr>
          <w:rFonts w:hint="eastAsia" w:asciiTheme="minorEastAsia" w:hAnsiTheme="minorEastAsia" w:eastAsiaTheme="minorEastAsia" w:cstheme="minorEastAsia"/>
          <w:color w:val="auto"/>
          <w:sz w:val="24"/>
          <w:szCs w:val="24"/>
          <w:highlight w:val="none"/>
          <w:lang w:eastAsia="zh-CN"/>
        </w:rPr>
        <w:t>上传</w:t>
      </w:r>
    </w:p>
    <w:p w14:paraId="1EAB44E2">
      <w:pPr>
        <w:pStyle w:val="6"/>
        <w:pageBreakBefore w:val="0"/>
        <w:widowControl w:val="0"/>
        <w:kinsoku/>
        <w:wordWrap/>
        <w:overflowPunct/>
        <w:topLinePunct w:val="0"/>
        <w:autoSpaceDE/>
        <w:autoSpaceDN/>
        <w:bidi w:val="0"/>
        <w:adjustRightInd/>
        <w:spacing w:line="480" w:lineRule="exact"/>
        <w:ind w:firstLine="48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供应商应在磋商文件规定的磋商截止时间前，将响应文件按供应商须 知第15条规定加密上传，磋商截止时间以后上传递交的响应文件将被“政府采 购云平台”拒收。</w:t>
      </w:r>
    </w:p>
    <w:p w14:paraId="0C9C363C">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20．投标文件的修改和撤</w:t>
      </w:r>
      <w:bookmarkEnd w:id="98"/>
      <w:bookmarkEnd w:id="99"/>
      <w:r>
        <w:rPr>
          <w:rFonts w:hint="eastAsia" w:ascii="宋体" w:hAnsi="宋体" w:eastAsia="宋体" w:cs="宋体"/>
          <w:color w:val="auto"/>
          <w:sz w:val="24"/>
          <w:szCs w:val="24"/>
          <w:highlight w:val="none"/>
        </w:rPr>
        <w:t>回</w:t>
      </w:r>
      <w:bookmarkEnd w:id="100"/>
    </w:p>
    <w:p w14:paraId="12FF40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20.1 投标人在投标截止时间前，可以对所</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的投标文件进行补充、修改或者撤回</w:t>
      </w:r>
      <w:r>
        <w:rPr>
          <w:rFonts w:hint="eastAsia" w:ascii="宋体" w:hAnsi="宋体" w:cs="宋体"/>
          <w:color w:val="auto"/>
          <w:sz w:val="24"/>
          <w:szCs w:val="24"/>
          <w:highlight w:val="none"/>
          <w:lang w:eastAsia="zh-CN"/>
        </w:rPr>
        <w:t>。</w:t>
      </w:r>
    </w:p>
    <w:p w14:paraId="49C4915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在投标截止时间之后，投标人不得对其</w:t>
      </w:r>
      <w:r>
        <w:rPr>
          <w:rFonts w:hint="eastAsia" w:ascii="宋体" w:hAnsi="宋体" w:cs="宋体"/>
          <w:color w:val="auto"/>
          <w:sz w:val="24"/>
          <w:szCs w:val="24"/>
          <w:highlight w:val="none"/>
          <w:lang w:eastAsia="zh-CN"/>
        </w:rPr>
        <w:t>上传</w:t>
      </w:r>
      <w:r>
        <w:rPr>
          <w:rFonts w:hint="eastAsia" w:ascii="宋体" w:hAnsi="宋体" w:eastAsia="宋体" w:cs="宋体"/>
          <w:color w:val="auto"/>
          <w:sz w:val="24"/>
          <w:szCs w:val="24"/>
          <w:highlight w:val="none"/>
        </w:rPr>
        <w:t>的投标文件做任何修改或撤回投标。</w:t>
      </w:r>
    </w:p>
    <w:p w14:paraId="4707053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投标文件中如果出现计算上或累加上的算术错误，可按以下原则进行修改：</w:t>
      </w:r>
    </w:p>
    <w:p w14:paraId="7D9973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（1）投标文件中投标函内容与投标报价明细表不一致的，以投标函为准；</w:t>
      </w:r>
    </w:p>
    <w:p w14:paraId="055B8F3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14:paraId="6BE51F3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0F38F1C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（4）单价金额小数点或者百分比有明显错位的，以投标函的总价为准，并修改单价。</w:t>
      </w:r>
    </w:p>
    <w:p w14:paraId="41462F7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B6030A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09" w:name="_Toc77400782"/>
      <w:bookmarkStart w:id="110" w:name="_Toc89075878"/>
      <w:bookmarkStart w:id="111" w:name="_Toc217446056"/>
      <w:bookmarkStart w:id="112" w:name="_Toc183582231"/>
      <w:bookmarkStart w:id="113" w:name="_Toc183682368"/>
      <w:r>
        <w:rPr>
          <w:rFonts w:hint="eastAsia" w:ascii="宋体" w:hAnsi="宋体" w:eastAsia="宋体" w:cs="宋体"/>
          <w:color w:val="auto"/>
          <w:sz w:val="24"/>
          <w:szCs w:val="24"/>
          <w:highlight w:val="none"/>
        </w:rPr>
        <w:t>五、开标和</w:t>
      </w:r>
      <w:bookmarkEnd w:id="109"/>
      <w:bookmarkEnd w:id="110"/>
      <w:bookmarkEnd w:id="111"/>
      <w:bookmarkEnd w:id="112"/>
      <w:bookmarkEnd w:id="113"/>
      <w:r>
        <w:rPr>
          <w:rFonts w:hint="eastAsia" w:ascii="宋体" w:hAnsi="宋体" w:eastAsia="宋体" w:cs="宋体"/>
          <w:color w:val="auto"/>
          <w:sz w:val="24"/>
          <w:szCs w:val="24"/>
          <w:highlight w:val="none"/>
        </w:rPr>
        <w:t>中标</w:t>
      </w:r>
    </w:p>
    <w:p w14:paraId="343FBA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14" w:name="_Toc183682369"/>
      <w:bookmarkStart w:id="115" w:name="_Toc183582232"/>
      <w:bookmarkStart w:id="116" w:name="_Toc217446057"/>
      <w:r>
        <w:rPr>
          <w:rFonts w:hint="eastAsia" w:ascii="宋体" w:hAnsi="宋体" w:eastAsia="宋体" w:cs="宋体"/>
          <w:color w:val="auto"/>
          <w:sz w:val="24"/>
          <w:szCs w:val="24"/>
          <w:highlight w:val="none"/>
        </w:rPr>
        <w:t>21．开标</w:t>
      </w:r>
      <w:bookmarkEnd w:id="114"/>
      <w:bookmarkEnd w:id="115"/>
      <w:bookmarkEnd w:id="116"/>
    </w:p>
    <w:p w14:paraId="44AB2D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采购代理机构在招标文件规定的时间和地点组织招标活动，邀请下载招标文件并参与竞争的投标人参加开标，投标人未参加开标的，视同认可开标结果。</w:t>
      </w:r>
    </w:p>
    <w:p w14:paraId="7241F22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投标人不足3家的，不得开标。</w:t>
      </w:r>
    </w:p>
    <w:p w14:paraId="03886C4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开标时，采购代理机构可以邀请有关监督管理部门对开标进行现场监督。</w:t>
      </w:r>
    </w:p>
    <w:p w14:paraId="15F753A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4201ECA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21.4宣布会场纪律和有关注意事项。</w:t>
      </w:r>
    </w:p>
    <w:p w14:paraId="432699C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21.5开标时，</w:t>
      </w:r>
      <w:r>
        <w:rPr>
          <w:rFonts w:hint="eastAsia" w:ascii="宋体" w:hAnsi="宋体" w:cs="宋体"/>
          <w:color w:val="auto"/>
          <w:sz w:val="24"/>
          <w:szCs w:val="24"/>
          <w:highlight w:val="none"/>
          <w:lang w:eastAsia="zh-CN"/>
        </w:rPr>
        <w:t>投标单位完成在线解密后，由工作人员开始唱标</w:t>
      </w:r>
    </w:p>
    <w:p w14:paraId="7EB84D1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21.6</w:t>
      </w:r>
      <w:r>
        <w:rPr>
          <w:rFonts w:hint="eastAsia" w:ascii="宋体" w:hAnsi="宋体" w:cs="宋体"/>
          <w:color w:val="auto"/>
          <w:sz w:val="24"/>
          <w:szCs w:val="24"/>
          <w:highlight w:val="none"/>
          <w:lang w:eastAsia="zh-CN"/>
        </w:rPr>
        <w:t>唱标完毕后，如果投标人对所唱“报价一览表”内容有异议，应当立即提出。经现场监标人员确认，认为有必要重新唱标的，由唱标人员重新唱标。</w:t>
      </w:r>
    </w:p>
    <w:p w14:paraId="632557B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22.资格审查及组建评标委员会</w:t>
      </w:r>
    </w:p>
    <w:p w14:paraId="5834C4F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22.1公开招标采购项目开标结束后，采购人或者采购代理机构应当依法对投标人的资格进行审查。合格投标人不足3家的，不得评标。</w:t>
      </w:r>
    </w:p>
    <w:p w14:paraId="628F9265">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22.2符合性审查。符合性审查是指依据招标文件的规定，从商务和技术角度对投标文件的有效性和完整性进行审查，以确定是否对招标文件的实质性要求做出响应。</w:t>
      </w:r>
    </w:p>
    <w:p w14:paraId="0F90740B">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22.3评标委员会采用综合评分法对满足招标文件全部实质性要求的投标文件和投标报价进行综合评分。</w:t>
      </w:r>
    </w:p>
    <w:p w14:paraId="0B1DF907">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2F960530">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22.5采购代理机构在评标结果后2个工作日内将评标报告送采购人确认。</w:t>
      </w:r>
    </w:p>
    <w:p w14:paraId="149DF65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17" w:name="_Toc183582238"/>
      <w:bookmarkStart w:id="118" w:name="_Toc183682375"/>
      <w:bookmarkStart w:id="119" w:name="_Toc217446063"/>
      <w:r>
        <w:rPr>
          <w:rFonts w:hint="eastAsia" w:ascii="宋体" w:hAnsi="宋体" w:eastAsia="宋体" w:cs="宋体"/>
          <w:color w:val="auto"/>
          <w:sz w:val="24"/>
          <w:szCs w:val="24"/>
          <w:highlight w:val="none"/>
        </w:rPr>
        <w:t>23．中标通知</w:t>
      </w:r>
      <w:bookmarkEnd w:id="117"/>
      <w:bookmarkEnd w:id="118"/>
      <w:r>
        <w:rPr>
          <w:rFonts w:hint="eastAsia" w:ascii="宋体" w:hAnsi="宋体" w:eastAsia="宋体" w:cs="宋体"/>
          <w:color w:val="auto"/>
          <w:sz w:val="24"/>
          <w:szCs w:val="24"/>
          <w:highlight w:val="none"/>
        </w:rPr>
        <w:t>书</w:t>
      </w:r>
      <w:bookmarkEnd w:id="119"/>
    </w:p>
    <w:p w14:paraId="6806FE4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中标通知书为签订中标合同的依据，是合同的有效组成部分。</w:t>
      </w:r>
    </w:p>
    <w:p w14:paraId="2EC0894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中标通知书对采购人和中标人均具有法律效力。中标通知书发出后，采购人改变中标结果，或者中标人无正当理由放弃中标的，应当承担相应的法律责任。</w:t>
      </w:r>
    </w:p>
    <w:p w14:paraId="52B3F1F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55A3D7A">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20" w:name="_Toc217446064"/>
      <w:bookmarkStart w:id="121" w:name="_Toc183682377"/>
      <w:bookmarkStart w:id="122" w:name="_Toc183582240"/>
      <w:r>
        <w:rPr>
          <w:rFonts w:hint="eastAsia" w:ascii="宋体" w:hAnsi="宋体" w:eastAsia="宋体" w:cs="宋体"/>
          <w:color w:val="auto"/>
          <w:sz w:val="24"/>
          <w:szCs w:val="24"/>
          <w:highlight w:val="none"/>
        </w:rPr>
        <w:t>六、签订及履行合同和验收</w:t>
      </w:r>
      <w:bookmarkEnd w:id="120"/>
    </w:p>
    <w:p w14:paraId="2B871B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3" w:name="_Toc217446065"/>
      <w:r>
        <w:rPr>
          <w:rFonts w:hint="eastAsia" w:ascii="宋体" w:hAnsi="宋体" w:eastAsia="宋体" w:cs="宋体"/>
          <w:color w:val="auto"/>
          <w:sz w:val="24"/>
          <w:szCs w:val="24"/>
          <w:highlight w:val="none"/>
        </w:rPr>
        <w:t>24. 签订合同</w:t>
      </w:r>
      <w:bookmarkEnd w:id="123"/>
    </w:p>
    <w:p w14:paraId="1F4B9A2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411AFC9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6972A42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中标人因不可抗力原因不能履行招标合同或放弃中标的，采购人可以与排在中标人之后第一位的中标候选人签订采购合同，以此类推。</w:t>
      </w:r>
    </w:p>
    <w:p w14:paraId="76F82A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中标人在合同签订之后三个工作日内，将签订的合同（彩色扫描件）交至采购代理机构。</w:t>
      </w:r>
    </w:p>
    <w:p w14:paraId="1342B5B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4" w:name="_Toc217446066"/>
      <w:r>
        <w:rPr>
          <w:rFonts w:hint="eastAsia" w:ascii="宋体" w:hAnsi="宋体" w:eastAsia="宋体" w:cs="宋体"/>
          <w:color w:val="auto"/>
          <w:sz w:val="24"/>
          <w:szCs w:val="24"/>
          <w:highlight w:val="none"/>
        </w:rPr>
        <w:t>25. 合同分包</w:t>
      </w:r>
      <w:bookmarkEnd w:id="124"/>
      <w:r>
        <w:rPr>
          <w:rFonts w:hint="eastAsia" w:ascii="宋体" w:hAnsi="宋体" w:eastAsia="宋体" w:cs="宋体"/>
          <w:color w:val="auto"/>
          <w:sz w:val="24"/>
          <w:szCs w:val="24"/>
          <w:highlight w:val="none"/>
        </w:rPr>
        <w:t>（如有）</w:t>
      </w:r>
    </w:p>
    <w:p w14:paraId="137E336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若本项目允许分包的，经采购人同意，中标人可以依法采取分包方式履行合同。这种要求应当在合同签订之前征得采购人同意，并且分包人履行分包项目的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及技术要求等，必须与中标的一致。</w:t>
      </w:r>
    </w:p>
    <w:p w14:paraId="093A104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招标合同实行分包履行的，中标人就招标项目和分包项目向采购人负责，分包人就分包项目承担责任。</w:t>
      </w:r>
    </w:p>
    <w:p w14:paraId="33B0067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5" w:name="_Toc217446067"/>
      <w:r>
        <w:rPr>
          <w:rFonts w:hint="eastAsia" w:ascii="宋体" w:hAnsi="宋体" w:eastAsia="宋体" w:cs="宋体"/>
          <w:color w:val="auto"/>
          <w:sz w:val="24"/>
          <w:szCs w:val="24"/>
          <w:highlight w:val="none"/>
        </w:rPr>
        <w:t>26. 采购人增加合同标的权</w:t>
      </w:r>
      <w:bookmarkEnd w:id="125"/>
      <w:r>
        <w:rPr>
          <w:rFonts w:hint="eastAsia" w:ascii="宋体" w:hAnsi="宋体" w:eastAsia="宋体" w:cs="宋体"/>
          <w:color w:val="auto"/>
          <w:sz w:val="24"/>
          <w:szCs w:val="24"/>
          <w:highlight w:val="none"/>
        </w:rPr>
        <w:t>利</w:t>
      </w:r>
    </w:p>
    <w:p w14:paraId="7F88DCE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11279B5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6" w:name="_Toc217446068"/>
      <w:r>
        <w:rPr>
          <w:rFonts w:hint="eastAsia" w:ascii="宋体" w:hAnsi="宋体" w:eastAsia="宋体" w:cs="宋体"/>
          <w:color w:val="auto"/>
          <w:sz w:val="24"/>
          <w:szCs w:val="24"/>
          <w:highlight w:val="none"/>
        </w:rPr>
        <w:t>27. 履约保证金</w:t>
      </w:r>
      <w:bookmarkEnd w:id="126"/>
    </w:p>
    <w:p w14:paraId="53B006F3">
      <w:pPr>
        <w:pageBreakBefore w:val="0"/>
        <w:widowControl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履约保证金金额：</w:t>
      </w:r>
      <w:r>
        <w:rPr>
          <w:rFonts w:hint="eastAsia" w:ascii="宋体" w:hAnsi="宋体" w:cs="宋体"/>
          <w:color w:val="auto"/>
          <w:sz w:val="24"/>
          <w:szCs w:val="24"/>
          <w:highlight w:val="none"/>
          <w:lang w:val="en-US" w:eastAsia="zh-CN"/>
        </w:rPr>
        <w:t>/</w:t>
      </w:r>
    </w:p>
    <w:p w14:paraId="6D49981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不予退还情形：</w:t>
      </w:r>
    </w:p>
    <w:p w14:paraId="706D4A7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中标人出现以下行为时，采购人有权没收全部或部分履约保证金：</w:t>
      </w:r>
    </w:p>
    <w:p w14:paraId="4CD50B3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无正当理由放弃中标/拒绝按照中标结果签订合同或不履行合同义务；</w:t>
      </w:r>
    </w:p>
    <w:p w14:paraId="5CFF8DD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未按合同约定完成服务或交付标的，经整改仍不合格；</w:t>
      </w:r>
    </w:p>
    <w:p w14:paraId="0FC550F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擅自转包、分包或改变合同实质性内容；</w:t>
      </w:r>
    </w:p>
    <w:p w14:paraId="2890EE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(4) 存在弄虚作假、围标串标等违法违规行为。 </w:t>
      </w:r>
    </w:p>
    <w:p w14:paraId="331DB9F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7" w:name="_Toc217446069"/>
      <w:r>
        <w:rPr>
          <w:rFonts w:hint="eastAsia" w:ascii="宋体" w:hAnsi="宋体" w:eastAsia="宋体" w:cs="宋体"/>
          <w:color w:val="auto"/>
          <w:sz w:val="24"/>
          <w:szCs w:val="24"/>
          <w:highlight w:val="none"/>
        </w:rPr>
        <w:t>28. 履行合同</w:t>
      </w:r>
      <w:bookmarkEnd w:id="127"/>
    </w:p>
    <w:p w14:paraId="250A9C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中标人与采购人签订合同后，合同双方应严格执行合同条款，履行合同规定的义务，保证合同的顺利完成。</w:t>
      </w:r>
    </w:p>
    <w:p w14:paraId="59FDD55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在合同履行过程中，如发生合同纠纷，合同双方应按照《中华人民共和国民法典》的有关规定进行处理。</w:t>
      </w:r>
    </w:p>
    <w:p w14:paraId="6C47C4B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8" w:name="_Toc217446070"/>
      <w:r>
        <w:rPr>
          <w:rFonts w:hint="eastAsia" w:ascii="宋体" w:hAnsi="宋体" w:eastAsia="宋体" w:cs="宋体"/>
          <w:color w:val="auto"/>
          <w:sz w:val="24"/>
          <w:szCs w:val="24"/>
          <w:highlight w:val="none"/>
        </w:rPr>
        <w:t>29. 验收</w:t>
      </w:r>
      <w:bookmarkEnd w:id="128"/>
    </w:p>
    <w:p w14:paraId="5F6DE01D">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bookmarkStart w:id="129" w:name="_Toc217446071"/>
      <w:r>
        <w:rPr>
          <w:rFonts w:hint="eastAsia" w:ascii="宋体" w:hAnsi="宋体" w:eastAsia="宋体" w:cs="宋体"/>
          <w:color w:val="auto"/>
          <w:sz w:val="24"/>
          <w:szCs w:val="24"/>
          <w:highlight w:val="none"/>
        </w:rPr>
        <w:t>中标人与采购人应严格按照国家财政部《关于进一步加强政府采购需求和履约验收管理的指导意见》（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）的要求进行验收。</w:t>
      </w:r>
    </w:p>
    <w:bookmarkEnd w:id="121"/>
    <w:bookmarkEnd w:id="122"/>
    <w:bookmarkEnd w:id="129"/>
    <w:p w14:paraId="2635663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bookmarkStart w:id="130" w:name="_Toc217446074"/>
      <w:bookmarkStart w:id="131" w:name="_Toc183582243"/>
      <w:bookmarkStart w:id="132" w:name="_Toc183682380"/>
      <w:r>
        <w:rPr>
          <w:rFonts w:hint="eastAsia" w:ascii="宋体" w:hAnsi="宋体" w:eastAsia="宋体" w:cs="宋体"/>
          <w:color w:val="auto"/>
          <w:sz w:val="24"/>
          <w:szCs w:val="24"/>
          <w:highlight w:val="none"/>
        </w:rPr>
        <w:t>七、投标纪律要求</w:t>
      </w:r>
      <w:bookmarkEnd w:id="130"/>
    </w:p>
    <w:p w14:paraId="211D6D8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33" w:name="_Toc217446075"/>
      <w:r>
        <w:rPr>
          <w:rFonts w:hint="eastAsia" w:ascii="宋体" w:hAnsi="宋体" w:eastAsia="宋体" w:cs="宋体"/>
          <w:color w:val="auto"/>
          <w:sz w:val="24"/>
          <w:szCs w:val="24"/>
          <w:highlight w:val="none"/>
        </w:rPr>
        <w:t>30. 投标人不得具有的情形</w:t>
      </w:r>
      <w:bookmarkEnd w:id="133"/>
    </w:p>
    <w:p w14:paraId="71EDBF8E">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投标人参加投标不得有下列情形：</w:t>
      </w:r>
    </w:p>
    <w:p w14:paraId="4AC5CF8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14:paraId="26FBDDA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14:paraId="76C3532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（3）与采购人、其他投标人恶意串通；</w:t>
      </w:r>
    </w:p>
    <w:p w14:paraId="5A542593">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（4）向采购人、评标委员会成员行贿或者提供其他不正当利益；</w:t>
      </w:r>
    </w:p>
    <w:p w14:paraId="6498F13E">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（5）在招标过程中与采购人进行协商谈判；</w:t>
      </w:r>
    </w:p>
    <w:p w14:paraId="4DEBEAC4">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407530DA">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有上述情形之一的投标人，属于不合格投标人，其投标或中标资格将被取消。</w:t>
      </w:r>
    </w:p>
    <w:p w14:paraId="26C7712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 w:val="0"/>
          <w:bCs w:val="0"/>
          <w:color w:val="auto"/>
          <w:sz w:val="24"/>
          <w:szCs w:val="24"/>
          <w:highlight w:val="none"/>
        </w:rPr>
      </w:pPr>
      <w:bookmarkStart w:id="134" w:name="_Toc217446076"/>
      <w:r>
        <w:rPr>
          <w:rFonts w:hint="eastAsia" w:ascii="宋体" w:hAnsi="宋体" w:eastAsia="宋体" w:cs="宋体"/>
          <w:color w:val="auto"/>
          <w:sz w:val="24"/>
          <w:szCs w:val="24"/>
          <w:highlight w:val="none"/>
        </w:rPr>
        <w:t>八、</w:t>
      </w:r>
      <w:bookmarkEnd w:id="134"/>
      <w:r>
        <w:rPr>
          <w:rFonts w:hint="eastAsia" w:ascii="宋体" w:hAnsi="宋体" w:eastAsia="宋体" w:cs="宋体"/>
          <w:color w:val="auto"/>
          <w:sz w:val="24"/>
          <w:szCs w:val="24"/>
          <w:highlight w:val="none"/>
        </w:rPr>
        <w:t>合同价款支付</w:t>
      </w:r>
    </w:p>
    <w:p w14:paraId="616FE5C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35" w:name="_Toc217446077"/>
      <w:r>
        <w:rPr>
          <w:rFonts w:hint="eastAsia" w:ascii="宋体" w:hAnsi="宋体" w:eastAsia="宋体" w:cs="宋体"/>
          <w:color w:val="auto"/>
          <w:sz w:val="24"/>
          <w:szCs w:val="24"/>
          <w:highlight w:val="none"/>
        </w:rPr>
        <w:t>31. 申请支付</w:t>
      </w:r>
      <w:bookmarkEnd w:id="135"/>
    </w:p>
    <w:p w14:paraId="08B12EB1">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31.1招标项目验收合格，采购人签署《验收结算书》后，向财政部门提出支付申请。采购人的自有资金，由采购人直接支付给中标人或者按照有关合同规定执行。</w:t>
      </w:r>
    </w:p>
    <w:p w14:paraId="2B75CFB3">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财政部门根据采购人的支付申请，并对采购合同进行审核后，直接支付给中标人。</w:t>
      </w:r>
      <w:bookmarkStart w:id="136" w:name="_Toc217446078"/>
    </w:p>
    <w:p w14:paraId="154D0B35">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bookmarkStart w:id="176" w:name="_GoBack"/>
      <w:r>
        <w:rPr>
          <w:rFonts w:hint="eastAsia" w:ascii="宋体" w:hAnsi="宋体" w:eastAsia="宋体" w:cs="宋体"/>
          <w:color w:val="auto"/>
          <w:sz w:val="24"/>
          <w:szCs w:val="24"/>
          <w:highlight w:val="none"/>
        </w:rPr>
        <w:t>质疑</w:t>
      </w:r>
      <w:bookmarkEnd w:id="176"/>
      <w:r>
        <w:rPr>
          <w:rFonts w:hint="eastAsia" w:ascii="宋体" w:hAnsi="宋体" w:eastAsia="宋体" w:cs="宋体"/>
          <w:color w:val="auto"/>
          <w:sz w:val="24"/>
          <w:szCs w:val="24"/>
          <w:highlight w:val="none"/>
        </w:rPr>
        <w:t>和投诉</w:t>
      </w:r>
      <w:bookmarkEnd w:id="136"/>
      <w:bookmarkStart w:id="137" w:name="_Toc217446079"/>
    </w:p>
    <w:p w14:paraId="756E7EB7">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37"/>
      <w:r>
        <w:rPr>
          <w:rFonts w:hint="eastAsia" w:ascii="宋体" w:hAnsi="宋体" w:eastAsia="宋体" w:cs="宋体"/>
          <w:color w:val="auto"/>
          <w:sz w:val="24"/>
          <w:szCs w:val="24"/>
          <w:highlight w:val="none"/>
        </w:rPr>
        <w:t>2．质疑、投诉的接收和处理严格按照《中华人共和国政府采购法</w:t>
      </w:r>
      <w:bookmarkEnd w:id="131"/>
      <w:bookmarkEnd w:id="132"/>
      <w:r>
        <w:rPr>
          <w:rFonts w:hint="eastAsia" w:ascii="宋体" w:hAnsi="宋体" w:eastAsia="宋体" w:cs="宋体"/>
          <w:color w:val="auto"/>
          <w:sz w:val="24"/>
          <w:szCs w:val="24"/>
          <w:highlight w:val="none"/>
        </w:rPr>
        <w:t>》、《政府采购质疑和投诉办法》、《财政部关于加强政府采购投标人投诉受理审查工作的通知》的规定办理。</w:t>
      </w:r>
    </w:p>
    <w:p w14:paraId="65B68686">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32.1投标人认为</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9B0C7B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32.2潜在投标人已依法获取其可质疑的</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的，可以对该文件提出质疑。对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提出质疑的，应当在获取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公告期限届满之日起7个工作日内提出。</w:t>
      </w:r>
    </w:p>
    <w:p w14:paraId="37CC7B0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71EBD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代理人提出质疑和投诉，应当提交投标人签署的授权委托书。</w:t>
      </w:r>
    </w:p>
    <w:p w14:paraId="608DD876">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32.4投标人提出质疑应当提交质疑函和必要的证明材料。质疑函应当包括下列内容：</w:t>
      </w:r>
    </w:p>
    <w:p w14:paraId="3FED25BA">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（一）投标人的姓名或者名称、地址、邮编、联系人及联系电话；</w:t>
      </w:r>
    </w:p>
    <w:p w14:paraId="14DF01A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4A541D8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14:paraId="6266837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0458B99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14:paraId="61988DC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687A85C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投标人为自然人的，应当由本人签字；投标人为法人或者其他组织的，应当由法定代表人、主要负责人或者其被授权人签字或盖章，并加盖公章。</w:t>
      </w:r>
    </w:p>
    <w:p w14:paraId="658284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接收质疑函的方式：书面形式</w:t>
      </w:r>
    </w:p>
    <w:p w14:paraId="2E933FBB">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w:t>
      </w:r>
      <w:r>
        <w:rPr>
          <w:rFonts w:hint="eastAsia" w:ascii="宋体" w:hAnsi="宋体" w:cs="宋体"/>
          <w:color w:val="auto"/>
          <w:sz w:val="24"/>
          <w:szCs w:val="24"/>
          <w:highlight w:val="none"/>
          <w:lang w:eastAsia="zh-CN"/>
        </w:rPr>
        <w:t>新疆泽源和忻项目管理咨询有限公司</w:t>
      </w:r>
      <w:r>
        <w:rPr>
          <w:rFonts w:hint="eastAsia" w:ascii="宋体" w:hAnsi="宋体" w:eastAsia="宋体" w:cs="宋体"/>
          <w:color w:val="auto"/>
          <w:sz w:val="24"/>
          <w:szCs w:val="24"/>
          <w:highlight w:val="none"/>
        </w:rPr>
        <w:t>招标部</w:t>
      </w:r>
    </w:p>
    <w:p w14:paraId="4698A856">
      <w:pPr>
        <w:pStyle w:val="6"/>
        <w:pageBreakBefore w:val="0"/>
        <w:widowControl w:val="0"/>
        <w:kinsoku/>
        <w:wordWrap/>
        <w:overflowPunct/>
        <w:topLinePunct w:val="0"/>
        <w:autoSpaceDE/>
        <w:autoSpaceDN/>
        <w:bidi w:val="0"/>
        <w:adjustRightInd/>
        <w:spacing w:line="480" w:lineRule="exact"/>
        <w:ind w:firstLine="480"/>
        <w:textAlignment w:val="auto"/>
        <w:rPr>
          <w:rStyle w:val="41"/>
          <w:rFonts w:hint="eastAsia" w:ascii="宋体" w:hAnsi="宋体"/>
          <w:bCs/>
          <w:color w:val="auto"/>
          <w:sz w:val="24"/>
          <w:highlight w:val="none"/>
        </w:rPr>
      </w:pPr>
      <w:r>
        <w:rPr>
          <w:rFonts w:hint="eastAsia" w:ascii="宋体" w:hAnsi="宋体" w:eastAsia="宋体" w:cs="宋体"/>
          <w:color w:val="auto"/>
          <w:sz w:val="24"/>
          <w:szCs w:val="24"/>
          <w:highlight w:val="none"/>
        </w:rPr>
        <w:t>联系人及联系电话：</w:t>
      </w:r>
      <w:r>
        <w:rPr>
          <w:rFonts w:hint="eastAsia" w:ascii="宋体" w:hAnsi="宋体" w:cs="宋体"/>
          <w:color w:val="auto"/>
          <w:sz w:val="24"/>
          <w:szCs w:val="24"/>
          <w:highlight w:val="none"/>
          <w:lang w:eastAsia="zh-CN"/>
        </w:rPr>
        <w:t>任宏元</w:t>
      </w:r>
      <w:r>
        <w:rPr>
          <w:rStyle w:val="41"/>
          <w:rFonts w:hint="eastAsia" w:ascii="宋体" w:hAnsi="宋体"/>
          <w:bCs/>
          <w:color w:val="auto"/>
          <w:sz w:val="24"/>
          <w:highlight w:val="none"/>
          <w:lang w:val="en-US" w:eastAsia="zh-CN"/>
        </w:rPr>
        <w:t>15699192193</w:t>
      </w:r>
    </w:p>
    <w:p w14:paraId="5045CBCC">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乌鲁木齐市水磨沟区红光山路1119号大成尔雅A座1210室</w:t>
      </w:r>
    </w:p>
    <w:p w14:paraId="6B367E6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6AD3D96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0CB217A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（一）投诉人和被投诉人的姓名或者名称、通讯地址、邮编、联系人及联系电话；</w:t>
      </w:r>
    </w:p>
    <w:p w14:paraId="284D71A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（二）质疑和质疑答复情况说明及相关证明材料；</w:t>
      </w:r>
    </w:p>
    <w:p w14:paraId="66217B1B">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（三）具体、明确的投诉事项和与投诉事项相关的投诉请求；</w:t>
      </w:r>
    </w:p>
    <w:p w14:paraId="4FD415B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374C9E3C">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69B8F6F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（六）提起投诉的日期。</w:t>
      </w:r>
    </w:p>
    <w:p w14:paraId="0C0DC93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031F5115">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32.7投诉人应当根据《政府采购质疑和投诉办法》第七条第二款规定的信息内容，并按照其规定的方式提起投诉。</w:t>
      </w:r>
    </w:p>
    <w:p w14:paraId="1FA0FA97">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投诉人提起投诉应当符合下列条件：</w:t>
      </w:r>
    </w:p>
    <w:p w14:paraId="7FD0BEA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（一）提起投诉前已依法进行质疑；</w:t>
      </w:r>
    </w:p>
    <w:p w14:paraId="66A698F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（二）投诉书内容符合本办法的规定；</w:t>
      </w:r>
    </w:p>
    <w:p w14:paraId="06FDFB1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（三）在投诉有效期限内提起投诉；</w:t>
      </w:r>
    </w:p>
    <w:p w14:paraId="012DE16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（四）同一投诉事项未经财政部门投诉处理；</w:t>
      </w:r>
    </w:p>
    <w:p w14:paraId="5C8E3DDA">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（五）财政部规定的其他条件。</w:t>
      </w:r>
    </w:p>
    <w:p w14:paraId="51FFD4AC">
      <w:pPr>
        <w:pStyle w:val="31"/>
        <w:rPr>
          <w:rFonts w:hint="eastAsia" w:ascii="宋体" w:hAnsi="宋体" w:eastAsia="宋体" w:cs="宋体"/>
          <w:color w:val="auto"/>
          <w:sz w:val="24"/>
          <w:szCs w:val="24"/>
          <w:highlight w:val="none"/>
        </w:rPr>
      </w:pPr>
    </w:p>
    <w:p w14:paraId="3B763401">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质疑函范本</w:t>
      </w:r>
    </w:p>
    <w:p w14:paraId="7A355F17">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bCs/>
          <w:color w:val="auto"/>
          <w:sz w:val="24"/>
          <w:szCs w:val="24"/>
          <w:highlight w:val="none"/>
        </w:rPr>
        <w:t>基本信息</w:t>
      </w:r>
    </w:p>
    <w:p w14:paraId="6C203946">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dotted"/>
        </w:rPr>
        <w:t xml:space="preserve">                                        </w:t>
      </w:r>
    </w:p>
    <w:p w14:paraId="1618DD47">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09AEA89">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1C80814">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dotted"/>
        </w:rPr>
        <w:t xml:space="preserve">                                          </w:t>
      </w:r>
    </w:p>
    <w:p w14:paraId="69A71014">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B17D905">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EE5FE7E">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1FFB749">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0503C24">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D6551CB">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53725F93">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337D794C">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7AD0BCF9">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2A2E1C0C">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DA85BBC">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8579413">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0794502">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FB7AD9C">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1859C22">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0D115CE">
      <w:p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4FF277">
      <w:pPr>
        <w:adjustRightInd w:val="0"/>
        <w:snapToGrid w:val="0"/>
        <w:spacing w:line="500" w:lineRule="exact"/>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CDE4C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2CD461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CEC6A6E">
      <w:pPr>
        <w:adjustRightInd w:val="0"/>
        <w:snapToGrid w:val="0"/>
        <w:spacing w:line="500" w:lineRule="exact"/>
        <w:ind w:firstLine="480" w:firstLineChars="200"/>
        <w:rPr>
          <w:rFonts w:hint="eastAsia" w:ascii="宋体" w:hAnsi="宋体" w:eastAsia="宋体" w:cs="宋体"/>
          <w:color w:val="auto"/>
          <w:sz w:val="24"/>
          <w:szCs w:val="24"/>
          <w:highlight w:val="none"/>
        </w:rPr>
      </w:pPr>
    </w:p>
    <w:p w14:paraId="4FA6AD37">
      <w:pPr>
        <w:spacing w:line="500" w:lineRule="exact"/>
        <w:ind w:firstLine="482" w:firstLineChars="200"/>
        <w:jc w:val="center"/>
        <w:rPr>
          <w:rFonts w:hint="eastAsia" w:ascii="宋体" w:hAnsi="宋体" w:eastAsia="宋体" w:cs="宋体"/>
          <w:b/>
          <w:bCs/>
          <w:color w:val="auto"/>
          <w:sz w:val="24"/>
          <w:szCs w:val="24"/>
          <w:highlight w:val="none"/>
        </w:rPr>
      </w:pPr>
    </w:p>
    <w:p w14:paraId="620FA1DC">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632D2ACA">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提出质疑时，应提交质疑函和必要的证明材料。</w:t>
      </w:r>
    </w:p>
    <w:p w14:paraId="14AAC342">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若委托代理人进行质疑的，质疑函应按要求列明“被授权人”的有关内容，并在附件中提交由质疑</w:t>
      </w:r>
      <w:r>
        <w:rPr>
          <w:rFonts w:hint="eastAsia" w:ascii="宋体" w:hAnsi="宋体" w:eastAsia="宋体" w:cs="宋体"/>
          <w:color w:val="auto"/>
          <w:kern w:val="0"/>
          <w:sz w:val="24"/>
          <w:szCs w:val="24"/>
          <w:highlight w:val="none"/>
        </w:rPr>
        <w:t>投标人签署的授权委托书。授权委托书应载明代理人的姓名或者名称、代理事项、具体权限、期限和相关事项。</w:t>
      </w:r>
    </w:p>
    <w:p w14:paraId="085952AF">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若对项目的某一分包进行质疑，质疑函中应列明具体分包号。</w:t>
      </w:r>
    </w:p>
    <w:p w14:paraId="7B62E96F">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48770359">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0CDDC72">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为自然人的，质疑函应由本人签字；质疑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为法人或者其他组织的，质疑函应由法定代表人、主要负责人或者其被授权人签字或者盖章，并加盖公章。</w:t>
      </w:r>
    </w:p>
    <w:p w14:paraId="04ED3734">
      <w:pPr>
        <w:pStyle w:val="31"/>
        <w:rPr>
          <w:rFonts w:hint="eastAsia" w:ascii="宋体" w:hAnsi="宋体" w:eastAsia="宋体" w:cs="宋体"/>
          <w:color w:val="auto"/>
          <w:sz w:val="24"/>
          <w:szCs w:val="24"/>
          <w:highlight w:val="none"/>
        </w:rPr>
      </w:pPr>
    </w:p>
    <w:p w14:paraId="3367FD7A">
      <w:pPr>
        <w:pStyle w:val="31"/>
        <w:rPr>
          <w:rFonts w:hint="eastAsia" w:ascii="宋体" w:hAnsi="宋体" w:eastAsia="宋体" w:cs="宋体"/>
          <w:color w:val="auto"/>
          <w:sz w:val="24"/>
          <w:szCs w:val="24"/>
          <w:highlight w:val="none"/>
        </w:rPr>
      </w:pPr>
    </w:p>
    <w:p w14:paraId="7FEFA58F">
      <w:pPr>
        <w:pStyle w:val="6"/>
        <w:spacing w:line="500" w:lineRule="exact"/>
        <w:ind w:firstLine="480"/>
        <w:rPr>
          <w:rFonts w:hint="eastAsia" w:ascii="宋体" w:hAnsi="宋体" w:eastAsia="宋体" w:cs="宋体"/>
          <w:color w:val="auto"/>
          <w:sz w:val="24"/>
          <w:szCs w:val="24"/>
          <w:highlight w:val="none"/>
        </w:rPr>
      </w:pPr>
    </w:p>
    <w:p w14:paraId="701676DB">
      <w:pPr>
        <w:pStyle w:val="4"/>
        <w:bidi w:val="0"/>
        <w:jc w:val="center"/>
        <w:outlineLvl w:val="0"/>
        <w:rPr>
          <w:rFonts w:hint="eastAsia"/>
          <w:color w:val="auto"/>
          <w:sz w:val="24"/>
          <w:szCs w:val="40"/>
          <w:highlight w:val="none"/>
        </w:rPr>
      </w:pPr>
      <w:r>
        <w:rPr>
          <w:rFonts w:hint="eastAsia" w:ascii="宋体" w:hAnsi="宋体" w:eastAsia="宋体" w:cs="宋体"/>
          <w:color w:val="auto"/>
          <w:szCs w:val="24"/>
          <w:highlight w:val="none"/>
        </w:rPr>
        <w:br w:type="page"/>
      </w:r>
      <w:bookmarkStart w:id="138" w:name="_Toc12260"/>
      <w:bookmarkStart w:id="139" w:name="_Toc21780"/>
      <w:bookmarkStart w:id="140" w:name="_Toc5850_WPSOffice_Level1"/>
      <w:r>
        <w:rPr>
          <w:rFonts w:hint="eastAsia"/>
          <w:color w:val="auto"/>
          <w:sz w:val="24"/>
          <w:szCs w:val="40"/>
          <w:highlight w:val="none"/>
        </w:rPr>
        <w:t>第三章  投标文件格式</w:t>
      </w:r>
      <w:bookmarkEnd w:id="138"/>
      <w:bookmarkEnd w:id="139"/>
      <w:bookmarkEnd w:id="140"/>
    </w:p>
    <w:p w14:paraId="0A89863F">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投标文件封面示例</w:t>
      </w:r>
    </w:p>
    <w:p w14:paraId="613A53DC">
      <w:pPr>
        <w:spacing w:line="460" w:lineRule="exact"/>
        <w:rPr>
          <w:rFonts w:hint="eastAsia" w:ascii="宋体" w:hAnsi="宋体" w:eastAsia="宋体" w:cs="宋体"/>
          <w:b/>
          <w:color w:val="auto"/>
          <w:sz w:val="24"/>
          <w:szCs w:val="24"/>
          <w:highlight w:val="none"/>
        </w:rPr>
      </w:pPr>
    </w:p>
    <w:p w14:paraId="1625D720">
      <w:pPr>
        <w:spacing w:line="460" w:lineRule="exact"/>
        <w:jc w:val="center"/>
        <w:rPr>
          <w:rFonts w:hint="eastAsia" w:ascii="宋体" w:hAnsi="宋体" w:eastAsia="宋体" w:cs="宋体"/>
          <w:b/>
          <w:color w:val="auto"/>
          <w:sz w:val="24"/>
          <w:szCs w:val="24"/>
          <w:highlight w:val="none"/>
        </w:rPr>
      </w:pPr>
    </w:p>
    <w:p w14:paraId="4F2A244A">
      <w:pPr>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52A3106C">
      <w:pPr>
        <w:spacing w:line="460" w:lineRule="exact"/>
        <w:rPr>
          <w:rFonts w:hint="eastAsia" w:ascii="宋体" w:hAnsi="宋体" w:eastAsia="宋体" w:cs="宋体"/>
          <w:b/>
          <w:color w:val="auto"/>
          <w:sz w:val="24"/>
          <w:szCs w:val="24"/>
          <w:highlight w:val="none"/>
        </w:rPr>
      </w:pPr>
    </w:p>
    <w:p w14:paraId="2E2B4A7C">
      <w:pPr>
        <w:spacing w:line="460" w:lineRule="exact"/>
        <w:ind w:firstLine="504"/>
        <w:rPr>
          <w:rFonts w:hint="eastAsia" w:ascii="宋体" w:hAnsi="宋体" w:eastAsia="宋体" w:cs="宋体"/>
          <w:b/>
          <w:color w:val="auto"/>
          <w:sz w:val="24"/>
          <w:szCs w:val="24"/>
          <w:highlight w:val="none"/>
        </w:rPr>
      </w:pPr>
    </w:p>
    <w:p w14:paraId="78EF4F68">
      <w:pPr>
        <w:spacing w:line="460" w:lineRule="exact"/>
        <w:ind w:firstLine="504"/>
        <w:rPr>
          <w:rFonts w:hint="eastAsia" w:ascii="宋体" w:hAnsi="宋体" w:eastAsia="宋体" w:cs="宋体"/>
          <w:b/>
          <w:color w:val="auto"/>
          <w:sz w:val="24"/>
          <w:szCs w:val="24"/>
          <w:highlight w:val="none"/>
        </w:rPr>
      </w:pPr>
    </w:p>
    <w:p w14:paraId="6974C923">
      <w:pPr>
        <w:spacing w:line="460" w:lineRule="exact"/>
        <w:ind w:firstLine="504"/>
        <w:rPr>
          <w:rFonts w:hint="eastAsia" w:ascii="宋体" w:hAnsi="宋体" w:eastAsia="宋体" w:cs="宋体"/>
          <w:b/>
          <w:color w:val="auto"/>
          <w:sz w:val="24"/>
          <w:szCs w:val="24"/>
          <w:highlight w:val="none"/>
        </w:rPr>
      </w:pPr>
    </w:p>
    <w:p w14:paraId="0F3AF6CB">
      <w:pPr>
        <w:spacing w:line="460" w:lineRule="exact"/>
        <w:ind w:firstLine="504"/>
        <w:rPr>
          <w:rFonts w:hint="eastAsia" w:ascii="宋体" w:hAnsi="宋体" w:eastAsia="宋体" w:cs="宋体"/>
          <w:b/>
          <w:color w:val="auto"/>
          <w:sz w:val="24"/>
          <w:szCs w:val="24"/>
          <w:highlight w:val="none"/>
        </w:rPr>
      </w:pPr>
    </w:p>
    <w:p w14:paraId="70B79BB5">
      <w:pPr>
        <w:spacing w:line="460" w:lineRule="exact"/>
        <w:ind w:firstLine="504"/>
        <w:rPr>
          <w:rFonts w:hint="eastAsia" w:ascii="宋体" w:hAnsi="宋体" w:eastAsia="宋体" w:cs="宋体"/>
          <w:b/>
          <w:color w:val="auto"/>
          <w:sz w:val="24"/>
          <w:szCs w:val="24"/>
          <w:highlight w:val="none"/>
        </w:rPr>
      </w:pPr>
    </w:p>
    <w:p w14:paraId="2EDBEB50">
      <w:pPr>
        <w:spacing w:line="460" w:lineRule="exact"/>
        <w:rPr>
          <w:rFonts w:hint="eastAsia" w:ascii="宋体" w:hAnsi="宋体" w:eastAsia="宋体" w:cs="宋体"/>
          <w:b/>
          <w:color w:val="auto"/>
          <w:sz w:val="24"/>
          <w:szCs w:val="24"/>
          <w:highlight w:val="none"/>
        </w:rPr>
      </w:pPr>
    </w:p>
    <w:p w14:paraId="6F422C4E">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p w14:paraId="29F57664">
      <w:pPr>
        <w:pStyle w:val="31"/>
        <w:rPr>
          <w:rFonts w:hint="eastAsia" w:ascii="宋体" w:hAnsi="宋体" w:eastAsia="宋体" w:cs="宋体"/>
          <w:color w:val="auto"/>
          <w:sz w:val="24"/>
          <w:szCs w:val="24"/>
          <w:highlight w:val="none"/>
        </w:rPr>
      </w:pPr>
    </w:p>
    <w:p w14:paraId="08821F56">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p w14:paraId="7AEE1463">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0837896">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投标人名称（盖章）：</w:t>
      </w:r>
    </w:p>
    <w:p w14:paraId="434699E2">
      <w:pPr>
        <w:spacing w:line="460" w:lineRule="exact"/>
        <w:ind w:firstLine="504"/>
        <w:rPr>
          <w:rFonts w:hint="eastAsia" w:ascii="宋体" w:hAnsi="宋体" w:eastAsia="宋体" w:cs="宋体"/>
          <w:b/>
          <w:color w:val="auto"/>
          <w:sz w:val="24"/>
          <w:szCs w:val="24"/>
          <w:highlight w:val="none"/>
        </w:rPr>
      </w:pPr>
    </w:p>
    <w:p w14:paraId="7ADF884F">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被授权人（签字或盖章）：</w:t>
      </w:r>
    </w:p>
    <w:p w14:paraId="2560346F">
      <w:pPr>
        <w:spacing w:line="460" w:lineRule="exact"/>
        <w:ind w:firstLine="504"/>
        <w:rPr>
          <w:rFonts w:hint="eastAsia" w:ascii="宋体" w:hAnsi="宋体" w:eastAsia="宋体" w:cs="宋体"/>
          <w:b/>
          <w:color w:val="auto"/>
          <w:sz w:val="24"/>
          <w:szCs w:val="24"/>
          <w:highlight w:val="none"/>
        </w:rPr>
      </w:pPr>
    </w:p>
    <w:p w14:paraId="2F576ABE">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项目联系人： </w:t>
      </w:r>
    </w:p>
    <w:p w14:paraId="552BDD3D">
      <w:pPr>
        <w:spacing w:line="460" w:lineRule="exact"/>
        <w:ind w:firstLine="504"/>
        <w:rPr>
          <w:rFonts w:hint="eastAsia" w:ascii="宋体" w:hAnsi="宋体" w:eastAsia="宋体" w:cs="宋体"/>
          <w:b/>
          <w:color w:val="auto"/>
          <w:sz w:val="24"/>
          <w:szCs w:val="24"/>
          <w:highlight w:val="none"/>
        </w:rPr>
      </w:pPr>
    </w:p>
    <w:p w14:paraId="3BC795BB">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14:paraId="672F5551">
      <w:pPr>
        <w:spacing w:line="460" w:lineRule="exact"/>
        <w:ind w:firstLine="504"/>
        <w:rPr>
          <w:rFonts w:hint="eastAsia" w:ascii="宋体" w:hAnsi="宋体" w:eastAsia="宋体" w:cs="宋体"/>
          <w:b/>
          <w:color w:val="auto"/>
          <w:sz w:val="24"/>
          <w:szCs w:val="24"/>
          <w:highlight w:val="none"/>
        </w:rPr>
      </w:pPr>
    </w:p>
    <w:p w14:paraId="24B2B330">
      <w:pPr>
        <w:spacing w:line="460" w:lineRule="exact"/>
        <w:ind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编制时间：</w:t>
      </w:r>
    </w:p>
    <w:p w14:paraId="7D96E2F7">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p>
    <w:p w14:paraId="3AF9F057">
      <w:pPr>
        <w:tabs>
          <w:tab w:val="left" w:pos="3480"/>
        </w:tabs>
        <w:spacing w:line="500" w:lineRule="exact"/>
        <w:ind w:firstLine="480" w:firstLineChars="200"/>
        <w:rPr>
          <w:rFonts w:hint="eastAsia" w:ascii="宋体" w:hAnsi="宋体" w:eastAsia="宋体" w:cs="宋体"/>
          <w:color w:val="auto"/>
          <w:sz w:val="24"/>
          <w:szCs w:val="24"/>
          <w:highlight w:val="none"/>
        </w:rPr>
      </w:pPr>
      <w:bookmarkStart w:id="141" w:name="_Toc217446082"/>
    </w:p>
    <w:p w14:paraId="7C61B65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4884E2EC">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二、身份证明书及授权委托书</w:t>
      </w:r>
    </w:p>
    <w:p w14:paraId="2A49408B">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投标报价明细表</w:t>
      </w:r>
    </w:p>
    <w:p w14:paraId="41D2B56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、投标人基本情况表</w:t>
      </w:r>
    </w:p>
    <w:p w14:paraId="6F0EF17A">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、投标人类似项目业绩一览表</w:t>
      </w:r>
    </w:p>
    <w:p w14:paraId="0C936B1D">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、商务、技术需求偏离表</w:t>
      </w:r>
    </w:p>
    <w:p w14:paraId="11B4D2DF">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、拟配备人员情况</w:t>
      </w:r>
    </w:p>
    <w:p w14:paraId="6F211E83">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、实施方案</w:t>
      </w:r>
    </w:p>
    <w:p w14:paraId="00900B8C">
      <w:pPr>
        <w:tabs>
          <w:tab w:val="left" w:pos="348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、投标人认为需要提供的其他文件和资料</w:t>
      </w:r>
    </w:p>
    <w:p w14:paraId="71DD0C85">
      <w:pPr>
        <w:tabs>
          <w:tab w:val="left" w:pos="3480"/>
        </w:tabs>
        <w:spacing w:line="500" w:lineRule="exact"/>
        <w:ind w:firstLine="480" w:firstLineChars="200"/>
        <w:rPr>
          <w:rFonts w:hint="eastAsia" w:ascii="宋体" w:hAnsi="宋体" w:eastAsia="宋体" w:cs="宋体"/>
          <w:color w:val="auto"/>
          <w:sz w:val="24"/>
          <w:szCs w:val="24"/>
          <w:highlight w:val="none"/>
        </w:rPr>
      </w:pPr>
    </w:p>
    <w:p w14:paraId="5F1313E3">
      <w:pPr>
        <w:pStyle w:val="6"/>
        <w:spacing w:line="500" w:lineRule="exact"/>
        <w:ind w:firstLine="480"/>
        <w:rPr>
          <w:rFonts w:hint="eastAsia" w:ascii="宋体" w:hAnsi="宋体" w:eastAsia="宋体" w:cs="宋体"/>
          <w:color w:val="auto"/>
          <w:sz w:val="24"/>
          <w:szCs w:val="24"/>
          <w:highlight w:val="none"/>
        </w:rPr>
      </w:pPr>
    </w:p>
    <w:p w14:paraId="5CC3242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：投标人应按以上目录顺序编排投标文件，并标注相应页码。）</w:t>
      </w:r>
    </w:p>
    <w:p w14:paraId="362A2039">
      <w:pPr>
        <w:rPr>
          <w:rFonts w:hint="eastAsia" w:ascii="宋体" w:hAnsi="宋体" w:eastAsia="宋体" w:cs="宋体"/>
          <w:color w:val="auto"/>
          <w:sz w:val="24"/>
          <w:szCs w:val="24"/>
          <w:highlight w:val="none"/>
        </w:rPr>
      </w:pPr>
    </w:p>
    <w:p w14:paraId="05D199F0">
      <w:pPr>
        <w:pStyle w:val="31"/>
        <w:rPr>
          <w:rFonts w:hint="eastAsia" w:ascii="宋体" w:hAnsi="宋体" w:eastAsia="宋体" w:cs="宋体"/>
          <w:color w:val="auto"/>
          <w:sz w:val="24"/>
          <w:szCs w:val="24"/>
          <w:highlight w:val="none"/>
        </w:rPr>
      </w:pPr>
    </w:p>
    <w:p w14:paraId="14DE5039">
      <w:pPr>
        <w:rPr>
          <w:rFonts w:hint="eastAsia" w:ascii="宋体" w:hAnsi="宋体" w:eastAsia="宋体" w:cs="宋体"/>
          <w:color w:val="auto"/>
          <w:sz w:val="24"/>
          <w:szCs w:val="24"/>
          <w:highlight w:val="none"/>
        </w:rPr>
      </w:pPr>
    </w:p>
    <w:p w14:paraId="3D30DD11">
      <w:pPr>
        <w:pStyle w:val="31"/>
        <w:rPr>
          <w:rFonts w:hint="eastAsia" w:ascii="宋体" w:hAnsi="宋体" w:eastAsia="宋体" w:cs="宋体"/>
          <w:color w:val="auto"/>
          <w:sz w:val="24"/>
          <w:szCs w:val="24"/>
          <w:highlight w:val="none"/>
        </w:rPr>
      </w:pPr>
    </w:p>
    <w:p w14:paraId="1C988A2A">
      <w:pPr>
        <w:rPr>
          <w:rFonts w:hint="eastAsia" w:ascii="宋体" w:hAnsi="宋体" w:eastAsia="宋体" w:cs="宋体"/>
          <w:color w:val="auto"/>
          <w:sz w:val="24"/>
          <w:szCs w:val="24"/>
          <w:highlight w:val="none"/>
        </w:rPr>
      </w:pPr>
    </w:p>
    <w:p w14:paraId="30172F69">
      <w:pPr>
        <w:spacing w:line="500" w:lineRule="exact"/>
        <w:rPr>
          <w:rFonts w:hint="eastAsia" w:ascii="宋体" w:hAnsi="宋体" w:eastAsia="宋体" w:cs="宋体"/>
          <w:color w:val="auto"/>
          <w:sz w:val="24"/>
          <w:szCs w:val="24"/>
          <w:highlight w:val="none"/>
        </w:rPr>
      </w:pPr>
    </w:p>
    <w:p w14:paraId="541E9687">
      <w:pPr>
        <w:spacing w:line="500" w:lineRule="exact"/>
        <w:jc w:val="center"/>
        <w:rPr>
          <w:rFonts w:hint="eastAsia" w:ascii="宋体" w:hAnsi="宋体" w:eastAsia="宋体" w:cs="宋体"/>
          <w:color w:val="auto"/>
          <w:sz w:val="24"/>
          <w:szCs w:val="24"/>
          <w:highlight w:val="none"/>
        </w:rPr>
      </w:pPr>
    </w:p>
    <w:p w14:paraId="22A49DDE">
      <w:pPr>
        <w:rPr>
          <w:rFonts w:hint="eastAsia" w:ascii="宋体" w:hAnsi="宋体" w:eastAsia="宋体" w:cs="宋体"/>
          <w:color w:val="auto"/>
          <w:sz w:val="24"/>
          <w:szCs w:val="24"/>
          <w:highlight w:val="none"/>
        </w:rPr>
      </w:pPr>
    </w:p>
    <w:p w14:paraId="19061B94">
      <w:pPr>
        <w:pStyle w:val="31"/>
        <w:rPr>
          <w:rFonts w:hint="eastAsia" w:ascii="宋体" w:hAnsi="宋体" w:eastAsia="宋体" w:cs="宋体"/>
          <w:color w:val="auto"/>
          <w:sz w:val="24"/>
          <w:szCs w:val="24"/>
          <w:highlight w:val="none"/>
        </w:rPr>
      </w:pPr>
    </w:p>
    <w:p w14:paraId="55315646">
      <w:pPr>
        <w:rPr>
          <w:rFonts w:hint="eastAsia" w:ascii="宋体" w:hAnsi="宋体" w:eastAsia="宋体" w:cs="宋体"/>
          <w:color w:val="auto"/>
          <w:sz w:val="24"/>
          <w:szCs w:val="24"/>
          <w:highlight w:val="none"/>
        </w:rPr>
      </w:pPr>
    </w:p>
    <w:p w14:paraId="66418B57">
      <w:pPr>
        <w:pStyle w:val="31"/>
        <w:rPr>
          <w:rFonts w:hint="eastAsia" w:ascii="宋体" w:hAnsi="宋体" w:eastAsia="宋体" w:cs="宋体"/>
          <w:color w:val="auto"/>
          <w:sz w:val="24"/>
          <w:szCs w:val="24"/>
          <w:highlight w:val="none"/>
        </w:rPr>
      </w:pPr>
    </w:p>
    <w:p w14:paraId="25ACC3C4">
      <w:pPr>
        <w:rPr>
          <w:rFonts w:hint="eastAsia" w:ascii="宋体" w:hAnsi="宋体" w:eastAsia="宋体" w:cs="宋体"/>
          <w:color w:val="auto"/>
          <w:sz w:val="24"/>
          <w:szCs w:val="24"/>
          <w:highlight w:val="none"/>
        </w:rPr>
      </w:pPr>
    </w:p>
    <w:p w14:paraId="5487DC6A">
      <w:pPr>
        <w:pStyle w:val="31"/>
        <w:rPr>
          <w:rFonts w:hint="eastAsia" w:ascii="宋体" w:hAnsi="宋体" w:eastAsia="宋体" w:cs="宋体"/>
          <w:color w:val="auto"/>
          <w:sz w:val="24"/>
          <w:szCs w:val="24"/>
          <w:highlight w:val="none"/>
        </w:rPr>
      </w:pPr>
    </w:p>
    <w:p w14:paraId="629865B9">
      <w:pPr>
        <w:spacing w:line="500" w:lineRule="exact"/>
        <w:jc w:val="center"/>
        <w:rPr>
          <w:rFonts w:hint="eastAsia" w:ascii="宋体" w:hAnsi="宋体" w:eastAsia="宋体" w:cs="宋体"/>
          <w:color w:val="auto"/>
          <w:sz w:val="24"/>
          <w:szCs w:val="24"/>
          <w:highlight w:val="none"/>
        </w:rPr>
      </w:pPr>
    </w:p>
    <w:p w14:paraId="320B6E26">
      <w:pPr>
        <w:spacing w:line="500" w:lineRule="exact"/>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一、</w:t>
      </w:r>
      <w:bookmarkEnd w:id="141"/>
      <w:r>
        <w:rPr>
          <w:rFonts w:hint="eastAsia" w:ascii="宋体" w:hAnsi="宋体" w:eastAsia="宋体" w:cs="宋体"/>
          <w:b/>
          <w:bCs/>
          <w:color w:val="auto"/>
          <w:sz w:val="24"/>
          <w:szCs w:val="24"/>
          <w:highlight w:val="none"/>
        </w:rPr>
        <w:t>投标函</w:t>
      </w:r>
    </w:p>
    <w:p w14:paraId="122709B4">
      <w:pPr>
        <w:pStyle w:val="16"/>
        <w:spacing w:after="0" w:line="500" w:lineRule="exact"/>
        <w:ind w:left="0" w:leftChars="0" w:firstLine="480" w:firstLineChars="200"/>
        <w:rPr>
          <w:rFonts w:hint="eastAsia" w:ascii="宋体" w:hAnsi="宋体" w:eastAsia="宋体" w:cs="宋体"/>
          <w:bCs/>
          <w:color w:val="auto"/>
          <w:sz w:val="24"/>
          <w:szCs w:val="24"/>
          <w:highlight w:val="none"/>
        </w:rPr>
      </w:pPr>
      <w:bookmarkStart w:id="142" w:name="_Toc217446083"/>
      <w:r>
        <w:rPr>
          <w:rFonts w:hint="eastAsia" w:ascii="宋体" w:hAnsi="宋体" w:eastAsia="宋体" w:cs="宋体"/>
          <w:bCs/>
          <w:color w:val="auto"/>
          <w:sz w:val="24"/>
          <w:szCs w:val="24"/>
          <w:highlight w:val="none"/>
        </w:rPr>
        <w:t>__________（采购人）：</w:t>
      </w:r>
    </w:p>
    <w:p w14:paraId="165E577D">
      <w:pPr>
        <w:pStyle w:val="16"/>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我方全面研究了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（项目名称、项目编号）”项目招标文件，决定参加贵单位组织的本项目投标。我方授权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（姓名、职务）代表我方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（投标人的名称）全权处理本项目投标的有关事宜。</w:t>
      </w:r>
    </w:p>
    <w:p w14:paraId="585F09ED">
      <w:pPr>
        <w:pStyle w:val="16"/>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1、我方自愿按照招标文件规定的各项要求向采购人提供所需</w:t>
      </w:r>
      <w:r>
        <w:rPr>
          <w:rFonts w:hint="eastAsia" w:ascii="宋体" w:hAnsi="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，总投标价为人民币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），投标有效期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日历天。</w:t>
      </w:r>
    </w:p>
    <w:p w14:paraId="15D27CB8">
      <w:pPr>
        <w:pStyle w:val="16"/>
        <w:spacing w:after="0" w:line="500" w:lineRule="exact"/>
        <w:ind w:left="0" w:leftChars="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2、一旦我方成交，我方将严格履行合同规定的责任和义务</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供货期：</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u w:val="single"/>
          <w:lang w:val="en-US" w:eastAsia="zh-CN"/>
        </w:rPr>
        <w:t xml:space="preserve">    年</w:t>
      </w:r>
      <w:r>
        <w:rPr>
          <w:rFonts w:hint="eastAsia" w:ascii="宋体" w:hAnsi="宋体" w:eastAsia="宋体" w:cs="宋体"/>
          <w:bCs/>
          <w:color w:val="auto"/>
          <w:sz w:val="24"/>
          <w:szCs w:val="24"/>
          <w:highlight w:val="none"/>
        </w:rPr>
        <w:t>并达到采购人要求</w:t>
      </w:r>
      <w:r>
        <w:rPr>
          <w:rFonts w:hint="eastAsia" w:ascii="宋体" w:hAnsi="宋体" w:cs="宋体"/>
          <w:bCs/>
          <w:color w:val="auto"/>
          <w:sz w:val="24"/>
          <w:szCs w:val="24"/>
          <w:highlight w:val="none"/>
          <w:lang w:eastAsia="zh-CN"/>
        </w:rPr>
        <w:t>。</w:t>
      </w:r>
    </w:p>
    <w:p w14:paraId="1A0F63A0">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3、我方同意按照招标文件的要求，向贵单位缴纳人民币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）的投标保证金，并承诺如发生符合“</w:t>
      </w:r>
      <w:r>
        <w:rPr>
          <w:rFonts w:hint="eastAsia" w:ascii="宋体" w:hAnsi="宋体" w:eastAsia="宋体" w:cs="宋体"/>
          <w:bCs w:val="0"/>
          <w:color w:val="auto"/>
          <w:sz w:val="24"/>
          <w:szCs w:val="24"/>
          <w:highlight w:val="none"/>
        </w:rPr>
        <w:t>总  则</w:t>
      </w:r>
      <w:r>
        <w:rPr>
          <w:rFonts w:hint="eastAsia" w:ascii="宋体" w:hAnsi="宋体" w:eastAsia="宋体" w:cs="宋体"/>
          <w:bCs/>
          <w:color w:val="auto"/>
          <w:sz w:val="24"/>
          <w:szCs w:val="24"/>
          <w:highlight w:val="none"/>
        </w:rPr>
        <w:t>”第15.5条的任何情况时，我方将不要求退还投标保证金。</w:t>
      </w:r>
    </w:p>
    <w:p w14:paraId="5CF784AB">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4、我方承诺我方中标后将提供符合招标文件要求的检验检测报告。</w:t>
      </w:r>
    </w:p>
    <w:p w14:paraId="6F4A6412">
      <w:pPr>
        <w:pStyle w:val="16"/>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、我方提交的投标文件满足招标文件实质性要求。</w:t>
      </w:r>
    </w:p>
    <w:p w14:paraId="445AEF0B">
      <w:pPr>
        <w:pStyle w:val="16"/>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、我方愿意提供采购人可能另外要求的，与投标有关的文件资料，并保证我方已提供和将要提供的文件资料是真实、准确的。</w:t>
      </w:r>
    </w:p>
    <w:p w14:paraId="3F2AF849">
      <w:pPr>
        <w:pStyle w:val="16"/>
        <w:spacing w:after="0" w:line="50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、我方完全理解采购人不一定将合同授予最低报价的投标人。</w:t>
      </w:r>
    </w:p>
    <w:p w14:paraId="239FFF88">
      <w:pPr>
        <w:pStyle w:val="16"/>
        <w:spacing w:after="0" w:line="500" w:lineRule="exact"/>
        <w:ind w:left="0" w:leftChars="0" w:firstLine="480" w:firstLineChars="200"/>
        <w:jc w:val="center"/>
        <w:rPr>
          <w:rFonts w:hint="eastAsia" w:ascii="宋体" w:hAnsi="宋体" w:eastAsia="宋体" w:cs="宋体"/>
          <w:bCs/>
          <w:color w:val="auto"/>
          <w:sz w:val="24"/>
          <w:szCs w:val="24"/>
          <w:highlight w:val="none"/>
        </w:rPr>
      </w:pPr>
    </w:p>
    <w:p w14:paraId="184F101E">
      <w:pPr>
        <w:pStyle w:val="16"/>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投标人名称（盖章）：</w:t>
      </w:r>
    </w:p>
    <w:p w14:paraId="229C8485">
      <w:pPr>
        <w:pStyle w:val="16"/>
        <w:spacing w:after="0" w:line="500" w:lineRule="exact"/>
        <w:ind w:left="0" w:leftChars="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授权人或被授权人（签字或盖章）</w:t>
      </w:r>
      <w:r>
        <w:rPr>
          <w:rFonts w:hint="eastAsia" w:ascii="宋体" w:hAnsi="宋体" w:eastAsia="宋体" w:cs="宋体"/>
          <w:bCs/>
          <w:color w:val="auto"/>
          <w:sz w:val="24"/>
          <w:szCs w:val="24"/>
          <w:highlight w:val="none"/>
        </w:rPr>
        <w:t>：</w:t>
      </w:r>
    </w:p>
    <w:p w14:paraId="5EA98FB8">
      <w:pPr>
        <w:pStyle w:val="16"/>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通讯地址：</w:t>
      </w:r>
    </w:p>
    <w:p w14:paraId="6861596D">
      <w:pPr>
        <w:pStyle w:val="16"/>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0E7C0740">
      <w:pPr>
        <w:pStyle w:val="16"/>
        <w:spacing w:after="0" w:line="500" w:lineRule="exact"/>
        <w:ind w:firstLine="3360" w:firstLineChars="1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p>
    <w:p w14:paraId="26DDFA65">
      <w:pPr>
        <w:pStyle w:val="45"/>
        <w:spacing w:line="460" w:lineRule="exact"/>
        <w:ind w:firstLine="3360" w:firstLineChars="1400"/>
        <w:rPr>
          <w:rFonts w:hint="eastAsia" w:ascii="宋体" w:hAnsi="宋体" w:eastAsia="宋体" w:cs="宋体"/>
          <w:bCs/>
          <w:color w:val="auto"/>
          <w:sz w:val="24"/>
          <w:szCs w:val="24"/>
          <w:highlight w:val="none"/>
        </w:rPr>
      </w:pPr>
    </w:p>
    <w:p w14:paraId="5B81C989">
      <w:pPr>
        <w:pStyle w:val="45"/>
        <w:spacing w:line="460" w:lineRule="exact"/>
        <w:ind w:firstLine="3360" w:firstLineChars="1400"/>
        <w:rPr>
          <w:rFonts w:hint="eastAsia" w:ascii="宋体" w:hAnsi="宋体" w:eastAsia="宋体" w:cs="宋体"/>
          <w:bCs/>
          <w:color w:val="auto"/>
          <w:sz w:val="24"/>
          <w:szCs w:val="24"/>
          <w:highlight w:val="none"/>
        </w:rPr>
      </w:pPr>
    </w:p>
    <w:p w14:paraId="11094106">
      <w:pPr>
        <w:pStyle w:val="45"/>
        <w:spacing w:line="460" w:lineRule="exact"/>
        <w:ind w:firstLine="3360" w:firstLineChars="1400"/>
        <w:rPr>
          <w:rFonts w:hint="eastAsia" w:ascii="宋体" w:hAnsi="宋体" w:eastAsia="宋体" w:cs="宋体"/>
          <w:bCs/>
          <w:color w:val="auto"/>
          <w:sz w:val="24"/>
          <w:szCs w:val="24"/>
          <w:highlight w:val="none"/>
        </w:rPr>
      </w:pPr>
    </w:p>
    <w:p w14:paraId="6FB1A88E">
      <w:pPr>
        <w:pStyle w:val="45"/>
        <w:spacing w:line="460" w:lineRule="exact"/>
        <w:ind w:firstLine="3360" w:firstLineChars="1400"/>
        <w:rPr>
          <w:rFonts w:hint="eastAsia" w:ascii="宋体" w:hAnsi="宋体" w:eastAsia="宋体" w:cs="宋体"/>
          <w:bCs/>
          <w:color w:val="auto"/>
          <w:sz w:val="24"/>
          <w:szCs w:val="24"/>
          <w:highlight w:val="none"/>
        </w:rPr>
      </w:pPr>
    </w:p>
    <w:p w14:paraId="621E7469">
      <w:pPr>
        <w:pStyle w:val="45"/>
        <w:spacing w:line="460" w:lineRule="exact"/>
        <w:ind w:firstLine="3360" w:firstLineChars="1400"/>
        <w:rPr>
          <w:rFonts w:hint="eastAsia" w:ascii="宋体" w:hAnsi="宋体" w:eastAsia="宋体" w:cs="宋体"/>
          <w:bCs/>
          <w:color w:val="auto"/>
          <w:sz w:val="24"/>
          <w:szCs w:val="24"/>
          <w:highlight w:val="none"/>
        </w:rPr>
      </w:pPr>
    </w:p>
    <w:p w14:paraId="64C02B88">
      <w:pPr>
        <w:pStyle w:val="4"/>
        <w:numPr>
          <w:ilvl w:val="0"/>
          <w:numId w:val="7"/>
        </w:numPr>
        <w:spacing w:before="156" w:after="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身份证明书及授权委托书</w:t>
      </w:r>
    </w:p>
    <w:p w14:paraId="6F4F6C25">
      <w:pPr>
        <w:spacing w:line="500" w:lineRule="exact"/>
        <w:ind w:firstLine="482" w:firstLineChars="200"/>
        <w:jc w:val="center"/>
        <w:rPr>
          <w:rFonts w:hint="eastAsia" w:ascii="宋体" w:hAnsi="宋体" w:eastAsia="宋体" w:cs="宋体"/>
          <w:b/>
          <w:bCs/>
          <w:color w:val="auto"/>
          <w:sz w:val="24"/>
          <w:szCs w:val="24"/>
          <w:highlight w:val="none"/>
        </w:rPr>
      </w:pPr>
    </w:p>
    <w:p w14:paraId="3F5856A3">
      <w:pPr>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身份证明书（投标人为法人）</w:t>
      </w:r>
    </w:p>
    <w:p w14:paraId="7A2C858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B2088D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68343C94">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D61846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177641D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（项目名称）的投标、签署上述投标文件、进行合同谈判、签署合同和处理与之有关的一切事务权利的投标人。 </w:t>
      </w:r>
    </w:p>
    <w:p w14:paraId="4C29816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88CC058">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ECD07D">
      <w:pPr>
        <w:spacing w:line="50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法定代表人身份证正反面彩色扫描件</w:t>
      </w:r>
      <w:r>
        <w:rPr>
          <w:rFonts w:hint="eastAsia" w:ascii="宋体" w:hAnsi="宋体" w:eastAsia="宋体" w:cs="宋体"/>
          <w:b/>
          <w:bCs/>
          <w:color w:val="auto"/>
          <w:sz w:val="24"/>
          <w:szCs w:val="24"/>
          <w:highlight w:val="none"/>
          <w:lang w:eastAsia="zh-CN"/>
        </w:rPr>
        <w:t>。</w:t>
      </w:r>
    </w:p>
    <w:p w14:paraId="28052556">
      <w:pPr>
        <w:spacing w:line="500" w:lineRule="exact"/>
        <w:ind w:firstLine="480" w:firstLineChars="200"/>
        <w:jc w:val="center"/>
        <w:rPr>
          <w:rFonts w:hint="eastAsia" w:ascii="宋体" w:hAnsi="宋体" w:eastAsia="宋体" w:cs="宋体"/>
          <w:color w:val="auto"/>
          <w:sz w:val="24"/>
          <w:szCs w:val="24"/>
          <w:highlight w:val="none"/>
        </w:rPr>
      </w:pPr>
    </w:p>
    <w:p w14:paraId="3EAE4251">
      <w:pPr>
        <w:spacing w:line="500" w:lineRule="exact"/>
        <w:ind w:firstLine="480" w:firstLineChars="200"/>
        <w:jc w:val="center"/>
        <w:rPr>
          <w:rFonts w:hint="eastAsia" w:ascii="宋体" w:hAnsi="宋体" w:eastAsia="宋体" w:cs="宋体"/>
          <w:color w:val="auto"/>
          <w:sz w:val="24"/>
          <w:szCs w:val="24"/>
          <w:highlight w:val="none"/>
        </w:rPr>
      </w:pPr>
    </w:p>
    <w:p w14:paraId="4DB85632">
      <w:pPr>
        <w:spacing w:line="500" w:lineRule="exact"/>
        <w:ind w:firstLine="480" w:firstLineChars="200"/>
        <w:jc w:val="center"/>
        <w:rPr>
          <w:rFonts w:hint="eastAsia" w:ascii="宋体" w:hAnsi="宋体" w:eastAsia="宋体" w:cs="宋体"/>
          <w:color w:val="auto"/>
          <w:sz w:val="24"/>
          <w:szCs w:val="24"/>
          <w:highlight w:val="none"/>
        </w:rPr>
      </w:pPr>
    </w:p>
    <w:p w14:paraId="06CDA43C">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投标人名称（盖章）：</w:t>
      </w:r>
      <w:r>
        <w:rPr>
          <w:rFonts w:hint="eastAsia" w:ascii="宋体" w:hAnsi="宋体" w:eastAsia="宋体" w:cs="宋体"/>
          <w:color w:val="auto"/>
          <w:sz w:val="24"/>
          <w:szCs w:val="24"/>
          <w:highlight w:val="none"/>
          <w:u w:val="single"/>
        </w:rPr>
        <w:t xml:space="preserve">                  </w:t>
      </w:r>
    </w:p>
    <w:p w14:paraId="50C775FF">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bCs/>
          <w:color w:val="auto"/>
          <w:sz w:val="24"/>
          <w:szCs w:val="24"/>
          <w:highlight w:val="none"/>
        </w:rPr>
        <w:t>年   月   日</w:t>
      </w:r>
    </w:p>
    <w:p w14:paraId="37DA6DCF">
      <w:pPr>
        <w:snapToGrid w:val="0"/>
        <w:spacing w:line="500" w:lineRule="exact"/>
        <w:ind w:firstLine="482" w:firstLineChars="200"/>
        <w:jc w:val="center"/>
        <w:rPr>
          <w:rFonts w:hint="eastAsia" w:ascii="宋体" w:hAnsi="宋体" w:eastAsia="宋体" w:cs="宋体"/>
          <w:b/>
          <w:bCs/>
          <w:color w:val="auto"/>
          <w:sz w:val="24"/>
          <w:szCs w:val="24"/>
          <w:highlight w:val="none"/>
        </w:rPr>
      </w:pPr>
    </w:p>
    <w:p w14:paraId="58572DDC">
      <w:pPr>
        <w:pStyle w:val="12"/>
        <w:rPr>
          <w:rFonts w:hint="eastAsia" w:ascii="宋体" w:hAnsi="宋体" w:eastAsia="宋体" w:cs="宋体"/>
          <w:b/>
          <w:bCs/>
          <w:color w:val="auto"/>
          <w:sz w:val="24"/>
          <w:szCs w:val="24"/>
          <w:highlight w:val="none"/>
        </w:rPr>
      </w:pPr>
    </w:p>
    <w:p w14:paraId="5C9D8862">
      <w:pPr>
        <w:spacing w:line="500" w:lineRule="exact"/>
        <w:ind w:firstLine="482" w:firstLineChars="200"/>
        <w:jc w:val="center"/>
        <w:rPr>
          <w:rFonts w:hint="eastAsia" w:ascii="宋体" w:hAnsi="宋体" w:eastAsia="宋体" w:cs="宋体"/>
          <w:b/>
          <w:bCs/>
          <w:color w:val="auto"/>
          <w:sz w:val="24"/>
          <w:szCs w:val="24"/>
          <w:highlight w:val="none"/>
        </w:rPr>
      </w:pPr>
    </w:p>
    <w:p w14:paraId="1AD620EC">
      <w:pPr>
        <w:snapToGrid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身份证明书（投标人为非法人）</w:t>
      </w:r>
    </w:p>
    <w:p w14:paraId="7645E9AF">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auto"/>
          <w:sz w:val="24"/>
          <w:szCs w:val="24"/>
          <w:highlight w:val="none"/>
        </w:rPr>
      </w:pPr>
    </w:p>
    <w:p w14:paraId="361F7B25">
      <w:pPr>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       </w:t>
      </w:r>
    </w:p>
    <w:p w14:paraId="50201594">
      <w:pPr>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B2F5338">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                                           </w:t>
      </w:r>
    </w:p>
    <w:p w14:paraId="64F7A5D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（项目名称）的投标、签署上述投标文件、进行合同谈判、签署合同和处理与之有关的一切事务权利的投标人。 </w:t>
      </w:r>
    </w:p>
    <w:p w14:paraId="53FE238E">
      <w:pPr>
        <w:snapToGrid w:val="0"/>
        <w:spacing w:line="500" w:lineRule="exact"/>
        <w:ind w:firstLine="480" w:firstLineChars="200"/>
        <w:rPr>
          <w:rFonts w:hint="eastAsia" w:ascii="宋体" w:hAnsi="宋体" w:eastAsia="宋体" w:cs="宋体"/>
          <w:color w:val="auto"/>
          <w:sz w:val="24"/>
          <w:szCs w:val="24"/>
          <w:highlight w:val="none"/>
        </w:rPr>
      </w:pPr>
    </w:p>
    <w:p w14:paraId="115623B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50BE285">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75ACA1">
      <w:pPr>
        <w:snapToGrid w:val="0"/>
        <w:spacing w:line="50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身份证正反面彩色扫描件</w:t>
      </w:r>
      <w:r>
        <w:rPr>
          <w:rFonts w:hint="eastAsia" w:ascii="宋体" w:hAnsi="宋体" w:eastAsia="宋体" w:cs="宋体"/>
          <w:b/>
          <w:bCs/>
          <w:color w:val="auto"/>
          <w:sz w:val="24"/>
          <w:szCs w:val="24"/>
          <w:highlight w:val="none"/>
          <w:lang w:eastAsia="zh-CN"/>
        </w:rPr>
        <w:t>。</w:t>
      </w:r>
    </w:p>
    <w:p w14:paraId="25E5E3E9">
      <w:pPr>
        <w:spacing w:line="500" w:lineRule="exact"/>
        <w:ind w:firstLine="480" w:firstLineChars="200"/>
        <w:jc w:val="center"/>
        <w:rPr>
          <w:rFonts w:hint="eastAsia" w:ascii="宋体" w:hAnsi="宋体" w:eastAsia="宋体" w:cs="宋体"/>
          <w:color w:val="auto"/>
          <w:sz w:val="24"/>
          <w:szCs w:val="24"/>
          <w:highlight w:val="none"/>
        </w:rPr>
      </w:pPr>
    </w:p>
    <w:p w14:paraId="54D2A3E4">
      <w:pPr>
        <w:spacing w:line="500" w:lineRule="exact"/>
        <w:ind w:firstLine="480" w:firstLineChars="200"/>
        <w:jc w:val="center"/>
        <w:rPr>
          <w:rFonts w:hint="eastAsia" w:ascii="宋体" w:hAnsi="宋体" w:eastAsia="宋体" w:cs="宋体"/>
          <w:color w:val="auto"/>
          <w:sz w:val="24"/>
          <w:szCs w:val="24"/>
          <w:highlight w:val="none"/>
        </w:rPr>
      </w:pPr>
    </w:p>
    <w:p w14:paraId="0D0D54FD">
      <w:pPr>
        <w:spacing w:line="500" w:lineRule="exact"/>
        <w:ind w:firstLine="480" w:firstLineChars="200"/>
        <w:jc w:val="center"/>
        <w:rPr>
          <w:rFonts w:hint="eastAsia" w:ascii="宋体" w:hAnsi="宋体" w:eastAsia="宋体" w:cs="宋体"/>
          <w:color w:val="auto"/>
          <w:sz w:val="24"/>
          <w:szCs w:val="24"/>
          <w:highlight w:val="none"/>
        </w:rPr>
      </w:pPr>
    </w:p>
    <w:p w14:paraId="029EBB97">
      <w:pPr>
        <w:spacing w:line="500" w:lineRule="exact"/>
        <w:ind w:firstLine="480" w:firstLineChars="200"/>
        <w:jc w:val="center"/>
        <w:rPr>
          <w:rFonts w:hint="eastAsia" w:ascii="宋体" w:hAnsi="宋体" w:eastAsia="宋体" w:cs="宋体"/>
          <w:color w:val="auto"/>
          <w:sz w:val="24"/>
          <w:szCs w:val="24"/>
          <w:highlight w:val="none"/>
        </w:rPr>
      </w:pPr>
    </w:p>
    <w:p w14:paraId="1AC51E7F">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投标人（签字或盖章）：</w:t>
      </w:r>
      <w:r>
        <w:rPr>
          <w:rFonts w:hint="eastAsia" w:ascii="宋体" w:hAnsi="宋体" w:eastAsia="宋体" w:cs="宋体"/>
          <w:color w:val="auto"/>
          <w:sz w:val="24"/>
          <w:szCs w:val="24"/>
          <w:highlight w:val="none"/>
          <w:u w:val="single"/>
        </w:rPr>
        <w:t xml:space="preserve">                  </w:t>
      </w:r>
    </w:p>
    <w:p w14:paraId="1B7B62AD">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bCs/>
          <w:color w:val="auto"/>
          <w:sz w:val="24"/>
          <w:szCs w:val="24"/>
          <w:highlight w:val="none"/>
        </w:rPr>
        <w:t>年   月   日</w:t>
      </w:r>
    </w:p>
    <w:p w14:paraId="138F7B60">
      <w:pPr>
        <w:pStyle w:val="12"/>
        <w:rPr>
          <w:rFonts w:hint="eastAsia" w:ascii="宋体" w:hAnsi="宋体" w:eastAsia="宋体" w:cs="宋体"/>
          <w:b/>
          <w:bCs/>
          <w:color w:val="auto"/>
          <w:sz w:val="24"/>
          <w:szCs w:val="24"/>
          <w:highlight w:val="none"/>
        </w:rPr>
      </w:pPr>
    </w:p>
    <w:p w14:paraId="5FDC84CE">
      <w:pPr>
        <w:pStyle w:val="12"/>
        <w:rPr>
          <w:rFonts w:hint="eastAsia" w:ascii="宋体" w:hAnsi="宋体" w:eastAsia="宋体" w:cs="宋体"/>
          <w:b/>
          <w:bCs/>
          <w:color w:val="auto"/>
          <w:sz w:val="24"/>
          <w:szCs w:val="24"/>
          <w:highlight w:val="none"/>
        </w:rPr>
      </w:pPr>
    </w:p>
    <w:p w14:paraId="2E2AEA53">
      <w:pPr>
        <w:pStyle w:val="12"/>
        <w:rPr>
          <w:rFonts w:hint="eastAsia" w:ascii="宋体" w:hAnsi="宋体" w:eastAsia="宋体" w:cs="宋体"/>
          <w:b/>
          <w:bCs/>
          <w:color w:val="auto"/>
          <w:sz w:val="24"/>
          <w:szCs w:val="24"/>
          <w:highlight w:val="none"/>
        </w:rPr>
      </w:pPr>
    </w:p>
    <w:p w14:paraId="5E5A107B">
      <w:pPr>
        <w:pStyle w:val="12"/>
        <w:rPr>
          <w:rFonts w:hint="eastAsia" w:ascii="宋体" w:hAnsi="宋体" w:eastAsia="宋体" w:cs="宋体"/>
          <w:b/>
          <w:bCs/>
          <w:color w:val="auto"/>
          <w:sz w:val="24"/>
          <w:szCs w:val="24"/>
          <w:highlight w:val="none"/>
        </w:rPr>
      </w:pPr>
    </w:p>
    <w:p w14:paraId="61AF0A8E">
      <w:pPr>
        <w:pStyle w:val="12"/>
        <w:rPr>
          <w:rFonts w:hint="eastAsia" w:ascii="宋体" w:hAnsi="宋体" w:eastAsia="宋体" w:cs="宋体"/>
          <w:b/>
          <w:bCs/>
          <w:color w:val="auto"/>
          <w:sz w:val="24"/>
          <w:szCs w:val="24"/>
          <w:highlight w:val="none"/>
        </w:rPr>
      </w:pPr>
    </w:p>
    <w:p w14:paraId="17BD3F8D">
      <w:pPr>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法定代表人授权委托书（投标人为法人）</w:t>
      </w:r>
    </w:p>
    <w:p w14:paraId="3D70F2A7">
      <w:pPr>
        <w:pStyle w:val="31"/>
        <w:spacing w:line="500" w:lineRule="exact"/>
        <w:ind w:firstLine="480" w:firstLineChars="200"/>
        <w:rPr>
          <w:rFonts w:hint="eastAsia" w:ascii="宋体" w:hAnsi="宋体" w:eastAsia="宋体" w:cs="宋体"/>
          <w:color w:val="auto"/>
          <w:sz w:val="24"/>
          <w:szCs w:val="24"/>
          <w:highlight w:val="none"/>
        </w:rPr>
      </w:pPr>
    </w:p>
    <w:p w14:paraId="7C9790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w:t>
      </w:r>
    </w:p>
    <w:p w14:paraId="346C5DD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（被授权人姓名、职务）为我方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w:t>
      </w:r>
      <w:r>
        <w:rPr>
          <w:rFonts w:hint="eastAsia" w:ascii="宋体" w:hAnsi="宋体" w:eastAsia="宋体" w:cs="宋体"/>
          <w:color w:val="auto"/>
          <w:sz w:val="24"/>
          <w:szCs w:val="24"/>
          <w:highlight w:val="none"/>
        </w:rPr>
        <w:t>” 项目投标活动的合法代表，以我方名义全权处理该项目有关投标、签订合同以及执行合同等一切事宜。</w:t>
      </w:r>
    </w:p>
    <w:p w14:paraId="0150E9A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被授权人</w:t>
      </w:r>
      <w:r>
        <w:rPr>
          <w:rFonts w:hint="eastAsia" w:ascii="宋体" w:hAnsi="宋体" w:eastAsia="宋体" w:cs="宋体"/>
          <w:color w:val="auto"/>
          <w:sz w:val="24"/>
          <w:szCs w:val="24"/>
          <w:highlight w:val="none"/>
        </w:rPr>
        <w:t>无权转让本授权，特此声明。</w:t>
      </w:r>
    </w:p>
    <w:p w14:paraId="5AFD98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附：法定代表人及被授权人身份证正反面彩色扫描件</w:t>
      </w:r>
    </w:p>
    <w:p w14:paraId="52488CD8">
      <w:pPr>
        <w:pStyle w:val="31"/>
        <w:spacing w:line="500" w:lineRule="exact"/>
        <w:ind w:firstLine="480" w:firstLineChars="200"/>
        <w:rPr>
          <w:rFonts w:hint="eastAsia" w:ascii="宋体" w:hAnsi="宋体" w:eastAsia="宋体" w:cs="宋体"/>
          <w:color w:val="auto"/>
          <w:sz w:val="24"/>
          <w:szCs w:val="24"/>
          <w:highlight w:val="none"/>
        </w:rPr>
      </w:pPr>
    </w:p>
    <w:p w14:paraId="1E23DF1C">
      <w:pPr>
        <w:spacing w:line="500" w:lineRule="exact"/>
        <w:ind w:firstLine="480" w:firstLineChars="200"/>
        <w:rPr>
          <w:rFonts w:hint="eastAsia" w:ascii="宋体" w:hAnsi="宋体" w:eastAsia="宋体" w:cs="宋体"/>
          <w:color w:val="auto"/>
          <w:sz w:val="24"/>
          <w:szCs w:val="24"/>
          <w:highlight w:val="none"/>
        </w:rPr>
      </w:pPr>
    </w:p>
    <w:p w14:paraId="34916C9B">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14:paraId="46AC3A91">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被授权人（签字）：</w:t>
      </w:r>
    </w:p>
    <w:p w14:paraId="760A17E4">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02DEB612">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0342A7BE">
      <w:pPr>
        <w:spacing w:line="500" w:lineRule="exact"/>
        <w:ind w:firstLine="480" w:firstLineChars="20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授权委托书（投标人为非法人）</w:t>
      </w:r>
    </w:p>
    <w:p w14:paraId="4950F2E6">
      <w:pPr>
        <w:spacing w:line="500" w:lineRule="exact"/>
        <w:ind w:firstLine="480" w:firstLineChars="200"/>
        <w:rPr>
          <w:rFonts w:hint="eastAsia" w:ascii="宋体" w:hAnsi="宋体" w:eastAsia="宋体" w:cs="宋体"/>
          <w:color w:val="auto"/>
          <w:sz w:val="24"/>
          <w:szCs w:val="24"/>
          <w:highlight w:val="none"/>
        </w:rPr>
      </w:pPr>
    </w:p>
    <w:p w14:paraId="7CBF01F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w:t>
      </w:r>
    </w:p>
    <w:p w14:paraId="143894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w:t>
      </w:r>
      <w:r>
        <w:rPr>
          <w:rFonts w:hint="eastAsia" w:ascii="宋体" w:hAnsi="宋体" w:eastAsia="宋体" w:cs="宋体"/>
          <w:color w:val="auto"/>
          <w:sz w:val="24"/>
          <w:szCs w:val="24"/>
          <w:highlight w:val="none"/>
        </w:rPr>
        <w:t>” 项目投标活动的合法代表，以我方名义全权处理该项目有关投标、签订合同以及执行合同等一切事宜。</w:t>
      </w:r>
    </w:p>
    <w:p w14:paraId="635153B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被授权人</w:t>
      </w:r>
      <w:r>
        <w:rPr>
          <w:rFonts w:hint="eastAsia" w:ascii="宋体" w:hAnsi="宋体" w:eastAsia="宋体" w:cs="宋体"/>
          <w:color w:val="auto"/>
          <w:sz w:val="24"/>
          <w:szCs w:val="24"/>
          <w:highlight w:val="none"/>
        </w:rPr>
        <w:t>无权转让本授权，特此声明。</w:t>
      </w:r>
    </w:p>
    <w:p w14:paraId="5F6F9B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附：授权人及被授权人身份证正反面彩色扫描件</w:t>
      </w:r>
    </w:p>
    <w:p w14:paraId="173610F9">
      <w:pPr>
        <w:pStyle w:val="31"/>
        <w:spacing w:line="500" w:lineRule="exact"/>
        <w:ind w:firstLine="480" w:firstLineChars="200"/>
        <w:rPr>
          <w:rFonts w:hint="eastAsia" w:ascii="宋体" w:hAnsi="宋体" w:eastAsia="宋体" w:cs="宋体"/>
          <w:color w:val="auto"/>
          <w:sz w:val="24"/>
          <w:szCs w:val="24"/>
          <w:highlight w:val="none"/>
        </w:rPr>
      </w:pPr>
    </w:p>
    <w:p w14:paraId="5476C481">
      <w:pPr>
        <w:spacing w:line="500" w:lineRule="exact"/>
        <w:ind w:firstLine="480" w:firstLineChars="200"/>
        <w:rPr>
          <w:rFonts w:hint="eastAsia" w:ascii="宋体" w:hAnsi="宋体" w:eastAsia="宋体" w:cs="宋体"/>
          <w:color w:val="auto"/>
          <w:sz w:val="24"/>
          <w:szCs w:val="24"/>
          <w:highlight w:val="none"/>
        </w:rPr>
      </w:pPr>
    </w:p>
    <w:p w14:paraId="6C79E19B">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授权人（签字或盖章）：</w:t>
      </w:r>
    </w:p>
    <w:p w14:paraId="52FBA54A">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被授权人（签字）：   </w:t>
      </w:r>
    </w:p>
    <w:p w14:paraId="26B23DAE">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5D77B99D">
      <w:pPr>
        <w:keepNext/>
        <w:keepLines/>
        <w:spacing w:line="500" w:lineRule="exact"/>
        <w:ind w:firstLine="480" w:firstLineChars="200"/>
        <w:jc w:val="center"/>
        <w:rPr>
          <w:rFonts w:hint="eastAsia" w:ascii="宋体" w:hAnsi="宋体" w:eastAsia="宋体" w:cs="宋体"/>
          <w:color w:val="auto"/>
          <w:sz w:val="24"/>
          <w:szCs w:val="24"/>
          <w:highlight w:val="none"/>
        </w:rPr>
      </w:pPr>
    </w:p>
    <w:p w14:paraId="3C383E7D">
      <w:pPr>
        <w:spacing w:line="500" w:lineRule="exact"/>
        <w:ind w:firstLine="482" w:firstLineChars="200"/>
        <w:jc w:val="center"/>
        <w:outlineLvl w:val="1"/>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rPr>
        <w:br w:type="page"/>
      </w:r>
      <w:bookmarkStart w:id="143" w:name="_Toc217446088"/>
      <w:r>
        <w:rPr>
          <w:rFonts w:hint="eastAsia" w:asciiTheme="minorEastAsia" w:hAnsiTheme="minorEastAsia" w:eastAsiaTheme="minorEastAsia" w:cstheme="minorEastAsia"/>
          <w:b/>
          <w:bCs/>
          <w:color w:val="auto"/>
          <w:sz w:val="24"/>
          <w:szCs w:val="24"/>
          <w:highlight w:val="none"/>
        </w:rPr>
        <w:t>三、投标报价明细表</w:t>
      </w:r>
    </w:p>
    <w:p w14:paraId="3DE6E1C9">
      <w:pPr>
        <w:snapToGrid w:val="0"/>
        <w:spacing w:line="480" w:lineRule="auto"/>
        <w:ind w:firstLine="357"/>
        <w:rPr>
          <w:rStyle w:val="41"/>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w:t>
      </w:r>
    </w:p>
    <w:p w14:paraId="5EC9831F">
      <w:pPr>
        <w:snapToGrid w:val="0"/>
        <w:spacing w:line="480" w:lineRule="auto"/>
        <w:ind w:firstLine="3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货币单位：人民币元</w:t>
      </w:r>
    </w:p>
    <w:tbl>
      <w:tblPr>
        <w:tblStyle w:val="32"/>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47"/>
        <w:gridCol w:w="883"/>
        <w:gridCol w:w="902"/>
        <w:gridCol w:w="902"/>
        <w:gridCol w:w="1005"/>
        <w:gridCol w:w="1005"/>
        <w:gridCol w:w="992"/>
      </w:tblGrid>
      <w:tr w14:paraId="2E4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618" w:type="dxa"/>
            <w:vAlign w:val="center"/>
          </w:tcPr>
          <w:p w14:paraId="183513E6">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47" w:type="dxa"/>
            <w:vAlign w:val="center"/>
          </w:tcPr>
          <w:p w14:paraId="1A0905D4">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883" w:type="dxa"/>
            <w:vAlign w:val="center"/>
          </w:tcPr>
          <w:p w14:paraId="5409667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w:t>
            </w:r>
          </w:p>
        </w:tc>
        <w:tc>
          <w:tcPr>
            <w:tcW w:w="902" w:type="dxa"/>
            <w:vAlign w:val="center"/>
          </w:tcPr>
          <w:p w14:paraId="4103CF08">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型号</w:t>
            </w:r>
          </w:p>
        </w:tc>
        <w:tc>
          <w:tcPr>
            <w:tcW w:w="902" w:type="dxa"/>
            <w:vAlign w:val="center"/>
          </w:tcPr>
          <w:p w14:paraId="74632951">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数量</w:t>
            </w:r>
          </w:p>
        </w:tc>
        <w:tc>
          <w:tcPr>
            <w:tcW w:w="1005" w:type="dxa"/>
            <w:vAlign w:val="center"/>
          </w:tcPr>
          <w:p w14:paraId="031BACD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单价（元）</w:t>
            </w:r>
          </w:p>
        </w:tc>
        <w:tc>
          <w:tcPr>
            <w:tcW w:w="1005" w:type="dxa"/>
            <w:vAlign w:val="center"/>
          </w:tcPr>
          <w:p w14:paraId="0802F39D">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总价（元）</w:t>
            </w:r>
          </w:p>
        </w:tc>
        <w:tc>
          <w:tcPr>
            <w:tcW w:w="992" w:type="dxa"/>
            <w:vAlign w:val="center"/>
          </w:tcPr>
          <w:p w14:paraId="077E5ADB">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 注</w:t>
            </w:r>
          </w:p>
        </w:tc>
      </w:tr>
      <w:tr w14:paraId="0D06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45E9C2D2">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47" w:type="dxa"/>
            <w:vAlign w:val="center"/>
          </w:tcPr>
          <w:p w14:paraId="4622AFB9">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83" w:type="dxa"/>
            <w:vAlign w:val="center"/>
          </w:tcPr>
          <w:p w14:paraId="3FE8E11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07CC4724">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523EB350">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157A512B">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F3975F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42CEF344">
            <w:pPr>
              <w:spacing w:line="500" w:lineRule="exact"/>
              <w:jc w:val="center"/>
              <w:rPr>
                <w:rFonts w:hint="eastAsia" w:asciiTheme="minorEastAsia" w:hAnsiTheme="minorEastAsia" w:eastAsiaTheme="minorEastAsia" w:cstheme="minorEastAsia"/>
                <w:color w:val="auto"/>
                <w:sz w:val="24"/>
                <w:szCs w:val="24"/>
                <w:highlight w:val="none"/>
              </w:rPr>
            </w:pPr>
          </w:p>
        </w:tc>
      </w:tr>
      <w:tr w14:paraId="23F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318FF938">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347" w:type="dxa"/>
            <w:vAlign w:val="center"/>
          </w:tcPr>
          <w:p w14:paraId="79811208">
            <w:pPr>
              <w:spacing w:line="500" w:lineRule="exact"/>
              <w:jc w:val="center"/>
              <w:rPr>
                <w:rFonts w:hint="eastAsia" w:asciiTheme="minorEastAsia" w:hAnsiTheme="minorEastAsia" w:eastAsiaTheme="minorEastAsia" w:cstheme="minorEastAsia"/>
                <w:color w:val="auto"/>
                <w:sz w:val="24"/>
                <w:szCs w:val="24"/>
                <w:highlight w:val="none"/>
              </w:rPr>
            </w:pPr>
          </w:p>
        </w:tc>
        <w:tc>
          <w:tcPr>
            <w:tcW w:w="883" w:type="dxa"/>
            <w:vAlign w:val="center"/>
          </w:tcPr>
          <w:p w14:paraId="4AC2BD0D">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0565E2CA">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13846EE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483FAD4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B79C89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1679EE46">
            <w:pPr>
              <w:spacing w:line="500" w:lineRule="exact"/>
              <w:jc w:val="center"/>
              <w:rPr>
                <w:rFonts w:hint="eastAsia" w:asciiTheme="minorEastAsia" w:hAnsiTheme="minorEastAsia" w:eastAsiaTheme="minorEastAsia" w:cstheme="minorEastAsia"/>
                <w:color w:val="auto"/>
                <w:sz w:val="24"/>
                <w:szCs w:val="24"/>
                <w:highlight w:val="none"/>
              </w:rPr>
            </w:pPr>
          </w:p>
        </w:tc>
      </w:tr>
      <w:tr w14:paraId="4108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739E4F3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347" w:type="dxa"/>
            <w:vAlign w:val="center"/>
          </w:tcPr>
          <w:p w14:paraId="4D67437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883" w:type="dxa"/>
            <w:vAlign w:val="center"/>
          </w:tcPr>
          <w:p w14:paraId="3363A71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40292B04">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29D3C1F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42D03C2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3E66E3C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0B7FF7F9">
            <w:pPr>
              <w:spacing w:line="500" w:lineRule="exact"/>
              <w:jc w:val="center"/>
              <w:rPr>
                <w:rFonts w:hint="eastAsia" w:asciiTheme="minorEastAsia" w:hAnsiTheme="minorEastAsia" w:eastAsiaTheme="minorEastAsia" w:cstheme="minorEastAsia"/>
                <w:color w:val="auto"/>
                <w:sz w:val="24"/>
                <w:szCs w:val="24"/>
                <w:highlight w:val="none"/>
              </w:rPr>
            </w:pPr>
          </w:p>
        </w:tc>
      </w:tr>
      <w:tr w14:paraId="4816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jc w:val="center"/>
        </w:trPr>
        <w:tc>
          <w:tcPr>
            <w:tcW w:w="1965" w:type="dxa"/>
            <w:gridSpan w:val="2"/>
            <w:vAlign w:val="center"/>
          </w:tcPr>
          <w:p w14:paraId="5E03FF2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合计总价（元）：</w:t>
            </w:r>
          </w:p>
        </w:tc>
        <w:tc>
          <w:tcPr>
            <w:tcW w:w="5689" w:type="dxa"/>
            <w:gridSpan w:val="6"/>
            <w:vAlign w:val="center"/>
          </w:tcPr>
          <w:p w14:paraId="12E480EB">
            <w:pPr>
              <w:spacing w:line="500" w:lineRule="exact"/>
              <w:jc w:val="center"/>
              <w:rPr>
                <w:rFonts w:hint="eastAsia" w:asciiTheme="minorEastAsia" w:hAnsiTheme="minorEastAsia" w:eastAsiaTheme="minorEastAsia" w:cstheme="minorEastAsia"/>
                <w:color w:val="auto"/>
                <w:sz w:val="24"/>
                <w:szCs w:val="24"/>
                <w:highlight w:val="none"/>
              </w:rPr>
            </w:pPr>
          </w:p>
        </w:tc>
      </w:tr>
    </w:tbl>
    <w:p w14:paraId="375A4014">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319BE693">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w:t>
      </w: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sz w:val="24"/>
          <w:szCs w:val="24"/>
          <w:highlight w:val="none"/>
        </w:rPr>
        <w:t>和数量满足本项目招标范围，内容由投标人结合自身情况填写。</w:t>
      </w:r>
    </w:p>
    <w:p w14:paraId="155363A9">
      <w:pPr>
        <w:spacing w:line="500" w:lineRule="exact"/>
        <w:jc w:val="left"/>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rPr>
        <w:t>2、投标人填报价格总价应与投标函载明价格一致，若不一致，以投标函为准。</w:t>
      </w:r>
    </w:p>
    <w:p w14:paraId="7F07605A">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3、此次报价包括所投项目相关人工费、专利费、税费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备件、交通</w:t>
      </w:r>
      <w:r>
        <w:rPr>
          <w:rFonts w:hint="eastAsia" w:asciiTheme="minorEastAsia" w:hAnsiTheme="minorEastAsia" w:eastAsiaTheme="minorEastAsia" w:cstheme="minorEastAsia"/>
          <w:color w:val="auto"/>
          <w:sz w:val="24"/>
          <w:szCs w:val="24"/>
          <w:highlight w:val="none"/>
        </w:rPr>
        <w:t>等所有技术和服务费用。</w:t>
      </w:r>
    </w:p>
    <w:p w14:paraId="2AE74026">
      <w:pPr>
        <w:spacing w:line="500" w:lineRule="exact"/>
        <w:rPr>
          <w:rFonts w:hint="eastAsia" w:asciiTheme="minorEastAsia" w:hAnsiTheme="minorEastAsia" w:eastAsiaTheme="minorEastAsia" w:cstheme="minorEastAsia"/>
          <w:color w:val="auto"/>
          <w:sz w:val="24"/>
          <w:szCs w:val="24"/>
          <w:highlight w:val="none"/>
        </w:rPr>
      </w:pPr>
    </w:p>
    <w:p w14:paraId="775D8095">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投标人名称（盖章）：         </w:t>
      </w:r>
    </w:p>
    <w:p w14:paraId="6344B9C0">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授权人或被授权人（签字或盖章）</w:t>
      </w:r>
      <w:r>
        <w:rPr>
          <w:rFonts w:hint="eastAsia" w:asciiTheme="minorEastAsia" w:hAnsiTheme="minorEastAsia" w:eastAsiaTheme="minorEastAsia" w:cstheme="minorEastAsia"/>
          <w:bCs/>
          <w:color w:val="auto"/>
          <w:sz w:val="24"/>
          <w:szCs w:val="24"/>
          <w:highlight w:val="none"/>
        </w:rPr>
        <w:t>：</w:t>
      </w:r>
    </w:p>
    <w:p w14:paraId="224F340C">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   年   月   日</w:t>
      </w:r>
    </w:p>
    <w:p w14:paraId="5214FE8D">
      <w:pPr>
        <w:rPr>
          <w:rFonts w:hint="eastAsia" w:ascii="宋体" w:hAnsi="宋体" w:eastAsia="宋体" w:cs="宋体"/>
          <w:bCs w:val="0"/>
          <w:color w:val="auto"/>
          <w:kern w:val="0"/>
          <w:sz w:val="24"/>
          <w:szCs w:val="24"/>
          <w:highlight w:val="none"/>
          <w:lang w:val="en-US" w:eastAsia="zh-CN"/>
        </w:rPr>
      </w:pPr>
      <w:r>
        <w:rPr>
          <w:rFonts w:hint="eastAsia" w:ascii="宋体" w:hAnsi="宋体" w:eastAsia="宋体" w:cs="宋体"/>
          <w:bCs w:val="0"/>
          <w:color w:val="auto"/>
          <w:kern w:val="0"/>
          <w:sz w:val="24"/>
          <w:szCs w:val="24"/>
          <w:highlight w:val="none"/>
          <w:lang w:val="en-US" w:eastAsia="zh-CN"/>
        </w:rPr>
        <w:br w:type="page"/>
      </w:r>
    </w:p>
    <w:p w14:paraId="09086BCD">
      <w:pPr>
        <w:pStyle w:val="4"/>
        <w:spacing w:before="156" w:after="156" w:line="320" w:lineRule="exact"/>
        <w:ind w:firstLine="480" w:firstLineChars="200"/>
        <w:jc w:val="center"/>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lang w:val="en-US" w:eastAsia="zh-CN"/>
        </w:rPr>
        <w:t>四</w:t>
      </w:r>
      <w:r>
        <w:rPr>
          <w:rFonts w:hint="eastAsia" w:ascii="宋体" w:hAnsi="宋体" w:eastAsia="宋体" w:cs="宋体"/>
          <w:bCs w:val="0"/>
          <w:color w:val="auto"/>
          <w:kern w:val="0"/>
          <w:sz w:val="24"/>
          <w:szCs w:val="24"/>
          <w:highlight w:val="none"/>
        </w:rPr>
        <w:t>、投标人基本情况表</w:t>
      </w:r>
      <w:bookmarkEnd w:id="143"/>
    </w:p>
    <w:tbl>
      <w:tblPr>
        <w:tblStyle w:val="32"/>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08C3E043">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37C2EF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2D4AC777">
            <w:pPr>
              <w:jc w:val="center"/>
              <w:rPr>
                <w:rFonts w:hint="eastAsia" w:ascii="宋体" w:hAnsi="宋体" w:eastAsia="宋体" w:cs="宋体"/>
                <w:strike/>
                <w:color w:val="auto"/>
                <w:sz w:val="24"/>
                <w:szCs w:val="24"/>
                <w:highlight w:val="none"/>
              </w:rPr>
            </w:pPr>
          </w:p>
        </w:tc>
      </w:tr>
      <w:tr w14:paraId="7F0D1C2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F8990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383A70F8">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3612E1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39" w:type="dxa"/>
            <w:tcBorders>
              <w:top w:val="nil"/>
              <w:left w:val="nil"/>
              <w:bottom w:val="single" w:color="auto" w:sz="4" w:space="0"/>
              <w:right w:val="single" w:color="auto" w:sz="4" w:space="0"/>
            </w:tcBorders>
            <w:vAlign w:val="center"/>
          </w:tcPr>
          <w:p w14:paraId="16E46F76">
            <w:pPr>
              <w:jc w:val="center"/>
              <w:rPr>
                <w:rFonts w:hint="eastAsia" w:ascii="宋体" w:hAnsi="宋体" w:eastAsia="宋体" w:cs="宋体"/>
                <w:color w:val="auto"/>
                <w:sz w:val="24"/>
                <w:szCs w:val="24"/>
                <w:highlight w:val="none"/>
              </w:rPr>
            </w:pPr>
          </w:p>
        </w:tc>
      </w:tr>
      <w:tr w14:paraId="4558466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DEC4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0E158456">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4222BE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4F96A93">
            <w:pPr>
              <w:jc w:val="center"/>
              <w:rPr>
                <w:rFonts w:hint="eastAsia" w:ascii="宋体" w:hAnsi="宋体" w:eastAsia="宋体" w:cs="宋体"/>
                <w:color w:val="auto"/>
                <w:sz w:val="24"/>
                <w:szCs w:val="24"/>
                <w:highlight w:val="none"/>
              </w:rPr>
            </w:pPr>
          </w:p>
        </w:tc>
      </w:tr>
      <w:tr w14:paraId="6FFFAEA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28EBC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41F7A918">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0916FF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139" w:type="dxa"/>
            <w:tcBorders>
              <w:top w:val="nil"/>
              <w:left w:val="nil"/>
              <w:bottom w:val="single" w:color="auto" w:sz="4" w:space="0"/>
              <w:right w:val="single" w:color="auto" w:sz="4" w:space="0"/>
            </w:tcBorders>
            <w:vAlign w:val="center"/>
          </w:tcPr>
          <w:p w14:paraId="4AFBD217">
            <w:pPr>
              <w:jc w:val="center"/>
              <w:rPr>
                <w:rFonts w:hint="eastAsia" w:ascii="宋体" w:hAnsi="宋体" w:eastAsia="宋体" w:cs="宋体"/>
                <w:color w:val="auto"/>
                <w:sz w:val="24"/>
                <w:szCs w:val="24"/>
                <w:highlight w:val="none"/>
              </w:rPr>
            </w:pPr>
          </w:p>
        </w:tc>
      </w:tr>
      <w:tr w14:paraId="718FF27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BE21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29C371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5" w:type="dxa"/>
            <w:tcBorders>
              <w:top w:val="nil"/>
              <w:left w:val="nil"/>
              <w:bottom w:val="single" w:color="auto" w:sz="4" w:space="0"/>
              <w:right w:val="single" w:color="auto" w:sz="4" w:space="0"/>
            </w:tcBorders>
            <w:vAlign w:val="center"/>
          </w:tcPr>
          <w:p w14:paraId="3A519DA6">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5E21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71C6CCEE">
            <w:pPr>
              <w:jc w:val="center"/>
              <w:rPr>
                <w:rFonts w:hint="eastAsia" w:ascii="宋体" w:hAnsi="宋体" w:eastAsia="宋体" w:cs="宋体"/>
                <w:color w:val="auto"/>
                <w:sz w:val="24"/>
                <w:szCs w:val="24"/>
                <w:highlight w:val="none"/>
              </w:rPr>
            </w:pPr>
          </w:p>
        </w:tc>
      </w:tr>
      <w:tr w14:paraId="15B9E9BE">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4E4574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50" w:type="dxa"/>
            <w:tcBorders>
              <w:top w:val="nil"/>
              <w:left w:val="nil"/>
              <w:bottom w:val="single" w:color="auto" w:sz="4" w:space="0"/>
              <w:right w:val="single" w:color="auto" w:sz="4" w:space="0"/>
            </w:tcBorders>
            <w:vAlign w:val="center"/>
          </w:tcPr>
          <w:p w14:paraId="001787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D95A919">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0214C9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39" w:type="dxa"/>
            <w:tcBorders>
              <w:top w:val="nil"/>
              <w:left w:val="nil"/>
              <w:bottom w:val="single" w:color="auto" w:sz="4" w:space="0"/>
              <w:right w:val="single" w:color="auto" w:sz="4" w:space="0"/>
            </w:tcBorders>
            <w:vAlign w:val="center"/>
          </w:tcPr>
          <w:p w14:paraId="641C06A9">
            <w:pPr>
              <w:jc w:val="center"/>
              <w:rPr>
                <w:rFonts w:hint="eastAsia" w:ascii="宋体" w:hAnsi="宋体" w:eastAsia="宋体" w:cs="宋体"/>
                <w:color w:val="auto"/>
                <w:sz w:val="24"/>
                <w:szCs w:val="24"/>
                <w:highlight w:val="none"/>
              </w:rPr>
            </w:pPr>
          </w:p>
        </w:tc>
      </w:tr>
      <w:tr w14:paraId="12F38555">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49481333">
            <w:pPr>
              <w:jc w:val="center"/>
              <w:rPr>
                <w:rFonts w:hint="eastAsia" w:ascii="宋体" w:hAnsi="宋体" w:eastAsia="宋体" w:cs="宋体"/>
                <w:color w:val="auto"/>
                <w:sz w:val="24"/>
                <w:szCs w:val="24"/>
                <w:highlight w:val="none"/>
              </w:rPr>
            </w:pPr>
          </w:p>
        </w:tc>
        <w:tc>
          <w:tcPr>
            <w:tcW w:w="1050" w:type="dxa"/>
            <w:tcBorders>
              <w:top w:val="nil"/>
              <w:left w:val="nil"/>
              <w:bottom w:val="single" w:color="auto" w:sz="4" w:space="0"/>
              <w:right w:val="single" w:color="auto" w:sz="4" w:space="0"/>
            </w:tcBorders>
            <w:vAlign w:val="center"/>
          </w:tcPr>
          <w:p w14:paraId="5FF409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351E4F5A">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3ECC34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139" w:type="dxa"/>
            <w:tcBorders>
              <w:top w:val="nil"/>
              <w:left w:val="nil"/>
              <w:bottom w:val="single" w:color="auto" w:sz="4" w:space="0"/>
              <w:right w:val="single" w:color="auto" w:sz="4" w:space="0"/>
            </w:tcBorders>
            <w:vAlign w:val="center"/>
          </w:tcPr>
          <w:p w14:paraId="596B1317">
            <w:pPr>
              <w:jc w:val="center"/>
              <w:rPr>
                <w:rFonts w:hint="eastAsia" w:ascii="宋体" w:hAnsi="宋体" w:eastAsia="宋体" w:cs="宋体"/>
                <w:color w:val="auto"/>
                <w:sz w:val="24"/>
                <w:szCs w:val="24"/>
                <w:highlight w:val="none"/>
              </w:rPr>
            </w:pPr>
          </w:p>
        </w:tc>
      </w:tr>
      <w:tr w14:paraId="6BD6607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A38FC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23040FEF">
            <w:pPr>
              <w:jc w:val="center"/>
              <w:rPr>
                <w:rFonts w:hint="eastAsia" w:ascii="宋体" w:hAnsi="宋体" w:eastAsia="宋体" w:cs="宋体"/>
                <w:color w:val="auto"/>
                <w:sz w:val="24"/>
                <w:szCs w:val="24"/>
                <w:highlight w:val="none"/>
              </w:rPr>
            </w:pPr>
          </w:p>
        </w:tc>
        <w:tc>
          <w:tcPr>
            <w:tcW w:w="1537" w:type="dxa"/>
            <w:tcBorders>
              <w:top w:val="nil"/>
              <w:left w:val="nil"/>
              <w:bottom w:val="single" w:color="auto" w:sz="4" w:space="0"/>
              <w:right w:val="single" w:color="auto" w:sz="4" w:space="0"/>
            </w:tcBorders>
            <w:vAlign w:val="center"/>
          </w:tcPr>
          <w:p w14:paraId="1B36FF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139" w:type="dxa"/>
            <w:tcBorders>
              <w:top w:val="nil"/>
              <w:left w:val="nil"/>
              <w:bottom w:val="single" w:color="auto" w:sz="4" w:space="0"/>
              <w:right w:val="single" w:color="auto" w:sz="4" w:space="0"/>
            </w:tcBorders>
            <w:vAlign w:val="center"/>
          </w:tcPr>
          <w:p w14:paraId="572F79C2">
            <w:pPr>
              <w:jc w:val="center"/>
              <w:rPr>
                <w:rFonts w:hint="eastAsia" w:ascii="宋体" w:hAnsi="宋体" w:eastAsia="宋体" w:cs="宋体"/>
                <w:color w:val="auto"/>
                <w:sz w:val="24"/>
                <w:szCs w:val="24"/>
                <w:highlight w:val="none"/>
              </w:rPr>
            </w:pPr>
          </w:p>
        </w:tc>
      </w:tr>
      <w:tr w14:paraId="321C329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FE130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6209EA63">
            <w:pPr>
              <w:jc w:val="center"/>
              <w:rPr>
                <w:rFonts w:hint="eastAsia" w:ascii="宋体" w:hAnsi="宋体" w:eastAsia="宋体" w:cs="宋体"/>
                <w:color w:val="auto"/>
                <w:sz w:val="24"/>
                <w:szCs w:val="24"/>
                <w:highlight w:val="none"/>
              </w:rPr>
            </w:pPr>
          </w:p>
        </w:tc>
      </w:tr>
      <w:tr w14:paraId="6F86529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D10E6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57EC17AA">
            <w:pPr>
              <w:jc w:val="center"/>
              <w:rPr>
                <w:rFonts w:hint="eastAsia" w:ascii="宋体" w:hAnsi="宋体" w:eastAsia="宋体" w:cs="宋体"/>
                <w:color w:val="auto"/>
                <w:sz w:val="24"/>
                <w:szCs w:val="24"/>
                <w:highlight w:val="none"/>
              </w:rPr>
            </w:pPr>
          </w:p>
        </w:tc>
      </w:tr>
    </w:tbl>
    <w:p w14:paraId="04867A5A">
      <w:pPr>
        <w:adjustRightInd w:val="0"/>
        <w:spacing w:line="320" w:lineRule="exact"/>
        <w:ind w:firstLine="480" w:firstLineChars="200"/>
        <w:jc w:val="left"/>
        <w:rPr>
          <w:rFonts w:hint="eastAsia" w:ascii="宋体" w:hAnsi="宋体" w:eastAsia="宋体" w:cs="宋体"/>
          <w:bCs/>
          <w:color w:val="auto"/>
          <w:sz w:val="24"/>
          <w:szCs w:val="24"/>
          <w:highlight w:val="none"/>
        </w:rPr>
      </w:pPr>
    </w:p>
    <w:p w14:paraId="770A0E6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A38B98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1、投标人为法人时，后附营业执照等相关资料彩色扫描件；    </w:t>
      </w:r>
    </w:p>
    <w:p w14:paraId="59DA164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2、投标人为非法人时，格式自拟，后附相关资料彩色扫描件。</w:t>
      </w:r>
    </w:p>
    <w:p w14:paraId="62B69350">
      <w:pPr>
        <w:adjustRightInd w:val="0"/>
        <w:spacing w:line="500" w:lineRule="exact"/>
        <w:ind w:firstLine="480" w:firstLineChars="200"/>
        <w:jc w:val="center"/>
        <w:rPr>
          <w:rFonts w:hint="eastAsia" w:ascii="宋体" w:hAnsi="宋体" w:eastAsia="宋体" w:cs="宋体"/>
          <w:bCs/>
          <w:color w:val="auto"/>
          <w:sz w:val="24"/>
          <w:szCs w:val="24"/>
          <w:highlight w:val="none"/>
        </w:rPr>
      </w:pPr>
      <w:bookmarkStart w:id="144" w:name="_Toc217446089"/>
    </w:p>
    <w:p w14:paraId="0340F9D5">
      <w:pPr>
        <w:adjustRightInd w:val="0"/>
        <w:spacing w:line="500" w:lineRule="exact"/>
        <w:ind w:firstLine="480" w:firstLineChars="200"/>
        <w:jc w:val="center"/>
        <w:rPr>
          <w:rFonts w:hint="eastAsia" w:ascii="宋体" w:hAnsi="宋体" w:eastAsia="宋体" w:cs="宋体"/>
          <w:bCs/>
          <w:color w:val="auto"/>
          <w:sz w:val="24"/>
          <w:szCs w:val="24"/>
          <w:highlight w:val="none"/>
        </w:rPr>
      </w:pPr>
    </w:p>
    <w:p w14:paraId="25AD22BE">
      <w:pPr>
        <w:adjustRightInd w:val="0"/>
        <w:spacing w:line="500" w:lineRule="exact"/>
        <w:ind w:firstLine="480" w:firstLineChars="200"/>
        <w:jc w:val="center"/>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、投标人类似项目业绩一览表</w:t>
      </w:r>
      <w:bookmarkEnd w:id="144"/>
    </w:p>
    <w:p w14:paraId="0F6CD23D">
      <w:pPr>
        <w:spacing w:line="400" w:lineRule="exact"/>
        <w:rPr>
          <w:rFonts w:hint="eastAsia" w:ascii="宋体" w:hAnsi="宋体" w:eastAsia="宋体" w:cs="宋体"/>
          <w:color w:val="auto"/>
          <w:sz w:val="24"/>
          <w:szCs w:val="24"/>
          <w:highlight w:val="none"/>
        </w:rPr>
      </w:pPr>
    </w:p>
    <w:tbl>
      <w:tblPr>
        <w:tblStyle w:val="32"/>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713B7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7038C866">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60" w:type="dxa"/>
            <w:vAlign w:val="center"/>
          </w:tcPr>
          <w:p w14:paraId="74C08DB1">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tc>
        <w:tc>
          <w:tcPr>
            <w:tcW w:w="1113" w:type="dxa"/>
            <w:vAlign w:val="center"/>
          </w:tcPr>
          <w:p w14:paraId="29F9F80C">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联系人</w:t>
            </w:r>
          </w:p>
        </w:tc>
        <w:tc>
          <w:tcPr>
            <w:tcW w:w="1151" w:type="dxa"/>
            <w:vAlign w:val="center"/>
          </w:tcPr>
          <w:p w14:paraId="64785C24">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c>
          <w:tcPr>
            <w:tcW w:w="1162" w:type="dxa"/>
            <w:vAlign w:val="center"/>
          </w:tcPr>
          <w:p w14:paraId="5511C2AD">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180" w:type="dxa"/>
            <w:vAlign w:val="center"/>
          </w:tcPr>
          <w:p w14:paraId="47F336D7">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完成时间</w:t>
            </w:r>
          </w:p>
        </w:tc>
        <w:tc>
          <w:tcPr>
            <w:tcW w:w="1158" w:type="dxa"/>
            <w:vAlign w:val="center"/>
          </w:tcPr>
          <w:p w14:paraId="4035EEBE">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tc>
        <w:tc>
          <w:tcPr>
            <w:tcW w:w="1079" w:type="dxa"/>
            <w:gridSpan w:val="2"/>
            <w:tcBorders>
              <w:right w:val="single" w:color="auto" w:sz="4" w:space="0"/>
            </w:tcBorders>
            <w:vAlign w:val="center"/>
          </w:tcPr>
          <w:p w14:paraId="5ECFC70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项目描述</w:t>
            </w:r>
          </w:p>
        </w:tc>
      </w:tr>
      <w:tr w14:paraId="56E08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1A76EFFD">
            <w:pPr>
              <w:spacing w:line="400" w:lineRule="exact"/>
              <w:jc w:val="center"/>
              <w:rPr>
                <w:rFonts w:hint="eastAsia" w:ascii="宋体" w:hAnsi="宋体" w:eastAsia="宋体" w:cs="宋体"/>
                <w:color w:val="auto"/>
                <w:sz w:val="24"/>
                <w:szCs w:val="24"/>
                <w:highlight w:val="none"/>
              </w:rPr>
            </w:pPr>
          </w:p>
        </w:tc>
        <w:tc>
          <w:tcPr>
            <w:tcW w:w="960" w:type="dxa"/>
            <w:vAlign w:val="center"/>
          </w:tcPr>
          <w:p w14:paraId="48CB3D95">
            <w:pPr>
              <w:spacing w:line="400" w:lineRule="exact"/>
              <w:jc w:val="center"/>
              <w:rPr>
                <w:rFonts w:hint="eastAsia" w:ascii="宋体" w:hAnsi="宋体" w:eastAsia="宋体" w:cs="宋体"/>
                <w:color w:val="auto"/>
                <w:sz w:val="24"/>
                <w:szCs w:val="24"/>
                <w:highlight w:val="none"/>
              </w:rPr>
            </w:pPr>
          </w:p>
        </w:tc>
        <w:tc>
          <w:tcPr>
            <w:tcW w:w="1113" w:type="dxa"/>
            <w:vAlign w:val="center"/>
          </w:tcPr>
          <w:p w14:paraId="6E307202">
            <w:pPr>
              <w:spacing w:line="400" w:lineRule="exact"/>
              <w:jc w:val="center"/>
              <w:rPr>
                <w:rFonts w:hint="eastAsia" w:ascii="宋体" w:hAnsi="宋体" w:eastAsia="宋体" w:cs="宋体"/>
                <w:color w:val="auto"/>
                <w:sz w:val="24"/>
                <w:szCs w:val="24"/>
                <w:highlight w:val="none"/>
              </w:rPr>
            </w:pPr>
          </w:p>
        </w:tc>
        <w:tc>
          <w:tcPr>
            <w:tcW w:w="1151" w:type="dxa"/>
            <w:vAlign w:val="center"/>
          </w:tcPr>
          <w:p w14:paraId="2DE41237">
            <w:pPr>
              <w:spacing w:line="400" w:lineRule="exact"/>
              <w:jc w:val="center"/>
              <w:rPr>
                <w:rFonts w:hint="eastAsia" w:ascii="宋体" w:hAnsi="宋体" w:eastAsia="宋体" w:cs="宋体"/>
                <w:color w:val="auto"/>
                <w:sz w:val="24"/>
                <w:szCs w:val="24"/>
                <w:highlight w:val="none"/>
              </w:rPr>
            </w:pPr>
          </w:p>
        </w:tc>
        <w:tc>
          <w:tcPr>
            <w:tcW w:w="1162" w:type="dxa"/>
            <w:vAlign w:val="center"/>
          </w:tcPr>
          <w:p w14:paraId="57F65BD2">
            <w:pPr>
              <w:spacing w:line="400" w:lineRule="exact"/>
              <w:jc w:val="center"/>
              <w:rPr>
                <w:rFonts w:hint="eastAsia" w:ascii="宋体" w:hAnsi="宋体" w:eastAsia="宋体" w:cs="宋体"/>
                <w:color w:val="auto"/>
                <w:sz w:val="24"/>
                <w:szCs w:val="24"/>
                <w:highlight w:val="none"/>
              </w:rPr>
            </w:pPr>
          </w:p>
        </w:tc>
        <w:tc>
          <w:tcPr>
            <w:tcW w:w="1180" w:type="dxa"/>
            <w:vAlign w:val="center"/>
          </w:tcPr>
          <w:p w14:paraId="2DB17FBC">
            <w:pPr>
              <w:spacing w:line="400" w:lineRule="exact"/>
              <w:jc w:val="center"/>
              <w:rPr>
                <w:rFonts w:hint="eastAsia" w:ascii="宋体" w:hAnsi="宋体" w:eastAsia="宋体" w:cs="宋体"/>
                <w:color w:val="auto"/>
                <w:sz w:val="24"/>
                <w:szCs w:val="24"/>
                <w:highlight w:val="none"/>
              </w:rPr>
            </w:pPr>
          </w:p>
        </w:tc>
        <w:tc>
          <w:tcPr>
            <w:tcW w:w="1158" w:type="dxa"/>
            <w:vAlign w:val="center"/>
          </w:tcPr>
          <w:p w14:paraId="4157F05A">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1470F42D">
            <w:pPr>
              <w:spacing w:line="400" w:lineRule="exact"/>
              <w:jc w:val="center"/>
              <w:rPr>
                <w:rFonts w:hint="eastAsia" w:ascii="宋体" w:hAnsi="宋体" w:eastAsia="宋体" w:cs="宋体"/>
                <w:color w:val="auto"/>
                <w:sz w:val="24"/>
                <w:szCs w:val="24"/>
                <w:highlight w:val="none"/>
              </w:rPr>
            </w:pPr>
          </w:p>
        </w:tc>
      </w:tr>
      <w:tr w14:paraId="76D19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9F45199">
            <w:pPr>
              <w:spacing w:line="400" w:lineRule="exact"/>
              <w:jc w:val="center"/>
              <w:rPr>
                <w:rFonts w:hint="eastAsia" w:ascii="宋体" w:hAnsi="宋体" w:eastAsia="宋体" w:cs="宋体"/>
                <w:color w:val="auto"/>
                <w:sz w:val="24"/>
                <w:szCs w:val="24"/>
                <w:highlight w:val="none"/>
              </w:rPr>
            </w:pPr>
          </w:p>
        </w:tc>
        <w:tc>
          <w:tcPr>
            <w:tcW w:w="960" w:type="dxa"/>
            <w:vAlign w:val="center"/>
          </w:tcPr>
          <w:p w14:paraId="426A088D">
            <w:pPr>
              <w:spacing w:line="400" w:lineRule="exact"/>
              <w:jc w:val="center"/>
              <w:rPr>
                <w:rFonts w:hint="eastAsia" w:ascii="宋体" w:hAnsi="宋体" w:eastAsia="宋体" w:cs="宋体"/>
                <w:color w:val="auto"/>
                <w:sz w:val="24"/>
                <w:szCs w:val="24"/>
                <w:highlight w:val="none"/>
              </w:rPr>
            </w:pPr>
          </w:p>
        </w:tc>
        <w:tc>
          <w:tcPr>
            <w:tcW w:w="1113" w:type="dxa"/>
            <w:vAlign w:val="center"/>
          </w:tcPr>
          <w:p w14:paraId="1841D582">
            <w:pPr>
              <w:spacing w:line="400" w:lineRule="exact"/>
              <w:jc w:val="center"/>
              <w:rPr>
                <w:rFonts w:hint="eastAsia" w:ascii="宋体" w:hAnsi="宋体" w:eastAsia="宋体" w:cs="宋体"/>
                <w:color w:val="auto"/>
                <w:sz w:val="24"/>
                <w:szCs w:val="24"/>
                <w:highlight w:val="none"/>
              </w:rPr>
            </w:pPr>
          </w:p>
        </w:tc>
        <w:tc>
          <w:tcPr>
            <w:tcW w:w="1151" w:type="dxa"/>
            <w:vAlign w:val="center"/>
          </w:tcPr>
          <w:p w14:paraId="20505E6E">
            <w:pPr>
              <w:spacing w:line="400" w:lineRule="exact"/>
              <w:jc w:val="center"/>
              <w:rPr>
                <w:rFonts w:hint="eastAsia" w:ascii="宋体" w:hAnsi="宋体" w:eastAsia="宋体" w:cs="宋体"/>
                <w:color w:val="auto"/>
                <w:sz w:val="24"/>
                <w:szCs w:val="24"/>
                <w:highlight w:val="none"/>
              </w:rPr>
            </w:pPr>
          </w:p>
        </w:tc>
        <w:tc>
          <w:tcPr>
            <w:tcW w:w="1162" w:type="dxa"/>
            <w:vAlign w:val="center"/>
          </w:tcPr>
          <w:p w14:paraId="5BAEA67A">
            <w:pPr>
              <w:spacing w:line="400" w:lineRule="exact"/>
              <w:jc w:val="center"/>
              <w:rPr>
                <w:rFonts w:hint="eastAsia" w:ascii="宋体" w:hAnsi="宋体" w:eastAsia="宋体" w:cs="宋体"/>
                <w:color w:val="auto"/>
                <w:sz w:val="24"/>
                <w:szCs w:val="24"/>
                <w:highlight w:val="none"/>
              </w:rPr>
            </w:pPr>
          </w:p>
        </w:tc>
        <w:tc>
          <w:tcPr>
            <w:tcW w:w="1180" w:type="dxa"/>
            <w:vAlign w:val="center"/>
          </w:tcPr>
          <w:p w14:paraId="5579008B">
            <w:pPr>
              <w:spacing w:line="400" w:lineRule="exact"/>
              <w:jc w:val="center"/>
              <w:rPr>
                <w:rFonts w:hint="eastAsia" w:ascii="宋体" w:hAnsi="宋体" w:eastAsia="宋体" w:cs="宋体"/>
                <w:color w:val="auto"/>
                <w:sz w:val="24"/>
                <w:szCs w:val="24"/>
                <w:highlight w:val="none"/>
              </w:rPr>
            </w:pPr>
          </w:p>
        </w:tc>
        <w:tc>
          <w:tcPr>
            <w:tcW w:w="1158" w:type="dxa"/>
            <w:vAlign w:val="center"/>
          </w:tcPr>
          <w:p w14:paraId="443CD368">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1F3E0E7B">
            <w:pPr>
              <w:spacing w:line="400" w:lineRule="exact"/>
              <w:jc w:val="center"/>
              <w:rPr>
                <w:rFonts w:hint="eastAsia" w:ascii="宋体" w:hAnsi="宋体" w:eastAsia="宋体" w:cs="宋体"/>
                <w:color w:val="auto"/>
                <w:sz w:val="24"/>
                <w:szCs w:val="24"/>
                <w:highlight w:val="none"/>
              </w:rPr>
            </w:pPr>
          </w:p>
        </w:tc>
      </w:tr>
      <w:tr w14:paraId="72514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EB653F5">
            <w:pPr>
              <w:spacing w:line="400" w:lineRule="exact"/>
              <w:jc w:val="center"/>
              <w:rPr>
                <w:rFonts w:hint="eastAsia" w:ascii="宋体" w:hAnsi="宋体" w:eastAsia="宋体" w:cs="宋体"/>
                <w:color w:val="auto"/>
                <w:sz w:val="24"/>
                <w:szCs w:val="24"/>
                <w:highlight w:val="none"/>
              </w:rPr>
            </w:pPr>
          </w:p>
        </w:tc>
        <w:tc>
          <w:tcPr>
            <w:tcW w:w="960" w:type="dxa"/>
            <w:vAlign w:val="center"/>
          </w:tcPr>
          <w:p w14:paraId="49C61827">
            <w:pPr>
              <w:spacing w:line="400" w:lineRule="exact"/>
              <w:jc w:val="center"/>
              <w:rPr>
                <w:rFonts w:hint="eastAsia" w:ascii="宋体" w:hAnsi="宋体" w:eastAsia="宋体" w:cs="宋体"/>
                <w:color w:val="auto"/>
                <w:sz w:val="24"/>
                <w:szCs w:val="24"/>
                <w:highlight w:val="none"/>
              </w:rPr>
            </w:pPr>
          </w:p>
        </w:tc>
        <w:tc>
          <w:tcPr>
            <w:tcW w:w="1113" w:type="dxa"/>
            <w:vAlign w:val="center"/>
          </w:tcPr>
          <w:p w14:paraId="6FBCC9C8">
            <w:pPr>
              <w:spacing w:line="400" w:lineRule="exact"/>
              <w:jc w:val="center"/>
              <w:rPr>
                <w:rFonts w:hint="eastAsia" w:ascii="宋体" w:hAnsi="宋体" w:eastAsia="宋体" w:cs="宋体"/>
                <w:color w:val="auto"/>
                <w:sz w:val="24"/>
                <w:szCs w:val="24"/>
                <w:highlight w:val="none"/>
              </w:rPr>
            </w:pPr>
          </w:p>
        </w:tc>
        <w:tc>
          <w:tcPr>
            <w:tcW w:w="1151" w:type="dxa"/>
            <w:vAlign w:val="center"/>
          </w:tcPr>
          <w:p w14:paraId="022DC5CA">
            <w:pPr>
              <w:spacing w:line="400" w:lineRule="exact"/>
              <w:jc w:val="center"/>
              <w:rPr>
                <w:rFonts w:hint="eastAsia" w:ascii="宋体" w:hAnsi="宋体" w:eastAsia="宋体" w:cs="宋体"/>
                <w:color w:val="auto"/>
                <w:sz w:val="24"/>
                <w:szCs w:val="24"/>
                <w:highlight w:val="none"/>
              </w:rPr>
            </w:pPr>
          </w:p>
        </w:tc>
        <w:tc>
          <w:tcPr>
            <w:tcW w:w="1162" w:type="dxa"/>
            <w:vAlign w:val="center"/>
          </w:tcPr>
          <w:p w14:paraId="79277933">
            <w:pPr>
              <w:spacing w:line="400" w:lineRule="exact"/>
              <w:jc w:val="center"/>
              <w:rPr>
                <w:rFonts w:hint="eastAsia" w:ascii="宋体" w:hAnsi="宋体" w:eastAsia="宋体" w:cs="宋体"/>
                <w:color w:val="auto"/>
                <w:sz w:val="24"/>
                <w:szCs w:val="24"/>
                <w:highlight w:val="none"/>
              </w:rPr>
            </w:pPr>
          </w:p>
        </w:tc>
        <w:tc>
          <w:tcPr>
            <w:tcW w:w="1180" w:type="dxa"/>
            <w:vAlign w:val="center"/>
          </w:tcPr>
          <w:p w14:paraId="1926A73F">
            <w:pPr>
              <w:spacing w:line="400" w:lineRule="exact"/>
              <w:jc w:val="center"/>
              <w:rPr>
                <w:rFonts w:hint="eastAsia" w:ascii="宋体" w:hAnsi="宋体" w:eastAsia="宋体" w:cs="宋体"/>
                <w:color w:val="auto"/>
                <w:sz w:val="24"/>
                <w:szCs w:val="24"/>
                <w:highlight w:val="none"/>
              </w:rPr>
            </w:pPr>
          </w:p>
        </w:tc>
        <w:tc>
          <w:tcPr>
            <w:tcW w:w="1158" w:type="dxa"/>
            <w:vAlign w:val="center"/>
          </w:tcPr>
          <w:p w14:paraId="03B39160">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252DFE8B">
            <w:pPr>
              <w:spacing w:line="400" w:lineRule="exact"/>
              <w:jc w:val="center"/>
              <w:rPr>
                <w:rFonts w:hint="eastAsia" w:ascii="宋体" w:hAnsi="宋体" w:eastAsia="宋体" w:cs="宋体"/>
                <w:color w:val="auto"/>
                <w:sz w:val="24"/>
                <w:szCs w:val="24"/>
                <w:highlight w:val="none"/>
              </w:rPr>
            </w:pPr>
          </w:p>
        </w:tc>
      </w:tr>
      <w:tr w14:paraId="12D61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ADFAEDD">
            <w:pPr>
              <w:spacing w:line="400" w:lineRule="exact"/>
              <w:jc w:val="center"/>
              <w:rPr>
                <w:rFonts w:hint="eastAsia" w:ascii="宋体" w:hAnsi="宋体" w:eastAsia="宋体" w:cs="宋体"/>
                <w:color w:val="auto"/>
                <w:sz w:val="24"/>
                <w:szCs w:val="24"/>
                <w:highlight w:val="none"/>
              </w:rPr>
            </w:pPr>
          </w:p>
        </w:tc>
        <w:tc>
          <w:tcPr>
            <w:tcW w:w="960" w:type="dxa"/>
            <w:tcBorders>
              <w:right w:val="single" w:color="auto" w:sz="4" w:space="0"/>
            </w:tcBorders>
            <w:vAlign w:val="center"/>
          </w:tcPr>
          <w:p w14:paraId="1521F85D">
            <w:pPr>
              <w:spacing w:line="400" w:lineRule="exact"/>
              <w:jc w:val="center"/>
              <w:rPr>
                <w:rFonts w:hint="eastAsia" w:ascii="宋体" w:hAnsi="宋体" w:eastAsia="宋体" w:cs="宋体"/>
                <w:color w:val="auto"/>
                <w:sz w:val="24"/>
                <w:szCs w:val="24"/>
                <w:highlight w:val="none"/>
              </w:rPr>
            </w:pPr>
          </w:p>
        </w:tc>
        <w:tc>
          <w:tcPr>
            <w:tcW w:w="1113" w:type="dxa"/>
            <w:tcBorders>
              <w:left w:val="single" w:color="auto" w:sz="4" w:space="0"/>
            </w:tcBorders>
            <w:vAlign w:val="center"/>
          </w:tcPr>
          <w:p w14:paraId="40AACEA5">
            <w:pPr>
              <w:spacing w:line="400" w:lineRule="exact"/>
              <w:jc w:val="center"/>
              <w:rPr>
                <w:rFonts w:hint="eastAsia" w:ascii="宋体" w:hAnsi="宋体" w:eastAsia="宋体" w:cs="宋体"/>
                <w:color w:val="auto"/>
                <w:sz w:val="24"/>
                <w:szCs w:val="24"/>
                <w:highlight w:val="none"/>
              </w:rPr>
            </w:pPr>
          </w:p>
        </w:tc>
        <w:tc>
          <w:tcPr>
            <w:tcW w:w="1151" w:type="dxa"/>
            <w:tcBorders>
              <w:left w:val="single" w:color="auto" w:sz="4" w:space="0"/>
            </w:tcBorders>
            <w:vAlign w:val="center"/>
          </w:tcPr>
          <w:p w14:paraId="0CC04AEC">
            <w:pPr>
              <w:spacing w:line="400" w:lineRule="exact"/>
              <w:jc w:val="center"/>
              <w:rPr>
                <w:rFonts w:hint="eastAsia" w:ascii="宋体" w:hAnsi="宋体" w:eastAsia="宋体" w:cs="宋体"/>
                <w:color w:val="auto"/>
                <w:sz w:val="24"/>
                <w:szCs w:val="24"/>
                <w:highlight w:val="none"/>
              </w:rPr>
            </w:pPr>
          </w:p>
        </w:tc>
        <w:tc>
          <w:tcPr>
            <w:tcW w:w="1162" w:type="dxa"/>
            <w:tcBorders>
              <w:left w:val="single" w:color="auto" w:sz="4" w:space="0"/>
            </w:tcBorders>
            <w:vAlign w:val="center"/>
          </w:tcPr>
          <w:p w14:paraId="37493C85">
            <w:pPr>
              <w:spacing w:line="400" w:lineRule="exact"/>
              <w:jc w:val="center"/>
              <w:rPr>
                <w:rFonts w:hint="eastAsia" w:ascii="宋体" w:hAnsi="宋体" w:eastAsia="宋体" w:cs="宋体"/>
                <w:color w:val="auto"/>
                <w:sz w:val="24"/>
                <w:szCs w:val="24"/>
                <w:highlight w:val="none"/>
              </w:rPr>
            </w:pPr>
          </w:p>
        </w:tc>
        <w:tc>
          <w:tcPr>
            <w:tcW w:w="1180" w:type="dxa"/>
            <w:vAlign w:val="center"/>
          </w:tcPr>
          <w:p w14:paraId="11034493">
            <w:pPr>
              <w:spacing w:line="400" w:lineRule="exact"/>
              <w:jc w:val="center"/>
              <w:rPr>
                <w:rFonts w:hint="eastAsia" w:ascii="宋体" w:hAnsi="宋体" w:eastAsia="宋体" w:cs="宋体"/>
                <w:color w:val="auto"/>
                <w:sz w:val="24"/>
                <w:szCs w:val="24"/>
                <w:highlight w:val="none"/>
              </w:rPr>
            </w:pPr>
          </w:p>
        </w:tc>
        <w:tc>
          <w:tcPr>
            <w:tcW w:w="1158" w:type="dxa"/>
            <w:vAlign w:val="center"/>
          </w:tcPr>
          <w:p w14:paraId="2E5096E7">
            <w:pPr>
              <w:spacing w:line="400" w:lineRule="exact"/>
              <w:jc w:val="center"/>
              <w:rPr>
                <w:rFonts w:hint="eastAsia" w:ascii="宋体" w:hAnsi="宋体" w:eastAsia="宋体" w:cs="宋体"/>
                <w:color w:val="auto"/>
                <w:sz w:val="24"/>
                <w:szCs w:val="24"/>
                <w:highlight w:val="none"/>
              </w:rPr>
            </w:pPr>
          </w:p>
        </w:tc>
        <w:tc>
          <w:tcPr>
            <w:tcW w:w="1079" w:type="dxa"/>
            <w:gridSpan w:val="2"/>
            <w:tcBorders>
              <w:right w:val="single" w:color="auto" w:sz="4" w:space="0"/>
            </w:tcBorders>
            <w:vAlign w:val="center"/>
          </w:tcPr>
          <w:p w14:paraId="21A2DB77">
            <w:pPr>
              <w:spacing w:line="400" w:lineRule="exact"/>
              <w:jc w:val="center"/>
              <w:rPr>
                <w:rFonts w:hint="eastAsia" w:ascii="宋体" w:hAnsi="宋体" w:eastAsia="宋体" w:cs="宋体"/>
                <w:color w:val="auto"/>
                <w:sz w:val="24"/>
                <w:szCs w:val="24"/>
                <w:highlight w:val="none"/>
              </w:rPr>
            </w:pPr>
          </w:p>
        </w:tc>
      </w:tr>
      <w:tr w14:paraId="686A4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28AE307">
            <w:pPr>
              <w:spacing w:line="400" w:lineRule="exact"/>
              <w:rPr>
                <w:rFonts w:hint="eastAsia" w:ascii="宋体" w:hAnsi="宋体" w:eastAsia="宋体" w:cs="宋体"/>
                <w:color w:val="auto"/>
                <w:sz w:val="24"/>
                <w:szCs w:val="24"/>
                <w:highlight w:val="none"/>
              </w:rPr>
            </w:pPr>
          </w:p>
        </w:tc>
        <w:tc>
          <w:tcPr>
            <w:tcW w:w="960" w:type="dxa"/>
            <w:tcBorders>
              <w:left w:val="single" w:color="auto" w:sz="4" w:space="0"/>
              <w:right w:val="single" w:color="auto" w:sz="4" w:space="0"/>
            </w:tcBorders>
            <w:vAlign w:val="center"/>
          </w:tcPr>
          <w:p w14:paraId="48FE4F58">
            <w:pPr>
              <w:spacing w:line="400" w:lineRule="exact"/>
              <w:rPr>
                <w:rFonts w:hint="eastAsia" w:ascii="宋体" w:hAnsi="宋体" w:eastAsia="宋体" w:cs="宋体"/>
                <w:color w:val="auto"/>
                <w:sz w:val="24"/>
                <w:szCs w:val="24"/>
                <w:highlight w:val="none"/>
              </w:rPr>
            </w:pPr>
          </w:p>
        </w:tc>
        <w:tc>
          <w:tcPr>
            <w:tcW w:w="1113" w:type="dxa"/>
            <w:tcBorders>
              <w:left w:val="single" w:color="auto" w:sz="4" w:space="0"/>
              <w:right w:val="single" w:color="auto" w:sz="4" w:space="0"/>
            </w:tcBorders>
            <w:vAlign w:val="center"/>
          </w:tcPr>
          <w:p w14:paraId="412EAD23">
            <w:pPr>
              <w:spacing w:line="400" w:lineRule="exact"/>
              <w:rPr>
                <w:rFonts w:hint="eastAsia" w:ascii="宋体" w:hAnsi="宋体" w:eastAsia="宋体" w:cs="宋体"/>
                <w:color w:val="auto"/>
                <w:sz w:val="24"/>
                <w:szCs w:val="24"/>
                <w:highlight w:val="none"/>
              </w:rPr>
            </w:pPr>
          </w:p>
        </w:tc>
        <w:tc>
          <w:tcPr>
            <w:tcW w:w="1151" w:type="dxa"/>
            <w:tcBorders>
              <w:left w:val="single" w:color="auto" w:sz="4" w:space="0"/>
              <w:right w:val="single" w:color="auto" w:sz="4" w:space="0"/>
            </w:tcBorders>
            <w:vAlign w:val="center"/>
          </w:tcPr>
          <w:p w14:paraId="26D778EC">
            <w:pPr>
              <w:spacing w:line="400" w:lineRule="exact"/>
              <w:rPr>
                <w:rFonts w:hint="eastAsia" w:ascii="宋体" w:hAnsi="宋体" w:eastAsia="宋体" w:cs="宋体"/>
                <w:color w:val="auto"/>
                <w:sz w:val="24"/>
                <w:szCs w:val="24"/>
                <w:highlight w:val="none"/>
              </w:rPr>
            </w:pPr>
          </w:p>
        </w:tc>
        <w:tc>
          <w:tcPr>
            <w:tcW w:w="1162" w:type="dxa"/>
            <w:tcBorders>
              <w:left w:val="single" w:color="auto" w:sz="4" w:space="0"/>
              <w:right w:val="single" w:color="auto" w:sz="4" w:space="0"/>
            </w:tcBorders>
            <w:vAlign w:val="center"/>
          </w:tcPr>
          <w:p w14:paraId="511B8B1A">
            <w:pPr>
              <w:spacing w:line="400" w:lineRule="exact"/>
              <w:rPr>
                <w:rFonts w:hint="eastAsia" w:ascii="宋体" w:hAnsi="宋体" w:eastAsia="宋体" w:cs="宋体"/>
                <w:color w:val="auto"/>
                <w:sz w:val="24"/>
                <w:szCs w:val="24"/>
                <w:highlight w:val="none"/>
              </w:rPr>
            </w:pPr>
          </w:p>
        </w:tc>
        <w:tc>
          <w:tcPr>
            <w:tcW w:w="1180" w:type="dxa"/>
            <w:tcBorders>
              <w:left w:val="single" w:color="auto" w:sz="4" w:space="0"/>
              <w:right w:val="single" w:color="auto" w:sz="4" w:space="0"/>
            </w:tcBorders>
            <w:vAlign w:val="center"/>
          </w:tcPr>
          <w:p w14:paraId="2052E403">
            <w:pPr>
              <w:spacing w:line="400" w:lineRule="exact"/>
              <w:rPr>
                <w:rFonts w:hint="eastAsia" w:ascii="宋体" w:hAnsi="宋体" w:eastAsia="宋体" w:cs="宋体"/>
                <w:color w:val="auto"/>
                <w:sz w:val="24"/>
                <w:szCs w:val="24"/>
                <w:highlight w:val="none"/>
              </w:rPr>
            </w:pPr>
          </w:p>
        </w:tc>
        <w:tc>
          <w:tcPr>
            <w:tcW w:w="1158" w:type="dxa"/>
            <w:tcBorders>
              <w:left w:val="single" w:color="auto" w:sz="4" w:space="0"/>
              <w:right w:val="single" w:color="auto" w:sz="4" w:space="0"/>
            </w:tcBorders>
            <w:vAlign w:val="center"/>
          </w:tcPr>
          <w:p w14:paraId="4BBAC5C3">
            <w:pPr>
              <w:spacing w:line="400" w:lineRule="exact"/>
              <w:rPr>
                <w:rFonts w:hint="eastAsia" w:ascii="宋体" w:hAnsi="宋体" w:eastAsia="宋体" w:cs="宋体"/>
                <w:color w:val="auto"/>
                <w:sz w:val="24"/>
                <w:szCs w:val="24"/>
                <w:highlight w:val="none"/>
              </w:rPr>
            </w:pPr>
          </w:p>
        </w:tc>
        <w:tc>
          <w:tcPr>
            <w:tcW w:w="1079" w:type="dxa"/>
            <w:gridSpan w:val="2"/>
            <w:tcBorders>
              <w:left w:val="single" w:color="auto" w:sz="4" w:space="0"/>
              <w:right w:val="single" w:color="auto" w:sz="4" w:space="0"/>
            </w:tcBorders>
            <w:vAlign w:val="center"/>
          </w:tcPr>
          <w:p w14:paraId="5E32A193">
            <w:pPr>
              <w:spacing w:line="400" w:lineRule="exact"/>
              <w:rPr>
                <w:rFonts w:hint="eastAsia" w:ascii="宋体" w:hAnsi="宋体" w:eastAsia="宋体" w:cs="宋体"/>
                <w:color w:val="auto"/>
                <w:sz w:val="24"/>
                <w:szCs w:val="24"/>
                <w:highlight w:val="none"/>
              </w:rPr>
            </w:pPr>
          </w:p>
        </w:tc>
      </w:tr>
      <w:tr w14:paraId="33DB7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55D16D45">
            <w:pPr>
              <w:spacing w:line="400" w:lineRule="exact"/>
              <w:rPr>
                <w:rFonts w:hint="eastAsia" w:ascii="宋体" w:hAnsi="宋体" w:eastAsia="宋体" w:cs="宋体"/>
                <w:color w:val="auto"/>
                <w:sz w:val="24"/>
                <w:szCs w:val="24"/>
                <w:highlight w:val="none"/>
              </w:rPr>
            </w:pPr>
          </w:p>
        </w:tc>
        <w:tc>
          <w:tcPr>
            <w:tcW w:w="960" w:type="dxa"/>
            <w:vAlign w:val="center"/>
          </w:tcPr>
          <w:p w14:paraId="4D604C3E">
            <w:pPr>
              <w:spacing w:line="400" w:lineRule="exact"/>
              <w:rPr>
                <w:rFonts w:hint="eastAsia" w:ascii="宋体" w:hAnsi="宋体" w:eastAsia="宋体" w:cs="宋体"/>
                <w:color w:val="auto"/>
                <w:sz w:val="24"/>
                <w:szCs w:val="24"/>
                <w:highlight w:val="none"/>
              </w:rPr>
            </w:pPr>
          </w:p>
        </w:tc>
        <w:tc>
          <w:tcPr>
            <w:tcW w:w="1113" w:type="dxa"/>
            <w:vAlign w:val="center"/>
          </w:tcPr>
          <w:p w14:paraId="1ADFB5DD">
            <w:pPr>
              <w:spacing w:line="400" w:lineRule="exact"/>
              <w:rPr>
                <w:rFonts w:hint="eastAsia" w:ascii="宋体" w:hAnsi="宋体" w:eastAsia="宋体" w:cs="宋体"/>
                <w:color w:val="auto"/>
                <w:sz w:val="24"/>
                <w:szCs w:val="24"/>
                <w:highlight w:val="none"/>
              </w:rPr>
            </w:pPr>
          </w:p>
        </w:tc>
        <w:tc>
          <w:tcPr>
            <w:tcW w:w="1151" w:type="dxa"/>
            <w:vAlign w:val="center"/>
          </w:tcPr>
          <w:p w14:paraId="66968739">
            <w:pPr>
              <w:spacing w:line="400" w:lineRule="exact"/>
              <w:rPr>
                <w:rFonts w:hint="eastAsia" w:ascii="宋体" w:hAnsi="宋体" w:eastAsia="宋体" w:cs="宋体"/>
                <w:color w:val="auto"/>
                <w:sz w:val="24"/>
                <w:szCs w:val="24"/>
                <w:highlight w:val="none"/>
              </w:rPr>
            </w:pPr>
          </w:p>
        </w:tc>
        <w:tc>
          <w:tcPr>
            <w:tcW w:w="1162" w:type="dxa"/>
            <w:vAlign w:val="center"/>
          </w:tcPr>
          <w:p w14:paraId="4A5F8FBB">
            <w:pPr>
              <w:spacing w:line="400" w:lineRule="exact"/>
              <w:rPr>
                <w:rFonts w:hint="eastAsia" w:ascii="宋体" w:hAnsi="宋体" w:eastAsia="宋体" w:cs="宋体"/>
                <w:color w:val="auto"/>
                <w:sz w:val="24"/>
                <w:szCs w:val="24"/>
                <w:highlight w:val="none"/>
              </w:rPr>
            </w:pPr>
          </w:p>
        </w:tc>
        <w:tc>
          <w:tcPr>
            <w:tcW w:w="1180" w:type="dxa"/>
            <w:vAlign w:val="center"/>
          </w:tcPr>
          <w:p w14:paraId="4B243790">
            <w:pPr>
              <w:spacing w:line="400" w:lineRule="exact"/>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53BB9587">
            <w:pPr>
              <w:spacing w:line="400" w:lineRule="exact"/>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67652DE3">
            <w:pPr>
              <w:spacing w:line="400" w:lineRule="exact"/>
              <w:rPr>
                <w:rFonts w:hint="eastAsia" w:ascii="宋体" w:hAnsi="宋体" w:eastAsia="宋体" w:cs="宋体"/>
                <w:color w:val="auto"/>
                <w:sz w:val="24"/>
                <w:szCs w:val="24"/>
                <w:highlight w:val="none"/>
              </w:rPr>
            </w:pPr>
          </w:p>
        </w:tc>
      </w:tr>
      <w:tr w14:paraId="4F5D8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4521B871">
            <w:pPr>
              <w:spacing w:line="400" w:lineRule="exact"/>
              <w:jc w:val="center"/>
              <w:rPr>
                <w:rFonts w:hint="eastAsia" w:ascii="宋体" w:hAnsi="宋体" w:eastAsia="宋体" w:cs="宋体"/>
                <w:color w:val="auto"/>
                <w:sz w:val="24"/>
                <w:szCs w:val="24"/>
                <w:highlight w:val="none"/>
              </w:rPr>
            </w:pPr>
          </w:p>
        </w:tc>
        <w:tc>
          <w:tcPr>
            <w:tcW w:w="960" w:type="dxa"/>
            <w:vAlign w:val="center"/>
          </w:tcPr>
          <w:p w14:paraId="5C0EEE76">
            <w:pPr>
              <w:spacing w:line="400" w:lineRule="exact"/>
              <w:jc w:val="center"/>
              <w:rPr>
                <w:rFonts w:hint="eastAsia" w:ascii="宋体" w:hAnsi="宋体" w:eastAsia="宋体" w:cs="宋体"/>
                <w:color w:val="auto"/>
                <w:sz w:val="24"/>
                <w:szCs w:val="24"/>
                <w:highlight w:val="none"/>
              </w:rPr>
            </w:pPr>
          </w:p>
        </w:tc>
        <w:tc>
          <w:tcPr>
            <w:tcW w:w="1113" w:type="dxa"/>
            <w:vAlign w:val="center"/>
          </w:tcPr>
          <w:p w14:paraId="77965653">
            <w:pPr>
              <w:spacing w:line="400" w:lineRule="exact"/>
              <w:jc w:val="center"/>
              <w:rPr>
                <w:rFonts w:hint="eastAsia" w:ascii="宋体" w:hAnsi="宋体" w:eastAsia="宋体" w:cs="宋体"/>
                <w:color w:val="auto"/>
                <w:sz w:val="24"/>
                <w:szCs w:val="24"/>
                <w:highlight w:val="none"/>
              </w:rPr>
            </w:pPr>
          </w:p>
        </w:tc>
        <w:tc>
          <w:tcPr>
            <w:tcW w:w="1151" w:type="dxa"/>
            <w:vAlign w:val="center"/>
          </w:tcPr>
          <w:p w14:paraId="7432B9CC">
            <w:pPr>
              <w:spacing w:line="400" w:lineRule="exact"/>
              <w:jc w:val="center"/>
              <w:rPr>
                <w:rFonts w:hint="eastAsia" w:ascii="宋体" w:hAnsi="宋体" w:eastAsia="宋体" w:cs="宋体"/>
                <w:color w:val="auto"/>
                <w:sz w:val="24"/>
                <w:szCs w:val="24"/>
                <w:highlight w:val="none"/>
              </w:rPr>
            </w:pPr>
          </w:p>
        </w:tc>
        <w:tc>
          <w:tcPr>
            <w:tcW w:w="1162" w:type="dxa"/>
            <w:vAlign w:val="center"/>
          </w:tcPr>
          <w:p w14:paraId="49A45206">
            <w:pPr>
              <w:spacing w:line="400" w:lineRule="exact"/>
              <w:jc w:val="center"/>
              <w:rPr>
                <w:rFonts w:hint="eastAsia" w:ascii="宋体" w:hAnsi="宋体" w:eastAsia="宋体" w:cs="宋体"/>
                <w:color w:val="auto"/>
                <w:sz w:val="24"/>
                <w:szCs w:val="24"/>
                <w:highlight w:val="none"/>
              </w:rPr>
            </w:pPr>
          </w:p>
        </w:tc>
        <w:tc>
          <w:tcPr>
            <w:tcW w:w="1180" w:type="dxa"/>
            <w:vAlign w:val="center"/>
          </w:tcPr>
          <w:p w14:paraId="331EB5AA">
            <w:pPr>
              <w:spacing w:line="400" w:lineRule="exact"/>
              <w:jc w:val="center"/>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08B3041D">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3483A4B8">
            <w:pPr>
              <w:spacing w:line="400" w:lineRule="exact"/>
              <w:jc w:val="center"/>
              <w:rPr>
                <w:rFonts w:hint="eastAsia" w:ascii="宋体" w:hAnsi="宋体" w:eastAsia="宋体" w:cs="宋体"/>
                <w:color w:val="auto"/>
                <w:sz w:val="24"/>
                <w:szCs w:val="24"/>
                <w:highlight w:val="none"/>
              </w:rPr>
            </w:pPr>
          </w:p>
        </w:tc>
      </w:tr>
      <w:tr w14:paraId="3EFE6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7CC2EA1">
            <w:pPr>
              <w:spacing w:line="400" w:lineRule="exact"/>
              <w:jc w:val="center"/>
              <w:rPr>
                <w:rFonts w:hint="eastAsia" w:ascii="宋体" w:hAnsi="宋体" w:eastAsia="宋体" w:cs="宋体"/>
                <w:color w:val="auto"/>
                <w:sz w:val="24"/>
                <w:szCs w:val="24"/>
                <w:highlight w:val="none"/>
              </w:rPr>
            </w:pPr>
          </w:p>
        </w:tc>
        <w:tc>
          <w:tcPr>
            <w:tcW w:w="960" w:type="dxa"/>
            <w:vAlign w:val="center"/>
          </w:tcPr>
          <w:p w14:paraId="5F85593F">
            <w:pPr>
              <w:spacing w:line="400" w:lineRule="exact"/>
              <w:jc w:val="center"/>
              <w:rPr>
                <w:rFonts w:hint="eastAsia" w:ascii="宋体" w:hAnsi="宋体" w:eastAsia="宋体" w:cs="宋体"/>
                <w:color w:val="auto"/>
                <w:sz w:val="24"/>
                <w:szCs w:val="24"/>
                <w:highlight w:val="none"/>
              </w:rPr>
            </w:pPr>
          </w:p>
        </w:tc>
        <w:tc>
          <w:tcPr>
            <w:tcW w:w="1113" w:type="dxa"/>
            <w:vAlign w:val="center"/>
          </w:tcPr>
          <w:p w14:paraId="3CEFCD99">
            <w:pPr>
              <w:spacing w:line="400" w:lineRule="exact"/>
              <w:jc w:val="center"/>
              <w:rPr>
                <w:rFonts w:hint="eastAsia" w:ascii="宋体" w:hAnsi="宋体" w:eastAsia="宋体" w:cs="宋体"/>
                <w:color w:val="auto"/>
                <w:sz w:val="24"/>
                <w:szCs w:val="24"/>
                <w:highlight w:val="none"/>
              </w:rPr>
            </w:pPr>
          </w:p>
        </w:tc>
        <w:tc>
          <w:tcPr>
            <w:tcW w:w="1151" w:type="dxa"/>
            <w:vAlign w:val="center"/>
          </w:tcPr>
          <w:p w14:paraId="67920296">
            <w:pPr>
              <w:spacing w:line="400" w:lineRule="exact"/>
              <w:jc w:val="center"/>
              <w:rPr>
                <w:rFonts w:hint="eastAsia" w:ascii="宋体" w:hAnsi="宋体" w:eastAsia="宋体" w:cs="宋体"/>
                <w:color w:val="auto"/>
                <w:sz w:val="24"/>
                <w:szCs w:val="24"/>
                <w:highlight w:val="none"/>
              </w:rPr>
            </w:pPr>
          </w:p>
        </w:tc>
        <w:tc>
          <w:tcPr>
            <w:tcW w:w="1162" w:type="dxa"/>
            <w:vAlign w:val="center"/>
          </w:tcPr>
          <w:p w14:paraId="6290834D">
            <w:pPr>
              <w:spacing w:line="400" w:lineRule="exact"/>
              <w:jc w:val="center"/>
              <w:rPr>
                <w:rFonts w:hint="eastAsia" w:ascii="宋体" w:hAnsi="宋体" w:eastAsia="宋体" w:cs="宋体"/>
                <w:color w:val="auto"/>
                <w:sz w:val="24"/>
                <w:szCs w:val="24"/>
                <w:highlight w:val="none"/>
              </w:rPr>
            </w:pPr>
          </w:p>
        </w:tc>
        <w:tc>
          <w:tcPr>
            <w:tcW w:w="1180" w:type="dxa"/>
            <w:vAlign w:val="center"/>
          </w:tcPr>
          <w:p w14:paraId="69919008">
            <w:pPr>
              <w:spacing w:line="400" w:lineRule="exact"/>
              <w:jc w:val="center"/>
              <w:rPr>
                <w:rFonts w:hint="eastAsia" w:ascii="宋体" w:hAnsi="宋体" w:eastAsia="宋体" w:cs="宋体"/>
                <w:color w:val="auto"/>
                <w:sz w:val="24"/>
                <w:szCs w:val="24"/>
                <w:highlight w:val="none"/>
              </w:rPr>
            </w:pPr>
          </w:p>
        </w:tc>
        <w:tc>
          <w:tcPr>
            <w:tcW w:w="1158" w:type="dxa"/>
            <w:tcBorders>
              <w:right w:val="single" w:color="auto" w:sz="4" w:space="0"/>
            </w:tcBorders>
            <w:vAlign w:val="center"/>
          </w:tcPr>
          <w:p w14:paraId="10B5FF0B">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right w:val="single" w:color="auto" w:sz="4" w:space="0"/>
            </w:tcBorders>
            <w:vAlign w:val="center"/>
          </w:tcPr>
          <w:p w14:paraId="4C85B198">
            <w:pPr>
              <w:spacing w:line="400" w:lineRule="exact"/>
              <w:jc w:val="center"/>
              <w:rPr>
                <w:rFonts w:hint="eastAsia" w:ascii="宋体" w:hAnsi="宋体" w:eastAsia="宋体" w:cs="宋体"/>
                <w:color w:val="auto"/>
                <w:sz w:val="24"/>
                <w:szCs w:val="24"/>
                <w:highlight w:val="none"/>
              </w:rPr>
            </w:pPr>
          </w:p>
        </w:tc>
      </w:tr>
      <w:tr w14:paraId="109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04597929">
            <w:pPr>
              <w:spacing w:line="400" w:lineRule="exact"/>
              <w:jc w:val="center"/>
              <w:rPr>
                <w:rFonts w:hint="eastAsia" w:ascii="宋体" w:hAnsi="宋体" w:eastAsia="宋体" w:cs="宋体"/>
                <w:color w:val="auto"/>
                <w:sz w:val="24"/>
                <w:szCs w:val="24"/>
                <w:highlight w:val="none"/>
              </w:rPr>
            </w:pPr>
          </w:p>
        </w:tc>
        <w:tc>
          <w:tcPr>
            <w:tcW w:w="960" w:type="dxa"/>
            <w:tcBorders>
              <w:bottom w:val="single" w:color="auto" w:sz="4" w:space="0"/>
            </w:tcBorders>
            <w:vAlign w:val="center"/>
          </w:tcPr>
          <w:p w14:paraId="4EF0BB06">
            <w:pPr>
              <w:spacing w:line="400" w:lineRule="exact"/>
              <w:jc w:val="center"/>
              <w:rPr>
                <w:rFonts w:hint="eastAsia" w:ascii="宋体" w:hAnsi="宋体" w:eastAsia="宋体" w:cs="宋体"/>
                <w:color w:val="auto"/>
                <w:sz w:val="24"/>
                <w:szCs w:val="24"/>
                <w:highlight w:val="none"/>
              </w:rPr>
            </w:pPr>
          </w:p>
        </w:tc>
        <w:tc>
          <w:tcPr>
            <w:tcW w:w="1113" w:type="dxa"/>
            <w:tcBorders>
              <w:bottom w:val="single" w:color="auto" w:sz="4" w:space="0"/>
            </w:tcBorders>
            <w:vAlign w:val="center"/>
          </w:tcPr>
          <w:p w14:paraId="06BC132A">
            <w:pPr>
              <w:spacing w:line="400" w:lineRule="exact"/>
              <w:jc w:val="center"/>
              <w:rPr>
                <w:rFonts w:hint="eastAsia" w:ascii="宋体" w:hAnsi="宋体" w:eastAsia="宋体" w:cs="宋体"/>
                <w:color w:val="auto"/>
                <w:sz w:val="24"/>
                <w:szCs w:val="24"/>
                <w:highlight w:val="none"/>
              </w:rPr>
            </w:pPr>
          </w:p>
        </w:tc>
        <w:tc>
          <w:tcPr>
            <w:tcW w:w="1151" w:type="dxa"/>
            <w:tcBorders>
              <w:bottom w:val="single" w:color="auto" w:sz="4" w:space="0"/>
            </w:tcBorders>
            <w:vAlign w:val="center"/>
          </w:tcPr>
          <w:p w14:paraId="55FA56B2">
            <w:pPr>
              <w:spacing w:line="400" w:lineRule="exact"/>
              <w:jc w:val="center"/>
              <w:rPr>
                <w:rFonts w:hint="eastAsia" w:ascii="宋体" w:hAnsi="宋体" w:eastAsia="宋体" w:cs="宋体"/>
                <w:color w:val="auto"/>
                <w:sz w:val="24"/>
                <w:szCs w:val="24"/>
                <w:highlight w:val="none"/>
              </w:rPr>
            </w:pPr>
          </w:p>
        </w:tc>
        <w:tc>
          <w:tcPr>
            <w:tcW w:w="1162" w:type="dxa"/>
            <w:tcBorders>
              <w:bottom w:val="single" w:color="auto" w:sz="4" w:space="0"/>
            </w:tcBorders>
            <w:vAlign w:val="center"/>
          </w:tcPr>
          <w:p w14:paraId="514D75AB">
            <w:pPr>
              <w:spacing w:line="400" w:lineRule="exact"/>
              <w:jc w:val="center"/>
              <w:rPr>
                <w:rFonts w:hint="eastAsia" w:ascii="宋体" w:hAnsi="宋体" w:eastAsia="宋体" w:cs="宋体"/>
                <w:color w:val="auto"/>
                <w:sz w:val="24"/>
                <w:szCs w:val="24"/>
                <w:highlight w:val="none"/>
              </w:rPr>
            </w:pPr>
          </w:p>
        </w:tc>
        <w:tc>
          <w:tcPr>
            <w:tcW w:w="1180" w:type="dxa"/>
            <w:tcBorders>
              <w:bottom w:val="single" w:color="auto" w:sz="4" w:space="0"/>
            </w:tcBorders>
            <w:vAlign w:val="center"/>
          </w:tcPr>
          <w:p w14:paraId="792F87A2">
            <w:pPr>
              <w:spacing w:line="400" w:lineRule="exact"/>
              <w:jc w:val="center"/>
              <w:rPr>
                <w:rFonts w:hint="eastAsia" w:ascii="宋体" w:hAnsi="宋体" w:eastAsia="宋体" w:cs="宋体"/>
                <w:color w:val="auto"/>
                <w:sz w:val="24"/>
                <w:szCs w:val="24"/>
                <w:highlight w:val="none"/>
              </w:rPr>
            </w:pPr>
          </w:p>
        </w:tc>
        <w:tc>
          <w:tcPr>
            <w:tcW w:w="1158" w:type="dxa"/>
            <w:tcBorders>
              <w:bottom w:val="single" w:color="auto" w:sz="4" w:space="0"/>
              <w:right w:val="single" w:color="auto" w:sz="4" w:space="0"/>
            </w:tcBorders>
            <w:vAlign w:val="center"/>
          </w:tcPr>
          <w:p w14:paraId="1D780995">
            <w:pPr>
              <w:spacing w:line="400" w:lineRule="exact"/>
              <w:jc w:val="center"/>
              <w:rPr>
                <w:rFonts w:hint="eastAsia" w:ascii="宋体" w:hAnsi="宋体" w:eastAsia="宋体" w:cs="宋体"/>
                <w:color w:val="auto"/>
                <w:sz w:val="24"/>
                <w:szCs w:val="24"/>
                <w:highlight w:val="none"/>
              </w:rPr>
            </w:pPr>
          </w:p>
        </w:tc>
        <w:tc>
          <w:tcPr>
            <w:tcW w:w="1069" w:type="dxa"/>
            <w:tcBorders>
              <w:left w:val="single" w:color="auto" w:sz="4" w:space="0"/>
              <w:bottom w:val="single" w:color="auto" w:sz="4" w:space="0"/>
              <w:right w:val="single" w:color="auto" w:sz="4" w:space="0"/>
            </w:tcBorders>
            <w:vAlign w:val="center"/>
          </w:tcPr>
          <w:p w14:paraId="1444EA14">
            <w:pPr>
              <w:spacing w:line="400" w:lineRule="exact"/>
              <w:jc w:val="center"/>
              <w:rPr>
                <w:rFonts w:hint="eastAsia" w:ascii="宋体" w:hAnsi="宋体" w:eastAsia="宋体" w:cs="宋体"/>
                <w:color w:val="auto"/>
                <w:sz w:val="24"/>
                <w:szCs w:val="24"/>
                <w:highlight w:val="none"/>
              </w:rPr>
            </w:pPr>
          </w:p>
        </w:tc>
      </w:tr>
      <w:tr w14:paraId="3148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0221358">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655842E2">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693CEB61">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2C31829D">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028129D7">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3829E7BA">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6C1B8070">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7EA0789">
            <w:pPr>
              <w:spacing w:line="400" w:lineRule="exact"/>
              <w:jc w:val="center"/>
              <w:rPr>
                <w:rFonts w:hint="eastAsia" w:ascii="宋体" w:hAnsi="宋体" w:eastAsia="宋体" w:cs="宋体"/>
                <w:color w:val="auto"/>
                <w:sz w:val="24"/>
                <w:szCs w:val="24"/>
                <w:highlight w:val="none"/>
              </w:rPr>
            </w:pPr>
          </w:p>
        </w:tc>
      </w:tr>
      <w:tr w14:paraId="473E9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1F6ADA3C">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06BCB7CC">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65A599B1">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4CA8F3DD">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3ECF22DE">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3C23B20B">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799DD382">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7A3421B">
            <w:pPr>
              <w:spacing w:line="400" w:lineRule="exact"/>
              <w:jc w:val="center"/>
              <w:rPr>
                <w:rFonts w:hint="eastAsia" w:ascii="宋体" w:hAnsi="宋体" w:eastAsia="宋体" w:cs="宋体"/>
                <w:color w:val="auto"/>
                <w:sz w:val="24"/>
                <w:szCs w:val="24"/>
                <w:highlight w:val="none"/>
              </w:rPr>
            </w:pPr>
          </w:p>
        </w:tc>
      </w:tr>
      <w:tr w14:paraId="44BDA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42AFC9CF">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bottom w:val="single" w:color="auto" w:sz="4" w:space="0"/>
            </w:tcBorders>
            <w:vAlign w:val="center"/>
          </w:tcPr>
          <w:p w14:paraId="4A5C9071">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bottom w:val="single" w:color="auto" w:sz="4" w:space="0"/>
            </w:tcBorders>
            <w:vAlign w:val="center"/>
          </w:tcPr>
          <w:p w14:paraId="3169A8FB">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bottom w:val="single" w:color="auto" w:sz="4" w:space="0"/>
            </w:tcBorders>
            <w:vAlign w:val="center"/>
          </w:tcPr>
          <w:p w14:paraId="7DB7F2E1">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bottom w:val="single" w:color="auto" w:sz="4" w:space="0"/>
            </w:tcBorders>
            <w:vAlign w:val="center"/>
          </w:tcPr>
          <w:p w14:paraId="69B1E0F8">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bottom w:val="single" w:color="auto" w:sz="4" w:space="0"/>
            </w:tcBorders>
            <w:vAlign w:val="center"/>
          </w:tcPr>
          <w:p w14:paraId="787E6EA7">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bottom w:val="single" w:color="auto" w:sz="4" w:space="0"/>
              <w:right w:val="single" w:color="auto" w:sz="4" w:space="0"/>
            </w:tcBorders>
            <w:vAlign w:val="center"/>
          </w:tcPr>
          <w:p w14:paraId="23396C15">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BA03E74">
            <w:pPr>
              <w:spacing w:line="400" w:lineRule="exact"/>
              <w:jc w:val="center"/>
              <w:rPr>
                <w:rFonts w:hint="eastAsia" w:ascii="宋体" w:hAnsi="宋体" w:eastAsia="宋体" w:cs="宋体"/>
                <w:color w:val="auto"/>
                <w:sz w:val="24"/>
                <w:szCs w:val="24"/>
                <w:highlight w:val="none"/>
              </w:rPr>
            </w:pPr>
          </w:p>
        </w:tc>
      </w:tr>
      <w:tr w14:paraId="19D9C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0120142A">
            <w:pPr>
              <w:spacing w:line="400" w:lineRule="exact"/>
              <w:jc w:val="center"/>
              <w:rPr>
                <w:rFonts w:hint="eastAsia" w:ascii="宋体" w:hAnsi="宋体" w:eastAsia="宋体" w:cs="宋体"/>
                <w:color w:val="auto"/>
                <w:sz w:val="24"/>
                <w:szCs w:val="24"/>
                <w:highlight w:val="none"/>
              </w:rPr>
            </w:pPr>
          </w:p>
        </w:tc>
        <w:tc>
          <w:tcPr>
            <w:tcW w:w="960" w:type="dxa"/>
            <w:tcBorders>
              <w:top w:val="single" w:color="auto" w:sz="4" w:space="0"/>
            </w:tcBorders>
            <w:vAlign w:val="center"/>
          </w:tcPr>
          <w:p w14:paraId="0DBE5162">
            <w:pPr>
              <w:spacing w:line="400" w:lineRule="exact"/>
              <w:jc w:val="center"/>
              <w:rPr>
                <w:rFonts w:hint="eastAsia" w:ascii="宋体" w:hAnsi="宋体" w:eastAsia="宋体" w:cs="宋体"/>
                <w:color w:val="auto"/>
                <w:sz w:val="24"/>
                <w:szCs w:val="24"/>
                <w:highlight w:val="none"/>
              </w:rPr>
            </w:pPr>
          </w:p>
        </w:tc>
        <w:tc>
          <w:tcPr>
            <w:tcW w:w="1113" w:type="dxa"/>
            <w:tcBorders>
              <w:top w:val="single" w:color="auto" w:sz="4" w:space="0"/>
            </w:tcBorders>
            <w:vAlign w:val="center"/>
          </w:tcPr>
          <w:p w14:paraId="72CADD63">
            <w:pPr>
              <w:spacing w:line="400" w:lineRule="exact"/>
              <w:jc w:val="center"/>
              <w:rPr>
                <w:rFonts w:hint="eastAsia" w:ascii="宋体" w:hAnsi="宋体" w:eastAsia="宋体" w:cs="宋体"/>
                <w:color w:val="auto"/>
                <w:sz w:val="24"/>
                <w:szCs w:val="24"/>
                <w:highlight w:val="none"/>
              </w:rPr>
            </w:pPr>
          </w:p>
        </w:tc>
        <w:tc>
          <w:tcPr>
            <w:tcW w:w="1151" w:type="dxa"/>
            <w:tcBorders>
              <w:top w:val="single" w:color="auto" w:sz="4" w:space="0"/>
            </w:tcBorders>
            <w:vAlign w:val="center"/>
          </w:tcPr>
          <w:p w14:paraId="50B0238B">
            <w:pPr>
              <w:spacing w:line="400" w:lineRule="exact"/>
              <w:jc w:val="center"/>
              <w:rPr>
                <w:rFonts w:hint="eastAsia" w:ascii="宋体" w:hAnsi="宋体" w:eastAsia="宋体" w:cs="宋体"/>
                <w:color w:val="auto"/>
                <w:sz w:val="24"/>
                <w:szCs w:val="24"/>
                <w:highlight w:val="none"/>
              </w:rPr>
            </w:pPr>
          </w:p>
        </w:tc>
        <w:tc>
          <w:tcPr>
            <w:tcW w:w="1162" w:type="dxa"/>
            <w:tcBorders>
              <w:top w:val="single" w:color="auto" w:sz="4" w:space="0"/>
            </w:tcBorders>
            <w:vAlign w:val="center"/>
          </w:tcPr>
          <w:p w14:paraId="5F563A7E">
            <w:pPr>
              <w:spacing w:line="400" w:lineRule="exact"/>
              <w:jc w:val="center"/>
              <w:rPr>
                <w:rFonts w:hint="eastAsia" w:ascii="宋体" w:hAnsi="宋体" w:eastAsia="宋体" w:cs="宋体"/>
                <w:color w:val="auto"/>
                <w:sz w:val="24"/>
                <w:szCs w:val="24"/>
                <w:highlight w:val="none"/>
              </w:rPr>
            </w:pPr>
          </w:p>
        </w:tc>
        <w:tc>
          <w:tcPr>
            <w:tcW w:w="1180" w:type="dxa"/>
            <w:tcBorders>
              <w:top w:val="single" w:color="auto" w:sz="4" w:space="0"/>
            </w:tcBorders>
            <w:vAlign w:val="center"/>
          </w:tcPr>
          <w:p w14:paraId="56174ED2">
            <w:pPr>
              <w:spacing w:line="400" w:lineRule="exact"/>
              <w:jc w:val="center"/>
              <w:rPr>
                <w:rFonts w:hint="eastAsia" w:ascii="宋体" w:hAnsi="宋体" w:eastAsia="宋体" w:cs="宋体"/>
                <w:color w:val="auto"/>
                <w:sz w:val="24"/>
                <w:szCs w:val="24"/>
                <w:highlight w:val="none"/>
              </w:rPr>
            </w:pPr>
          </w:p>
        </w:tc>
        <w:tc>
          <w:tcPr>
            <w:tcW w:w="1158" w:type="dxa"/>
            <w:tcBorders>
              <w:top w:val="single" w:color="auto" w:sz="4" w:space="0"/>
              <w:right w:val="single" w:color="auto" w:sz="4" w:space="0"/>
            </w:tcBorders>
            <w:vAlign w:val="center"/>
          </w:tcPr>
          <w:p w14:paraId="672A2AAF">
            <w:pPr>
              <w:spacing w:line="400" w:lineRule="exact"/>
              <w:jc w:val="center"/>
              <w:rPr>
                <w:rFonts w:hint="eastAsia" w:ascii="宋体" w:hAnsi="宋体" w:eastAsia="宋体" w:cs="宋体"/>
                <w:color w:val="auto"/>
                <w:sz w:val="24"/>
                <w:szCs w:val="24"/>
                <w:highlight w:val="none"/>
              </w:rPr>
            </w:pPr>
          </w:p>
        </w:tc>
        <w:tc>
          <w:tcPr>
            <w:tcW w:w="1069" w:type="dxa"/>
            <w:tcBorders>
              <w:top w:val="single" w:color="auto" w:sz="4" w:space="0"/>
              <w:left w:val="single" w:color="auto" w:sz="4" w:space="0"/>
              <w:right w:val="single" w:color="auto" w:sz="4" w:space="0"/>
            </w:tcBorders>
            <w:vAlign w:val="center"/>
          </w:tcPr>
          <w:p w14:paraId="7DEFCCBF">
            <w:pPr>
              <w:spacing w:line="400" w:lineRule="exact"/>
              <w:jc w:val="center"/>
              <w:rPr>
                <w:rFonts w:hint="eastAsia" w:ascii="宋体" w:hAnsi="宋体" w:eastAsia="宋体" w:cs="宋体"/>
                <w:color w:val="auto"/>
                <w:sz w:val="24"/>
                <w:szCs w:val="24"/>
                <w:highlight w:val="none"/>
              </w:rPr>
            </w:pPr>
          </w:p>
        </w:tc>
      </w:tr>
    </w:tbl>
    <w:p w14:paraId="2712DFC9">
      <w:pPr>
        <w:spacing w:line="360" w:lineRule="auto"/>
        <w:jc w:val="left"/>
        <w:rPr>
          <w:rFonts w:hint="eastAsia" w:ascii="宋体" w:hAnsi="宋体" w:eastAsia="宋体" w:cs="宋体"/>
          <w:bCs/>
          <w:color w:val="auto"/>
          <w:sz w:val="24"/>
          <w:szCs w:val="24"/>
          <w:highlight w:val="none"/>
        </w:rPr>
      </w:pPr>
    </w:p>
    <w:p w14:paraId="7E6A15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491B1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1.本表后附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近三年完成的类似业绩</w:t>
      </w:r>
      <w:r>
        <w:rPr>
          <w:rFonts w:hint="eastAsia" w:ascii="宋体" w:hAnsi="宋体" w:eastAsia="宋体" w:cs="宋体"/>
          <w:bCs/>
          <w:color w:val="auto"/>
          <w:sz w:val="24"/>
          <w:szCs w:val="24"/>
          <w:highlight w:val="none"/>
        </w:rPr>
        <w:t>，</w:t>
      </w: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val="en-US" w:eastAsia="zh-CN"/>
        </w:rPr>
        <w:t>中标（成交）通知书和</w:t>
      </w:r>
      <w:r>
        <w:rPr>
          <w:rFonts w:hint="eastAsia" w:ascii="宋体" w:hAnsi="宋体" w:cs="宋体"/>
          <w:color w:val="auto"/>
          <w:sz w:val="24"/>
          <w:szCs w:val="24"/>
          <w:highlight w:val="none"/>
        </w:rPr>
        <w:t>合同（至少包括合同首页、标的页、签字盖章页、</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内容页）彩色扫描件等证明材料</w:t>
      </w:r>
      <w:r>
        <w:rPr>
          <w:rFonts w:hint="eastAsia" w:ascii="宋体" w:hAnsi="宋体" w:eastAsia="宋体" w:cs="宋体"/>
          <w:color w:val="auto"/>
          <w:sz w:val="24"/>
          <w:szCs w:val="24"/>
          <w:highlight w:val="none"/>
        </w:rPr>
        <w:t>；</w:t>
      </w:r>
    </w:p>
    <w:p w14:paraId="13BBD7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2.具体年份要求：</w:t>
      </w:r>
      <w:r>
        <w:rPr>
          <w:rFonts w:hint="eastAsia" w:ascii="宋体" w:hAnsi="宋体" w:cs="宋体"/>
          <w:color w:val="auto"/>
          <w:sz w:val="24"/>
          <w:szCs w:val="24"/>
          <w:highlight w:val="none"/>
          <w:lang w:eastAsia="zh-CN"/>
        </w:rPr>
        <w:t>2022</w:t>
      </w:r>
      <w:r>
        <w:rPr>
          <w:rFonts w:hint="eastAsia" w:ascii="宋体" w:hAnsi="宋体" w:eastAsia="宋体" w:cs="宋体"/>
          <w:color w:val="auto"/>
          <w:sz w:val="24"/>
          <w:szCs w:val="24"/>
          <w:highlight w:val="none"/>
        </w:rPr>
        <w:t>年0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月01日-</w:t>
      </w:r>
      <w:r>
        <w:rPr>
          <w:rFonts w:hint="eastAsia" w:ascii="宋体" w:hAnsi="宋体" w:eastAsia="宋体" w:cs="宋体"/>
          <w:color w:val="auto"/>
          <w:sz w:val="24"/>
          <w:szCs w:val="24"/>
          <w:highlight w:val="none"/>
          <w:lang w:val="en-US" w:eastAsia="zh-CN"/>
        </w:rPr>
        <w:t>投标文件</w:t>
      </w:r>
      <w:r>
        <w:rPr>
          <w:rFonts w:hint="eastAsia" w:ascii="宋体" w:hAnsi="宋体" w:cs="宋体"/>
          <w:color w:val="auto"/>
          <w:sz w:val="24"/>
          <w:szCs w:val="24"/>
          <w:highlight w:val="none"/>
          <w:lang w:val="en-US" w:eastAsia="zh-CN"/>
        </w:rPr>
        <w:t>上传</w:t>
      </w:r>
      <w:r>
        <w:rPr>
          <w:rFonts w:hint="eastAsia" w:ascii="宋体" w:hAnsi="宋体" w:eastAsia="宋体" w:cs="宋体"/>
          <w:color w:val="auto"/>
          <w:sz w:val="24"/>
          <w:szCs w:val="24"/>
          <w:highlight w:val="none"/>
          <w:lang w:val="en-US" w:eastAsia="zh-CN"/>
        </w:rPr>
        <w:t>截止时间前</w:t>
      </w:r>
      <w:r>
        <w:rPr>
          <w:rFonts w:hint="eastAsia" w:ascii="宋体" w:hAnsi="宋体" w:eastAsia="宋体" w:cs="宋体"/>
          <w:color w:val="auto"/>
          <w:sz w:val="24"/>
          <w:szCs w:val="24"/>
          <w:highlight w:val="none"/>
        </w:rPr>
        <w:t>，业绩认定日期以</w:t>
      </w:r>
      <w:r>
        <w:rPr>
          <w:rFonts w:hint="eastAsia" w:ascii="宋体" w:hAnsi="宋体" w:eastAsia="宋体" w:cs="宋体"/>
          <w:color w:val="auto"/>
          <w:sz w:val="24"/>
          <w:szCs w:val="24"/>
          <w:highlight w:val="none"/>
          <w:lang w:val="en-US" w:eastAsia="zh-CN"/>
        </w:rPr>
        <w:t>合同签订日期</w:t>
      </w:r>
      <w:r>
        <w:rPr>
          <w:rFonts w:hint="eastAsia" w:ascii="宋体" w:hAnsi="宋体" w:eastAsia="宋体" w:cs="宋体"/>
          <w:color w:val="auto"/>
          <w:sz w:val="24"/>
          <w:szCs w:val="24"/>
          <w:highlight w:val="none"/>
        </w:rPr>
        <w:t>为准。</w:t>
      </w:r>
    </w:p>
    <w:p w14:paraId="4FFA3CBA">
      <w:pPr>
        <w:spacing w:line="400" w:lineRule="exact"/>
        <w:ind w:left="360"/>
        <w:jc w:val="center"/>
        <w:rPr>
          <w:rFonts w:hint="eastAsia" w:ascii="宋体" w:hAnsi="宋体" w:eastAsia="宋体" w:cs="宋体"/>
          <w:color w:val="auto"/>
          <w:sz w:val="24"/>
          <w:szCs w:val="24"/>
          <w:highlight w:val="none"/>
        </w:rPr>
      </w:pPr>
    </w:p>
    <w:p w14:paraId="395A8D46">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394628C0">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授权人或被授权人（签字或盖章）</w:t>
      </w:r>
      <w:r>
        <w:rPr>
          <w:rFonts w:hint="eastAsia" w:ascii="宋体" w:hAnsi="宋体" w:eastAsia="宋体" w:cs="宋体"/>
          <w:bCs/>
          <w:color w:val="auto"/>
          <w:sz w:val="24"/>
          <w:szCs w:val="24"/>
          <w:highlight w:val="none"/>
        </w:rPr>
        <w:t>：</w:t>
      </w:r>
    </w:p>
    <w:p w14:paraId="6323D44F">
      <w:pPr>
        <w:adjustRightInd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0295F48">
      <w:pPr>
        <w:pStyle w:val="4"/>
        <w:numPr>
          <w:ilvl w:val="0"/>
          <w:numId w:val="0"/>
        </w:numPr>
        <w:spacing w:before="156" w:after="156" w:line="400" w:lineRule="exact"/>
        <w:jc w:val="center"/>
        <w:rPr>
          <w:rFonts w:hint="eastAsia" w:ascii="宋体" w:hAnsi="宋体" w:eastAsia="宋体" w:cs="宋体"/>
          <w:color w:val="auto"/>
          <w:sz w:val="24"/>
          <w:szCs w:val="24"/>
          <w:highlight w:val="none"/>
        </w:rPr>
      </w:pPr>
      <w:bookmarkStart w:id="145" w:name="_Toc217446090"/>
      <w:bookmarkStart w:id="146" w:name="_Toc217446091"/>
      <w:r>
        <w:rPr>
          <w:rFonts w:hint="eastAsia" w:ascii="宋体" w:hAnsi="宋体" w:eastAsia="宋体" w:cs="宋体"/>
          <w:bCs w:val="0"/>
          <w:color w:val="auto"/>
          <w:kern w:val="0"/>
          <w:sz w:val="24"/>
          <w:szCs w:val="24"/>
          <w:highlight w:val="none"/>
        </w:rPr>
        <w:br w:type="page"/>
      </w:r>
      <w:bookmarkEnd w:id="145"/>
      <w:r>
        <w:rPr>
          <w:rFonts w:hint="eastAsia" w:ascii="宋体" w:hAnsi="宋体" w:eastAsia="宋体" w:cs="宋体"/>
          <w:bCs w:val="0"/>
          <w:color w:val="auto"/>
          <w:kern w:val="0"/>
          <w:sz w:val="24"/>
          <w:szCs w:val="24"/>
          <w:highlight w:val="none"/>
          <w:lang w:val="en-US" w:eastAsia="zh-CN"/>
        </w:rPr>
        <w:t>六、</w:t>
      </w:r>
      <w:r>
        <w:rPr>
          <w:rFonts w:hint="eastAsia" w:ascii="宋体" w:hAnsi="宋体" w:eastAsia="宋体" w:cs="宋体"/>
          <w:color w:val="auto"/>
          <w:sz w:val="24"/>
          <w:szCs w:val="24"/>
          <w:highlight w:val="none"/>
        </w:rPr>
        <w:t>商务、技术需求偏离表</w:t>
      </w:r>
    </w:p>
    <w:p w14:paraId="47D04799">
      <w:pPr>
        <w:numPr>
          <w:ilvl w:val="0"/>
          <w:numId w:val="0"/>
        </w:numPr>
        <w:jc w:val="center"/>
        <w:rPr>
          <w:rFonts w:hint="eastAsia" w:ascii="宋体" w:hAnsi="宋体" w:eastAsia="宋体" w:cs="宋体"/>
          <w:b/>
          <w:bCs/>
          <w:color w:val="auto"/>
          <w:sz w:val="24"/>
          <w:szCs w:val="24"/>
          <w:highlight w:val="none"/>
        </w:rPr>
      </w:pPr>
    </w:p>
    <w:p w14:paraId="53BB84A2">
      <w:pPr>
        <w:numPr>
          <w:ilvl w:val="0"/>
          <w:numId w:val="0"/>
        </w:numPr>
        <w:jc w:val="center"/>
        <w:rPr>
          <w:rFonts w:hint="eastAsia" w:ascii="宋体" w:hAnsi="宋体" w:eastAsia="宋体" w:cs="宋体"/>
          <w:b/>
          <w:bCs/>
          <w:color w:val="auto"/>
          <w:sz w:val="24"/>
          <w:szCs w:val="24"/>
          <w:highlight w:val="none"/>
        </w:rPr>
      </w:pPr>
    </w:p>
    <w:p w14:paraId="4E4D7CCE">
      <w:pPr>
        <w:numPr>
          <w:ilvl w:val="0"/>
          <w:numId w:val="0"/>
        </w:numPr>
        <w:jc w:val="center"/>
        <w:rPr>
          <w:rFonts w:hint="default" w:eastAsia="宋体"/>
          <w:b/>
          <w:bCs/>
          <w:color w:val="auto"/>
          <w:highlight w:val="none"/>
          <w:lang w:val="en-US" w:eastAsia="zh-CN"/>
        </w:rPr>
      </w:pP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val="en-US" w:eastAsia="zh-CN"/>
        </w:rPr>
        <w:t>条款偏离表</w:t>
      </w:r>
    </w:p>
    <w:tbl>
      <w:tblPr>
        <w:tblStyle w:val="3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3478C09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48988D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1293F98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00E16CE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E1B77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51D48E4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193D179A">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193DAA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2B1C70D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7E90C13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231487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70AB9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439B4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71A9555E">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02445F0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893DA5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DE72D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F5F387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759AA11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5B68BF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7A0645E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3B89D29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来源证明或合法性证明；</w:t>
            </w:r>
          </w:p>
        </w:tc>
        <w:tc>
          <w:tcPr>
            <w:tcW w:w="1008" w:type="dxa"/>
            <w:vAlign w:val="center"/>
          </w:tcPr>
          <w:p w14:paraId="7285D10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720C8D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6F2A3A0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6D5F965B">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6E1DB59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BCC529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76A47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05C12F2C">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1F18FD4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F4FA6D4">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811170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1057481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5C59898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622B0B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132D7B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29FC2C7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7D0E90A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7BB2387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D007F6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2C087974">
            <w:pPr>
              <w:pStyle w:val="22"/>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0E8C17AD">
            <w:pPr>
              <w:pStyle w:val="6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485D6C5A">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62AF5F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62A484F5">
            <w:pPr>
              <w:pStyle w:val="22"/>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0B866BE8">
            <w:pPr>
              <w:pStyle w:val="6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5BC43601">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21AEB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GB"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73BDF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GB"/>
        </w:rPr>
        <w:t>本表内容不得擅自修改。</w:t>
      </w:r>
    </w:p>
    <w:p w14:paraId="155D21F3">
      <w:pPr>
        <w:rPr>
          <w:rFonts w:hint="eastAsia" w:ascii="宋体" w:hAnsi="宋体" w:eastAsia="宋体" w:cs="宋体"/>
          <w:color w:val="auto"/>
          <w:sz w:val="24"/>
          <w:szCs w:val="24"/>
          <w:highlight w:val="none"/>
        </w:rPr>
      </w:pPr>
    </w:p>
    <w:p w14:paraId="16E93BF0">
      <w:pPr>
        <w:pStyle w:val="16"/>
        <w:spacing w:line="360" w:lineRule="auto"/>
        <w:ind w:left="0" w:lef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投标人名称（盖章）：</w:t>
      </w:r>
    </w:p>
    <w:p w14:paraId="03B3F3DC">
      <w:pPr>
        <w:pStyle w:val="16"/>
        <w:spacing w:line="360" w:lineRule="auto"/>
        <w:ind w:left="0" w:lef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授权人和被授权人（签字或盖章）：</w:t>
      </w:r>
    </w:p>
    <w:p w14:paraId="16C878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5CF358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CC77326">
      <w:pPr>
        <w:pStyle w:val="31"/>
        <w:rPr>
          <w:rFonts w:hint="eastAsia"/>
          <w:color w:val="auto"/>
          <w:highlight w:val="none"/>
        </w:rPr>
      </w:pPr>
    </w:p>
    <w:p w14:paraId="12C6DC29">
      <w:pPr>
        <w:pStyle w:val="31"/>
        <w:rPr>
          <w:rFonts w:hint="eastAsia" w:ascii="宋体" w:hAnsi="宋体" w:eastAsia="宋体" w:cs="宋体"/>
          <w:color w:val="auto"/>
          <w:sz w:val="24"/>
          <w:szCs w:val="24"/>
          <w:highlight w:val="none"/>
        </w:rPr>
      </w:pPr>
    </w:p>
    <w:p w14:paraId="0856CE73">
      <w:pPr>
        <w:pStyle w:val="31"/>
        <w:rPr>
          <w:rFonts w:hint="eastAsia" w:ascii="宋体" w:hAnsi="宋体" w:eastAsia="宋体" w:cs="宋体"/>
          <w:color w:val="auto"/>
          <w:sz w:val="24"/>
          <w:szCs w:val="24"/>
          <w:highlight w:val="none"/>
        </w:rPr>
      </w:pPr>
    </w:p>
    <w:p w14:paraId="61E0400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技术需求偏离表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7FB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764F8002">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062" w:type="dxa"/>
            <w:noWrap w:val="0"/>
            <w:vAlign w:val="center"/>
          </w:tcPr>
          <w:p w14:paraId="1A7CB9A1">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货物</w:t>
            </w:r>
            <w:r>
              <w:rPr>
                <w:rFonts w:hint="eastAsia" w:ascii="宋体" w:hAnsi="宋体" w:eastAsia="宋体" w:cs="宋体"/>
                <w:b w:val="0"/>
                <w:bCs/>
                <w:color w:val="auto"/>
                <w:sz w:val="24"/>
                <w:highlight w:val="none"/>
              </w:rPr>
              <w:t>名称</w:t>
            </w:r>
          </w:p>
        </w:tc>
        <w:tc>
          <w:tcPr>
            <w:tcW w:w="1229" w:type="dxa"/>
            <w:noWrap w:val="0"/>
            <w:vAlign w:val="center"/>
          </w:tcPr>
          <w:p w14:paraId="5501B3C5">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条款号</w:t>
            </w:r>
          </w:p>
        </w:tc>
        <w:tc>
          <w:tcPr>
            <w:tcW w:w="1575" w:type="dxa"/>
            <w:noWrap w:val="0"/>
            <w:vAlign w:val="center"/>
          </w:tcPr>
          <w:p w14:paraId="477A4BD1">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招标</w:t>
            </w:r>
            <w:r>
              <w:rPr>
                <w:rFonts w:hint="eastAsia" w:ascii="宋体" w:hAnsi="宋体" w:eastAsia="宋体" w:cs="宋体"/>
                <w:b w:val="0"/>
                <w:bCs/>
                <w:color w:val="auto"/>
                <w:sz w:val="24"/>
                <w:highlight w:val="none"/>
                <w:lang w:eastAsia="zh-CN"/>
              </w:rPr>
              <w:t>文件</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要求</w:t>
            </w:r>
          </w:p>
        </w:tc>
        <w:tc>
          <w:tcPr>
            <w:tcW w:w="1500" w:type="dxa"/>
            <w:noWrap w:val="0"/>
            <w:vAlign w:val="center"/>
          </w:tcPr>
          <w:p w14:paraId="26328FC6">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响应</w:t>
            </w:r>
          </w:p>
        </w:tc>
        <w:tc>
          <w:tcPr>
            <w:tcW w:w="1055" w:type="dxa"/>
            <w:noWrap w:val="0"/>
            <w:vAlign w:val="center"/>
          </w:tcPr>
          <w:p w14:paraId="5396E32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偏离</w:t>
            </w:r>
          </w:p>
        </w:tc>
        <w:tc>
          <w:tcPr>
            <w:tcW w:w="1036" w:type="dxa"/>
            <w:noWrap w:val="0"/>
            <w:vAlign w:val="center"/>
          </w:tcPr>
          <w:p w14:paraId="72B17C51">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w:t>
            </w:r>
          </w:p>
        </w:tc>
      </w:tr>
      <w:tr w14:paraId="1BA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21D927AF">
            <w:pPr>
              <w:rPr>
                <w:rFonts w:hint="eastAsia" w:ascii="宋体" w:hAnsi="宋体" w:eastAsia="宋体" w:cs="宋体"/>
                <w:b w:val="0"/>
                <w:bCs/>
                <w:color w:val="auto"/>
                <w:sz w:val="24"/>
                <w:highlight w:val="none"/>
              </w:rPr>
            </w:pPr>
          </w:p>
        </w:tc>
        <w:tc>
          <w:tcPr>
            <w:tcW w:w="1062" w:type="dxa"/>
            <w:noWrap w:val="0"/>
            <w:vAlign w:val="top"/>
          </w:tcPr>
          <w:p w14:paraId="7DF8B969">
            <w:pPr>
              <w:rPr>
                <w:rFonts w:hint="eastAsia" w:ascii="宋体" w:hAnsi="宋体" w:eastAsia="宋体" w:cs="宋体"/>
                <w:b w:val="0"/>
                <w:bCs/>
                <w:color w:val="auto"/>
                <w:sz w:val="24"/>
                <w:highlight w:val="none"/>
              </w:rPr>
            </w:pPr>
          </w:p>
        </w:tc>
        <w:tc>
          <w:tcPr>
            <w:tcW w:w="1229" w:type="dxa"/>
            <w:noWrap w:val="0"/>
            <w:vAlign w:val="top"/>
          </w:tcPr>
          <w:p w14:paraId="154CE748">
            <w:pPr>
              <w:rPr>
                <w:rFonts w:hint="eastAsia" w:ascii="宋体" w:hAnsi="宋体" w:eastAsia="宋体" w:cs="宋体"/>
                <w:b w:val="0"/>
                <w:bCs/>
                <w:color w:val="auto"/>
                <w:sz w:val="24"/>
                <w:highlight w:val="none"/>
              </w:rPr>
            </w:pPr>
          </w:p>
        </w:tc>
        <w:tc>
          <w:tcPr>
            <w:tcW w:w="1575" w:type="dxa"/>
            <w:noWrap w:val="0"/>
            <w:vAlign w:val="top"/>
          </w:tcPr>
          <w:p w14:paraId="49D8D9EF">
            <w:pPr>
              <w:rPr>
                <w:rFonts w:hint="eastAsia" w:ascii="宋体" w:hAnsi="宋体" w:eastAsia="宋体" w:cs="宋体"/>
                <w:b w:val="0"/>
                <w:bCs/>
                <w:color w:val="auto"/>
                <w:sz w:val="24"/>
                <w:highlight w:val="none"/>
              </w:rPr>
            </w:pPr>
          </w:p>
        </w:tc>
        <w:tc>
          <w:tcPr>
            <w:tcW w:w="1500" w:type="dxa"/>
            <w:noWrap w:val="0"/>
            <w:vAlign w:val="top"/>
          </w:tcPr>
          <w:p w14:paraId="2DB1CB95">
            <w:pPr>
              <w:rPr>
                <w:rFonts w:hint="eastAsia" w:ascii="宋体" w:hAnsi="宋体" w:eastAsia="宋体" w:cs="宋体"/>
                <w:b w:val="0"/>
                <w:bCs/>
                <w:color w:val="auto"/>
                <w:sz w:val="24"/>
                <w:highlight w:val="none"/>
              </w:rPr>
            </w:pPr>
          </w:p>
        </w:tc>
        <w:tc>
          <w:tcPr>
            <w:tcW w:w="1055" w:type="dxa"/>
            <w:noWrap w:val="0"/>
            <w:vAlign w:val="top"/>
          </w:tcPr>
          <w:p w14:paraId="25E5C113">
            <w:pPr>
              <w:rPr>
                <w:rFonts w:hint="eastAsia" w:ascii="宋体" w:hAnsi="宋体" w:eastAsia="宋体" w:cs="宋体"/>
                <w:b w:val="0"/>
                <w:bCs/>
                <w:color w:val="auto"/>
                <w:sz w:val="24"/>
                <w:highlight w:val="none"/>
              </w:rPr>
            </w:pPr>
          </w:p>
        </w:tc>
        <w:tc>
          <w:tcPr>
            <w:tcW w:w="1036" w:type="dxa"/>
            <w:noWrap w:val="0"/>
            <w:vAlign w:val="top"/>
          </w:tcPr>
          <w:p w14:paraId="629D075E">
            <w:pPr>
              <w:rPr>
                <w:rFonts w:hint="eastAsia" w:ascii="宋体" w:hAnsi="宋体" w:eastAsia="宋体" w:cs="宋体"/>
                <w:b w:val="0"/>
                <w:bCs/>
                <w:color w:val="auto"/>
                <w:sz w:val="24"/>
                <w:highlight w:val="none"/>
              </w:rPr>
            </w:pPr>
          </w:p>
        </w:tc>
      </w:tr>
      <w:tr w14:paraId="54C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564C24CC">
            <w:pPr>
              <w:rPr>
                <w:rFonts w:hint="eastAsia" w:ascii="宋体" w:hAnsi="宋体" w:eastAsia="宋体" w:cs="宋体"/>
                <w:b w:val="0"/>
                <w:bCs/>
                <w:color w:val="auto"/>
                <w:sz w:val="24"/>
                <w:highlight w:val="none"/>
              </w:rPr>
            </w:pPr>
          </w:p>
        </w:tc>
        <w:tc>
          <w:tcPr>
            <w:tcW w:w="1062" w:type="dxa"/>
            <w:noWrap w:val="0"/>
            <w:vAlign w:val="top"/>
          </w:tcPr>
          <w:p w14:paraId="27E3EE87">
            <w:pPr>
              <w:rPr>
                <w:rFonts w:hint="eastAsia" w:ascii="宋体" w:hAnsi="宋体" w:eastAsia="宋体" w:cs="宋体"/>
                <w:b w:val="0"/>
                <w:bCs/>
                <w:color w:val="auto"/>
                <w:sz w:val="24"/>
                <w:highlight w:val="none"/>
              </w:rPr>
            </w:pPr>
          </w:p>
        </w:tc>
        <w:tc>
          <w:tcPr>
            <w:tcW w:w="1229" w:type="dxa"/>
            <w:noWrap w:val="0"/>
            <w:vAlign w:val="top"/>
          </w:tcPr>
          <w:p w14:paraId="2B3541BD">
            <w:pPr>
              <w:rPr>
                <w:rFonts w:hint="eastAsia" w:ascii="宋体" w:hAnsi="宋体" w:eastAsia="宋体" w:cs="宋体"/>
                <w:b w:val="0"/>
                <w:bCs/>
                <w:color w:val="auto"/>
                <w:sz w:val="24"/>
                <w:highlight w:val="none"/>
              </w:rPr>
            </w:pPr>
          </w:p>
        </w:tc>
        <w:tc>
          <w:tcPr>
            <w:tcW w:w="1575" w:type="dxa"/>
            <w:noWrap w:val="0"/>
            <w:vAlign w:val="top"/>
          </w:tcPr>
          <w:p w14:paraId="48D3EC2B">
            <w:pPr>
              <w:rPr>
                <w:rFonts w:hint="eastAsia" w:ascii="宋体" w:hAnsi="宋体" w:eastAsia="宋体" w:cs="宋体"/>
                <w:b w:val="0"/>
                <w:bCs/>
                <w:color w:val="auto"/>
                <w:sz w:val="24"/>
                <w:highlight w:val="none"/>
              </w:rPr>
            </w:pPr>
          </w:p>
        </w:tc>
        <w:tc>
          <w:tcPr>
            <w:tcW w:w="1500" w:type="dxa"/>
            <w:noWrap w:val="0"/>
            <w:vAlign w:val="top"/>
          </w:tcPr>
          <w:p w14:paraId="5D284AB9">
            <w:pPr>
              <w:rPr>
                <w:rFonts w:hint="eastAsia" w:ascii="宋体" w:hAnsi="宋体" w:eastAsia="宋体" w:cs="宋体"/>
                <w:b w:val="0"/>
                <w:bCs/>
                <w:color w:val="auto"/>
                <w:sz w:val="24"/>
                <w:highlight w:val="none"/>
              </w:rPr>
            </w:pPr>
          </w:p>
        </w:tc>
        <w:tc>
          <w:tcPr>
            <w:tcW w:w="1055" w:type="dxa"/>
            <w:noWrap w:val="0"/>
            <w:vAlign w:val="top"/>
          </w:tcPr>
          <w:p w14:paraId="01DE456E">
            <w:pPr>
              <w:rPr>
                <w:rFonts w:hint="eastAsia" w:ascii="宋体" w:hAnsi="宋体" w:eastAsia="宋体" w:cs="宋体"/>
                <w:b w:val="0"/>
                <w:bCs/>
                <w:color w:val="auto"/>
                <w:sz w:val="24"/>
                <w:highlight w:val="none"/>
              </w:rPr>
            </w:pPr>
          </w:p>
        </w:tc>
        <w:tc>
          <w:tcPr>
            <w:tcW w:w="1036" w:type="dxa"/>
            <w:noWrap w:val="0"/>
            <w:vAlign w:val="top"/>
          </w:tcPr>
          <w:p w14:paraId="46D9D730">
            <w:pPr>
              <w:rPr>
                <w:rFonts w:hint="eastAsia" w:ascii="宋体" w:hAnsi="宋体" w:eastAsia="宋体" w:cs="宋体"/>
                <w:b w:val="0"/>
                <w:bCs/>
                <w:color w:val="auto"/>
                <w:sz w:val="24"/>
                <w:highlight w:val="none"/>
              </w:rPr>
            </w:pPr>
          </w:p>
        </w:tc>
      </w:tr>
      <w:tr w14:paraId="328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8865808">
            <w:pPr>
              <w:rPr>
                <w:rFonts w:hint="eastAsia" w:ascii="宋体" w:hAnsi="宋体" w:eastAsia="宋体" w:cs="宋体"/>
                <w:b w:val="0"/>
                <w:bCs/>
                <w:color w:val="auto"/>
                <w:sz w:val="24"/>
                <w:highlight w:val="none"/>
              </w:rPr>
            </w:pPr>
          </w:p>
        </w:tc>
        <w:tc>
          <w:tcPr>
            <w:tcW w:w="1062" w:type="dxa"/>
            <w:noWrap w:val="0"/>
            <w:vAlign w:val="top"/>
          </w:tcPr>
          <w:p w14:paraId="77ACF169">
            <w:pPr>
              <w:rPr>
                <w:rFonts w:hint="eastAsia" w:ascii="宋体" w:hAnsi="宋体" w:eastAsia="宋体" w:cs="宋体"/>
                <w:b w:val="0"/>
                <w:bCs/>
                <w:color w:val="auto"/>
                <w:sz w:val="24"/>
                <w:highlight w:val="none"/>
              </w:rPr>
            </w:pPr>
          </w:p>
        </w:tc>
        <w:tc>
          <w:tcPr>
            <w:tcW w:w="1229" w:type="dxa"/>
            <w:noWrap w:val="0"/>
            <w:vAlign w:val="top"/>
          </w:tcPr>
          <w:p w14:paraId="13983A93">
            <w:pPr>
              <w:rPr>
                <w:rFonts w:hint="eastAsia" w:ascii="宋体" w:hAnsi="宋体" w:eastAsia="宋体" w:cs="宋体"/>
                <w:b w:val="0"/>
                <w:bCs/>
                <w:color w:val="auto"/>
                <w:sz w:val="24"/>
                <w:highlight w:val="none"/>
              </w:rPr>
            </w:pPr>
          </w:p>
        </w:tc>
        <w:tc>
          <w:tcPr>
            <w:tcW w:w="1575" w:type="dxa"/>
            <w:noWrap w:val="0"/>
            <w:vAlign w:val="top"/>
          </w:tcPr>
          <w:p w14:paraId="489E1030">
            <w:pPr>
              <w:rPr>
                <w:rFonts w:hint="eastAsia" w:ascii="宋体" w:hAnsi="宋体" w:eastAsia="宋体" w:cs="宋体"/>
                <w:b w:val="0"/>
                <w:bCs/>
                <w:color w:val="auto"/>
                <w:sz w:val="24"/>
                <w:highlight w:val="none"/>
              </w:rPr>
            </w:pPr>
          </w:p>
        </w:tc>
        <w:tc>
          <w:tcPr>
            <w:tcW w:w="1500" w:type="dxa"/>
            <w:noWrap w:val="0"/>
            <w:vAlign w:val="top"/>
          </w:tcPr>
          <w:p w14:paraId="1BCCB873">
            <w:pPr>
              <w:rPr>
                <w:rFonts w:hint="eastAsia" w:ascii="宋体" w:hAnsi="宋体" w:eastAsia="宋体" w:cs="宋体"/>
                <w:b w:val="0"/>
                <w:bCs/>
                <w:color w:val="auto"/>
                <w:sz w:val="24"/>
                <w:highlight w:val="none"/>
              </w:rPr>
            </w:pPr>
          </w:p>
        </w:tc>
        <w:tc>
          <w:tcPr>
            <w:tcW w:w="1055" w:type="dxa"/>
            <w:noWrap w:val="0"/>
            <w:vAlign w:val="top"/>
          </w:tcPr>
          <w:p w14:paraId="49798356">
            <w:pPr>
              <w:rPr>
                <w:rFonts w:hint="eastAsia" w:ascii="宋体" w:hAnsi="宋体" w:eastAsia="宋体" w:cs="宋体"/>
                <w:b w:val="0"/>
                <w:bCs/>
                <w:color w:val="auto"/>
                <w:sz w:val="24"/>
                <w:highlight w:val="none"/>
              </w:rPr>
            </w:pPr>
          </w:p>
        </w:tc>
        <w:tc>
          <w:tcPr>
            <w:tcW w:w="1036" w:type="dxa"/>
            <w:noWrap w:val="0"/>
            <w:vAlign w:val="top"/>
          </w:tcPr>
          <w:p w14:paraId="131AE486">
            <w:pPr>
              <w:rPr>
                <w:rFonts w:hint="eastAsia" w:ascii="宋体" w:hAnsi="宋体" w:eastAsia="宋体" w:cs="宋体"/>
                <w:b w:val="0"/>
                <w:bCs/>
                <w:color w:val="auto"/>
                <w:sz w:val="24"/>
                <w:highlight w:val="none"/>
              </w:rPr>
            </w:pPr>
          </w:p>
        </w:tc>
      </w:tr>
      <w:tr w14:paraId="384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1E550FA">
            <w:pPr>
              <w:rPr>
                <w:rFonts w:hint="eastAsia" w:ascii="宋体" w:hAnsi="宋体" w:eastAsia="宋体" w:cs="宋体"/>
                <w:b w:val="0"/>
                <w:bCs/>
                <w:color w:val="auto"/>
                <w:sz w:val="24"/>
                <w:highlight w:val="none"/>
              </w:rPr>
            </w:pPr>
          </w:p>
        </w:tc>
        <w:tc>
          <w:tcPr>
            <w:tcW w:w="1062" w:type="dxa"/>
            <w:noWrap w:val="0"/>
            <w:vAlign w:val="top"/>
          </w:tcPr>
          <w:p w14:paraId="73DFB33F">
            <w:pPr>
              <w:rPr>
                <w:rFonts w:hint="eastAsia" w:ascii="宋体" w:hAnsi="宋体" w:eastAsia="宋体" w:cs="宋体"/>
                <w:b w:val="0"/>
                <w:bCs/>
                <w:color w:val="auto"/>
                <w:sz w:val="24"/>
                <w:highlight w:val="none"/>
              </w:rPr>
            </w:pPr>
          </w:p>
        </w:tc>
        <w:tc>
          <w:tcPr>
            <w:tcW w:w="1229" w:type="dxa"/>
            <w:noWrap w:val="0"/>
            <w:vAlign w:val="top"/>
          </w:tcPr>
          <w:p w14:paraId="03AD08E1">
            <w:pPr>
              <w:rPr>
                <w:rFonts w:hint="eastAsia" w:ascii="宋体" w:hAnsi="宋体" w:eastAsia="宋体" w:cs="宋体"/>
                <w:b w:val="0"/>
                <w:bCs/>
                <w:color w:val="auto"/>
                <w:sz w:val="24"/>
                <w:highlight w:val="none"/>
              </w:rPr>
            </w:pPr>
          </w:p>
        </w:tc>
        <w:tc>
          <w:tcPr>
            <w:tcW w:w="1575" w:type="dxa"/>
            <w:noWrap w:val="0"/>
            <w:vAlign w:val="top"/>
          </w:tcPr>
          <w:p w14:paraId="037358F4">
            <w:pPr>
              <w:rPr>
                <w:rFonts w:hint="eastAsia" w:ascii="宋体" w:hAnsi="宋体" w:eastAsia="宋体" w:cs="宋体"/>
                <w:b w:val="0"/>
                <w:bCs/>
                <w:color w:val="auto"/>
                <w:sz w:val="24"/>
                <w:highlight w:val="none"/>
              </w:rPr>
            </w:pPr>
          </w:p>
        </w:tc>
        <w:tc>
          <w:tcPr>
            <w:tcW w:w="1500" w:type="dxa"/>
            <w:noWrap w:val="0"/>
            <w:vAlign w:val="top"/>
          </w:tcPr>
          <w:p w14:paraId="274DA76C">
            <w:pPr>
              <w:rPr>
                <w:rFonts w:hint="eastAsia" w:ascii="宋体" w:hAnsi="宋体" w:eastAsia="宋体" w:cs="宋体"/>
                <w:b w:val="0"/>
                <w:bCs/>
                <w:color w:val="auto"/>
                <w:sz w:val="24"/>
                <w:highlight w:val="none"/>
              </w:rPr>
            </w:pPr>
          </w:p>
        </w:tc>
        <w:tc>
          <w:tcPr>
            <w:tcW w:w="1055" w:type="dxa"/>
            <w:noWrap w:val="0"/>
            <w:vAlign w:val="top"/>
          </w:tcPr>
          <w:p w14:paraId="0853239C">
            <w:pPr>
              <w:rPr>
                <w:rFonts w:hint="eastAsia" w:ascii="宋体" w:hAnsi="宋体" w:eastAsia="宋体" w:cs="宋体"/>
                <w:b w:val="0"/>
                <w:bCs/>
                <w:color w:val="auto"/>
                <w:sz w:val="24"/>
                <w:highlight w:val="none"/>
              </w:rPr>
            </w:pPr>
          </w:p>
        </w:tc>
        <w:tc>
          <w:tcPr>
            <w:tcW w:w="1036" w:type="dxa"/>
            <w:noWrap w:val="0"/>
            <w:vAlign w:val="top"/>
          </w:tcPr>
          <w:p w14:paraId="7B788610">
            <w:pPr>
              <w:rPr>
                <w:rFonts w:hint="eastAsia" w:ascii="宋体" w:hAnsi="宋体" w:eastAsia="宋体" w:cs="宋体"/>
                <w:b w:val="0"/>
                <w:bCs/>
                <w:color w:val="auto"/>
                <w:sz w:val="24"/>
                <w:highlight w:val="none"/>
              </w:rPr>
            </w:pPr>
          </w:p>
        </w:tc>
      </w:tr>
      <w:tr w14:paraId="3F4B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0934C169">
            <w:pPr>
              <w:rPr>
                <w:rFonts w:hint="eastAsia" w:ascii="宋体" w:hAnsi="宋体" w:eastAsia="宋体" w:cs="宋体"/>
                <w:b w:val="0"/>
                <w:bCs/>
                <w:color w:val="auto"/>
                <w:sz w:val="24"/>
                <w:highlight w:val="none"/>
              </w:rPr>
            </w:pPr>
          </w:p>
        </w:tc>
        <w:tc>
          <w:tcPr>
            <w:tcW w:w="1062" w:type="dxa"/>
            <w:noWrap w:val="0"/>
            <w:vAlign w:val="top"/>
          </w:tcPr>
          <w:p w14:paraId="04914985">
            <w:pPr>
              <w:rPr>
                <w:rFonts w:hint="eastAsia" w:ascii="宋体" w:hAnsi="宋体" w:eastAsia="宋体" w:cs="宋体"/>
                <w:b w:val="0"/>
                <w:bCs/>
                <w:color w:val="auto"/>
                <w:sz w:val="24"/>
                <w:highlight w:val="none"/>
              </w:rPr>
            </w:pPr>
          </w:p>
        </w:tc>
        <w:tc>
          <w:tcPr>
            <w:tcW w:w="1229" w:type="dxa"/>
            <w:noWrap w:val="0"/>
            <w:vAlign w:val="top"/>
          </w:tcPr>
          <w:p w14:paraId="7B63DFAA">
            <w:pPr>
              <w:rPr>
                <w:rFonts w:hint="eastAsia" w:ascii="宋体" w:hAnsi="宋体" w:eastAsia="宋体" w:cs="宋体"/>
                <w:b w:val="0"/>
                <w:bCs/>
                <w:color w:val="auto"/>
                <w:sz w:val="24"/>
                <w:highlight w:val="none"/>
              </w:rPr>
            </w:pPr>
          </w:p>
        </w:tc>
        <w:tc>
          <w:tcPr>
            <w:tcW w:w="1575" w:type="dxa"/>
            <w:noWrap w:val="0"/>
            <w:vAlign w:val="top"/>
          </w:tcPr>
          <w:p w14:paraId="62156708">
            <w:pPr>
              <w:rPr>
                <w:rFonts w:hint="eastAsia" w:ascii="宋体" w:hAnsi="宋体" w:eastAsia="宋体" w:cs="宋体"/>
                <w:b w:val="0"/>
                <w:bCs/>
                <w:color w:val="auto"/>
                <w:sz w:val="24"/>
                <w:highlight w:val="none"/>
              </w:rPr>
            </w:pPr>
          </w:p>
        </w:tc>
        <w:tc>
          <w:tcPr>
            <w:tcW w:w="1500" w:type="dxa"/>
            <w:noWrap w:val="0"/>
            <w:vAlign w:val="top"/>
          </w:tcPr>
          <w:p w14:paraId="5C7EC897">
            <w:pPr>
              <w:rPr>
                <w:rFonts w:hint="eastAsia" w:ascii="宋体" w:hAnsi="宋体" w:eastAsia="宋体" w:cs="宋体"/>
                <w:b w:val="0"/>
                <w:bCs/>
                <w:color w:val="auto"/>
                <w:sz w:val="24"/>
                <w:highlight w:val="none"/>
              </w:rPr>
            </w:pPr>
          </w:p>
        </w:tc>
        <w:tc>
          <w:tcPr>
            <w:tcW w:w="1055" w:type="dxa"/>
            <w:noWrap w:val="0"/>
            <w:vAlign w:val="top"/>
          </w:tcPr>
          <w:p w14:paraId="7D552527">
            <w:pPr>
              <w:rPr>
                <w:rFonts w:hint="eastAsia" w:ascii="宋体" w:hAnsi="宋体" w:eastAsia="宋体" w:cs="宋体"/>
                <w:b w:val="0"/>
                <w:bCs/>
                <w:color w:val="auto"/>
                <w:sz w:val="24"/>
                <w:highlight w:val="none"/>
              </w:rPr>
            </w:pPr>
          </w:p>
        </w:tc>
        <w:tc>
          <w:tcPr>
            <w:tcW w:w="1036" w:type="dxa"/>
            <w:noWrap w:val="0"/>
            <w:vAlign w:val="top"/>
          </w:tcPr>
          <w:p w14:paraId="339B290F">
            <w:pPr>
              <w:rPr>
                <w:rFonts w:hint="eastAsia" w:ascii="宋体" w:hAnsi="宋体" w:eastAsia="宋体" w:cs="宋体"/>
                <w:b w:val="0"/>
                <w:bCs/>
                <w:color w:val="auto"/>
                <w:sz w:val="24"/>
                <w:highlight w:val="none"/>
              </w:rPr>
            </w:pPr>
          </w:p>
        </w:tc>
      </w:tr>
    </w:tbl>
    <w:p w14:paraId="425FED59">
      <w:pPr>
        <w:spacing w:line="44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p w14:paraId="1597E9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投标人</w:t>
      </w:r>
      <w:r>
        <w:rPr>
          <w:rFonts w:hint="eastAsia" w:asciiTheme="minorEastAsia" w:hAnsiTheme="minorEastAsia" w:eastAsiaTheme="minorEastAsia" w:cstheme="minorEastAsia"/>
          <w:b w:val="0"/>
          <w:bCs/>
          <w:color w:val="auto"/>
          <w:sz w:val="24"/>
          <w:highlight w:val="none"/>
        </w:rPr>
        <w:t>应根据其提供的</w:t>
      </w:r>
      <w:r>
        <w:rPr>
          <w:rFonts w:hint="eastAsia" w:asciiTheme="minorEastAsia" w:hAnsiTheme="minorEastAsia" w:eastAsiaTheme="minorEastAsia" w:cstheme="minorEastAsia"/>
          <w:b w:val="0"/>
          <w:bCs/>
          <w:color w:val="auto"/>
          <w:sz w:val="24"/>
          <w:highlight w:val="none"/>
          <w:lang w:val="en-US" w:eastAsia="zh-CN"/>
        </w:rPr>
        <w:t>货物</w:t>
      </w:r>
      <w:r>
        <w:rPr>
          <w:rFonts w:hint="eastAsia" w:asciiTheme="minorEastAsia" w:hAnsiTheme="minorEastAsia" w:eastAsiaTheme="minorEastAsia" w:cstheme="minorEastAsia"/>
          <w:b w:val="0"/>
          <w:bCs/>
          <w:color w:val="auto"/>
          <w:sz w:val="24"/>
          <w:highlight w:val="none"/>
        </w:rPr>
        <w:t>，对照</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”中的条款号逐项填写，“</w:t>
      </w:r>
      <w:r>
        <w:rPr>
          <w:rFonts w:hint="eastAsia" w:asciiTheme="minorEastAsia" w:hAnsiTheme="minorEastAsia" w:eastAsiaTheme="minorEastAsia" w:cstheme="minorEastAsia"/>
          <w:b w:val="0"/>
          <w:bCs/>
          <w:color w:val="auto"/>
          <w:sz w:val="24"/>
          <w:highlight w:val="none"/>
          <w:lang w:eastAsia="zh-CN"/>
        </w:rPr>
        <w:t>投标文件</w:t>
      </w:r>
      <w:r>
        <w:rPr>
          <w:rFonts w:hint="eastAsia" w:asciiTheme="minorEastAsia" w:hAnsiTheme="minorEastAsia" w:eastAsiaTheme="minorEastAsia" w:cstheme="minorEastAsia"/>
          <w:b w:val="0"/>
          <w:bCs/>
          <w:color w:val="auto"/>
          <w:sz w:val="24"/>
          <w:highlight w:val="none"/>
        </w:rPr>
        <w:t>的</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”一栏应如实反映响应</w:t>
      </w:r>
      <w:r>
        <w:rPr>
          <w:rFonts w:hint="eastAsia" w:asciiTheme="minorEastAsia" w:hAnsiTheme="minorEastAsia" w:eastAsiaTheme="minorEastAsia" w:cstheme="minorEastAsia"/>
          <w:b w:val="0"/>
          <w:bCs/>
          <w:color w:val="auto"/>
          <w:sz w:val="24"/>
          <w:highlight w:val="none"/>
          <w:lang w:val="en-US" w:eastAsia="zh-CN"/>
        </w:rPr>
        <w:t>情况</w:t>
      </w:r>
      <w:r>
        <w:rPr>
          <w:rFonts w:hint="eastAsia" w:asciiTheme="minorEastAsia" w:hAnsiTheme="minorEastAsia" w:eastAsiaTheme="minorEastAsia" w:cstheme="minorEastAsia"/>
          <w:b w:val="0"/>
          <w:bCs/>
          <w:color w:val="auto"/>
          <w:sz w:val="24"/>
          <w:highlight w:val="none"/>
        </w:rPr>
        <w:t>，不得复制</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内容，不得虚假响应，否则将视为未实质性响应</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要求，</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无效</w:t>
      </w:r>
      <w:r>
        <w:rPr>
          <w:rFonts w:hint="eastAsia" w:asciiTheme="minorEastAsia" w:hAnsiTheme="minorEastAsia" w:eastAsiaTheme="minorEastAsia" w:cstheme="minorEastAsia"/>
          <w:b w:val="0"/>
          <w:bCs/>
          <w:color w:val="auto"/>
          <w:sz w:val="24"/>
          <w:highlight w:val="none"/>
          <w:lang w:eastAsia="zh-CN"/>
        </w:rPr>
        <w:t>。</w:t>
      </w:r>
    </w:p>
    <w:p w14:paraId="5E04D5B0">
      <w:pPr>
        <w:pStyle w:val="3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每项参数要求投标人须提供与采购需求相应的证明材料，如投标人承诺函、产品检测报告、测试报告、产品合格证、鉴定证书、制造商产品彩页、制造商官网截图、制造商产品说明书或相应实物照片等。</w:t>
      </w:r>
    </w:p>
    <w:p w14:paraId="4EA5EB22">
      <w:pPr>
        <w:spacing w:line="360" w:lineRule="atLeast"/>
        <w:rPr>
          <w:rFonts w:hint="eastAsia" w:ascii="宋体" w:hAnsi="宋体" w:eastAsia="宋体" w:cs="宋体"/>
          <w:color w:val="auto"/>
          <w:sz w:val="24"/>
          <w:szCs w:val="24"/>
          <w:highlight w:val="none"/>
        </w:rPr>
      </w:pPr>
    </w:p>
    <w:p w14:paraId="040A7D7C">
      <w:pPr>
        <w:pStyle w:val="16"/>
        <w:spacing w:line="360" w:lineRule="atLeast"/>
        <w:ind w:left="0" w:left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投标人名称（盖章）：</w:t>
      </w:r>
    </w:p>
    <w:p w14:paraId="26B3A507">
      <w:pPr>
        <w:pStyle w:val="16"/>
        <w:spacing w:line="360" w:lineRule="atLeast"/>
        <w:ind w:left="0" w:lef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授权人和被授权人（签字或盖章）：</w:t>
      </w:r>
    </w:p>
    <w:p w14:paraId="2C303E75">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5A74EB78">
      <w:pPr>
        <w:numPr>
          <w:ilvl w:val="0"/>
          <w:numId w:val="0"/>
        </w:numPr>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br w:type="page"/>
      </w:r>
      <w:bookmarkEnd w:id="146"/>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kern w:val="0"/>
          <w:sz w:val="24"/>
          <w:szCs w:val="24"/>
          <w:highlight w:val="none"/>
        </w:rPr>
        <w:t>拟配备人员情况</w:t>
      </w:r>
    </w:p>
    <w:p w14:paraId="5021CEE0">
      <w:pPr>
        <w:pStyle w:val="6"/>
        <w:numPr>
          <w:ilvl w:val="0"/>
          <w:numId w:val="0"/>
        </w:numPr>
        <w:rPr>
          <w:rFonts w:hint="eastAsia" w:ascii="宋体" w:hAnsi="宋体" w:eastAsia="宋体" w:cs="宋体"/>
          <w:color w:val="auto"/>
          <w:sz w:val="24"/>
          <w:szCs w:val="24"/>
          <w:highlight w:val="none"/>
        </w:rPr>
      </w:pPr>
    </w:p>
    <w:p w14:paraId="4CE186F3">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1、项目负责人介绍应包括：姓名、性别、年龄、学历、参加工作时间等。</w:t>
      </w:r>
    </w:p>
    <w:p w14:paraId="731F865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2、项目负责人近三年（</w:t>
      </w:r>
      <w:r>
        <w:rPr>
          <w:rFonts w:hint="eastAsia" w:ascii="宋体" w:hAnsi="宋体" w:cs="宋体"/>
          <w:color w:val="auto"/>
          <w:sz w:val="24"/>
          <w:highlight w:val="none"/>
          <w:lang w:eastAsia="zh-CN"/>
        </w:rPr>
        <w:t>2022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cs="宋体"/>
          <w:color w:val="auto"/>
          <w:sz w:val="24"/>
          <w:szCs w:val="24"/>
          <w:highlight w:val="none"/>
          <w:lang w:val="en-US" w:eastAsia="zh-CN"/>
        </w:rPr>
        <w:t>上传</w:t>
      </w:r>
      <w:r>
        <w:rPr>
          <w:rFonts w:hint="eastAsia" w:ascii="宋体" w:hAnsi="宋体" w:eastAsia="宋体" w:cs="宋体"/>
          <w:color w:val="auto"/>
          <w:sz w:val="24"/>
          <w:szCs w:val="24"/>
          <w:highlight w:val="none"/>
          <w:lang w:val="en-US" w:eastAsia="zh-CN"/>
        </w:rPr>
        <w:t>截止时间前</w:t>
      </w:r>
      <w:r>
        <w:rPr>
          <w:rFonts w:hint="eastAsia" w:ascii="宋体" w:hAnsi="宋体" w:cs="宋体"/>
          <w:color w:val="auto"/>
          <w:sz w:val="24"/>
          <w:highlight w:val="none"/>
        </w:rPr>
        <w:t>）的类似业绩（按下表填写）</w:t>
      </w:r>
    </w:p>
    <w:p w14:paraId="65E430A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3、项目负责人简历格式自拟，后附身份证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资格证书</w:t>
      </w:r>
      <w:r>
        <w:rPr>
          <w:rFonts w:hint="eastAsia" w:ascii="宋体" w:hAnsi="宋体" w:cs="宋体"/>
          <w:color w:val="auto"/>
          <w:sz w:val="24"/>
          <w:highlight w:val="none"/>
        </w:rPr>
        <w:t>、学历证书等彩色扫描件。</w:t>
      </w:r>
    </w:p>
    <w:tbl>
      <w:tblPr>
        <w:tblStyle w:val="32"/>
        <w:tblpPr w:leftFromText="180" w:rightFromText="180" w:vertAnchor="text" w:horzAnchor="page" w:tblpX="1795" w:tblpY="214"/>
        <w:tblOverlap w:val="never"/>
        <w:tblW w:w="83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2490"/>
        <w:gridCol w:w="2730"/>
        <w:gridCol w:w="1530"/>
      </w:tblGrid>
      <w:tr w14:paraId="53BDF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614" w:type="dxa"/>
            <w:tcBorders>
              <w:top w:val="single" w:color="auto" w:sz="12" w:space="0"/>
              <w:left w:val="single" w:color="auto" w:sz="12" w:space="0"/>
              <w:bottom w:val="single" w:color="auto" w:sz="6" w:space="0"/>
              <w:right w:val="single" w:color="auto" w:sz="6" w:space="0"/>
            </w:tcBorders>
            <w:noWrap w:val="0"/>
            <w:vAlign w:val="center"/>
          </w:tcPr>
          <w:p w14:paraId="399BE1E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490" w:type="dxa"/>
            <w:tcBorders>
              <w:top w:val="single" w:color="auto" w:sz="12" w:space="0"/>
              <w:left w:val="single" w:color="auto" w:sz="6" w:space="0"/>
              <w:bottom w:val="single" w:color="auto" w:sz="6" w:space="0"/>
              <w:right w:val="single" w:color="auto" w:sz="6" w:space="0"/>
            </w:tcBorders>
            <w:noWrap w:val="0"/>
            <w:vAlign w:val="center"/>
          </w:tcPr>
          <w:p w14:paraId="769A345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2730" w:type="dxa"/>
            <w:tcBorders>
              <w:top w:val="single" w:color="auto" w:sz="12" w:space="0"/>
              <w:left w:val="single" w:color="auto" w:sz="6" w:space="0"/>
              <w:bottom w:val="single" w:color="auto" w:sz="6" w:space="0"/>
              <w:right w:val="single" w:color="auto" w:sz="6" w:space="0"/>
            </w:tcBorders>
            <w:noWrap w:val="0"/>
            <w:vAlign w:val="center"/>
          </w:tcPr>
          <w:p w14:paraId="650BD91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服务时间</w:t>
            </w:r>
          </w:p>
        </w:tc>
        <w:tc>
          <w:tcPr>
            <w:tcW w:w="1530" w:type="dxa"/>
            <w:tcBorders>
              <w:top w:val="single" w:color="auto" w:sz="12" w:space="0"/>
              <w:left w:val="single" w:color="auto" w:sz="4" w:space="0"/>
              <w:bottom w:val="single" w:color="auto" w:sz="6" w:space="0"/>
              <w:right w:val="single" w:color="auto" w:sz="12" w:space="0"/>
            </w:tcBorders>
            <w:noWrap w:val="0"/>
            <w:vAlign w:val="center"/>
          </w:tcPr>
          <w:p w14:paraId="29BEE57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0F8DC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614" w:type="dxa"/>
            <w:tcBorders>
              <w:top w:val="single" w:color="auto" w:sz="6" w:space="0"/>
              <w:left w:val="single" w:color="auto" w:sz="12" w:space="0"/>
              <w:bottom w:val="single" w:color="auto" w:sz="12" w:space="0"/>
              <w:right w:val="single" w:color="auto" w:sz="6" w:space="0"/>
            </w:tcBorders>
            <w:noWrap w:val="0"/>
            <w:vAlign w:val="center"/>
          </w:tcPr>
          <w:p w14:paraId="7E7D22DC">
            <w:pPr>
              <w:spacing w:line="400" w:lineRule="exact"/>
              <w:jc w:val="left"/>
              <w:rPr>
                <w:rFonts w:hint="eastAsia" w:ascii="宋体" w:hAnsi="宋体" w:cs="宋体"/>
                <w:color w:val="auto"/>
                <w:sz w:val="24"/>
                <w:highlight w:val="none"/>
              </w:rPr>
            </w:pPr>
          </w:p>
        </w:tc>
        <w:tc>
          <w:tcPr>
            <w:tcW w:w="2490" w:type="dxa"/>
            <w:tcBorders>
              <w:top w:val="single" w:color="auto" w:sz="6" w:space="0"/>
              <w:left w:val="single" w:color="auto" w:sz="6" w:space="0"/>
              <w:bottom w:val="single" w:color="auto" w:sz="12" w:space="0"/>
              <w:right w:val="single" w:color="auto" w:sz="6" w:space="0"/>
            </w:tcBorders>
            <w:noWrap w:val="0"/>
            <w:vAlign w:val="center"/>
          </w:tcPr>
          <w:p w14:paraId="2CDB7604">
            <w:pPr>
              <w:spacing w:line="400" w:lineRule="exact"/>
              <w:jc w:val="left"/>
              <w:rPr>
                <w:rFonts w:hint="eastAsia" w:ascii="宋体" w:hAnsi="宋体" w:cs="宋体"/>
                <w:color w:val="auto"/>
                <w:sz w:val="24"/>
                <w:highlight w:val="none"/>
              </w:rPr>
            </w:pPr>
          </w:p>
        </w:tc>
        <w:tc>
          <w:tcPr>
            <w:tcW w:w="2730" w:type="dxa"/>
            <w:tcBorders>
              <w:top w:val="single" w:color="auto" w:sz="6" w:space="0"/>
              <w:left w:val="single" w:color="auto" w:sz="6" w:space="0"/>
              <w:bottom w:val="single" w:color="auto" w:sz="12" w:space="0"/>
              <w:right w:val="single" w:color="auto" w:sz="6" w:space="0"/>
            </w:tcBorders>
            <w:noWrap w:val="0"/>
            <w:vAlign w:val="center"/>
          </w:tcPr>
          <w:p w14:paraId="79987218">
            <w:pPr>
              <w:spacing w:line="400" w:lineRule="exact"/>
              <w:jc w:val="left"/>
              <w:rPr>
                <w:rFonts w:hint="eastAsia" w:ascii="宋体" w:hAnsi="宋体" w:cs="宋体"/>
                <w:color w:val="auto"/>
                <w:sz w:val="24"/>
                <w:highlight w:val="none"/>
              </w:rPr>
            </w:pPr>
          </w:p>
        </w:tc>
        <w:tc>
          <w:tcPr>
            <w:tcW w:w="1530" w:type="dxa"/>
            <w:tcBorders>
              <w:top w:val="single" w:color="auto" w:sz="6" w:space="0"/>
              <w:left w:val="single" w:color="auto" w:sz="4" w:space="0"/>
              <w:bottom w:val="single" w:color="auto" w:sz="12" w:space="0"/>
              <w:right w:val="single" w:color="auto" w:sz="12" w:space="0"/>
            </w:tcBorders>
            <w:noWrap w:val="0"/>
            <w:vAlign w:val="center"/>
          </w:tcPr>
          <w:p w14:paraId="3A5CA80A">
            <w:pPr>
              <w:spacing w:line="400" w:lineRule="exact"/>
              <w:jc w:val="left"/>
              <w:rPr>
                <w:rFonts w:hint="eastAsia" w:ascii="宋体" w:hAnsi="宋体" w:cs="宋体"/>
                <w:color w:val="auto"/>
                <w:sz w:val="24"/>
                <w:highlight w:val="none"/>
              </w:rPr>
            </w:pPr>
          </w:p>
        </w:tc>
      </w:tr>
    </w:tbl>
    <w:p w14:paraId="79CFD7BE">
      <w:pPr>
        <w:autoSpaceDE w:val="0"/>
        <w:autoSpaceDN w:val="0"/>
        <w:adjustRightInd w:val="0"/>
        <w:rPr>
          <w:rFonts w:hint="eastAsia" w:ascii="宋体" w:hAnsi="宋体" w:cs="宋体"/>
          <w:bCs/>
          <w:color w:val="auto"/>
          <w:highlight w:val="none"/>
        </w:rPr>
      </w:pPr>
    </w:p>
    <w:p w14:paraId="7E6F9F2B">
      <w:pPr>
        <w:pStyle w:val="31"/>
        <w:ind w:firstLine="0"/>
        <w:rPr>
          <w:rFonts w:hint="eastAsia"/>
          <w:color w:val="auto"/>
          <w:highlight w:val="none"/>
        </w:rPr>
      </w:pPr>
    </w:p>
    <w:p w14:paraId="48916716">
      <w:pPr>
        <w:rPr>
          <w:rFonts w:hint="eastAsia"/>
          <w:color w:val="auto"/>
          <w:highlight w:val="none"/>
        </w:rPr>
      </w:pPr>
      <w:r>
        <w:rPr>
          <w:rFonts w:hint="eastAsia"/>
          <w:color w:val="auto"/>
          <w:highlight w:val="none"/>
        </w:rPr>
        <w:br w:type="page"/>
      </w:r>
      <w:r>
        <w:rPr>
          <w:rFonts w:hint="eastAsia"/>
          <w:color w:val="auto"/>
          <w:highlight w:val="none"/>
          <w:lang w:val="en-US" w:eastAsia="zh-CN"/>
        </w:rPr>
        <w:t>4</w:t>
      </w:r>
      <w:r>
        <w:rPr>
          <w:rFonts w:hint="eastAsia" w:ascii="宋体" w:hAnsi="宋体" w:cs="宋体"/>
          <w:color w:val="auto"/>
          <w:sz w:val="24"/>
          <w:highlight w:val="none"/>
        </w:rPr>
        <w:t>、项目配备人员</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4C68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665074C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910" w:type="dxa"/>
            <w:vMerge w:val="restart"/>
            <w:noWrap w:val="0"/>
            <w:vAlign w:val="center"/>
          </w:tcPr>
          <w:p w14:paraId="26D7354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912" w:type="dxa"/>
            <w:vMerge w:val="restart"/>
            <w:noWrap w:val="0"/>
            <w:vAlign w:val="center"/>
          </w:tcPr>
          <w:p w14:paraId="1654768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912" w:type="dxa"/>
            <w:vMerge w:val="restart"/>
            <w:noWrap w:val="0"/>
            <w:vAlign w:val="center"/>
          </w:tcPr>
          <w:p w14:paraId="04A5396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职称或职务</w:t>
            </w:r>
          </w:p>
        </w:tc>
        <w:tc>
          <w:tcPr>
            <w:tcW w:w="912" w:type="dxa"/>
            <w:vMerge w:val="restart"/>
            <w:noWrap w:val="0"/>
            <w:vAlign w:val="center"/>
          </w:tcPr>
          <w:p w14:paraId="1630990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常住地</w:t>
            </w:r>
          </w:p>
        </w:tc>
        <w:tc>
          <w:tcPr>
            <w:tcW w:w="3815" w:type="dxa"/>
            <w:gridSpan w:val="4"/>
            <w:noWrap w:val="0"/>
            <w:vAlign w:val="center"/>
          </w:tcPr>
          <w:p w14:paraId="777B394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资格证明</w:t>
            </w:r>
          </w:p>
        </w:tc>
      </w:tr>
      <w:tr w14:paraId="1A86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6B1C50BF">
            <w:pPr>
              <w:spacing w:line="400" w:lineRule="exact"/>
              <w:jc w:val="center"/>
              <w:rPr>
                <w:rFonts w:hint="eastAsia" w:ascii="宋体" w:hAnsi="宋体" w:cs="宋体"/>
                <w:color w:val="auto"/>
                <w:sz w:val="24"/>
                <w:highlight w:val="none"/>
              </w:rPr>
            </w:pPr>
          </w:p>
        </w:tc>
        <w:tc>
          <w:tcPr>
            <w:tcW w:w="910" w:type="dxa"/>
            <w:vMerge w:val="continue"/>
            <w:noWrap w:val="0"/>
            <w:vAlign w:val="center"/>
          </w:tcPr>
          <w:p w14:paraId="5563E92D">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307A3EB4">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171A5F52">
            <w:pPr>
              <w:spacing w:line="400" w:lineRule="exact"/>
              <w:jc w:val="center"/>
              <w:rPr>
                <w:rFonts w:hint="eastAsia" w:ascii="宋体" w:hAnsi="宋体" w:cs="宋体"/>
                <w:color w:val="auto"/>
                <w:sz w:val="24"/>
                <w:highlight w:val="none"/>
              </w:rPr>
            </w:pPr>
          </w:p>
        </w:tc>
        <w:tc>
          <w:tcPr>
            <w:tcW w:w="912" w:type="dxa"/>
            <w:vMerge w:val="continue"/>
            <w:noWrap w:val="0"/>
            <w:vAlign w:val="center"/>
          </w:tcPr>
          <w:p w14:paraId="4CE205E9">
            <w:pPr>
              <w:spacing w:line="400" w:lineRule="exact"/>
              <w:jc w:val="center"/>
              <w:rPr>
                <w:rFonts w:hint="eastAsia" w:ascii="宋体" w:hAnsi="宋体" w:cs="宋体"/>
                <w:color w:val="auto"/>
                <w:sz w:val="24"/>
                <w:highlight w:val="none"/>
              </w:rPr>
            </w:pPr>
          </w:p>
        </w:tc>
        <w:tc>
          <w:tcPr>
            <w:tcW w:w="1188" w:type="dxa"/>
            <w:noWrap w:val="0"/>
            <w:vAlign w:val="center"/>
          </w:tcPr>
          <w:p w14:paraId="2080D55C">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835" w:type="dxa"/>
            <w:noWrap w:val="0"/>
            <w:vAlign w:val="center"/>
          </w:tcPr>
          <w:p w14:paraId="200A958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级别</w:t>
            </w:r>
          </w:p>
        </w:tc>
        <w:tc>
          <w:tcPr>
            <w:tcW w:w="951" w:type="dxa"/>
            <w:noWrap w:val="0"/>
            <w:vAlign w:val="center"/>
          </w:tcPr>
          <w:p w14:paraId="3D1A6C4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841" w:type="dxa"/>
            <w:noWrap w:val="0"/>
            <w:vAlign w:val="center"/>
          </w:tcPr>
          <w:p w14:paraId="7C46349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专业</w:t>
            </w:r>
          </w:p>
        </w:tc>
      </w:tr>
      <w:tr w14:paraId="3E5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5CAE532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管</w:t>
            </w:r>
          </w:p>
          <w:p w14:paraId="33EC459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理</w:t>
            </w:r>
          </w:p>
          <w:p w14:paraId="040F91C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2CFD265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32D8B87F">
            <w:pPr>
              <w:spacing w:line="400" w:lineRule="exact"/>
              <w:jc w:val="center"/>
              <w:rPr>
                <w:rFonts w:hint="eastAsia" w:ascii="宋体" w:hAnsi="宋体" w:cs="宋体"/>
                <w:color w:val="auto"/>
                <w:sz w:val="24"/>
                <w:highlight w:val="none"/>
              </w:rPr>
            </w:pPr>
          </w:p>
        </w:tc>
        <w:tc>
          <w:tcPr>
            <w:tcW w:w="912" w:type="dxa"/>
            <w:noWrap w:val="0"/>
            <w:vAlign w:val="top"/>
          </w:tcPr>
          <w:p w14:paraId="09E3F215">
            <w:pPr>
              <w:spacing w:line="400" w:lineRule="exact"/>
              <w:jc w:val="center"/>
              <w:rPr>
                <w:rFonts w:hint="eastAsia" w:ascii="宋体" w:hAnsi="宋体" w:cs="宋体"/>
                <w:color w:val="auto"/>
                <w:sz w:val="24"/>
                <w:highlight w:val="none"/>
              </w:rPr>
            </w:pPr>
          </w:p>
        </w:tc>
        <w:tc>
          <w:tcPr>
            <w:tcW w:w="912" w:type="dxa"/>
            <w:noWrap w:val="0"/>
            <w:vAlign w:val="top"/>
          </w:tcPr>
          <w:p w14:paraId="7917757C">
            <w:pPr>
              <w:spacing w:line="400" w:lineRule="exact"/>
              <w:jc w:val="center"/>
              <w:rPr>
                <w:rFonts w:hint="eastAsia" w:ascii="宋体" w:hAnsi="宋体" w:cs="宋体"/>
                <w:color w:val="auto"/>
                <w:sz w:val="24"/>
                <w:highlight w:val="none"/>
              </w:rPr>
            </w:pPr>
          </w:p>
        </w:tc>
        <w:tc>
          <w:tcPr>
            <w:tcW w:w="912" w:type="dxa"/>
            <w:noWrap w:val="0"/>
            <w:vAlign w:val="top"/>
          </w:tcPr>
          <w:p w14:paraId="1886DFE3">
            <w:pPr>
              <w:spacing w:line="400" w:lineRule="exact"/>
              <w:jc w:val="center"/>
              <w:rPr>
                <w:rFonts w:hint="eastAsia" w:ascii="宋体" w:hAnsi="宋体" w:cs="宋体"/>
                <w:color w:val="auto"/>
                <w:sz w:val="24"/>
                <w:highlight w:val="none"/>
              </w:rPr>
            </w:pPr>
          </w:p>
        </w:tc>
        <w:tc>
          <w:tcPr>
            <w:tcW w:w="1188" w:type="dxa"/>
            <w:noWrap w:val="0"/>
            <w:vAlign w:val="top"/>
          </w:tcPr>
          <w:p w14:paraId="4ECF10FF">
            <w:pPr>
              <w:spacing w:line="400" w:lineRule="exact"/>
              <w:jc w:val="center"/>
              <w:rPr>
                <w:rFonts w:hint="eastAsia" w:ascii="宋体" w:hAnsi="宋体" w:cs="宋体"/>
                <w:color w:val="auto"/>
                <w:sz w:val="24"/>
                <w:highlight w:val="none"/>
              </w:rPr>
            </w:pPr>
          </w:p>
        </w:tc>
        <w:tc>
          <w:tcPr>
            <w:tcW w:w="835" w:type="dxa"/>
            <w:noWrap w:val="0"/>
            <w:vAlign w:val="top"/>
          </w:tcPr>
          <w:p w14:paraId="29E4FD47">
            <w:pPr>
              <w:spacing w:line="400" w:lineRule="exact"/>
              <w:jc w:val="center"/>
              <w:rPr>
                <w:rFonts w:hint="eastAsia" w:ascii="宋体" w:hAnsi="宋体" w:cs="宋体"/>
                <w:color w:val="auto"/>
                <w:sz w:val="24"/>
                <w:highlight w:val="none"/>
              </w:rPr>
            </w:pPr>
          </w:p>
        </w:tc>
        <w:tc>
          <w:tcPr>
            <w:tcW w:w="951" w:type="dxa"/>
            <w:noWrap w:val="0"/>
            <w:vAlign w:val="top"/>
          </w:tcPr>
          <w:p w14:paraId="339CD24B">
            <w:pPr>
              <w:spacing w:line="400" w:lineRule="exact"/>
              <w:jc w:val="center"/>
              <w:rPr>
                <w:rFonts w:hint="eastAsia" w:ascii="宋体" w:hAnsi="宋体" w:cs="宋体"/>
                <w:color w:val="auto"/>
                <w:sz w:val="24"/>
                <w:highlight w:val="none"/>
              </w:rPr>
            </w:pPr>
          </w:p>
        </w:tc>
        <w:tc>
          <w:tcPr>
            <w:tcW w:w="841" w:type="dxa"/>
            <w:noWrap w:val="0"/>
            <w:vAlign w:val="top"/>
          </w:tcPr>
          <w:p w14:paraId="261729A9">
            <w:pPr>
              <w:spacing w:line="400" w:lineRule="exact"/>
              <w:jc w:val="center"/>
              <w:rPr>
                <w:rFonts w:hint="eastAsia" w:ascii="宋体" w:hAnsi="宋体" w:cs="宋体"/>
                <w:color w:val="auto"/>
                <w:sz w:val="24"/>
                <w:highlight w:val="none"/>
              </w:rPr>
            </w:pPr>
          </w:p>
        </w:tc>
      </w:tr>
      <w:tr w14:paraId="5A7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2EB6857">
            <w:pPr>
              <w:spacing w:line="400" w:lineRule="exact"/>
              <w:jc w:val="center"/>
              <w:rPr>
                <w:rFonts w:hint="eastAsia" w:ascii="宋体" w:hAnsi="宋体" w:cs="宋体"/>
                <w:color w:val="auto"/>
                <w:sz w:val="24"/>
                <w:highlight w:val="none"/>
              </w:rPr>
            </w:pPr>
          </w:p>
        </w:tc>
        <w:tc>
          <w:tcPr>
            <w:tcW w:w="910" w:type="dxa"/>
            <w:noWrap w:val="0"/>
            <w:vAlign w:val="top"/>
          </w:tcPr>
          <w:p w14:paraId="7BC75F5E">
            <w:pPr>
              <w:spacing w:line="400" w:lineRule="exact"/>
              <w:jc w:val="center"/>
              <w:rPr>
                <w:rFonts w:hint="eastAsia" w:ascii="宋体" w:hAnsi="宋体" w:cs="宋体"/>
                <w:color w:val="auto"/>
                <w:sz w:val="24"/>
                <w:highlight w:val="none"/>
              </w:rPr>
            </w:pPr>
          </w:p>
        </w:tc>
        <w:tc>
          <w:tcPr>
            <w:tcW w:w="912" w:type="dxa"/>
            <w:noWrap w:val="0"/>
            <w:vAlign w:val="top"/>
          </w:tcPr>
          <w:p w14:paraId="7A0F3637">
            <w:pPr>
              <w:spacing w:line="400" w:lineRule="exact"/>
              <w:jc w:val="center"/>
              <w:rPr>
                <w:rFonts w:hint="eastAsia" w:ascii="宋体" w:hAnsi="宋体" w:cs="宋体"/>
                <w:color w:val="auto"/>
                <w:sz w:val="24"/>
                <w:highlight w:val="none"/>
              </w:rPr>
            </w:pPr>
          </w:p>
        </w:tc>
        <w:tc>
          <w:tcPr>
            <w:tcW w:w="912" w:type="dxa"/>
            <w:noWrap w:val="0"/>
            <w:vAlign w:val="top"/>
          </w:tcPr>
          <w:p w14:paraId="4D574710">
            <w:pPr>
              <w:spacing w:line="400" w:lineRule="exact"/>
              <w:jc w:val="center"/>
              <w:rPr>
                <w:rFonts w:hint="eastAsia" w:ascii="宋体" w:hAnsi="宋体" w:cs="宋体"/>
                <w:color w:val="auto"/>
                <w:sz w:val="24"/>
                <w:highlight w:val="none"/>
              </w:rPr>
            </w:pPr>
          </w:p>
        </w:tc>
        <w:tc>
          <w:tcPr>
            <w:tcW w:w="912" w:type="dxa"/>
            <w:noWrap w:val="0"/>
            <w:vAlign w:val="top"/>
          </w:tcPr>
          <w:p w14:paraId="6DBDE51F">
            <w:pPr>
              <w:spacing w:line="400" w:lineRule="exact"/>
              <w:jc w:val="center"/>
              <w:rPr>
                <w:rFonts w:hint="eastAsia" w:ascii="宋体" w:hAnsi="宋体" w:cs="宋体"/>
                <w:color w:val="auto"/>
                <w:sz w:val="24"/>
                <w:highlight w:val="none"/>
              </w:rPr>
            </w:pPr>
          </w:p>
        </w:tc>
        <w:tc>
          <w:tcPr>
            <w:tcW w:w="1188" w:type="dxa"/>
            <w:noWrap w:val="0"/>
            <w:vAlign w:val="top"/>
          </w:tcPr>
          <w:p w14:paraId="0BBC630E">
            <w:pPr>
              <w:spacing w:line="400" w:lineRule="exact"/>
              <w:jc w:val="center"/>
              <w:rPr>
                <w:rFonts w:hint="eastAsia" w:ascii="宋体" w:hAnsi="宋体" w:cs="宋体"/>
                <w:color w:val="auto"/>
                <w:sz w:val="24"/>
                <w:highlight w:val="none"/>
              </w:rPr>
            </w:pPr>
          </w:p>
        </w:tc>
        <w:tc>
          <w:tcPr>
            <w:tcW w:w="835" w:type="dxa"/>
            <w:noWrap w:val="0"/>
            <w:vAlign w:val="top"/>
          </w:tcPr>
          <w:p w14:paraId="7897E712">
            <w:pPr>
              <w:spacing w:line="400" w:lineRule="exact"/>
              <w:jc w:val="center"/>
              <w:rPr>
                <w:rFonts w:hint="eastAsia" w:ascii="宋体" w:hAnsi="宋体" w:cs="宋体"/>
                <w:color w:val="auto"/>
                <w:sz w:val="24"/>
                <w:highlight w:val="none"/>
              </w:rPr>
            </w:pPr>
          </w:p>
        </w:tc>
        <w:tc>
          <w:tcPr>
            <w:tcW w:w="951" w:type="dxa"/>
            <w:noWrap w:val="0"/>
            <w:vAlign w:val="top"/>
          </w:tcPr>
          <w:p w14:paraId="6B8C1C1D">
            <w:pPr>
              <w:spacing w:line="400" w:lineRule="exact"/>
              <w:jc w:val="center"/>
              <w:rPr>
                <w:rFonts w:hint="eastAsia" w:ascii="宋体" w:hAnsi="宋体" w:cs="宋体"/>
                <w:color w:val="auto"/>
                <w:sz w:val="24"/>
                <w:highlight w:val="none"/>
              </w:rPr>
            </w:pPr>
          </w:p>
        </w:tc>
        <w:tc>
          <w:tcPr>
            <w:tcW w:w="841" w:type="dxa"/>
            <w:noWrap w:val="0"/>
            <w:vAlign w:val="top"/>
          </w:tcPr>
          <w:p w14:paraId="095FA286">
            <w:pPr>
              <w:spacing w:line="400" w:lineRule="exact"/>
              <w:jc w:val="center"/>
              <w:rPr>
                <w:rFonts w:hint="eastAsia" w:ascii="宋体" w:hAnsi="宋体" w:cs="宋体"/>
                <w:color w:val="auto"/>
                <w:sz w:val="24"/>
                <w:highlight w:val="none"/>
              </w:rPr>
            </w:pPr>
          </w:p>
        </w:tc>
      </w:tr>
      <w:tr w14:paraId="62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43D7F376">
            <w:pPr>
              <w:spacing w:line="400" w:lineRule="exact"/>
              <w:jc w:val="center"/>
              <w:rPr>
                <w:rFonts w:hint="eastAsia" w:ascii="宋体" w:hAnsi="宋体" w:cs="宋体"/>
                <w:color w:val="auto"/>
                <w:sz w:val="24"/>
                <w:highlight w:val="none"/>
              </w:rPr>
            </w:pPr>
          </w:p>
        </w:tc>
        <w:tc>
          <w:tcPr>
            <w:tcW w:w="910" w:type="dxa"/>
            <w:noWrap w:val="0"/>
            <w:vAlign w:val="top"/>
          </w:tcPr>
          <w:p w14:paraId="6572CD7B">
            <w:pPr>
              <w:spacing w:line="400" w:lineRule="exact"/>
              <w:jc w:val="center"/>
              <w:rPr>
                <w:rFonts w:hint="eastAsia" w:ascii="宋体" w:hAnsi="宋体" w:cs="宋体"/>
                <w:color w:val="auto"/>
                <w:sz w:val="24"/>
                <w:highlight w:val="none"/>
              </w:rPr>
            </w:pPr>
          </w:p>
        </w:tc>
        <w:tc>
          <w:tcPr>
            <w:tcW w:w="912" w:type="dxa"/>
            <w:noWrap w:val="0"/>
            <w:vAlign w:val="top"/>
          </w:tcPr>
          <w:p w14:paraId="616AA055">
            <w:pPr>
              <w:spacing w:line="400" w:lineRule="exact"/>
              <w:jc w:val="center"/>
              <w:rPr>
                <w:rFonts w:hint="eastAsia" w:ascii="宋体" w:hAnsi="宋体" w:cs="宋体"/>
                <w:color w:val="auto"/>
                <w:sz w:val="24"/>
                <w:highlight w:val="none"/>
              </w:rPr>
            </w:pPr>
          </w:p>
        </w:tc>
        <w:tc>
          <w:tcPr>
            <w:tcW w:w="912" w:type="dxa"/>
            <w:noWrap w:val="0"/>
            <w:vAlign w:val="top"/>
          </w:tcPr>
          <w:p w14:paraId="282ECEE5">
            <w:pPr>
              <w:spacing w:line="400" w:lineRule="exact"/>
              <w:jc w:val="center"/>
              <w:rPr>
                <w:rFonts w:hint="eastAsia" w:ascii="宋体" w:hAnsi="宋体" w:cs="宋体"/>
                <w:color w:val="auto"/>
                <w:sz w:val="24"/>
                <w:highlight w:val="none"/>
              </w:rPr>
            </w:pPr>
          </w:p>
        </w:tc>
        <w:tc>
          <w:tcPr>
            <w:tcW w:w="912" w:type="dxa"/>
            <w:noWrap w:val="0"/>
            <w:vAlign w:val="top"/>
          </w:tcPr>
          <w:p w14:paraId="6A3AD452">
            <w:pPr>
              <w:spacing w:line="400" w:lineRule="exact"/>
              <w:jc w:val="center"/>
              <w:rPr>
                <w:rFonts w:hint="eastAsia" w:ascii="宋体" w:hAnsi="宋体" w:cs="宋体"/>
                <w:color w:val="auto"/>
                <w:sz w:val="24"/>
                <w:highlight w:val="none"/>
              </w:rPr>
            </w:pPr>
          </w:p>
        </w:tc>
        <w:tc>
          <w:tcPr>
            <w:tcW w:w="1188" w:type="dxa"/>
            <w:noWrap w:val="0"/>
            <w:vAlign w:val="top"/>
          </w:tcPr>
          <w:p w14:paraId="63D95D87">
            <w:pPr>
              <w:spacing w:line="400" w:lineRule="exact"/>
              <w:jc w:val="center"/>
              <w:rPr>
                <w:rFonts w:hint="eastAsia" w:ascii="宋体" w:hAnsi="宋体" w:cs="宋体"/>
                <w:color w:val="auto"/>
                <w:sz w:val="24"/>
                <w:highlight w:val="none"/>
              </w:rPr>
            </w:pPr>
          </w:p>
        </w:tc>
        <w:tc>
          <w:tcPr>
            <w:tcW w:w="835" w:type="dxa"/>
            <w:noWrap w:val="0"/>
            <w:vAlign w:val="top"/>
          </w:tcPr>
          <w:p w14:paraId="68D2E759">
            <w:pPr>
              <w:spacing w:line="400" w:lineRule="exact"/>
              <w:jc w:val="center"/>
              <w:rPr>
                <w:rFonts w:hint="eastAsia" w:ascii="宋体" w:hAnsi="宋体" w:cs="宋体"/>
                <w:color w:val="auto"/>
                <w:sz w:val="24"/>
                <w:highlight w:val="none"/>
              </w:rPr>
            </w:pPr>
          </w:p>
        </w:tc>
        <w:tc>
          <w:tcPr>
            <w:tcW w:w="951" w:type="dxa"/>
            <w:noWrap w:val="0"/>
            <w:vAlign w:val="top"/>
          </w:tcPr>
          <w:p w14:paraId="4A47194E">
            <w:pPr>
              <w:spacing w:line="400" w:lineRule="exact"/>
              <w:jc w:val="center"/>
              <w:rPr>
                <w:rFonts w:hint="eastAsia" w:ascii="宋体" w:hAnsi="宋体" w:cs="宋体"/>
                <w:color w:val="auto"/>
                <w:sz w:val="24"/>
                <w:highlight w:val="none"/>
              </w:rPr>
            </w:pPr>
          </w:p>
        </w:tc>
        <w:tc>
          <w:tcPr>
            <w:tcW w:w="841" w:type="dxa"/>
            <w:noWrap w:val="0"/>
            <w:vAlign w:val="top"/>
          </w:tcPr>
          <w:p w14:paraId="3C5EB1D6">
            <w:pPr>
              <w:spacing w:line="400" w:lineRule="exact"/>
              <w:jc w:val="center"/>
              <w:rPr>
                <w:rFonts w:hint="eastAsia" w:ascii="宋体" w:hAnsi="宋体" w:cs="宋体"/>
                <w:color w:val="auto"/>
                <w:sz w:val="24"/>
                <w:highlight w:val="none"/>
              </w:rPr>
            </w:pPr>
          </w:p>
        </w:tc>
      </w:tr>
      <w:tr w14:paraId="55A8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57612DFA">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服</w:t>
            </w:r>
          </w:p>
          <w:p w14:paraId="0DB5692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务</w:t>
            </w:r>
          </w:p>
          <w:p w14:paraId="2C0A238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1CFE2C84">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121E2086">
            <w:pPr>
              <w:spacing w:line="400" w:lineRule="exact"/>
              <w:jc w:val="center"/>
              <w:rPr>
                <w:rFonts w:hint="eastAsia" w:ascii="宋体" w:hAnsi="宋体" w:cs="宋体"/>
                <w:color w:val="auto"/>
                <w:sz w:val="24"/>
                <w:highlight w:val="none"/>
              </w:rPr>
            </w:pPr>
          </w:p>
        </w:tc>
        <w:tc>
          <w:tcPr>
            <w:tcW w:w="912" w:type="dxa"/>
            <w:noWrap w:val="0"/>
            <w:vAlign w:val="top"/>
          </w:tcPr>
          <w:p w14:paraId="6DE7AF77">
            <w:pPr>
              <w:spacing w:line="400" w:lineRule="exact"/>
              <w:jc w:val="center"/>
              <w:rPr>
                <w:rFonts w:hint="eastAsia" w:ascii="宋体" w:hAnsi="宋体" w:cs="宋体"/>
                <w:color w:val="auto"/>
                <w:sz w:val="24"/>
                <w:highlight w:val="none"/>
              </w:rPr>
            </w:pPr>
          </w:p>
        </w:tc>
        <w:tc>
          <w:tcPr>
            <w:tcW w:w="912" w:type="dxa"/>
            <w:noWrap w:val="0"/>
            <w:vAlign w:val="top"/>
          </w:tcPr>
          <w:p w14:paraId="095A4249">
            <w:pPr>
              <w:spacing w:line="400" w:lineRule="exact"/>
              <w:jc w:val="center"/>
              <w:rPr>
                <w:rFonts w:hint="eastAsia" w:ascii="宋体" w:hAnsi="宋体" w:cs="宋体"/>
                <w:color w:val="auto"/>
                <w:sz w:val="24"/>
                <w:highlight w:val="none"/>
              </w:rPr>
            </w:pPr>
          </w:p>
        </w:tc>
        <w:tc>
          <w:tcPr>
            <w:tcW w:w="912" w:type="dxa"/>
            <w:noWrap w:val="0"/>
            <w:vAlign w:val="top"/>
          </w:tcPr>
          <w:p w14:paraId="70F733FF">
            <w:pPr>
              <w:spacing w:line="400" w:lineRule="exact"/>
              <w:jc w:val="center"/>
              <w:rPr>
                <w:rFonts w:hint="eastAsia" w:ascii="宋体" w:hAnsi="宋体" w:cs="宋体"/>
                <w:color w:val="auto"/>
                <w:sz w:val="24"/>
                <w:highlight w:val="none"/>
              </w:rPr>
            </w:pPr>
          </w:p>
        </w:tc>
        <w:tc>
          <w:tcPr>
            <w:tcW w:w="1188" w:type="dxa"/>
            <w:noWrap w:val="0"/>
            <w:vAlign w:val="top"/>
          </w:tcPr>
          <w:p w14:paraId="4E9518BC">
            <w:pPr>
              <w:spacing w:line="400" w:lineRule="exact"/>
              <w:jc w:val="center"/>
              <w:rPr>
                <w:rFonts w:hint="eastAsia" w:ascii="宋体" w:hAnsi="宋体" w:cs="宋体"/>
                <w:color w:val="auto"/>
                <w:sz w:val="24"/>
                <w:highlight w:val="none"/>
              </w:rPr>
            </w:pPr>
          </w:p>
        </w:tc>
        <w:tc>
          <w:tcPr>
            <w:tcW w:w="835" w:type="dxa"/>
            <w:noWrap w:val="0"/>
            <w:vAlign w:val="top"/>
          </w:tcPr>
          <w:p w14:paraId="6C9BE1DB">
            <w:pPr>
              <w:spacing w:line="400" w:lineRule="exact"/>
              <w:jc w:val="center"/>
              <w:rPr>
                <w:rFonts w:hint="eastAsia" w:ascii="宋体" w:hAnsi="宋体" w:cs="宋体"/>
                <w:color w:val="auto"/>
                <w:sz w:val="24"/>
                <w:highlight w:val="none"/>
              </w:rPr>
            </w:pPr>
          </w:p>
        </w:tc>
        <w:tc>
          <w:tcPr>
            <w:tcW w:w="951" w:type="dxa"/>
            <w:noWrap w:val="0"/>
            <w:vAlign w:val="top"/>
          </w:tcPr>
          <w:p w14:paraId="02CD8CC2">
            <w:pPr>
              <w:spacing w:line="400" w:lineRule="exact"/>
              <w:jc w:val="center"/>
              <w:rPr>
                <w:rFonts w:hint="eastAsia" w:ascii="宋体" w:hAnsi="宋体" w:cs="宋体"/>
                <w:color w:val="auto"/>
                <w:sz w:val="24"/>
                <w:highlight w:val="none"/>
              </w:rPr>
            </w:pPr>
          </w:p>
        </w:tc>
        <w:tc>
          <w:tcPr>
            <w:tcW w:w="841" w:type="dxa"/>
            <w:noWrap w:val="0"/>
            <w:vAlign w:val="top"/>
          </w:tcPr>
          <w:p w14:paraId="5E554C4C">
            <w:pPr>
              <w:spacing w:line="400" w:lineRule="exact"/>
              <w:jc w:val="center"/>
              <w:rPr>
                <w:rFonts w:hint="eastAsia" w:ascii="宋体" w:hAnsi="宋体" w:cs="宋体"/>
                <w:color w:val="auto"/>
                <w:sz w:val="24"/>
                <w:highlight w:val="none"/>
              </w:rPr>
            </w:pPr>
          </w:p>
        </w:tc>
      </w:tr>
      <w:tr w14:paraId="00D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A0E7FBA">
            <w:pPr>
              <w:spacing w:line="400" w:lineRule="exact"/>
              <w:jc w:val="center"/>
              <w:rPr>
                <w:rFonts w:hint="eastAsia" w:ascii="宋体" w:hAnsi="宋体" w:cs="宋体"/>
                <w:color w:val="auto"/>
                <w:sz w:val="24"/>
                <w:highlight w:val="none"/>
              </w:rPr>
            </w:pPr>
          </w:p>
        </w:tc>
        <w:tc>
          <w:tcPr>
            <w:tcW w:w="910" w:type="dxa"/>
            <w:noWrap w:val="0"/>
            <w:vAlign w:val="top"/>
          </w:tcPr>
          <w:p w14:paraId="4CE7F8D5">
            <w:pPr>
              <w:spacing w:line="400" w:lineRule="exact"/>
              <w:jc w:val="center"/>
              <w:rPr>
                <w:rFonts w:hint="eastAsia" w:ascii="宋体" w:hAnsi="宋体" w:cs="宋体"/>
                <w:color w:val="auto"/>
                <w:sz w:val="24"/>
                <w:highlight w:val="none"/>
              </w:rPr>
            </w:pPr>
          </w:p>
        </w:tc>
        <w:tc>
          <w:tcPr>
            <w:tcW w:w="912" w:type="dxa"/>
            <w:noWrap w:val="0"/>
            <w:vAlign w:val="top"/>
          </w:tcPr>
          <w:p w14:paraId="0B8D93CA">
            <w:pPr>
              <w:spacing w:line="400" w:lineRule="exact"/>
              <w:jc w:val="center"/>
              <w:rPr>
                <w:rFonts w:hint="eastAsia" w:ascii="宋体" w:hAnsi="宋体" w:cs="宋体"/>
                <w:color w:val="auto"/>
                <w:sz w:val="24"/>
                <w:highlight w:val="none"/>
              </w:rPr>
            </w:pPr>
          </w:p>
        </w:tc>
        <w:tc>
          <w:tcPr>
            <w:tcW w:w="912" w:type="dxa"/>
            <w:noWrap w:val="0"/>
            <w:vAlign w:val="top"/>
          </w:tcPr>
          <w:p w14:paraId="29D8E149">
            <w:pPr>
              <w:spacing w:line="400" w:lineRule="exact"/>
              <w:jc w:val="center"/>
              <w:rPr>
                <w:rFonts w:hint="eastAsia" w:ascii="宋体" w:hAnsi="宋体" w:cs="宋体"/>
                <w:color w:val="auto"/>
                <w:sz w:val="24"/>
                <w:highlight w:val="none"/>
              </w:rPr>
            </w:pPr>
          </w:p>
        </w:tc>
        <w:tc>
          <w:tcPr>
            <w:tcW w:w="912" w:type="dxa"/>
            <w:noWrap w:val="0"/>
            <w:vAlign w:val="top"/>
          </w:tcPr>
          <w:p w14:paraId="7E14BB99">
            <w:pPr>
              <w:spacing w:line="400" w:lineRule="exact"/>
              <w:jc w:val="center"/>
              <w:rPr>
                <w:rFonts w:hint="eastAsia" w:ascii="宋体" w:hAnsi="宋体" w:cs="宋体"/>
                <w:color w:val="auto"/>
                <w:sz w:val="24"/>
                <w:highlight w:val="none"/>
              </w:rPr>
            </w:pPr>
          </w:p>
        </w:tc>
        <w:tc>
          <w:tcPr>
            <w:tcW w:w="1188" w:type="dxa"/>
            <w:noWrap w:val="0"/>
            <w:vAlign w:val="top"/>
          </w:tcPr>
          <w:p w14:paraId="3EE1866D">
            <w:pPr>
              <w:spacing w:line="400" w:lineRule="exact"/>
              <w:jc w:val="center"/>
              <w:rPr>
                <w:rFonts w:hint="eastAsia" w:ascii="宋体" w:hAnsi="宋体" w:cs="宋体"/>
                <w:color w:val="auto"/>
                <w:sz w:val="24"/>
                <w:highlight w:val="none"/>
              </w:rPr>
            </w:pPr>
          </w:p>
        </w:tc>
        <w:tc>
          <w:tcPr>
            <w:tcW w:w="835" w:type="dxa"/>
            <w:noWrap w:val="0"/>
            <w:vAlign w:val="top"/>
          </w:tcPr>
          <w:p w14:paraId="47E7D591">
            <w:pPr>
              <w:spacing w:line="400" w:lineRule="exact"/>
              <w:jc w:val="center"/>
              <w:rPr>
                <w:rFonts w:hint="eastAsia" w:ascii="宋体" w:hAnsi="宋体" w:cs="宋体"/>
                <w:color w:val="auto"/>
                <w:sz w:val="24"/>
                <w:highlight w:val="none"/>
              </w:rPr>
            </w:pPr>
          </w:p>
        </w:tc>
        <w:tc>
          <w:tcPr>
            <w:tcW w:w="951" w:type="dxa"/>
            <w:noWrap w:val="0"/>
            <w:vAlign w:val="top"/>
          </w:tcPr>
          <w:p w14:paraId="5923A941">
            <w:pPr>
              <w:spacing w:line="400" w:lineRule="exact"/>
              <w:jc w:val="center"/>
              <w:rPr>
                <w:rFonts w:hint="eastAsia" w:ascii="宋体" w:hAnsi="宋体" w:cs="宋体"/>
                <w:color w:val="auto"/>
                <w:sz w:val="24"/>
                <w:highlight w:val="none"/>
              </w:rPr>
            </w:pPr>
          </w:p>
        </w:tc>
        <w:tc>
          <w:tcPr>
            <w:tcW w:w="841" w:type="dxa"/>
            <w:noWrap w:val="0"/>
            <w:vAlign w:val="top"/>
          </w:tcPr>
          <w:p w14:paraId="609DFD4D">
            <w:pPr>
              <w:spacing w:line="400" w:lineRule="exact"/>
              <w:jc w:val="center"/>
              <w:rPr>
                <w:rFonts w:hint="eastAsia" w:ascii="宋体" w:hAnsi="宋体" w:cs="宋体"/>
                <w:color w:val="auto"/>
                <w:sz w:val="24"/>
                <w:highlight w:val="none"/>
              </w:rPr>
            </w:pPr>
          </w:p>
        </w:tc>
      </w:tr>
      <w:tr w14:paraId="3364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5360BCA7">
            <w:pPr>
              <w:spacing w:line="400" w:lineRule="exact"/>
              <w:jc w:val="center"/>
              <w:rPr>
                <w:rFonts w:hint="eastAsia" w:ascii="宋体" w:hAnsi="宋体" w:cs="宋体"/>
                <w:color w:val="auto"/>
                <w:sz w:val="24"/>
                <w:highlight w:val="none"/>
              </w:rPr>
            </w:pPr>
          </w:p>
        </w:tc>
        <w:tc>
          <w:tcPr>
            <w:tcW w:w="910" w:type="dxa"/>
            <w:noWrap w:val="0"/>
            <w:vAlign w:val="top"/>
          </w:tcPr>
          <w:p w14:paraId="05F82741">
            <w:pPr>
              <w:spacing w:line="400" w:lineRule="exact"/>
              <w:jc w:val="center"/>
              <w:rPr>
                <w:rFonts w:hint="eastAsia" w:ascii="宋体" w:hAnsi="宋体" w:cs="宋体"/>
                <w:color w:val="auto"/>
                <w:sz w:val="24"/>
                <w:highlight w:val="none"/>
              </w:rPr>
            </w:pPr>
          </w:p>
        </w:tc>
        <w:tc>
          <w:tcPr>
            <w:tcW w:w="912" w:type="dxa"/>
            <w:noWrap w:val="0"/>
            <w:vAlign w:val="top"/>
          </w:tcPr>
          <w:p w14:paraId="5CCFF2D6">
            <w:pPr>
              <w:spacing w:line="400" w:lineRule="exact"/>
              <w:jc w:val="center"/>
              <w:rPr>
                <w:rFonts w:hint="eastAsia" w:ascii="宋体" w:hAnsi="宋体" w:cs="宋体"/>
                <w:color w:val="auto"/>
                <w:sz w:val="24"/>
                <w:highlight w:val="none"/>
              </w:rPr>
            </w:pPr>
          </w:p>
        </w:tc>
        <w:tc>
          <w:tcPr>
            <w:tcW w:w="912" w:type="dxa"/>
            <w:noWrap w:val="0"/>
            <w:vAlign w:val="top"/>
          </w:tcPr>
          <w:p w14:paraId="0D0AEC7A">
            <w:pPr>
              <w:spacing w:line="400" w:lineRule="exact"/>
              <w:jc w:val="center"/>
              <w:rPr>
                <w:rFonts w:hint="eastAsia" w:ascii="宋体" w:hAnsi="宋体" w:cs="宋体"/>
                <w:color w:val="auto"/>
                <w:sz w:val="24"/>
                <w:highlight w:val="none"/>
              </w:rPr>
            </w:pPr>
          </w:p>
        </w:tc>
        <w:tc>
          <w:tcPr>
            <w:tcW w:w="912" w:type="dxa"/>
            <w:noWrap w:val="0"/>
            <w:vAlign w:val="top"/>
          </w:tcPr>
          <w:p w14:paraId="275AF20F">
            <w:pPr>
              <w:spacing w:line="400" w:lineRule="exact"/>
              <w:jc w:val="center"/>
              <w:rPr>
                <w:rFonts w:hint="eastAsia" w:ascii="宋体" w:hAnsi="宋体" w:cs="宋体"/>
                <w:color w:val="auto"/>
                <w:sz w:val="24"/>
                <w:highlight w:val="none"/>
              </w:rPr>
            </w:pPr>
          </w:p>
        </w:tc>
        <w:tc>
          <w:tcPr>
            <w:tcW w:w="1188" w:type="dxa"/>
            <w:noWrap w:val="0"/>
            <w:vAlign w:val="top"/>
          </w:tcPr>
          <w:p w14:paraId="330FD494">
            <w:pPr>
              <w:spacing w:line="400" w:lineRule="exact"/>
              <w:jc w:val="center"/>
              <w:rPr>
                <w:rFonts w:hint="eastAsia" w:ascii="宋体" w:hAnsi="宋体" w:cs="宋体"/>
                <w:color w:val="auto"/>
                <w:sz w:val="24"/>
                <w:highlight w:val="none"/>
              </w:rPr>
            </w:pPr>
          </w:p>
        </w:tc>
        <w:tc>
          <w:tcPr>
            <w:tcW w:w="835" w:type="dxa"/>
            <w:noWrap w:val="0"/>
            <w:vAlign w:val="top"/>
          </w:tcPr>
          <w:p w14:paraId="2609780C">
            <w:pPr>
              <w:spacing w:line="400" w:lineRule="exact"/>
              <w:jc w:val="center"/>
              <w:rPr>
                <w:rFonts w:hint="eastAsia" w:ascii="宋体" w:hAnsi="宋体" w:cs="宋体"/>
                <w:color w:val="auto"/>
                <w:sz w:val="24"/>
                <w:highlight w:val="none"/>
              </w:rPr>
            </w:pPr>
          </w:p>
        </w:tc>
        <w:tc>
          <w:tcPr>
            <w:tcW w:w="951" w:type="dxa"/>
            <w:noWrap w:val="0"/>
            <w:vAlign w:val="top"/>
          </w:tcPr>
          <w:p w14:paraId="1AE521DF">
            <w:pPr>
              <w:spacing w:line="400" w:lineRule="exact"/>
              <w:jc w:val="center"/>
              <w:rPr>
                <w:rFonts w:hint="eastAsia" w:ascii="宋体" w:hAnsi="宋体" w:cs="宋体"/>
                <w:color w:val="auto"/>
                <w:sz w:val="24"/>
                <w:highlight w:val="none"/>
              </w:rPr>
            </w:pPr>
          </w:p>
        </w:tc>
        <w:tc>
          <w:tcPr>
            <w:tcW w:w="841" w:type="dxa"/>
            <w:noWrap w:val="0"/>
            <w:vAlign w:val="top"/>
          </w:tcPr>
          <w:p w14:paraId="3E4020E5">
            <w:pPr>
              <w:spacing w:line="400" w:lineRule="exact"/>
              <w:jc w:val="center"/>
              <w:rPr>
                <w:rFonts w:hint="eastAsia" w:ascii="宋体" w:hAnsi="宋体" w:cs="宋体"/>
                <w:color w:val="auto"/>
                <w:sz w:val="24"/>
                <w:highlight w:val="none"/>
              </w:rPr>
            </w:pPr>
          </w:p>
        </w:tc>
      </w:tr>
      <w:tr w14:paraId="564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CB5DB2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w:t>
            </w:r>
          </w:p>
          <w:p w14:paraId="224F999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他</w:t>
            </w:r>
          </w:p>
          <w:p w14:paraId="05238F8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人</w:t>
            </w:r>
          </w:p>
          <w:p w14:paraId="27FE577F">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员</w:t>
            </w:r>
          </w:p>
        </w:tc>
        <w:tc>
          <w:tcPr>
            <w:tcW w:w="910" w:type="dxa"/>
            <w:noWrap w:val="0"/>
            <w:vAlign w:val="top"/>
          </w:tcPr>
          <w:p w14:paraId="55ED6D4F">
            <w:pPr>
              <w:spacing w:line="400" w:lineRule="exact"/>
              <w:jc w:val="center"/>
              <w:rPr>
                <w:rFonts w:hint="eastAsia" w:ascii="宋体" w:hAnsi="宋体" w:cs="宋体"/>
                <w:color w:val="auto"/>
                <w:sz w:val="24"/>
                <w:highlight w:val="none"/>
              </w:rPr>
            </w:pPr>
          </w:p>
        </w:tc>
        <w:tc>
          <w:tcPr>
            <w:tcW w:w="912" w:type="dxa"/>
            <w:noWrap w:val="0"/>
            <w:vAlign w:val="top"/>
          </w:tcPr>
          <w:p w14:paraId="34210926">
            <w:pPr>
              <w:spacing w:line="400" w:lineRule="exact"/>
              <w:jc w:val="center"/>
              <w:rPr>
                <w:rFonts w:hint="eastAsia" w:ascii="宋体" w:hAnsi="宋体" w:cs="宋体"/>
                <w:color w:val="auto"/>
                <w:sz w:val="24"/>
                <w:highlight w:val="none"/>
              </w:rPr>
            </w:pPr>
          </w:p>
        </w:tc>
        <w:tc>
          <w:tcPr>
            <w:tcW w:w="912" w:type="dxa"/>
            <w:noWrap w:val="0"/>
            <w:vAlign w:val="top"/>
          </w:tcPr>
          <w:p w14:paraId="2BD750E4">
            <w:pPr>
              <w:spacing w:line="400" w:lineRule="exact"/>
              <w:jc w:val="center"/>
              <w:rPr>
                <w:rFonts w:hint="eastAsia" w:ascii="宋体" w:hAnsi="宋体" w:cs="宋体"/>
                <w:color w:val="auto"/>
                <w:sz w:val="24"/>
                <w:highlight w:val="none"/>
              </w:rPr>
            </w:pPr>
          </w:p>
        </w:tc>
        <w:tc>
          <w:tcPr>
            <w:tcW w:w="912" w:type="dxa"/>
            <w:noWrap w:val="0"/>
            <w:vAlign w:val="top"/>
          </w:tcPr>
          <w:p w14:paraId="29F8E5EC">
            <w:pPr>
              <w:spacing w:line="400" w:lineRule="exact"/>
              <w:jc w:val="center"/>
              <w:rPr>
                <w:rFonts w:hint="eastAsia" w:ascii="宋体" w:hAnsi="宋体" w:cs="宋体"/>
                <w:color w:val="auto"/>
                <w:sz w:val="24"/>
                <w:highlight w:val="none"/>
              </w:rPr>
            </w:pPr>
          </w:p>
        </w:tc>
        <w:tc>
          <w:tcPr>
            <w:tcW w:w="1188" w:type="dxa"/>
            <w:noWrap w:val="0"/>
            <w:vAlign w:val="top"/>
          </w:tcPr>
          <w:p w14:paraId="1705E928">
            <w:pPr>
              <w:spacing w:line="400" w:lineRule="exact"/>
              <w:jc w:val="center"/>
              <w:rPr>
                <w:rFonts w:hint="eastAsia" w:ascii="宋体" w:hAnsi="宋体" w:cs="宋体"/>
                <w:color w:val="auto"/>
                <w:sz w:val="24"/>
                <w:highlight w:val="none"/>
              </w:rPr>
            </w:pPr>
          </w:p>
        </w:tc>
        <w:tc>
          <w:tcPr>
            <w:tcW w:w="835" w:type="dxa"/>
            <w:noWrap w:val="0"/>
            <w:vAlign w:val="top"/>
          </w:tcPr>
          <w:p w14:paraId="262F9453">
            <w:pPr>
              <w:spacing w:line="400" w:lineRule="exact"/>
              <w:jc w:val="center"/>
              <w:rPr>
                <w:rFonts w:hint="eastAsia" w:ascii="宋体" w:hAnsi="宋体" w:cs="宋体"/>
                <w:color w:val="auto"/>
                <w:sz w:val="24"/>
                <w:highlight w:val="none"/>
              </w:rPr>
            </w:pPr>
          </w:p>
        </w:tc>
        <w:tc>
          <w:tcPr>
            <w:tcW w:w="951" w:type="dxa"/>
            <w:noWrap w:val="0"/>
            <w:vAlign w:val="top"/>
          </w:tcPr>
          <w:p w14:paraId="192ECC85">
            <w:pPr>
              <w:spacing w:line="400" w:lineRule="exact"/>
              <w:jc w:val="center"/>
              <w:rPr>
                <w:rFonts w:hint="eastAsia" w:ascii="宋体" w:hAnsi="宋体" w:cs="宋体"/>
                <w:color w:val="auto"/>
                <w:sz w:val="24"/>
                <w:highlight w:val="none"/>
              </w:rPr>
            </w:pPr>
          </w:p>
        </w:tc>
        <w:tc>
          <w:tcPr>
            <w:tcW w:w="841" w:type="dxa"/>
            <w:noWrap w:val="0"/>
            <w:vAlign w:val="top"/>
          </w:tcPr>
          <w:p w14:paraId="364451DB">
            <w:pPr>
              <w:spacing w:line="400" w:lineRule="exact"/>
              <w:jc w:val="center"/>
              <w:rPr>
                <w:rFonts w:hint="eastAsia" w:ascii="宋体" w:hAnsi="宋体" w:cs="宋体"/>
                <w:color w:val="auto"/>
                <w:sz w:val="24"/>
                <w:highlight w:val="none"/>
              </w:rPr>
            </w:pPr>
          </w:p>
        </w:tc>
      </w:tr>
      <w:tr w14:paraId="29F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672193C">
            <w:pPr>
              <w:spacing w:line="400" w:lineRule="exact"/>
              <w:jc w:val="center"/>
              <w:rPr>
                <w:rFonts w:hint="eastAsia" w:ascii="宋体" w:hAnsi="宋体" w:cs="宋体"/>
                <w:color w:val="auto"/>
                <w:sz w:val="24"/>
                <w:highlight w:val="none"/>
              </w:rPr>
            </w:pPr>
          </w:p>
        </w:tc>
        <w:tc>
          <w:tcPr>
            <w:tcW w:w="910" w:type="dxa"/>
            <w:noWrap w:val="0"/>
            <w:vAlign w:val="top"/>
          </w:tcPr>
          <w:p w14:paraId="477CB0F3">
            <w:pPr>
              <w:spacing w:line="400" w:lineRule="exact"/>
              <w:jc w:val="center"/>
              <w:rPr>
                <w:rFonts w:hint="eastAsia" w:ascii="宋体" w:hAnsi="宋体" w:cs="宋体"/>
                <w:color w:val="auto"/>
                <w:sz w:val="24"/>
                <w:highlight w:val="none"/>
              </w:rPr>
            </w:pPr>
          </w:p>
        </w:tc>
        <w:tc>
          <w:tcPr>
            <w:tcW w:w="912" w:type="dxa"/>
            <w:noWrap w:val="0"/>
            <w:vAlign w:val="top"/>
          </w:tcPr>
          <w:p w14:paraId="7A51A6AE">
            <w:pPr>
              <w:spacing w:line="400" w:lineRule="exact"/>
              <w:jc w:val="center"/>
              <w:rPr>
                <w:rFonts w:hint="eastAsia" w:ascii="宋体" w:hAnsi="宋体" w:cs="宋体"/>
                <w:b/>
                <w:bCs/>
                <w:color w:val="auto"/>
                <w:sz w:val="24"/>
                <w:highlight w:val="none"/>
              </w:rPr>
            </w:pPr>
          </w:p>
        </w:tc>
        <w:tc>
          <w:tcPr>
            <w:tcW w:w="912" w:type="dxa"/>
            <w:noWrap w:val="0"/>
            <w:vAlign w:val="top"/>
          </w:tcPr>
          <w:p w14:paraId="2C19D789">
            <w:pPr>
              <w:spacing w:line="400" w:lineRule="exact"/>
              <w:jc w:val="center"/>
              <w:rPr>
                <w:rFonts w:hint="eastAsia" w:ascii="宋体" w:hAnsi="宋体" w:cs="宋体"/>
                <w:b/>
                <w:bCs/>
                <w:color w:val="auto"/>
                <w:sz w:val="24"/>
                <w:highlight w:val="none"/>
              </w:rPr>
            </w:pPr>
          </w:p>
        </w:tc>
        <w:tc>
          <w:tcPr>
            <w:tcW w:w="912" w:type="dxa"/>
            <w:noWrap w:val="0"/>
            <w:vAlign w:val="top"/>
          </w:tcPr>
          <w:p w14:paraId="1DB6BB3C">
            <w:pPr>
              <w:spacing w:line="400" w:lineRule="exact"/>
              <w:jc w:val="center"/>
              <w:rPr>
                <w:rFonts w:hint="eastAsia" w:ascii="宋体" w:hAnsi="宋体" w:cs="宋体"/>
                <w:b/>
                <w:bCs/>
                <w:color w:val="auto"/>
                <w:sz w:val="24"/>
                <w:highlight w:val="none"/>
              </w:rPr>
            </w:pPr>
          </w:p>
        </w:tc>
        <w:tc>
          <w:tcPr>
            <w:tcW w:w="1188" w:type="dxa"/>
            <w:noWrap w:val="0"/>
            <w:vAlign w:val="top"/>
          </w:tcPr>
          <w:p w14:paraId="2B5EE2D8">
            <w:pPr>
              <w:spacing w:line="400" w:lineRule="exact"/>
              <w:jc w:val="center"/>
              <w:rPr>
                <w:rFonts w:hint="eastAsia" w:ascii="宋体" w:hAnsi="宋体" w:cs="宋体"/>
                <w:b/>
                <w:bCs/>
                <w:color w:val="auto"/>
                <w:sz w:val="24"/>
                <w:highlight w:val="none"/>
              </w:rPr>
            </w:pPr>
          </w:p>
        </w:tc>
        <w:tc>
          <w:tcPr>
            <w:tcW w:w="835" w:type="dxa"/>
            <w:noWrap w:val="0"/>
            <w:vAlign w:val="top"/>
          </w:tcPr>
          <w:p w14:paraId="6FB1B3D1">
            <w:pPr>
              <w:spacing w:line="400" w:lineRule="exact"/>
              <w:jc w:val="center"/>
              <w:rPr>
                <w:rFonts w:hint="eastAsia" w:ascii="宋体" w:hAnsi="宋体" w:cs="宋体"/>
                <w:b/>
                <w:bCs/>
                <w:color w:val="auto"/>
                <w:sz w:val="24"/>
                <w:highlight w:val="none"/>
              </w:rPr>
            </w:pPr>
          </w:p>
        </w:tc>
        <w:tc>
          <w:tcPr>
            <w:tcW w:w="951" w:type="dxa"/>
            <w:noWrap w:val="0"/>
            <w:vAlign w:val="top"/>
          </w:tcPr>
          <w:p w14:paraId="62BA18EB">
            <w:pPr>
              <w:spacing w:line="400" w:lineRule="exact"/>
              <w:jc w:val="center"/>
              <w:rPr>
                <w:rFonts w:hint="eastAsia" w:ascii="宋体" w:hAnsi="宋体" w:cs="宋体"/>
                <w:b/>
                <w:bCs/>
                <w:color w:val="auto"/>
                <w:sz w:val="24"/>
                <w:highlight w:val="none"/>
              </w:rPr>
            </w:pPr>
          </w:p>
        </w:tc>
        <w:tc>
          <w:tcPr>
            <w:tcW w:w="841" w:type="dxa"/>
            <w:noWrap w:val="0"/>
            <w:vAlign w:val="top"/>
          </w:tcPr>
          <w:p w14:paraId="7D5248BA">
            <w:pPr>
              <w:spacing w:line="400" w:lineRule="exact"/>
              <w:jc w:val="center"/>
              <w:rPr>
                <w:rFonts w:hint="eastAsia" w:ascii="宋体" w:hAnsi="宋体" w:cs="宋体"/>
                <w:b/>
                <w:bCs/>
                <w:color w:val="auto"/>
                <w:sz w:val="24"/>
                <w:highlight w:val="none"/>
              </w:rPr>
            </w:pPr>
          </w:p>
        </w:tc>
      </w:tr>
      <w:tr w14:paraId="07C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FE3555A">
            <w:pPr>
              <w:spacing w:line="400" w:lineRule="exact"/>
              <w:jc w:val="center"/>
              <w:rPr>
                <w:rFonts w:hint="eastAsia" w:ascii="宋体" w:hAnsi="宋体" w:cs="宋体"/>
                <w:color w:val="auto"/>
                <w:sz w:val="24"/>
                <w:highlight w:val="none"/>
              </w:rPr>
            </w:pPr>
          </w:p>
        </w:tc>
        <w:tc>
          <w:tcPr>
            <w:tcW w:w="910" w:type="dxa"/>
            <w:noWrap w:val="0"/>
            <w:vAlign w:val="top"/>
          </w:tcPr>
          <w:p w14:paraId="7B33F282">
            <w:pPr>
              <w:spacing w:line="400" w:lineRule="exact"/>
              <w:jc w:val="center"/>
              <w:rPr>
                <w:rFonts w:hint="eastAsia" w:ascii="宋体" w:hAnsi="宋体" w:cs="宋体"/>
                <w:color w:val="auto"/>
                <w:sz w:val="24"/>
                <w:highlight w:val="none"/>
              </w:rPr>
            </w:pPr>
          </w:p>
        </w:tc>
        <w:tc>
          <w:tcPr>
            <w:tcW w:w="912" w:type="dxa"/>
            <w:noWrap w:val="0"/>
            <w:vAlign w:val="top"/>
          </w:tcPr>
          <w:p w14:paraId="26EF5640">
            <w:pPr>
              <w:spacing w:line="400" w:lineRule="exact"/>
              <w:jc w:val="center"/>
              <w:rPr>
                <w:rFonts w:hint="eastAsia" w:ascii="宋体" w:hAnsi="宋体" w:cs="宋体"/>
                <w:b/>
                <w:bCs/>
                <w:color w:val="auto"/>
                <w:sz w:val="24"/>
                <w:highlight w:val="none"/>
              </w:rPr>
            </w:pPr>
          </w:p>
        </w:tc>
        <w:tc>
          <w:tcPr>
            <w:tcW w:w="912" w:type="dxa"/>
            <w:noWrap w:val="0"/>
            <w:vAlign w:val="top"/>
          </w:tcPr>
          <w:p w14:paraId="4FCE230C">
            <w:pPr>
              <w:spacing w:line="400" w:lineRule="exact"/>
              <w:jc w:val="center"/>
              <w:rPr>
                <w:rFonts w:hint="eastAsia" w:ascii="宋体" w:hAnsi="宋体" w:cs="宋体"/>
                <w:b/>
                <w:bCs/>
                <w:color w:val="auto"/>
                <w:sz w:val="24"/>
                <w:highlight w:val="none"/>
              </w:rPr>
            </w:pPr>
          </w:p>
        </w:tc>
        <w:tc>
          <w:tcPr>
            <w:tcW w:w="912" w:type="dxa"/>
            <w:noWrap w:val="0"/>
            <w:vAlign w:val="top"/>
          </w:tcPr>
          <w:p w14:paraId="42106A7E">
            <w:pPr>
              <w:spacing w:line="400" w:lineRule="exact"/>
              <w:jc w:val="center"/>
              <w:rPr>
                <w:rFonts w:hint="eastAsia" w:ascii="宋体" w:hAnsi="宋体" w:cs="宋体"/>
                <w:b/>
                <w:bCs/>
                <w:color w:val="auto"/>
                <w:sz w:val="24"/>
                <w:highlight w:val="none"/>
              </w:rPr>
            </w:pPr>
          </w:p>
        </w:tc>
        <w:tc>
          <w:tcPr>
            <w:tcW w:w="1188" w:type="dxa"/>
            <w:noWrap w:val="0"/>
            <w:vAlign w:val="top"/>
          </w:tcPr>
          <w:p w14:paraId="2B6DD364">
            <w:pPr>
              <w:spacing w:line="400" w:lineRule="exact"/>
              <w:jc w:val="center"/>
              <w:rPr>
                <w:rFonts w:hint="eastAsia" w:ascii="宋体" w:hAnsi="宋体" w:cs="宋体"/>
                <w:b/>
                <w:bCs/>
                <w:color w:val="auto"/>
                <w:sz w:val="24"/>
                <w:highlight w:val="none"/>
              </w:rPr>
            </w:pPr>
          </w:p>
        </w:tc>
        <w:tc>
          <w:tcPr>
            <w:tcW w:w="835" w:type="dxa"/>
            <w:noWrap w:val="0"/>
            <w:vAlign w:val="top"/>
          </w:tcPr>
          <w:p w14:paraId="2D13799F">
            <w:pPr>
              <w:spacing w:line="400" w:lineRule="exact"/>
              <w:jc w:val="center"/>
              <w:rPr>
                <w:rFonts w:hint="eastAsia" w:ascii="宋体" w:hAnsi="宋体" w:cs="宋体"/>
                <w:b/>
                <w:bCs/>
                <w:color w:val="auto"/>
                <w:sz w:val="24"/>
                <w:highlight w:val="none"/>
              </w:rPr>
            </w:pPr>
          </w:p>
        </w:tc>
        <w:tc>
          <w:tcPr>
            <w:tcW w:w="951" w:type="dxa"/>
            <w:noWrap w:val="0"/>
            <w:vAlign w:val="top"/>
          </w:tcPr>
          <w:p w14:paraId="569739C7">
            <w:pPr>
              <w:spacing w:line="400" w:lineRule="exact"/>
              <w:jc w:val="center"/>
              <w:rPr>
                <w:rFonts w:hint="eastAsia" w:ascii="宋体" w:hAnsi="宋体" w:cs="宋体"/>
                <w:b/>
                <w:bCs/>
                <w:color w:val="auto"/>
                <w:sz w:val="24"/>
                <w:highlight w:val="none"/>
              </w:rPr>
            </w:pPr>
          </w:p>
        </w:tc>
        <w:tc>
          <w:tcPr>
            <w:tcW w:w="841" w:type="dxa"/>
            <w:noWrap w:val="0"/>
            <w:vAlign w:val="top"/>
          </w:tcPr>
          <w:p w14:paraId="0538425A">
            <w:pPr>
              <w:spacing w:line="400" w:lineRule="exact"/>
              <w:jc w:val="center"/>
              <w:rPr>
                <w:rFonts w:hint="eastAsia" w:ascii="宋体" w:hAnsi="宋体" w:cs="宋体"/>
                <w:b/>
                <w:bCs/>
                <w:color w:val="auto"/>
                <w:sz w:val="24"/>
                <w:highlight w:val="none"/>
              </w:rPr>
            </w:pPr>
          </w:p>
        </w:tc>
      </w:tr>
    </w:tbl>
    <w:p w14:paraId="1699CD04">
      <w:pPr>
        <w:adjustRightInd w:val="0"/>
        <w:spacing w:line="400" w:lineRule="exact"/>
        <w:ind w:firstLine="900" w:firstLineChars="375"/>
        <w:jc w:val="left"/>
        <w:rPr>
          <w:rFonts w:hint="eastAsia" w:ascii="宋体" w:hAnsi="宋体" w:cs="宋体"/>
          <w:bCs/>
          <w:color w:val="auto"/>
          <w:sz w:val="24"/>
          <w:highlight w:val="none"/>
        </w:rPr>
      </w:pPr>
      <w:r>
        <w:rPr>
          <w:rFonts w:hint="eastAsia" w:ascii="宋体" w:hAnsi="宋体" w:cs="宋体"/>
          <w:bCs/>
          <w:color w:val="auto"/>
          <w:sz w:val="24"/>
          <w:highlight w:val="none"/>
        </w:rPr>
        <w:t>注：后附人员相关证书彩色扫描件。</w:t>
      </w:r>
    </w:p>
    <w:p w14:paraId="137BE977">
      <w:pPr>
        <w:pStyle w:val="12"/>
        <w:rPr>
          <w:rFonts w:hint="eastAsia" w:ascii="宋体" w:hAnsi="宋体" w:cs="宋体"/>
          <w:color w:val="auto"/>
          <w:sz w:val="24"/>
          <w:highlight w:val="none"/>
        </w:rPr>
      </w:pPr>
    </w:p>
    <w:p w14:paraId="087240A7">
      <w:pPr>
        <w:adjustRightInd w:val="0"/>
        <w:spacing w:line="400" w:lineRule="exact"/>
        <w:ind w:firstLine="900" w:firstLineChars="375"/>
        <w:jc w:val="center"/>
        <w:rPr>
          <w:rFonts w:hint="eastAsia" w:ascii="宋体" w:hAnsi="宋体" w:cs="宋体"/>
          <w:bCs/>
          <w:color w:val="auto"/>
          <w:sz w:val="24"/>
          <w:highlight w:val="none"/>
        </w:rPr>
      </w:pPr>
      <w:r>
        <w:rPr>
          <w:rFonts w:hint="eastAsia" w:ascii="宋体" w:hAnsi="宋体" w:cs="宋体"/>
          <w:bCs/>
          <w:color w:val="auto"/>
          <w:sz w:val="24"/>
          <w:highlight w:val="none"/>
        </w:rPr>
        <w:t xml:space="preserve">         投标人名称（盖章）：        </w:t>
      </w:r>
    </w:p>
    <w:p w14:paraId="37DAB70A">
      <w:pPr>
        <w:adjustRightInd w:val="0"/>
        <w:spacing w:line="400" w:lineRule="exact"/>
        <w:ind w:firstLine="4020" w:firstLineChars="1675"/>
        <w:rPr>
          <w:rFonts w:hint="eastAsia" w:ascii="宋体" w:hAnsi="宋体" w:cs="宋体"/>
          <w:bCs/>
          <w:color w:val="auto"/>
          <w:sz w:val="24"/>
          <w:highlight w:val="none"/>
        </w:rPr>
      </w:pPr>
      <w:r>
        <w:rPr>
          <w:rFonts w:hint="eastAsia" w:ascii="宋体" w:hAnsi="宋体" w:cs="宋体"/>
          <w:color w:val="auto"/>
          <w:sz w:val="24"/>
          <w:highlight w:val="none"/>
        </w:rPr>
        <w:t>授权人或被授权人（签字或盖章）</w:t>
      </w:r>
      <w:r>
        <w:rPr>
          <w:rFonts w:hint="eastAsia" w:ascii="宋体" w:hAnsi="宋体" w:cs="宋体"/>
          <w:bCs/>
          <w:color w:val="auto"/>
          <w:sz w:val="24"/>
          <w:highlight w:val="none"/>
        </w:rPr>
        <w:t>：</w:t>
      </w:r>
    </w:p>
    <w:p w14:paraId="4B18AC41">
      <w:pPr>
        <w:adjustRightInd w:val="0"/>
        <w:spacing w:line="400" w:lineRule="exact"/>
        <w:ind w:firstLine="900" w:firstLineChars="375"/>
        <w:jc w:val="center"/>
        <w:rPr>
          <w:rFonts w:hint="eastAsia" w:ascii="宋体" w:hAnsi="宋体" w:cs="宋体"/>
          <w:bCs/>
          <w:color w:val="auto"/>
          <w:sz w:val="24"/>
          <w:highlight w:val="none"/>
        </w:rPr>
      </w:pPr>
      <w:r>
        <w:rPr>
          <w:rFonts w:hint="eastAsia" w:ascii="宋体" w:hAnsi="宋体" w:cs="宋体"/>
          <w:bCs/>
          <w:color w:val="auto"/>
          <w:sz w:val="24"/>
          <w:highlight w:val="none"/>
        </w:rPr>
        <w:t>日期:</w:t>
      </w:r>
    </w:p>
    <w:p w14:paraId="1F802D9C">
      <w:pPr>
        <w:spacing w:line="360" w:lineRule="auto"/>
        <w:ind w:firstLine="4080" w:firstLineChars="1700"/>
        <w:jc w:val="left"/>
        <w:rPr>
          <w:rFonts w:hint="eastAsia" w:ascii="宋体" w:hAnsi="宋体" w:eastAsia="宋体" w:cs="宋体"/>
          <w:color w:val="auto"/>
          <w:sz w:val="24"/>
          <w:szCs w:val="24"/>
          <w:highlight w:val="none"/>
        </w:rPr>
      </w:pPr>
    </w:p>
    <w:p w14:paraId="36FDDB53">
      <w:pPr>
        <w:spacing w:line="440" w:lineRule="exact"/>
        <w:jc w:val="center"/>
        <w:rPr>
          <w:rFonts w:hint="eastAsia" w:ascii="宋体" w:hAnsi="宋体" w:eastAsia="宋体" w:cs="宋体"/>
          <w:color w:val="auto"/>
          <w:sz w:val="24"/>
          <w:szCs w:val="24"/>
          <w:highlight w:val="none"/>
        </w:rPr>
      </w:pPr>
    </w:p>
    <w:p w14:paraId="4D81FC42">
      <w:pPr>
        <w:rPr>
          <w:rFonts w:hint="eastAsia" w:ascii="宋体" w:hAnsi="宋体" w:eastAsia="宋体" w:cs="宋体"/>
          <w:color w:val="auto"/>
          <w:sz w:val="24"/>
          <w:szCs w:val="24"/>
          <w:highlight w:val="none"/>
        </w:rPr>
      </w:pPr>
    </w:p>
    <w:p w14:paraId="40D130CF">
      <w:pPr>
        <w:pStyle w:val="27"/>
        <w:spacing w:before="75" w:beforeAutospacing="0" w:after="75" w:afterAutospacing="0" w:line="540" w:lineRule="atLeast"/>
        <w:rPr>
          <w:rFonts w:hint="eastAsia" w:ascii="宋体" w:hAnsi="宋体" w:eastAsia="宋体" w:cs="宋体"/>
          <w:color w:val="auto"/>
          <w:sz w:val="24"/>
          <w:szCs w:val="24"/>
          <w:highlight w:val="none"/>
        </w:rPr>
      </w:pPr>
    </w:p>
    <w:p w14:paraId="6BAEA896">
      <w:pPr>
        <w:pStyle w:val="27"/>
        <w:spacing w:before="75" w:beforeAutospacing="0" w:after="75" w:afterAutospacing="0" w:line="540" w:lineRule="atLeast"/>
        <w:rPr>
          <w:rFonts w:hint="eastAsia" w:ascii="宋体" w:hAnsi="宋体" w:eastAsia="宋体" w:cs="宋体"/>
          <w:color w:val="auto"/>
          <w:sz w:val="24"/>
          <w:szCs w:val="24"/>
          <w:highlight w:val="none"/>
        </w:rPr>
      </w:pPr>
    </w:p>
    <w:p w14:paraId="3C7065A3">
      <w:pPr>
        <w:pStyle w:val="27"/>
        <w:spacing w:before="75" w:beforeAutospacing="0" w:after="75" w:afterAutospacing="0" w:line="540" w:lineRule="atLeast"/>
        <w:rPr>
          <w:rFonts w:hint="eastAsia" w:ascii="宋体" w:hAnsi="宋体" w:eastAsia="宋体" w:cs="宋体"/>
          <w:color w:val="auto"/>
          <w:sz w:val="24"/>
          <w:szCs w:val="24"/>
          <w:highlight w:val="none"/>
        </w:rPr>
      </w:pPr>
    </w:p>
    <w:p w14:paraId="7EA80445">
      <w:pPr>
        <w:pStyle w:val="31"/>
        <w:numPr>
          <w:ilvl w:val="0"/>
          <w:numId w:val="0"/>
        </w:numPr>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r>
        <w:rPr>
          <w:rFonts w:hint="eastAsia" w:ascii="宋体" w:hAnsi="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实施方案</w:t>
      </w:r>
    </w:p>
    <w:p w14:paraId="0EABAF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bookmarkEnd w:id="142"/>
    <w:p w14:paraId="4D7CD752">
      <w:pPr>
        <w:pStyle w:val="6"/>
        <w:ind w:firstLine="0" w:firstLineChars="0"/>
        <w:jc w:val="center"/>
        <w:outlineLvl w:val="1"/>
        <w:rPr>
          <w:rFonts w:hint="default" w:ascii="宋体" w:hAnsi="宋体" w:eastAsia="宋体" w:cs="宋体"/>
          <w:b/>
          <w:bCs/>
          <w:color w:val="auto"/>
          <w:kern w:val="0"/>
          <w:sz w:val="24"/>
          <w:szCs w:val="24"/>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7" w:name="_Toc31271_WPSOffice_Level1"/>
      <w:r>
        <w:rPr>
          <w:rFonts w:hint="eastAsia" w:ascii="宋体" w:hAnsi="宋体" w:cs="宋体"/>
          <w:b/>
          <w:bCs/>
          <w:color w:val="auto"/>
          <w:kern w:val="0"/>
          <w:sz w:val="24"/>
          <w:szCs w:val="24"/>
          <w:highlight w:val="none"/>
          <w:lang w:val="en-US" w:eastAsia="zh-CN"/>
        </w:rPr>
        <w:t>根据第五章“评标办法”所需内容自拟格式</w:t>
      </w:r>
    </w:p>
    <w:p w14:paraId="09F6582D">
      <w:pPr>
        <w:pStyle w:val="6"/>
        <w:ind w:firstLine="0" w:firstLineChars="0"/>
        <w:jc w:val="center"/>
        <w:outlineLvl w:val="1"/>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、投标人认为需要提供的其他文件和资料</w:t>
      </w:r>
    </w:p>
    <w:p w14:paraId="06B0F644">
      <w:pPr>
        <w:spacing w:line="460" w:lineRule="exact"/>
        <w:rPr>
          <w:rFonts w:hint="eastAsia" w:ascii="宋体" w:hAnsi="宋体" w:eastAsia="宋体" w:cs="宋体"/>
          <w:bCs/>
          <w:color w:val="auto"/>
          <w:sz w:val="24"/>
          <w:szCs w:val="24"/>
          <w:highlight w:val="none"/>
        </w:rPr>
      </w:pPr>
    </w:p>
    <w:p w14:paraId="01FBDDBA">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1、以下《中小微企业声明函》、《监狱企业的证明文件》及《残疾人福利性单位声明函》投标人根据自身的实际情况选用（如有）。</w:t>
      </w:r>
    </w:p>
    <w:p w14:paraId="168EE0B4">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3909BCDE">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w:t>
      </w:r>
    </w:p>
    <w:p w14:paraId="191E895B">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p>
    <w:p w14:paraId="2159B902">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w:t>
      </w:r>
      <w:r>
        <w:rPr>
          <w:rFonts w:hint="eastAsia" w:asciiTheme="minorEastAsia" w:hAnsiTheme="minorEastAsia" w:eastAsiaTheme="minorEastAsia" w:cstheme="minorEastAsia"/>
          <w:color w:val="auto"/>
          <w:sz w:val="24"/>
          <w:szCs w:val="24"/>
          <w:highlight w:val="none"/>
          <w:lang w:val="en-US" w:eastAsia="zh-CN"/>
        </w:rPr>
        <w:t>提供的货物</w:t>
      </w:r>
      <w:r>
        <w:rPr>
          <w:rFonts w:hint="eastAsia" w:asciiTheme="minorEastAsia" w:hAnsiTheme="minorEastAsia" w:eastAsiaTheme="minorEastAsia" w:cstheme="minorEastAsia"/>
          <w:color w:val="auto"/>
          <w:sz w:val="24"/>
          <w:szCs w:val="24"/>
          <w:highlight w:val="none"/>
        </w:rPr>
        <w:t>全部</w:t>
      </w:r>
      <w:r>
        <w:rPr>
          <w:rFonts w:hint="eastAsia" w:asciiTheme="minorEastAsia" w:hAnsiTheme="minorEastAsia" w:eastAsiaTheme="minorEastAsia" w:cstheme="minorEastAsia"/>
          <w:color w:val="auto"/>
          <w:sz w:val="24"/>
          <w:szCs w:val="24"/>
          <w:highlight w:val="none"/>
          <w:lang w:val="en-US" w:eastAsia="zh-CN"/>
        </w:rPr>
        <w:t>由</w:t>
      </w:r>
      <w:r>
        <w:rPr>
          <w:rFonts w:hint="eastAsia" w:asciiTheme="minorEastAsia" w:hAnsiTheme="minorEastAsia" w:eastAsiaTheme="minorEastAsia" w:cstheme="minorEastAsia"/>
          <w:color w:val="auto"/>
          <w:sz w:val="24"/>
          <w:szCs w:val="24"/>
          <w:highlight w:val="none"/>
        </w:rPr>
        <w:t>符合政策要求的中小企业</w:t>
      </w:r>
      <w:r>
        <w:rPr>
          <w:rFonts w:hint="eastAsia" w:asciiTheme="minorEastAsia" w:hAnsiTheme="minorEastAsia" w:eastAsiaTheme="minorEastAsia" w:cstheme="minorEastAsia"/>
          <w:color w:val="auto"/>
          <w:sz w:val="24"/>
          <w:szCs w:val="24"/>
          <w:highlight w:val="none"/>
          <w:lang w:val="en-US" w:eastAsia="zh-CN"/>
        </w:rPr>
        <w:t>制造。</w:t>
      </w:r>
      <w:r>
        <w:rPr>
          <w:rFonts w:hint="eastAsia" w:asciiTheme="minorEastAsia" w:hAnsiTheme="minorEastAsia" w:eastAsiaTheme="minorEastAsia" w:cstheme="minorEastAsia"/>
          <w:color w:val="auto"/>
          <w:sz w:val="24"/>
          <w:szCs w:val="24"/>
          <w:highlight w:val="none"/>
        </w:rPr>
        <w:t>相关企业（含联合体中的中小企业、签订分包意向协议的中小企业）的具体情况如下：</w:t>
      </w:r>
    </w:p>
    <w:p w14:paraId="1C3F8331">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w:t>
      </w:r>
      <w:r>
        <w:rPr>
          <w:rFonts w:hint="eastAsia" w:asciiTheme="minorEastAsia" w:hAnsiTheme="minorEastAsia" w:eastAsiaTheme="minorEastAsia" w:cstheme="minorEastAsia"/>
          <w:color w:val="auto"/>
          <w:sz w:val="24"/>
          <w:szCs w:val="24"/>
          <w:highlight w:val="none"/>
          <w:u w:val="single"/>
          <w:lang w:val="en-US" w:eastAsia="zh-CN"/>
        </w:rPr>
        <w:t>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，属于（中型企业、小型企业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微型企业</w:t>
      </w:r>
      <w:r>
        <w:rPr>
          <w:rFonts w:hint="eastAsia" w:asciiTheme="minorEastAsia" w:hAnsiTheme="minorEastAsia" w:eastAsiaTheme="minorEastAsia" w:cstheme="minorEastAsia"/>
          <w:color w:val="auto"/>
          <w:sz w:val="24"/>
          <w:szCs w:val="24"/>
          <w:highlight w:val="none"/>
        </w:rPr>
        <w:t>）；</w:t>
      </w:r>
    </w:p>
    <w:p w14:paraId="3E899F27">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微型企业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461D8877">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77924F3">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0556C6">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54B0EE8E">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35587182">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558F4278">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从业人员、营业收入、资产总额填报上一年度数据，无上一年度数据的新成立企业可不填报</w:t>
      </w:r>
    </w:p>
    <w:p w14:paraId="2D347556">
      <w:pPr>
        <w:spacing w:line="460" w:lineRule="exact"/>
        <w:jc w:val="center"/>
        <w:rPr>
          <w:rFonts w:hint="eastAsia" w:asciiTheme="minorEastAsia" w:hAnsiTheme="minorEastAsia" w:eastAsiaTheme="minorEastAsia" w:cstheme="minorEastAsia"/>
          <w:b/>
          <w:bCs/>
          <w:color w:val="auto"/>
          <w:sz w:val="24"/>
          <w:szCs w:val="24"/>
          <w:highlight w:val="none"/>
        </w:rPr>
      </w:pPr>
    </w:p>
    <w:p w14:paraId="0F4AE03B">
      <w:pPr>
        <w:pStyle w:val="28"/>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4"/>
          <w:szCs w:val="24"/>
          <w:highlight w:val="none"/>
        </w:rPr>
      </w:pPr>
    </w:p>
    <w:p w14:paraId="7669E1AE">
      <w:pPr>
        <w:rPr>
          <w:rFonts w:hint="eastAsia" w:asciiTheme="minorEastAsia" w:hAnsiTheme="minorEastAsia" w:eastAsiaTheme="minorEastAsia" w:cstheme="minorEastAsia"/>
          <w:color w:val="auto"/>
          <w:sz w:val="24"/>
          <w:szCs w:val="24"/>
          <w:highlight w:val="none"/>
        </w:rPr>
      </w:pPr>
    </w:p>
    <w:p w14:paraId="023EF894">
      <w:pPr>
        <w:spacing w:line="460" w:lineRule="exact"/>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bookmarkStart w:id="148" w:name="OLE_LINK13"/>
      <w:bookmarkStart w:id="149" w:name="OLE_LINK14"/>
      <w:r>
        <w:rPr>
          <w:rFonts w:hint="eastAsia" w:asciiTheme="minorEastAsia" w:hAnsiTheme="minorEastAsia" w:eastAsiaTheme="minorEastAsia" w:cstheme="minorEastAsia"/>
          <w:b/>
          <w:color w:val="auto"/>
          <w:spacing w:val="6"/>
          <w:sz w:val="24"/>
          <w:szCs w:val="24"/>
          <w:highlight w:val="none"/>
        </w:rPr>
        <w:t>残疾人福利性单位声明函</w:t>
      </w:r>
    </w:p>
    <w:bookmarkEnd w:id="148"/>
    <w:bookmarkEnd w:id="149"/>
    <w:p w14:paraId="197CA129">
      <w:pPr>
        <w:spacing w:line="460" w:lineRule="exact"/>
        <w:rPr>
          <w:rFonts w:hint="eastAsia" w:asciiTheme="minorEastAsia" w:hAnsiTheme="minorEastAsia" w:eastAsiaTheme="minorEastAsia" w:cstheme="minorEastAsia"/>
          <w:b/>
          <w:color w:val="auto"/>
          <w:spacing w:val="6"/>
          <w:sz w:val="24"/>
          <w:szCs w:val="24"/>
          <w:highlight w:val="none"/>
        </w:rPr>
      </w:pPr>
    </w:p>
    <w:p w14:paraId="40BE996A">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2FFA49F7">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7875460D">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652710B3">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08B26763">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单位名称（盖章）：</w:t>
      </w:r>
    </w:p>
    <w:p w14:paraId="376FFAFD">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14:paraId="6B98C2EB">
      <w:pPr>
        <w:widowControl/>
        <w:adjustRightInd w:val="0"/>
        <w:snapToGrid w:val="0"/>
        <w:spacing w:line="460" w:lineRule="exact"/>
        <w:rPr>
          <w:rFonts w:hint="eastAsia" w:asciiTheme="minorEastAsia" w:hAnsiTheme="minorEastAsia" w:eastAsiaTheme="minorEastAsia" w:cstheme="minorEastAsia"/>
          <w:color w:val="auto"/>
          <w:sz w:val="24"/>
          <w:szCs w:val="24"/>
          <w:highlight w:val="none"/>
        </w:rPr>
      </w:pPr>
    </w:p>
    <w:p w14:paraId="2800250E">
      <w:pPr>
        <w:spacing w:line="460" w:lineRule="exact"/>
        <w:jc w:val="left"/>
        <w:rPr>
          <w:rFonts w:hint="eastAsia" w:asciiTheme="minorEastAsia" w:hAnsiTheme="minorEastAsia" w:eastAsiaTheme="minorEastAsia" w:cstheme="minorEastAsia"/>
          <w:bCs/>
          <w:color w:val="auto"/>
          <w:sz w:val="24"/>
          <w:szCs w:val="24"/>
          <w:highlight w:val="none"/>
        </w:rPr>
      </w:pPr>
    </w:p>
    <w:p w14:paraId="326D124D">
      <w:pPr>
        <w:widowControl/>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r>
        <w:rPr>
          <w:rFonts w:hint="eastAsia" w:asciiTheme="minorEastAsia" w:hAnsiTheme="minorEastAsia" w:eastAsiaTheme="minorEastAsia" w:cstheme="minorEastAsia"/>
          <w:color w:val="auto"/>
          <w:sz w:val="24"/>
          <w:szCs w:val="24"/>
          <w:highlight w:val="none"/>
        </w:rPr>
        <w:t>：须提供证明材料（能反映出企业残疾人的占比等情况的材料及残疾人证等）。</w:t>
      </w:r>
    </w:p>
    <w:p w14:paraId="276C100B">
      <w:pPr>
        <w:spacing w:line="460" w:lineRule="exact"/>
        <w:jc w:val="center"/>
        <w:rPr>
          <w:rFonts w:hint="eastAsia" w:asciiTheme="minorEastAsia" w:hAnsiTheme="minorEastAsia" w:eastAsiaTheme="minorEastAsia" w:cstheme="minorEastAsia"/>
          <w:b/>
          <w:bCs/>
          <w:color w:val="auto"/>
          <w:sz w:val="24"/>
          <w:szCs w:val="24"/>
          <w:highlight w:val="none"/>
        </w:rPr>
      </w:pPr>
    </w:p>
    <w:p w14:paraId="71691678">
      <w:pPr>
        <w:spacing w:line="460" w:lineRule="exact"/>
        <w:jc w:val="center"/>
        <w:rPr>
          <w:rFonts w:hint="eastAsia" w:asciiTheme="minorEastAsia" w:hAnsiTheme="minorEastAsia" w:eastAsiaTheme="minorEastAsia" w:cstheme="minorEastAsia"/>
          <w:b/>
          <w:bCs/>
          <w:color w:val="auto"/>
          <w:sz w:val="24"/>
          <w:szCs w:val="24"/>
          <w:highlight w:val="none"/>
        </w:rPr>
      </w:pPr>
    </w:p>
    <w:p w14:paraId="3643A062">
      <w:pPr>
        <w:widowControl/>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（三）监狱企业证明文件（如有）</w:t>
      </w:r>
    </w:p>
    <w:p w14:paraId="03985305">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70ECD8B7">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DD8627">
      <w:pPr>
        <w:pStyle w:val="15"/>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2.证明材料加盖投标人公章。</w:t>
      </w:r>
    </w:p>
    <w:p w14:paraId="0CD698A8">
      <w:pPr>
        <w:pStyle w:val="15"/>
        <w:spacing w:line="460" w:lineRule="exact"/>
        <w:jc w:val="both"/>
        <w:rPr>
          <w:rFonts w:hint="eastAsia" w:asciiTheme="minorEastAsia" w:hAnsiTheme="minorEastAsia" w:eastAsiaTheme="minorEastAsia" w:cstheme="minorEastAsia"/>
          <w:b/>
          <w:bCs/>
          <w:color w:val="auto"/>
          <w:sz w:val="24"/>
          <w:szCs w:val="24"/>
          <w:highlight w:val="none"/>
        </w:rPr>
      </w:pPr>
    </w:p>
    <w:p w14:paraId="32FCE1AD">
      <w:pPr>
        <w:pStyle w:val="15"/>
        <w:spacing w:line="46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（四）投标保证金</w:t>
      </w:r>
      <w:r>
        <w:rPr>
          <w:rFonts w:hint="eastAsia" w:asciiTheme="minorEastAsia" w:hAnsiTheme="minorEastAsia" w:eastAsiaTheme="minorEastAsia" w:cstheme="minorEastAsia"/>
          <w:b/>
          <w:bCs/>
          <w:color w:val="auto"/>
          <w:sz w:val="24"/>
          <w:szCs w:val="24"/>
          <w:highlight w:val="none"/>
          <w:lang w:eastAsia="zh-CN"/>
        </w:rPr>
        <w:t>缴纳凭证</w:t>
      </w:r>
    </w:p>
    <w:p w14:paraId="121374DF">
      <w:pPr>
        <w:pStyle w:val="15"/>
        <w:spacing w:line="460" w:lineRule="exact"/>
        <w:jc w:val="center"/>
        <w:rPr>
          <w:rFonts w:hint="eastAsia" w:asciiTheme="minorEastAsia" w:hAnsiTheme="minorEastAsia" w:eastAsiaTheme="minorEastAsia" w:cstheme="minorEastAsia"/>
          <w:color w:val="auto"/>
          <w:sz w:val="24"/>
          <w:szCs w:val="24"/>
          <w:highlight w:val="none"/>
        </w:rPr>
      </w:pPr>
    </w:p>
    <w:tbl>
      <w:tblPr>
        <w:tblStyle w:val="3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4D7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225D7D4C">
            <w:pPr>
              <w:pStyle w:val="15"/>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投标保证金</w:t>
            </w:r>
            <w:r>
              <w:rPr>
                <w:rFonts w:hint="eastAsia" w:asciiTheme="minorEastAsia" w:hAnsiTheme="minorEastAsia" w:eastAsiaTheme="minorEastAsia" w:cstheme="minorEastAsia"/>
                <w:color w:val="auto"/>
                <w:sz w:val="24"/>
                <w:szCs w:val="24"/>
                <w:highlight w:val="none"/>
                <w:lang w:eastAsia="zh-CN"/>
              </w:rPr>
              <w:t>缴纳凭证</w:t>
            </w:r>
          </w:p>
        </w:tc>
      </w:tr>
    </w:tbl>
    <w:p w14:paraId="4344A34F">
      <w:pPr>
        <w:adjustRightInd w:val="0"/>
        <w:snapToGrid w:val="0"/>
        <w:spacing w:line="460" w:lineRule="exact"/>
        <w:ind w:firstLine="480" w:firstLineChars="200"/>
        <w:rPr>
          <w:rFonts w:hint="eastAsia" w:ascii="宋体" w:hAnsi="宋体" w:eastAsia="宋体" w:cs="宋体"/>
          <w:color w:val="auto"/>
          <w:sz w:val="24"/>
          <w:szCs w:val="24"/>
          <w:highlight w:val="none"/>
        </w:rPr>
      </w:pPr>
    </w:p>
    <w:p w14:paraId="42B06B3F">
      <w:pPr>
        <w:spacing w:line="460" w:lineRule="exact"/>
        <w:rPr>
          <w:rFonts w:hint="eastAsia" w:ascii="宋体" w:hAnsi="宋体" w:eastAsia="宋体" w:cs="宋体"/>
          <w:color w:val="auto"/>
          <w:sz w:val="24"/>
          <w:szCs w:val="24"/>
          <w:highlight w:val="none"/>
        </w:rPr>
      </w:pPr>
    </w:p>
    <w:p w14:paraId="60B91AC3">
      <w:pPr>
        <w:pStyle w:val="18"/>
        <w:rPr>
          <w:rFonts w:hint="eastAsia" w:ascii="宋体" w:hAnsi="宋体" w:eastAsia="宋体" w:cs="宋体"/>
          <w:color w:val="auto"/>
          <w:sz w:val="24"/>
          <w:szCs w:val="24"/>
          <w:highlight w:val="none"/>
        </w:rPr>
      </w:pPr>
    </w:p>
    <w:p w14:paraId="0C703888">
      <w:pPr>
        <w:pStyle w:val="18"/>
        <w:rPr>
          <w:rFonts w:hint="eastAsia" w:ascii="宋体" w:hAnsi="宋体" w:eastAsia="宋体" w:cs="宋体"/>
          <w:color w:val="auto"/>
          <w:sz w:val="24"/>
          <w:szCs w:val="24"/>
          <w:highlight w:val="none"/>
        </w:rPr>
      </w:pPr>
    </w:p>
    <w:bookmarkEnd w:id="147"/>
    <w:p w14:paraId="66EF5A39">
      <w:pPr>
        <w:pStyle w:val="15"/>
        <w:spacing w:line="460" w:lineRule="exact"/>
        <w:jc w:val="center"/>
        <w:rPr>
          <w:rFonts w:hint="eastAsia" w:ascii="宋体" w:hAnsi="宋体" w:eastAsia="宋体" w:cs="宋体"/>
          <w:b/>
          <w:bCs/>
          <w:color w:val="auto"/>
          <w:sz w:val="24"/>
          <w:szCs w:val="24"/>
          <w:highlight w:val="none"/>
          <w:lang w:eastAsia="zh-CN"/>
        </w:rPr>
      </w:pPr>
      <w:bookmarkStart w:id="150" w:name="_Toc2964"/>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）其他</w:t>
      </w:r>
    </w:p>
    <w:bookmarkEnd w:id="150"/>
    <w:p w14:paraId="5821C652">
      <w:pPr>
        <w:spacing w:line="500" w:lineRule="exact"/>
        <w:ind w:firstLine="420" w:firstLineChars="200"/>
        <w:rPr>
          <w:rFonts w:hint="eastAsia" w:ascii="宋体" w:hAnsi="宋体" w:eastAsia="宋体" w:cs="宋体"/>
          <w:color w:val="auto"/>
          <w:sz w:val="24"/>
          <w:szCs w:val="24"/>
          <w:highlight w:val="none"/>
        </w:rPr>
      </w:pPr>
      <w:r>
        <w:rPr>
          <w:rFonts w:hint="eastAsia" w:ascii="宋体" w:hAnsi="宋体" w:cs="宋体"/>
          <w:b w:val="0"/>
          <w:bCs/>
          <w:color w:val="auto"/>
          <w:highlight w:val="none"/>
          <w:shd w:val="clear" w:color="auto" w:fill="auto"/>
          <w:lang w:val="en-US" w:eastAsia="zh-CN"/>
        </w:rPr>
        <w:t>投标人</w:t>
      </w:r>
      <w:r>
        <w:rPr>
          <w:rFonts w:hint="eastAsia" w:ascii="宋体" w:hAnsi="宋体" w:eastAsia="宋体" w:cs="宋体"/>
          <w:b w:val="0"/>
          <w:bCs/>
          <w:color w:val="auto"/>
          <w:highlight w:val="none"/>
          <w:shd w:val="clear" w:color="auto" w:fill="auto"/>
          <w:lang w:val="en-US" w:eastAsia="zh-CN"/>
        </w:rPr>
        <w:t>认为需提供的</w:t>
      </w:r>
      <w:r>
        <w:rPr>
          <w:rFonts w:hint="eastAsia" w:ascii="宋体" w:hAnsi="宋体" w:eastAsia="宋体" w:cs="宋体"/>
          <w:b/>
          <w:bCs w:val="0"/>
          <w:color w:val="auto"/>
          <w:highlight w:val="none"/>
          <w:shd w:val="clear" w:color="auto" w:fill="auto"/>
          <w:lang w:val="en-US" w:eastAsia="zh-CN"/>
        </w:rPr>
        <w:t>资格审查</w:t>
      </w:r>
      <w:r>
        <w:rPr>
          <w:rFonts w:hint="eastAsia" w:ascii="宋体" w:hAnsi="宋体" w:eastAsia="宋体" w:cs="宋体"/>
          <w:b w:val="0"/>
          <w:bCs/>
          <w:color w:val="auto"/>
          <w:highlight w:val="none"/>
          <w:shd w:val="clear" w:color="auto" w:fill="auto"/>
          <w:lang w:val="en-US" w:eastAsia="zh-CN"/>
        </w:rPr>
        <w:t>及其他补充资料。</w:t>
      </w:r>
    </w:p>
    <w:p w14:paraId="52B15B0B">
      <w:pPr>
        <w:bidi w:val="0"/>
        <w:jc w:val="center"/>
        <w:rPr>
          <w:rFonts w:hint="eastAsia"/>
          <w:b/>
          <w:bCs/>
          <w:color w:val="auto"/>
          <w:sz w:val="28"/>
          <w:szCs w:val="28"/>
          <w:highlight w:val="none"/>
          <w:lang w:eastAsia="zh-CN"/>
        </w:rPr>
      </w:pPr>
      <w:r>
        <w:rPr>
          <w:rFonts w:hint="eastAsia" w:ascii="宋体" w:hAnsi="宋体" w:eastAsia="宋体" w:cs="宋体"/>
          <w:b/>
          <w:color w:val="auto"/>
          <w:szCs w:val="24"/>
          <w:highlight w:val="none"/>
          <w:lang w:eastAsia="zh-CN"/>
        </w:rPr>
        <w:br w:type="page"/>
      </w:r>
      <w:bookmarkStart w:id="151" w:name="_Toc20068"/>
      <w:bookmarkStart w:id="152" w:name="_Toc21616"/>
      <w:r>
        <w:rPr>
          <w:rFonts w:hint="eastAsia"/>
          <w:b/>
          <w:bCs/>
          <w:color w:val="auto"/>
          <w:sz w:val="28"/>
          <w:szCs w:val="28"/>
          <w:highlight w:val="none"/>
          <w:lang w:eastAsia="zh-CN"/>
        </w:rPr>
        <w:t>第四章  招标项目技术要求</w:t>
      </w:r>
      <w:bookmarkEnd w:id="151"/>
      <w:bookmarkEnd w:id="152"/>
    </w:p>
    <w:p w14:paraId="59B1942F">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户内燃气紧急切断阀（民用）技术规格书</w:t>
      </w:r>
    </w:p>
    <w:p w14:paraId="622182D2">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1.总则</w:t>
      </w:r>
    </w:p>
    <w:p w14:paraId="2B933274">
      <w:pPr>
        <w:keepNext w:val="0"/>
        <w:keepLines w:val="0"/>
        <w:pageBreakBefore w:val="0"/>
        <w:widowControl w:val="0"/>
        <w:tabs>
          <w:tab w:val="left" w:pos="4695"/>
        </w:tabs>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根据本部门重点工作的要求，参考有关国内标准，并在广泛征求意见的基础上，修订了本技术规格书。</w:t>
      </w:r>
    </w:p>
    <w:p w14:paraId="6A7EA2D6">
      <w:pPr>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参考标准及规范</w:t>
      </w:r>
    </w:p>
    <w:p w14:paraId="2BDE6ABE">
      <w:pPr>
        <w:pStyle w:val="12"/>
        <w:keepNext w:val="0"/>
        <w:keepLines w:val="0"/>
        <w:pageBreakBefore w:val="0"/>
        <w:numPr>
          <w:ilvl w:val="0"/>
          <w:numId w:val="0"/>
        </w:numPr>
        <w:kinsoku/>
        <w:wordWrap/>
        <w:overflowPunct/>
        <w:topLinePunct w:val="0"/>
        <w:autoSpaceDE/>
        <w:autoSpaceDN/>
        <w:bidi w:val="0"/>
        <w:adjustRightInd/>
        <w:snapToGrid/>
        <w:spacing w:before="0" w:beforeLines="0" w:line="240" w:lineRule="auto"/>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r>
        <w:rPr>
          <w:rFonts w:hint="eastAsia" w:asciiTheme="minorEastAsia" w:hAnsiTheme="minorEastAsia" w:eastAsiaTheme="minorEastAsia" w:cstheme="minorEastAsia"/>
          <w:color w:val="auto"/>
          <w:kern w:val="0"/>
          <w:sz w:val="24"/>
          <w:szCs w:val="24"/>
          <w:highlight w:val="none"/>
        </w:rPr>
        <w:t>《电磁式燃气紧急切断阀》</w:t>
      </w:r>
      <w:r>
        <w:rPr>
          <w:rFonts w:hint="eastAsia" w:asciiTheme="minorEastAsia" w:hAnsiTheme="minorEastAsia" w:eastAsiaTheme="minorEastAsia" w:cstheme="minorEastAsia"/>
          <w:color w:val="auto"/>
          <w:kern w:val="0"/>
          <w:sz w:val="24"/>
          <w:szCs w:val="24"/>
          <w:highlight w:val="none"/>
          <w:lang w:val="en-US" w:eastAsia="zh-CN"/>
        </w:rPr>
        <w:t>GB 44016-2024</w:t>
      </w:r>
    </w:p>
    <w:p w14:paraId="3BC7188C">
      <w:pPr>
        <w:pStyle w:val="15"/>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2.2 </w:t>
      </w:r>
      <w:r>
        <w:rPr>
          <w:rFonts w:hint="eastAsia" w:asciiTheme="minorEastAsia" w:hAnsiTheme="minorEastAsia" w:eastAsiaTheme="minorEastAsia" w:cstheme="minorEastAsia"/>
          <w:color w:val="auto"/>
          <w:sz w:val="24"/>
          <w:szCs w:val="24"/>
          <w:highlight w:val="none"/>
          <w:lang w:val="zh-CN"/>
        </w:rPr>
        <w:t>《爆炸性气体环境用电气设备  第1部分：通用要求》GB3836.1-20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zh-CN"/>
        </w:rPr>
        <w:t xml:space="preserve"> </w:t>
      </w:r>
    </w:p>
    <w:p w14:paraId="1D687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《爆炸性环境  第1部分：设备 通用要求》GB3836.1-2010</w:t>
      </w:r>
    </w:p>
    <w:p w14:paraId="7B7A0A51">
      <w:pPr>
        <w:pStyle w:val="6"/>
        <w:ind w:left="0" w:leftChars="0"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2.4</w:t>
      </w:r>
      <w:r>
        <w:rPr>
          <w:rFonts w:hint="eastAsia" w:asciiTheme="minorEastAsia" w:hAnsiTheme="minorEastAsia" w:eastAsiaTheme="minorEastAsia" w:cstheme="minorEastAsia"/>
          <w:color w:val="auto"/>
          <w:kern w:val="0"/>
          <w:sz w:val="24"/>
          <w:szCs w:val="24"/>
          <w:highlight w:val="none"/>
        </w:rPr>
        <w:t>《爆炸性环境 第9部分：由浇封型“m”保护的设备》GB3836.9-2014</w:t>
      </w:r>
    </w:p>
    <w:p w14:paraId="5AC7288C">
      <w:pPr>
        <w:pStyle w:val="6"/>
        <w:ind w:left="0" w:leftChars="0" w:firstLine="240" w:firstLineChars="1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2.5 </w:t>
      </w:r>
      <w:r>
        <w:rPr>
          <w:rFonts w:hint="eastAsia" w:asciiTheme="minorEastAsia" w:hAnsiTheme="minorEastAsia" w:eastAsiaTheme="minorEastAsia" w:cstheme="minorEastAsia"/>
          <w:b/>
          <w:bCs/>
          <w:color w:val="auto"/>
          <w:kern w:val="0"/>
          <w:sz w:val="24"/>
          <w:szCs w:val="24"/>
          <w:highlight w:val="none"/>
          <w:lang w:val="en-US" w:eastAsia="zh-CN"/>
        </w:rPr>
        <w:t>注：</w:t>
      </w:r>
      <w:r>
        <w:rPr>
          <w:rFonts w:hint="eastAsia" w:asciiTheme="minorEastAsia" w:hAnsiTheme="minorEastAsia" w:eastAsiaTheme="minorEastAsia" w:cstheme="minorEastAsia"/>
          <w:color w:val="auto"/>
          <w:kern w:val="0"/>
          <w:sz w:val="24"/>
          <w:szCs w:val="24"/>
          <w:highlight w:val="none"/>
          <w:lang w:val="en-US" w:eastAsia="zh-CN"/>
        </w:rPr>
        <w:t>进口产品的性能等同于或优于国产产品性能，且须执行以上全部规范及标准</w:t>
      </w:r>
    </w:p>
    <w:p w14:paraId="18733B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3.主要技术要求</w:t>
      </w:r>
    </w:p>
    <w:p w14:paraId="382D5C5F">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3.1适用气体：天然气</w:t>
      </w:r>
    </w:p>
    <w:p w14:paraId="24509359">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3.2控制类型：直动式操作常开式</w:t>
      </w:r>
    </w:p>
    <w:p w14:paraId="5B841C8E">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3.3结 构：轴密封结构或密封效果相当的其它结构形式</w:t>
      </w:r>
    </w:p>
    <w:p w14:paraId="659906AE">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3.4适应温度：－15℃～＋50℃</w:t>
      </w:r>
    </w:p>
    <w:p w14:paraId="1E544117">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3.5密封材料：丁腈橡胶密封</w:t>
      </w:r>
    </w:p>
    <w:p w14:paraId="66177DA8">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3.6最大工作压力：0.1MPa</w:t>
      </w:r>
    </w:p>
    <w:p w14:paraId="0BC39809">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3.7耐压不小于0.3MPa</w:t>
      </w:r>
    </w:p>
    <w:p w14:paraId="1CA28AC0">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3.8阀体材料：黄铜（HPb59-1）</w:t>
      </w:r>
    </w:p>
    <w:p w14:paraId="55A52A69">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3.9连接方式：圆柱内螺纹接口（符合GB/T 7306.1-2000）</w:t>
      </w:r>
    </w:p>
    <w:p w14:paraId="01804E73">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3.10导通直径：DN15（公称通径）</w:t>
      </w:r>
    </w:p>
    <w:p w14:paraId="6936472B">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3.11金属内件：不锈钢和黄铜</w:t>
      </w:r>
    </w:p>
    <w:p w14:paraId="46C0E9A5">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3.12关阀时间：小于1秒</w:t>
      </w:r>
    </w:p>
    <w:p w14:paraId="62904B90">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3.13电源电压： DC12V</w:t>
      </w:r>
    </w:p>
    <w:p w14:paraId="30DA5427">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3.14打开方式：手动复位</w:t>
      </w:r>
    </w:p>
    <w:p w14:paraId="42076B51">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3.15操作系数：不间断输出或脉冲型</w:t>
      </w:r>
    </w:p>
    <w:p w14:paraId="3AC5445F">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3.16防爆类型: 不应低于ExdIICT6，取得国家防爆认证</w:t>
      </w:r>
    </w:p>
    <w:p w14:paraId="2B02E6E9">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3.17外壳防护等级：IP65</w:t>
      </w:r>
    </w:p>
    <w:p w14:paraId="5236F83A">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3.18配接输出线：与报警器输出线配备</w:t>
      </w:r>
    </w:p>
    <w:p w14:paraId="7A322E73">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3.19配线长度≥60cm.电缆型号≥ (RVV-2X1.0)</w:t>
      </w:r>
    </w:p>
    <w:p w14:paraId="26EE73E2">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4.技术资料要求</w:t>
      </w:r>
    </w:p>
    <w:p w14:paraId="725A9FA0">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4.1 产品合格证和出厂检验卡（原件各壹份）</w:t>
      </w:r>
    </w:p>
    <w:p w14:paraId="0CD0D314">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4.2 安装和使用说明书（原件壹份）</w:t>
      </w:r>
    </w:p>
    <w:p w14:paraId="1CA9467C">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4.3 该产品型式检验、出厂检验、寿命试验报告（原件各壹份）</w:t>
      </w:r>
    </w:p>
    <w:p w14:paraId="54201CD4">
      <w:pPr>
        <w:pStyle w:val="6"/>
        <w:ind w:left="0" w:leftChars="0"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4.4该产品需提供完备、准确的测试报告</w:t>
      </w:r>
    </w:p>
    <w:p w14:paraId="742A31A4">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5.应用范围</w:t>
      </w:r>
    </w:p>
    <w:p w14:paraId="5F929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5.1 适用于民用户户内。</w:t>
      </w:r>
    </w:p>
    <w:p w14:paraId="3484B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5.2新建燃气管网和老旧燃气管网改造、抢险、维修、技改技措等工程项目。</w:t>
      </w:r>
    </w:p>
    <w:p w14:paraId="304BCA4C">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bCs/>
          <w:color w:val="auto"/>
          <w:sz w:val="24"/>
          <w:szCs w:val="24"/>
          <w:highlight w:val="none"/>
          <w:lang w:val="en-US" w:eastAsia="zh-CN"/>
        </w:rPr>
      </w:pPr>
    </w:p>
    <w:p w14:paraId="3698F210">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bCs/>
          <w:sz w:val="28"/>
          <w:szCs w:val="28"/>
          <w:lang w:val="en-US" w:eastAsia="zh-CN"/>
        </w:rPr>
      </w:pPr>
      <w:bookmarkStart w:id="153" w:name="_Toc17884_WPSOffice_Level1"/>
      <w:bookmarkStart w:id="154" w:name="_Toc15082"/>
      <w:r>
        <w:rPr>
          <w:rFonts w:hint="eastAsia" w:asciiTheme="minorEastAsia" w:hAnsiTheme="minorEastAsia" w:eastAsiaTheme="minorEastAsia" w:cstheme="minorEastAsia"/>
          <w:b/>
          <w:bCs/>
          <w:sz w:val="36"/>
          <w:szCs w:val="36"/>
          <w:lang w:val="en-US" w:eastAsia="zh-CN"/>
        </w:rPr>
        <w:t>民用燃气报警器技术规格书</w:t>
      </w:r>
    </w:p>
    <w:p w14:paraId="0E8C5E4F">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1.总则</w:t>
      </w:r>
    </w:p>
    <w:p w14:paraId="1FB8785B">
      <w:pPr>
        <w:keepNext w:val="0"/>
        <w:keepLines w:val="0"/>
        <w:pageBreakBefore w:val="0"/>
        <w:widowControl w:val="0"/>
        <w:tabs>
          <w:tab w:val="left" w:pos="4695"/>
        </w:tabs>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根据重点工作的要求，参考有关国内标准，并在广泛征求意见的基础上，修订了本技术规格书。</w:t>
      </w:r>
    </w:p>
    <w:p w14:paraId="48CFDC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2.参考标准及规范</w:t>
      </w:r>
    </w:p>
    <w:p w14:paraId="24EF1143">
      <w:pPr>
        <w:pStyle w:val="15"/>
        <w:spacing w:line="360" w:lineRule="auto"/>
        <w:ind w:firstLine="240" w:firstLineChars="100"/>
        <w:rPr>
          <w:rFonts w:hAnsi="宋体"/>
          <w:sz w:val="24"/>
          <w:szCs w:val="24"/>
        </w:rPr>
      </w:pPr>
      <w:r>
        <w:rPr>
          <w:rFonts w:hint="eastAsia" w:hAnsi="宋体"/>
          <w:sz w:val="24"/>
          <w:szCs w:val="24"/>
        </w:rPr>
        <w:t>《可燃气体探测器 第</w:t>
      </w:r>
      <w:r>
        <w:rPr>
          <w:rFonts w:hint="eastAsia" w:hAnsi="宋体"/>
          <w:sz w:val="24"/>
          <w:szCs w:val="24"/>
          <w:lang w:val="en-US" w:eastAsia="zh-CN"/>
        </w:rPr>
        <w:t>2</w:t>
      </w:r>
      <w:r>
        <w:rPr>
          <w:rFonts w:hint="eastAsia" w:hAnsi="宋体"/>
          <w:sz w:val="24"/>
          <w:szCs w:val="24"/>
        </w:rPr>
        <w:t>部分：</w:t>
      </w:r>
      <w:r>
        <w:rPr>
          <w:rFonts w:hint="eastAsia" w:hAnsi="宋体"/>
          <w:sz w:val="24"/>
          <w:szCs w:val="24"/>
          <w:lang w:val="en-US" w:eastAsia="zh-CN"/>
        </w:rPr>
        <w:t>家用</w:t>
      </w:r>
      <w:r>
        <w:rPr>
          <w:rFonts w:hAnsi="宋体"/>
          <w:sz w:val="24"/>
          <w:szCs w:val="24"/>
        </w:rPr>
        <w:t>可燃气体探测器</w:t>
      </w:r>
      <w:r>
        <w:rPr>
          <w:rFonts w:hint="eastAsia" w:hAnsi="宋体"/>
          <w:sz w:val="24"/>
          <w:szCs w:val="24"/>
        </w:rPr>
        <w:t>》GB15322.2-20</w:t>
      </w:r>
      <w:r>
        <w:rPr>
          <w:rFonts w:hint="eastAsia" w:hAnsi="宋体"/>
          <w:sz w:val="24"/>
          <w:szCs w:val="24"/>
          <w:lang w:val="en-US" w:eastAsia="zh-CN"/>
        </w:rPr>
        <w:t>19</w:t>
      </w:r>
    </w:p>
    <w:p w14:paraId="3F7245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3.主要技术要求</w:t>
      </w:r>
    </w:p>
    <w:p w14:paraId="70E50D22">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3.1</w:t>
      </w:r>
      <w:r>
        <w:rPr>
          <w:rFonts w:hint="eastAsia" w:ascii="宋体" w:hAnsi="宋体"/>
          <w:sz w:val="24"/>
          <w:szCs w:val="24"/>
        </w:rPr>
        <w:t>检测气体：天然气（甲烷）</w:t>
      </w:r>
    </w:p>
    <w:p w14:paraId="7BEBC8F0">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3.2</w:t>
      </w:r>
      <w:r>
        <w:rPr>
          <w:rFonts w:hint="eastAsia" w:ascii="宋体" w:hAnsi="宋体"/>
          <w:sz w:val="24"/>
          <w:szCs w:val="24"/>
        </w:rPr>
        <w:t>安装方式：壁挂式</w:t>
      </w:r>
    </w:p>
    <w:p w14:paraId="79A735B0">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3.3</w:t>
      </w:r>
      <w:r>
        <w:rPr>
          <w:rFonts w:hint="eastAsia" w:ascii="宋体" w:hAnsi="宋体"/>
          <w:sz w:val="24"/>
          <w:szCs w:val="24"/>
        </w:rPr>
        <w:t>检测原理：半导体式</w:t>
      </w:r>
    </w:p>
    <w:p w14:paraId="5B7A7F8D">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3.4</w:t>
      </w:r>
      <w:r>
        <w:rPr>
          <w:rFonts w:hint="eastAsia" w:ascii="宋体" w:hAnsi="宋体"/>
          <w:sz w:val="24"/>
          <w:szCs w:val="24"/>
        </w:rPr>
        <w:t>工作电压：AC220V±15%（50Hz）</w:t>
      </w:r>
    </w:p>
    <w:p w14:paraId="64776653">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3.5</w:t>
      </w:r>
      <w:r>
        <w:rPr>
          <w:rFonts w:hint="eastAsia" w:ascii="宋体" w:hAnsi="宋体"/>
          <w:sz w:val="24"/>
          <w:szCs w:val="24"/>
        </w:rPr>
        <w:t>功    耗：≤1.5W</w:t>
      </w:r>
    </w:p>
    <w:p w14:paraId="706764CA">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3.6</w:t>
      </w:r>
      <w:r>
        <w:rPr>
          <w:rFonts w:hint="eastAsia" w:ascii="宋体" w:hAnsi="宋体"/>
          <w:sz w:val="24"/>
          <w:szCs w:val="24"/>
        </w:rPr>
        <w:t>报警浓度：天然气1～25%LEL（报警点浓度按国标设置且报警点可设置）</w:t>
      </w:r>
    </w:p>
    <w:p w14:paraId="649FEB30">
      <w:pPr>
        <w:numPr>
          <w:ilvl w:val="0"/>
          <w:numId w:val="0"/>
        </w:numPr>
        <w:tabs>
          <w:tab w:val="left" w:pos="0"/>
        </w:tabs>
        <w:spacing w:line="360" w:lineRule="auto"/>
        <w:ind w:firstLine="240" w:firstLineChars="100"/>
        <w:rPr>
          <w:rFonts w:hint="eastAsia" w:ascii="宋体" w:hAnsi="宋体" w:eastAsia="宋体"/>
          <w:sz w:val="24"/>
          <w:szCs w:val="24"/>
          <w:lang w:val="en-US" w:eastAsia="zh-CN"/>
        </w:rPr>
      </w:pPr>
      <w:r>
        <w:rPr>
          <w:rFonts w:hint="eastAsia" w:ascii="宋体" w:hAnsi="宋体"/>
          <w:sz w:val="24"/>
          <w:szCs w:val="24"/>
          <w:lang w:val="en-US" w:eastAsia="zh-CN"/>
        </w:rPr>
        <w:t>3.7</w:t>
      </w:r>
      <w:r>
        <w:rPr>
          <w:rFonts w:ascii="宋体" w:hAnsi="宋体"/>
          <w:sz w:val="24"/>
          <w:szCs w:val="24"/>
        </w:rPr>
        <w:t>报警音量：≥</w:t>
      </w:r>
      <w:r>
        <w:rPr>
          <w:rFonts w:hint="eastAsia" w:ascii="宋体" w:hAnsi="宋体"/>
          <w:sz w:val="24"/>
          <w:szCs w:val="24"/>
        </w:rPr>
        <w:t>70</w:t>
      </w:r>
      <w:r>
        <w:rPr>
          <w:rFonts w:ascii="宋体" w:hAnsi="宋体"/>
          <w:sz w:val="24"/>
          <w:szCs w:val="24"/>
        </w:rPr>
        <w:t>dB</w:t>
      </w:r>
      <w:r>
        <w:rPr>
          <w:rFonts w:hint="eastAsia" w:ascii="宋体" w:hAnsi="宋体"/>
          <w:sz w:val="24"/>
          <w:szCs w:val="24"/>
          <w:lang w:val="en-US" w:eastAsia="zh-CN"/>
        </w:rPr>
        <w:t xml:space="preserve">  ≤115</w:t>
      </w:r>
      <w:r>
        <w:rPr>
          <w:rFonts w:ascii="宋体" w:hAnsi="宋体"/>
          <w:sz w:val="24"/>
          <w:szCs w:val="24"/>
        </w:rPr>
        <w:t>dB</w:t>
      </w:r>
    </w:p>
    <w:p w14:paraId="17022F45">
      <w:pPr>
        <w:numPr>
          <w:ilvl w:val="0"/>
          <w:numId w:val="0"/>
        </w:numPr>
        <w:tabs>
          <w:tab w:val="left" w:pos="0"/>
        </w:tabs>
        <w:spacing w:line="360" w:lineRule="auto"/>
        <w:ind w:firstLine="240" w:firstLineChars="100"/>
        <w:rPr>
          <w:rFonts w:hint="eastAsia" w:ascii="宋体" w:hAnsi="宋体"/>
          <w:sz w:val="24"/>
          <w:szCs w:val="24"/>
        </w:rPr>
      </w:pPr>
      <w:r>
        <w:rPr>
          <w:rFonts w:hint="eastAsia" w:ascii="宋体" w:hAnsi="宋体"/>
          <w:sz w:val="24"/>
          <w:szCs w:val="24"/>
          <w:lang w:val="en-US" w:eastAsia="zh-CN"/>
        </w:rPr>
        <w:t>3.8</w:t>
      </w:r>
      <w:r>
        <w:rPr>
          <w:rFonts w:hint="eastAsia" w:ascii="宋体" w:hAnsi="宋体"/>
          <w:sz w:val="24"/>
          <w:szCs w:val="24"/>
        </w:rPr>
        <w:t>响应时间：响应时间：T</w:t>
      </w:r>
      <w:r>
        <w:rPr>
          <w:rFonts w:hint="eastAsia" w:ascii="宋体" w:hAnsi="宋体"/>
          <w:sz w:val="24"/>
          <w:szCs w:val="24"/>
          <w:vertAlign w:val="subscript"/>
        </w:rPr>
        <w:t>90</w:t>
      </w:r>
      <w:r>
        <w:rPr>
          <w:rFonts w:hint="eastAsia" w:ascii="宋体" w:hAnsi="宋体"/>
          <w:sz w:val="24"/>
          <w:szCs w:val="24"/>
        </w:rPr>
        <w:t>≤30S  恢复时间：≤30S</w:t>
      </w:r>
      <w:r>
        <w:rPr>
          <w:rFonts w:hint="eastAsia" w:ascii="宋体" w:hAnsi="宋体"/>
          <w:sz w:val="24"/>
          <w:szCs w:val="24"/>
          <w:lang w:val="en-US" w:eastAsia="zh-CN"/>
        </w:rPr>
        <w:t xml:space="preserve"> </w:t>
      </w:r>
      <w:r>
        <w:rPr>
          <w:rFonts w:hint="eastAsia" w:ascii="宋体" w:hAnsi="宋体" w:eastAsia="宋体" w:cs="Times New Roman"/>
          <w:kern w:val="2"/>
          <w:sz w:val="24"/>
          <w:szCs w:val="24"/>
          <w:lang w:val="en-US" w:eastAsia="zh-CN" w:bidi="ar-SA"/>
        </w:rPr>
        <w:t>初期稳定时间：≤</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4min</w:t>
      </w:r>
    </w:p>
    <w:p w14:paraId="4F3076C5">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 xml:space="preserve">3.9 </w:t>
      </w:r>
      <w:r>
        <w:rPr>
          <w:rFonts w:hint="eastAsia" w:ascii="宋体" w:hAnsi="宋体"/>
          <w:sz w:val="24"/>
          <w:szCs w:val="24"/>
        </w:rPr>
        <w:t>使用环境：温度0～+</w:t>
      </w:r>
      <w:r>
        <w:rPr>
          <w:rFonts w:hint="eastAsia" w:ascii="宋体" w:hAnsi="宋体"/>
          <w:sz w:val="24"/>
          <w:szCs w:val="24"/>
          <w:lang w:val="en-US" w:eastAsia="zh-CN"/>
        </w:rPr>
        <w:t>4</w:t>
      </w:r>
      <w:r>
        <w:rPr>
          <w:rFonts w:hint="eastAsia" w:ascii="宋体" w:hAnsi="宋体"/>
          <w:sz w:val="24"/>
          <w:szCs w:val="24"/>
        </w:rPr>
        <w:t>0℃，湿度10%～90%RH</w:t>
      </w:r>
    </w:p>
    <w:p w14:paraId="08AF5C01">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3.10</w:t>
      </w:r>
      <w:r>
        <w:rPr>
          <w:rFonts w:hint="eastAsia" w:ascii="宋体" w:hAnsi="宋体"/>
          <w:sz w:val="24"/>
          <w:szCs w:val="24"/>
        </w:rPr>
        <w:t>贮存温度：-</w:t>
      </w:r>
      <w:r>
        <w:rPr>
          <w:rFonts w:hint="eastAsia" w:ascii="宋体" w:hAnsi="宋体"/>
          <w:sz w:val="24"/>
          <w:szCs w:val="24"/>
          <w:lang w:val="en-US" w:eastAsia="zh-CN"/>
        </w:rPr>
        <w:t>10</w:t>
      </w:r>
      <w:r>
        <w:rPr>
          <w:rFonts w:hint="eastAsia" w:ascii="宋体" w:hAnsi="宋体"/>
          <w:sz w:val="24"/>
          <w:szCs w:val="24"/>
        </w:rPr>
        <w:t>℃～+55℃</w:t>
      </w:r>
    </w:p>
    <w:p w14:paraId="424314C4">
      <w:pPr>
        <w:numPr>
          <w:ilvl w:val="0"/>
          <w:numId w:val="0"/>
        </w:numPr>
        <w:tabs>
          <w:tab w:val="left" w:pos="0"/>
        </w:tabs>
        <w:spacing w:line="360" w:lineRule="auto"/>
        <w:ind w:firstLine="240" w:firstLineChars="100"/>
        <w:rPr>
          <w:rFonts w:hint="eastAsia" w:ascii="宋体" w:hAnsi="宋体"/>
          <w:sz w:val="24"/>
          <w:szCs w:val="24"/>
        </w:rPr>
      </w:pPr>
      <w:r>
        <w:rPr>
          <w:rFonts w:hint="eastAsia" w:ascii="宋体" w:hAnsi="宋体"/>
          <w:sz w:val="24"/>
          <w:szCs w:val="24"/>
          <w:lang w:val="en-US" w:eastAsia="zh-CN"/>
        </w:rPr>
        <w:t>3.11</w:t>
      </w:r>
      <w:r>
        <w:rPr>
          <w:rFonts w:hint="eastAsia" w:ascii="宋体" w:hAnsi="宋体"/>
          <w:sz w:val="24"/>
          <w:szCs w:val="24"/>
        </w:rPr>
        <w:t>传感器寿命：</w:t>
      </w:r>
      <w:r>
        <w:rPr>
          <w:rFonts w:ascii="宋体" w:hAnsi="宋体"/>
          <w:sz w:val="24"/>
          <w:szCs w:val="24"/>
        </w:rPr>
        <w:t>≥</w:t>
      </w:r>
      <w:r>
        <w:rPr>
          <w:rFonts w:hint="eastAsia" w:ascii="宋体" w:hAnsi="宋体"/>
          <w:sz w:val="24"/>
          <w:szCs w:val="24"/>
        </w:rPr>
        <w:t>5年（典型值）</w:t>
      </w:r>
    </w:p>
    <w:p w14:paraId="09CB546D">
      <w:pPr>
        <w:numPr>
          <w:ilvl w:val="0"/>
          <w:numId w:val="0"/>
        </w:numPr>
        <w:tabs>
          <w:tab w:val="left" w:pos="0"/>
        </w:tabs>
        <w:spacing w:line="360" w:lineRule="auto"/>
        <w:ind w:firstLine="240" w:firstLineChars="100"/>
        <w:rPr>
          <w:rFonts w:ascii="宋体" w:hAnsi="宋体"/>
          <w:color w:val="auto"/>
          <w:sz w:val="24"/>
          <w:szCs w:val="24"/>
        </w:rPr>
      </w:pPr>
      <w:r>
        <w:rPr>
          <w:rFonts w:hint="eastAsia" w:ascii="宋体" w:hAnsi="宋体"/>
          <w:sz w:val="24"/>
          <w:szCs w:val="24"/>
          <w:lang w:val="en-US" w:eastAsia="zh-CN"/>
        </w:rPr>
        <w:t>3.12</w:t>
      </w:r>
      <w:r>
        <w:rPr>
          <w:rFonts w:hint="default" w:ascii="宋体" w:hAnsi="宋体"/>
          <w:color w:val="auto"/>
          <w:sz w:val="24"/>
          <w:szCs w:val="24"/>
        </w:rPr>
        <w:t>燃气</w:t>
      </w:r>
      <w:r>
        <w:rPr>
          <w:rFonts w:hint="default" w:ascii="宋体" w:hAnsi="宋体"/>
          <w:color w:val="auto"/>
          <w:sz w:val="24"/>
          <w:szCs w:val="24"/>
          <w:lang w:val="en-US" w:eastAsia="zh-CN"/>
        </w:rPr>
        <w:t>传感器必须具有过滤帽，采用优质</w:t>
      </w:r>
      <w:r>
        <w:rPr>
          <w:rFonts w:hint="default" w:ascii="宋体" w:hAnsi="宋体"/>
          <w:color w:val="auto"/>
          <w:sz w:val="24"/>
          <w:szCs w:val="24"/>
        </w:rPr>
        <w:t>气敏元件</w:t>
      </w:r>
      <w:r>
        <w:rPr>
          <w:rFonts w:hint="default" w:ascii="宋体" w:hAnsi="宋体"/>
          <w:color w:val="auto"/>
          <w:sz w:val="24"/>
          <w:szCs w:val="24"/>
          <w:lang w:eastAsia="zh-CN"/>
        </w:rPr>
        <w:t>，</w:t>
      </w:r>
      <w:r>
        <w:rPr>
          <w:rFonts w:hint="default" w:ascii="宋体" w:hAnsi="宋体"/>
          <w:color w:val="auto"/>
          <w:sz w:val="24"/>
          <w:szCs w:val="24"/>
          <w:lang w:val="en-US" w:eastAsia="zh-CN"/>
        </w:rPr>
        <w:t>如进口</w:t>
      </w:r>
      <w:r>
        <w:rPr>
          <w:rFonts w:hint="default" w:ascii="宋体" w:hAnsi="宋体"/>
          <w:color w:val="auto"/>
          <w:sz w:val="24"/>
          <w:szCs w:val="24"/>
        </w:rPr>
        <w:t>费加罗或根本或CITY或霍尼韦尔</w:t>
      </w:r>
      <w:r>
        <w:rPr>
          <w:rFonts w:hint="default" w:ascii="宋体" w:hAnsi="宋体"/>
          <w:color w:val="auto"/>
          <w:sz w:val="24"/>
          <w:szCs w:val="24"/>
          <w:lang w:eastAsia="zh-CN"/>
        </w:rPr>
        <w:t>，</w:t>
      </w:r>
      <w:r>
        <w:rPr>
          <w:rFonts w:hint="default" w:ascii="宋体" w:hAnsi="宋体"/>
          <w:color w:val="auto"/>
          <w:sz w:val="24"/>
          <w:szCs w:val="24"/>
          <w:lang w:val="en-US" w:eastAsia="zh-CN"/>
        </w:rPr>
        <w:t>国产炜盛或美克森</w:t>
      </w:r>
      <w:r>
        <w:rPr>
          <w:rFonts w:hint="default" w:ascii="宋体" w:hAnsi="宋体"/>
          <w:color w:val="auto"/>
          <w:sz w:val="24"/>
          <w:szCs w:val="24"/>
        </w:rPr>
        <w:t>等</w:t>
      </w:r>
      <w:r>
        <w:rPr>
          <w:rFonts w:hint="default" w:ascii="宋体" w:hAnsi="宋体"/>
          <w:color w:val="auto"/>
          <w:sz w:val="24"/>
          <w:szCs w:val="24"/>
          <w:lang w:val="en-US" w:eastAsia="zh-CN"/>
        </w:rPr>
        <w:t>同级别</w:t>
      </w:r>
      <w:r>
        <w:rPr>
          <w:rFonts w:hint="default" w:ascii="宋体" w:hAnsi="宋体"/>
          <w:color w:val="auto"/>
          <w:sz w:val="24"/>
          <w:szCs w:val="24"/>
        </w:rPr>
        <w:t>产品</w:t>
      </w:r>
      <w:r>
        <w:rPr>
          <w:rFonts w:hint="default" w:ascii="宋体" w:hAnsi="宋体"/>
          <w:color w:val="auto"/>
          <w:sz w:val="24"/>
          <w:szCs w:val="24"/>
          <w:lang w:eastAsia="zh-CN"/>
        </w:rPr>
        <w:t>。</w:t>
      </w:r>
    </w:p>
    <w:p w14:paraId="0DD98D5F">
      <w:pPr>
        <w:numPr>
          <w:ilvl w:val="0"/>
          <w:numId w:val="0"/>
        </w:numPr>
        <w:tabs>
          <w:tab w:val="left" w:pos="0"/>
        </w:tabs>
        <w:spacing w:line="360" w:lineRule="auto"/>
        <w:ind w:firstLine="240" w:firstLineChars="100"/>
        <w:rPr>
          <w:rFonts w:ascii="宋体" w:hAnsi="宋体"/>
          <w:sz w:val="24"/>
          <w:szCs w:val="24"/>
        </w:rPr>
      </w:pPr>
      <w:r>
        <w:rPr>
          <w:rFonts w:hint="eastAsia" w:ascii="宋体" w:hAnsi="宋体"/>
          <w:sz w:val="24"/>
          <w:szCs w:val="24"/>
          <w:lang w:val="en-US" w:eastAsia="zh-CN"/>
        </w:rPr>
        <w:t>3.13</w:t>
      </w:r>
      <w:r>
        <w:rPr>
          <w:rFonts w:hint="eastAsia" w:ascii="宋体" w:hAnsi="宋体"/>
          <w:sz w:val="24"/>
          <w:szCs w:val="24"/>
        </w:rPr>
        <w:t>传感器主要技术指标：</w:t>
      </w:r>
    </w:p>
    <w:p w14:paraId="2D0E0603">
      <w:pPr>
        <w:numPr>
          <w:ilvl w:val="0"/>
          <w:numId w:val="0"/>
        </w:numPr>
        <w:tabs>
          <w:tab w:val="left" w:pos="0"/>
        </w:tabs>
        <w:spacing w:line="360" w:lineRule="auto"/>
        <w:ind w:firstLine="480" w:firstLineChars="200"/>
        <w:rPr>
          <w:rFonts w:ascii="宋体" w:hAnsi="宋体"/>
          <w:sz w:val="24"/>
          <w:szCs w:val="24"/>
        </w:rPr>
      </w:pPr>
      <w:r>
        <w:rPr>
          <w:rFonts w:hint="eastAsia" w:ascii="宋体" w:hAnsi="宋体"/>
          <w:sz w:val="24"/>
          <w:szCs w:val="24"/>
          <w:lang w:val="en-US" w:eastAsia="zh-CN"/>
        </w:rPr>
        <w:t xml:space="preserve">3.13.1 </w:t>
      </w:r>
      <w:r>
        <w:rPr>
          <w:rFonts w:hint="eastAsia" w:ascii="宋体" w:hAnsi="宋体"/>
          <w:sz w:val="24"/>
          <w:szCs w:val="24"/>
        </w:rPr>
        <w:t>抗酒精干扰：2000ppm以下酒精干扰不误报</w:t>
      </w:r>
    </w:p>
    <w:p w14:paraId="1E8C372A">
      <w:pPr>
        <w:numPr>
          <w:ilvl w:val="0"/>
          <w:numId w:val="0"/>
        </w:numPr>
        <w:tabs>
          <w:tab w:val="left" w:pos="0"/>
        </w:tabs>
        <w:spacing w:line="360" w:lineRule="auto"/>
        <w:ind w:firstLine="480" w:firstLineChars="200"/>
        <w:rPr>
          <w:rFonts w:hint="eastAsia" w:ascii="宋体" w:hAnsi="宋体"/>
          <w:sz w:val="24"/>
          <w:szCs w:val="24"/>
        </w:rPr>
      </w:pPr>
      <w:r>
        <w:rPr>
          <w:rFonts w:hint="eastAsia" w:ascii="宋体" w:hAnsi="宋体"/>
          <w:sz w:val="24"/>
          <w:szCs w:val="24"/>
          <w:lang w:val="en-US" w:eastAsia="zh-CN"/>
        </w:rPr>
        <w:t>3.13.2 6000</w:t>
      </w:r>
      <w:r>
        <w:rPr>
          <w:rFonts w:hint="eastAsia" w:ascii="宋体" w:hAnsi="宋体"/>
          <w:sz w:val="24"/>
          <w:szCs w:val="24"/>
        </w:rPr>
        <w:t>ppm以下酒精干扰不误报</w:t>
      </w:r>
    </w:p>
    <w:p w14:paraId="7FAE44DE">
      <w:pPr>
        <w:numPr>
          <w:ilvl w:val="0"/>
          <w:numId w:val="0"/>
        </w:numPr>
        <w:tabs>
          <w:tab w:val="left" w:pos="0"/>
        </w:tabs>
        <w:spacing w:line="360" w:lineRule="auto"/>
        <w:ind w:firstLine="480" w:firstLineChars="200"/>
        <w:rPr>
          <w:rFonts w:hint="eastAsia" w:ascii="宋体" w:hAnsi="宋体"/>
          <w:color w:val="auto"/>
          <w:sz w:val="24"/>
          <w:szCs w:val="24"/>
          <w:lang w:eastAsia="zh-CN"/>
        </w:rPr>
      </w:pPr>
      <w:r>
        <w:rPr>
          <w:rFonts w:hint="eastAsia" w:ascii="宋体" w:hAnsi="宋体"/>
          <w:sz w:val="24"/>
          <w:szCs w:val="24"/>
          <w:lang w:val="en-US" w:eastAsia="zh-CN"/>
        </w:rPr>
        <w:t>3.13.3 抗中毒性能（可燃气体浓度1%LEL和六甲基硅醚蒸气浓度10PPm的混合气体环境中工作40min,期间探测器不应发出报警信号或故障信号。</w:t>
      </w:r>
    </w:p>
    <w:p w14:paraId="75E45C7F">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4.技术资料要求</w:t>
      </w:r>
    </w:p>
    <w:p w14:paraId="3DD1D2B6">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 产品合格证和出厂检验卡（原件各壹份）</w:t>
      </w:r>
    </w:p>
    <w:p w14:paraId="6566667D">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 安装和使用说明书（原件壹份）</w:t>
      </w:r>
    </w:p>
    <w:p w14:paraId="3A61D53D">
      <w:pPr>
        <w:keepNext w:val="0"/>
        <w:keepLines w:val="0"/>
        <w:pageBreakBefore w:val="0"/>
        <w:numPr>
          <w:ilvl w:val="0"/>
          <w:numId w:val="0"/>
        </w:numPr>
        <w:kinsoku/>
        <w:wordWrap/>
        <w:overflowPunct/>
        <w:topLinePunct w:val="0"/>
        <w:autoSpaceDE/>
        <w:autoSpaceDN/>
        <w:bidi w:val="0"/>
        <w:snapToGrid/>
        <w:spacing w:line="360" w:lineRule="auto"/>
        <w:ind w:firstLine="240" w:firstLineChars="1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4.3 该产品型式检验、出厂检验、寿命试验报告（原件各壹份）</w:t>
      </w:r>
    </w:p>
    <w:p w14:paraId="0BD9758C">
      <w:pPr>
        <w:pStyle w:val="6"/>
        <w:ind w:left="0" w:leftChars="0"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4.4该产品需提供完备、准确的测试报告</w:t>
      </w:r>
    </w:p>
    <w:p w14:paraId="3425478C">
      <w:pPr>
        <w:tabs>
          <w:tab w:val="left" w:pos="0"/>
        </w:tabs>
        <w:spacing w:line="360" w:lineRule="auto"/>
        <w:ind w:firstLine="240" w:firstLineChars="10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r>
        <w:rPr>
          <w:rFonts w:hint="eastAsia" w:ascii="宋体" w:hAnsi="宋体"/>
          <w:sz w:val="24"/>
          <w:szCs w:val="24"/>
        </w:rPr>
        <w:t xml:space="preserve">气敏元件的厂家、型号、技术参数(选择性、线性、可靠性、稳定性等) </w:t>
      </w:r>
    </w:p>
    <w:p w14:paraId="2579CBC8">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5.应用范围</w:t>
      </w:r>
    </w:p>
    <w:p w14:paraId="37CAA2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5.1 适用于民用户户内。</w:t>
      </w:r>
    </w:p>
    <w:p w14:paraId="343A68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5.2 新建燃气管网和老旧燃气管网改造、抢险、维修、技改技措等工程项目。</w:t>
      </w:r>
    </w:p>
    <w:p w14:paraId="3E33D0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lang w:val="en-US" w:eastAsia="zh-CN"/>
        </w:rPr>
      </w:pPr>
    </w:p>
    <w:p w14:paraId="0225A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家用一氧化碳报警器技术参数（含安装）</w:t>
      </w:r>
    </w:p>
    <w:p w14:paraId="289F3C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型号：</w:t>
      </w:r>
    </w:p>
    <w:p w14:paraId="095FCBC0">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检测气体：一氧化碳</w:t>
      </w:r>
    </w:p>
    <w:p w14:paraId="59A8EF27">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2.传感器：催化燃气（进口品牌）</w:t>
      </w:r>
    </w:p>
    <w:p w14:paraId="351C2EFF">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检测方式：自由扩散式</w:t>
      </w:r>
    </w:p>
    <w:p w14:paraId="44BBD2BD">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工作电压：AC220V</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rPr>
        <w:t>5%</w:t>
      </w:r>
    </w:p>
    <w:p w14:paraId="35327DB9">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rPr>
        <w:t>量程：0~500PPM</w:t>
      </w:r>
    </w:p>
    <w:p w14:paraId="0B4EABC5">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rPr>
        <w:t>报警值：150PPM</w:t>
      </w:r>
    </w:p>
    <w:p w14:paraId="43D1631F">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报警方式：声光报警</w:t>
      </w:r>
    </w:p>
    <w:p w14:paraId="358F69CA">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zh-CN"/>
        </w:rPr>
        <w:t>电磁阀接口：</w:t>
      </w:r>
      <w:r>
        <w:rPr>
          <w:rFonts w:hint="eastAsia" w:asciiTheme="minorEastAsia" w:hAnsiTheme="minorEastAsia" w:eastAsiaTheme="minorEastAsia" w:cstheme="minorEastAsia"/>
          <w:color w:val="auto"/>
          <w:sz w:val="24"/>
          <w:szCs w:val="24"/>
          <w:lang w:val="en-US" w:eastAsia="zh-CN"/>
        </w:rPr>
        <w:t>1组</w:t>
      </w:r>
      <w:r>
        <w:rPr>
          <w:rFonts w:hint="eastAsia" w:asciiTheme="minorEastAsia" w:hAnsiTheme="minorEastAsia" w:eastAsiaTheme="minorEastAsia" w:cstheme="minorEastAsia"/>
          <w:color w:val="auto"/>
          <w:sz w:val="24"/>
          <w:szCs w:val="24"/>
          <w:lang w:val="zh-CN"/>
        </w:rPr>
        <w:t>DC9V~DC12V</w:t>
      </w:r>
    </w:p>
    <w:p w14:paraId="32463586">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开关量接口：</w:t>
      </w:r>
      <w:r>
        <w:rPr>
          <w:rFonts w:hint="eastAsia" w:asciiTheme="minorEastAsia" w:hAnsiTheme="minorEastAsia" w:eastAsiaTheme="minorEastAsia" w:cstheme="minorEastAsia"/>
          <w:color w:val="auto"/>
          <w:sz w:val="24"/>
          <w:szCs w:val="24"/>
          <w:lang w:val="en-US" w:eastAsia="zh-CN"/>
        </w:rPr>
        <w:t>1组</w:t>
      </w:r>
    </w:p>
    <w:p w14:paraId="73DBD513">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zh-CN"/>
        </w:rPr>
        <w:t>报警声音：≥70dB</w:t>
      </w:r>
    </w:p>
    <w:p w14:paraId="40B5C81F">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rPr>
        <w:t>响应时间：&lt;30s</w:t>
      </w:r>
    </w:p>
    <w:p w14:paraId="2F659197">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zh-CN"/>
        </w:rPr>
        <w:t>使用环境温度：-10℃~55℃</w:t>
      </w:r>
    </w:p>
    <w:p w14:paraId="1F845BCD">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val="zh-CN"/>
        </w:rPr>
        <w:t>使用环境湿度：&lt;95%RH无冷凝</w:t>
      </w:r>
    </w:p>
    <w:p w14:paraId="397F2E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14.无线通讯：4G通讯，含5年短信、电话、平台费</w:t>
      </w:r>
    </w:p>
    <w:p w14:paraId="242146F0">
      <w:pPr>
        <w:pStyle w:val="6"/>
        <w:rPr>
          <w:rFonts w:hint="eastAsia"/>
        </w:rPr>
      </w:pPr>
    </w:p>
    <w:p w14:paraId="6E5FE414">
      <w:pPr>
        <w:pStyle w:val="12"/>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val="en-US" w:eastAsia="zh-CN"/>
        </w:rPr>
        <w:t>一氧化碳报警设备</w:t>
      </w:r>
      <w:r>
        <w:rPr>
          <w:rFonts w:hint="eastAsia" w:asciiTheme="minorEastAsia" w:hAnsiTheme="minorEastAsia" w:cstheme="minorEastAsia"/>
          <w:b/>
          <w:bCs/>
          <w:color w:val="auto"/>
          <w:sz w:val="24"/>
          <w:szCs w:val="24"/>
          <w:highlight w:val="none"/>
        </w:rPr>
        <w:t>】产品为核心产品，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2DFAC3">
      <w:pPr>
        <w:pStyle w:val="12"/>
        <w:keepNext w:val="0"/>
        <w:keepLines w:val="0"/>
        <w:pageBreakBefore w:val="0"/>
        <w:widowControl w:val="0"/>
        <w:kinsoku/>
        <w:wordWrap/>
        <w:overflowPunct/>
        <w:topLinePunct w:val="0"/>
        <w:autoSpaceDE/>
        <w:autoSpaceDN/>
        <w:bidi w:val="0"/>
        <w:adjustRightInd/>
        <w:snapToGrid/>
        <w:spacing w:line="312" w:lineRule="auto"/>
        <w:ind w:firstLine="482"/>
        <w:textAlignment w:val="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szCs w:val="24"/>
          <w:highlight w:val="none"/>
          <w:lang w:val="en-US" w:eastAsia="zh-CN"/>
        </w:rPr>
        <w:t>每项参数要求投标人须提供与服务需求相应的证明材料，如投标人承诺函、产品检测报告、测试报告、产品合格证、鉴定证书、制造商产品彩页、制造商官网截图、制造商产品说明书或相应实物照片等。</w:t>
      </w:r>
    </w:p>
    <w:p w14:paraId="367227AB">
      <w:pPr>
        <w:rPr>
          <w:rFonts w:hint="eastAsia" w:ascii="宋体" w:hAnsi="宋体" w:eastAsia="宋体" w:cs="宋体"/>
          <w:color w:val="auto"/>
          <w:spacing w:val="4"/>
          <w:sz w:val="24"/>
          <w:szCs w:val="24"/>
          <w:highlight w:val="none"/>
          <w:lang w:val="en-US" w:eastAsia="zh-CN"/>
        </w:rPr>
      </w:pPr>
    </w:p>
    <w:p w14:paraId="12CE9C23">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181FB341">
      <w:pPr>
        <w:pStyle w:val="4"/>
        <w:bidi w:val="0"/>
        <w:jc w:val="center"/>
        <w:outlineLvl w:val="0"/>
        <w:rPr>
          <w:rFonts w:hint="eastAsia"/>
          <w:color w:val="auto"/>
          <w:sz w:val="24"/>
          <w:szCs w:val="24"/>
          <w:highlight w:val="none"/>
        </w:rPr>
      </w:pPr>
      <w:bookmarkStart w:id="155" w:name="_Toc27846"/>
      <w:r>
        <w:rPr>
          <w:rFonts w:hint="eastAsia"/>
          <w:color w:val="auto"/>
          <w:sz w:val="24"/>
          <w:szCs w:val="24"/>
          <w:highlight w:val="none"/>
        </w:rPr>
        <w:t>第五章  评标办法</w:t>
      </w:r>
      <w:bookmarkEnd w:id="153"/>
      <w:bookmarkEnd w:id="154"/>
      <w:bookmarkEnd w:id="155"/>
      <w:bookmarkStart w:id="156" w:name="_Hlt101846155"/>
      <w:bookmarkEnd w:id="156"/>
      <w:bookmarkStart w:id="157" w:name="_Toc183582280"/>
      <w:bookmarkStart w:id="158" w:name="_Toc217446097"/>
      <w:bookmarkStart w:id="159" w:name="_Toc208849007"/>
      <w:bookmarkStart w:id="160" w:name="_Toc183682415"/>
    </w:p>
    <w:p w14:paraId="0613FA7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57"/>
      <w:bookmarkEnd w:id="158"/>
      <w:bookmarkEnd w:id="159"/>
      <w:bookmarkEnd w:id="160"/>
    </w:p>
    <w:p w14:paraId="62DEE97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154F936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评标工作由采购人负责组织，具体评标工作由采购人依法组建的评标委员会负责。评标委员会由采购人代表和有关技术、经济等方面的专家组成。</w:t>
      </w:r>
    </w:p>
    <w:p w14:paraId="67415F3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w:t>
      </w:r>
    </w:p>
    <w:p w14:paraId="141DCD6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评标委员会按照招标文件规定的评标方法和标准进行评标，并独立履行下列职责：</w:t>
      </w:r>
    </w:p>
    <w:p w14:paraId="4409C37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（1）审查投标文件是否符合招标文件要求，并作出评价；</w:t>
      </w:r>
    </w:p>
    <w:p w14:paraId="57E8062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（2）要求投标投标人对投标文件有关事项作出解释或者澄清；</w:t>
      </w:r>
    </w:p>
    <w:p w14:paraId="77D7F26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（3）推荐中标候选投标人名单，或者受采购人委托按照事先确定的办法直接确定中标投标人；</w:t>
      </w:r>
    </w:p>
    <w:p w14:paraId="7199A17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（4）向采购人或者有关部门报告非法干预评标工作的行为。</w:t>
      </w:r>
      <w:bookmarkStart w:id="161" w:name="_Toc217446098"/>
    </w:p>
    <w:p w14:paraId="2D33D7E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评标过程严格保密。投标人对评标委员会的评标过程或合同授予决定施加影响的任何行为都可能导致其投标被拒绝。</w:t>
      </w:r>
    </w:p>
    <w:p w14:paraId="598E1EB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1.6评标委员会决定投标文件的响应性应依据投标文件本身的内容，而不寻求外部的证据。</w:t>
      </w:r>
    </w:p>
    <w:p w14:paraId="082B629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52D799AD">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评标方法</w:t>
      </w:r>
    </w:p>
    <w:p w14:paraId="55DA176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14:paraId="09844F7F">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评标程序</w:t>
      </w:r>
      <w:bookmarkEnd w:id="161"/>
    </w:p>
    <w:p w14:paraId="49408A4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bookmarkStart w:id="162" w:name="_Toc217446099"/>
      <w:r>
        <w:rPr>
          <w:rFonts w:hint="eastAsia" w:ascii="宋体" w:hAnsi="宋体" w:eastAsia="宋体" w:cs="宋体"/>
          <w:color w:val="auto"/>
          <w:sz w:val="24"/>
          <w:szCs w:val="24"/>
          <w:highlight w:val="none"/>
        </w:rPr>
        <w:t>3.1资格审查</w:t>
      </w:r>
    </w:p>
    <w:p w14:paraId="597B005B">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
          <w:bCs w:val="0"/>
          <w:color w:val="auto"/>
          <w:sz w:val="24"/>
          <w:szCs w:val="24"/>
          <w:highlight w:val="none"/>
        </w:rPr>
        <w:t>资格审查表</w:t>
      </w:r>
    </w:p>
    <w:tbl>
      <w:tblPr>
        <w:tblStyle w:val="3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6516"/>
        <w:gridCol w:w="622"/>
        <w:gridCol w:w="673"/>
      </w:tblGrid>
      <w:tr w14:paraId="14A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2" w:type="dxa"/>
            <w:vMerge w:val="restart"/>
            <w:vAlign w:val="center"/>
          </w:tcPr>
          <w:p w14:paraId="10268A3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16" w:type="dxa"/>
            <w:vMerge w:val="restart"/>
            <w:vAlign w:val="center"/>
          </w:tcPr>
          <w:p w14:paraId="741F9BD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c>
          <w:tcPr>
            <w:tcW w:w="1295" w:type="dxa"/>
            <w:gridSpan w:val="2"/>
            <w:vAlign w:val="center"/>
          </w:tcPr>
          <w:p w14:paraId="28EDFA5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w:t>
            </w:r>
          </w:p>
        </w:tc>
      </w:tr>
      <w:tr w14:paraId="213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2" w:type="dxa"/>
            <w:vMerge w:val="continue"/>
            <w:vAlign w:val="center"/>
          </w:tcPr>
          <w:p w14:paraId="354C9D9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516" w:type="dxa"/>
            <w:vMerge w:val="continue"/>
            <w:vAlign w:val="center"/>
          </w:tcPr>
          <w:p w14:paraId="72F7289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22" w:type="dxa"/>
            <w:vAlign w:val="center"/>
          </w:tcPr>
          <w:p w14:paraId="366A8D6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p>
        </w:tc>
        <w:tc>
          <w:tcPr>
            <w:tcW w:w="673" w:type="dxa"/>
            <w:vAlign w:val="center"/>
          </w:tcPr>
          <w:p w14:paraId="4429458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w:t>
            </w:r>
          </w:p>
        </w:tc>
      </w:tr>
      <w:tr w14:paraId="6EF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2" w:type="dxa"/>
            <w:vAlign w:val="center"/>
          </w:tcPr>
          <w:p w14:paraId="2B7EF73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16" w:type="dxa"/>
            <w:vAlign w:val="center"/>
          </w:tcPr>
          <w:p w14:paraId="48766B5E">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35BDC420">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【法人、其他组织投标须提供营业执照等证明文件，自然人投标须提供自然人的身份证明。】</w:t>
            </w:r>
          </w:p>
        </w:tc>
        <w:tc>
          <w:tcPr>
            <w:tcW w:w="622" w:type="dxa"/>
            <w:vAlign w:val="center"/>
          </w:tcPr>
          <w:p w14:paraId="0555AEC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1206BE4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32C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7D67734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16" w:type="dxa"/>
            <w:vAlign w:val="center"/>
          </w:tcPr>
          <w:p w14:paraId="1E3B571B">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36CDEA15">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【①须提供书面声明（投标人自行承诺并承担后果，声明不实的，按《政府采购法》及相关法律法规中提供虚假材料的有关规定处理。</w:t>
            </w:r>
            <w:r>
              <w:rPr>
                <w:rFonts w:hint="eastAsia" w:ascii="宋体" w:hAnsi="宋体" w:eastAsia="宋体" w:cs="宋体"/>
                <w:b/>
                <w:bCs/>
                <w:color w:val="auto"/>
                <w:sz w:val="24"/>
                <w:szCs w:val="24"/>
                <w:highlight w:val="none"/>
              </w:rPr>
              <w:t>②</w:t>
            </w:r>
            <w:r>
              <w:rPr>
                <w:rFonts w:hint="default" w:ascii="宋体" w:hAnsi="宋体" w:eastAsia="宋体" w:cs="宋体"/>
                <w:b/>
                <w:bCs/>
                <w:color w:val="auto"/>
                <w:sz w:val="24"/>
                <w:szCs w:val="24"/>
                <w:highlight w:val="none"/>
                <w:lang w:val="en-US" w:eastAsia="zh-CN"/>
              </w:rPr>
              <w:t>银行出具的近1年内资信证明或</w:t>
            </w:r>
            <w:r>
              <w:rPr>
                <w:rFonts w:hint="eastAsia" w:ascii="宋体" w:hAnsi="宋体" w:eastAsia="宋体" w:cs="宋体"/>
                <w:b/>
                <w:bCs/>
                <w:color w:val="auto"/>
                <w:sz w:val="24"/>
                <w:szCs w:val="24"/>
                <w:highlight w:val="none"/>
                <w:lang w:val="en-US" w:eastAsia="zh-CN"/>
              </w:rPr>
              <w:t>2024年度（如2024年审计报告未出可提供</w:t>
            </w:r>
            <w:r>
              <w:rPr>
                <w:rFonts w:hint="default" w:ascii="宋体" w:hAnsi="宋体" w:eastAsia="宋体" w:cs="宋体"/>
                <w:b/>
                <w:bCs/>
                <w:color w:val="auto"/>
                <w:sz w:val="24"/>
                <w:szCs w:val="24"/>
                <w:highlight w:val="none"/>
                <w:lang w:val="en-US" w:eastAsia="zh-CN"/>
              </w:rPr>
              <w:t>2023年度</w:t>
            </w:r>
            <w:r>
              <w:rPr>
                <w:rFonts w:hint="eastAsia" w:ascii="宋体" w:hAnsi="宋体" w:eastAsia="宋体" w:cs="宋体"/>
                <w:b/>
                <w:bCs/>
                <w:color w:val="auto"/>
                <w:sz w:val="24"/>
                <w:szCs w:val="24"/>
                <w:highlight w:val="none"/>
                <w:lang w:val="en-US" w:eastAsia="zh-CN"/>
              </w:rPr>
              <w:t>审计报告）</w:t>
            </w:r>
            <w:r>
              <w:rPr>
                <w:rFonts w:hint="default" w:ascii="宋体" w:hAnsi="宋体" w:eastAsia="宋体" w:cs="宋体"/>
                <w:b/>
                <w:bCs/>
                <w:color w:val="auto"/>
                <w:sz w:val="24"/>
                <w:szCs w:val="24"/>
                <w:highlight w:val="none"/>
                <w:lang w:val="en-US" w:eastAsia="zh-CN"/>
              </w:rPr>
              <w:t>经审计的财务报告</w:t>
            </w:r>
            <w:r>
              <w:rPr>
                <w:rFonts w:hint="eastAsia" w:ascii="宋体" w:hAnsi="宋体" w:eastAsia="宋体" w:cs="宋体"/>
                <w:color w:val="auto"/>
                <w:sz w:val="24"/>
                <w:szCs w:val="24"/>
                <w:highlight w:val="none"/>
              </w:rPr>
              <w:t>，新成立企业无需提供。】</w:t>
            </w:r>
          </w:p>
        </w:tc>
        <w:tc>
          <w:tcPr>
            <w:tcW w:w="622" w:type="dxa"/>
            <w:vAlign w:val="center"/>
          </w:tcPr>
          <w:p w14:paraId="73AF5DB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6D585E7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35D3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3FA152CB">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16" w:type="dxa"/>
            <w:vAlign w:val="center"/>
          </w:tcPr>
          <w:p w14:paraId="095BF817">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29ECD147">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【须提供：①相关设备或设施的购置发票或单据（任一）或提供承诺函；②</w:t>
            </w:r>
            <w:r>
              <w:rPr>
                <w:rFonts w:hint="eastAsia" w:ascii="宋体" w:hAnsi="宋体" w:eastAsia="宋体" w:cs="宋体"/>
                <w:color w:val="auto"/>
                <w:spacing w:val="-2"/>
                <w:sz w:val="24"/>
                <w:szCs w:val="24"/>
                <w:highlight w:val="none"/>
              </w:rPr>
              <w:t>提供具有</w:t>
            </w:r>
            <w:r>
              <w:rPr>
                <w:rFonts w:hint="eastAsia" w:ascii="宋体" w:hAnsi="宋体" w:eastAsia="宋体" w:cs="宋体"/>
                <w:color w:val="auto"/>
                <w:sz w:val="24"/>
                <w:szCs w:val="24"/>
                <w:highlight w:val="none"/>
              </w:rPr>
              <w:t>履行合同所必需</w:t>
            </w:r>
            <w:r>
              <w:rPr>
                <w:rFonts w:hint="eastAsia" w:ascii="宋体" w:hAnsi="宋体" w:cs="宋体"/>
                <w:color w:val="auto"/>
                <w:sz w:val="24"/>
                <w:szCs w:val="24"/>
                <w:highlight w:val="none"/>
                <w:lang w:val="en-US" w:eastAsia="zh-CN"/>
              </w:rPr>
              <w:t>的</w:t>
            </w:r>
            <w:r>
              <w:rPr>
                <w:rFonts w:hint="eastAsia" w:ascii="宋体" w:hAnsi="宋体" w:eastAsia="宋体" w:cs="宋体"/>
                <w:color w:val="auto"/>
                <w:spacing w:val="-2"/>
                <w:sz w:val="24"/>
                <w:szCs w:val="24"/>
                <w:highlight w:val="none"/>
              </w:rPr>
              <w:t>专业技术能力相关证明材料或声明</w:t>
            </w:r>
            <w:r>
              <w:rPr>
                <w:rFonts w:hint="eastAsia" w:ascii="宋体" w:hAnsi="宋体" w:eastAsia="宋体" w:cs="宋体"/>
                <w:color w:val="auto"/>
                <w:sz w:val="24"/>
                <w:szCs w:val="24"/>
                <w:highlight w:val="none"/>
              </w:rPr>
              <w:t>。】</w:t>
            </w:r>
          </w:p>
        </w:tc>
        <w:tc>
          <w:tcPr>
            <w:tcW w:w="622" w:type="dxa"/>
            <w:vAlign w:val="center"/>
          </w:tcPr>
          <w:p w14:paraId="5ACB0AD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1B81BFF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4E45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2" w:type="dxa"/>
            <w:vAlign w:val="center"/>
          </w:tcPr>
          <w:p w14:paraId="3C542119">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516" w:type="dxa"/>
            <w:vAlign w:val="center"/>
          </w:tcPr>
          <w:p w14:paraId="3DD4F752">
            <w:pPr>
              <w:pStyle w:val="12"/>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42609FEB">
            <w:pPr>
              <w:pStyle w:val="12"/>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近12个月内任意1个月已依法缴纳税收的凭据；②近12个月内任意1个月已依法缴纳社会保险的凭据（依法免税或不需要缴纳社会保障资金的投标人，应提供相应证明文件，新成立企业或自然人无需提供）】。</w:t>
            </w:r>
          </w:p>
        </w:tc>
        <w:tc>
          <w:tcPr>
            <w:tcW w:w="622" w:type="dxa"/>
            <w:vAlign w:val="center"/>
          </w:tcPr>
          <w:p w14:paraId="0FC671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085D949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39A1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2E4D834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516" w:type="dxa"/>
            <w:vAlign w:val="center"/>
          </w:tcPr>
          <w:p w14:paraId="4A260752">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14:paraId="4570ED1F">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【须提供书面声明（投标人自行承诺并承担后果，声明不实的，按《政府采购法》及相关法律法规中提供虚假材料的有关规定处理。】 </w:t>
            </w:r>
          </w:p>
        </w:tc>
        <w:tc>
          <w:tcPr>
            <w:tcW w:w="622" w:type="dxa"/>
            <w:vAlign w:val="center"/>
          </w:tcPr>
          <w:p w14:paraId="4DD6038D">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27083BFD">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165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EE1615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16" w:type="dxa"/>
            <w:vAlign w:val="center"/>
          </w:tcPr>
          <w:p w14:paraId="15DA542C">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rPr>
              <w:t>与采购人存在利害关系可能影响招标公正性的法人、其他组织或者个人，不得参加同一标段投标或者未划分标段的同一招标不得参加投标；</w:t>
            </w:r>
            <w:r>
              <w:rPr>
                <w:rFonts w:hint="eastAsia" w:ascii="宋体" w:hAnsi="宋体" w:eastAsia="宋体" w:cs="宋体"/>
                <w:color w:val="auto"/>
                <w:sz w:val="24"/>
                <w:szCs w:val="24"/>
                <w:highlight w:val="none"/>
              </w:rPr>
              <w:t>【须提供书面声明（投标人自行承诺并承担后果，声明函不实的，按《政府采购法》及相关法律法规中提供虚假材料的有关规定处理。】</w:t>
            </w:r>
          </w:p>
        </w:tc>
        <w:tc>
          <w:tcPr>
            <w:tcW w:w="622" w:type="dxa"/>
            <w:vAlign w:val="center"/>
          </w:tcPr>
          <w:p w14:paraId="58DB62C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2635DD5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7AD8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051FD7D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516" w:type="dxa"/>
            <w:vAlign w:val="center"/>
          </w:tcPr>
          <w:p w14:paraId="05885BBC">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p>
          <w:p w14:paraId="7ADD7BE7">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【须提供书面声明（投标人自行承诺并承担后果，声明函不实的，按《政府采购法》及相关法律法规中提供虚假材料的有关规定处理。】 </w:t>
            </w:r>
          </w:p>
        </w:tc>
        <w:tc>
          <w:tcPr>
            <w:tcW w:w="622" w:type="dxa"/>
            <w:vAlign w:val="center"/>
          </w:tcPr>
          <w:p w14:paraId="4627044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5DBF76F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2A8F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7D013E8D">
            <w:pPr>
              <w:pStyle w:val="51"/>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16" w:type="dxa"/>
            <w:vAlign w:val="center"/>
          </w:tcPr>
          <w:p w14:paraId="2A95147D">
            <w:pPr>
              <w:snapToGrid w:val="0"/>
              <w:spacing w:line="400" w:lineRule="exac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投标单位未被列入失信被执行人、重大税收违法</w:t>
            </w:r>
            <w:r>
              <w:rPr>
                <w:rFonts w:hint="eastAsia" w:asciiTheme="majorEastAsia" w:hAnsiTheme="majorEastAsia" w:eastAsiaTheme="majorEastAsia" w:cstheme="majorEastAsia"/>
                <w:color w:val="auto"/>
                <w:sz w:val="24"/>
                <w:szCs w:val="24"/>
                <w:highlight w:val="none"/>
                <w:lang w:val="en-US" w:eastAsia="zh-CN"/>
              </w:rPr>
              <w:t>失信主体</w:t>
            </w:r>
            <w:r>
              <w:rPr>
                <w:rFonts w:hint="eastAsia" w:asciiTheme="majorEastAsia" w:hAnsiTheme="majorEastAsia" w:eastAsiaTheme="majorEastAsia" w:cstheme="majorEastAsia"/>
                <w:color w:val="auto"/>
                <w:sz w:val="24"/>
                <w:szCs w:val="24"/>
                <w:highlight w:val="none"/>
              </w:rPr>
              <w:t>、政府采购严重违法失信行为记录名单。</w:t>
            </w:r>
          </w:p>
          <w:p w14:paraId="7719F9A4">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开标截止时间点投标人未列入“信用中国”&lt;www.creditchina.gov.cn&gt;网站的“失信被执行人”和“重大税收违法失信主体”（投标人为自然人时无需提供）及“中国政府采购网”&lt;www.ccgp.gov.cn&gt;网站的“政府采购严重违法失信行为记录名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截止时间点，由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代理公司统一登陆网站查询递交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信誉情况，并以保存的网页查询截图为准。</w:t>
            </w:r>
            <w:r>
              <w:rPr>
                <w:rFonts w:hint="eastAsia" w:ascii="宋体" w:hAnsi="宋体" w:cs="宋体"/>
                <w:color w:val="auto"/>
                <w:sz w:val="24"/>
                <w:szCs w:val="24"/>
                <w:highlight w:val="none"/>
                <w:lang w:eastAsia="zh-CN"/>
              </w:rPr>
              <w:t>】</w:t>
            </w:r>
          </w:p>
        </w:tc>
        <w:tc>
          <w:tcPr>
            <w:tcW w:w="622" w:type="dxa"/>
            <w:vAlign w:val="center"/>
          </w:tcPr>
          <w:p w14:paraId="7225C9F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37E79A4D">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1A4B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38B65E6">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516" w:type="dxa"/>
            <w:vAlign w:val="center"/>
          </w:tcPr>
          <w:p w14:paraId="3C914C38">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本项目专门面</w:t>
            </w:r>
            <w:r>
              <w:rPr>
                <w:rFonts w:hint="eastAsia" w:ascii="宋体" w:hAnsi="宋体" w:cs="宋体"/>
                <w:color w:val="auto"/>
                <w:sz w:val="24"/>
                <w:szCs w:val="24"/>
                <w:highlight w:val="none"/>
                <w:lang w:val="en-US" w:eastAsia="zh-CN"/>
              </w:rPr>
              <w:t>向</w:t>
            </w:r>
            <w:r>
              <w:rPr>
                <w:rFonts w:hint="eastAsia" w:ascii="宋体" w:hAnsi="宋体" w:eastAsia="宋体" w:cs="宋体"/>
                <w:color w:val="auto"/>
                <w:sz w:val="21"/>
                <w:szCs w:val="21"/>
                <w:highlight w:val="none"/>
                <w:lang w:val="en-US" w:eastAsia="zh-CN"/>
              </w:rPr>
              <w:t>中小企业，</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提供《中小企业声明函》；</w:t>
            </w:r>
          </w:p>
        </w:tc>
        <w:tc>
          <w:tcPr>
            <w:tcW w:w="622" w:type="dxa"/>
            <w:vAlign w:val="center"/>
          </w:tcPr>
          <w:p w14:paraId="18E8F70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20F96AC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706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6C82D1D">
            <w:pPr>
              <w:pStyle w:val="51"/>
              <w:pageBreakBefore w:val="0"/>
              <w:kinsoku/>
              <w:wordWrap/>
              <w:overflowPunct/>
              <w:topLinePunct w:val="0"/>
              <w:autoSpaceDE/>
              <w:autoSpaceDN/>
              <w:bidi w:val="0"/>
              <w:adjustRightInd/>
              <w:spacing w:line="380" w:lineRule="exact"/>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516" w:type="dxa"/>
            <w:vAlign w:val="center"/>
          </w:tcPr>
          <w:p w14:paraId="0960333C">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tc>
        <w:tc>
          <w:tcPr>
            <w:tcW w:w="622" w:type="dxa"/>
            <w:vAlign w:val="center"/>
          </w:tcPr>
          <w:p w14:paraId="148884FB">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7B0BAC1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749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8" w:type="dxa"/>
            <w:gridSpan w:val="2"/>
            <w:vAlign w:val="center"/>
          </w:tcPr>
          <w:p w14:paraId="7E76902C">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审查结果（通过/不通过）</w:t>
            </w:r>
          </w:p>
        </w:tc>
        <w:tc>
          <w:tcPr>
            <w:tcW w:w="622" w:type="dxa"/>
            <w:vAlign w:val="center"/>
          </w:tcPr>
          <w:p w14:paraId="5172DD5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73" w:type="dxa"/>
            <w:vAlign w:val="center"/>
          </w:tcPr>
          <w:p w14:paraId="7A92ADB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75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43" w:type="dxa"/>
            <w:gridSpan w:val="4"/>
            <w:vAlign w:val="center"/>
          </w:tcPr>
          <w:p w14:paraId="2233616F">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中有一项未通过上述审查标准，</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将认定整个</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不响应</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件而予以无效处理，并且不允许</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通过修改或撤销其不符合要求的差异或保留，使之成为具有响应性的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tc>
      </w:tr>
    </w:tbl>
    <w:p w14:paraId="539EEF0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3.2符合性审查。依据招标文件的规定，从投标文件的有效性、完整性和对招标文件的响应程度进行审查，以确定是否对招标文件的实质性要求作出响应。</w:t>
      </w:r>
    </w:p>
    <w:p w14:paraId="7A8AAD63">
      <w:pPr>
        <w:pStyle w:val="31"/>
        <w:pageBreakBefore w:val="0"/>
        <w:kinsoku/>
        <w:wordWrap/>
        <w:overflowPunct/>
        <w:topLinePunct w:val="0"/>
        <w:autoSpaceDE/>
        <w:autoSpaceDN/>
        <w:bidi w:val="0"/>
        <w:adjustRightInd/>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32"/>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512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0559E16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00" w:type="dxa"/>
            <w:vMerge w:val="restart"/>
            <w:vAlign w:val="center"/>
          </w:tcPr>
          <w:p w14:paraId="55B53D8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c>
          <w:tcPr>
            <w:tcW w:w="1635" w:type="dxa"/>
            <w:gridSpan w:val="2"/>
            <w:vAlign w:val="center"/>
          </w:tcPr>
          <w:p w14:paraId="6E5FB7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w:t>
            </w:r>
          </w:p>
        </w:tc>
      </w:tr>
      <w:tr w14:paraId="1F2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64ECA23B">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6100" w:type="dxa"/>
            <w:vMerge w:val="continue"/>
            <w:vAlign w:val="center"/>
          </w:tcPr>
          <w:p w14:paraId="72C5591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782" w:type="dxa"/>
            <w:vAlign w:val="center"/>
          </w:tcPr>
          <w:p w14:paraId="0FB9BF1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p>
        </w:tc>
        <w:tc>
          <w:tcPr>
            <w:tcW w:w="853" w:type="dxa"/>
            <w:vAlign w:val="center"/>
          </w:tcPr>
          <w:p w14:paraId="5277F31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w:t>
            </w:r>
          </w:p>
        </w:tc>
      </w:tr>
      <w:tr w14:paraId="2A64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63AACA2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00" w:type="dxa"/>
            <w:vAlign w:val="center"/>
          </w:tcPr>
          <w:p w14:paraId="6C04A9D1">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r>
              <w:rPr>
                <w:rFonts w:hint="eastAsia" w:ascii="宋体" w:hAnsi="宋体" w:cs="宋体"/>
                <w:color w:val="auto"/>
                <w:sz w:val="24"/>
                <w:szCs w:val="24"/>
                <w:highlight w:val="none"/>
                <w:lang w:val="en-US" w:eastAsia="zh-CN"/>
              </w:rPr>
              <w:t>编制</w:t>
            </w:r>
            <w:r>
              <w:rPr>
                <w:rFonts w:hint="eastAsia" w:ascii="宋体" w:hAnsi="宋体" w:eastAsia="宋体" w:cs="宋体"/>
                <w:color w:val="auto"/>
                <w:sz w:val="24"/>
                <w:szCs w:val="24"/>
                <w:highlight w:val="none"/>
              </w:rPr>
              <w:t>符合招标文件要求；</w:t>
            </w:r>
          </w:p>
        </w:tc>
        <w:tc>
          <w:tcPr>
            <w:tcW w:w="782" w:type="dxa"/>
            <w:vAlign w:val="center"/>
          </w:tcPr>
          <w:p w14:paraId="7B270F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3D15699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7B1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DDA29A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00" w:type="dxa"/>
            <w:vAlign w:val="center"/>
          </w:tcPr>
          <w:p w14:paraId="047DBDBB">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按照招标文件规定要求签章；</w:t>
            </w:r>
          </w:p>
        </w:tc>
        <w:tc>
          <w:tcPr>
            <w:tcW w:w="782" w:type="dxa"/>
            <w:vAlign w:val="center"/>
          </w:tcPr>
          <w:p w14:paraId="71E0FCE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7D368AB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85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D5F0716">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00" w:type="dxa"/>
            <w:vAlign w:val="center"/>
          </w:tcPr>
          <w:p w14:paraId="01F8DE39">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按照招标文件规定缴纳投标保证金；</w:t>
            </w:r>
          </w:p>
        </w:tc>
        <w:tc>
          <w:tcPr>
            <w:tcW w:w="782" w:type="dxa"/>
            <w:vAlign w:val="center"/>
          </w:tcPr>
          <w:p w14:paraId="0B51B8B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0D54E311">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CA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7367EC7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00" w:type="dxa"/>
            <w:vAlign w:val="center"/>
          </w:tcPr>
          <w:p w14:paraId="098726D0">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投标报价不得高于设定的最高限价；</w:t>
            </w:r>
          </w:p>
        </w:tc>
        <w:tc>
          <w:tcPr>
            <w:tcW w:w="782" w:type="dxa"/>
            <w:vAlign w:val="center"/>
          </w:tcPr>
          <w:p w14:paraId="04FE827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3238D55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6257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525527D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00" w:type="dxa"/>
            <w:vAlign w:val="center"/>
          </w:tcPr>
          <w:p w14:paraId="6F06D0DD">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供货期、质保期</w:t>
            </w:r>
            <w:r>
              <w:rPr>
                <w:rFonts w:hint="eastAsia" w:ascii="宋体" w:hAnsi="宋体" w:eastAsia="宋体" w:cs="宋体"/>
                <w:color w:val="auto"/>
                <w:sz w:val="24"/>
                <w:szCs w:val="24"/>
                <w:highlight w:val="none"/>
              </w:rPr>
              <w:t>符合招标文件规定期限；</w:t>
            </w:r>
          </w:p>
        </w:tc>
        <w:tc>
          <w:tcPr>
            <w:tcW w:w="782" w:type="dxa"/>
            <w:vAlign w:val="center"/>
          </w:tcPr>
          <w:p w14:paraId="02C7B79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0CB82C5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165E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1B6FF5F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00" w:type="dxa"/>
            <w:vAlign w:val="center"/>
          </w:tcPr>
          <w:p w14:paraId="140C71B5">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按照招标文件规定的格式要求编制投标文件，实质性响应招标文件内容；</w:t>
            </w:r>
          </w:p>
        </w:tc>
        <w:tc>
          <w:tcPr>
            <w:tcW w:w="782" w:type="dxa"/>
            <w:vAlign w:val="center"/>
          </w:tcPr>
          <w:p w14:paraId="4C25D216">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62AA48F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052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68D3521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100" w:type="dxa"/>
            <w:vAlign w:val="center"/>
          </w:tcPr>
          <w:p w14:paraId="2CD7C89F">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投标文件不得附有采购人不能接受的条件</w:t>
            </w:r>
            <w:r>
              <w:rPr>
                <w:rFonts w:hint="eastAsia" w:ascii="宋体" w:hAnsi="宋体" w:eastAsia="宋体" w:cs="宋体"/>
                <w:color w:val="auto"/>
                <w:sz w:val="24"/>
                <w:szCs w:val="24"/>
                <w:highlight w:val="none"/>
                <w:lang w:eastAsia="zh-CN"/>
              </w:rPr>
              <w:t>。</w:t>
            </w:r>
          </w:p>
        </w:tc>
        <w:tc>
          <w:tcPr>
            <w:tcW w:w="782" w:type="dxa"/>
            <w:vAlign w:val="center"/>
          </w:tcPr>
          <w:p w14:paraId="0D8D15A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781C4E3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4A5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716" w:type="dxa"/>
            <w:gridSpan w:val="2"/>
            <w:vAlign w:val="center"/>
          </w:tcPr>
          <w:p w14:paraId="09EDB23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审查结果（通过/不通过）</w:t>
            </w:r>
          </w:p>
        </w:tc>
        <w:tc>
          <w:tcPr>
            <w:tcW w:w="782" w:type="dxa"/>
            <w:vAlign w:val="center"/>
          </w:tcPr>
          <w:p w14:paraId="4563134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c>
          <w:tcPr>
            <w:tcW w:w="853" w:type="dxa"/>
            <w:vAlign w:val="center"/>
          </w:tcPr>
          <w:p w14:paraId="5346B14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auto"/>
                <w:sz w:val="24"/>
                <w:szCs w:val="24"/>
                <w:highlight w:val="none"/>
              </w:rPr>
            </w:pPr>
          </w:p>
        </w:tc>
      </w:tr>
      <w:tr w14:paraId="421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51" w:type="dxa"/>
            <w:gridSpan w:val="4"/>
            <w:vAlign w:val="center"/>
          </w:tcPr>
          <w:p w14:paraId="0FFD6F24">
            <w:pPr>
              <w:pStyle w:val="51"/>
              <w:pageBreakBefore w:val="0"/>
              <w:kinsoku/>
              <w:wordWrap/>
              <w:overflowPunct/>
              <w:topLinePunct w:val="0"/>
              <w:autoSpaceDE/>
              <w:autoSpaceDN/>
              <w:bidi w:val="0"/>
              <w:adjustRightInd/>
              <w:spacing w:line="38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3F6BACA8">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3.2.1在投标文件符合性审查过程中，如果出现评标委员会成员意见不一致的情况，按照少数服从多数的原则确定，但不得违背政府采购基本原则和招标文件规定。</w:t>
      </w:r>
    </w:p>
    <w:p w14:paraId="1119397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3" w:name="_Toc183582287"/>
      <w:bookmarkStart w:id="164" w:name="_Toc217446104"/>
      <w:bookmarkStart w:id="165" w:name="_Toc183682422"/>
    </w:p>
    <w:bookmarkEnd w:id="163"/>
    <w:bookmarkEnd w:id="164"/>
    <w:bookmarkEnd w:id="165"/>
    <w:p w14:paraId="29B1F50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4093D7C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72DFFE5C">
      <w:pPr>
        <w:pStyle w:val="45"/>
        <w:pageBreakBefore w:val="0"/>
        <w:kinsoku/>
        <w:wordWrap/>
        <w:overflowPunct/>
        <w:topLinePunct w:val="0"/>
        <w:autoSpaceDE/>
        <w:autoSpaceDN/>
        <w:bidi w:val="0"/>
        <w:adjustRightInd/>
        <w:spacing w:line="38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kern w:val="2"/>
          <w:sz w:val="24"/>
          <w:szCs w:val="24"/>
          <w:highlight w:val="none"/>
          <w:lang w:val="en-US" w:eastAsia="zh-CN" w:bidi="ar-SA"/>
        </w:rPr>
        <w:t>，按照技术指标优劣顺序推荐。</w:t>
      </w:r>
    </w:p>
    <w:p w14:paraId="6F31569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666F583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2BC0319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477D255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2897968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6CB7670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464AD60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bookmarkStart w:id="166" w:name="_Toc217446103"/>
      <w:r>
        <w:rPr>
          <w:rFonts w:hint="eastAsia" w:ascii="宋体" w:hAnsi="宋体" w:eastAsia="宋体" w:cs="宋体"/>
          <w:b w:val="0"/>
          <w:bCs w:val="0"/>
          <w:color w:val="auto"/>
          <w:sz w:val="24"/>
          <w:szCs w:val="24"/>
          <w:highlight w:val="none"/>
        </w:rPr>
        <w:t>4. 评标细则及标准</w:t>
      </w:r>
      <w:bookmarkEnd w:id="166"/>
    </w:p>
    <w:p w14:paraId="75C318C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6D1F5F0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66080A2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4B9FE17F">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77E55398">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2F434497">
      <w:pPr>
        <w:pStyle w:val="13"/>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633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134F5DDB">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356D8728">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3DA4417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2D3F32C0">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7AA5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270CAC77">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4033133F">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00EA700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2C90472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4F88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D5B27D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16533B79">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30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617D1713">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70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5EA0870B">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455DE7D8">
      <w:pPr>
        <w:pStyle w:val="14"/>
        <w:rPr>
          <w:rFonts w:hint="eastAsia" w:ascii="宋体" w:hAnsi="宋体" w:eastAsia="宋体" w:cs="宋体"/>
          <w:b w:val="0"/>
          <w:bCs w:val="0"/>
          <w:color w:val="auto"/>
          <w:sz w:val="24"/>
          <w:szCs w:val="24"/>
          <w:highlight w:val="none"/>
        </w:rPr>
      </w:pPr>
    </w:p>
    <w:p w14:paraId="3B846AA1">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tbl>
      <w:tblPr>
        <w:tblStyle w:val="3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5754"/>
      </w:tblGrid>
      <w:tr w14:paraId="61E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413" w:type="dxa"/>
            <w:tcBorders>
              <w:top w:val="single" w:color="auto" w:sz="4" w:space="0"/>
              <w:left w:val="single" w:color="auto" w:sz="4" w:space="0"/>
              <w:bottom w:val="single" w:color="auto" w:sz="4" w:space="0"/>
              <w:right w:val="single" w:color="auto" w:sz="4" w:space="0"/>
            </w:tcBorders>
            <w:vAlign w:val="center"/>
          </w:tcPr>
          <w:p w14:paraId="4F3B70F8">
            <w:pPr>
              <w:rPr>
                <w:rFonts w:hint="eastAsia" w:asciiTheme="minorEastAsia" w:hAnsiTheme="minorEastAsia" w:eastAsiaTheme="minorEastAsia" w:cstheme="minorEastAsia"/>
                <w:b/>
                <w:bCs/>
                <w:snapToGrid w:val="0"/>
                <w:color w:val="auto"/>
                <w:kern w:val="0"/>
                <w:sz w:val="24"/>
                <w:highlight w:val="none"/>
                <w:lang w:val="zh-CN"/>
              </w:rPr>
            </w:pPr>
            <w:r>
              <w:rPr>
                <w:rFonts w:hint="eastAsia" w:asciiTheme="minorEastAsia" w:hAnsiTheme="minorEastAsia" w:eastAsiaTheme="minorEastAsia" w:cstheme="minorEastAsia"/>
                <w:b w:val="0"/>
                <w:bCs w:val="0"/>
                <w:color w:val="auto"/>
                <w:sz w:val="24"/>
                <w:szCs w:val="24"/>
                <w:highlight w:val="none"/>
              </w:rPr>
              <w:br w:type="page"/>
            </w:r>
            <w:r>
              <w:rPr>
                <w:rFonts w:hint="eastAsia" w:asciiTheme="minorEastAsia" w:hAnsiTheme="minorEastAsia" w:eastAsiaTheme="minorEastAsia" w:cstheme="minorEastAsia"/>
                <w:b/>
                <w:bCs/>
                <w:snapToGrid w:val="0"/>
                <w:color w:val="auto"/>
                <w:kern w:val="0"/>
                <w:sz w:val="24"/>
                <w:highlight w:val="none"/>
              </w:rPr>
              <w:t>评分项目</w:t>
            </w:r>
          </w:p>
        </w:tc>
        <w:tc>
          <w:tcPr>
            <w:tcW w:w="1417" w:type="dxa"/>
            <w:tcBorders>
              <w:top w:val="single" w:color="auto" w:sz="4" w:space="0"/>
              <w:left w:val="single" w:color="auto" w:sz="4" w:space="0"/>
              <w:bottom w:val="single" w:color="auto" w:sz="4" w:space="0"/>
              <w:right w:val="single" w:color="auto" w:sz="4" w:space="0"/>
            </w:tcBorders>
            <w:vAlign w:val="center"/>
          </w:tcPr>
          <w:p w14:paraId="7578FCD1">
            <w:pPr>
              <w:widowControl/>
              <w:kinsoku w:val="0"/>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b/>
                <w:bCs/>
                <w:snapToGrid w:val="0"/>
                <w:color w:val="auto"/>
                <w:kern w:val="0"/>
                <w:sz w:val="24"/>
                <w:highlight w:val="none"/>
                <w:lang w:val="zh-CN"/>
              </w:rPr>
            </w:pPr>
            <w:r>
              <w:rPr>
                <w:rFonts w:hint="eastAsia" w:asciiTheme="minorEastAsia" w:hAnsiTheme="minorEastAsia" w:eastAsiaTheme="minorEastAsia" w:cstheme="minorEastAsia"/>
                <w:b/>
                <w:bCs/>
                <w:snapToGrid w:val="0"/>
                <w:color w:val="auto"/>
                <w:kern w:val="0"/>
                <w:sz w:val="24"/>
                <w:highlight w:val="none"/>
                <w:lang w:val="zh-CN"/>
              </w:rPr>
              <w:t>分值</w:t>
            </w:r>
          </w:p>
        </w:tc>
        <w:tc>
          <w:tcPr>
            <w:tcW w:w="5754" w:type="dxa"/>
            <w:tcBorders>
              <w:top w:val="single" w:color="auto" w:sz="4" w:space="0"/>
              <w:left w:val="single" w:color="auto" w:sz="4" w:space="0"/>
              <w:bottom w:val="single" w:color="auto" w:sz="4" w:space="0"/>
              <w:right w:val="single" w:color="auto" w:sz="4" w:space="0"/>
            </w:tcBorders>
            <w:vAlign w:val="center"/>
          </w:tcPr>
          <w:p w14:paraId="168B5787">
            <w:pPr>
              <w:widowControl/>
              <w:kinsoku w:val="0"/>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b/>
                <w:bCs/>
                <w:snapToGrid w:val="0"/>
                <w:color w:val="auto"/>
                <w:kern w:val="0"/>
                <w:sz w:val="24"/>
                <w:highlight w:val="none"/>
                <w:lang w:val="zh-CN"/>
              </w:rPr>
            </w:pPr>
            <w:r>
              <w:rPr>
                <w:rFonts w:hint="eastAsia" w:asciiTheme="minorEastAsia" w:hAnsiTheme="minorEastAsia" w:eastAsiaTheme="minorEastAsia" w:cstheme="minorEastAsia"/>
                <w:b/>
                <w:bCs/>
                <w:snapToGrid w:val="0"/>
                <w:color w:val="auto"/>
                <w:kern w:val="0"/>
                <w:sz w:val="24"/>
                <w:highlight w:val="none"/>
                <w:lang w:val="zh-CN"/>
              </w:rPr>
              <w:t>标准</w:t>
            </w:r>
          </w:p>
        </w:tc>
      </w:tr>
      <w:tr w14:paraId="3F5E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left w:val="single" w:color="auto" w:sz="4" w:space="0"/>
              <w:right w:val="single" w:color="auto" w:sz="4" w:space="0"/>
            </w:tcBorders>
            <w:vAlign w:val="center"/>
          </w:tcPr>
          <w:p w14:paraId="1EA13651">
            <w:pPr>
              <w:widowControl/>
              <w:spacing w:line="400" w:lineRule="exact"/>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kern w:val="0"/>
                <w:sz w:val="24"/>
                <w:szCs w:val="24"/>
                <w:highlight w:val="none"/>
                <w:lang w:val="en-US" w:eastAsia="zh-CN"/>
              </w:rPr>
              <w:t>要求</w:t>
            </w:r>
          </w:p>
          <w:p w14:paraId="28FEA6AF">
            <w:pPr>
              <w:widowControl/>
              <w:spacing w:line="400" w:lineRule="exact"/>
              <w:jc w:val="center"/>
              <w:textAlignment w:val="center"/>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rPr>
              <w:t>响应评价</w:t>
            </w:r>
          </w:p>
        </w:tc>
        <w:tc>
          <w:tcPr>
            <w:tcW w:w="1417" w:type="dxa"/>
            <w:tcBorders>
              <w:top w:val="single" w:color="auto" w:sz="4" w:space="0"/>
              <w:left w:val="single" w:color="auto" w:sz="4" w:space="0"/>
              <w:bottom w:val="single" w:color="auto" w:sz="4" w:space="0"/>
              <w:right w:val="single" w:color="auto" w:sz="4" w:space="0"/>
            </w:tcBorders>
            <w:vAlign w:val="center"/>
          </w:tcPr>
          <w:p w14:paraId="6882B226">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36</w:t>
            </w:r>
          </w:p>
        </w:tc>
        <w:tc>
          <w:tcPr>
            <w:tcW w:w="5754" w:type="dxa"/>
            <w:tcBorders>
              <w:top w:val="single" w:color="auto" w:sz="4" w:space="0"/>
              <w:left w:val="single" w:color="auto" w:sz="4" w:space="0"/>
              <w:bottom w:val="single" w:color="auto" w:sz="4" w:space="0"/>
              <w:right w:val="single" w:color="auto" w:sz="4" w:space="0"/>
            </w:tcBorders>
            <w:vAlign w:val="center"/>
          </w:tcPr>
          <w:p w14:paraId="505F162B">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所投产品的性能、特点满足招标主要技术要求，技术参数完全符合得满分 36 分，每负偏离一项扣 0.75 分，扣完为止。 </w:t>
            </w:r>
          </w:p>
          <w:p w14:paraId="36CD42B8">
            <w:pPr>
              <w:widowControl/>
              <w:spacing w:line="400" w:lineRule="exact"/>
              <w:ind w:firstLine="480" w:firstLineChars="200"/>
              <w:textAlignment w:val="center"/>
              <w:rPr>
                <w:rFonts w:hint="eastAsia" w:asciiTheme="minorEastAsia" w:hAnsiTheme="minorEastAsia" w:eastAsiaTheme="minorEastAsia" w:cstheme="minorEastAsia"/>
                <w:b/>
                <w:bCs/>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lang w:val="en-US" w:eastAsia="zh-CN"/>
              </w:rPr>
              <w:t>注：供应商需提供技术参数中所要求的相关证明材料，证明材料</w:t>
            </w:r>
            <w:r>
              <w:rPr>
                <w:rFonts w:hint="eastAsia" w:asciiTheme="minorEastAsia" w:hAnsiTheme="minorEastAsia" w:eastAsiaTheme="minorEastAsia" w:cstheme="minorEastAsia"/>
                <w:b w:val="0"/>
                <w:bCs w:val="0"/>
                <w:color w:val="auto"/>
                <w:sz w:val="24"/>
                <w:szCs w:val="24"/>
                <w:highlight w:val="none"/>
              </w:rPr>
              <w:t>包括但不限于</w:t>
            </w:r>
            <w:r>
              <w:rPr>
                <w:rFonts w:hint="eastAsia" w:asciiTheme="minorEastAsia" w:hAnsiTheme="minorEastAsia" w:eastAsiaTheme="minorEastAsia" w:cstheme="minorEastAsia"/>
                <w:b w:val="0"/>
                <w:bCs w:val="0"/>
                <w:color w:val="auto"/>
                <w:sz w:val="24"/>
                <w:szCs w:val="24"/>
                <w:highlight w:val="none"/>
                <w:lang w:val="en-US" w:eastAsia="zh-CN"/>
              </w:rPr>
              <w:t>产品合格证和出厂检验卡、安装和使用说明书、该产品型式检验、出厂检验、寿命试验报告、该产品需提供完备、准确的测试报告</w:t>
            </w:r>
            <w:r>
              <w:rPr>
                <w:rFonts w:hint="eastAsia" w:asciiTheme="minorEastAsia" w:hAnsiTheme="minorEastAsia" w:eastAsiaTheme="minorEastAsia" w:cstheme="minorEastAsia"/>
                <w:color w:val="auto"/>
                <w:sz w:val="24"/>
                <w:szCs w:val="24"/>
                <w:highlight w:val="none"/>
                <w:lang w:val="en-US" w:eastAsia="zh-CN"/>
              </w:rPr>
              <w:t>等。</w:t>
            </w:r>
          </w:p>
        </w:tc>
      </w:tr>
      <w:tr w14:paraId="188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3" w:type="dxa"/>
            <w:tcBorders>
              <w:left w:val="single" w:color="auto" w:sz="4" w:space="0"/>
              <w:right w:val="single" w:color="auto" w:sz="4" w:space="0"/>
            </w:tcBorders>
            <w:vAlign w:val="center"/>
          </w:tcPr>
          <w:p w14:paraId="4183FAF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业绩</w:t>
            </w:r>
            <w:r>
              <w:rPr>
                <w:rFonts w:hint="eastAsia" w:asciiTheme="minorEastAsia" w:hAnsiTheme="minorEastAsia" w:eastAsiaTheme="minorEastAsia" w:cstheme="minorEastAsia"/>
                <w:color w:val="auto"/>
                <w:sz w:val="24"/>
                <w:szCs w:val="24"/>
                <w:highlight w:val="none"/>
                <w:lang w:val="en-US" w:eastAsia="zh-CN"/>
              </w:rPr>
              <w:t>证明</w:t>
            </w:r>
          </w:p>
        </w:tc>
        <w:tc>
          <w:tcPr>
            <w:tcW w:w="1417" w:type="dxa"/>
            <w:tcBorders>
              <w:top w:val="single" w:color="auto" w:sz="4" w:space="0"/>
              <w:left w:val="single" w:color="auto" w:sz="4" w:space="0"/>
              <w:right w:val="single" w:color="auto" w:sz="4" w:space="0"/>
            </w:tcBorders>
            <w:vAlign w:val="center"/>
          </w:tcPr>
          <w:p w14:paraId="0BFD7DA1">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6分</w:t>
            </w:r>
          </w:p>
        </w:tc>
        <w:tc>
          <w:tcPr>
            <w:tcW w:w="5754" w:type="dxa"/>
            <w:tcBorders>
              <w:top w:val="single" w:color="auto" w:sz="4" w:space="0"/>
              <w:left w:val="single" w:color="auto" w:sz="4" w:space="0"/>
              <w:right w:val="single" w:color="auto" w:sz="4" w:space="0"/>
            </w:tcBorders>
            <w:vAlign w:val="center"/>
          </w:tcPr>
          <w:p w14:paraId="59040D2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供应商近三年内（</w:t>
            </w:r>
            <w:r>
              <w:rPr>
                <w:rFonts w:hint="eastAsia" w:asciiTheme="minorEastAsia" w:hAnsiTheme="minorEastAsia" w:eastAsiaTheme="minorEastAsia" w:cstheme="minorEastAsia"/>
                <w:color w:val="auto"/>
                <w:sz w:val="24"/>
                <w:szCs w:val="24"/>
                <w:highlight w:val="none"/>
                <w:lang w:val="en-US" w:eastAsia="zh-CN"/>
              </w:rPr>
              <w:t>2022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投标文件上传截止时间前</w:t>
            </w:r>
            <w:r>
              <w:rPr>
                <w:rFonts w:hint="eastAsia" w:asciiTheme="minorEastAsia" w:hAnsiTheme="minorEastAsia" w:eastAsiaTheme="minorEastAsia" w:cstheme="minorEastAsia"/>
                <w:color w:val="auto"/>
                <w:sz w:val="24"/>
                <w:szCs w:val="24"/>
                <w:highlight w:val="none"/>
                <w:lang w:eastAsia="zh-CN"/>
              </w:rPr>
              <w:t>，以合同签订日期为准）完成类似项目的业绩，每个项目业绩得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分，最多得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分。</w:t>
            </w:r>
          </w:p>
          <w:p w14:paraId="5C96AB4B">
            <w:pPr>
              <w:adjustRightInd w:val="0"/>
              <w:snapToGrid w:val="0"/>
              <w:spacing w:line="400" w:lineRule="exact"/>
              <w:ind w:firstLine="482" w:firstLineChars="200"/>
              <w:jc w:val="left"/>
              <w:rPr>
                <w:rFonts w:hint="eastAsia" w:asciiTheme="minorEastAsia" w:hAnsiTheme="minorEastAsia" w:eastAsiaTheme="minorEastAsia" w:cstheme="minorEastAsia"/>
                <w:b/>
                <w:bCs/>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en-US" w:eastAsia="zh-CN"/>
              </w:rPr>
              <w:t>注：①须提供中标（成交）通知书和合同（至少包括合同首页、标的页、签字盖章页、采购内容页）彩色扫描件，未按要求提供不得分；②同一单位近三年的类似合同不重复计算业绩，仅算一个业绩。</w:t>
            </w:r>
          </w:p>
        </w:tc>
      </w:tr>
      <w:tr w14:paraId="2D8D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13" w:type="dxa"/>
            <w:tcBorders>
              <w:left w:val="single" w:color="auto" w:sz="4" w:space="0"/>
              <w:right w:val="single" w:color="auto" w:sz="4" w:space="0"/>
            </w:tcBorders>
            <w:vAlign w:val="center"/>
          </w:tcPr>
          <w:p w14:paraId="7BD91DFA">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项目组织</w:t>
            </w:r>
          </w:p>
          <w:p w14:paraId="273BCEB1">
            <w:pPr>
              <w:widowControl/>
              <w:spacing w:line="400" w:lineRule="exact"/>
              <w:jc w:val="center"/>
              <w:textAlignment w:val="center"/>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7E9BA120">
            <w:pPr>
              <w:widowControl/>
              <w:spacing w:line="400" w:lineRule="exact"/>
              <w:jc w:val="center"/>
              <w:textAlignment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10分</w:t>
            </w:r>
          </w:p>
        </w:tc>
        <w:tc>
          <w:tcPr>
            <w:tcW w:w="5754" w:type="dxa"/>
            <w:tcBorders>
              <w:top w:val="single" w:color="auto" w:sz="4" w:space="0"/>
              <w:left w:val="single" w:color="auto" w:sz="4" w:space="0"/>
              <w:bottom w:val="single" w:color="auto" w:sz="4" w:space="0"/>
              <w:right w:val="single" w:color="auto" w:sz="4" w:space="0"/>
            </w:tcBorders>
            <w:vAlign w:val="center"/>
          </w:tcPr>
          <w:p w14:paraId="1ED8ECD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根据供应商提供的项目</w:t>
            </w:r>
            <w:r>
              <w:rPr>
                <w:rFonts w:hint="eastAsia" w:asciiTheme="minorEastAsia" w:hAnsiTheme="minorEastAsia" w:eastAsiaTheme="minorEastAsia" w:cstheme="minorEastAsia"/>
                <w:color w:val="auto"/>
                <w:sz w:val="24"/>
                <w:szCs w:val="24"/>
                <w:highlight w:val="none"/>
                <w:lang w:val="en-US" w:eastAsia="zh-CN"/>
              </w:rPr>
              <w:t>组织</w:t>
            </w:r>
            <w:r>
              <w:rPr>
                <w:rFonts w:hint="eastAsia" w:asciiTheme="minorEastAsia" w:hAnsiTheme="minorEastAsia" w:eastAsiaTheme="minorEastAsia" w:cstheme="minorEastAsia"/>
                <w:color w:val="auto"/>
                <w:sz w:val="24"/>
                <w:szCs w:val="24"/>
                <w:highlight w:val="none"/>
                <w:lang w:eastAsia="zh-CN"/>
              </w:rPr>
              <w:t>方案进行评分：</w:t>
            </w:r>
          </w:p>
          <w:p w14:paraId="096425FB">
            <w:pPr>
              <w:widowControl/>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b w:val="0"/>
                <w:bCs w:val="0"/>
                <w:color w:val="auto"/>
                <w:sz w:val="24"/>
                <w:szCs w:val="24"/>
                <w:highlight w:val="none"/>
              </w:rPr>
              <w:t>项目</w:t>
            </w:r>
            <w:r>
              <w:rPr>
                <w:rFonts w:hint="eastAsia" w:asciiTheme="minorEastAsia" w:hAnsiTheme="minorEastAsia" w:eastAsiaTheme="minorEastAsia" w:cstheme="minorEastAsia"/>
                <w:b w:val="0"/>
                <w:bCs w:val="0"/>
                <w:color w:val="auto"/>
                <w:sz w:val="24"/>
                <w:szCs w:val="24"/>
                <w:highlight w:val="none"/>
                <w:lang w:val="en-US" w:eastAsia="zh-CN"/>
              </w:rPr>
              <w:t>组织</w:t>
            </w:r>
            <w:r>
              <w:rPr>
                <w:rFonts w:hint="eastAsia" w:asciiTheme="minorEastAsia" w:hAnsiTheme="minorEastAsia" w:eastAsiaTheme="minorEastAsia" w:cstheme="minorEastAsia"/>
                <w:b w:val="0"/>
                <w:bCs w:val="0"/>
                <w:color w:val="auto"/>
                <w:sz w:val="24"/>
                <w:szCs w:val="24"/>
                <w:highlight w:val="none"/>
              </w:rPr>
              <w:t>方案包括但不限于：</w:t>
            </w:r>
            <w:r>
              <w:rPr>
                <w:rFonts w:hint="eastAsia" w:asciiTheme="minorEastAsia" w:hAnsiTheme="minorEastAsia" w:eastAsiaTheme="minorEastAsia" w:cstheme="minorEastAsia"/>
                <w:b w:val="0"/>
                <w:bCs w:val="0"/>
                <w:color w:val="auto"/>
                <w:sz w:val="24"/>
                <w:szCs w:val="24"/>
                <w:highlight w:val="none"/>
                <w:lang w:eastAsia="zh-CN"/>
              </w:rPr>
              <w:t>①</w:t>
            </w:r>
            <w:r>
              <w:rPr>
                <w:rFonts w:hint="eastAsia" w:asciiTheme="minorEastAsia" w:hAnsiTheme="minorEastAsia" w:eastAsiaTheme="minorEastAsia" w:cstheme="minorEastAsia"/>
                <w:b w:val="0"/>
                <w:bCs w:val="0"/>
                <w:color w:val="auto"/>
                <w:sz w:val="24"/>
                <w:szCs w:val="24"/>
                <w:highlight w:val="none"/>
              </w:rPr>
              <w:t>项目人员安排（包含但不限于主要人员名单及基本情况介绍、在本项目中承担的职责等）、</w:t>
            </w:r>
            <w:r>
              <w:rPr>
                <w:rFonts w:hint="eastAsia" w:asciiTheme="minorEastAsia" w:hAnsiTheme="minorEastAsia" w:eastAsiaTheme="minorEastAsia" w:cstheme="minorEastAsia"/>
                <w:b w:val="0"/>
                <w:bCs w:val="0"/>
                <w:color w:val="auto"/>
                <w:sz w:val="24"/>
                <w:szCs w:val="24"/>
                <w:highlight w:val="none"/>
                <w:lang w:eastAsia="zh-CN"/>
              </w:rPr>
              <w:t>②</w:t>
            </w:r>
            <w:r>
              <w:rPr>
                <w:rFonts w:hint="eastAsia" w:asciiTheme="minorEastAsia" w:hAnsiTheme="minorEastAsia" w:eastAsiaTheme="minorEastAsia" w:cstheme="minorEastAsia"/>
                <w:b w:val="0"/>
                <w:bCs w:val="0"/>
                <w:color w:val="auto"/>
                <w:sz w:val="24"/>
                <w:szCs w:val="24"/>
                <w:highlight w:val="none"/>
              </w:rPr>
              <w:t>供货方案（包含但不限于产品来源、供货计划、供货时间、包装和运输方式等）、</w:t>
            </w:r>
            <w:r>
              <w:rPr>
                <w:rFonts w:hint="eastAsia" w:asciiTheme="minorEastAsia" w:hAnsiTheme="minorEastAsia" w:eastAsiaTheme="minorEastAsia" w:cstheme="minorEastAsia"/>
                <w:b w:val="0"/>
                <w:bCs w:val="0"/>
                <w:color w:val="auto"/>
                <w:sz w:val="24"/>
                <w:szCs w:val="24"/>
                <w:highlight w:val="none"/>
                <w:lang w:eastAsia="zh-CN"/>
              </w:rPr>
              <w:t>③</w:t>
            </w:r>
            <w:r>
              <w:rPr>
                <w:rFonts w:hint="eastAsia" w:asciiTheme="minorEastAsia" w:hAnsiTheme="minorEastAsia" w:eastAsiaTheme="minorEastAsia" w:cstheme="minorEastAsia"/>
                <w:b w:val="0"/>
                <w:bCs w:val="0"/>
                <w:color w:val="auto"/>
                <w:sz w:val="24"/>
                <w:szCs w:val="24"/>
                <w:highlight w:val="none"/>
              </w:rPr>
              <w:t>质量管控方案（包括但不限于质量管控的标准、方法和程序等）、</w:t>
            </w:r>
            <w:r>
              <w:rPr>
                <w:rFonts w:hint="eastAsia" w:asciiTheme="minorEastAsia" w:hAnsiTheme="minorEastAsia" w:eastAsiaTheme="minorEastAsia" w:cstheme="minorEastAsia"/>
                <w:b w:val="0"/>
                <w:bCs w:val="0"/>
                <w:color w:val="auto"/>
                <w:sz w:val="24"/>
                <w:szCs w:val="24"/>
                <w:highlight w:val="none"/>
                <w:lang w:eastAsia="zh-CN"/>
              </w:rPr>
              <w:t>④</w:t>
            </w:r>
            <w:r>
              <w:rPr>
                <w:rFonts w:hint="eastAsia" w:asciiTheme="minorEastAsia" w:hAnsiTheme="minorEastAsia" w:eastAsiaTheme="minorEastAsia" w:cstheme="minorEastAsia"/>
                <w:b w:val="0"/>
                <w:bCs w:val="0"/>
                <w:color w:val="auto"/>
                <w:sz w:val="24"/>
                <w:szCs w:val="24"/>
                <w:highlight w:val="none"/>
              </w:rPr>
              <w:t>测试（调试）方案（包含但不限于人员安排、测试步骤、测试标准等）等4项内容，方案内容完整齐全，符合项目实际（</w:t>
            </w:r>
            <w:r>
              <w:rPr>
                <w:rFonts w:hint="eastAsia" w:asciiTheme="minorEastAsia" w:hAnsiTheme="minorEastAsia" w:eastAsiaTheme="minorEastAsia" w:cstheme="minorEastAsia"/>
                <w:b w:val="0"/>
                <w:bCs w:val="0"/>
                <w:color w:val="auto"/>
                <w:kern w:val="0"/>
                <w:sz w:val="24"/>
                <w:szCs w:val="24"/>
                <w:highlight w:val="none"/>
                <w:lang w:eastAsia="zh-CN"/>
              </w:rPr>
              <w:t>第</w:t>
            </w:r>
            <w:r>
              <w:rPr>
                <w:rFonts w:hint="eastAsia" w:asciiTheme="minorEastAsia" w:hAnsiTheme="minorEastAsia" w:eastAsiaTheme="minorEastAsia" w:cstheme="minorEastAsia"/>
                <w:b w:val="0"/>
                <w:bCs w:val="0"/>
                <w:color w:val="auto"/>
                <w:kern w:val="0"/>
                <w:sz w:val="24"/>
                <w:szCs w:val="24"/>
                <w:highlight w:val="none"/>
                <w:lang w:val="en-US" w:eastAsia="zh-CN"/>
              </w:rPr>
              <w:t>四</w:t>
            </w:r>
            <w:r>
              <w:rPr>
                <w:rFonts w:hint="eastAsia" w:asciiTheme="minorEastAsia" w:hAnsiTheme="minorEastAsia" w:eastAsiaTheme="minorEastAsia" w:cstheme="minorEastAsia"/>
                <w:b w:val="0"/>
                <w:bCs w:val="0"/>
                <w:color w:val="auto"/>
                <w:kern w:val="0"/>
                <w:sz w:val="24"/>
                <w:szCs w:val="24"/>
                <w:highlight w:val="none"/>
                <w:lang w:eastAsia="zh-CN"/>
              </w:rPr>
              <w:t>章“</w:t>
            </w:r>
            <w:r>
              <w:rPr>
                <w:rFonts w:hint="eastAsia" w:asciiTheme="minorEastAsia" w:hAnsiTheme="minorEastAsia" w:eastAsiaTheme="minorEastAsia" w:cstheme="minorEastAsia"/>
                <w:bCs/>
                <w:color w:val="auto"/>
                <w:sz w:val="24"/>
                <w:szCs w:val="24"/>
                <w:highlight w:val="none"/>
              </w:rPr>
              <w:t>招标项目技术要求</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）的，得</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分；每缺少一项方案内容</w:t>
            </w:r>
            <w:r>
              <w:rPr>
                <w:rFonts w:hint="eastAsia" w:asciiTheme="minorEastAsia" w:hAnsiTheme="minorEastAsia" w:eastAsiaTheme="minorEastAsia" w:cstheme="minorEastAsia"/>
                <w:b w:val="0"/>
                <w:bCs w:val="0"/>
                <w:color w:val="auto"/>
                <w:sz w:val="24"/>
                <w:szCs w:val="24"/>
                <w:highlight w:val="none"/>
                <w:lang w:val="en-US" w:eastAsia="zh-CN"/>
              </w:rPr>
              <w:t>扣2.5分</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每有</w:t>
            </w:r>
            <w:r>
              <w:rPr>
                <w:rFonts w:hint="eastAsia" w:asciiTheme="minorEastAsia" w:hAnsiTheme="minorEastAsia" w:eastAsiaTheme="minorEastAsia" w:cstheme="minorEastAsia"/>
                <w:b w:val="0"/>
                <w:bCs w:val="0"/>
                <w:color w:val="auto"/>
                <w:sz w:val="24"/>
                <w:szCs w:val="24"/>
                <w:highlight w:val="none"/>
              </w:rPr>
              <w:t>一项内容存在</w:t>
            </w:r>
            <w:r>
              <w:rPr>
                <w:rFonts w:hint="eastAsia" w:asciiTheme="minorEastAsia" w:hAnsiTheme="minorEastAsia" w:eastAsiaTheme="minorEastAsia" w:cstheme="minorEastAsia"/>
                <w:b w:val="0"/>
                <w:bCs w:val="0"/>
                <w:color w:val="auto"/>
                <w:sz w:val="24"/>
                <w:szCs w:val="24"/>
                <w:highlight w:val="none"/>
                <w:lang w:val="en-US" w:eastAsia="zh-CN"/>
              </w:rPr>
              <w:t>缺项、漏项或有</w:t>
            </w:r>
            <w:r>
              <w:rPr>
                <w:rFonts w:hint="eastAsia" w:asciiTheme="minorEastAsia" w:hAnsiTheme="minorEastAsia" w:eastAsiaTheme="minorEastAsia" w:cstheme="minorEastAsia"/>
                <w:b w:val="0"/>
                <w:bCs w:val="0"/>
                <w:color w:val="auto"/>
                <w:sz w:val="24"/>
                <w:szCs w:val="24"/>
                <w:highlight w:val="none"/>
              </w:rPr>
              <w:t>缺陷的扣</w:t>
            </w:r>
            <w:r>
              <w:rPr>
                <w:rFonts w:hint="eastAsia" w:asciiTheme="minorEastAsia" w:hAnsiTheme="minorEastAsia" w:eastAsiaTheme="minorEastAsia" w:cstheme="minorEastAsia"/>
                <w:b w:val="0"/>
                <w:bCs w:val="0"/>
                <w:color w:val="auto"/>
                <w:sz w:val="24"/>
                <w:szCs w:val="24"/>
                <w:highlight w:val="none"/>
                <w:lang w:val="en-US" w:eastAsia="zh-CN"/>
              </w:rPr>
              <w:t>1.5</w:t>
            </w:r>
            <w:r>
              <w:rPr>
                <w:rFonts w:hint="eastAsia" w:asciiTheme="minorEastAsia" w:hAnsiTheme="minorEastAsia" w:eastAsiaTheme="minorEastAsia" w:cstheme="minorEastAsia"/>
                <w:b w:val="0"/>
                <w:bCs w:val="0"/>
                <w:color w:val="auto"/>
                <w:sz w:val="24"/>
                <w:szCs w:val="24"/>
                <w:highlight w:val="none"/>
              </w:rPr>
              <w:t>分，扣完为止；未提供项目</w:t>
            </w:r>
            <w:r>
              <w:rPr>
                <w:rFonts w:hint="eastAsia" w:asciiTheme="minorEastAsia" w:hAnsiTheme="minorEastAsia" w:eastAsiaTheme="minorEastAsia" w:cstheme="minorEastAsia"/>
                <w:b w:val="0"/>
                <w:bCs w:val="0"/>
                <w:color w:val="auto"/>
                <w:sz w:val="24"/>
                <w:szCs w:val="24"/>
                <w:highlight w:val="none"/>
                <w:lang w:val="en-US" w:eastAsia="zh-CN"/>
              </w:rPr>
              <w:t>组织</w:t>
            </w:r>
            <w:r>
              <w:rPr>
                <w:rFonts w:hint="eastAsia" w:asciiTheme="minorEastAsia" w:hAnsiTheme="minorEastAsia" w:eastAsiaTheme="minorEastAsia" w:cstheme="minorEastAsia"/>
                <w:b w:val="0"/>
                <w:bCs w:val="0"/>
                <w:color w:val="auto"/>
                <w:sz w:val="24"/>
                <w:szCs w:val="24"/>
                <w:highlight w:val="none"/>
              </w:rPr>
              <w:t>方案的，此项不得分。</w:t>
            </w:r>
          </w:p>
        </w:tc>
      </w:tr>
      <w:tr w14:paraId="353C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220B5CB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w:t>
            </w:r>
          </w:p>
          <w:p w14:paraId="5D791B08">
            <w:pPr>
              <w:widowControl/>
              <w:spacing w:line="40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实施方案</w:t>
            </w:r>
          </w:p>
        </w:tc>
        <w:tc>
          <w:tcPr>
            <w:tcW w:w="1417" w:type="dxa"/>
            <w:tcBorders>
              <w:top w:val="single" w:color="auto" w:sz="4" w:space="0"/>
              <w:left w:val="single" w:color="auto" w:sz="4" w:space="0"/>
              <w:bottom w:val="single" w:color="auto" w:sz="4" w:space="0"/>
              <w:right w:val="single" w:color="auto" w:sz="4" w:space="0"/>
            </w:tcBorders>
            <w:vAlign w:val="center"/>
          </w:tcPr>
          <w:p w14:paraId="4518692A">
            <w:pPr>
              <w:widowControl/>
              <w:spacing w:line="400" w:lineRule="exact"/>
              <w:jc w:val="center"/>
              <w:textAlignment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8分</w:t>
            </w:r>
          </w:p>
        </w:tc>
        <w:tc>
          <w:tcPr>
            <w:tcW w:w="5754" w:type="dxa"/>
            <w:tcBorders>
              <w:top w:val="single" w:color="auto" w:sz="4" w:space="0"/>
              <w:left w:val="single" w:color="auto" w:sz="4" w:space="0"/>
              <w:bottom w:val="single" w:color="auto" w:sz="4" w:space="0"/>
              <w:right w:val="single" w:color="auto" w:sz="4" w:space="0"/>
            </w:tcBorders>
            <w:vAlign w:val="center"/>
          </w:tcPr>
          <w:p w14:paraId="65D7C112">
            <w:p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货、安装、调试、供货进度保证措施合理且切实可行，产品安装、调试的技术保证措施完善，供货实施方案中包括以上全部内容，且各项配备齐全，各项内容完善具有针对性，内容叙述详细，符合项目特点及需求的得5-8分；</w:t>
            </w:r>
          </w:p>
          <w:p w14:paraId="599165EF">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较符合项目特点及需求的得3-5（含5）分；</w:t>
            </w:r>
          </w:p>
          <w:p w14:paraId="63C2F95B">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基本满足项目要求的得0-3（含3）分，未提供不得分；</w:t>
            </w:r>
          </w:p>
        </w:tc>
      </w:tr>
      <w:tr w14:paraId="0E7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3FA05D35">
            <w:pPr>
              <w:widowControl/>
              <w:spacing w:line="400" w:lineRule="exact"/>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售后服务</w:t>
            </w:r>
          </w:p>
          <w:p w14:paraId="32164570">
            <w:pPr>
              <w:widowControl/>
              <w:spacing w:line="400" w:lineRule="exact"/>
              <w:jc w:val="center"/>
              <w:textAlignment w:val="center"/>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22DB62F4">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10分</w:t>
            </w:r>
          </w:p>
        </w:tc>
        <w:tc>
          <w:tcPr>
            <w:tcW w:w="5754" w:type="dxa"/>
            <w:tcBorders>
              <w:top w:val="single" w:color="auto" w:sz="4" w:space="0"/>
              <w:left w:val="single" w:color="auto" w:sz="4" w:space="0"/>
              <w:bottom w:val="single" w:color="auto" w:sz="4" w:space="0"/>
              <w:right w:val="single" w:color="auto" w:sz="4" w:space="0"/>
            </w:tcBorders>
            <w:vAlign w:val="center"/>
          </w:tcPr>
          <w:p w14:paraId="4D2E8AC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具有固定的售后服务网点，在规定时间内提供售后服务（包括：网点详细简介、网点办公场所清晰照片（网点佐证照片须用水印相机拍摄，显示经纬度、地址、时间等相关信息））评标委员会根据项目实际情况，有利于项目实施且资料详细完整，提供得2分，提供不全或不提供不得分。</w:t>
            </w:r>
          </w:p>
          <w:p w14:paraId="472D99E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对所提供的产品，需提供设备维修服务，在质保期内出现故障，应提供无偿维修服务。对于无法修复的设备或严重故障的，需24小时内提供免费更换服务。此项提供承诺书，并加盖公章。提供得2分，不提供不得分。</w:t>
            </w:r>
          </w:p>
          <w:p w14:paraId="55CFC91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3、提供2小时到达现场的维修响应服务，提供固定的维修电话，提供承诺得2分，不提供不得分。</w:t>
            </w:r>
          </w:p>
          <w:p w14:paraId="0629F11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4、提供售后服务承诺、委派服务人员的能力证明和联系方式以及备用机供应能力证明资料，提供得2分，不提供不得分。</w:t>
            </w:r>
          </w:p>
          <w:p w14:paraId="65358BD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5、具备相应的设备维护、维修能力，以满足设备日常维护和常见故障排除的需要，提供得2分，不提供不得分。</w:t>
            </w:r>
          </w:p>
          <w:p w14:paraId="27DC5BC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lang w:eastAsia="zh-CN"/>
              </w:rPr>
              <w:t>备注：以上服务人员需提供近一年社保证明、培训证书或相关证明材料。同时供应商须提供人员名单，供应商须提供承诺书，承诺名单内的人员在提供维保服务时均会到场。</w:t>
            </w:r>
          </w:p>
        </w:tc>
      </w:tr>
    </w:tbl>
    <w:p w14:paraId="3CD52230">
      <w:pPr>
        <w:rPr>
          <w:rFonts w:hint="eastAsia" w:ascii="宋体" w:hAnsi="宋体" w:eastAsia="宋体" w:cs="宋体"/>
          <w:b w:val="0"/>
          <w:bCs w:val="0"/>
          <w:color w:val="auto"/>
          <w:sz w:val="24"/>
          <w:szCs w:val="24"/>
          <w:highlight w:val="none"/>
        </w:rPr>
      </w:pPr>
    </w:p>
    <w:p w14:paraId="1A0AE613">
      <w:pPr>
        <w:pStyle w:val="13"/>
        <w:tabs>
          <w:tab w:val="left" w:pos="600"/>
        </w:tabs>
        <w:spacing w:line="360" w:lineRule="auto"/>
        <w:ind w:firstLine="482" w:firstLineChars="200"/>
        <w:jc w:val="center"/>
        <w:rPr>
          <w:rFonts w:hint="eastAsia" w:ascii="宋体" w:hAnsi="宋体" w:eastAsia="宋体" w:cs="宋体"/>
          <w:b/>
          <w:bCs/>
          <w:color w:val="auto"/>
          <w:sz w:val="24"/>
          <w:szCs w:val="24"/>
          <w:highlight w:val="none"/>
        </w:rPr>
      </w:pPr>
    </w:p>
    <w:p w14:paraId="4ECC78DF">
      <w:pPr>
        <w:pStyle w:val="13"/>
        <w:tabs>
          <w:tab w:val="left" w:pos="600"/>
        </w:tabs>
        <w:spacing w:line="360" w:lineRule="auto"/>
        <w:ind w:firstLine="482" w:firstLineChars="200"/>
        <w:jc w:val="center"/>
        <w:rPr>
          <w:rFonts w:hint="eastAsia" w:ascii="宋体" w:hAnsi="宋体" w:eastAsia="宋体" w:cs="宋体"/>
          <w:b/>
          <w:bCs/>
          <w:color w:val="auto"/>
          <w:sz w:val="24"/>
          <w:szCs w:val="24"/>
          <w:highlight w:val="none"/>
        </w:rPr>
      </w:pPr>
    </w:p>
    <w:p w14:paraId="1DBC47E7">
      <w:pPr>
        <w:pStyle w:val="13"/>
        <w:tabs>
          <w:tab w:val="left" w:pos="600"/>
        </w:tabs>
        <w:spacing w:line="360" w:lineRule="auto"/>
        <w:ind w:firstLine="482" w:firstLineChars="200"/>
        <w:jc w:val="center"/>
        <w:rPr>
          <w:rFonts w:hint="eastAsia" w:ascii="宋体" w:hAnsi="宋体" w:eastAsia="宋体" w:cs="宋体"/>
          <w:b/>
          <w:bCs/>
          <w:color w:val="auto"/>
          <w:sz w:val="24"/>
          <w:szCs w:val="24"/>
          <w:highlight w:val="none"/>
        </w:rPr>
      </w:pPr>
    </w:p>
    <w:p w14:paraId="40200FE6">
      <w:pPr>
        <w:pStyle w:val="13"/>
        <w:tabs>
          <w:tab w:val="left" w:pos="600"/>
        </w:tabs>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661"/>
        <w:gridCol w:w="6301"/>
      </w:tblGrid>
      <w:tr w14:paraId="67C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1D8C1F90">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661" w:type="dxa"/>
            <w:vAlign w:val="center"/>
          </w:tcPr>
          <w:p w14:paraId="386EA328">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6301" w:type="dxa"/>
            <w:vAlign w:val="center"/>
          </w:tcPr>
          <w:p w14:paraId="2AEDD794">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评审标准</w:t>
            </w:r>
          </w:p>
        </w:tc>
      </w:tr>
      <w:tr w14:paraId="32DA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5" w:type="dxa"/>
            <w:vAlign w:val="center"/>
          </w:tcPr>
          <w:p w14:paraId="24F71A9E">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661" w:type="dxa"/>
            <w:vAlign w:val="center"/>
          </w:tcPr>
          <w:p w14:paraId="1AA914A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301" w:type="dxa"/>
            <w:vAlign w:val="center"/>
          </w:tcPr>
          <w:p w14:paraId="5D2701A7">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6F29AC3C">
            <w:pPr>
              <w:autoSpaceDE w:val="0"/>
              <w:autoSpaceDN w:val="0"/>
              <w:adjustRightIn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30</w:t>
            </w:r>
          </w:p>
        </w:tc>
      </w:tr>
      <w:tr w14:paraId="168B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517" w:type="dxa"/>
            <w:gridSpan w:val="3"/>
            <w:vAlign w:val="center"/>
          </w:tcPr>
          <w:p w14:paraId="0BE3FB5E">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评分注意事项：</w:t>
            </w:r>
          </w:p>
          <w:p w14:paraId="4A00A562">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因落实政府采购政策进行价格调整的，评标委员会应记录价格调整的依据、计算过程及计算结果。</w:t>
            </w:r>
          </w:p>
        </w:tc>
      </w:tr>
    </w:tbl>
    <w:p w14:paraId="6871EC1A">
      <w:pPr>
        <w:pStyle w:val="13"/>
        <w:tabs>
          <w:tab w:val="left" w:pos="600"/>
        </w:tabs>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35BBF81B">
      <w:pPr>
        <w:spacing w:line="460" w:lineRule="exact"/>
        <w:ind w:firstLine="480" w:firstLineChars="200"/>
        <w:rPr>
          <w:rFonts w:hint="eastAsia" w:ascii="宋体" w:hAnsi="宋体" w:eastAsia="宋体" w:cs="宋体"/>
          <w:b w:val="0"/>
          <w:bCs w:val="0"/>
          <w:color w:val="auto"/>
          <w:sz w:val="24"/>
          <w:szCs w:val="24"/>
          <w:highlight w:val="none"/>
        </w:rPr>
      </w:pPr>
      <w:bookmarkStart w:id="167" w:name="_Toc217446060"/>
      <w:r>
        <w:rPr>
          <w:rFonts w:hint="eastAsia" w:ascii="宋体" w:hAnsi="宋体" w:eastAsia="宋体" w:cs="宋体"/>
          <w:b w:val="0"/>
          <w:bCs w:val="0"/>
          <w:color w:val="auto"/>
          <w:sz w:val="24"/>
          <w:szCs w:val="24"/>
          <w:highlight w:val="none"/>
        </w:rPr>
        <w:t>5. 终止招标</w:t>
      </w:r>
    </w:p>
    <w:p w14:paraId="60CE9EC4">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72DCFFCD">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6933A266">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7"/>
      <w:bookmarkStart w:id="168" w:name="_Toc217446061"/>
    </w:p>
    <w:p w14:paraId="37DD8ACA">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8"/>
      <w:r>
        <w:rPr>
          <w:rFonts w:hint="eastAsia" w:ascii="宋体" w:hAnsi="宋体" w:eastAsia="宋体" w:cs="宋体"/>
          <w:b w:val="0"/>
          <w:bCs w:val="0"/>
          <w:color w:val="auto"/>
          <w:sz w:val="24"/>
          <w:szCs w:val="24"/>
          <w:highlight w:val="none"/>
        </w:rPr>
        <w:t>：本项目根据评标委员会推荐的中标候选人名单，按顺序确定中标人。</w:t>
      </w:r>
    </w:p>
    <w:p w14:paraId="218B1ED2">
      <w:pPr>
        <w:spacing w:line="460" w:lineRule="exact"/>
        <w:ind w:firstLine="480" w:firstLineChars="200"/>
        <w:rPr>
          <w:rFonts w:hint="eastAsia" w:ascii="宋体" w:hAnsi="宋体" w:eastAsia="宋体" w:cs="宋体"/>
          <w:b w:val="0"/>
          <w:bCs w:val="0"/>
          <w:color w:val="auto"/>
          <w:sz w:val="24"/>
          <w:szCs w:val="24"/>
          <w:highlight w:val="none"/>
        </w:rPr>
      </w:pPr>
      <w:bookmarkStart w:id="169" w:name="_Toc217446062"/>
      <w:r>
        <w:rPr>
          <w:rFonts w:hint="eastAsia" w:ascii="宋体" w:hAnsi="宋体" w:eastAsia="宋体" w:cs="宋体"/>
          <w:b w:val="0"/>
          <w:bCs w:val="0"/>
          <w:color w:val="auto"/>
          <w:sz w:val="24"/>
          <w:szCs w:val="24"/>
          <w:highlight w:val="none"/>
        </w:rPr>
        <w:t>6.2. 定标程序</w:t>
      </w:r>
      <w:bookmarkEnd w:id="169"/>
    </w:p>
    <w:p w14:paraId="2C1755D4">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20F71A4B">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采购代理机构在评标结束后两个工作日内将评标报告送至采购人。</w:t>
      </w:r>
    </w:p>
    <w:p w14:paraId="1C321D20">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采购人应当自收到评标报告之日起5个工作日内在评标报告推荐的中标候选人中按顺序确定中标人。</w:t>
      </w:r>
    </w:p>
    <w:p w14:paraId="23C08E0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根据采购人确定的中标人，采购人在招标公告发布的媒体上发布中标公告，同时向中标人发出中标通知书。</w:t>
      </w:r>
    </w:p>
    <w:p w14:paraId="2CBF8CA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采购人不退回投标文件和其他投标资料。</w:t>
      </w:r>
    </w:p>
    <w:bookmarkEnd w:id="162"/>
    <w:p w14:paraId="13A112EC">
      <w:pPr>
        <w:spacing w:line="460" w:lineRule="exact"/>
        <w:ind w:firstLine="480" w:firstLineChars="200"/>
        <w:rPr>
          <w:rFonts w:hint="eastAsia" w:ascii="宋体" w:hAnsi="宋体" w:eastAsia="宋体" w:cs="宋体"/>
          <w:color w:val="auto"/>
          <w:sz w:val="24"/>
          <w:szCs w:val="24"/>
          <w:highlight w:val="none"/>
        </w:rPr>
      </w:pPr>
      <w:bookmarkStart w:id="170" w:name="_Toc208849022"/>
      <w:bookmarkStart w:id="171" w:name="_Toc183682432"/>
      <w:bookmarkStart w:id="172" w:name="_Toc217446105"/>
      <w:bookmarkStart w:id="173" w:name="_Toc183582297"/>
      <w:r>
        <w:rPr>
          <w:rFonts w:hint="eastAsia" w:ascii="宋体" w:hAnsi="宋体" w:eastAsia="宋体" w:cs="宋体"/>
          <w:color w:val="auto"/>
          <w:sz w:val="24"/>
          <w:szCs w:val="24"/>
          <w:highlight w:val="none"/>
        </w:rPr>
        <w:t xml:space="preserve">7. </w:t>
      </w:r>
      <w:bookmarkEnd w:id="170"/>
      <w:bookmarkEnd w:id="171"/>
      <w:bookmarkEnd w:id="172"/>
      <w:bookmarkEnd w:id="173"/>
      <w:r>
        <w:rPr>
          <w:rFonts w:hint="eastAsia" w:ascii="宋体" w:hAnsi="宋体" w:eastAsia="宋体" w:cs="宋体"/>
          <w:color w:val="auto"/>
          <w:sz w:val="24"/>
          <w:szCs w:val="24"/>
          <w:highlight w:val="none"/>
        </w:rPr>
        <w:t>评标专家在政府采购活动中承担以下义务：</w:t>
      </w:r>
    </w:p>
    <w:p w14:paraId="3EFA4F91">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遵纪守法，客观、公正、廉洁地履行职责。</w:t>
      </w:r>
    </w:p>
    <w:p w14:paraId="751066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34FFBB4D">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保守秘密。不得透露招标项目情况，不得泄漏投标人的投标文件及知悉的商业秘密，不得向投标人透露评标情况。</w:t>
      </w:r>
    </w:p>
    <w:p w14:paraId="7F945177">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发现投标人在政府采购活动中有不正当竞争或恶意串通等违规行为，及时向政府采购评标工作的组织者或财政部门报告并加以制止。</w:t>
      </w:r>
    </w:p>
    <w:p w14:paraId="6F44FED5">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31399442">
      <w:pPr>
        <w:widowControl/>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配合采购人或者采购代理机构答复投标人质疑，配合投诉处理工作等事宜。</w:t>
      </w:r>
    </w:p>
    <w:p w14:paraId="3D4B9083">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法律、法规和规章规定的其他义务。</w:t>
      </w:r>
    </w:p>
    <w:p w14:paraId="68F54B46">
      <w:pPr>
        <w:widowControl/>
        <w:autoSpaceDE w:val="0"/>
        <w:autoSpaceDN w:val="0"/>
        <w:spacing w:line="460" w:lineRule="exact"/>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评标专家在招标活动中应当遵守以下工作纪律：</w:t>
      </w:r>
    </w:p>
    <w:p w14:paraId="15769F1A">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应邀按时参加评标活动。遇特殊情况不能出席或途中遇阻不能按时参加评标的，应及时告知财政部门或者采购人或者采购代理机构，不得私自转托他人。</w:t>
      </w:r>
    </w:p>
    <w:p w14:paraId="03D58455">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52FA9A85">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2C95BE24">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评标过程中关闭通讯设备，不得与外界联系。</w:t>
      </w:r>
    </w:p>
    <w:p w14:paraId="5686DF37">
      <w:pPr>
        <w:widowControl/>
        <w:autoSpaceDE w:val="0"/>
        <w:autoSpaceDN w:val="0"/>
        <w:spacing w:line="46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9BA631B">
      <w:pPr>
        <w:pStyle w:val="4"/>
        <w:bidi w:val="0"/>
        <w:jc w:val="center"/>
        <w:outlineLvl w:val="0"/>
        <w:rPr>
          <w:rFonts w:hint="eastAsia"/>
          <w:color w:val="auto"/>
          <w:sz w:val="24"/>
          <w:szCs w:val="40"/>
          <w:highlight w:val="none"/>
        </w:rPr>
      </w:pPr>
      <w:r>
        <w:rPr>
          <w:rFonts w:hint="eastAsia" w:ascii="宋体" w:hAnsi="宋体" w:eastAsia="宋体" w:cs="宋体"/>
          <w:b w:val="0"/>
          <w:bCs w:val="0"/>
          <w:color w:val="auto"/>
          <w:szCs w:val="24"/>
          <w:highlight w:val="none"/>
        </w:rPr>
        <w:br w:type="page"/>
      </w:r>
      <w:bookmarkStart w:id="174" w:name="_Toc22113"/>
      <w:bookmarkStart w:id="175" w:name="_Toc7810"/>
      <w:r>
        <w:rPr>
          <w:rFonts w:hint="eastAsia"/>
          <w:color w:val="auto"/>
          <w:sz w:val="24"/>
          <w:szCs w:val="40"/>
          <w:highlight w:val="none"/>
        </w:rPr>
        <w:t>第六章  拟签订的合同文本</w:t>
      </w:r>
      <w:bookmarkEnd w:id="174"/>
      <w:bookmarkEnd w:id="175"/>
    </w:p>
    <w:p w14:paraId="6726255A">
      <w:pPr>
        <w:pStyle w:val="6"/>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本合同仅供参考，最终以与采购人实际签订合同为准</w:t>
      </w:r>
    </w:p>
    <w:p w14:paraId="4FF2DD4F">
      <w:pPr>
        <w:widowControl/>
        <w:kinsoku w:val="0"/>
        <w:autoSpaceDE w:val="0"/>
        <w:autoSpaceDN w:val="0"/>
        <w:adjustRightInd w:val="0"/>
        <w:snapToGrid w:val="0"/>
        <w:spacing w:before="251" w:line="225" w:lineRule="auto"/>
        <w:jc w:val="center"/>
        <w:textAlignment w:val="baseline"/>
        <w:rPr>
          <w:rFonts w:hint="eastAsia" w:hAnsi="宋体"/>
          <w:b/>
          <w:bCs/>
          <w:color w:val="auto"/>
          <w:sz w:val="44"/>
          <w:szCs w:val="44"/>
          <w:highlight w:val="none"/>
          <w:lang w:eastAsia="zh-CN"/>
        </w:rPr>
      </w:pPr>
      <w:r>
        <w:rPr>
          <w:rFonts w:hint="eastAsia" w:hAnsi="宋体"/>
          <w:b/>
          <w:bCs/>
          <w:color w:val="auto"/>
          <w:sz w:val="44"/>
          <w:szCs w:val="44"/>
          <w:highlight w:val="none"/>
          <w:lang w:eastAsia="zh-CN"/>
        </w:rPr>
        <w:t>乌鲁木齐市民生实事燃气、一氧化碳报警</w:t>
      </w:r>
    </w:p>
    <w:p w14:paraId="68C625CE">
      <w:pPr>
        <w:widowControl/>
        <w:kinsoku w:val="0"/>
        <w:autoSpaceDE w:val="0"/>
        <w:autoSpaceDN w:val="0"/>
        <w:adjustRightInd w:val="0"/>
        <w:snapToGrid w:val="0"/>
        <w:spacing w:before="251" w:line="225" w:lineRule="auto"/>
        <w:jc w:val="center"/>
        <w:textAlignment w:val="baseline"/>
        <w:rPr>
          <w:rFonts w:hint="eastAsia" w:ascii="宋体" w:hAnsi="宋体" w:eastAsia="宋体" w:cs="宋体"/>
          <w:snapToGrid w:val="0"/>
          <w:color w:val="auto"/>
          <w:kern w:val="0"/>
          <w:sz w:val="31"/>
          <w:szCs w:val="31"/>
          <w:highlight w:val="none"/>
          <w:lang w:val="en-US" w:eastAsia="zh-CN"/>
        </w:rPr>
      </w:pPr>
      <w:r>
        <w:rPr>
          <w:rFonts w:hint="eastAsia" w:hAnsi="宋体"/>
          <w:b/>
          <w:bCs/>
          <w:color w:val="auto"/>
          <w:sz w:val="44"/>
          <w:szCs w:val="44"/>
          <w:highlight w:val="none"/>
          <w:lang w:eastAsia="zh-CN"/>
        </w:rPr>
        <w:t>设备（含安装）采购项目</w:t>
      </w:r>
      <w:r>
        <w:rPr>
          <w:rFonts w:hint="eastAsia" w:ascii="宋体" w:hAnsi="宋体" w:eastAsia="宋体" w:cs="宋体"/>
          <w:b/>
          <w:bCs/>
          <w:snapToGrid/>
          <w:color w:val="auto"/>
          <w:kern w:val="2"/>
          <w:sz w:val="44"/>
          <w:szCs w:val="44"/>
          <w:highlight w:val="none"/>
          <w:lang w:val="en-US" w:eastAsia="zh-CN"/>
        </w:rPr>
        <w:t>合同</w:t>
      </w:r>
    </w:p>
    <w:p w14:paraId="608ACCAC">
      <w:pPr>
        <w:widowControl/>
        <w:kinsoku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p w14:paraId="5007273D">
      <w:pPr>
        <w:kinsoku w:val="0"/>
        <w:autoSpaceDE w:val="0"/>
        <w:autoSpaceDN w:val="0"/>
        <w:adjustRightInd w:val="0"/>
        <w:snapToGrid w:val="0"/>
        <w:spacing w:before="120"/>
        <w:textAlignment w:val="baseline"/>
        <w:rPr>
          <w:rFonts w:ascii="Cambria" w:hAnsi="Cambria" w:eastAsia="Arial" w:cs="Arial"/>
          <w:snapToGrid w:val="0"/>
          <w:color w:val="auto"/>
          <w:sz w:val="24"/>
          <w:szCs w:val="21"/>
          <w:highlight w:val="none"/>
          <w:lang w:val="en-US" w:eastAsia="en-US" w:bidi="ar-SA"/>
        </w:rPr>
      </w:pPr>
    </w:p>
    <w:p w14:paraId="0D0EF09C">
      <w:pPr>
        <w:kinsoku w:val="0"/>
        <w:autoSpaceDE w:val="0"/>
        <w:autoSpaceDN w:val="0"/>
        <w:adjustRightInd w:val="0"/>
        <w:snapToGrid w:val="0"/>
        <w:spacing w:before="120"/>
        <w:textAlignment w:val="baseline"/>
        <w:rPr>
          <w:rFonts w:ascii="Cambria" w:hAnsi="Cambria" w:eastAsia="Arial" w:cs="Arial"/>
          <w:snapToGrid w:val="0"/>
          <w:color w:val="auto"/>
          <w:sz w:val="24"/>
          <w:szCs w:val="21"/>
          <w:highlight w:val="none"/>
          <w:lang w:val="en-US" w:eastAsia="en-US" w:bidi="ar-SA"/>
        </w:rPr>
      </w:pPr>
    </w:p>
    <w:p w14:paraId="62C80F5B">
      <w:pPr>
        <w:kinsoku w:val="0"/>
        <w:autoSpaceDE w:val="0"/>
        <w:autoSpaceDN w:val="0"/>
        <w:adjustRightInd w:val="0"/>
        <w:snapToGrid w:val="0"/>
        <w:spacing w:before="120"/>
        <w:textAlignment w:val="baseline"/>
        <w:rPr>
          <w:rFonts w:ascii="Cambria" w:hAnsi="Cambria" w:eastAsia="Arial" w:cs="Arial"/>
          <w:snapToGrid w:val="0"/>
          <w:color w:val="auto"/>
          <w:sz w:val="24"/>
          <w:szCs w:val="21"/>
          <w:highlight w:val="none"/>
          <w:lang w:val="en-US" w:eastAsia="en-US" w:bidi="ar-SA"/>
        </w:rPr>
      </w:pPr>
    </w:p>
    <w:p w14:paraId="277DA5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lang w:eastAsia="zh-CN"/>
        </w:rPr>
      </w:pPr>
      <w:r>
        <w:rPr>
          <w:rFonts w:hint="eastAsia" w:ascii="宋体" w:hAnsi="宋体"/>
          <w:color w:val="auto"/>
          <w:sz w:val="24"/>
          <w:highlight w:val="none"/>
        </w:rPr>
        <w:t>买方（甲方）：</w:t>
      </w:r>
      <w:r>
        <w:rPr>
          <w:rFonts w:hint="eastAsia" w:ascii="宋体" w:hAnsi="宋体"/>
          <w:color w:val="auto"/>
          <w:sz w:val="24"/>
          <w:highlight w:val="none"/>
          <w:lang w:eastAsia="zh-CN"/>
        </w:rPr>
        <w:t>乌鲁木齐市应急管理局（乌鲁木齐市矿山安全监督管理局）</w:t>
      </w:r>
    </w:p>
    <w:p w14:paraId="5643FD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olor w:val="auto"/>
          <w:sz w:val="24"/>
          <w:highlight w:val="none"/>
          <w:lang w:val="en-US"/>
        </w:rPr>
      </w:pPr>
      <w:r>
        <w:rPr>
          <w:rFonts w:hint="eastAsia" w:ascii="宋体" w:hAnsi="宋体"/>
          <w:color w:val="auto"/>
          <w:sz w:val="24"/>
          <w:highlight w:val="none"/>
        </w:rPr>
        <w:t>地址：</w:t>
      </w:r>
      <w:r>
        <w:rPr>
          <w:rFonts w:hint="eastAsia" w:ascii="宋体" w:hAnsi="宋体"/>
          <w:color w:val="auto"/>
          <w:sz w:val="24"/>
          <w:highlight w:val="none"/>
          <w:lang w:val="en-US" w:eastAsia="zh-CN"/>
        </w:rPr>
        <w:t>乌鲁木齐市水磨沟区准噶尔街299号益民大厦B座三楼</w:t>
      </w:r>
    </w:p>
    <w:p w14:paraId="61E37E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rPr>
        <w:t>指定联系人：</w:t>
      </w:r>
      <w:r>
        <w:rPr>
          <w:rFonts w:hint="eastAsia" w:ascii="宋体" w:hAnsi="宋体"/>
          <w:color w:val="auto"/>
          <w:sz w:val="24"/>
          <w:highlight w:val="none"/>
          <w:lang w:val="en-US" w:eastAsia="zh-CN"/>
        </w:rPr>
        <w:t>陆健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4671820</w:t>
      </w:r>
      <w:r>
        <w:rPr>
          <w:rFonts w:hint="eastAsia" w:ascii="宋体" w:hAnsi="宋体"/>
          <w:color w:val="auto"/>
          <w:sz w:val="24"/>
          <w:highlight w:val="none"/>
        </w:rPr>
        <w:t xml:space="preserve">   联系邮箱：</w:t>
      </w:r>
      <w:r>
        <w:rPr>
          <w:rFonts w:hint="eastAsia" w:ascii="宋体" w:hAnsi="宋体"/>
          <w:color w:val="auto"/>
          <w:sz w:val="24"/>
          <w:highlight w:val="none"/>
          <w:lang w:val="en-US" w:eastAsia="zh-CN"/>
        </w:rPr>
        <w:t>307362853@qq.com</w:t>
      </w:r>
    </w:p>
    <w:p w14:paraId="182654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lang w:eastAsia="en-US"/>
        </w:rPr>
      </w:pPr>
    </w:p>
    <w:p w14:paraId="650DBD5C">
      <w:pPr>
        <w:kinsoku w:val="0"/>
        <w:autoSpaceDE w:val="0"/>
        <w:autoSpaceDN w:val="0"/>
        <w:adjustRightInd w:val="0"/>
        <w:snapToGrid w:val="0"/>
        <w:spacing w:before="120"/>
        <w:textAlignment w:val="baseline"/>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卖方（乙方）：</w:t>
      </w:r>
    </w:p>
    <w:p w14:paraId="37D3A9FA">
      <w:pPr>
        <w:kinsoku w:val="0"/>
        <w:autoSpaceDE w:val="0"/>
        <w:autoSpaceDN w:val="0"/>
        <w:adjustRightInd w:val="0"/>
        <w:snapToGrid w:val="0"/>
        <w:spacing w:before="120"/>
        <w:textAlignment w:val="baseline"/>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法定代表人：</w:t>
      </w:r>
    </w:p>
    <w:p w14:paraId="0028B4EA">
      <w:pPr>
        <w:kinsoku w:val="0"/>
        <w:autoSpaceDE w:val="0"/>
        <w:autoSpaceDN w:val="0"/>
        <w:adjustRightInd w:val="0"/>
        <w:snapToGrid w:val="0"/>
        <w:spacing w:before="120"/>
        <w:textAlignment w:val="baseline"/>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地址：</w:t>
      </w:r>
    </w:p>
    <w:p w14:paraId="3C856F3C">
      <w:pPr>
        <w:kinsoku w:val="0"/>
        <w:autoSpaceDE w:val="0"/>
        <w:autoSpaceDN w:val="0"/>
        <w:adjustRightInd w:val="0"/>
        <w:snapToGrid w:val="0"/>
        <w:spacing w:before="120"/>
        <w:textAlignment w:val="baseline"/>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snapToGrid w:val="0"/>
          <w:color w:val="auto"/>
          <w:sz w:val="24"/>
          <w:szCs w:val="24"/>
          <w:highlight w:val="none"/>
          <w:lang w:val="en-US" w:eastAsia="en-US" w:bidi="ar-SA"/>
        </w:rPr>
        <w:t>指定联系人：</w:t>
      </w:r>
    </w:p>
    <w:p w14:paraId="13F04D0C">
      <w:pPr>
        <w:kinsoku w:val="0"/>
        <w:autoSpaceDE w:val="0"/>
        <w:autoSpaceDN w:val="0"/>
        <w:adjustRightInd w:val="0"/>
        <w:snapToGrid w:val="0"/>
        <w:spacing w:before="120"/>
        <w:textAlignment w:val="baseline"/>
        <w:rPr>
          <w:rFonts w:hint="eastAsia" w:ascii="宋体" w:hAnsi="宋体" w:eastAsia="宋体" w:cs="宋体"/>
          <w:snapToGrid w:val="0"/>
          <w:color w:val="auto"/>
          <w:sz w:val="24"/>
          <w:szCs w:val="24"/>
          <w:highlight w:val="none"/>
          <w:lang w:val="en-US" w:eastAsia="en-US" w:bidi="ar-SA"/>
        </w:rPr>
      </w:pPr>
    </w:p>
    <w:p w14:paraId="0566D67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jc w:val="left"/>
        <w:textAlignment w:val="auto"/>
        <w:rPr>
          <w:rFonts w:hint="eastAsia" w:ascii="宋体" w:hAnsi="宋体" w:eastAsia="宋体" w:cs="宋体"/>
          <w:b/>
          <w:bCs/>
          <w:snapToGrid w:val="0"/>
          <w:color w:val="auto"/>
          <w:kern w:val="0"/>
          <w:sz w:val="24"/>
          <w:szCs w:val="24"/>
          <w:highlight w:val="none"/>
          <w:u w:val="single"/>
          <w:lang w:val="en-US" w:eastAsia="en-US" w:bidi="ar-SA"/>
        </w:rPr>
      </w:pPr>
      <w:r>
        <w:rPr>
          <w:rFonts w:hint="eastAsia" w:ascii="宋体" w:hAnsi="宋体" w:eastAsia="宋体" w:cs="宋体"/>
          <w:snapToGrid w:val="0"/>
          <w:color w:val="auto"/>
          <w:kern w:val="0"/>
          <w:sz w:val="24"/>
          <w:szCs w:val="24"/>
          <w:highlight w:val="none"/>
          <w:lang w:val="en-US" w:eastAsia="en-US" w:bidi="ar-SA"/>
        </w:rPr>
        <w:t>买、卖双方本着公平自愿、平等互利、协商一致的原则，就</w:t>
      </w:r>
      <w:r>
        <w:rPr>
          <w:rFonts w:hint="eastAsia" w:ascii="宋体" w:hAnsi="Arial" w:eastAsia="Arial" w:cs="宋体"/>
          <w:b/>
          <w:bCs/>
          <w:snapToGrid w:val="0"/>
          <w:color w:val="auto"/>
          <w:kern w:val="0"/>
          <w:sz w:val="24"/>
          <w:szCs w:val="24"/>
          <w:highlight w:val="none"/>
          <w:u w:val="single"/>
          <w:lang w:val="en-US" w:eastAsia="zh-CN" w:bidi="ar-SA"/>
        </w:rPr>
        <w:t xml:space="preserve"> 乌鲁木齐市民生实事燃气、一氧化碳报警设备（含安装）采购项目合同</w:t>
      </w:r>
      <w:r>
        <w:rPr>
          <w:rFonts w:hint="eastAsia" w:ascii="宋体" w:hAnsi="宋体" w:eastAsia="宋体" w:cs="宋体"/>
          <w:snapToGrid w:val="0"/>
          <w:color w:val="auto"/>
          <w:kern w:val="0"/>
          <w:sz w:val="24"/>
          <w:szCs w:val="24"/>
          <w:highlight w:val="none"/>
          <w:lang w:val="en-US" w:eastAsia="en-US" w:bidi="ar-SA"/>
        </w:rPr>
        <w:t>签订本合同，双方信守执行。</w:t>
      </w:r>
    </w:p>
    <w:p w14:paraId="5F707C2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合同文本组成及解释顺序：</w:t>
      </w:r>
    </w:p>
    <w:p w14:paraId="068FE7E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第一章：合同协议书</w:t>
      </w:r>
    </w:p>
    <w:p w14:paraId="39869FA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第二章：合同基本条款</w:t>
      </w:r>
    </w:p>
    <w:p w14:paraId="26168F3D">
      <w:pPr>
        <w:widowControl/>
        <w:kinsoku w:val="0"/>
        <w:autoSpaceDE w:val="0"/>
        <w:autoSpaceDN w:val="0"/>
        <w:adjustRightInd w:val="0"/>
        <w:snapToGrid w:val="0"/>
        <w:spacing w:line="400" w:lineRule="exact"/>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rPr>
        <w:br w:type="page"/>
      </w:r>
      <w:r>
        <w:rPr>
          <w:rFonts w:hint="eastAsia" w:ascii="宋体" w:hAnsi="宋体" w:eastAsia="宋体" w:cs="宋体"/>
          <w:b/>
          <w:bCs/>
          <w:snapToGrid w:val="0"/>
          <w:color w:val="auto"/>
          <w:kern w:val="0"/>
          <w:sz w:val="24"/>
          <w:szCs w:val="24"/>
          <w:highlight w:val="none"/>
          <w:lang w:eastAsia="en-US"/>
        </w:rPr>
        <w:t>一、合同协议书</w:t>
      </w:r>
    </w:p>
    <w:p w14:paraId="02C4D9CF">
      <w:pPr>
        <w:keepNext w:val="0"/>
        <w:keepLines w:val="0"/>
        <w:pageBreakBefore w:val="0"/>
        <w:widowControl/>
        <w:numPr>
          <w:ilvl w:val="0"/>
          <w:numId w:val="9"/>
        </w:numPr>
        <w:tabs>
          <w:tab w:val="left" w:pos="594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 商品名称、规格、型号、单位、数量、单价、金额详见清单。</w:t>
      </w:r>
    </w:p>
    <w:p w14:paraId="1B408C8C">
      <w:pPr>
        <w:keepNext w:val="0"/>
        <w:keepLines w:val="0"/>
        <w:pageBreakBefore w:val="0"/>
        <w:widowControl/>
        <w:kinsoku/>
        <w:wordWrap/>
        <w:overflowPunct/>
        <w:topLinePunct w:val="0"/>
        <w:autoSpaceDE/>
        <w:autoSpaceDN/>
        <w:bidi w:val="0"/>
        <w:adjustRightInd/>
        <w:snapToGrid w:val="0"/>
        <w:spacing w:line="300" w:lineRule="exact"/>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单位：人民币：元</w:t>
      </w:r>
    </w:p>
    <w:tbl>
      <w:tblPr>
        <w:tblStyle w:val="32"/>
        <w:tblW w:w="10607" w:type="dxa"/>
        <w:tblInd w:w="-952" w:type="dxa"/>
        <w:tblLayout w:type="fixed"/>
        <w:tblCellMar>
          <w:top w:w="0" w:type="dxa"/>
          <w:left w:w="108" w:type="dxa"/>
          <w:bottom w:w="0" w:type="dxa"/>
          <w:right w:w="108" w:type="dxa"/>
        </w:tblCellMar>
      </w:tblPr>
      <w:tblGrid>
        <w:gridCol w:w="1895"/>
        <w:gridCol w:w="1668"/>
        <w:gridCol w:w="1140"/>
        <w:gridCol w:w="2304"/>
        <w:gridCol w:w="992"/>
        <w:gridCol w:w="771"/>
        <w:gridCol w:w="875"/>
        <w:gridCol w:w="962"/>
      </w:tblGrid>
      <w:tr w14:paraId="0B93389E">
        <w:tblPrEx>
          <w:tblCellMar>
            <w:top w:w="0" w:type="dxa"/>
            <w:left w:w="108" w:type="dxa"/>
            <w:bottom w:w="0" w:type="dxa"/>
            <w:right w:w="108" w:type="dxa"/>
          </w:tblCellMar>
        </w:tblPrEx>
        <w:trPr>
          <w:trHeight w:val="90" w:hRule="atLeast"/>
        </w:trPr>
        <w:tc>
          <w:tcPr>
            <w:tcW w:w="1895" w:type="dxa"/>
            <w:tcBorders>
              <w:top w:val="single" w:color="auto" w:sz="4" w:space="0"/>
              <w:left w:val="single" w:color="auto" w:sz="4" w:space="0"/>
              <w:bottom w:val="single" w:color="auto" w:sz="4" w:space="0"/>
              <w:right w:val="single" w:color="auto" w:sz="4" w:space="0"/>
            </w:tcBorders>
            <w:noWrap w:val="0"/>
            <w:vAlign w:val="center"/>
          </w:tcPr>
          <w:p w14:paraId="7B556C0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售后服务名称及地点</w:t>
            </w:r>
          </w:p>
        </w:tc>
        <w:tc>
          <w:tcPr>
            <w:tcW w:w="2808" w:type="dxa"/>
            <w:gridSpan w:val="2"/>
            <w:tcBorders>
              <w:top w:val="single" w:color="auto" w:sz="4" w:space="0"/>
              <w:left w:val="nil"/>
              <w:bottom w:val="single" w:color="auto" w:sz="4" w:space="0"/>
              <w:right w:val="single" w:color="auto" w:sz="4" w:space="0"/>
            </w:tcBorders>
            <w:noWrap w:val="0"/>
            <w:vAlign w:val="center"/>
          </w:tcPr>
          <w:p w14:paraId="7DFFD9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eastAsia="en-US"/>
              </w:rPr>
            </w:pPr>
          </w:p>
        </w:tc>
        <w:tc>
          <w:tcPr>
            <w:tcW w:w="2304" w:type="dxa"/>
            <w:tcBorders>
              <w:top w:val="single" w:color="auto" w:sz="4" w:space="0"/>
              <w:left w:val="nil"/>
              <w:bottom w:val="single" w:color="auto" w:sz="4" w:space="0"/>
              <w:right w:val="single" w:color="auto" w:sz="4" w:space="0"/>
            </w:tcBorders>
            <w:noWrap w:val="0"/>
            <w:vAlign w:val="center"/>
          </w:tcPr>
          <w:p w14:paraId="0B2AF8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售后服务点联系人及联系方式</w:t>
            </w:r>
          </w:p>
        </w:tc>
        <w:tc>
          <w:tcPr>
            <w:tcW w:w="3600" w:type="dxa"/>
            <w:gridSpan w:val="4"/>
            <w:tcBorders>
              <w:top w:val="single" w:color="auto" w:sz="4" w:space="0"/>
              <w:left w:val="nil"/>
              <w:bottom w:val="single" w:color="auto" w:sz="4" w:space="0"/>
              <w:right w:val="single" w:color="auto" w:sz="4" w:space="0"/>
            </w:tcBorders>
            <w:noWrap w:val="0"/>
            <w:vAlign w:val="center"/>
          </w:tcPr>
          <w:p w14:paraId="40C24A1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eastAsia="en-US"/>
              </w:rPr>
            </w:pPr>
          </w:p>
        </w:tc>
      </w:tr>
      <w:tr w14:paraId="534123EC">
        <w:tblPrEx>
          <w:tblCellMar>
            <w:top w:w="0" w:type="dxa"/>
            <w:left w:w="108" w:type="dxa"/>
            <w:bottom w:w="0" w:type="dxa"/>
            <w:right w:w="108" w:type="dxa"/>
          </w:tblCellMar>
        </w:tblPrEx>
        <w:trPr>
          <w:trHeight w:val="483" w:hRule="atLeast"/>
        </w:trPr>
        <w:tc>
          <w:tcPr>
            <w:tcW w:w="1895" w:type="dxa"/>
            <w:tcBorders>
              <w:top w:val="single" w:color="auto" w:sz="4" w:space="0"/>
              <w:left w:val="single" w:color="auto" w:sz="4" w:space="0"/>
              <w:bottom w:val="single" w:color="auto" w:sz="4" w:space="0"/>
              <w:right w:val="single" w:color="auto" w:sz="4" w:space="0"/>
            </w:tcBorders>
            <w:noWrap w:val="0"/>
            <w:vAlign w:val="center"/>
          </w:tcPr>
          <w:p w14:paraId="58D3F359">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器材名称</w:t>
            </w:r>
          </w:p>
        </w:tc>
        <w:tc>
          <w:tcPr>
            <w:tcW w:w="1668" w:type="dxa"/>
            <w:tcBorders>
              <w:top w:val="single" w:color="auto" w:sz="4" w:space="0"/>
              <w:left w:val="nil"/>
              <w:bottom w:val="single" w:color="auto" w:sz="4" w:space="0"/>
              <w:right w:val="single" w:color="auto" w:sz="4" w:space="0"/>
            </w:tcBorders>
            <w:noWrap w:val="0"/>
            <w:vAlign w:val="center"/>
          </w:tcPr>
          <w:p w14:paraId="258BD256">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品名/型号</w:t>
            </w:r>
          </w:p>
        </w:tc>
        <w:tc>
          <w:tcPr>
            <w:tcW w:w="1140" w:type="dxa"/>
            <w:tcBorders>
              <w:top w:val="single" w:color="auto" w:sz="4" w:space="0"/>
              <w:left w:val="nil"/>
              <w:bottom w:val="single" w:color="auto" w:sz="4" w:space="0"/>
              <w:right w:val="single" w:color="auto" w:sz="4" w:space="0"/>
            </w:tcBorders>
            <w:noWrap w:val="0"/>
            <w:vAlign w:val="center"/>
          </w:tcPr>
          <w:p w14:paraId="721B4095">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产地</w:t>
            </w:r>
          </w:p>
        </w:tc>
        <w:tc>
          <w:tcPr>
            <w:tcW w:w="2304" w:type="dxa"/>
            <w:tcBorders>
              <w:top w:val="single" w:color="auto" w:sz="4" w:space="0"/>
              <w:left w:val="nil"/>
              <w:bottom w:val="single" w:color="auto" w:sz="4" w:space="0"/>
              <w:right w:val="single" w:color="auto" w:sz="4" w:space="0"/>
            </w:tcBorders>
            <w:noWrap w:val="0"/>
            <w:vAlign w:val="center"/>
          </w:tcPr>
          <w:p w14:paraId="37F69B11">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生产商（全称）</w:t>
            </w:r>
          </w:p>
        </w:tc>
        <w:tc>
          <w:tcPr>
            <w:tcW w:w="992" w:type="dxa"/>
            <w:tcBorders>
              <w:top w:val="single" w:color="auto" w:sz="4" w:space="0"/>
              <w:left w:val="nil"/>
              <w:bottom w:val="single" w:color="auto" w:sz="4" w:space="0"/>
              <w:right w:val="single" w:color="auto" w:sz="4" w:space="0"/>
            </w:tcBorders>
            <w:noWrap w:val="0"/>
            <w:vAlign w:val="center"/>
          </w:tcPr>
          <w:p w14:paraId="5DABDF7E">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单价（元/台）</w:t>
            </w:r>
          </w:p>
        </w:tc>
        <w:tc>
          <w:tcPr>
            <w:tcW w:w="771" w:type="dxa"/>
            <w:tcBorders>
              <w:top w:val="single" w:color="auto" w:sz="4" w:space="0"/>
              <w:left w:val="nil"/>
              <w:bottom w:val="single" w:color="auto" w:sz="4" w:space="0"/>
              <w:right w:val="single" w:color="auto" w:sz="4" w:space="0"/>
            </w:tcBorders>
            <w:noWrap w:val="0"/>
            <w:vAlign w:val="center"/>
          </w:tcPr>
          <w:p w14:paraId="0DF66D73">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数量（</w:t>
            </w:r>
            <w:r>
              <w:rPr>
                <w:rFonts w:hint="eastAsia" w:ascii="宋体" w:hAnsi="宋体" w:eastAsia="宋体" w:cs="宋体"/>
                <w:snapToGrid w:val="0"/>
                <w:color w:val="auto"/>
                <w:kern w:val="0"/>
                <w:sz w:val="24"/>
                <w:szCs w:val="24"/>
                <w:highlight w:val="none"/>
                <w:lang w:val="en-US" w:eastAsia="zh-CN"/>
              </w:rPr>
              <w:t>套</w:t>
            </w:r>
            <w:r>
              <w:rPr>
                <w:rFonts w:hint="eastAsia" w:ascii="宋体" w:hAnsi="宋体" w:eastAsia="宋体" w:cs="宋体"/>
                <w:snapToGrid w:val="0"/>
                <w:color w:val="auto"/>
                <w:kern w:val="0"/>
                <w:sz w:val="24"/>
                <w:szCs w:val="24"/>
                <w:highlight w:val="none"/>
                <w:lang w:eastAsia="en-US"/>
              </w:rPr>
              <w:t>）</w:t>
            </w:r>
          </w:p>
        </w:tc>
        <w:tc>
          <w:tcPr>
            <w:tcW w:w="875" w:type="dxa"/>
            <w:tcBorders>
              <w:top w:val="single" w:color="auto" w:sz="4" w:space="0"/>
              <w:left w:val="nil"/>
              <w:bottom w:val="single" w:color="auto" w:sz="4" w:space="0"/>
              <w:right w:val="single" w:color="auto" w:sz="4" w:space="0"/>
            </w:tcBorders>
            <w:noWrap w:val="0"/>
            <w:vAlign w:val="center"/>
          </w:tcPr>
          <w:p w14:paraId="3BCCEDCB">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小计（元）</w:t>
            </w:r>
          </w:p>
        </w:tc>
        <w:tc>
          <w:tcPr>
            <w:tcW w:w="962" w:type="dxa"/>
            <w:tcBorders>
              <w:top w:val="single" w:color="auto" w:sz="4" w:space="0"/>
              <w:left w:val="nil"/>
              <w:bottom w:val="single" w:color="auto" w:sz="4" w:space="0"/>
              <w:right w:val="single" w:color="auto" w:sz="4" w:space="0"/>
            </w:tcBorders>
            <w:noWrap w:val="0"/>
            <w:vAlign w:val="center"/>
          </w:tcPr>
          <w:p w14:paraId="0F4D00AF">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val="en-US" w:eastAsia="zh-CN"/>
              </w:rPr>
            </w:pPr>
          </w:p>
        </w:tc>
      </w:tr>
      <w:tr w14:paraId="79B7CF0C">
        <w:tblPrEx>
          <w:tblCellMar>
            <w:top w:w="0" w:type="dxa"/>
            <w:left w:w="108" w:type="dxa"/>
            <w:bottom w:w="0" w:type="dxa"/>
            <w:right w:w="108" w:type="dxa"/>
          </w:tblCellMar>
        </w:tblPrEx>
        <w:trPr>
          <w:trHeight w:val="614" w:hRule="atLeast"/>
        </w:trPr>
        <w:tc>
          <w:tcPr>
            <w:tcW w:w="1895" w:type="dxa"/>
            <w:tcBorders>
              <w:top w:val="single" w:color="auto" w:sz="4" w:space="0"/>
              <w:left w:val="single" w:color="auto" w:sz="4" w:space="0"/>
              <w:bottom w:val="single" w:color="auto" w:sz="4" w:space="0"/>
              <w:right w:val="single" w:color="auto" w:sz="4" w:space="0"/>
            </w:tcBorders>
            <w:noWrap w:val="0"/>
            <w:vAlign w:val="center"/>
          </w:tcPr>
          <w:p w14:paraId="69D71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1668" w:type="dxa"/>
            <w:tcBorders>
              <w:top w:val="single" w:color="auto" w:sz="4" w:space="0"/>
              <w:left w:val="nil"/>
              <w:bottom w:val="single" w:color="auto" w:sz="4" w:space="0"/>
              <w:right w:val="single" w:color="auto" w:sz="4" w:space="0"/>
            </w:tcBorders>
            <w:noWrap w:val="0"/>
            <w:vAlign w:val="center"/>
          </w:tcPr>
          <w:p w14:paraId="6B3BB4E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1140" w:type="dxa"/>
            <w:tcBorders>
              <w:top w:val="single" w:color="auto" w:sz="4" w:space="0"/>
              <w:left w:val="nil"/>
              <w:bottom w:val="single" w:color="auto" w:sz="4" w:space="0"/>
              <w:right w:val="single" w:color="auto" w:sz="4" w:space="0"/>
            </w:tcBorders>
            <w:noWrap w:val="0"/>
            <w:vAlign w:val="center"/>
          </w:tcPr>
          <w:p w14:paraId="4AA0B62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2304" w:type="dxa"/>
            <w:tcBorders>
              <w:top w:val="single" w:color="auto" w:sz="4" w:space="0"/>
              <w:left w:val="nil"/>
              <w:bottom w:val="single" w:color="auto" w:sz="4" w:space="0"/>
              <w:right w:val="single" w:color="auto" w:sz="4" w:space="0"/>
            </w:tcBorders>
            <w:noWrap w:val="0"/>
            <w:vAlign w:val="center"/>
          </w:tcPr>
          <w:p w14:paraId="46A3FB5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992" w:type="dxa"/>
            <w:tcBorders>
              <w:top w:val="single" w:color="auto" w:sz="4" w:space="0"/>
              <w:left w:val="nil"/>
              <w:bottom w:val="single" w:color="auto" w:sz="4" w:space="0"/>
              <w:right w:val="single" w:color="auto" w:sz="4" w:space="0"/>
            </w:tcBorders>
            <w:noWrap w:val="0"/>
            <w:vAlign w:val="center"/>
          </w:tcPr>
          <w:p w14:paraId="5E7428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771" w:type="dxa"/>
            <w:tcBorders>
              <w:top w:val="single" w:color="auto" w:sz="4" w:space="0"/>
              <w:left w:val="nil"/>
              <w:bottom w:val="single" w:color="auto" w:sz="4" w:space="0"/>
              <w:right w:val="single" w:color="auto" w:sz="4" w:space="0"/>
            </w:tcBorders>
            <w:noWrap w:val="0"/>
            <w:vAlign w:val="center"/>
          </w:tcPr>
          <w:p w14:paraId="13DB7C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875" w:type="dxa"/>
            <w:tcBorders>
              <w:top w:val="single" w:color="auto" w:sz="4" w:space="0"/>
              <w:left w:val="nil"/>
              <w:bottom w:val="single" w:color="auto" w:sz="4" w:space="0"/>
              <w:right w:val="single" w:color="auto" w:sz="4" w:space="0"/>
            </w:tcBorders>
            <w:noWrap w:val="0"/>
            <w:vAlign w:val="center"/>
          </w:tcPr>
          <w:p w14:paraId="182143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962" w:type="dxa"/>
            <w:tcBorders>
              <w:top w:val="single" w:color="auto" w:sz="4" w:space="0"/>
              <w:left w:val="nil"/>
              <w:right w:val="single" w:color="auto" w:sz="4" w:space="0"/>
            </w:tcBorders>
            <w:noWrap w:val="0"/>
            <w:vAlign w:val="center"/>
          </w:tcPr>
          <w:p w14:paraId="795FD0AA">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napToGrid w:val="0"/>
                <w:color w:val="auto"/>
                <w:kern w:val="0"/>
                <w:sz w:val="24"/>
                <w:szCs w:val="24"/>
                <w:highlight w:val="none"/>
                <w:lang w:val="en-US" w:eastAsia="zh-CN"/>
              </w:rPr>
            </w:pPr>
          </w:p>
        </w:tc>
      </w:tr>
      <w:tr w14:paraId="0A4FAC6E">
        <w:tblPrEx>
          <w:tblCellMar>
            <w:top w:w="0" w:type="dxa"/>
            <w:left w:w="108" w:type="dxa"/>
            <w:bottom w:w="0" w:type="dxa"/>
            <w:right w:w="108" w:type="dxa"/>
          </w:tblCellMar>
        </w:tblPrEx>
        <w:trPr>
          <w:trHeight w:val="322" w:hRule="atLeast"/>
        </w:trPr>
        <w:tc>
          <w:tcPr>
            <w:tcW w:w="10607" w:type="dxa"/>
            <w:gridSpan w:val="8"/>
            <w:tcBorders>
              <w:top w:val="single" w:color="auto" w:sz="4" w:space="0"/>
              <w:left w:val="single" w:color="auto" w:sz="4" w:space="0"/>
              <w:bottom w:val="single" w:color="auto" w:sz="4" w:space="0"/>
              <w:right w:val="single" w:color="auto" w:sz="4" w:space="0"/>
            </w:tcBorders>
            <w:noWrap w:val="0"/>
            <w:vAlign w:val="center"/>
          </w:tcPr>
          <w:p w14:paraId="0955302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技术参数</w:t>
            </w:r>
          </w:p>
        </w:tc>
      </w:tr>
      <w:tr w14:paraId="032E88F5">
        <w:tblPrEx>
          <w:tblCellMar>
            <w:top w:w="0" w:type="dxa"/>
            <w:left w:w="108" w:type="dxa"/>
            <w:bottom w:w="0" w:type="dxa"/>
            <w:right w:w="108" w:type="dxa"/>
          </w:tblCellMar>
        </w:tblPrEx>
        <w:trPr>
          <w:trHeight w:val="812" w:hRule="atLeast"/>
        </w:trPr>
        <w:tc>
          <w:tcPr>
            <w:tcW w:w="10607" w:type="dxa"/>
            <w:gridSpan w:val="8"/>
            <w:tcBorders>
              <w:top w:val="single" w:color="auto" w:sz="4" w:space="0"/>
              <w:left w:val="single" w:color="auto" w:sz="4" w:space="0"/>
              <w:bottom w:val="single" w:color="auto" w:sz="4" w:space="0"/>
              <w:right w:val="single" w:color="auto" w:sz="4" w:space="0"/>
            </w:tcBorders>
            <w:noWrap w:val="0"/>
            <w:vAlign w:val="center"/>
          </w:tcPr>
          <w:p w14:paraId="3658D908">
            <w:pPr>
              <w:widowControl w:val="0"/>
              <w:kinsoku w:val="0"/>
              <w:autoSpaceDE w:val="0"/>
              <w:autoSpaceDN w:val="0"/>
              <w:adjustRightInd w:val="0"/>
              <w:snapToGrid w:val="0"/>
              <w:jc w:val="both"/>
              <w:textAlignment w:val="baseline"/>
              <w:rPr>
                <w:rFonts w:hint="eastAsia" w:ascii="宋体" w:hAnsi="宋体" w:eastAsia="宋体" w:cs="宋体"/>
                <w:snapToGrid w:val="0"/>
                <w:color w:val="auto"/>
                <w:kern w:val="2"/>
                <w:sz w:val="24"/>
                <w:szCs w:val="24"/>
                <w:highlight w:val="none"/>
                <w:lang w:val="en-US" w:eastAsia="zh-CN" w:bidi="ar-SA"/>
              </w:rPr>
            </w:pPr>
          </w:p>
        </w:tc>
      </w:tr>
    </w:tbl>
    <w:p w14:paraId="057C7E4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snapToGrid w:val="0"/>
          <w:color w:val="auto"/>
          <w:kern w:val="0"/>
          <w:sz w:val="24"/>
          <w:szCs w:val="24"/>
          <w:highlight w:val="none"/>
          <w:lang w:eastAsia="en-US"/>
        </w:rPr>
      </w:pPr>
    </w:p>
    <w:p w14:paraId="65CB0DC7">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合同价款及结算方式（大写）</w:t>
      </w:r>
      <w:r>
        <w:rPr>
          <w:rFonts w:hint="eastAsia" w:ascii="宋体" w:hAnsi="宋体" w:cs="宋体"/>
          <w:bCs/>
          <w:snapToGrid w:val="0"/>
          <w:color w:val="auto"/>
          <w:kern w:val="0"/>
          <w:sz w:val="24"/>
          <w:szCs w:val="24"/>
          <w:highlight w:val="none"/>
          <w:u w:val="single"/>
          <w:lang w:val="en-US" w:eastAsia="zh-CN"/>
        </w:rPr>
        <w:t>柒拾万贰仟圆</w:t>
      </w:r>
      <w:r>
        <w:rPr>
          <w:rFonts w:hint="eastAsia" w:ascii="宋体" w:hAnsi="宋体" w:eastAsia="宋体" w:cs="宋体"/>
          <w:snapToGrid w:val="0"/>
          <w:color w:val="auto"/>
          <w:kern w:val="0"/>
          <w:sz w:val="24"/>
          <w:szCs w:val="24"/>
          <w:highlight w:val="none"/>
          <w:u w:val="none"/>
          <w:lang w:eastAsia="en-US"/>
        </w:rPr>
        <w:t>元整</w:t>
      </w:r>
      <w:r>
        <w:rPr>
          <w:rFonts w:hint="eastAsia" w:ascii="宋体" w:hAnsi="宋体" w:eastAsia="宋体" w:cs="宋体"/>
          <w:snapToGrid w:val="0"/>
          <w:color w:val="auto"/>
          <w:kern w:val="0"/>
          <w:sz w:val="24"/>
          <w:szCs w:val="24"/>
          <w:highlight w:val="none"/>
          <w:lang w:eastAsia="en-US"/>
        </w:rPr>
        <w:t>（小写）</w:t>
      </w:r>
      <w:r>
        <w:rPr>
          <w:rFonts w:hint="eastAsia" w:ascii="宋体" w:hAnsi="宋体" w:cs="宋体"/>
          <w:snapToGrid w:val="0"/>
          <w:color w:val="auto"/>
          <w:kern w:val="0"/>
          <w:sz w:val="24"/>
          <w:szCs w:val="24"/>
          <w:highlight w:val="none"/>
          <w:u w:val="single"/>
          <w:lang w:val="en-US" w:eastAsia="zh-CN"/>
        </w:rPr>
        <w:t>70.2万</w:t>
      </w:r>
      <w:r>
        <w:rPr>
          <w:rFonts w:hint="eastAsia" w:ascii="宋体" w:hAnsi="宋体" w:eastAsia="宋体" w:cs="宋体"/>
          <w:snapToGrid w:val="0"/>
          <w:color w:val="auto"/>
          <w:kern w:val="0"/>
          <w:sz w:val="24"/>
          <w:szCs w:val="24"/>
          <w:highlight w:val="none"/>
          <w:lang w:eastAsia="en-US"/>
        </w:rPr>
        <w:t>元。以上价格为合同总价，最终结算价格以审定价格为准，包括但不限于设备费、备品备件、专用工具、包装费、运保费、卸货费、安装指导费、调试费、税费</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质保售后</w:t>
      </w:r>
      <w:r>
        <w:rPr>
          <w:rFonts w:hint="eastAsia" w:ascii="宋体" w:hAnsi="宋体" w:eastAsia="宋体" w:cs="宋体"/>
          <w:snapToGrid w:val="0"/>
          <w:color w:val="auto"/>
          <w:kern w:val="0"/>
          <w:sz w:val="24"/>
          <w:szCs w:val="24"/>
          <w:highlight w:val="none"/>
          <w:lang w:eastAsia="en-US"/>
        </w:rPr>
        <w:t>等合同项下的</w:t>
      </w:r>
      <w:r>
        <w:rPr>
          <w:rFonts w:hint="eastAsia" w:ascii="宋体" w:hAnsi="宋体" w:eastAsia="宋体" w:cs="宋体"/>
          <w:snapToGrid w:val="0"/>
          <w:color w:val="auto"/>
          <w:kern w:val="0"/>
          <w:sz w:val="24"/>
          <w:szCs w:val="24"/>
          <w:highlight w:val="none"/>
          <w:lang w:val="en-US" w:eastAsia="zh-CN"/>
        </w:rPr>
        <w:t>全部</w:t>
      </w:r>
      <w:r>
        <w:rPr>
          <w:rFonts w:hint="eastAsia" w:ascii="宋体" w:hAnsi="宋体" w:eastAsia="宋体" w:cs="宋体"/>
          <w:snapToGrid w:val="0"/>
          <w:color w:val="auto"/>
          <w:kern w:val="0"/>
          <w:sz w:val="24"/>
          <w:szCs w:val="24"/>
          <w:highlight w:val="none"/>
          <w:lang w:eastAsia="en-US"/>
        </w:rPr>
        <w:t>义务；也包括买卖双方签订的技术附件中卖方承诺的其它系统配件</w:t>
      </w:r>
      <w:r>
        <w:rPr>
          <w:rFonts w:hint="eastAsia" w:ascii="宋体" w:hAnsi="宋体" w:eastAsia="宋体" w:cs="宋体"/>
          <w:bCs/>
          <w:snapToGrid w:val="0"/>
          <w:color w:val="auto"/>
          <w:kern w:val="0"/>
          <w:sz w:val="24"/>
          <w:szCs w:val="24"/>
          <w:highlight w:val="none"/>
          <w:lang w:eastAsia="en-US"/>
        </w:rPr>
        <w:t>。</w:t>
      </w:r>
    </w:p>
    <w:p w14:paraId="58F6C19B">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付款方式：</w:t>
      </w:r>
      <w:r>
        <w:rPr>
          <w:rFonts w:hint="eastAsia" w:ascii="宋体" w:hAnsi="宋体" w:eastAsia="宋体" w:cs="宋体"/>
          <w:bCs/>
          <w:snapToGrid w:val="0"/>
          <w:color w:val="auto"/>
          <w:kern w:val="0"/>
          <w:sz w:val="24"/>
          <w:szCs w:val="24"/>
          <w:highlight w:val="none"/>
          <w:lang w:val="en-US" w:eastAsia="zh-CN"/>
        </w:rPr>
        <w:t xml:space="preserve"> 合同签订后10日内，买方支付货款的</w:t>
      </w:r>
      <w:r>
        <w:rPr>
          <w:rFonts w:hint="eastAsia" w:ascii="宋体" w:hAnsi="宋体" w:cs="宋体"/>
          <w:bCs/>
          <w:snapToGrid w:val="0"/>
          <w:color w:val="auto"/>
          <w:kern w:val="0"/>
          <w:sz w:val="24"/>
          <w:szCs w:val="24"/>
          <w:highlight w:val="none"/>
          <w:lang w:val="en-US" w:eastAsia="zh-CN"/>
        </w:rPr>
        <w:t>85</w:t>
      </w:r>
      <w:r>
        <w:rPr>
          <w:rFonts w:hint="eastAsia" w:ascii="宋体" w:hAnsi="宋体" w:eastAsia="宋体" w:cs="宋体"/>
          <w:bCs/>
          <w:snapToGrid w:val="0"/>
          <w:color w:val="auto"/>
          <w:kern w:val="0"/>
          <w:sz w:val="24"/>
          <w:szCs w:val="24"/>
          <w:highlight w:val="none"/>
          <w:lang w:val="en-US" w:eastAsia="zh-CN"/>
        </w:rPr>
        <w:t>%作为预付款；卖方按合同约定交付全部产品、安装调试完毕，验收合格并经过结算审核后30日内，按验收单、结算审核、合同相关条款支付至货款的100%</w:t>
      </w:r>
    </w:p>
    <w:p w14:paraId="706B9608">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履约保证金缴纳：履约保证金金额，合同总价的8%；</w:t>
      </w:r>
    </w:p>
    <w:p w14:paraId="2B2CD541">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提交履约保证金的时间：中标人应于中标通知书发出之日起7个工作日内；</w:t>
      </w:r>
    </w:p>
    <w:p w14:paraId="3FD5685A">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履约保证金有效期：自履约保证金交付之日至货物验收合格，合同约定的全部货物验收合格后，采购人应在7个工作日内无息退还保证金；</w:t>
      </w:r>
    </w:p>
    <w:p w14:paraId="15DB1130">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履约保证金提交方式：履约保证金应当以支票、汇票、本票或者金融机构、担保机构出具的保函等非现金形式提交。</w:t>
      </w:r>
    </w:p>
    <w:p w14:paraId="05EEA336">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不予退还情形：</w:t>
      </w:r>
    </w:p>
    <w:p w14:paraId="0DC6184E">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中标人出现以下行为时，采购人有权没收全部或部分履约保证金：</w:t>
      </w:r>
    </w:p>
    <w:p w14:paraId="64238BFA">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(1) 无正当理由放弃中标/拒绝按照中标结果签订合同或不履行合同义务；</w:t>
      </w:r>
    </w:p>
    <w:p w14:paraId="097498EC">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 未按合同约定完成服务或交付标的，经整改仍不合格；</w:t>
      </w:r>
    </w:p>
    <w:p w14:paraId="7D79FDE2">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(3) 擅自转包、分包或改变合同实质性内容；</w:t>
      </w:r>
    </w:p>
    <w:p w14:paraId="20FE3594">
      <w:pPr>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(4) 存在弄虚作假、围标串标等违法违规行为。</w:t>
      </w:r>
    </w:p>
    <w:p w14:paraId="00A565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snapToGrid w:val="0"/>
          <w:color w:val="auto"/>
          <w:kern w:val="0"/>
          <w:sz w:val="24"/>
          <w:szCs w:val="24"/>
          <w:highlight w:val="none"/>
          <w:u w:val="single"/>
          <w:lang w:eastAsia="en-US"/>
        </w:rPr>
      </w:pPr>
      <w:r>
        <w:rPr>
          <w:rFonts w:hint="eastAsia" w:ascii="宋体" w:hAnsi="宋体" w:eastAsia="宋体" w:cs="宋体"/>
          <w:bCs/>
          <w:snapToGrid w:val="0"/>
          <w:color w:val="auto"/>
          <w:kern w:val="0"/>
          <w:sz w:val="24"/>
          <w:szCs w:val="24"/>
          <w:highlight w:val="none"/>
          <w:lang w:eastAsia="en-US"/>
        </w:rPr>
        <w:t>3.运输及保险：</w:t>
      </w:r>
      <w:r>
        <w:rPr>
          <w:rFonts w:hint="eastAsia" w:ascii="宋体" w:hAnsi="宋体" w:eastAsia="宋体" w:cs="宋体"/>
          <w:snapToGrid w:val="0"/>
          <w:color w:val="auto"/>
          <w:kern w:val="0"/>
          <w:sz w:val="24"/>
          <w:szCs w:val="24"/>
          <w:highlight w:val="none"/>
          <w:u w:val="single"/>
          <w:lang w:eastAsia="en-US"/>
        </w:rPr>
        <w:t xml:space="preserve">货物运输方式不限，运输、保险等运输过程中发生的所有费用均由卖方承担  </w:t>
      </w:r>
      <w:r>
        <w:rPr>
          <w:rFonts w:hint="eastAsia" w:ascii="宋体" w:hAnsi="宋体" w:eastAsia="宋体" w:cs="宋体"/>
          <w:snapToGrid w:val="0"/>
          <w:color w:val="auto"/>
          <w:kern w:val="0"/>
          <w:sz w:val="24"/>
          <w:szCs w:val="24"/>
          <w:highlight w:val="none"/>
          <w:lang w:eastAsia="en-US"/>
        </w:rPr>
        <w:t>。</w:t>
      </w:r>
    </w:p>
    <w:p w14:paraId="0310BC9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  包装</w:t>
      </w:r>
    </w:p>
    <w:p w14:paraId="2755893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4.1  </w:t>
      </w:r>
      <w:r>
        <w:rPr>
          <w:rFonts w:hint="eastAsia" w:ascii="宋体" w:hAnsi="宋体" w:eastAsia="宋体" w:cs="宋体"/>
          <w:b/>
          <w:snapToGrid w:val="0"/>
          <w:color w:val="auto"/>
          <w:kern w:val="0"/>
          <w:sz w:val="24"/>
          <w:szCs w:val="24"/>
          <w:highlight w:val="none"/>
          <w:lang w:eastAsia="en-US"/>
        </w:rPr>
        <w:t>包装方式：保证货物抵达交货地点时包装完整无损，包装箱的尺寸及重量应考虑货物最终目的地的偏远程度以及货物转运地可能缺乏重型装卸设备的情况，尽量包装牢固。对由于包装不善而引起的货物损坏或损失、耽误交货时限等损失，均由卖方承担责任。</w:t>
      </w:r>
    </w:p>
    <w:p w14:paraId="0B747D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4.2  包装物处理：不回收。</w:t>
      </w:r>
    </w:p>
    <w:p w14:paraId="79C28CDB">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eastAsia="en-US"/>
        </w:rPr>
        <w:t>.交货</w:t>
      </w:r>
    </w:p>
    <w:p w14:paraId="176FEC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eastAsia="en-US"/>
        </w:rPr>
        <w:t>.1交货时间:</w:t>
      </w:r>
      <w:r>
        <w:rPr>
          <w:rFonts w:hint="eastAsia" w:ascii="宋体" w:hAnsi="宋体" w:eastAsia="宋体" w:cs="宋体"/>
          <w:snapToGrid w:val="0"/>
          <w:color w:val="auto"/>
          <w:kern w:val="0"/>
          <w:sz w:val="24"/>
          <w:szCs w:val="24"/>
          <w:highlight w:val="none"/>
          <w:lang w:eastAsia="en-US"/>
        </w:rPr>
        <w:t>合同签订后</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eastAsia="en-US"/>
        </w:rPr>
        <w:t>日</w:t>
      </w:r>
      <w:r>
        <w:rPr>
          <w:rFonts w:hint="eastAsia" w:ascii="宋体" w:hAnsi="宋体" w:eastAsia="宋体" w:cs="宋体"/>
          <w:snapToGrid w:val="0"/>
          <w:color w:val="auto"/>
          <w:kern w:val="0"/>
          <w:sz w:val="24"/>
          <w:szCs w:val="24"/>
          <w:highlight w:val="none"/>
          <w:lang w:val="en-US" w:eastAsia="zh-CN"/>
        </w:rPr>
        <w:t>内</w:t>
      </w:r>
      <w:r>
        <w:rPr>
          <w:rFonts w:hint="eastAsia" w:ascii="宋体" w:hAnsi="宋体" w:eastAsia="宋体" w:cs="宋体"/>
          <w:snapToGrid w:val="0"/>
          <w:color w:val="auto"/>
          <w:kern w:val="0"/>
          <w:sz w:val="24"/>
          <w:szCs w:val="24"/>
          <w:highlight w:val="none"/>
          <w:lang w:eastAsia="en-US"/>
        </w:rPr>
        <w:t>。</w:t>
      </w:r>
    </w:p>
    <w:p w14:paraId="45A4C1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rPr>
        <w:t xml:space="preserve"> 卖方须在上述时限之前，一次完成</w:t>
      </w:r>
      <w:r>
        <w:rPr>
          <w:rFonts w:hint="eastAsia" w:ascii="宋体" w:hAnsi="宋体" w:eastAsia="宋体" w:cs="宋体"/>
          <w:b/>
          <w:bCs/>
          <w:snapToGrid w:val="0"/>
          <w:color w:val="auto"/>
          <w:kern w:val="0"/>
          <w:sz w:val="24"/>
          <w:szCs w:val="24"/>
          <w:highlight w:val="none"/>
          <w:lang w:val="en-US" w:eastAsia="zh-CN"/>
        </w:rPr>
        <w:t>货物交付</w:t>
      </w:r>
      <w:r>
        <w:rPr>
          <w:rFonts w:hint="eastAsia" w:ascii="宋体" w:hAnsi="宋体" w:eastAsia="宋体" w:cs="宋体"/>
          <w:b/>
          <w:bCs/>
          <w:snapToGrid w:val="0"/>
          <w:color w:val="auto"/>
          <w:kern w:val="0"/>
          <w:sz w:val="24"/>
          <w:szCs w:val="24"/>
          <w:highlight w:val="none"/>
          <w:lang w:eastAsia="en-US"/>
        </w:rPr>
        <w:t>并</w:t>
      </w:r>
      <w:r>
        <w:rPr>
          <w:rFonts w:hint="eastAsia" w:ascii="宋体" w:hAnsi="宋体" w:eastAsia="宋体" w:cs="宋体"/>
          <w:b/>
          <w:bCs/>
          <w:snapToGrid w:val="0"/>
          <w:color w:val="auto"/>
          <w:kern w:val="0"/>
          <w:sz w:val="24"/>
          <w:szCs w:val="24"/>
          <w:highlight w:val="none"/>
          <w:lang w:val="en-US" w:eastAsia="zh-CN"/>
        </w:rPr>
        <w:t>取得买方出具的书面</w:t>
      </w:r>
      <w:r>
        <w:rPr>
          <w:rFonts w:hint="eastAsia" w:ascii="宋体" w:hAnsi="宋体" w:eastAsia="宋体" w:cs="宋体"/>
          <w:b/>
          <w:bCs/>
          <w:snapToGrid w:val="0"/>
          <w:color w:val="auto"/>
          <w:kern w:val="0"/>
          <w:sz w:val="24"/>
          <w:szCs w:val="24"/>
          <w:highlight w:val="none"/>
          <w:lang w:eastAsia="en-US"/>
        </w:rPr>
        <w:t>验收</w:t>
      </w:r>
      <w:r>
        <w:rPr>
          <w:rFonts w:hint="eastAsia" w:ascii="宋体" w:hAnsi="宋体" w:eastAsia="宋体" w:cs="宋体"/>
          <w:b/>
          <w:bCs/>
          <w:snapToGrid w:val="0"/>
          <w:color w:val="auto"/>
          <w:kern w:val="0"/>
          <w:sz w:val="24"/>
          <w:szCs w:val="24"/>
          <w:highlight w:val="none"/>
          <w:lang w:val="en-US" w:eastAsia="zh-CN"/>
        </w:rPr>
        <w:t>意见</w:t>
      </w:r>
      <w:r>
        <w:rPr>
          <w:rFonts w:hint="eastAsia" w:ascii="宋体" w:hAnsi="宋体" w:eastAsia="宋体" w:cs="宋体"/>
          <w:b/>
          <w:bCs/>
          <w:snapToGrid w:val="0"/>
          <w:color w:val="auto"/>
          <w:kern w:val="0"/>
          <w:sz w:val="24"/>
          <w:szCs w:val="24"/>
          <w:highlight w:val="none"/>
          <w:lang w:eastAsia="en-US"/>
        </w:rPr>
        <w:t>。</w:t>
      </w:r>
    </w:p>
    <w:p w14:paraId="06B4C7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eastAsia="en-US"/>
        </w:rPr>
        <w:t>.2交货地点</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买方</w:t>
      </w:r>
      <w:r>
        <w:rPr>
          <w:rFonts w:hint="eastAsia" w:ascii="宋体" w:hAnsi="宋体" w:eastAsia="宋体" w:cs="宋体"/>
          <w:bCs/>
          <w:snapToGrid w:val="0"/>
          <w:color w:val="auto"/>
          <w:kern w:val="0"/>
          <w:sz w:val="24"/>
          <w:szCs w:val="24"/>
          <w:highlight w:val="none"/>
          <w:lang w:eastAsia="en-US"/>
        </w:rPr>
        <w:t>指定地点</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eastAsia="en-US"/>
        </w:rPr>
        <w:t>卖方</w:t>
      </w:r>
      <w:r>
        <w:rPr>
          <w:rFonts w:hint="eastAsia" w:ascii="宋体" w:hAnsi="宋体" w:eastAsia="宋体" w:cs="宋体"/>
          <w:b/>
          <w:bCs/>
          <w:snapToGrid w:val="0"/>
          <w:color w:val="auto"/>
          <w:kern w:val="0"/>
          <w:sz w:val="24"/>
          <w:szCs w:val="24"/>
          <w:highlight w:val="none"/>
          <w:lang w:eastAsia="zh-CN"/>
        </w:rPr>
        <w:t>负责</w:t>
      </w:r>
      <w:r>
        <w:rPr>
          <w:rFonts w:hint="eastAsia" w:ascii="宋体" w:hAnsi="宋体" w:eastAsia="宋体" w:cs="宋体"/>
          <w:b/>
          <w:bCs/>
          <w:snapToGrid w:val="0"/>
          <w:color w:val="auto"/>
          <w:kern w:val="0"/>
          <w:sz w:val="24"/>
          <w:szCs w:val="24"/>
          <w:highlight w:val="none"/>
          <w:lang w:eastAsia="en-US"/>
        </w:rPr>
        <w:t>送货上门并卸货</w:t>
      </w:r>
      <w:r>
        <w:rPr>
          <w:rFonts w:hint="eastAsia" w:ascii="宋体" w:hAnsi="宋体" w:eastAsia="宋体" w:cs="宋体"/>
          <w:b/>
          <w:bCs/>
          <w:snapToGrid w:val="0"/>
          <w:color w:val="auto"/>
          <w:kern w:val="0"/>
          <w:sz w:val="24"/>
          <w:szCs w:val="24"/>
          <w:highlight w:val="none"/>
          <w:lang w:eastAsia="zh-CN"/>
        </w:rPr>
        <w:t>。</w:t>
      </w:r>
    </w:p>
    <w:p w14:paraId="490635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en-US"/>
        </w:rPr>
        <w:t>收货联系人：</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eastAsia="宋体" w:cs="宋体"/>
          <w:b/>
          <w:bCs/>
          <w:snapToGrid w:val="0"/>
          <w:color w:val="auto"/>
          <w:kern w:val="0"/>
          <w:sz w:val="24"/>
          <w:szCs w:val="24"/>
          <w:highlight w:val="none"/>
          <w:lang w:eastAsia="zh-CN"/>
        </w:rPr>
        <w:t>，电话：</w:t>
      </w:r>
      <w:r>
        <w:rPr>
          <w:rFonts w:hint="eastAsia" w:ascii="宋体" w:hAnsi="宋体" w:eastAsia="宋体" w:cs="宋体"/>
          <w:b/>
          <w:bCs/>
          <w:snapToGrid w:val="0"/>
          <w:color w:val="auto"/>
          <w:kern w:val="0"/>
          <w:sz w:val="24"/>
          <w:szCs w:val="24"/>
          <w:highlight w:val="none"/>
          <w:lang w:val="en-US" w:eastAsia="zh-CN"/>
        </w:rPr>
        <w:t xml:space="preserve"> </w:t>
      </w:r>
    </w:p>
    <w:p w14:paraId="4F3661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bCs/>
          <w:snapToGrid w:val="0"/>
          <w:color w:val="auto"/>
          <w:kern w:val="0"/>
          <w:sz w:val="24"/>
          <w:szCs w:val="24"/>
          <w:highlight w:val="none"/>
          <w:lang w:val="en-US" w:eastAsia="en-US"/>
        </w:rPr>
      </w:pP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eastAsia="en-US"/>
        </w:rPr>
        <w:t>.3联系方式：</w:t>
      </w:r>
      <w:r>
        <w:rPr>
          <w:rFonts w:hint="eastAsia" w:ascii="宋体" w:hAnsi="宋体"/>
          <w:color w:val="auto"/>
          <w:sz w:val="24"/>
          <w:highlight w:val="none"/>
          <w:lang w:eastAsia="zh-CN"/>
        </w:rPr>
        <w:t>乌鲁木齐市应急管理局（乌鲁木齐市矿山安全监督管理局）</w:t>
      </w:r>
    </w:p>
    <w:p w14:paraId="4B28F4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en-US"/>
        </w:rPr>
        <w:t>姓  名：</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cs="宋体"/>
          <w:b/>
          <w:bCs/>
          <w:snapToGrid w:val="0"/>
          <w:color w:val="auto"/>
          <w:kern w:val="0"/>
          <w:sz w:val="24"/>
          <w:szCs w:val="24"/>
          <w:highlight w:val="none"/>
          <w:lang w:val="en-US" w:eastAsia="zh-CN"/>
        </w:rPr>
        <w:t>陆健</w:t>
      </w:r>
    </w:p>
    <w:p w14:paraId="522039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en-US"/>
        </w:rPr>
        <w:t>电  话：</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cs="宋体"/>
          <w:b/>
          <w:bCs/>
          <w:snapToGrid w:val="0"/>
          <w:color w:val="auto"/>
          <w:kern w:val="0"/>
          <w:sz w:val="24"/>
          <w:szCs w:val="24"/>
          <w:highlight w:val="none"/>
          <w:lang w:val="en-US" w:eastAsia="zh-CN"/>
        </w:rPr>
        <w:t>4671820</w:t>
      </w:r>
    </w:p>
    <w:p w14:paraId="59B879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en-US"/>
        </w:rPr>
        <w:t>传  真：</w:t>
      </w:r>
      <w:r>
        <w:rPr>
          <w:rFonts w:hint="eastAsia" w:ascii="宋体" w:hAnsi="宋体" w:cs="宋体"/>
          <w:b/>
          <w:bCs/>
          <w:snapToGrid w:val="0"/>
          <w:color w:val="auto"/>
          <w:kern w:val="0"/>
          <w:sz w:val="24"/>
          <w:szCs w:val="24"/>
          <w:highlight w:val="none"/>
          <w:lang w:val="en-US" w:eastAsia="zh-CN"/>
        </w:rPr>
        <w:t>/</w:t>
      </w:r>
    </w:p>
    <w:p w14:paraId="2DB176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lang w:eastAsia="en-US"/>
        </w:rPr>
        <w:t>.验收：</w:t>
      </w:r>
    </w:p>
    <w:p w14:paraId="54C387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lang w:eastAsia="en-US"/>
        </w:rPr>
        <w:t>.1验收标准：依照本合同约定。</w:t>
      </w:r>
    </w:p>
    <w:p w14:paraId="66E4CC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lang w:eastAsia="en-US"/>
        </w:rPr>
        <w:t>.2验收时间及组织：</w:t>
      </w:r>
      <w:r>
        <w:rPr>
          <w:rFonts w:hint="eastAsia" w:ascii="宋体" w:hAnsi="宋体" w:eastAsia="宋体" w:cs="宋体"/>
          <w:snapToGrid w:val="0"/>
          <w:color w:val="auto"/>
          <w:kern w:val="0"/>
          <w:sz w:val="24"/>
          <w:szCs w:val="24"/>
          <w:highlight w:val="none"/>
          <w:lang w:eastAsia="zh-CN"/>
        </w:rPr>
        <w:t>乌鲁木齐市应急管理局（乌鲁木齐市矿山安全监督管理局）</w:t>
      </w:r>
      <w:r>
        <w:rPr>
          <w:rFonts w:hint="eastAsia" w:ascii="宋体" w:hAnsi="宋体" w:eastAsia="宋体" w:cs="宋体"/>
          <w:bCs/>
          <w:snapToGrid w:val="0"/>
          <w:color w:val="auto"/>
          <w:kern w:val="0"/>
          <w:sz w:val="24"/>
          <w:szCs w:val="24"/>
          <w:highlight w:val="none"/>
          <w:lang w:eastAsia="en-US"/>
        </w:rPr>
        <w:t>集中统一验收，所投货物全部安装调试到位，产品外观、数量、功能、性能、技术参数以及集成服务等符合合同文本和采购文件要求，出具验收意见。</w:t>
      </w:r>
    </w:p>
    <w:p w14:paraId="391156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lang w:eastAsia="en-US"/>
        </w:rPr>
        <w:t>.3器材到齐后一次性完成验收，验收前买方不负责货物的保管，由卖方负责。</w:t>
      </w:r>
      <w:r>
        <w:rPr>
          <w:rFonts w:hint="eastAsia" w:ascii="宋体" w:hAnsi="宋体" w:eastAsia="宋体" w:cs="宋体"/>
          <w:b/>
          <w:bCs/>
          <w:snapToGrid w:val="0"/>
          <w:color w:val="auto"/>
          <w:kern w:val="0"/>
          <w:sz w:val="24"/>
          <w:szCs w:val="24"/>
          <w:highlight w:val="none"/>
          <w:lang w:val="en-US" w:eastAsia="zh-CN"/>
        </w:rPr>
        <w:t>验收完成后，由卖方（乙方）负责将货物送达至买方（甲方）提供的地址，货物运输方式不限，运输、保险等运输过程中发生的所有费用均由卖方承担。</w:t>
      </w:r>
    </w:p>
    <w:p w14:paraId="62A7F1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lang w:eastAsia="en-US"/>
        </w:rPr>
        <w:t>.合同效力</w:t>
      </w:r>
    </w:p>
    <w:p w14:paraId="240538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lang w:eastAsia="en-US"/>
        </w:rPr>
        <w:t>.1  本合同经买卖双方授权代表签署，并经双方盖章后生效。</w:t>
      </w:r>
    </w:p>
    <w:p w14:paraId="4A30E241">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lang w:eastAsia="en-US"/>
        </w:rPr>
        <w:t>.2  本合同一式肆份，买卖双方各持两份，具有相同的法律效力。</w:t>
      </w:r>
    </w:p>
    <w:p w14:paraId="48743B02">
      <w:pPr>
        <w:widowControl/>
        <w:numPr>
          <w:ilvl w:val="0"/>
          <w:numId w:val="11"/>
        </w:numPr>
        <w:kinsoku w:val="0"/>
        <w:autoSpaceDE w:val="0"/>
        <w:autoSpaceDN w:val="0"/>
        <w:adjustRightInd w:val="0"/>
        <w:snapToGrid w:val="0"/>
        <w:spacing w:line="400" w:lineRule="exact"/>
        <w:ind w:firstLine="602" w:firstLineChars="250"/>
        <w:jc w:val="center"/>
        <w:textAlignment w:val="baseline"/>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rPr>
        <w:t>合同基本条款</w:t>
      </w:r>
    </w:p>
    <w:p w14:paraId="55D4A664">
      <w:pPr>
        <w:widowControl/>
        <w:kinsoku w:val="0"/>
        <w:autoSpaceDE w:val="0"/>
        <w:autoSpaceDN w:val="0"/>
        <w:adjustRightInd w:val="0"/>
        <w:snapToGrid w:val="0"/>
        <w:spacing w:line="400" w:lineRule="exact"/>
        <w:jc w:val="left"/>
        <w:textAlignment w:val="baseline"/>
        <w:rPr>
          <w:rFonts w:hint="eastAsia" w:ascii="宋体" w:hAnsi="宋体" w:eastAsia="宋体" w:cs="宋体"/>
          <w:b/>
          <w:bCs/>
          <w:snapToGrid w:val="0"/>
          <w:color w:val="auto"/>
          <w:kern w:val="0"/>
          <w:sz w:val="24"/>
          <w:szCs w:val="24"/>
          <w:highlight w:val="none"/>
          <w:lang w:eastAsia="en-US"/>
        </w:rPr>
      </w:pPr>
    </w:p>
    <w:p w14:paraId="44B3BF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  定义：</w:t>
      </w:r>
    </w:p>
    <w:p w14:paraId="71CD183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本合同有关术语解释：</w:t>
      </w:r>
    </w:p>
    <w:p w14:paraId="6EE4284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1.1  “合同”是指买卖双方签署的用以约定买卖双方买卖事项而达成的协议，包括所有的附件和构成合同的其它文件。</w:t>
      </w:r>
    </w:p>
    <w:p w14:paraId="51A218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1.2  “合同总价”是指根据本合同约定，卖方在正确地完全履行合同义务后买方应支付给卖方的全部价款。</w:t>
      </w:r>
    </w:p>
    <w:p w14:paraId="5E54E2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  “货物”是指根据合同约定卖方向买方提供的一切设备及相应的配套设施（含备件、工具、操作手册及其他有关技术资料和材料）。</w:t>
      </w:r>
    </w:p>
    <w:p w14:paraId="6CDC2C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  “服务”是指根据合同约定卖方向买方承担的与供货有关的辅助服务，如运输、保险、安装、调试、技术支持、检验、维修、培训等与购销有关的义务。</w:t>
      </w:r>
    </w:p>
    <w:p w14:paraId="73360A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1.5  “现场”是指合同项下货物实际所在地。</w:t>
      </w:r>
    </w:p>
    <w:p w14:paraId="413393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1.6  “验收”是指合同双方依据约定的程序和条件对合同标的物的数量、质量、性能等进行确认交接的行为。</w:t>
      </w:r>
    </w:p>
    <w:p w14:paraId="4A426E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1.7   交货时间是指卖方将本合同内全部产品提交给买方验收的最后时间。卖方分几次供货时，以最后一次提交买方验收时间为交货时间。</w:t>
      </w:r>
    </w:p>
    <w:p w14:paraId="74CBF6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 标准</w:t>
      </w:r>
    </w:p>
    <w:p w14:paraId="09451E5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2.1  本合同下交付的货物应符合技术规格所述的标准。合同未作特别标注的国产货物，以我国颁布的最新标准为准；如无国家标准的，以行业标准为准；如无行业标准的，按企业标准执行。</w:t>
      </w:r>
    </w:p>
    <w:p w14:paraId="793E8C5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2.2  本合同货物无特别标注的，计量单位均采用中华人民共和国法定计量单位。</w:t>
      </w:r>
    </w:p>
    <w:p w14:paraId="7AD8AE3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 专利权</w:t>
      </w:r>
    </w:p>
    <w:p w14:paraId="0BC3534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卖方保证，买方在使用合同货物或货物的任何一部分时，免受第三方提出的侵犯其专利权、商标权、著作权或其它知识产权的起诉。卖方应承担由此可能产生的一切法律责任和费用（包括但不限于买方支出的赔偿费、诉讼费、评估费、鉴定费、律师费等）。</w:t>
      </w:r>
    </w:p>
    <w:p w14:paraId="514E34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 包装</w:t>
      </w:r>
    </w:p>
    <w:p w14:paraId="6670AD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4.1  除合同另有规定外，卖方提供的全部货物，均采用国家或专业标准保护措施（不低于木箱标准）进行包装，使包装适用于海运、空运或陆上的长途运输，并有良好的防潮、防震、防锈和防粗暴装卸等保护措施，确保货物安全无损运抵现场。这类包装还应足以承受但不限于承受转运过程中的装卸，暴露于恶劣气温，大风和降雨环境，以及露天存放。</w:t>
      </w:r>
      <w:r>
        <w:rPr>
          <w:rFonts w:hint="eastAsia" w:ascii="宋体" w:hAnsi="宋体" w:eastAsia="宋体" w:cs="宋体"/>
          <w:bCs/>
          <w:snapToGrid w:val="0"/>
          <w:color w:val="auto"/>
          <w:kern w:val="0"/>
          <w:sz w:val="24"/>
          <w:szCs w:val="24"/>
          <w:highlight w:val="none"/>
          <w:lang w:eastAsia="en-US"/>
        </w:rPr>
        <w:t>包装箱的尺寸及重量应考虑货物最终目的地的偏远程度以及在所有转运地点缺乏重型装卸设施的情况。</w:t>
      </w:r>
      <w:r>
        <w:rPr>
          <w:rFonts w:hint="eastAsia" w:ascii="宋体" w:hAnsi="宋体" w:eastAsia="宋体" w:cs="宋体"/>
          <w:snapToGrid w:val="0"/>
          <w:color w:val="auto"/>
          <w:kern w:val="0"/>
          <w:sz w:val="24"/>
          <w:szCs w:val="24"/>
          <w:highlight w:val="none"/>
          <w:lang w:eastAsia="en-US"/>
        </w:rPr>
        <w:t>对由于包装不善而引起的货物锈蚀、损坏或损失卖方应承担责任。</w:t>
      </w:r>
    </w:p>
    <w:p w14:paraId="2DA826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4.2  </w:t>
      </w:r>
      <w:r>
        <w:rPr>
          <w:rFonts w:hint="eastAsia" w:ascii="宋体" w:hAnsi="宋体" w:eastAsia="宋体" w:cs="宋体"/>
          <w:bCs/>
          <w:snapToGrid w:val="0"/>
          <w:color w:val="auto"/>
          <w:kern w:val="0"/>
          <w:sz w:val="24"/>
          <w:szCs w:val="24"/>
          <w:highlight w:val="none"/>
          <w:lang w:eastAsia="en-US"/>
        </w:rPr>
        <w:t>卖方必须无偿提供合同内全部货物的中文使用说明书，说明书包括产品的功能、使用方法、技术参数、常见问题解决办法及产品序列号、型号、版本号以及配合使用的主要设备品牌、型号和版本等信息。</w:t>
      </w:r>
    </w:p>
    <w:p w14:paraId="143066B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  质量</w:t>
      </w:r>
    </w:p>
    <w:p w14:paraId="1125AC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5.1  </w:t>
      </w:r>
      <w:r>
        <w:rPr>
          <w:rFonts w:hint="eastAsia" w:ascii="宋体" w:hAnsi="宋体" w:eastAsia="宋体" w:cs="宋体"/>
          <w:bCs/>
          <w:snapToGrid w:val="0"/>
          <w:color w:val="auto"/>
          <w:kern w:val="0"/>
          <w:sz w:val="24"/>
          <w:szCs w:val="24"/>
          <w:highlight w:val="none"/>
          <w:lang w:eastAsia="en-US"/>
        </w:rPr>
        <w:t>卖方保证所提供的货物是新品。</w:t>
      </w:r>
    </w:p>
    <w:p w14:paraId="08275E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5.2  在货物质保期内，卖方应当对由于设计、工艺、材料和配件的缺陷所产生的不足或故障负责</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卖方应在发现缺陷或故障后五个工作日内免费修复至无缺陷、故障的可用状态；无法在前述时间内完成修复的，应在发现缺陷或故障十个工作日内无条件免费召回换新</w:t>
      </w:r>
      <w:r>
        <w:rPr>
          <w:rFonts w:hint="eastAsia" w:ascii="宋体" w:hAnsi="宋体" w:eastAsia="宋体" w:cs="宋体"/>
          <w:bCs/>
          <w:snapToGrid w:val="0"/>
          <w:color w:val="auto"/>
          <w:kern w:val="0"/>
          <w:sz w:val="24"/>
          <w:szCs w:val="24"/>
          <w:highlight w:val="none"/>
          <w:lang w:eastAsia="en-US"/>
        </w:rPr>
        <w:t>。</w:t>
      </w:r>
    </w:p>
    <w:p w14:paraId="6112A4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5.3  验收时，如发现卖方提供的货物或配件等不符合合同约定或有缺陷时，买方应以书面形式通知卖方，提出索赔，卖方应当在约定的时间内予以更换，并按违约的相关约定向买方给予赔偿，更换的新产品质保期相应顺延；质保期内，如货物或配件发生质量问题时，按售后服务的约定执行。</w:t>
      </w:r>
    </w:p>
    <w:p w14:paraId="741839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6．交货</w:t>
      </w:r>
    </w:p>
    <w:p w14:paraId="7306AD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6.1  交货的时间和地点执行本合同《协议书》。</w:t>
      </w:r>
    </w:p>
    <w:p w14:paraId="502034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6.2  延期交货</w:t>
      </w:r>
    </w:p>
    <w:p w14:paraId="473F0B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6.2.1  卖方应按合同规定的时间交货和提供服务。</w:t>
      </w:r>
    </w:p>
    <w:p w14:paraId="72763C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6.2.2  在履行合同过程中，如果卖方遇到不能按期交货和提供服务情况，应及时以书面形式将不能按时交货的理由、可能延误的时间通知买方。买方在收到通知后，应进行分析，如果同意，以书面形式通知卖方,可酌情延长交货时间。</w:t>
      </w:r>
    </w:p>
    <w:p w14:paraId="694A95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6.2.3  如果卖方毫无理由拖延交货，</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将</w:t>
      </w:r>
      <w:r>
        <w:rPr>
          <w:rFonts w:hint="eastAsia" w:ascii="宋体" w:hAnsi="宋体" w:eastAsia="宋体" w:cs="宋体"/>
          <w:snapToGrid w:val="0"/>
          <w:color w:val="auto"/>
          <w:kern w:val="0"/>
          <w:sz w:val="24"/>
          <w:szCs w:val="24"/>
          <w:highlight w:val="none"/>
          <w:lang w:val="en-US" w:eastAsia="zh-CN"/>
        </w:rPr>
        <w:t>有权</w:t>
      </w:r>
      <w:r>
        <w:rPr>
          <w:rFonts w:hint="eastAsia" w:ascii="宋体" w:hAnsi="宋体" w:eastAsia="宋体" w:cs="宋体"/>
          <w:snapToGrid w:val="0"/>
          <w:color w:val="auto"/>
          <w:kern w:val="0"/>
          <w:sz w:val="24"/>
          <w:szCs w:val="24"/>
          <w:highlight w:val="none"/>
          <w:lang w:eastAsia="en-US"/>
        </w:rPr>
        <w:t>终止合同。</w:t>
      </w:r>
    </w:p>
    <w:p w14:paraId="6C59DF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 技术文件和资料</w:t>
      </w:r>
    </w:p>
    <w:p w14:paraId="2E1A9CA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  提供技术文件和资料的种类和数量在本采购文件中已规定，卖方</w:t>
      </w:r>
      <w:r>
        <w:rPr>
          <w:rFonts w:hint="eastAsia" w:ascii="宋体" w:hAnsi="宋体" w:eastAsia="宋体" w:cs="宋体"/>
          <w:snapToGrid w:val="0"/>
          <w:color w:val="auto"/>
          <w:kern w:val="0"/>
          <w:sz w:val="24"/>
          <w:szCs w:val="24"/>
          <w:highlight w:val="none"/>
          <w:lang w:val="en-US" w:eastAsia="zh-CN"/>
        </w:rPr>
        <w:t>应在货物交付时按照采购文件和甲方要求提供对应种类和数量的技术文件和资料</w:t>
      </w:r>
      <w:r>
        <w:rPr>
          <w:rFonts w:hint="eastAsia" w:ascii="宋体" w:hAnsi="宋体" w:eastAsia="宋体" w:cs="宋体"/>
          <w:snapToGrid w:val="0"/>
          <w:color w:val="auto"/>
          <w:kern w:val="0"/>
          <w:sz w:val="24"/>
          <w:szCs w:val="24"/>
          <w:highlight w:val="none"/>
          <w:lang w:eastAsia="en-US"/>
        </w:rPr>
        <w:t>。</w:t>
      </w:r>
    </w:p>
    <w:p w14:paraId="527BAE5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7.2  如果买方确认卖方提供的技术文件和资料不完整，或在运输途中丢失，卖方应在收到买方通知后3天内将文件、资料补齐。</w:t>
      </w:r>
    </w:p>
    <w:p w14:paraId="6C19FE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 税费</w:t>
      </w:r>
    </w:p>
    <w:p w14:paraId="1AD6EE4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8.1  器材装备的投标报价为货到采购人指定地点价格。</w:t>
      </w:r>
    </w:p>
    <w:p w14:paraId="1E044F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8.2  根据国家现行税法征收的与本合同有关的一切税费均由卖方承担。</w:t>
      </w:r>
    </w:p>
    <w:p w14:paraId="6B84E46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8.3  在中国境外发生的与本合同执行有关的一切税费由卖方承担。</w:t>
      </w:r>
    </w:p>
    <w:p w14:paraId="432CA5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  验收</w:t>
      </w:r>
    </w:p>
    <w:p w14:paraId="00ED108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本合同项下货物验收遵照以下流程和条件</w:t>
      </w:r>
    </w:p>
    <w:p w14:paraId="360BDD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9.1 卖方应在供货合同规定的时间内将装备发送收货地点并提交书面验收申请。</w:t>
      </w:r>
    </w:p>
    <w:p w14:paraId="0D3828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9.2 货物到达目的地后买卖双方要在现场共同开箱验收。买方将按照装箱清单清点货物数量，检查货物破损情况，卖方必须派出代表参加货物验收工作，否则买方不予验收，按照卖方货物未到处理。</w:t>
      </w:r>
    </w:p>
    <w:p w14:paraId="16675F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9.3 买方组成集中采购装备验收小组，对采购的货物进行专门验收，不符合合同规定的，买方将不予验收。</w:t>
      </w:r>
    </w:p>
    <w:p w14:paraId="32BC544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9.4产品验收时，卖方必须要有一名以上厂家技术人员在场，由买方、卖方、应急救援队伍三方共同进行验收确认，验收完毕后，买方和卖方共同签字确认乌鲁木齐市自然灾害应急能力提升工程基层防灾项目装备验收单。</w:t>
      </w:r>
    </w:p>
    <w:p w14:paraId="5AE1CF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9.5装备的验收，综合判定为“合格”、“不合格”，综合评判为“合格”的器材，清点入库房。综合评判为“不合格”的器材，限期整改并由卖方向买方支付合同总金额</w:t>
      </w: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eastAsia="en-US"/>
        </w:rPr>
        <w:t>%的违约金，整改完毕后进行复验；限期内未整改完毕的或“复验”不合格的，按合同规定做退货处理，</w:t>
      </w:r>
      <w:r>
        <w:rPr>
          <w:rFonts w:hint="eastAsia" w:ascii="宋体" w:hAnsi="宋体" w:eastAsia="宋体" w:cs="宋体"/>
          <w:bCs/>
          <w:snapToGrid w:val="0"/>
          <w:color w:val="auto"/>
          <w:kern w:val="0"/>
          <w:sz w:val="24"/>
          <w:szCs w:val="24"/>
          <w:highlight w:val="none"/>
          <w:lang w:eastAsia="zh-CN"/>
        </w:rPr>
        <w:t>并</w:t>
      </w:r>
      <w:r>
        <w:rPr>
          <w:rFonts w:hint="eastAsia" w:ascii="宋体" w:hAnsi="宋体" w:eastAsia="宋体" w:cs="宋体"/>
          <w:bCs/>
          <w:snapToGrid w:val="0"/>
          <w:color w:val="auto"/>
          <w:kern w:val="0"/>
          <w:sz w:val="24"/>
          <w:szCs w:val="24"/>
          <w:highlight w:val="none"/>
          <w:lang w:eastAsia="en-US"/>
        </w:rPr>
        <w:t>由卖方向买方支付合同总金额</w:t>
      </w:r>
      <w:r>
        <w:rPr>
          <w:rFonts w:hint="eastAsia" w:ascii="宋体" w:hAnsi="宋体" w:eastAsia="宋体" w:cs="宋体"/>
          <w:bCs/>
          <w:snapToGrid w:val="0"/>
          <w:color w:val="auto"/>
          <w:kern w:val="0"/>
          <w:sz w:val="24"/>
          <w:szCs w:val="24"/>
          <w:highlight w:val="none"/>
          <w:lang w:val="en-US" w:eastAsia="zh-CN"/>
        </w:rPr>
        <w:t>30</w:t>
      </w:r>
      <w:r>
        <w:rPr>
          <w:rFonts w:hint="eastAsia" w:ascii="宋体" w:hAnsi="宋体" w:eastAsia="宋体" w:cs="宋体"/>
          <w:bCs/>
          <w:snapToGrid w:val="0"/>
          <w:color w:val="auto"/>
          <w:kern w:val="0"/>
          <w:sz w:val="24"/>
          <w:szCs w:val="24"/>
          <w:highlight w:val="none"/>
          <w:lang w:eastAsia="en-US"/>
        </w:rPr>
        <w:t>%的违约金。</w:t>
      </w:r>
    </w:p>
    <w:p w14:paraId="5D5807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  付款：执行本合同《协议书》。</w:t>
      </w:r>
    </w:p>
    <w:p w14:paraId="31C4D23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11.  培训</w:t>
      </w:r>
    </w:p>
    <w:p w14:paraId="3E4ED7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11.1 培训内容</w:t>
      </w:r>
    </w:p>
    <w:p w14:paraId="093DFD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产品验收合格后，卖方按照买方要求，逐队上门开展产品接装培训，对产品技术性能、操作使用方法、维护保养方法、注意事项等内容进行细致的讲解。培训方案如下：</w:t>
      </w: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3"/>
        <w:gridCol w:w="2190"/>
        <w:gridCol w:w="1875"/>
        <w:gridCol w:w="3630"/>
        <w:gridCol w:w="1176"/>
      </w:tblGrid>
      <w:tr w14:paraId="720CA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173" w:type="dxa"/>
            <w:gridSpan w:val="2"/>
            <w:tcBorders>
              <w:top w:val="single" w:color="auto" w:sz="4" w:space="0"/>
              <w:left w:val="single" w:color="auto" w:sz="4" w:space="0"/>
              <w:bottom w:val="single" w:color="auto" w:sz="6" w:space="0"/>
              <w:right w:val="single" w:color="auto" w:sz="6" w:space="0"/>
            </w:tcBorders>
            <w:noWrap w:val="0"/>
            <w:vAlign w:val="center"/>
          </w:tcPr>
          <w:p w14:paraId="60C45117">
            <w:pPr>
              <w:keepNext w:val="0"/>
              <w:keepLines w:val="0"/>
              <w:pageBreakBefore w:val="0"/>
              <w:widowControl w:val="0"/>
              <w:kinsoku/>
              <w:wordWrap/>
              <w:overflowPunct/>
              <w:topLinePunct w:val="0"/>
              <w:autoSpaceDE/>
              <w:autoSpaceDN/>
              <w:bidi w:val="0"/>
              <w:adjustRightInd w:val="0"/>
              <w:snapToGrid w:val="0"/>
              <w:spacing w:line="360" w:lineRule="auto"/>
              <w:ind w:left="939" w:hanging="939"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时间</w:t>
            </w:r>
          </w:p>
        </w:tc>
        <w:tc>
          <w:tcPr>
            <w:tcW w:w="1875" w:type="dxa"/>
            <w:tcBorders>
              <w:top w:val="single" w:color="auto" w:sz="4" w:space="0"/>
              <w:left w:val="single" w:color="auto" w:sz="6" w:space="0"/>
              <w:bottom w:val="single" w:color="auto" w:sz="6" w:space="0"/>
              <w:right w:val="single" w:color="auto" w:sz="6" w:space="0"/>
            </w:tcBorders>
            <w:noWrap w:val="0"/>
            <w:vAlign w:val="center"/>
          </w:tcPr>
          <w:p w14:paraId="7DA923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参加人员</w:t>
            </w:r>
          </w:p>
        </w:tc>
        <w:tc>
          <w:tcPr>
            <w:tcW w:w="3630" w:type="dxa"/>
            <w:tcBorders>
              <w:top w:val="single" w:color="auto" w:sz="4" w:space="0"/>
              <w:left w:val="single" w:color="auto" w:sz="6" w:space="0"/>
              <w:bottom w:val="single" w:color="auto" w:sz="6" w:space="0"/>
              <w:right w:val="single" w:color="auto" w:sz="4" w:space="0"/>
            </w:tcBorders>
            <w:noWrap w:val="0"/>
            <w:vAlign w:val="center"/>
          </w:tcPr>
          <w:p w14:paraId="76CB97B3">
            <w:pPr>
              <w:keepNext w:val="0"/>
              <w:keepLines w:val="0"/>
              <w:pageBreakBefore w:val="0"/>
              <w:widowControl w:val="0"/>
              <w:kinsoku/>
              <w:wordWrap/>
              <w:overflowPunct/>
              <w:topLinePunct w:val="0"/>
              <w:autoSpaceDE/>
              <w:autoSpaceDN/>
              <w:bidi w:val="0"/>
              <w:adjustRightInd w:val="0"/>
              <w:snapToGrid w:val="0"/>
              <w:spacing w:line="360" w:lineRule="auto"/>
              <w:ind w:left="939" w:hanging="843" w:hangingChars="35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培训内容</w:t>
            </w:r>
          </w:p>
        </w:tc>
        <w:tc>
          <w:tcPr>
            <w:tcW w:w="1176" w:type="dxa"/>
            <w:tcBorders>
              <w:top w:val="single" w:color="auto" w:sz="4" w:space="0"/>
              <w:left w:val="single" w:color="auto" w:sz="6" w:space="0"/>
              <w:bottom w:val="single" w:color="auto" w:sz="6" w:space="0"/>
              <w:right w:val="single" w:color="auto" w:sz="4" w:space="0"/>
            </w:tcBorders>
            <w:noWrap w:val="0"/>
            <w:vAlign w:val="center"/>
          </w:tcPr>
          <w:p w14:paraId="7E08B623">
            <w:pPr>
              <w:keepNext w:val="0"/>
              <w:keepLines w:val="0"/>
              <w:pageBreakBefore w:val="0"/>
              <w:widowControl w:val="0"/>
              <w:kinsoku/>
              <w:wordWrap/>
              <w:overflowPunct/>
              <w:topLinePunct w:val="0"/>
              <w:autoSpaceDE/>
              <w:autoSpaceDN/>
              <w:bidi w:val="0"/>
              <w:adjustRightInd w:val="0"/>
              <w:snapToGrid w:val="0"/>
              <w:spacing w:line="360" w:lineRule="auto"/>
              <w:ind w:left="939" w:hanging="843" w:hangingChars="35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费用</w:t>
            </w:r>
          </w:p>
        </w:tc>
      </w:tr>
      <w:tr w14:paraId="5C81C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3" w:type="dxa"/>
            <w:tcBorders>
              <w:top w:val="single" w:color="auto" w:sz="6" w:space="0"/>
              <w:left w:val="single" w:color="auto" w:sz="4" w:space="0"/>
              <w:bottom w:val="single" w:color="auto" w:sz="6" w:space="0"/>
              <w:right w:val="single" w:color="auto" w:sz="4" w:space="0"/>
            </w:tcBorders>
            <w:noWrap w:val="0"/>
            <w:vAlign w:val="center"/>
          </w:tcPr>
          <w:p w14:paraId="733DD53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第一天</w:t>
            </w:r>
          </w:p>
        </w:tc>
        <w:tc>
          <w:tcPr>
            <w:tcW w:w="2190" w:type="dxa"/>
            <w:tcBorders>
              <w:top w:val="single" w:color="auto" w:sz="6" w:space="0"/>
              <w:left w:val="single" w:color="auto" w:sz="4" w:space="0"/>
              <w:bottom w:val="single" w:color="auto" w:sz="6" w:space="0"/>
              <w:right w:val="single" w:color="auto" w:sz="6" w:space="0"/>
            </w:tcBorders>
            <w:noWrap w:val="0"/>
            <w:vAlign w:val="center"/>
          </w:tcPr>
          <w:p w14:paraId="4BE5A5E6">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上午9：00-11：30</w:t>
            </w:r>
          </w:p>
          <w:p w14:paraId="02EA4A72">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下午2:00-4:30</w:t>
            </w:r>
          </w:p>
        </w:tc>
        <w:tc>
          <w:tcPr>
            <w:tcW w:w="1875" w:type="dxa"/>
            <w:tcBorders>
              <w:top w:val="single" w:color="auto" w:sz="6" w:space="0"/>
              <w:left w:val="single" w:color="auto" w:sz="6" w:space="0"/>
              <w:bottom w:val="single" w:color="auto" w:sz="6" w:space="0"/>
              <w:right w:val="single" w:color="auto" w:sz="6" w:space="0"/>
            </w:tcBorders>
            <w:noWrap w:val="0"/>
            <w:vAlign w:val="center"/>
          </w:tcPr>
          <w:p w14:paraId="1B94ECB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买方指定受训人员</w:t>
            </w:r>
          </w:p>
        </w:tc>
        <w:tc>
          <w:tcPr>
            <w:tcW w:w="3630" w:type="dxa"/>
            <w:tcBorders>
              <w:top w:val="single" w:color="auto" w:sz="6" w:space="0"/>
              <w:left w:val="single" w:color="auto" w:sz="6" w:space="0"/>
              <w:bottom w:val="single" w:color="auto" w:sz="6" w:space="0"/>
              <w:right w:val="single" w:color="auto" w:sz="4" w:space="0"/>
            </w:tcBorders>
            <w:noWrap w:val="0"/>
            <w:vAlign w:val="center"/>
          </w:tcPr>
          <w:p w14:paraId="4170E10F">
            <w:pPr>
              <w:keepNext w:val="0"/>
              <w:keepLines w:val="0"/>
              <w:pageBreakBefore w:val="0"/>
              <w:widowControl w:val="0"/>
              <w:kinsoku/>
              <w:wordWrap/>
              <w:overflowPunct/>
              <w:topLinePunct w:val="0"/>
              <w:autoSpaceDE/>
              <w:autoSpaceDN/>
              <w:bidi w:val="0"/>
              <w:adjustRightInd w:val="0"/>
              <w:snapToGrid w:val="0"/>
              <w:spacing w:line="360" w:lineRule="auto"/>
              <w:ind w:left="0" w:hanging="1"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1、产品的用途及性能；</w:t>
            </w:r>
          </w:p>
          <w:p w14:paraId="7DC5582B">
            <w:pPr>
              <w:keepNext w:val="0"/>
              <w:keepLines w:val="0"/>
              <w:pageBreakBefore w:val="0"/>
              <w:widowControl w:val="0"/>
              <w:kinsoku/>
              <w:wordWrap/>
              <w:overflowPunct/>
              <w:topLinePunct w:val="0"/>
              <w:autoSpaceDE/>
              <w:autoSpaceDN/>
              <w:bidi w:val="0"/>
              <w:adjustRightInd w:val="0"/>
              <w:snapToGrid w:val="0"/>
              <w:spacing w:line="360" w:lineRule="auto"/>
              <w:ind w:left="0" w:hanging="1"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2、产品的结构组成及方式；</w:t>
            </w:r>
          </w:p>
        </w:tc>
        <w:tc>
          <w:tcPr>
            <w:tcW w:w="1176" w:type="dxa"/>
            <w:tcBorders>
              <w:top w:val="single" w:color="auto" w:sz="6" w:space="0"/>
              <w:left w:val="single" w:color="auto" w:sz="6" w:space="0"/>
              <w:bottom w:val="single" w:color="auto" w:sz="6" w:space="0"/>
              <w:right w:val="single" w:color="auto" w:sz="4" w:space="0"/>
            </w:tcBorders>
            <w:noWrap w:val="0"/>
            <w:vAlign w:val="center"/>
          </w:tcPr>
          <w:p w14:paraId="6C588DBF">
            <w:pPr>
              <w:keepNext w:val="0"/>
              <w:keepLines w:val="0"/>
              <w:pageBreakBefore w:val="0"/>
              <w:widowControl w:val="0"/>
              <w:kinsoku/>
              <w:wordWrap/>
              <w:overflowPunct/>
              <w:topLinePunct w:val="0"/>
              <w:autoSpaceDE/>
              <w:autoSpaceDN/>
              <w:bidi w:val="0"/>
              <w:adjustRightInd w:val="0"/>
              <w:snapToGrid w:val="0"/>
              <w:spacing w:line="360" w:lineRule="auto"/>
              <w:ind w:left="0" w:hanging="1"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免费提供</w:t>
            </w:r>
          </w:p>
        </w:tc>
      </w:tr>
      <w:tr w14:paraId="75AEF9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3" w:type="dxa"/>
            <w:tcBorders>
              <w:top w:val="single" w:color="auto" w:sz="6" w:space="0"/>
              <w:left w:val="single" w:color="auto" w:sz="4" w:space="0"/>
              <w:bottom w:val="single" w:color="auto" w:sz="6" w:space="0"/>
              <w:right w:val="single" w:color="auto" w:sz="4" w:space="0"/>
            </w:tcBorders>
            <w:noWrap w:val="0"/>
            <w:vAlign w:val="center"/>
          </w:tcPr>
          <w:p w14:paraId="08E3888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第二天</w:t>
            </w:r>
          </w:p>
        </w:tc>
        <w:tc>
          <w:tcPr>
            <w:tcW w:w="2190" w:type="dxa"/>
            <w:tcBorders>
              <w:top w:val="single" w:color="auto" w:sz="6" w:space="0"/>
              <w:left w:val="single" w:color="auto" w:sz="4" w:space="0"/>
              <w:bottom w:val="single" w:color="auto" w:sz="6" w:space="0"/>
              <w:right w:val="single" w:color="auto" w:sz="6" w:space="0"/>
            </w:tcBorders>
            <w:noWrap w:val="0"/>
            <w:vAlign w:val="center"/>
          </w:tcPr>
          <w:p w14:paraId="6FE2558B">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上午9：00-11：30</w:t>
            </w:r>
          </w:p>
          <w:p w14:paraId="4ED6777C">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下午2:00-4:30</w:t>
            </w:r>
          </w:p>
        </w:tc>
        <w:tc>
          <w:tcPr>
            <w:tcW w:w="1875" w:type="dxa"/>
            <w:tcBorders>
              <w:top w:val="single" w:color="auto" w:sz="6" w:space="0"/>
              <w:left w:val="single" w:color="auto" w:sz="6" w:space="0"/>
              <w:bottom w:val="single" w:color="auto" w:sz="6" w:space="0"/>
              <w:right w:val="single" w:color="auto" w:sz="6" w:space="0"/>
            </w:tcBorders>
            <w:noWrap w:val="0"/>
            <w:vAlign w:val="center"/>
          </w:tcPr>
          <w:p w14:paraId="63F407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买方指定受训人员</w:t>
            </w:r>
          </w:p>
        </w:tc>
        <w:tc>
          <w:tcPr>
            <w:tcW w:w="3630" w:type="dxa"/>
            <w:tcBorders>
              <w:top w:val="single" w:color="auto" w:sz="6" w:space="0"/>
              <w:left w:val="single" w:color="auto" w:sz="6" w:space="0"/>
              <w:bottom w:val="single" w:color="auto" w:sz="6" w:space="0"/>
              <w:right w:val="single" w:color="auto" w:sz="4" w:space="0"/>
            </w:tcBorders>
            <w:noWrap w:val="0"/>
            <w:vAlign w:val="center"/>
          </w:tcPr>
          <w:p w14:paraId="466FD83B">
            <w:pPr>
              <w:keepNext w:val="0"/>
              <w:keepLines w:val="0"/>
              <w:pageBreakBefore w:val="0"/>
              <w:widowControl w:val="0"/>
              <w:kinsoku/>
              <w:wordWrap/>
              <w:overflowPunct/>
              <w:topLinePunct w:val="0"/>
              <w:autoSpaceDE/>
              <w:autoSpaceDN/>
              <w:bidi w:val="0"/>
              <w:adjustRightInd w:val="0"/>
              <w:snapToGrid w:val="0"/>
              <w:spacing w:line="360" w:lineRule="auto"/>
              <w:ind w:left="0" w:hanging="1"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3、产品的操作使用方法及注意事项；</w:t>
            </w:r>
          </w:p>
        </w:tc>
        <w:tc>
          <w:tcPr>
            <w:tcW w:w="1176" w:type="dxa"/>
            <w:tcBorders>
              <w:top w:val="single" w:color="auto" w:sz="6" w:space="0"/>
              <w:left w:val="single" w:color="auto" w:sz="6" w:space="0"/>
              <w:bottom w:val="single" w:color="auto" w:sz="6" w:space="0"/>
              <w:right w:val="single" w:color="auto" w:sz="4" w:space="0"/>
            </w:tcBorders>
            <w:noWrap w:val="0"/>
            <w:vAlign w:val="center"/>
          </w:tcPr>
          <w:p w14:paraId="2ED227FD">
            <w:pPr>
              <w:keepNext w:val="0"/>
              <w:keepLines w:val="0"/>
              <w:pageBreakBefore w:val="0"/>
              <w:widowControl w:val="0"/>
              <w:kinsoku/>
              <w:wordWrap/>
              <w:overflowPunct/>
              <w:topLinePunct w:val="0"/>
              <w:autoSpaceDE/>
              <w:autoSpaceDN/>
              <w:bidi w:val="0"/>
              <w:adjustRightInd w:val="0"/>
              <w:snapToGrid w:val="0"/>
              <w:spacing w:line="360" w:lineRule="auto"/>
              <w:ind w:left="0" w:hanging="1"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免费提供</w:t>
            </w:r>
          </w:p>
        </w:tc>
      </w:tr>
      <w:tr w14:paraId="167311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3" w:type="dxa"/>
            <w:tcBorders>
              <w:top w:val="single" w:color="auto" w:sz="6" w:space="0"/>
              <w:left w:val="single" w:color="auto" w:sz="4" w:space="0"/>
              <w:bottom w:val="single" w:color="auto" w:sz="6" w:space="0"/>
              <w:right w:val="single" w:color="auto" w:sz="4" w:space="0"/>
            </w:tcBorders>
            <w:noWrap w:val="0"/>
            <w:vAlign w:val="center"/>
          </w:tcPr>
          <w:p w14:paraId="2FCC8B6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第三天</w:t>
            </w:r>
          </w:p>
        </w:tc>
        <w:tc>
          <w:tcPr>
            <w:tcW w:w="2190" w:type="dxa"/>
            <w:tcBorders>
              <w:top w:val="single" w:color="auto" w:sz="6" w:space="0"/>
              <w:left w:val="single" w:color="auto" w:sz="4" w:space="0"/>
              <w:bottom w:val="single" w:color="auto" w:sz="6" w:space="0"/>
              <w:right w:val="single" w:color="auto" w:sz="6" w:space="0"/>
            </w:tcBorders>
            <w:noWrap w:val="0"/>
            <w:vAlign w:val="center"/>
          </w:tcPr>
          <w:p w14:paraId="222019EB">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上午9：00-11：30</w:t>
            </w:r>
          </w:p>
          <w:p w14:paraId="5C536CFE">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下午2:00-4:30</w:t>
            </w:r>
          </w:p>
        </w:tc>
        <w:tc>
          <w:tcPr>
            <w:tcW w:w="1875" w:type="dxa"/>
            <w:tcBorders>
              <w:top w:val="single" w:color="auto" w:sz="6" w:space="0"/>
              <w:left w:val="single" w:color="auto" w:sz="6" w:space="0"/>
              <w:bottom w:val="single" w:color="auto" w:sz="6" w:space="0"/>
              <w:right w:val="single" w:color="auto" w:sz="6" w:space="0"/>
            </w:tcBorders>
            <w:noWrap w:val="0"/>
            <w:vAlign w:val="center"/>
          </w:tcPr>
          <w:p w14:paraId="60C0BA3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买方指定受训人员</w:t>
            </w:r>
          </w:p>
        </w:tc>
        <w:tc>
          <w:tcPr>
            <w:tcW w:w="3630" w:type="dxa"/>
            <w:tcBorders>
              <w:top w:val="single" w:color="auto" w:sz="6" w:space="0"/>
              <w:left w:val="single" w:color="auto" w:sz="6" w:space="0"/>
              <w:bottom w:val="single" w:color="auto" w:sz="6" w:space="0"/>
              <w:right w:val="single" w:color="auto" w:sz="4" w:space="0"/>
            </w:tcBorders>
            <w:noWrap w:val="0"/>
            <w:vAlign w:val="center"/>
          </w:tcPr>
          <w:p w14:paraId="6BAACC7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val="en-US" w:eastAsia="zh-CN"/>
              </w:rPr>
              <w:t>4、产品的日常维护保养及维修方法。</w:t>
            </w:r>
          </w:p>
        </w:tc>
        <w:tc>
          <w:tcPr>
            <w:tcW w:w="1176" w:type="dxa"/>
            <w:tcBorders>
              <w:top w:val="single" w:color="auto" w:sz="6" w:space="0"/>
              <w:left w:val="single" w:color="auto" w:sz="6" w:space="0"/>
              <w:bottom w:val="single" w:color="auto" w:sz="6" w:space="0"/>
              <w:right w:val="single" w:color="auto" w:sz="4" w:space="0"/>
            </w:tcBorders>
            <w:noWrap w:val="0"/>
            <w:vAlign w:val="center"/>
          </w:tcPr>
          <w:p w14:paraId="6C4D1C16">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免费提供</w:t>
            </w:r>
          </w:p>
        </w:tc>
      </w:tr>
      <w:tr w14:paraId="27E329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3" w:type="dxa"/>
            <w:tcBorders>
              <w:top w:val="single" w:color="auto" w:sz="6" w:space="0"/>
              <w:left w:val="single" w:color="auto" w:sz="4" w:space="0"/>
              <w:bottom w:val="single" w:color="auto" w:sz="6" w:space="0"/>
              <w:right w:val="single" w:color="auto" w:sz="4" w:space="0"/>
            </w:tcBorders>
            <w:noWrap w:val="0"/>
            <w:vAlign w:val="center"/>
          </w:tcPr>
          <w:p w14:paraId="20C849A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p>
        </w:tc>
        <w:tc>
          <w:tcPr>
            <w:tcW w:w="2190" w:type="dxa"/>
            <w:tcBorders>
              <w:top w:val="single" w:color="auto" w:sz="6" w:space="0"/>
              <w:left w:val="single" w:color="auto" w:sz="4" w:space="0"/>
              <w:bottom w:val="single" w:color="auto" w:sz="6" w:space="0"/>
              <w:right w:val="single" w:color="auto" w:sz="6" w:space="0"/>
            </w:tcBorders>
            <w:noWrap w:val="0"/>
            <w:vAlign w:val="center"/>
          </w:tcPr>
          <w:p w14:paraId="3AEAD506">
            <w:pPr>
              <w:keepNext w:val="0"/>
              <w:keepLines w:val="0"/>
              <w:pageBreakBefore w:val="0"/>
              <w:widowControl w:val="0"/>
              <w:kinsoku/>
              <w:wordWrap/>
              <w:overflowPunct/>
              <w:topLinePunct w:val="0"/>
              <w:autoSpaceDE/>
              <w:autoSpaceDN/>
              <w:bidi w:val="0"/>
              <w:adjustRightInd w:val="0"/>
              <w:snapToGrid w:val="0"/>
              <w:spacing w:line="360" w:lineRule="auto"/>
              <w:ind w:left="-63" w:leftChars="-3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p>
        </w:tc>
        <w:tc>
          <w:tcPr>
            <w:tcW w:w="1875" w:type="dxa"/>
            <w:tcBorders>
              <w:top w:val="single" w:color="auto" w:sz="6" w:space="0"/>
              <w:left w:val="single" w:color="auto" w:sz="6" w:space="0"/>
              <w:bottom w:val="single" w:color="auto" w:sz="6" w:space="0"/>
              <w:right w:val="single" w:color="auto" w:sz="6" w:space="0"/>
            </w:tcBorders>
            <w:noWrap w:val="0"/>
            <w:vAlign w:val="center"/>
          </w:tcPr>
          <w:p w14:paraId="3043F3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p>
        </w:tc>
        <w:tc>
          <w:tcPr>
            <w:tcW w:w="3630" w:type="dxa"/>
            <w:tcBorders>
              <w:top w:val="single" w:color="auto" w:sz="6" w:space="0"/>
              <w:left w:val="single" w:color="auto" w:sz="6" w:space="0"/>
              <w:bottom w:val="single" w:color="auto" w:sz="6" w:space="0"/>
              <w:right w:val="single" w:color="auto" w:sz="4" w:space="0"/>
            </w:tcBorders>
            <w:noWrap w:val="0"/>
            <w:vAlign w:val="center"/>
          </w:tcPr>
          <w:p w14:paraId="39B3E893">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w:t>
            </w:r>
          </w:p>
        </w:tc>
        <w:tc>
          <w:tcPr>
            <w:tcW w:w="1176" w:type="dxa"/>
            <w:tcBorders>
              <w:top w:val="single" w:color="auto" w:sz="6" w:space="0"/>
              <w:left w:val="single" w:color="auto" w:sz="6" w:space="0"/>
              <w:bottom w:val="single" w:color="auto" w:sz="6" w:space="0"/>
              <w:right w:val="single" w:color="auto" w:sz="4" w:space="0"/>
            </w:tcBorders>
            <w:noWrap w:val="0"/>
            <w:vAlign w:val="center"/>
          </w:tcPr>
          <w:p w14:paraId="2EA6176C">
            <w:pPr>
              <w:keepNext w:val="0"/>
              <w:keepLines w:val="0"/>
              <w:pageBreakBefore w:val="0"/>
              <w:widowControl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w:t>
            </w:r>
          </w:p>
        </w:tc>
      </w:tr>
    </w:tbl>
    <w:p w14:paraId="7E3FC5DE">
      <w:pPr>
        <w:widowControl w:val="0"/>
        <w:numPr>
          <w:ilvl w:val="0"/>
          <w:numId w:val="0"/>
        </w:numPr>
        <w:kinsoku w:val="0"/>
        <w:autoSpaceDE w:val="0"/>
        <w:autoSpaceDN w:val="0"/>
        <w:adjustRightInd w:val="0"/>
        <w:snapToGrid w:val="0"/>
        <w:jc w:val="both"/>
        <w:textAlignment w:val="baseline"/>
        <w:outlineLvl w:val="9"/>
        <w:rPr>
          <w:rFonts w:hint="eastAsia" w:ascii="宋体" w:hAnsi="宋体" w:eastAsia="宋体" w:cs="宋体"/>
          <w:b w:val="0"/>
          <w:bCs/>
          <w:snapToGrid w:val="0"/>
          <w:color w:val="auto"/>
          <w:kern w:val="2"/>
          <w:sz w:val="24"/>
          <w:szCs w:val="24"/>
          <w:highlight w:val="none"/>
          <w:lang w:val="en-US" w:eastAsia="zh-CN" w:bidi="ar-SA"/>
        </w:rPr>
      </w:pPr>
    </w:p>
    <w:p w14:paraId="562387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11.2 培训方式</w:t>
      </w:r>
    </w:p>
    <w:p w14:paraId="666833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11.2.1 现场培训：产品经需方验收合格后，卖方的专业技术人员即对产品操作使用人员进行产品结构、性能、工作原理；操作使用方法；产品日常维护保养方法；常见故障原因分析及故障排除指导培训。</w:t>
      </w:r>
    </w:p>
    <w:p w14:paraId="09F5088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11.2.2 公司培训：需方如针对产品派专人来卖方进行系统的技术培训，卖方将积极安排，为学员提供学习方便，并且不向需方收取任何培训费用。</w:t>
      </w:r>
    </w:p>
    <w:p w14:paraId="329E7D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11.2.3 内部培训：卖方免费提供相关产品的使用手册。</w:t>
      </w:r>
    </w:p>
    <w:p w14:paraId="2ABBAB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11.2.4 技术培训：中标后卖方负责安排具备相应职称（或不低于5年培训经验）的讲师到买方所在地对买方安排的人员进行免费现场培训，以满足买方在日常管理、使用和维护方面的需求；进行免费培训所涉及的一切费用均由卖方承担（包含：培训教材费、交通费用、食宿费用、场地费用及实际发生各项费用等）。</w:t>
      </w:r>
    </w:p>
    <w:p w14:paraId="6A0F4C2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11.3 培训计划</w:t>
      </w:r>
    </w:p>
    <w:p w14:paraId="084FC8D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卖方应在本合同签订时向买方提供培训方案，通过买方审核后作为合同附件，卖方未按培训方案进行培训的，买方有权拒绝支付剩余费用，且不承担任何责任，超过10日未正确提供培训服务的，</w:t>
      </w:r>
      <w:r>
        <w:rPr>
          <w:rFonts w:hint="eastAsia" w:ascii="宋体" w:hAnsi="宋体" w:eastAsia="宋体" w:cs="宋体"/>
          <w:snapToGrid w:val="0"/>
          <w:color w:val="auto"/>
          <w:kern w:val="0"/>
          <w:sz w:val="24"/>
          <w:szCs w:val="24"/>
          <w:highlight w:val="none"/>
          <w:lang w:eastAsia="en-US"/>
        </w:rPr>
        <w:t>买方有权单方解除合同，由卖方承担合同总金额30%的违约金，由此所发生的一切费用、损失（包括给双方造成的经济损失），均由卖方负责</w:t>
      </w:r>
      <w:r>
        <w:rPr>
          <w:rFonts w:hint="eastAsia" w:ascii="宋体" w:hAnsi="宋体" w:eastAsia="宋体" w:cs="宋体"/>
          <w:snapToGrid w:val="0"/>
          <w:color w:val="auto"/>
          <w:kern w:val="0"/>
          <w:sz w:val="24"/>
          <w:szCs w:val="24"/>
          <w:highlight w:val="none"/>
          <w:lang w:val="en-US" w:eastAsia="zh-CN"/>
        </w:rPr>
        <w:t>。免费培训的具体时间为：合同签订后货物经买方验收合格后一个星期内；培训地点为：买方指定地点；培训对象为：买方指定的对象。培训负责人： ，联系电话： 。</w:t>
      </w:r>
    </w:p>
    <w:p w14:paraId="1F24FB5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en-US"/>
        </w:rPr>
        <w:t>12.  售后服务</w:t>
      </w:r>
      <w:r>
        <w:rPr>
          <w:rFonts w:hint="eastAsia" w:ascii="宋体" w:hAnsi="宋体" w:eastAsia="宋体" w:cs="宋体"/>
          <w:snapToGrid w:val="0"/>
          <w:color w:val="auto"/>
          <w:kern w:val="0"/>
          <w:sz w:val="24"/>
          <w:szCs w:val="24"/>
          <w:highlight w:val="none"/>
          <w:lang w:val="en-US" w:eastAsia="zh-CN"/>
        </w:rPr>
        <w:t>与质保</w:t>
      </w:r>
    </w:p>
    <w:p w14:paraId="258B8A60">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12.1 整车质保期5年，水罐质保10年以上，自验收合格之日起算，质保期内免费维修更换相关配件。卖方应向买方提供生产商原厂售后服务或生产商官方认可的售后服务，否则视为质保违约，导致货物失去官方质保及给买方造成的全部损失及修复费用均由卖方承担，损失及修复费用难以计算的，卖方还应单独向买方支付不低于失去官方质保的设备购买金额30%的赔偿，并于收到买方索赔后3日内支付。</w:t>
      </w:r>
    </w:p>
    <w:p w14:paraId="32C63E65">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12.2 质保期内如买方提出售后需求的，卖方应在收到通知后24小时内至现场处理，在2日内完成维修及更换工作并经买方书面确认，特殊情况需要延长维修时间的，经买方同意后可适当延长。未在前述期限内提供售后服务或不响应买方售后服务需求的，视为卖方售后违约，买方有权指定其他第三方进行维修，产生的费用和给买方造成的损失全部由卖方承担。</w:t>
      </w:r>
    </w:p>
    <w:p w14:paraId="5F9C2DA5">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12.3 卖方应在签约后30日内</w:t>
      </w:r>
      <w:r>
        <w:rPr>
          <w:rFonts w:hint="eastAsia" w:ascii="宋体" w:hAnsi="宋体" w:eastAsia="宋体" w:cs="宋体"/>
          <w:snapToGrid w:val="0"/>
          <w:color w:val="auto"/>
          <w:kern w:val="2"/>
          <w:sz w:val="24"/>
          <w:szCs w:val="24"/>
          <w:highlight w:val="none"/>
          <w:lang w:val="en-US" w:eastAsia="en-US" w:bidi="ar-SA"/>
        </w:rPr>
        <w:t>提供合同金额</w:t>
      </w:r>
      <w:r>
        <w:rPr>
          <w:rFonts w:hint="eastAsia" w:ascii="宋体" w:hAnsi="宋体" w:eastAsia="宋体" w:cs="宋体"/>
          <w:snapToGrid w:val="0"/>
          <w:color w:val="auto"/>
          <w:kern w:val="2"/>
          <w:sz w:val="24"/>
          <w:szCs w:val="24"/>
          <w:highlight w:val="none"/>
          <w:lang w:val="en-US" w:eastAsia="zh-CN" w:bidi="ar-SA"/>
        </w:rPr>
        <w:t>8</w:t>
      </w:r>
      <w:r>
        <w:rPr>
          <w:rFonts w:hint="eastAsia" w:ascii="宋体" w:hAnsi="宋体" w:eastAsia="宋体" w:cs="宋体"/>
          <w:snapToGrid w:val="0"/>
          <w:color w:val="auto"/>
          <w:kern w:val="2"/>
          <w:sz w:val="24"/>
          <w:szCs w:val="24"/>
          <w:highlight w:val="none"/>
          <w:lang w:val="en-US" w:eastAsia="en-US" w:bidi="ar-SA"/>
        </w:rPr>
        <w:t>%的</w:t>
      </w:r>
      <w:r>
        <w:rPr>
          <w:rFonts w:hint="eastAsia" w:ascii="宋体" w:hAnsi="宋体" w:eastAsia="宋体" w:cs="宋体"/>
          <w:snapToGrid w:val="0"/>
          <w:color w:val="auto"/>
          <w:kern w:val="2"/>
          <w:sz w:val="24"/>
          <w:szCs w:val="24"/>
          <w:highlight w:val="none"/>
          <w:lang w:val="en-US" w:eastAsia="zh-CN" w:bidi="ar-SA"/>
        </w:rPr>
        <w:t>无条件、不可撤销</w:t>
      </w:r>
      <w:r>
        <w:rPr>
          <w:rFonts w:hint="eastAsia" w:ascii="宋体" w:hAnsi="宋体" w:eastAsia="宋体" w:cs="宋体"/>
          <w:snapToGrid w:val="0"/>
          <w:color w:val="auto"/>
          <w:kern w:val="2"/>
          <w:sz w:val="24"/>
          <w:szCs w:val="24"/>
          <w:highlight w:val="none"/>
          <w:lang w:val="en-US" w:eastAsia="en-US" w:bidi="ar-SA"/>
        </w:rPr>
        <w:t>银行保函</w:t>
      </w:r>
      <w:r>
        <w:rPr>
          <w:rFonts w:hint="eastAsia" w:ascii="宋体" w:hAnsi="宋体" w:eastAsia="宋体" w:cs="宋体"/>
          <w:snapToGrid w:val="0"/>
          <w:color w:val="auto"/>
          <w:kern w:val="2"/>
          <w:sz w:val="24"/>
          <w:szCs w:val="24"/>
          <w:highlight w:val="none"/>
          <w:lang w:val="en-US" w:eastAsia="zh-CN" w:bidi="ar-SA"/>
        </w:rPr>
        <w:t>作为质量保证</w:t>
      </w:r>
      <w:r>
        <w:rPr>
          <w:rFonts w:hint="eastAsia" w:ascii="宋体" w:hAnsi="宋体" w:eastAsia="宋体" w:cs="宋体"/>
          <w:snapToGrid w:val="0"/>
          <w:color w:val="auto"/>
          <w:kern w:val="2"/>
          <w:sz w:val="24"/>
          <w:szCs w:val="24"/>
          <w:highlight w:val="none"/>
          <w:lang w:val="en-US" w:eastAsia="en-US" w:bidi="ar-SA"/>
        </w:rPr>
        <w:t>，</w:t>
      </w:r>
      <w:r>
        <w:rPr>
          <w:rFonts w:hint="eastAsia" w:ascii="宋体" w:hAnsi="宋体" w:eastAsia="宋体" w:cs="宋体"/>
          <w:snapToGrid w:val="0"/>
          <w:color w:val="auto"/>
          <w:kern w:val="2"/>
          <w:sz w:val="24"/>
          <w:szCs w:val="24"/>
          <w:highlight w:val="none"/>
          <w:lang w:val="en-US" w:eastAsia="zh-CN" w:bidi="ar-SA"/>
        </w:rPr>
        <w:t>卖方按合同约定交付全部产品，安装调试完毕，书面验收合格后，采购单位无息退还全部履约保证金。否则买方有权拒付合同款项且不承担任何违约责任</w:t>
      </w:r>
      <w:r>
        <w:rPr>
          <w:rFonts w:hint="eastAsia" w:ascii="宋体" w:hAnsi="宋体" w:eastAsia="宋体" w:cs="宋体"/>
          <w:snapToGrid w:val="0"/>
          <w:color w:val="auto"/>
          <w:kern w:val="2"/>
          <w:sz w:val="24"/>
          <w:szCs w:val="24"/>
          <w:highlight w:val="none"/>
          <w:lang w:val="en-US" w:eastAsia="en-US" w:bidi="ar-SA"/>
        </w:rPr>
        <w:t>。如卖方未按合同约定的时间及服务承诺向买方提供正确的售后与质保服务，卖方可</w:t>
      </w:r>
      <w:r>
        <w:rPr>
          <w:rFonts w:hint="eastAsia" w:ascii="宋体" w:hAnsi="宋体" w:eastAsia="宋体" w:cs="宋体"/>
          <w:snapToGrid w:val="0"/>
          <w:color w:val="auto"/>
          <w:kern w:val="2"/>
          <w:sz w:val="24"/>
          <w:szCs w:val="24"/>
          <w:highlight w:val="none"/>
          <w:lang w:val="en-US" w:eastAsia="zh-CN" w:bidi="ar-SA"/>
        </w:rPr>
        <w:t>随时通过</w:t>
      </w:r>
      <w:r>
        <w:rPr>
          <w:rFonts w:hint="eastAsia" w:ascii="宋体" w:hAnsi="宋体" w:eastAsia="宋体" w:cs="宋体"/>
          <w:snapToGrid w:val="0"/>
          <w:color w:val="auto"/>
          <w:kern w:val="2"/>
          <w:sz w:val="24"/>
          <w:szCs w:val="24"/>
          <w:highlight w:val="none"/>
          <w:lang w:val="en-US" w:eastAsia="en-US" w:bidi="ar-SA"/>
        </w:rPr>
        <w:t>发送违约通知的方式行使全部金额的独立保函权利。独立保函的行使不排除卖方应当正确提供售后及质保的义务，卖方仍需承担买方指定第三方维修的费用及给买方造成的全部损失。</w:t>
      </w:r>
      <w:r>
        <w:rPr>
          <w:rFonts w:hint="eastAsia" w:ascii="宋体" w:hAnsi="宋体" w:eastAsia="宋体" w:cs="宋体"/>
          <w:snapToGrid w:val="0"/>
          <w:color w:val="auto"/>
          <w:kern w:val="2"/>
          <w:sz w:val="24"/>
          <w:szCs w:val="24"/>
          <w:highlight w:val="none"/>
          <w:lang w:val="en-US" w:eastAsia="zh-CN" w:bidi="ar-SA"/>
        </w:rPr>
        <w:t>质保期内，如独立保函已经兑现后卖方出现新的售后服务与质保违约，卖方需</w:t>
      </w:r>
      <w:r>
        <w:rPr>
          <w:rFonts w:hint="eastAsia" w:ascii="宋体" w:hAnsi="宋体" w:eastAsia="宋体" w:cs="宋体"/>
          <w:snapToGrid w:val="0"/>
          <w:color w:val="auto"/>
          <w:kern w:val="2"/>
          <w:sz w:val="24"/>
          <w:szCs w:val="24"/>
          <w:highlight w:val="none"/>
          <w:lang w:val="en-US" w:eastAsia="en-US" w:bidi="ar-SA"/>
        </w:rPr>
        <w:t>按合同总价的1 ‰</w:t>
      </w:r>
      <w:r>
        <w:rPr>
          <w:rFonts w:hint="eastAsia" w:ascii="宋体" w:hAnsi="宋体" w:eastAsia="宋体" w:cs="宋体"/>
          <w:snapToGrid w:val="0"/>
          <w:color w:val="auto"/>
          <w:kern w:val="2"/>
          <w:sz w:val="24"/>
          <w:szCs w:val="24"/>
          <w:highlight w:val="none"/>
          <w:lang w:val="en-US" w:eastAsia="zh-CN" w:bidi="ar-SA"/>
        </w:rPr>
        <w:t>/日承担</w:t>
      </w:r>
      <w:r>
        <w:rPr>
          <w:rFonts w:hint="eastAsia" w:ascii="宋体" w:hAnsi="宋体" w:eastAsia="宋体" w:cs="宋体"/>
          <w:snapToGrid w:val="0"/>
          <w:color w:val="auto"/>
          <w:kern w:val="2"/>
          <w:sz w:val="24"/>
          <w:szCs w:val="24"/>
          <w:highlight w:val="none"/>
          <w:lang w:val="en-US" w:eastAsia="en-US" w:bidi="ar-SA"/>
        </w:rPr>
        <w:t>违约金</w:t>
      </w:r>
      <w:r>
        <w:rPr>
          <w:rFonts w:hint="eastAsia" w:ascii="宋体" w:hAnsi="宋体" w:eastAsia="宋体" w:cs="宋体"/>
          <w:snapToGrid w:val="0"/>
          <w:color w:val="auto"/>
          <w:kern w:val="2"/>
          <w:sz w:val="24"/>
          <w:szCs w:val="24"/>
          <w:highlight w:val="none"/>
          <w:lang w:val="en-US" w:eastAsia="zh-CN" w:bidi="ar-SA"/>
        </w:rPr>
        <w:t>，直至卖方正确履行售后服务与质保义务。</w:t>
      </w:r>
    </w:p>
    <w:p w14:paraId="3785A372">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snapToGrid w:val="0"/>
          <w:color w:val="auto"/>
          <w:kern w:val="2"/>
          <w:sz w:val="24"/>
          <w:szCs w:val="24"/>
          <w:highlight w:val="none"/>
          <w:lang w:val="en-US" w:eastAsia="en-US" w:bidi="ar-SA"/>
        </w:rPr>
      </w:pPr>
      <w:r>
        <w:rPr>
          <w:rFonts w:hint="eastAsia" w:ascii="宋体" w:hAnsi="宋体" w:eastAsia="宋体" w:cs="宋体"/>
          <w:snapToGrid w:val="0"/>
          <w:color w:val="auto"/>
          <w:kern w:val="2"/>
          <w:sz w:val="24"/>
          <w:szCs w:val="24"/>
          <w:highlight w:val="none"/>
          <w:lang w:val="en-US" w:eastAsia="en-US" w:bidi="ar-SA"/>
        </w:rPr>
        <w:t>13.  双方责任</w:t>
      </w:r>
    </w:p>
    <w:p w14:paraId="5C29E800">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宋体" w:hAnsi="宋体" w:eastAsia="宋体" w:cs="宋体"/>
          <w:snapToGrid w:val="0"/>
          <w:color w:val="auto"/>
          <w:kern w:val="2"/>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13.1  买方责任</w:t>
      </w:r>
    </w:p>
    <w:p w14:paraId="0747426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13.1.1  按合同规定向卖方支付货款。</w:t>
      </w:r>
    </w:p>
    <w:p w14:paraId="4113C56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13.1.2  组织对货物的验收。</w:t>
      </w:r>
    </w:p>
    <w:p w14:paraId="20127B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13.2  卖方责任</w:t>
      </w:r>
    </w:p>
    <w:p w14:paraId="6F29EF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13.2.1  按合同要求提供货物和服务。</w:t>
      </w:r>
    </w:p>
    <w:p w14:paraId="7FB97E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13.2.2  对所提供的货物和服务质量问题无条件负责处理。</w:t>
      </w:r>
    </w:p>
    <w:p w14:paraId="4D355E3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13.2.3卖方对本合同签订及履行过程中获知的买方信息负有保密义务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保密期限为永久，除非买方主动披露</w:t>
      </w:r>
      <w:r>
        <w:rPr>
          <w:rFonts w:hint="eastAsia" w:ascii="宋体" w:hAnsi="宋体" w:eastAsia="宋体" w:cs="宋体"/>
          <w:snapToGrid w:val="0"/>
          <w:color w:val="auto"/>
          <w:kern w:val="0"/>
          <w:sz w:val="24"/>
          <w:szCs w:val="24"/>
          <w:highlight w:val="none"/>
          <w:lang w:eastAsia="en-US"/>
        </w:rPr>
        <w:t>。</w:t>
      </w:r>
    </w:p>
    <w:p w14:paraId="044F35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  违约责任</w:t>
      </w:r>
    </w:p>
    <w:p w14:paraId="764C4D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14.1  交货违约</w:t>
      </w:r>
    </w:p>
    <w:p w14:paraId="1688B24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14.1.1  卖方违反本合同约定，延迟交货未取得买方书面同意的，每延迟一天按合同总价的1 ‰</w:t>
      </w:r>
      <w:r>
        <w:rPr>
          <w:rFonts w:hint="eastAsia" w:ascii="宋体" w:hAnsi="宋体" w:eastAsia="宋体" w:cs="宋体"/>
          <w:snapToGrid w:val="0"/>
          <w:color w:val="auto"/>
          <w:kern w:val="0"/>
          <w:sz w:val="24"/>
          <w:szCs w:val="24"/>
          <w:highlight w:val="none"/>
          <w:lang w:eastAsia="zh-CN"/>
        </w:rPr>
        <w:t>支付违约金</w:t>
      </w:r>
      <w:r>
        <w:rPr>
          <w:rFonts w:hint="eastAsia" w:ascii="宋体" w:hAnsi="宋体" w:eastAsia="宋体" w:cs="宋体"/>
          <w:snapToGrid w:val="0"/>
          <w:color w:val="auto"/>
          <w:kern w:val="0"/>
          <w:sz w:val="24"/>
          <w:szCs w:val="24"/>
          <w:highlight w:val="none"/>
          <w:lang w:eastAsia="en-US"/>
        </w:rPr>
        <w:t>；延迟超过15日，买方有权单方解除合同，</w:t>
      </w:r>
      <w:r>
        <w:rPr>
          <w:rFonts w:hint="eastAsia" w:ascii="宋体" w:hAnsi="宋体" w:eastAsia="宋体" w:cs="宋体"/>
          <w:snapToGrid w:val="0"/>
          <w:color w:val="auto"/>
          <w:kern w:val="0"/>
          <w:sz w:val="24"/>
          <w:szCs w:val="24"/>
          <w:highlight w:val="none"/>
          <w:lang w:eastAsia="zh-CN"/>
        </w:rPr>
        <w:t>由</w:t>
      </w:r>
      <w:r>
        <w:rPr>
          <w:rFonts w:hint="eastAsia" w:ascii="宋体" w:hAnsi="宋体" w:eastAsia="宋体" w:cs="宋体"/>
          <w:snapToGrid w:val="0"/>
          <w:color w:val="auto"/>
          <w:kern w:val="0"/>
          <w:sz w:val="24"/>
          <w:szCs w:val="24"/>
          <w:highlight w:val="none"/>
          <w:lang w:val="en-US" w:eastAsia="zh-CN"/>
        </w:rPr>
        <w:t>买</w:t>
      </w:r>
      <w:r>
        <w:rPr>
          <w:rFonts w:hint="eastAsia" w:ascii="宋体" w:hAnsi="宋体" w:eastAsia="宋体" w:cs="宋体"/>
          <w:snapToGrid w:val="0"/>
          <w:color w:val="auto"/>
          <w:kern w:val="0"/>
          <w:sz w:val="24"/>
          <w:szCs w:val="24"/>
          <w:highlight w:val="none"/>
          <w:lang w:eastAsia="zh-CN"/>
        </w:rPr>
        <w:t>方向卖方支付</w:t>
      </w:r>
      <w:r>
        <w:rPr>
          <w:rFonts w:hint="eastAsia" w:ascii="宋体" w:hAnsi="宋体" w:eastAsia="宋体" w:cs="宋体"/>
          <w:snapToGrid w:val="0"/>
          <w:color w:val="auto"/>
          <w:kern w:val="0"/>
          <w:sz w:val="24"/>
          <w:szCs w:val="24"/>
          <w:highlight w:val="none"/>
          <w:lang w:eastAsia="en-US"/>
        </w:rPr>
        <w:t>合同总</w:t>
      </w:r>
      <w:r>
        <w:rPr>
          <w:rFonts w:hint="eastAsia" w:ascii="宋体" w:hAnsi="宋体" w:eastAsia="宋体" w:cs="宋体"/>
          <w:snapToGrid w:val="0"/>
          <w:color w:val="auto"/>
          <w:kern w:val="0"/>
          <w:sz w:val="24"/>
          <w:szCs w:val="24"/>
          <w:highlight w:val="none"/>
          <w:lang w:eastAsia="zh-CN"/>
        </w:rPr>
        <w:t>金</w:t>
      </w:r>
      <w:r>
        <w:rPr>
          <w:rFonts w:hint="eastAsia" w:ascii="宋体" w:hAnsi="宋体" w:eastAsia="宋体" w:cs="宋体"/>
          <w:snapToGrid w:val="0"/>
          <w:color w:val="auto"/>
          <w:kern w:val="0"/>
          <w:sz w:val="24"/>
          <w:szCs w:val="24"/>
          <w:highlight w:val="none"/>
          <w:lang w:eastAsia="en-US"/>
        </w:rPr>
        <w:t>额30%的违约金，造成买方损失的，卖方还应当赔偿。</w:t>
      </w:r>
    </w:p>
    <w:p w14:paraId="48BD4FB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en-US"/>
        </w:rPr>
        <w:t>14.1.2卖方所发货品规格、型号、质量等不符合合同约定的，</w:t>
      </w:r>
      <w:r>
        <w:rPr>
          <w:rFonts w:hint="eastAsia" w:ascii="宋体" w:hAnsi="宋体" w:eastAsia="宋体" w:cs="宋体"/>
          <w:snapToGrid w:val="0"/>
          <w:color w:val="auto"/>
          <w:kern w:val="0"/>
          <w:sz w:val="24"/>
          <w:szCs w:val="24"/>
          <w:highlight w:val="none"/>
          <w:lang w:val="en-US" w:eastAsia="zh-CN"/>
        </w:rPr>
        <w:t>如卖方未在合同约定期限内交付符合要求的货物，</w:t>
      </w:r>
      <w:r>
        <w:rPr>
          <w:rFonts w:hint="eastAsia" w:ascii="宋体" w:hAnsi="宋体" w:eastAsia="宋体" w:cs="宋体"/>
          <w:snapToGrid w:val="0"/>
          <w:color w:val="auto"/>
          <w:kern w:val="0"/>
          <w:sz w:val="24"/>
          <w:szCs w:val="24"/>
          <w:highlight w:val="none"/>
          <w:lang w:eastAsia="en-US"/>
        </w:rPr>
        <w:t>买方有权单方解除合同，拒绝收货和付款，由卖方承担合同总</w:t>
      </w:r>
      <w:r>
        <w:rPr>
          <w:rFonts w:hint="eastAsia" w:ascii="宋体" w:hAnsi="宋体" w:eastAsia="宋体" w:cs="宋体"/>
          <w:snapToGrid w:val="0"/>
          <w:color w:val="auto"/>
          <w:kern w:val="0"/>
          <w:sz w:val="24"/>
          <w:szCs w:val="24"/>
          <w:highlight w:val="none"/>
          <w:lang w:eastAsia="zh-CN"/>
        </w:rPr>
        <w:t>金额</w:t>
      </w:r>
      <w:r>
        <w:rPr>
          <w:rFonts w:hint="eastAsia" w:ascii="宋体" w:hAnsi="宋体" w:eastAsia="宋体" w:cs="宋体"/>
          <w:snapToGrid w:val="0"/>
          <w:color w:val="auto"/>
          <w:kern w:val="0"/>
          <w:sz w:val="24"/>
          <w:szCs w:val="24"/>
          <w:highlight w:val="none"/>
          <w:lang w:eastAsia="en-US"/>
        </w:rPr>
        <w:t>30%的违约金，由此所发生的一切费用、损失（包括给双方造成的经济损失），均由卖方负责。</w:t>
      </w:r>
    </w:p>
    <w:p w14:paraId="37319F4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en-US"/>
        </w:rPr>
        <w:t>合同生效后，卖方中途解除合同（不可抗力原因除外），应按给买方造成的损失支付赔偿金，并由卖方向买方支付合同总金额30%的违约金。</w:t>
      </w:r>
    </w:p>
    <w:p w14:paraId="371157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en-US"/>
        </w:rPr>
        <w:t>卖方违约，还应赔偿买方因此遭受的其他损失，包括为主张权益所支付的律师费、交通费、公证费、鉴定费、评估费、差旅费</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保全措施及保全担保费</w:t>
      </w:r>
      <w:r>
        <w:rPr>
          <w:rFonts w:hint="eastAsia" w:ascii="宋体" w:hAnsi="宋体" w:eastAsia="宋体" w:cs="宋体"/>
          <w:snapToGrid w:val="0"/>
          <w:color w:val="auto"/>
          <w:kern w:val="0"/>
          <w:sz w:val="24"/>
          <w:szCs w:val="24"/>
          <w:highlight w:val="none"/>
          <w:lang w:eastAsia="en-US"/>
        </w:rPr>
        <w:t>等全部费用。</w:t>
      </w:r>
    </w:p>
    <w:p w14:paraId="251EDBB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14.2  付款违约</w:t>
      </w:r>
    </w:p>
    <w:p w14:paraId="401D049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每次付款前</w:t>
      </w:r>
      <w:r>
        <w:rPr>
          <w:rFonts w:hint="eastAsia" w:ascii="宋体" w:hAnsi="宋体" w:eastAsia="宋体" w:cs="宋体"/>
          <w:snapToGrid w:val="0"/>
          <w:color w:val="auto"/>
          <w:kern w:val="0"/>
          <w:sz w:val="24"/>
          <w:szCs w:val="24"/>
          <w:highlight w:val="none"/>
          <w:lang w:val="en-US" w:eastAsia="zh-CN"/>
        </w:rPr>
        <w:t>卖方</w:t>
      </w:r>
      <w:r>
        <w:rPr>
          <w:rFonts w:hint="eastAsia" w:ascii="宋体" w:hAnsi="宋体" w:eastAsia="宋体" w:cs="宋体"/>
          <w:snapToGrid w:val="0"/>
          <w:color w:val="auto"/>
          <w:kern w:val="0"/>
          <w:sz w:val="24"/>
          <w:szCs w:val="24"/>
          <w:highlight w:val="none"/>
          <w:lang w:eastAsia="en-US"/>
        </w:rPr>
        <w:t>需预先按照</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要求向</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开具发票，否则</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有权拒绝付款且不承担任何违约责任。</w:t>
      </w:r>
      <w:r>
        <w:rPr>
          <w:rFonts w:hint="eastAsia" w:ascii="宋体" w:hAnsi="宋体" w:eastAsia="宋体" w:cs="宋体"/>
          <w:snapToGrid w:val="0"/>
          <w:color w:val="auto"/>
          <w:kern w:val="0"/>
          <w:sz w:val="24"/>
          <w:szCs w:val="24"/>
          <w:highlight w:val="none"/>
          <w:lang w:val="en-US" w:eastAsia="zh-CN"/>
        </w:rPr>
        <w:t>买方将</w:t>
      </w:r>
      <w:r>
        <w:rPr>
          <w:rFonts w:hint="eastAsia" w:ascii="宋体" w:hAnsi="宋体" w:eastAsia="宋体" w:cs="宋体"/>
          <w:snapToGrid w:val="0"/>
          <w:color w:val="auto"/>
          <w:kern w:val="0"/>
          <w:sz w:val="24"/>
          <w:szCs w:val="24"/>
          <w:highlight w:val="none"/>
          <w:lang w:eastAsia="en-US"/>
        </w:rPr>
        <w:t>按照</w:t>
      </w:r>
      <w:r>
        <w:rPr>
          <w:rFonts w:hint="eastAsia" w:ascii="宋体" w:hAnsi="宋体" w:eastAsia="宋体" w:cs="宋体"/>
          <w:snapToGrid w:val="0"/>
          <w:color w:val="auto"/>
          <w:kern w:val="0"/>
          <w:sz w:val="24"/>
          <w:szCs w:val="24"/>
          <w:highlight w:val="none"/>
          <w:lang w:val="en-US" w:eastAsia="zh-CN"/>
        </w:rPr>
        <w:t>合同约定、</w:t>
      </w:r>
      <w:r>
        <w:rPr>
          <w:rFonts w:hint="eastAsia" w:ascii="宋体" w:hAnsi="宋体" w:eastAsia="宋体" w:cs="宋体"/>
          <w:snapToGrid w:val="0"/>
          <w:color w:val="auto"/>
          <w:kern w:val="0"/>
          <w:sz w:val="24"/>
          <w:szCs w:val="24"/>
          <w:highlight w:val="none"/>
          <w:lang w:eastAsia="en-US"/>
        </w:rPr>
        <w:t>财政预算和政府支付相关流程</w:t>
      </w:r>
      <w:r>
        <w:rPr>
          <w:rFonts w:hint="eastAsia" w:ascii="宋体" w:hAnsi="宋体" w:eastAsia="宋体" w:cs="宋体"/>
          <w:snapToGrid w:val="0"/>
          <w:color w:val="auto"/>
          <w:kern w:val="0"/>
          <w:sz w:val="24"/>
          <w:szCs w:val="24"/>
          <w:highlight w:val="none"/>
          <w:lang w:val="en-US" w:eastAsia="zh-CN"/>
        </w:rPr>
        <w:t>及时申请</w:t>
      </w:r>
      <w:r>
        <w:rPr>
          <w:rFonts w:hint="eastAsia" w:ascii="宋体" w:hAnsi="宋体" w:eastAsia="宋体" w:cs="宋体"/>
          <w:snapToGrid w:val="0"/>
          <w:color w:val="auto"/>
          <w:kern w:val="0"/>
          <w:sz w:val="24"/>
          <w:szCs w:val="24"/>
          <w:highlight w:val="none"/>
          <w:lang w:eastAsia="en-US"/>
        </w:rPr>
        <w:t>向</w:t>
      </w:r>
      <w:r>
        <w:rPr>
          <w:rFonts w:hint="eastAsia" w:ascii="宋体" w:hAnsi="宋体" w:eastAsia="宋体" w:cs="宋体"/>
          <w:snapToGrid w:val="0"/>
          <w:color w:val="auto"/>
          <w:kern w:val="0"/>
          <w:sz w:val="24"/>
          <w:szCs w:val="24"/>
          <w:highlight w:val="none"/>
          <w:lang w:val="en-US" w:eastAsia="zh-CN"/>
        </w:rPr>
        <w:t>卖方拨付合同款项</w:t>
      </w:r>
      <w:r>
        <w:rPr>
          <w:rFonts w:hint="eastAsia" w:ascii="宋体" w:hAnsi="宋体" w:eastAsia="宋体" w:cs="宋体"/>
          <w:snapToGrid w:val="0"/>
          <w:color w:val="auto"/>
          <w:kern w:val="0"/>
          <w:sz w:val="24"/>
          <w:szCs w:val="24"/>
          <w:highlight w:val="none"/>
          <w:lang w:eastAsia="en-US"/>
        </w:rPr>
        <w:t>，若</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遇到财政国库支付受限等原因造成不能按期付款的，支付期限顺延，不承担违约责任，待障碍消除后立即恢复支付</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卖</w:t>
      </w:r>
      <w:r>
        <w:rPr>
          <w:rFonts w:hint="eastAsia" w:ascii="宋体" w:hAnsi="宋体" w:eastAsia="宋体" w:cs="宋体"/>
          <w:snapToGrid w:val="0"/>
          <w:color w:val="auto"/>
          <w:kern w:val="0"/>
          <w:sz w:val="24"/>
          <w:szCs w:val="24"/>
          <w:highlight w:val="none"/>
          <w:lang w:eastAsia="en-US"/>
        </w:rPr>
        <w:t>方认可并豁免</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因此而发生的迟延支付责任，并承诺不以此作为主张</w:t>
      </w:r>
      <w:r>
        <w:rPr>
          <w:rFonts w:hint="eastAsia" w:ascii="宋体" w:hAnsi="宋体" w:eastAsia="宋体" w:cs="宋体"/>
          <w:snapToGrid w:val="0"/>
          <w:color w:val="auto"/>
          <w:kern w:val="0"/>
          <w:sz w:val="24"/>
          <w:szCs w:val="24"/>
          <w:highlight w:val="none"/>
          <w:lang w:val="en-US" w:eastAsia="zh-CN"/>
        </w:rPr>
        <w:t>买方</w:t>
      </w:r>
      <w:r>
        <w:rPr>
          <w:rFonts w:hint="eastAsia" w:ascii="宋体" w:hAnsi="宋体" w:eastAsia="宋体" w:cs="宋体"/>
          <w:snapToGrid w:val="0"/>
          <w:color w:val="auto"/>
          <w:kern w:val="0"/>
          <w:sz w:val="24"/>
          <w:szCs w:val="24"/>
          <w:highlight w:val="none"/>
          <w:lang w:eastAsia="en-US"/>
        </w:rPr>
        <w:t>违约、解除或终止合同的理由。</w:t>
      </w:r>
    </w:p>
    <w:p w14:paraId="124526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14.3任意一方如提出增减合同数量，变动交货的，应提前通知对方，并征得对方同意，否则应承担与之相关的经济责任。</w:t>
      </w:r>
    </w:p>
    <w:p w14:paraId="457637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14.4卖方违反保密义务或转让、分包合同义务或违反本合同其他约定的，</w:t>
      </w:r>
      <w:r>
        <w:rPr>
          <w:rFonts w:hint="eastAsia" w:ascii="宋体" w:hAnsi="宋体" w:eastAsia="宋体" w:cs="宋体"/>
          <w:snapToGrid w:val="0"/>
          <w:color w:val="auto"/>
          <w:kern w:val="0"/>
          <w:sz w:val="24"/>
          <w:szCs w:val="24"/>
          <w:highlight w:val="none"/>
          <w:lang w:val="en-US" w:eastAsia="zh-CN"/>
        </w:rPr>
        <w:t>买方有权解除合同</w:t>
      </w:r>
      <w:r>
        <w:rPr>
          <w:rFonts w:hint="eastAsia" w:ascii="宋体" w:hAnsi="宋体" w:eastAsia="宋体" w:cs="宋体"/>
          <w:snapToGrid w:val="0"/>
          <w:color w:val="auto"/>
          <w:kern w:val="0"/>
          <w:sz w:val="24"/>
          <w:szCs w:val="24"/>
          <w:highlight w:val="none"/>
          <w:lang w:eastAsia="en-US"/>
        </w:rPr>
        <w:t>，</w:t>
      </w:r>
      <w:r>
        <w:rPr>
          <w:rFonts w:hint="eastAsia" w:ascii="宋体" w:hAnsi="宋体" w:eastAsia="宋体" w:cs="宋体"/>
          <w:snapToGrid w:val="0"/>
          <w:color w:val="auto"/>
          <w:kern w:val="0"/>
          <w:sz w:val="24"/>
          <w:szCs w:val="24"/>
          <w:highlight w:val="none"/>
          <w:lang w:val="en-US" w:eastAsia="zh-CN"/>
        </w:rPr>
        <w:t>卖方</w:t>
      </w:r>
      <w:r>
        <w:rPr>
          <w:rFonts w:hint="eastAsia" w:ascii="宋体" w:hAnsi="宋体" w:eastAsia="宋体" w:cs="宋体"/>
          <w:snapToGrid w:val="0"/>
          <w:color w:val="auto"/>
          <w:kern w:val="0"/>
          <w:sz w:val="24"/>
          <w:szCs w:val="24"/>
          <w:highlight w:val="none"/>
          <w:lang w:eastAsia="en-US"/>
        </w:rPr>
        <w:t>应按照本合同总价款的</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lang w:eastAsia="en-US"/>
        </w:rPr>
        <w:t>%向买方支付违约金。</w:t>
      </w:r>
    </w:p>
    <w:p w14:paraId="4AC0E81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14.5卖方提供货物不符合约定或违反本协议其他约定，给买方造成损失的，应赔偿买方的全部损失，包括但不限于直接损失、间接损失、买方为处理违约事件支出的律师费、诉讼费、评估费、鉴定费</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保全措施及保全担保费</w:t>
      </w:r>
      <w:r>
        <w:rPr>
          <w:rFonts w:hint="eastAsia" w:ascii="宋体" w:hAnsi="宋体" w:eastAsia="宋体" w:cs="宋体"/>
          <w:snapToGrid w:val="0"/>
          <w:color w:val="auto"/>
          <w:kern w:val="0"/>
          <w:sz w:val="24"/>
          <w:szCs w:val="24"/>
          <w:highlight w:val="none"/>
          <w:lang w:eastAsia="en-US"/>
        </w:rPr>
        <w:t>等。</w:t>
      </w:r>
    </w:p>
    <w:p w14:paraId="0EA540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14.6本合同所称违约金可以累积计算。</w:t>
      </w:r>
    </w:p>
    <w:p w14:paraId="59802A0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15.  违约金</w:t>
      </w:r>
    </w:p>
    <w:p w14:paraId="68DE0C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由卖方违约向买方支付违约金的缴纳至以下账户</w:t>
      </w:r>
    </w:p>
    <w:p w14:paraId="527BF8B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szCs w:val="22"/>
          <w:highlight w:val="none"/>
        </w:rPr>
      </w:pPr>
      <w:r>
        <w:rPr>
          <w:rFonts w:hint="eastAsia" w:ascii="宋体" w:hAnsi="宋体"/>
          <w:bCs/>
          <w:color w:val="auto"/>
          <w:sz w:val="24"/>
          <w:szCs w:val="22"/>
          <w:highlight w:val="none"/>
        </w:rPr>
        <w:t>帐户名称：乌鲁木齐市应急管理局（乌鲁木齐市矿山安全监督管理局）</w:t>
      </w:r>
    </w:p>
    <w:p w14:paraId="45A43C1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szCs w:val="22"/>
          <w:highlight w:val="none"/>
        </w:rPr>
      </w:pPr>
      <w:r>
        <w:rPr>
          <w:rFonts w:hint="eastAsia" w:ascii="宋体" w:hAnsi="宋体"/>
          <w:bCs/>
          <w:color w:val="auto"/>
          <w:sz w:val="24"/>
          <w:szCs w:val="22"/>
          <w:highlight w:val="none"/>
        </w:rPr>
        <w:t>开 户 行：乌鲁木齐银行远大支行</w:t>
      </w:r>
    </w:p>
    <w:p w14:paraId="2663F2E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szCs w:val="22"/>
          <w:highlight w:val="none"/>
        </w:rPr>
      </w:pPr>
      <w:r>
        <w:rPr>
          <w:rFonts w:hint="eastAsia" w:ascii="宋体" w:hAnsi="宋体"/>
          <w:bCs/>
          <w:color w:val="auto"/>
          <w:sz w:val="24"/>
          <w:szCs w:val="22"/>
          <w:highlight w:val="none"/>
        </w:rPr>
        <w:t>帐    号：0000007111122200007161</w:t>
      </w:r>
    </w:p>
    <w:p w14:paraId="7D1E6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16.  合同终止</w:t>
      </w:r>
    </w:p>
    <w:p w14:paraId="381923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发生下列情况时，买方有权单方终止合同：</w:t>
      </w:r>
    </w:p>
    <w:p w14:paraId="398040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1）卖方未能在合同规定的期限内或买方同意延长的期限内提供全部或部分货物；</w:t>
      </w:r>
    </w:p>
    <w:p w14:paraId="169FB07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2）卖方未能履行合同规定的</w:t>
      </w:r>
      <w:r>
        <w:rPr>
          <w:rFonts w:hint="eastAsia" w:ascii="宋体" w:hAnsi="宋体" w:eastAsia="宋体" w:cs="宋体"/>
          <w:bCs/>
          <w:snapToGrid w:val="0"/>
          <w:color w:val="auto"/>
          <w:kern w:val="0"/>
          <w:sz w:val="24"/>
          <w:szCs w:val="24"/>
          <w:highlight w:val="none"/>
          <w:lang w:val="en-US" w:eastAsia="zh-CN"/>
        </w:rPr>
        <w:t>售后、质保等</w:t>
      </w:r>
      <w:r>
        <w:rPr>
          <w:rFonts w:hint="eastAsia" w:ascii="宋体" w:hAnsi="宋体" w:eastAsia="宋体" w:cs="宋体"/>
          <w:bCs/>
          <w:snapToGrid w:val="0"/>
          <w:color w:val="auto"/>
          <w:kern w:val="0"/>
          <w:sz w:val="24"/>
          <w:szCs w:val="24"/>
          <w:highlight w:val="none"/>
          <w:lang w:eastAsia="en-US"/>
        </w:rPr>
        <w:t>其他</w:t>
      </w:r>
      <w:r>
        <w:rPr>
          <w:rFonts w:hint="eastAsia" w:ascii="宋体" w:hAnsi="宋体" w:eastAsia="宋体" w:cs="宋体"/>
          <w:bCs/>
          <w:snapToGrid w:val="0"/>
          <w:color w:val="auto"/>
          <w:kern w:val="0"/>
          <w:sz w:val="24"/>
          <w:szCs w:val="24"/>
          <w:highlight w:val="none"/>
          <w:lang w:val="en-US" w:eastAsia="zh-CN"/>
        </w:rPr>
        <w:t>任一合同约定的</w:t>
      </w:r>
      <w:r>
        <w:rPr>
          <w:rFonts w:hint="eastAsia" w:ascii="宋体" w:hAnsi="宋体" w:eastAsia="宋体" w:cs="宋体"/>
          <w:bCs/>
          <w:snapToGrid w:val="0"/>
          <w:color w:val="auto"/>
          <w:kern w:val="0"/>
          <w:sz w:val="24"/>
          <w:szCs w:val="24"/>
          <w:highlight w:val="none"/>
          <w:lang w:eastAsia="en-US"/>
        </w:rPr>
        <w:t>义务，卖方在收到买方发出的违约通知后30天内，或经买方书面认可延长的时间内未能纠正其过失。买方可向卖方发出书面通知，终止部分或全部合同，在这种情况下，并不影响买方向卖方提出的索赔。</w:t>
      </w:r>
    </w:p>
    <w:p w14:paraId="6201C2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17.  纠纷解决方式</w:t>
      </w:r>
    </w:p>
    <w:p w14:paraId="0B473B0A">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本合同在执行中发生纠纷时，双方应友好协商予以解决。如协商解决不成时，双方约定采用第</w:t>
      </w:r>
      <w:r>
        <w:rPr>
          <w:rFonts w:hint="eastAsia" w:ascii="宋体" w:hAnsi="宋体" w:eastAsia="宋体" w:cs="宋体"/>
          <w:snapToGrid w:val="0"/>
          <w:color w:val="auto"/>
          <w:kern w:val="0"/>
          <w:sz w:val="24"/>
          <w:szCs w:val="24"/>
          <w:highlight w:val="none"/>
          <w:u w:val="single"/>
          <w:lang w:eastAsia="en-US"/>
        </w:rPr>
        <w:t>17.1</w:t>
      </w:r>
      <w:r>
        <w:rPr>
          <w:rFonts w:hint="eastAsia" w:ascii="宋体" w:hAnsi="宋体" w:eastAsia="宋体" w:cs="宋体"/>
          <w:snapToGrid w:val="0"/>
          <w:color w:val="auto"/>
          <w:kern w:val="0"/>
          <w:sz w:val="24"/>
          <w:szCs w:val="24"/>
          <w:highlight w:val="none"/>
          <w:lang w:eastAsia="en-US"/>
        </w:rPr>
        <w:t>种方式解决。</w:t>
      </w:r>
    </w:p>
    <w:p w14:paraId="502949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17.1  向</w:t>
      </w:r>
      <w:r>
        <w:rPr>
          <w:rFonts w:hint="eastAsia" w:ascii="宋体" w:hAnsi="宋体" w:eastAsia="宋体" w:cs="宋体"/>
          <w:snapToGrid w:val="0"/>
          <w:color w:val="auto"/>
          <w:kern w:val="0"/>
          <w:sz w:val="24"/>
          <w:szCs w:val="24"/>
          <w:highlight w:val="none"/>
          <w:u w:val="single"/>
          <w:lang w:val="en-US" w:eastAsia="zh-CN"/>
        </w:rPr>
        <w:t>买方所在</w:t>
      </w:r>
      <w:r>
        <w:rPr>
          <w:rFonts w:hint="eastAsia" w:ascii="宋体" w:hAnsi="宋体" w:eastAsia="宋体" w:cs="宋体"/>
          <w:snapToGrid w:val="0"/>
          <w:color w:val="auto"/>
          <w:kern w:val="0"/>
          <w:sz w:val="24"/>
          <w:szCs w:val="24"/>
          <w:highlight w:val="none"/>
          <w:u w:val="single"/>
          <w:lang w:eastAsia="en-US"/>
        </w:rPr>
        <w:t>地</w:t>
      </w:r>
      <w:r>
        <w:rPr>
          <w:rFonts w:hint="eastAsia" w:ascii="宋体" w:hAnsi="宋体" w:eastAsia="宋体" w:cs="宋体"/>
          <w:snapToGrid w:val="0"/>
          <w:color w:val="auto"/>
          <w:kern w:val="0"/>
          <w:sz w:val="24"/>
          <w:szCs w:val="24"/>
          <w:highlight w:val="none"/>
          <w:u w:val="single"/>
          <w:lang w:val="en-US" w:eastAsia="zh-CN"/>
        </w:rPr>
        <w:t>有管辖权的</w:t>
      </w:r>
      <w:r>
        <w:rPr>
          <w:rFonts w:hint="eastAsia" w:ascii="宋体" w:hAnsi="宋体" w:eastAsia="宋体" w:cs="宋体"/>
          <w:snapToGrid w:val="0"/>
          <w:color w:val="auto"/>
          <w:kern w:val="0"/>
          <w:sz w:val="24"/>
          <w:szCs w:val="24"/>
          <w:highlight w:val="none"/>
          <w:lang w:eastAsia="en-US"/>
        </w:rPr>
        <w:t>人民法院提出诉讼；</w:t>
      </w:r>
    </w:p>
    <w:p w14:paraId="04FA20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17.2  申请</w:t>
      </w:r>
      <w:r>
        <w:rPr>
          <w:rFonts w:hint="eastAsia" w:ascii="宋体" w:hAnsi="宋体" w:eastAsia="宋体" w:cs="宋体"/>
          <w:snapToGrid w:val="0"/>
          <w:color w:val="auto"/>
          <w:kern w:val="0"/>
          <w:sz w:val="24"/>
          <w:szCs w:val="24"/>
          <w:highlight w:val="none"/>
          <w:u w:val="single"/>
          <w:lang w:eastAsia="en-US"/>
        </w:rPr>
        <w:t>合同签订地</w:t>
      </w:r>
      <w:r>
        <w:rPr>
          <w:rFonts w:hint="eastAsia" w:ascii="宋体" w:hAnsi="宋体" w:eastAsia="宋体" w:cs="宋体"/>
          <w:snapToGrid w:val="0"/>
          <w:color w:val="auto"/>
          <w:kern w:val="0"/>
          <w:sz w:val="24"/>
          <w:szCs w:val="24"/>
          <w:highlight w:val="none"/>
          <w:lang w:eastAsia="en-US"/>
        </w:rPr>
        <w:t>（仲裁机构）进行仲裁。</w:t>
      </w:r>
    </w:p>
    <w:p w14:paraId="1BB1DD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18.  转让和分包</w:t>
      </w:r>
    </w:p>
    <w:p w14:paraId="647E54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卖方不得转让或分包其履行合同的义务。</w:t>
      </w:r>
    </w:p>
    <w:p w14:paraId="563C069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19.  适用法律</w:t>
      </w:r>
    </w:p>
    <w:p w14:paraId="6C3E54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本合同按照中华人民共和国的法律进行解释。</w:t>
      </w:r>
    </w:p>
    <w:p w14:paraId="040195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20.合同生效及其他</w:t>
      </w:r>
    </w:p>
    <w:p w14:paraId="15CCDD6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20.1合同效力执行本合同《协议书》。</w:t>
      </w:r>
    </w:p>
    <w:p w14:paraId="6668348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20.2  合同执行期间，如因故不能履行或需要修改时，必须经双方</w:t>
      </w:r>
      <w:r>
        <w:rPr>
          <w:rFonts w:hint="eastAsia" w:ascii="宋体" w:hAnsi="宋体" w:eastAsia="宋体" w:cs="宋体"/>
          <w:snapToGrid w:val="0"/>
          <w:color w:val="auto"/>
          <w:kern w:val="0"/>
          <w:sz w:val="24"/>
          <w:szCs w:val="24"/>
          <w:highlight w:val="none"/>
          <w:lang w:val="en-US" w:eastAsia="zh-CN"/>
        </w:rPr>
        <w:t>书面</w:t>
      </w:r>
      <w:r>
        <w:rPr>
          <w:rFonts w:hint="eastAsia" w:ascii="宋体" w:hAnsi="宋体" w:eastAsia="宋体" w:cs="宋体"/>
          <w:snapToGrid w:val="0"/>
          <w:color w:val="auto"/>
          <w:kern w:val="0"/>
          <w:sz w:val="24"/>
          <w:szCs w:val="24"/>
          <w:highlight w:val="none"/>
          <w:lang w:eastAsia="en-US"/>
        </w:rPr>
        <w:t>同意，并互相换文或另订合同。其它未尽事宜，双方应友好进行协商。协商结果以“补充件”的形式作为本合同的附件，与本合同有同等的法律效力。</w:t>
      </w:r>
    </w:p>
    <w:p w14:paraId="1613D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lang w:eastAsia="en-US"/>
        </w:rPr>
        <w:t>20.3 其他约定事项：</w:t>
      </w:r>
      <w:r>
        <w:rPr>
          <w:rFonts w:hint="eastAsia" w:ascii="宋体" w:hAnsi="宋体" w:eastAsia="宋体" w:cs="宋体"/>
          <w:snapToGrid w:val="0"/>
          <w:color w:val="auto"/>
          <w:kern w:val="0"/>
          <w:sz w:val="24"/>
          <w:szCs w:val="24"/>
          <w:highlight w:val="none"/>
          <w:u w:val="single"/>
          <w:lang w:eastAsia="en-US"/>
        </w:rPr>
        <w:t>①合同签订地：</w:t>
      </w:r>
      <w:r>
        <w:rPr>
          <w:rFonts w:hint="eastAsia" w:ascii="宋体" w:hAnsi="宋体" w:eastAsia="宋体" w:cs="宋体"/>
          <w:snapToGrid w:val="0"/>
          <w:color w:val="auto"/>
          <w:kern w:val="0"/>
          <w:sz w:val="24"/>
          <w:szCs w:val="24"/>
          <w:highlight w:val="none"/>
          <w:u w:val="single"/>
          <w:lang w:val="en-US" w:eastAsia="zh-CN"/>
        </w:rPr>
        <w:t>新疆乌鲁木齐市水磨沟区</w:t>
      </w:r>
    </w:p>
    <w:p w14:paraId="629914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en-US"/>
        </w:rPr>
        <w:t>通知和送达买卖双方就本合同中涉及各类通知、协议等文件以及就合同发生纠纷时相关文件和法律文书送达时的送达地址及法律后果作如下约定：</w:t>
      </w:r>
    </w:p>
    <w:p w14:paraId="364046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en-US"/>
        </w:rPr>
        <w:t>.1买卖双方确认有效的地址及联系方式以本合同首部列明的为准。</w:t>
      </w:r>
    </w:p>
    <w:p w14:paraId="6C1C1B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en-US"/>
        </w:rPr>
        <w:t>.2双方该送达地址适用范围包括双方非诉时各类通知、协议等文件以及就合同发生纠纷时相关文件和法律文书的送达，同时包括在争议进入仲裁、民事诉讼程序后的一审、二审、再审和执行程序。</w:t>
      </w:r>
    </w:p>
    <w:p w14:paraId="34DA4D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en-US"/>
        </w:rPr>
        <w:t>.3双方上述送达地址需要变更时应当向对方履行书面通知义务。若未履行变更通知义务，双方所确认的送达地址仍视为有效送达地址，因双方提供或者确认的送达地址不准确、送达地址变更后未及时依程序告知对方和法院、其他当事人或指定的接收人拒绝接收等原因，导致法律文书未能被接收方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接收方未能收到法院邮寄送达的文书，由于其在合同中的约定，也应当视为送达。</w:t>
      </w:r>
    </w:p>
    <w:tbl>
      <w:tblPr>
        <w:tblStyle w:val="33"/>
        <w:tblW w:w="9525"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360"/>
        <w:gridCol w:w="4830"/>
      </w:tblGrid>
      <w:tr w14:paraId="4FFA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335" w:type="dxa"/>
            <w:tcBorders>
              <w:tl2br w:val="nil"/>
              <w:tr2bl w:val="nil"/>
            </w:tcBorders>
            <w:noWrap w:val="0"/>
            <w:vAlign w:val="top"/>
          </w:tcPr>
          <w:p w14:paraId="4C655943">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买方（印章）：</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 xml:space="preserve"> </w:t>
            </w:r>
          </w:p>
        </w:tc>
        <w:tc>
          <w:tcPr>
            <w:tcW w:w="360" w:type="dxa"/>
            <w:tcBorders>
              <w:tl2br w:val="nil"/>
              <w:tr2bl w:val="nil"/>
            </w:tcBorders>
            <w:noWrap w:val="0"/>
            <w:vAlign w:val="top"/>
          </w:tcPr>
          <w:p w14:paraId="70251843">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43E0BD04">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卖方（印章）：</w:t>
            </w:r>
          </w:p>
        </w:tc>
      </w:tr>
      <w:tr w14:paraId="5D70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335" w:type="dxa"/>
            <w:tcBorders>
              <w:tl2br w:val="nil"/>
              <w:tr2bl w:val="nil"/>
            </w:tcBorders>
            <w:noWrap w:val="0"/>
            <w:vAlign w:val="top"/>
          </w:tcPr>
          <w:p w14:paraId="18F27E94">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法定代表人或委托代理人:</w:t>
            </w:r>
          </w:p>
        </w:tc>
        <w:tc>
          <w:tcPr>
            <w:tcW w:w="360" w:type="dxa"/>
            <w:tcBorders>
              <w:tl2br w:val="nil"/>
              <w:tr2bl w:val="nil"/>
            </w:tcBorders>
            <w:noWrap w:val="0"/>
            <w:vAlign w:val="top"/>
          </w:tcPr>
          <w:p w14:paraId="5E3AA250">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486B3B28">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法定代表人或委托代理人:</w:t>
            </w:r>
            <w:r>
              <w:rPr>
                <w:rFonts w:hint="eastAsia" w:ascii="宋体" w:hAnsi="宋体" w:eastAsia="宋体" w:cs="宋体"/>
                <w:bCs/>
                <w:snapToGrid w:val="0"/>
                <w:color w:val="auto"/>
                <w:kern w:val="0"/>
                <w:sz w:val="24"/>
                <w:szCs w:val="24"/>
                <w:highlight w:val="none"/>
                <w:lang w:val="en-US" w:eastAsia="zh-CN"/>
              </w:rPr>
              <w:t xml:space="preserve">   </w:t>
            </w:r>
          </w:p>
        </w:tc>
      </w:tr>
      <w:tr w14:paraId="0C6C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35" w:type="dxa"/>
            <w:tcBorders>
              <w:tl2br w:val="nil"/>
              <w:tr2bl w:val="nil"/>
            </w:tcBorders>
            <w:noWrap w:val="0"/>
            <w:vAlign w:val="top"/>
          </w:tcPr>
          <w:p w14:paraId="44F25ACB">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地址：</w:t>
            </w:r>
            <w:r>
              <w:rPr>
                <w:rFonts w:hint="eastAsia" w:ascii="宋体" w:hAnsi="宋体" w:eastAsia="宋体" w:cs="宋体"/>
                <w:bCs/>
                <w:color w:val="auto"/>
                <w:sz w:val="24"/>
                <w:szCs w:val="24"/>
                <w:highlight w:val="none"/>
              </w:rPr>
              <w:t>乌鲁木齐市水磨沟区准噶尔街299号益民大厦B座三楼</w:t>
            </w:r>
          </w:p>
        </w:tc>
        <w:tc>
          <w:tcPr>
            <w:tcW w:w="360" w:type="dxa"/>
            <w:tcBorders>
              <w:tl2br w:val="nil"/>
              <w:tr2bl w:val="nil"/>
            </w:tcBorders>
            <w:noWrap w:val="0"/>
            <w:vAlign w:val="top"/>
          </w:tcPr>
          <w:p w14:paraId="71C05C98">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53C7ECE0">
            <w:pPr>
              <w:widowControl/>
              <w:kinsoku w:val="0"/>
              <w:autoSpaceDE w:val="0"/>
              <w:autoSpaceDN w:val="0"/>
              <w:adjustRightInd w:val="0"/>
              <w:snapToGrid w:val="0"/>
              <w:spacing w:line="400" w:lineRule="exact"/>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地址：</w:t>
            </w:r>
          </w:p>
          <w:p w14:paraId="7E67C4F2">
            <w:pPr>
              <w:widowControl/>
              <w:kinsoku w:val="0"/>
              <w:autoSpaceDE w:val="0"/>
              <w:autoSpaceDN w:val="0"/>
              <w:adjustRightInd w:val="0"/>
              <w:snapToGrid w:val="0"/>
              <w:spacing w:line="400" w:lineRule="exact"/>
              <w:jc w:val="left"/>
              <w:textAlignment w:val="baseline"/>
              <w:rPr>
                <w:rFonts w:hint="eastAsia" w:ascii="宋体" w:hAnsi="宋体" w:eastAsia="宋体" w:cs="宋体"/>
                <w:snapToGrid w:val="0"/>
                <w:color w:val="auto"/>
                <w:kern w:val="0"/>
                <w:sz w:val="24"/>
                <w:szCs w:val="24"/>
                <w:highlight w:val="none"/>
                <w:lang w:val="en-US" w:eastAsia="zh-CN"/>
              </w:rPr>
            </w:pPr>
          </w:p>
        </w:tc>
      </w:tr>
      <w:tr w14:paraId="6704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335" w:type="dxa"/>
            <w:tcBorders>
              <w:tl2br w:val="nil"/>
              <w:tr2bl w:val="nil"/>
            </w:tcBorders>
            <w:noWrap w:val="0"/>
            <w:vAlign w:val="top"/>
          </w:tcPr>
          <w:p w14:paraId="054028CC">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邮政编码：</w:t>
            </w:r>
            <w:r>
              <w:rPr>
                <w:rFonts w:hint="eastAsia" w:ascii="宋体" w:hAnsi="宋体" w:eastAsia="宋体" w:cs="宋体"/>
                <w:bCs/>
                <w:color w:val="auto"/>
                <w:sz w:val="24"/>
                <w:szCs w:val="24"/>
                <w:highlight w:val="none"/>
              </w:rPr>
              <w:t>830017</w:t>
            </w:r>
          </w:p>
        </w:tc>
        <w:tc>
          <w:tcPr>
            <w:tcW w:w="360" w:type="dxa"/>
            <w:tcBorders>
              <w:tl2br w:val="nil"/>
              <w:tr2bl w:val="nil"/>
            </w:tcBorders>
            <w:noWrap w:val="0"/>
            <w:vAlign w:val="top"/>
          </w:tcPr>
          <w:p w14:paraId="3BB06B84">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641AD69A">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邮政编码：</w:t>
            </w:r>
          </w:p>
        </w:tc>
      </w:tr>
      <w:tr w14:paraId="59AD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335" w:type="dxa"/>
            <w:tcBorders>
              <w:tl2br w:val="nil"/>
              <w:tr2bl w:val="nil"/>
            </w:tcBorders>
            <w:noWrap w:val="0"/>
            <w:vAlign w:val="top"/>
          </w:tcPr>
          <w:p w14:paraId="6E21BBF9">
            <w:pPr>
              <w:widowControl/>
              <w:kinsoku w:val="0"/>
              <w:autoSpaceDE w:val="0"/>
              <w:autoSpaceDN w:val="0"/>
              <w:adjustRightInd w:val="0"/>
              <w:snapToGrid w:val="0"/>
              <w:jc w:val="left"/>
              <w:textAlignment w:val="baseline"/>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en-US"/>
              </w:rPr>
              <w:t>电话：</w:t>
            </w:r>
            <w:r>
              <w:rPr>
                <w:rFonts w:hint="eastAsia" w:ascii="宋体" w:hAnsi="宋体" w:cs="宋体"/>
                <w:bCs/>
                <w:snapToGrid w:val="0"/>
                <w:color w:val="auto"/>
                <w:kern w:val="0"/>
                <w:sz w:val="24"/>
                <w:szCs w:val="24"/>
                <w:highlight w:val="none"/>
                <w:lang w:val="en-US" w:eastAsia="zh-CN"/>
              </w:rPr>
              <w:t>0991-4671820</w:t>
            </w:r>
          </w:p>
        </w:tc>
        <w:tc>
          <w:tcPr>
            <w:tcW w:w="360" w:type="dxa"/>
            <w:tcBorders>
              <w:tl2br w:val="nil"/>
              <w:tr2bl w:val="nil"/>
            </w:tcBorders>
            <w:noWrap w:val="0"/>
            <w:vAlign w:val="top"/>
          </w:tcPr>
          <w:p w14:paraId="513F7A1E">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67B709AF">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电话</w:t>
            </w:r>
            <w:r>
              <w:rPr>
                <w:rFonts w:hint="eastAsia" w:ascii="宋体" w:hAnsi="宋体" w:eastAsia="宋体" w:cs="宋体"/>
                <w:bCs/>
                <w:snapToGrid w:val="0"/>
                <w:color w:val="auto"/>
                <w:kern w:val="0"/>
                <w:sz w:val="24"/>
                <w:szCs w:val="24"/>
                <w:highlight w:val="none"/>
                <w:lang w:eastAsia="en-US"/>
              </w:rPr>
              <w:t>：</w:t>
            </w:r>
          </w:p>
        </w:tc>
      </w:tr>
      <w:tr w14:paraId="5FBD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35" w:type="dxa"/>
            <w:tcBorders>
              <w:tl2br w:val="nil"/>
              <w:tr2bl w:val="nil"/>
            </w:tcBorders>
            <w:noWrap w:val="0"/>
            <w:vAlign w:val="top"/>
          </w:tcPr>
          <w:p w14:paraId="10401610">
            <w:pPr>
              <w:widowControl/>
              <w:kinsoku w:val="0"/>
              <w:autoSpaceDE w:val="0"/>
              <w:autoSpaceDN w:val="0"/>
              <w:adjustRightInd w:val="0"/>
              <w:snapToGrid w:val="0"/>
              <w:jc w:val="left"/>
              <w:textAlignment w:val="baseline"/>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传真：</w:t>
            </w:r>
            <w:r>
              <w:rPr>
                <w:rFonts w:hint="eastAsia" w:ascii="宋体" w:hAnsi="宋体" w:cs="宋体"/>
                <w:bCs/>
                <w:snapToGrid w:val="0"/>
                <w:color w:val="auto"/>
                <w:kern w:val="0"/>
                <w:sz w:val="24"/>
                <w:szCs w:val="24"/>
                <w:highlight w:val="none"/>
                <w:lang w:val="en-US" w:eastAsia="zh-CN"/>
              </w:rPr>
              <w:t>/</w:t>
            </w:r>
          </w:p>
        </w:tc>
        <w:tc>
          <w:tcPr>
            <w:tcW w:w="360" w:type="dxa"/>
            <w:tcBorders>
              <w:tl2br w:val="nil"/>
              <w:tr2bl w:val="nil"/>
            </w:tcBorders>
            <w:noWrap w:val="0"/>
            <w:vAlign w:val="top"/>
          </w:tcPr>
          <w:p w14:paraId="6AEA3465">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eastAsia="en-US"/>
              </w:rPr>
            </w:pPr>
          </w:p>
        </w:tc>
        <w:tc>
          <w:tcPr>
            <w:tcW w:w="4830" w:type="dxa"/>
            <w:tcBorders>
              <w:tl2br w:val="nil"/>
              <w:tr2bl w:val="nil"/>
            </w:tcBorders>
            <w:noWrap w:val="0"/>
            <w:vAlign w:val="top"/>
          </w:tcPr>
          <w:p w14:paraId="6957B6B4">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传真</w:t>
            </w:r>
            <w:r>
              <w:rPr>
                <w:rFonts w:hint="eastAsia" w:ascii="宋体" w:hAnsi="宋体" w:eastAsia="宋体" w:cs="宋体"/>
                <w:snapToGrid w:val="0"/>
                <w:color w:val="auto"/>
                <w:kern w:val="0"/>
                <w:sz w:val="24"/>
                <w:szCs w:val="24"/>
                <w:highlight w:val="none"/>
                <w:lang w:val="en-US" w:eastAsia="zh-CN"/>
              </w:rPr>
              <w:t>：</w:t>
            </w:r>
          </w:p>
        </w:tc>
      </w:tr>
      <w:tr w14:paraId="48A8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35" w:type="dxa"/>
            <w:tcBorders>
              <w:tl2br w:val="nil"/>
              <w:tr2bl w:val="nil"/>
            </w:tcBorders>
            <w:noWrap w:val="0"/>
            <w:vAlign w:val="top"/>
          </w:tcPr>
          <w:p w14:paraId="05FEE919">
            <w:pPr>
              <w:widowControl/>
              <w:kinsoku w:val="0"/>
              <w:autoSpaceDE w:val="0"/>
              <w:autoSpaceDN w:val="0"/>
              <w:adjustRightInd w:val="0"/>
              <w:snapToGrid w:val="0"/>
              <w:jc w:val="left"/>
              <w:textAlignment w:val="baseline"/>
              <w:rPr>
                <w:rFonts w:hint="eastAsia" w:ascii="宋体" w:hAnsi="宋体" w:eastAsia="宋体" w:cs="宋体"/>
                <w:snapToGrid w:val="0"/>
                <w:color w:val="auto"/>
                <w:kern w:val="2"/>
                <w:sz w:val="24"/>
                <w:szCs w:val="24"/>
                <w:highlight w:val="none"/>
                <w:lang w:val="en-US" w:eastAsia="zh-CN" w:bidi="ar-SA"/>
              </w:rPr>
            </w:pPr>
          </w:p>
        </w:tc>
        <w:tc>
          <w:tcPr>
            <w:tcW w:w="360" w:type="dxa"/>
            <w:tcBorders>
              <w:tl2br w:val="nil"/>
              <w:tr2bl w:val="nil"/>
            </w:tcBorders>
            <w:noWrap w:val="0"/>
            <w:vAlign w:val="top"/>
          </w:tcPr>
          <w:p w14:paraId="22F4623D">
            <w:pPr>
              <w:widowControl/>
              <w:kinsoku w:val="0"/>
              <w:autoSpaceDE w:val="0"/>
              <w:autoSpaceDN w:val="0"/>
              <w:adjustRightInd w:val="0"/>
              <w:snapToGrid w:val="0"/>
              <w:jc w:val="left"/>
              <w:textAlignment w:val="baseline"/>
              <w:rPr>
                <w:rFonts w:hint="eastAsia" w:ascii="宋体" w:hAnsi="宋体" w:eastAsia="宋体" w:cs="宋体"/>
                <w:snapToGrid w:val="0"/>
                <w:color w:val="auto"/>
                <w:kern w:val="2"/>
                <w:sz w:val="24"/>
                <w:szCs w:val="24"/>
                <w:highlight w:val="none"/>
                <w:lang w:val="en-US" w:eastAsia="zh-CN" w:bidi="ar-SA"/>
              </w:rPr>
            </w:pPr>
          </w:p>
        </w:tc>
        <w:tc>
          <w:tcPr>
            <w:tcW w:w="4830" w:type="dxa"/>
            <w:tcBorders>
              <w:tl2br w:val="nil"/>
              <w:tr2bl w:val="nil"/>
            </w:tcBorders>
            <w:noWrap w:val="0"/>
            <w:vAlign w:val="top"/>
          </w:tcPr>
          <w:p w14:paraId="72ECB24B">
            <w:pPr>
              <w:widowControl/>
              <w:kinsoku w:val="0"/>
              <w:autoSpaceDE w:val="0"/>
              <w:autoSpaceDN w:val="0"/>
              <w:adjustRightInd w:val="0"/>
              <w:snapToGrid w:val="0"/>
              <w:spacing w:line="480" w:lineRule="auto"/>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rPr>
              <w:t>开户银行及账号：</w:t>
            </w:r>
          </w:p>
        </w:tc>
      </w:tr>
      <w:tr w14:paraId="6019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35" w:type="dxa"/>
            <w:tcBorders>
              <w:tl2br w:val="nil"/>
              <w:tr2bl w:val="nil"/>
            </w:tcBorders>
            <w:noWrap w:val="0"/>
            <w:vAlign w:val="top"/>
          </w:tcPr>
          <w:p w14:paraId="51A9C93A">
            <w:pPr>
              <w:widowControl/>
              <w:kinsoku w:val="0"/>
              <w:autoSpaceDE w:val="0"/>
              <w:autoSpaceDN w:val="0"/>
              <w:adjustRightInd w:val="0"/>
              <w:snapToGrid w:val="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Cs/>
                <w:snapToGrid w:val="0"/>
                <w:color w:val="auto"/>
                <w:kern w:val="0"/>
                <w:sz w:val="24"/>
                <w:szCs w:val="24"/>
                <w:highlight w:val="none"/>
                <w:lang w:eastAsia="en-US"/>
              </w:rPr>
              <w:t>日期：</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年</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月</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日</w:t>
            </w:r>
          </w:p>
        </w:tc>
        <w:tc>
          <w:tcPr>
            <w:tcW w:w="360" w:type="dxa"/>
            <w:tcBorders>
              <w:tl2br w:val="nil"/>
              <w:tr2bl w:val="nil"/>
            </w:tcBorders>
            <w:noWrap w:val="0"/>
            <w:vAlign w:val="top"/>
          </w:tcPr>
          <w:p w14:paraId="6D5AF97E">
            <w:pPr>
              <w:widowControl/>
              <w:kinsoku w:val="0"/>
              <w:autoSpaceDE w:val="0"/>
              <w:autoSpaceDN w:val="0"/>
              <w:adjustRightInd w:val="0"/>
              <w:snapToGrid w:val="0"/>
              <w:jc w:val="left"/>
              <w:textAlignment w:val="baseline"/>
              <w:rPr>
                <w:rFonts w:hint="eastAsia" w:ascii="宋体" w:hAnsi="宋体" w:eastAsia="宋体" w:cs="宋体"/>
                <w:snapToGrid w:val="0"/>
                <w:color w:val="auto"/>
                <w:kern w:val="2"/>
                <w:sz w:val="24"/>
                <w:szCs w:val="24"/>
                <w:highlight w:val="none"/>
                <w:lang w:val="en-US" w:eastAsia="zh-CN" w:bidi="ar-SA"/>
              </w:rPr>
            </w:pPr>
          </w:p>
        </w:tc>
        <w:tc>
          <w:tcPr>
            <w:tcW w:w="4830" w:type="dxa"/>
            <w:tcBorders>
              <w:tl2br w:val="nil"/>
              <w:tr2bl w:val="nil"/>
            </w:tcBorders>
            <w:noWrap w:val="0"/>
            <w:vAlign w:val="top"/>
          </w:tcPr>
          <w:p w14:paraId="3BCCD4C5">
            <w:pPr>
              <w:widowControl/>
              <w:kinsoku w:val="0"/>
              <w:autoSpaceDE w:val="0"/>
              <w:autoSpaceDN w:val="0"/>
              <w:adjustRightInd w:val="0"/>
              <w:snapToGrid w:val="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Cs/>
                <w:snapToGrid w:val="0"/>
                <w:color w:val="auto"/>
                <w:kern w:val="0"/>
                <w:sz w:val="24"/>
                <w:szCs w:val="24"/>
                <w:highlight w:val="none"/>
                <w:lang w:eastAsia="en-US"/>
              </w:rPr>
              <w:t>日 期：</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年</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月</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日</w:t>
            </w:r>
          </w:p>
        </w:tc>
      </w:tr>
    </w:tbl>
    <w:p w14:paraId="45EA2EAE">
      <w:pPr>
        <w:rPr>
          <w:color w:val="auto"/>
          <w:highlight w:val="none"/>
        </w:rPr>
      </w:pPr>
    </w:p>
    <w:p w14:paraId="5A6B7520">
      <w:pPr>
        <w:pStyle w:val="31"/>
        <w:rPr>
          <w:color w:val="auto"/>
          <w:highlight w:val="none"/>
        </w:rPr>
      </w:pPr>
    </w:p>
    <w:p w14:paraId="002A6346">
      <w:pPr>
        <w:pStyle w:val="6"/>
        <w:rPr>
          <w:color w:val="auto"/>
          <w:highlight w:val="none"/>
        </w:rPr>
      </w:pPr>
    </w:p>
    <w:p w14:paraId="37D2FD4E">
      <w:pPr>
        <w:rPr>
          <w:color w:val="auto"/>
          <w:highlight w:val="none"/>
        </w:rPr>
      </w:pPr>
    </w:p>
    <w:p w14:paraId="6BF45381">
      <w:pPr>
        <w:pStyle w:val="31"/>
        <w:rPr>
          <w:color w:val="auto"/>
          <w:highlight w:val="none"/>
        </w:rPr>
      </w:pPr>
    </w:p>
    <w:p w14:paraId="726AB3FA">
      <w:pPr>
        <w:widowControl w:val="0"/>
        <w:spacing w:after="120" w:afterLines="0" w:afterAutospacing="0" w:line="360" w:lineRule="auto"/>
        <w:jc w:val="both"/>
        <w:rPr>
          <w:rFonts w:hint="eastAsia" w:ascii="Times New Roman" w:hAnsi="Times New Roman" w:eastAsia="宋体" w:cs="Times New Roman"/>
          <w:color w:val="auto"/>
          <w:kern w:val="2"/>
          <w:sz w:val="28"/>
          <w:szCs w:val="21"/>
          <w:highlight w:val="none"/>
          <w:lang w:val="en-US" w:eastAsia="zh-CN" w:bidi="ar-SA"/>
        </w:rPr>
      </w:pPr>
      <w:r>
        <w:rPr>
          <w:rFonts w:hint="eastAsia" w:ascii="方正黑体_GBK" w:hAnsi="方正黑体_GBK" w:eastAsia="方正黑体_GBK" w:cs="方正黑体_GBK"/>
          <w:color w:val="auto"/>
          <w:kern w:val="2"/>
          <w:sz w:val="28"/>
          <w:szCs w:val="21"/>
          <w:highlight w:val="none"/>
          <w:lang w:val="en-US" w:eastAsia="zh-CN" w:bidi="ar-SA"/>
        </w:rPr>
        <w:t>附件一：</w:t>
      </w:r>
    </w:p>
    <w:p w14:paraId="7A2C5A30">
      <w:pPr>
        <w:keepNext/>
        <w:keepLines/>
        <w:widowControl w:val="0"/>
        <w:bidi w:val="0"/>
        <w:spacing w:beforeLines="0" w:beforeAutospacing="0" w:afterLines="0" w:afterAutospacing="0" w:line="360" w:lineRule="auto"/>
        <w:jc w:val="center"/>
        <w:outlineLvl w:val="0"/>
        <w:rPr>
          <w:rFonts w:hint="eastAsia" w:ascii="Times New Roman" w:hAnsi="Times New Roman" w:eastAsia="宋体" w:cs="Times New Roman"/>
          <w:b/>
          <w:color w:val="auto"/>
          <w:kern w:val="44"/>
          <w:sz w:val="36"/>
          <w:szCs w:val="21"/>
          <w:highlight w:val="none"/>
          <w:lang w:val="en-US" w:eastAsia="zh-CN" w:bidi="ar-SA"/>
        </w:rPr>
      </w:pPr>
      <w:r>
        <w:rPr>
          <w:rFonts w:hint="eastAsia" w:ascii="Times New Roman" w:hAnsi="Times New Roman" w:eastAsia="宋体" w:cs="Times New Roman"/>
          <w:b/>
          <w:color w:val="auto"/>
          <w:kern w:val="44"/>
          <w:sz w:val="36"/>
          <w:szCs w:val="21"/>
          <w:highlight w:val="none"/>
          <w:lang w:val="en-US" w:eastAsia="zh-CN" w:bidi="ar-SA"/>
        </w:rPr>
        <w:t>质保承诺</w:t>
      </w:r>
    </w:p>
    <w:p w14:paraId="45087F89">
      <w:pPr>
        <w:pStyle w:val="31"/>
        <w:rPr>
          <w:rFonts w:hint="eastAsia"/>
          <w:color w:val="auto"/>
          <w:highlight w:val="none"/>
          <w:lang w:val="en-US" w:eastAsia="zh-CN"/>
        </w:rPr>
      </w:pPr>
    </w:p>
    <w:p w14:paraId="1D79E2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我公司承诺：自验收合格之日起</w:t>
      </w:r>
      <w:r>
        <w:rPr>
          <w:rFonts w:hint="eastAsia" w:ascii="宋体" w:hAnsi="宋体" w:cs="Times New Roman"/>
          <w:color w:val="auto"/>
          <w:sz w:val="24"/>
          <w:highlight w:val="none"/>
          <w:lang w:val="en-US" w:eastAsia="zh-CN"/>
        </w:rPr>
        <w:t>五</w:t>
      </w:r>
      <w:r>
        <w:rPr>
          <w:rFonts w:hint="eastAsia" w:ascii="宋体" w:hAnsi="宋体" w:eastAsia="宋体" w:cs="Times New Roman"/>
          <w:color w:val="auto"/>
          <w:sz w:val="24"/>
          <w:highlight w:val="none"/>
          <w:lang w:val="en-US" w:eastAsia="zh-CN"/>
        </w:rPr>
        <w:t>年，质保期内免费维修更换相关配件。</w:t>
      </w:r>
    </w:p>
    <w:p w14:paraId="2871EB9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1、良好的售后服务传统</w:t>
      </w:r>
    </w:p>
    <w:p w14:paraId="56FBFF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我司历来把售后服务放在第一位，我们为业主提供的不仅仅是优质的产品，还有更优质的服务。</w:t>
      </w:r>
    </w:p>
    <w:p w14:paraId="15904D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通过严格遵循本方案有关系统质量保证措施的章节，我们将提供给业主的是一个优秀的、质量可靠的系统；我们还将遵守以下售后服务的承诺，为业主提供优质的服务，免除业主的后顾之忧。</w:t>
      </w:r>
    </w:p>
    <w:p w14:paraId="45F4FC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2、紧急服务</w:t>
      </w:r>
    </w:p>
    <w:p w14:paraId="489C31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我方在执行合同期间，对设备故障提供免费紧急服务;一日接到贵方报修通知，我方将立即派人去现场提供紧急服务;为了避免紧急故障的发生几率，我司技术人员每月一次对设备及作例行电话回访;紧急服务内容包括:设备故障、主机故障等。</w:t>
      </w:r>
    </w:p>
    <w:p w14:paraId="6476E9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3、售后服务流程</w:t>
      </w:r>
    </w:p>
    <w:p w14:paraId="1E321384">
      <w:pPr>
        <w:pStyle w:val="26"/>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drawing>
          <wp:inline distT="0" distB="0" distL="114300" distR="114300">
            <wp:extent cx="3615055" cy="259715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r="31377"/>
                    <a:stretch>
                      <a:fillRect/>
                    </a:stretch>
                  </pic:blipFill>
                  <pic:spPr>
                    <a:xfrm>
                      <a:off x="0" y="0"/>
                      <a:ext cx="3615055" cy="2597150"/>
                    </a:xfrm>
                    <a:prstGeom prst="rect">
                      <a:avLst/>
                    </a:prstGeom>
                    <a:noFill/>
                    <a:ln>
                      <a:noFill/>
                    </a:ln>
                  </pic:spPr>
                </pic:pic>
              </a:graphicData>
            </a:graphic>
          </wp:inline>
        </w:drawing>
      </w:r>
    </w:p>
    <w:p w14:paraId="585027D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4、投诉</w:t>
      </w:r>
    </w:p>
    <w:p w14:paraId="3911AD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公司设有24 小时投诉服务热线，对客户在使用过程中的各项要求和问题及时进行记录和反馈:对公司的技术服务和维护进行协调和监督。提高客户的满意度。</w:t>
      </w:r>
    </w:p>
    <w:p w14:paraId="15C8F6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p>
    <w:p w14:paraId="042FA7F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卖方（印章）：</w:t>
      </w:r>
      <w:r>
        <w:rPr>
          <w:rFonts w:hint="eastAsia" w:ascii="宋体" w:hAnsi="宋体" w:cs="Times New Roman"/>
          <w:color w:val="auto"/>
          <w:sz w:val="24"/>
          <w:highlight w:val="none"/>
          <w:lang w:val="en-US" w:eastAsia="zh-CN"/>
        </w:rPr>
        <w:t>XXXXX</w:t>
      </w:r>
    </w:p>
    <w:p w14:paraId="4F031ED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color w:val="auto"/>
          <w:sz w:val="24"/>
          <w:highlight w:val="none"/>
          <w:lang w:val="en-US" w:eastAsia="zh-CN"/>
        </w:rPr>
      </w:pPr>
    </w:p>
    <w:p w14:paraId="0873B58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auto"/>
          <w:sz w:val="28"/>
          <w:highlight w:val="none"/>
          <w:lang w:val="en-US" w:eastAsia="zh-CN"/>
        </w:rPr>
      </w:pPr>
      <w:r>
        <w:rPr>
          <w:rFonts w:hint="eastAsia" w:ascii="方正黑体_GBK" w:hAnsi="方正黑体_GBK" w:eastAsia="方正黑体_GBK" w:cs="方正黑体_GBK"/>
          <w:color w:val="auto"/>
          <w:kern w:val="2"/>
          <w:sz w:val="28"/>
          <w:szCs w:val="21"/>
          <w:highlight w:val="none"/>
          <w:lang w:val="en-US" w:eastAsia="zh-CN" w:bidi="ar-SA"/>
        </w:rPr>
        <w:t>附件二</w:t>
      </w:r>
    </w:p>
    <w:p w14:paraId="29D5AF81">
      <w:pPr>
        <w:keepNext/>
        <w:keepLines/>
        <w:widowControl w:val="0"/>
        <w:bidi w:val="0"/>
        <w:spacing w:beforeLines="0" w:beforeAutospacing="0" w:afterLines="0" w:afterAutospacing="0" w:line="360" w:lineRule="auto"/>
        <w:jc w:val="center"/>
        <w:outlineLvl w:val="0"/>
        <w:rPr>
          <w:rFonts w:hint="eastAsia" w:ascii="Times New Roman" w:hAnsi="Times New Roman" w:eastAsia="宋体" w:cs="Times New Roman"/>
          <w:b/>
          <w:color w:val="auto"/>
          <w:kern w:val="44"/>
          <w:sz w:val="36"/>
          <w:szCs w:val="21"/>
          <w:highlight w:val="none"/>
          <w:lang w:val="en-US" w:eastAsia="zh-CN" w:bidi="ar-SA"/>
        </w:rPr>
      </w:pPr>
      <w:r>
        <w:rPr>
          <w:rFonts w:hint="eastAsia" w:ascii="Times New Roman" w:hAnsi="Times New Roman" w:eastAsia="宋体" w:cs="Times New Roman"/>
          <w:b/>
          <w:color w:val="auto"/>
          <w:kern w:val="44"/>
          <w:sz w:val="36"/>
          <w:szCs w:val="21"/>
          <w:highlight w:val="none"/>
          <w:lang w:val="en-US" w:eastAsia="zh-CN" w:bidi="ar-SA"/>
        </w:rPr>
        <w:t>培训方案</w:t>
      </w:r>
    </w:p>
    <w:p w14:paraId="45F6030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培训目的</w:t>
      </w:r>
    </w:p>
    <w:p w14:paraId="06E37D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培训的主要目的是让用户的技术人员经培训后应能熟练地掌握与本产品有关的软件及硬件维护工作，并能及时排除大部分设备故障。</w:t>
      </w:r>
    </w:p>
    <w:p w14:paraId="7F44CC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培训内容</w:t>
      </w:r>
    </w:p>
    <w:p w14:paraId="2B40D1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技术培训：对我司提供的设备中软硬件设备的技术原理和操作使用方法，维护管理等进行培训。</w:t>
      </w:r>
    </w:p>
    <w:p w14:paraId="4E7576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培训原则</w:t>
      </w:r>
    </w:p>
    <w:p w14:paraId="6663FA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本次培训要求受训者可以独立操作、维护设备，对一般性的故障问题可以自主解决，可以独立进行设备的管理、运行、处理及日常测试维护等工作。</w:t>
      </w:r>
    </w:p>
    <w:p w14:paraId="2EB139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培训范围</w:t>
      </w:r>
    </w:p>
    <w:p w14:paraId="58D0BF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日常操作、维护人员或设备管理人员。</w:t>
      </w:r>
    </w:p>
    <w:p w14:paraId="4CA534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培训师资</w:t>
      </w:r>
    </w:p>
    <w:p w14:paraId="0E4264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由我司的专业项目师为本项目的相关人员提供专业化的培训。</w:t>
      </w:r>
    </w:p>
    <w:p w14:paraId="322A07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培训内容：</w:t>
      </w:r>
    </w:p>
    <w:p w14:paraId="07C0B8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本期项目的培训工作可以分为两部分进行。第一部分为产品基础培训；第二部分为实操培训，两部分结束后技术答疑。</w:t>
      </w:r>
    </w:p>
    <w:p w14:paraId="4ED9D5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1、产品基础培训</w:t>
      </w:r>
    </w:p>
    <w:p w14:paraId="2721D6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培训方式：集中培训</w:t>
      </w:r>
    </w:p>
    <w:p w14:paraId="7245B4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培训内容包括：</w:t>
      </w:r>
    </w:p>
    <w:p w14:paraId="0D3CDDB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①概述，包括原理、构成和功能</w:t>
      </w:r>
    </w:p>
    <w:p w14:paraId="586EF0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②常见故障的排除</w:t>
      </w:r>
    </w:p>
    <w:p w14:paraId="09000BE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③设备各部件的检查、调整和维护</w:t>
      </w:r>
    </w:p>
    <w:p w14:paraId="3AC0D56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④设备操作规程、操作注意事项</w:t>
      </w:r>
    </w:p>
    <w:p w14:paraId="6D14F0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⑤设备的维护保养内容</w:t>
      </w:r>
    </w:p>
    <w:p w14:paraId="46233C2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2、实操培训</w:t>
      </w:r>
    </w:p>
    <w:p w14:paraId="45E8F6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培训方式：集中培训</w:t>
      </w:r>
    </w:p>
    <w:p w14:paraId="525F5E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阶段的培训目的在于加深实际使用人员对产品和对应技术的理解，掌握应用交付的安装调试方法，以及加强常见故障的现场处理能力。培训内容包括设备硬件开机、调试方法及整机使用步骤与方法，常见故障的现场处理方法，还有用后维护保养方法。</w:t>
      </w:r>
    </w:p>
    <w:p w14:paraId="3E4FF1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本次培训将侧重产品应用与实践培训，培训内容包括：产品特点，故障识别与处理，遇到问题的解决方法，以及相关管理规定、管理措施等实用性培训工作。</w:t>
      </w:r>
    </w:p>
    <w:p w14:paraId="17E061C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3、技术答疑</w:t>
      </w:r>
    </w:p>
    <w:p w14:paraId="593BDE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培训方式：集中培训</w:t>
      </w:r>
    </w:p>
    <w:p w14:paraId="1AF4D9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eastAsia="宋体" w:cs="Times New Roman"/>
          <w:color w:val="auto"/>
          <w:sz w:val="24"/>
          <w:highlight w:val="none"/>
          <w:lang w:val="en-US" w:eastAsia="zh-CN"/>
        </w:rPr>
        <w:t>本阶段的培训于产品培训结束后进行。用户人员可针对培训过程、产品本身、使用过程、维护保养过程进行提问，予以解答。</w:t>
      </w:r>
    </w:p>
    <w:p w14:paraId="5D2CCFB8">
      <w:pPr>
        <w:widowControl/>
        <w:kinsoku w:val="0"/>
        <w:autoSpaceDE w:val="0"/>
        <w:autoSpaceDN w:val="0"/>
        <w:adjustRightInd w:val="0"/>
        <w:snapToGrid w:val="0"/>
        <w:spacing w:before="251" w:line="225" w:lineRule="auto"/>
        <w:jc w:val="left"/>
        <w:textAlignment w:val="baseline"/>
        <w:rPr>
          <w:rFonts w:hint="eastAsia" w:ascii="仿宋" w:hAnsi="仿宋" w:eastAsia="仿宋" w:cs="仿宋"/>
          <w:snapToGrid w:val="0"/>
          <w:color w:val="auto"/>
          <w:kern w:val="0"/>
          <w:sz w:val="31"/>
          <w:szCs w:val="31"/>
          <w:highlight w:val="none"/>
          <w:lang w:eastAsia="zh-CN"/>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3A7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73DD">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59A5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459A5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DEA5">
    <w:pPr>
      <w:autoSpaceDE w:val="0"/>
      <w:autoSpaceDN w:val="0"/>
      <w:adjustRightInd w:val="0"/>
      <w:spacing w:line="200" w:lineRule="exact"/>
      <w:jc w:val="left"/>
      <w:rPr>
        <w:rFonts w:hint="default" w:ascii="Times New Roman" w:eastAsia="Times New Roman"/>
        <w:kern w:val="0"/>
        <w:sz w:val="20"/>
      </w:rPr>
    </w:pPr>
    <w:r>
      <w:rPr>
        <w:rFonts w:hint="default"/>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0F53C">
                          <w:pPr>
                            <w:pStyle w:val="18"/>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AA0F53C">
                    <w:pPr>
                      <w:pStyle w:val="18"/>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FC0">
    <w:pPr>
      <w:pStyle w:val="19"/>
    </w:pPr>
    <w:r>
      <w:rPr>
        <w:rStyle w:val="41"/>
        <w:rFonts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85CAF878"/>
    <w:multiLevelType w:val="singleLevel"/>
    <w:tmpl w:val="85CAF878"/>
    <w:lvl w:ilvl="0" w:tentative="0">
      <w:start w:val="2"/>
      <w:numFmt w:val="chineseCounting"/>
      <w:suff w:val="nothing"/>
      <w:lvlText w:val="%1、"/>
      <w:lvlJc w:val="left"/>
      <w:rPr>
        <w:rFonts w:hint="eastAsia"/>
      </w:rPr>
    </w:lvl>
  </w:abstractNum>
  <w:abstractNum w:abstractNumId="2">
    <w:nsid w:val="A145CCAE"/>
    <w:multiLevelType w:val="singleLevel"/>
    <w:tmpl w:val="A145CCAE"/>
    <w:lvl w:ilvl="0" w:tentative="0">
      <w:start w:val="1"/>
      <w:numFmt w:val="decimal"/>
      <w:suff w:val="nothing"/>
      <w:lvlText w:val="%1、"/>
      <w:lvlJc w:val="left"/>
    </w:lvl>
  </w:abstractNum>
  <w:abstractNum w:abstractNumId="3">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F3E13652"/>
    <w:multiLevelType w:val="singleLevel"/>
    <w:tmpl w:val="F3E13652"/>
    <w:lvl w:ilvl="0" w:tentative="0">
      <w:start w:val="2"/>
      <w:numFmt w:val="decimal"/>
      <w:lvlText w:val="%1."/>
      <w:lvlJc w:val="left"/>
      <w:pPr>
        <w:tabs>
          <w:tab w:val="left" w:pos="312"/>
        </w:tabs>
      </w:pPr>
    </w:lvl>
  </w:abstractNum>
  <w:abstractNum w:abstractNumId="5">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01E557D3"/>
    <w:multiLevelType w:val="singleLevel"/>
    <w:tmpl w:val="01E557D3"/>
    <w:lvl w:ilvl="0" w:tentative="0">
      <w:start w:val="1"/>
      <w:numFmt w:val="decimal"/>
      <w:suff w:val="space"/>
      <w:lvlText w:val="%1."/>
      <w:lvlJc w:val="left"/>
    </w:lvl>
  </w:abstractNum>
  <w:abstractNum w:abstractNumId="7">
    <w:nsid w:val="2BC170F9"/>
    <w:multiLevelType w:val="multilevel"/>
    <w:tmpl w:val="2BC170F9"/>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3FB5495A"/>
    <w:multiLevelType w:val="singleLevel"/>
    <w:tmpl w:val="3FB5495A"/>
    <w:lvl w:ilvl="0" w:tentative="0">
      <w:start w:val="1"/>
      <w:numFmt w:val="chineseCounting"/>
      <w:suff w:val="space"/>
      <w:lvlText w:val="第%1章"/>
      <w:lvlJc w:val="left"/>
      <w:rPr>
        <w:rFonts w:hint="eastAsia"/>
      </w:rPr>
    </w:lvl>
  </w:abstractNum>
  <w:abstractNum w:abstractNumId="9">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2"/>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8E5317"/>
    <w:multiLevelType w:val="singleLevel"/>
    <w:tmpl w:val="6C8E5317"/>
    <w:lvl w:ilvl="0" w:tentative="0">
      <w:start w:val="3"/>
      <w:numFmt w:val="decimal"/>
      <w:lvlText w:val="%1."/>
      <w:lvlJc w:val="left"/>
      <w:pPr>
        <w:tabs>
          <w:tab w:val="left" w:pos="312"/>
        </w:tabs>
      </w:pPr>
    </w:lvl>
  </w:abstractNum>
  <w:num w:numId="1">
    <w:abstractNumId w:val="3"/>
  </w:num>
  <w:num w:numId="2">
    <w:abstractNumId w:val="5"/>
  </w:num>
  <w:num w:numId="3">
    <w:abstractNumId w:val="9"/>
  </w:num>
  <w:num w:numId="4">
    <w:abstractNumId w:val="8"/>
  </w:num>
  <w:num w:numId="5">
    <w:abstractNumId w:val="10"/>
  </w:num>
  <w:num w:numId="6">
    <w:abstractNumId w:val="2"/>
  </w:num>
  <w:num w:numId="7">
    <w:abstractNumId w:val="0"/>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DJmOWRhY2NiNzlhMTVlZjFmNmM0YTRiZjkxZmEifQ=="/>
    <w:docVar w:name="KSO_WPS_MARK_KEY" w:val="2542d0e4-db01-47bc-9e30-3b31ec68f3a9"/>
  </w:docVars>
  <w:rsids>
    <w:rsidRoot w:val="006D6F44"/>
    <w:rsid w:val="00083A7D"/>
    <w:rsid w:val="00085DA1"/>
    <w:rsid w:val="001119CD"/>
    <w:rsid w:val="001343B1"/>
    <w:rsid w:val="00177ECA"/>
    <w:rsid w:val="002021CC"/>
    <w:rsid w:val="0022674C"/>
    <w:rsid w:val="00252FC0"/>
    <w:rsid w:val="003C111D"/>
    <w:rsid w:val="00436CBC"/>
    <w:rsid w:val="0049263D"/>
    <w:rsid w:val="004D5BB6"/>
    <w:rsid w:val="005F58DE"/>
    <w:rsid w:val="00634FF2"/>
    <w:rsid w:val="006351B6"/>
    <w:rsid w:val="006B79D1"/>
    <w:rsid w:val="006D6F44"/>
    <w:rsid w:val="00754BD2"/>
    <w:rsid w:val="00971785"/>
    <w:rsid w:val="00A21929"/>
    <w:rsid w:val="00AD511E"/>
    <w:rsid w:val="00BD6145"/>
    <w:rsid w:val="00CC135F"/>
    <w:rsid w:val="00D651EE"/>
    <w:rsid w:val="00DF7C4C"/>
    <w:rsid w:val="00F846DC"/>
    <w:rsid w:val="011A058D"/>
    <w:rsid w:val="015529D7"/>
    <w:rsid w:val="02563B57"/>
    <w:rsid w:val="02731484"/>
    <w:rsid w:val="02B20C36"/>
    <w:rsid w:val="03870C59"/>
    <w:rsid w:val="040C416E"/>
    <w:rsid w:val="05681A7F"/>
    <w:rsid w:val="057C2119"/>
    <w:rsid w:val="05EC445F"/>
    <w:rsid w:val="06371391"/>
    <w:rsid w:val="06815A00"/>
    <w:rsid w:val="07235BE6"/>
    <w:rsid w:val="07294B7B"/>
    <w:rsid w:val="0734173C"/>
    <w:rsid w:val="07FF5238"/>
    <w:rsid w:val="082F62F4"/>
    <w:rsid w:val="094665B2"/>
    <w:rsid w:val="094F02FE"/>
    <w:rsid w:val="09C82F26"/>
    <w:rsid w:val="0A8366CB"/>
    <w:rsid w:val="0B084C39"/>
    <w:rsid w:val="0B0D4C33"/>
    <w:rsid w:val="0B1229A8"/>
    <w:rsid w:val="0B7E062B"/>
    <w:rsid w:val="0C71390F"/>
    <w:rsid w:val="0D200115"/>
    <w:rsid w:val="0D850FBB"/>
    <w:rsid w:val="0D86113E"/>
    <w:rsid w:val="0D8853B5"/>
    <w:rsid w:val="0DD87DE8"/>
    <w:rsid w:val="0E2B3F92"/>
    <w:rsid w:val="0E5F3020"/>
    <w:rsid w:val="0F2310FF"/>
    <w:rsid w:val="0F887012"/>
    <w:rsid w:val="0FF26972"/>
    <w:rsid w:val="0FF85512"/>
    <w:rsid w:val="116A4DD1"/>
    <w:rsid w:val="12BE7F9E"/>
    <w:rsid w:val="12C33AC5"/>
    <w:rsid w:val="1415056B"/>
    <w:rsid w:val="14B27574"/>
    <w:rsid w:val="14F00AA2"/>
    <w:rsid w:val="15655FDB"/>
    <w:rsid w:val="15694098"/>
    <w:rsid w:val="15802E15"/>
    <w:rsid w:val="16161E94"/>
    <w:rsid w:val="16393655"/>
    <w:rsid w:val="16B65467"/>
    <w:rsid w:val="178722FE"/>
    <w:rsid w:val="17E71A50"/>
    <w:rsid w:val="18A04871"/>
    <w:rsid w:val="18B43502"/>
    <w:rsid w:val="18E831AB"/>
    <w:rsid w:val="1934019F"/>
    <w:rsid w:val="19403168"/>
    <w:rsid w:val="1A4E43DE"/>
    <w:rsid w:val="1BB750B7"/>
    <w:rsid w:val="1BD46B05"/>
    <w:rsid w:val="1C0D1768"/>
    <w:rsid w:val="1C111736"/>
    <w:rsid w:val="1C37598E"/>
    <w:rsid w:val="1C8E3164"/>
    <w:rsid w:val="1D5252D9"/>
    <w:rsid w:val="1DC57731"/>
    <w:rsid w:val="1DD957B9"/>
    <w:rsid w:val="1DE226F6"/>
    <w:rsid w:val="1E395337"/>
    <w:rsid w:val="1EA92426"/>
    <w:rsid w:val="1EEE29A8"/>
    <w:rsid w:val="1F280811"/>
    <w:rsid w:val="20001D6A"/>
    <w:rsid w:val="206A5E42"/>
    <w:rsid w:val="211A4921"/>
    <w:rsid w:val="2139587A"/>
    <w:rsid w:val="22E67C91"/>
    <w:rsid w:val="236E2840"/>
    <w:rsid w:val="23735D67"/>
    <w:rsid w:val="244C35C8"/>
    <w:rsid w:val="246C62EA"/>
    <w:rsid w:val="24AE1898"/>
    <w:rsid w:val="25317169"/>
    <w:rsid w:val="256F4866"/>
    <w:rsid w:val="25E92311"/>
    <w:rsid w:val="261E0A79"/>
    <w:rsid w:val="26592325"/>
    <w:rsid w:val="267C3185"/>
    <w:rsid w:val="26E52AD8"/>
    <w:rsid w:val="27072C08"/>
    <w:rsid w:val="27BC2A5B"/>
    <w:rsid w:val="27C41578"/>
    <w:rsid w:val="27E40FE2"/>
    <w:rsid w:val="27E47234"/>
    <w:rsid w:val="2863070C"/>
    <w:rsid w:val="28D601EB"/>
    <w:rsid w:val="28EC2915"/>
    <w:rsid w:val="29DE5D3A"/>
    <w:rsid w:val="2A104310"/>
    <w:rsid w:val="2A7C60C8"/>
    <w:rsid w:val="2AEC5A97"/>
    <w:rsid w:val="2B1A4D1A"/>
    <w:rsid w:val="2BC32A58"/>
    <w:rsid w:val="2BC44AFC"/>
    <w:rsid w:val="2E986820"/>
    <w:rsid w:val="2ED718A0"/>
    <w:rsid w:val="2EF42085"/>
    <w:rsid w:val="2F9028FF"/>
    <w:rsid w:val="2FB971F8"/>
    <w:rsid w:val="301A2DFD"/>
    <w:rsid w:val="306B247C"/>
    <w:rsid w:val="310F3486"/>
    <w:rsid w:val="312406A1"/>
    <w:rsid w:val="31AB69D8"/>
    <w:rsid w:val="31D609DB"/>
    <w:rsid w:val="31E01A47"/>
    <w:rsid w:val="32024E86"/>
    <w:rsid w:val="32382833"/>
    <w:rsid w:val="329E236C"/>
    <w:rsid w:val="33FF6CC7"/>
    <w:rsid w:val="3492329A"/>
    <w:rsid w:val="34E97A94"/>
    <w:rsid w:val="352F2BEC"/>
    <w:rsid w:val="35E46E43"/>
    <w:rsid w:val="36546C9B"/>
    <w:rsid w:val="374271D8"/>
    <w:rsid w:val="37A629F6"/>
    <w:rsid w:val="37C47CD5"/>
    <w:rsid w:val="37D739CE"/>
    <w:rsid w:val="38E01351"/>
    <w:rsid w:val="38FB168A"/>
    <w:rsid w:val="38FC5C99"/>
    <w:rsid w:val="39F37552"/>
    <w:rsid w:val="3A52002D"/>
    <w:rsid w:val="3ADE2D8C"/>
    <w:rsid w:val="3B756F45"/>
    <w:rsid w:val="3E3C34CE"/>
    <w:rsid w:val="3EA76402"/>
    <w:rsid w:val="3EBC7034"/>
    <w:rsid w:val="3F143436"/>
    <w:rsid w:val="3FF35E0E"/>
    <w:rsid w:val="40A50767"/>
    <w:rsid w:val="41016309"/>
    <w:rsid w:val="41AD023F"/>
    <w:rsid w:val="428C078D"/>
    <w:rsid w:val="42EE6E5E"/>
    <w:rsid w:val="44BB02A4"/>
    <w:rsid w:val="44F71EFD"/>
    <w:rsid w:val="45DC4237"/>
    <w:rsid w:val="46290CE3"/>
    <w:rsid w:val="462E5776"/>
    <w:rsid w:val="46FC790F"/>
    <w:rsid w:val="472E08A8"/>
    <w:rsid w:val="480908C5"/>
    <w:rsid w:val="481B23A6"/>
    <w:rsid w:val="4825684B"/>
    <w:rsid w:val="4828061F"/>
    <w:rsid w:val="48B00A3D"/>
    <w:rsid w:val="48CA1527"/>
    <w:rsid w:val="49153B3D"/>
    <w:rsid w:val="49AB391A"/>
    <w:rsid w:val="49FB1B58"/>
    <w:rsid w:val="4BF36A46"/>
    <w:rsid w:val="4C0B634F"/>
    <w:rsid w:val="4C15185F"/>
    <w:rsid w:val="4C993E74"/>
    <w:rsid w:val="4CC27294"/>
    <w:rsid w:val="4CC63226"/>
    <w:rsid w:val="4D9C1893"/>
    <w:rsid w:val="4DDD1F01"/>
    <w:rsid w:val="4E2C0B7D"/>
    <w:rsid w:val="4F166C4D"/>
    <w:rsid w:val="4F7738C8"/>
    <w:rsid w:val="4F8D1BA3"/>
    <w:rsid w:val="50115D98"/>
    <w:rsid w:val="50180913"/>
    <w:rsid w:val="5042188F"/>
    <w:rsid w:val="513B4E96"/>
    <w:rsid w:val="515B2E61"/>
    <w:rsid w:val="5223325C"/>
    <w:rsid w:val="52BF3272"/>
    <w:rsid w:val="530E3233"/>
    <w:rsid w:val="53852DC9"/>
    <w:rsid w:val="5386726D"/>
    <w:rsid w:val="540519ED"/>
    <w:rsid w:val="55435F41"/>
    <w:rsid w:val="55A7171D"/>
    <w:rsid w:val="55E661CC"/>
    <w:rsid w:val="56015FA8"/>
    <w:rsid w:val="56102EB5"/>
    <w:rsid w:val="567E11E9"/>
    <w:rsid w:val="56933C1B"/>
    <w:rsid w:val="56A63FEE"/>
    <w:rsid w:val="576458AF"/>
    <w:rsid w:val="57883566"/>
    <w:rsid w:val="58297DAC"/>
    <w:rsid w:val="58D00F8B"/>
    <w:rsid w:val="59044790"/>
    <w:rsid w:val="59611BE3"/>
    <w:rsid w:val="59875AED"/>
    <w:rsid w:val="5A1629CD"/>
    <w:rsid w:val="5A517EA9"/>
    <w:rsid w:val="5AEB1782"/>
    <w:rsid w:val="5AFA22EF"/>
    <w:rsid w:val="5B2578B9"/>
    <w:rsid w:val="5B266F2F"/>
    <w:rsid w:val="5BCA1926"/>
    <w:rsid w:val="5CE42047"/>
    <w:rsid w:val="5CFE4C15"/>
    <w:rsid w:val="5D79574D"/>
    <w:rsid w:val="5DBD1BFF"/>
    <w:rsid w:val="5DBF3AD3"/>
    <w:rsid w:val="5E826883"/>
    <w:rsid w:val="5F806C73"/>
    <w:rsid w:val="60077FCA"/>
    <w:rsid w:val="611D1FCC"/>
    <w:rsid w:val="616427FD"/>
    <w:rsid w:val="62031A89"/>
    <w:rsid w:val="63606B41"/>
    <w:rsid w:val="641451FA"/>
    <w:rsid w:val="643C6AED"/>
    <w:rsid w:val="64CC50D8"/>
    <w:rsid w:val="659737D4"/>
    <w:rsid w:val="675E2E21"/>
    <w:rsid w:val="67DB2DD0"/>
    <w:rsid w:val="686330C6"/>
    <w:rsid w:val="693F4F4A"/>
    <w:rsid w:val="6A1D7E55"/>
    <w:rsid w:val="6B2B3DFF"/>
    <w:rsid w:val="6C183D6E"/>
    <w:rsid w:val="6C5A7C87"/>
    <w:rsid w:val="6C8859AD"/>
    <w:rsid w:val="6DCB0E05"/>
    <w:rsid w:val="6E4A407E"/>
    <w:rsid w:val="703379DD"/>
    <w:rsid w:val="7065389B"/>
    <w:rsid w:val="707A1AB0"/>
    <w:rsid w:val="70D95DDC"/>
    <w:rsid w:val="724E21E5"/>
    <w:rsid w:val="728F4A04"/>
    <w:rsid w:val="74493C73"/>
    <w:rsid w:val="748345D6"/>
    <w:rsid w:val="74A54E21"/>
    <w:rsid w:val="757B4FC6"/>
    <w:rsid w:val="757B6040"/>
    <w:rsid w:val="7654306E"/>
    <w:rsid w:val="76F31C74"/>
    <w:rsid w:val="778525FB"/>
    <w:rsid w:val="779B7F76"/>
    <w:rsid w:val="786077DD"/>
    <w:rsid w:val="795641A9"/>
    <w:rsid w:val="7A8157E9"/>
    <w:rsid w:val="7ABA543F"/>
    <w:rsid w:val="7B152F32"/>
    <w:rsid w:val="7B8E6410"/>
    <w:rsid w:val="7D9F0FBC"/>
    <w:rsid w:val="7DBF0B02"/>
    <w:rsid w:val="7E554132"/>
    <w:rsid w:val="7EE27891"/>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47"/>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6"/>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7">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8">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3">
    <w:name w:val="C503-正文格式"/>
    <w:basedOn w:val="1"/>
    <w:autoRedefine/>
    <w:qFormat/>
    <w:uiPriority w:val="0"/>
    <w:pPr>
      <w:spacing w:line="360" w:lineRule="auto"/>
      <w:ind w:firstLine="480" w:firstLineChars="200"/>
    </w:pPr>
    <w:rPr>
      <w:rFonts w:ascii="Times New Roman" w:hAnsi="Times New Roman" w:eastAsia="宋体" w:cs="Times New Roman"/>
      <w:sz w:val="24"/>
      <w:szCs w:val="20"/>
      <w:lang w:val="zh-CN"/>
    </w:rPr>
  </w:style>
  <w:style w:type="paragraph" w:styleId="6">
    <w:name w:val="Normal Indent"/>
    <w:basedOn w:val="1"/>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link w:val="57"/>
    <w:autoRedefine/>
    <w:qFormat/>
    <w:uiPriority w:val="0"/>
    <w:pPr>
      <w:jc w:val="left"/>
    </w:pPr>
  </w:style>
  <w:style w:type="paragraph" w:styleId="12">
    <w:name w:val="Body Text"/>
    <w:basedOn w:val="1"/>
    <w:autoRedefine/>
    <w:qFormat/>
    <w:uiPriority w:val="0"/>
    <w:pPr>
      <w:spacing w:after="120"/>
    </w:pPr>
  </w:style>
  <w:style w:type="paragraph" w:styleId="13">
    <w:name w:val="Body Text Indent"/>
    <w:basedOn w:val="1"/>
    <w:next w:val="14"/>
    <w:autoRedefine/>
    <w:qFormat/>
    <w:uiPriority w:val="0"/>
    <w:pPr>
      <w:ind w:firstLine="630"/>
    </w:pPr>
    <w:rPr>
      <w:sz w:val="32"/>
      <w:szCs w:val="20"/>
    </w:rPr>
  </w:style>
  <w:style w:type="paragraph" w:styleId="14">
    <w:name w:val="envelope return"/>
    <w:basedOn w:val="1"/>
    <w:autoRedefine/>
    <w:qFormat/>
    <w:uiPriority w:val="99"/>
    <w:pPr>
      <w:snapToGrid w:val="0"/>
    </w:pPr>
    <w:rPr>
      <w:rFonts w:ascii="Arial" w:hAnsi="Arial" w:cs="Arial"/>
    </w:rPr>
  </w:style>
  <w:style w:type="paragraph" w:styleId="15">
    <w:name w:val="Plain Text"/>
    <w:basedOn w:val="1"/>
    <w:autoRedefine/>
    <w:qFormat/>
    <w:uiPriority w:val="0"/>
    <w:rPr>
      <w:rFonts w:ascii="宋体" w:hAnsi="Courier New"/>
      <w:szCs w:val="20"/>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56"/>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pPr>
      <w:spacing w:line="480" w:lineRule="auto"/>
    </w:pPr>
    <w:rPr>
      <w:rFonts w:ascii="Times New Roman" w:hAnsi="Times New Roman"/>
      <w:sz w:val="30"/>
    </w:rPr>
  </w:style>
  <w:style w:type="paragraph" w:styleId="21">
    <w:name w:val="toc 4"/>
    <w:basedOn w:val="1"/>
    <w:next w:val="1"/>
    <w:autoRedefine/>
    <w:qFormat/>
    <w:uiPriority w:val="0"/>
    <w:pPr>
      <w:ind w:left="1260" w:leftChars="600"/>
    </w:pPr>
  </w:style>
  <w:style w:type="paragraph" w:styleId="22">
    <w:name w:val="index heading"/>
    <w:basedOn w:val="1"/>
    <w:next w:val="23"/>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3">
    <w:name w:val="index 1"/>
    <w:basedOn w:val="1"/>
    <w:next w:val="1"/>
    <w:autoRedefine/>
    <w:unhideWhenUsed/>
    <w:qFormat/>
    <w:uiPriority w:val="0"/>
  </w:style>
  <w:style w:type="paragraph" w:styleId="24">
    <w:name w:val="footnote text"/>
    <w:basedOn w:val="1"/>
    <w:autoRedefine/>
    <w:qFormat/>
    <w:uiPriority w:val="0"/>
    <w:pPr>
      <w:snapToGrid w:val="0"/>
      <w:jc w:val="left"/>
    </w:pPr>
    <w:rPr>
      <w:sz w:val="18"/>
    </w:rPr>
  </w:style>
  <w:style w:type="paragraph" w:styleId="25">
    <w:name w:val="List 5"/>
    <w:basedOn w:val="1"/>
    <w:autoRedefine/>
    <w:qFormat/>
    <w:uiPriority w:val="0"/>
    <w:pPr>
      <w:ind w:left="2100" w:hanging="420"/>
    </w:pPr>
    <w:rPr>
      <w:rFonts w:eastAsia="楷体_GB2312"/>
      <w:sz w:val="32"/>
      <w:szCs w:val="20"/>
    </w:rPr>
  </w:style>
  <w:style w:type="paragraph" w:styleId="26">
    <w:name w:val="HTML Preformatted"/>
    <w:next w:val="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lang w:val="en-US" w:eastAsia="en-US" w:bidi="en-US"/>
    </w:rPr>
  </w:style>
  <w:style w:type="paragraph" w:styleId="27">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1"/>
    <w:next w:val="11"/>
    <w:link w:val="58"/>
    <w:autoRedefine/>
    <w:qFormat/>
    <w:uiPriority w:val="0"/>
    <w:rPr>
      <w:b/>
      <w:bCs/>
    </w:rPr>
  </w:style>
  <w:style w:type="paragraph" w:styleId="30">
    <w:name w:val="Body Text First Indent"/>
    <w:basedOn w:val="12"/>
    <w:next w:val="1"/>
    <w:autoRedefine/>
    <w:qFormat/>
    <w:uiPriority w:val="0"/>
    <w:pPr>
      <w:ind w:firstLine="420" w:firstLineChars="100"/>
    </w:pPr>
  </w:style>
  <w:style w:type="paragraph" w:styleId="31">
    <w:name w:val="Body Text First Indent 2"/>
    <w:basedOn w:val="13"/>
    <w:next w:val="6"/>
    <w:autoRedefine/>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Hyperlink"/>
    <w:basedOn w:val="34"/>
    <w:autoRedefine/>
    <w:qFormat/>
    <w:uiPriority w:val="0"/>
    <w:rPr>
      <w:rFonts w:ascii="Times New Roman" w:hAnsi="Times New Roman" w:eastAsia="微软雅黑" w:cs="Times New Roman"/>
      <w:color w:val="0000FF"/>
      <w:u w:val="single"/>
    </w:rPr>
  </w:style>
  <w:style w:type="character" w:styleId="37">
    <w:name w:val="annotation reference"/>
    <w:basedOn w:val="34"/>
    <w:autoRedefine/>
    <w:qFormat/>
    <w:uiPriority w:val="0"/>
    <w:rPr>
      <w:sz w:val="21"/>
      <w:szCs w:val="21"/>
    </w:rPr>
  </w:style>
  <w:style w:type="paragraph" w:customStyle="1" w:styleId="38">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39">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40">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1">
    <w:name w:val="NormalCharacter"/>
    <w:link w:val="42"/>
    <w:autoRedefine/>
    <w:qFormat/>
    <w:uiPriority w:val="0"/>
  </w:style>
  <w:style w:type="paragraph" w:customStyle="1" w:styleId="42">
    <w:name w:val="UserStyle_5"/>
    <w:basedOn w:val="1"/>
    <w:link w:val="41"/>
    <w:autoRedefine/>
    <w:qFormat/>
    <w:uiPriority w:val="0"/>
    <w:pPr>
      <w:widowControl/>
      <w:spacing w:after="160" w:line="240" w:lineRule="exact"/>
      <w:jc w:val="left"/>
      <w:textAlignment w:val="baseline"/>
    </w:pPr>
  </w:style>
  <w:style w:type="character" w:customStyle="1" w:styleId="43">
    <w:name w:val="UserStyle_3"/>
    <w:autoRedefine/>
    <w:qFormat/>
    <w:uiPriority w:val="0"/>
    <w:rPr>
      <w:rFonts w:ascii="宋体" w:hAnsi="宋体" w:eastAsia="宋体"/>
      <w:b/>
      <w:sz w:val="32"/>
      <w:szCs w:val="32"/>
    </w:rPr>
  </w:style>
  <w:style w:type="paragraph" w:customStyle="1" w:styleId="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4正文"/>
    <w:basedOn w:val="1"/>
    <w:autoRedefine/>
    <w:qFormat/>
    <w:uiPriority w:val="0"/>
    <w:pPr>
      <w:snapToGrid w:val="0"/>
      <w:spacing w:line="360" w:lineRule="auto"/>
      <w:ind w:firstLine="480" w:firstLineChars="200"/>
    </w:pPr>
    <w:rPr>
      <w:rFonts w:eastAsia="仿宋"/>
      <w:sz w:val="24"/>
    </w:rPr>
  </w:style>
  <w:style w:type="paragraph" w:customStyle="1" w:styleId="46">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47">
    <w:name w:val="标题 1 Char"/>
    <w:link w:val="2"/>
    <w:autoRedefine/>
    <w:qFormat/>
    <w:uiPriority w:val="0"/>
    <w:rPr>
      <w:rFonts w:ascii="Calibri" w:hAnsi="Calibri" w:eastAsia="宋体" w:cs="Times New Roman"/>
      <w:kern w:val="44"/>
      <w:sz w:val="44"/>
      <w:szCs w:val="44"/>
    </w:rPr>
  </w:style>
  <w:style w:type="paragraph" w:customStyle="1" w:styleId="48">
    <w:name w:val="Table Paragraph"/>
    <w:basedOn w:val="1"/>
    <w:autoRedefine/>
    <w:unhideWhenUsed/>
    <w:qFormat/>
    <w:uiPriority w:val="1"/>
    <w:rPr>
      <w:sz w:val="24"/>
    </w:rPr>
  </w:style>
  <w:style w:type="paragraph" w:customStyle="1" w:styleId="49">
    <w:name w:val="列出段落1"/>
    <w:basedOn w:val="1"/>
    <w:autoRedefine/>
    <w:qFormat/>
    <w:uiPriority w:val="0"/>
    <w:pPr>
      <w:spacing w:line="360" w:lineRule="auto"/>
      <w:ind w:firstLine="420" w:firstLineChars="200"/>
    </w:pPr>
    <w:rPr>
      <w:rFonts w:ascii="等线" w:hAnsi="等线"/>
      <w:szCs w:val="22"/>
    </w:rPr>
  </w:style>
  <w:style w:type="paragraph" w:customStyle="1" w:styleId="50">
    <w:name w:val="样式 正文缩进 + 首行缩进:  2 字符"/>
    <w:basedOn w:val="6"/>
    <w:autoRedefine/>
    <w:qFormat/>
    <w:uiPriority w:val="0"/>
    <w:pPr>
      <w:spacing w:line="360" w:lineRule="auto"/>
      <w:ind w:firstLine="200"/>
    </w:pPr>
    <w:rPr>
      <w:rFonts w:cs="宋体"/>
      <w:sz w:val="24"/>
      <w:szCs w:val="20"/>
    </w:rPr>
  </w:style>
  <w:style w:type="paragraph" w:customStyle="1" w:styleId="51">
    <w:name w:val="WPS Plain"/>
    <w:basedOn w:val="1"/>
    <w:autoRedefine/>
    <w:qFormat/>
    <w:uiPriority w:val="0"/>
    <w:pPr>
      <w:widowControl/>
      <w:jc w:val="left"/>
    </w:pPr>
    <w:rPr>
      <w:rFonts w:ascii="Times New Roman"/>
      <w:sz w:val="24"/>
    </w:rPr>
  </w:style>
  <w:style w:type="paragraph" w:customStyle="1" w:styleId="52">
    <w:name w:val="普通(网站)1"/>
    <w:basedOn w:val="1"/>
    <w:autoRedefine/>
    <w:qFormat/>
    <w:uiPriority w:val="0"/>
    <w:pPr>
      <w:jc w:val="left"/>
    </w:pPr>
    <w:rPr>
      <w:kern w:val="0"/>
      <w:sz w:val="24"/>
    </w:rPr>
  </w:style>
  <w:style w:type="paragraph" w:customStyle="1" w:styleId="53">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4">
    <w:name w:val="纯文本1"/>
    <w:basedOn w:val="1"/>
    <w:autoRedefine/>
    <w:qFormat/>
    <w:uiPriority w:val="0"/>
    <w:rPr>
      <w:rFonts w:ascii="宋体" w:hAnsi="Courier New"/>
      <w:szCs w:val="22"/>
    </w:rPr>
  </w:style>
  <w:style w:type="paragraph" w:styleId="55">
    <w:name w:val="List Paragraph"/>
    <w:basedOn w:val="1"/>
    <w:autoRedefine/>
    <w:qFormat/>
    <w:uiPriority w:val="99"/>
    <w:pPr>
      <w:ind w:firstLine="420" w:firstLineChars="200"/>
    </w:pPr>
  </w:style>
  <w:style w:type="character" w:customStyle="1" w:styleId="56">
    <w:name w:val="批注框文本 Char"/>
    <w:basedOn w:val="34"/>
    <w:link w:val="17"/>
    <w:autoRedefine/>
    <w:qFormat/>
    <w:uiPriority w:val="0"/>
    <w:rPr>
      <w:rFonts w:ascii="Calibri" w:hAnsi="Calibri"/>
      <w:kern w:val="2"/>
      <w:sz w:val="18"/>
      <w:szCs w:val="18"/>
    </w:rPr>
  </w:style>
  <w:style w:type="character" w:customStyle="1" w:styleId="57">
    <w:name w:val="批注文字 Char"/>
    <w:basedOn w:val="34"/>
    <w:link w:val="11"/>
    <w:autoRedefine/>
    <w:qFormat/>
    <w:uiPriority w:val="0"/>
    <w:rPr>
      <w:rFonts w:ascii="Calibri" w:hAnsi="Calibri"/>
      <w:kern w:val="2"/>
      <w:sz w:val="21"/>
      <w:szCs w:val="24"/>
    </w:rPr>
  </w:style>
  <w:style w:type="character" w:customStyle="1" w:styleId="58">
    <w:name w:val="批注主题 Char"/>
    <w:basedOn w:val="57"/>
    <w:link w:val="29"/>
    <w:autoRedefine/>
    <w:qFormat/>
    <w:uiPriority w:val="0"/>
    <w:rPr>
      <w:rFonts w:ascii="Calibri" w:hAnsi="Calibri"/>
      <w:b/>
      <w:bCs/>
      <w:kern w:val="2"/>
      <w:sz w:val="21"/>
      <w:szCs w:val="24"/>
    </w:rPr>
  </w:style>
  <w:style w:type="paragraph" w:customStyle="1" w:styleId="59">
    <w:name w:val="普通(网站)2"/>
    <w:basedOn w:val="1"/>
    <w:autoRedefine/>
    <w:qFormat/>
    <w:uiPriority w:val="0"/>
    <w:pPr>
      <w:jc w:val="left"/>
    </w:pPr>
    <w:rPr>
      <w:rFonts w:ascii="Times New Roman" w:hAnsi="Times New Roman"/>
      <w:kern w:val="0"/>
      <w:sz w:val="24"/>
    </w:rPr>
  </w:style>
  <w:style w:type="paragraph" w:customStyle="1" w:styleId="60">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2">
    <w:name w:val="题注5"/>
    <w:basedOn w:val="1"/>
    <w:next w:val="9"/>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列表段落1"/>
    <w:basedOn w:val="1"/>
    <w:autoRedefine/>
    <w:qFormat/>
    <w:uiPriority w:val="0"/>
    <w:pPr>
      <w:ind w:firstLine="420" w:firstLineChars="200"/>
    </w:pPr>
    <w:rPr>
      <w:rFonts w:ascii="Calibri" w:hAnsi="Calibri" w:cs="黑体"/>
      <w:szCs w:val="22"/>
    </w:rPr>
  </w:style>
  <w:style w:type="character" w:customStyle="1" w:styleId="66">
    <w:name w:val="font41"/>
    <w:basedOn w:val="34"/>
    <w:autoRedefine/>
    <w:qFormat/>
    <w:uiPriority w:val="0"/>
    <w:rPr>
      <w:rFonts w:ascii="Arial" w:hAnsi="Arial" w:cs="Arial"/>
      <w:color w:val="000000"/>
      <w:sz w:val="20"/>
      <w:szCs w:val="20"/>
      <w:u w:val="none"/>
    </w:rPr>
  </w:style>
  <w:style w:type="character" w:customStyle="1" w:styleId="67">
    <w:name w:val="font241"/>
    <w:basedOn w:val="34"/>
    <w:autoRedefine/>
    <w:qFormat/>
    <w:uiPriority w:val="0"/>
    <w:rPr>
      <w:rFonts w:ascii="方正黑体_GBK" w:hAnsi="方正黑体_GBK" w:eastAsia="方正黑体_GBK" w:cs="方正黑体_GBK"/>
      <w:color w:val="000000"/>
      <w:sz w:val="44"/>
      <w:szCs w:val="44"/>
      <w:u w:val="none"/>
    </w:rPr>
  </w:style>
  <w:style w:type="character" w:customStyle="1" w:styleId="68">
    <w:name w:val="font11"/>
    <w:basedOn w:val="34"/>
    <w:autoRedefine/>
    <w:qFormat/>
    <w:uiPriority w:val="0"/>
    <w:rPr>
      <w:rFonts w:hint="default" w:ascii="Times New Roman" w:hAnsi="Times New Roman" w:cs="Times New Roman"/>
      <w:color w:val="000000"/>
      <w:sz w:val="44"/>
      <w:szCs w:val="44"/>
      <w:u w:val="none"/>
    </w:rPr>
  </w:style>
  <w:style w:type="character" w:customStyle="1" w:styleId="69">
    <w:name w:val="font91"/>
    <w:basedOn w:val="34"/>
    <w:autoRedefine/>
    <w:qFormat/>
    <w:uiPriority w:val="0"/>
    <w:rPr>
      <w:rFonts w:hint="default" w:ascii="Times New Roman" w:hAnsi="Times New Roman" w:cs="Times New Roman"/>
      <w:color w:val="000000"/>
      <w:sz w:val="28"/>
      <w:szCs w:val="28"/>
      <w:u w:val="none"/>
    </w:rPr>
  </w:style>
  <w:style w:type="character" w:customStyle="1" w:styleId="70">
    <w:name w:val="font121"/>
    <w:basedOn w:val="34"/>
    <w:autoRedefine/>
    <w:qFormat/>
    <w:uiPriority w:val="0"/>
    <w:rPr>
      <w:rFonts w:hint="eastAsia" w:ascii="宋体" w:hAnsi="宋体" w:eastAsia="宋体" w:cs="宋体"/>
      <w:color w:val="000000"/>
      <w:sz w:val="28"/>
      <w:szCs w:val="28"/>
      <w:u w:val="none"/>
    </w:rPr>
  </w:style>
  <w:style w:type="character" w:customStyle="1" w:styleId="71">
    <w:name w:val="font251"/>
    <w:basedOn w:val="34"/>
    <w:autoRedefine/>
    <w:qFormat/>
    <w:uiPriority w:val="0"/>
    <w:rPr>
      <w:rFonts w:hint="default" w:ascii="Times New Roman" w:hAnsi="Times New Roman" w:cs="Times New Roman"/>
      <w:color w:val="000000"/>
      <w:sz w:val="44"/>
      <w:szCs w:val="44"/>
      <w:u w:val="none"/>
    </w:rPr>
  </w:style>
  <w:style w:type="character" w:customStyle="1" w:styleId="72">
    <w:name w:val="font101"/>
    <w:basedOn w:val="34"/>
    <w:autoRedefine/>
    <w:qFormat/>
    <w:uiPriority w:val="0"/>
    <w:rPr>
      <w:rFonts w:hint="eastAsia" w:ascii="方正仿宋_GBK" w:hAnsi="方正仿宋_GBK" w:eastAsia="方正仿宋_GBK" w:cs="方正仿宋_GBK"/>
      <w:color w:val="000000"/>
      <w:sz w:val="44"/>
      <w:szCs w:val="44"/>
      <w:u w:val="none"/>
    </w:rPr>
  </w:style>
  <w:style w:type="character" w:customStyle="1" w:styleId="73">
    <w:name w:val="font131"/>
    <w:basedOn w:val="34"/>
    <w:autoRedefine/>
    <w:qFormat/>
    <w:uiPriority w:val="0"/>
    <w:rPr>
      <w:rFonts w:hint="eastAsia" w:ascii="方正仿宋_GBK" w:hAnsi="方正仿宋_GBK" w:eastAsia="方正仿宋_GBK" w:cs="方正仿宋_GBK"/>
      <w:color w:val="000000"/>
      <w:sz w:val="28"/>
      <w:szCs w:val="28"/>
      <w:u w:val="none"/>
    </w:rPr>
  </w:style>
  <w:style w:type="character" w:customStyle="1" w:styleId="74">
    <w:name w:val="font261"/>
    <w:basedOn w:val="34"/>
    <w:autoRedefine/>
    <w:qFormat/>
    <w:uiPriority w:val="0"/>
    <w:rPr>
      <w:rFonts w:ascii="Arial" w:hAnsi="Arial" w:cs="Arial"/>
      <w:color w:val="000000"/>
      <w:sz w:val="28"/>
      <w:szCs w:val="28"/>
      <w:u w:val="none"/>
    </w:rPr>
  </w:style>
  <w:style w:type="character" w:customStyle="1" w:styleId="75">
    <w:name w:val="font191"/>
    <w:basedOn w:val="34"/>
    <w:autoRedefine/>
    <w:qFormat/>
    <w:uiPriority w:val="0"/>
    <w:rPr>
      <w:rFonts w:hint="eastAsia" w:ascii="宋体" w:hAnsi="宋体" w:eastAsia="宋体" w:cs="宋体"/>
      <w:color w:val="000000"/>
      <w:sz w:val="28"/>
      <w:szCs w:val="28"/>
      <w:u w:val="none"/>
    </w:rPr>
  </w:style>
  <w:style w:type="character" w:customStyle="1" w:styleId="76">
    <w:name w:val="font271"/>
    <w:basedOn w:val="34"/>
    <w:autoRedefine/>
    <w:qFormat/>
    <w:uiPriority w:val="0"/>
    <w:rPr>
      <w:rFonts w:hint="default" w:ascii="Times New Roman" w:hAnsi="Times New Roman" w:cs="Times New Roman"/>
      <w:color w:val="000000"/>
      <w:sz w:val="28"/>
      <w:szCs w:val="28"/>
      <w:u w:val="none"/>
    </w:rPr>
  </w:style>
  <w:style w:type="character" w:customStyle="1" w:styleId="77">
    <w:name w:val="font231"/>
    <w:basedOn w:val="34"/>
    <w:autoRedefine/>
    <w:qFormat/>
    <w:uiPriority w:val="0"/>
    <w:rPr>
      <w:rFonts w:hint="eastAsia" w:ascii="方正仿宋_GBK" w:hAnsi="方正仿宋_GBK" w:eastAsia="方正仿宋_GBK" w:cs="方正仿宋_GBK"/>
      <w:color w:val="000000"/>
      <w:sz w:val="48"/>
      <w:szCs w:val="48"/>
      <w:u w:val="none"/>
    </w:rPr>
  </w:style>
  <w:style w:type="character" w:customStyle="1" w:styleId="78">
    <w:name w:val="font81"/>
    <w:basedOn w:val="34"/>
    <w:autoRedefine/>
    <w:qFormat/>
    <w:uiPriority w:val="0"/>
    <w:rPr>
      <w:rFonts w:hint="default" w:ascii="Times New Roman" w:hAnsi="Times New Roman" w:cs="Times New Roman"/>
      <w:color w:val="000000"/>
      <w:sz w:val="48"/>
      <w:szCs w:val="48"/>
      <w:u w:val="none"/>
    </w:rPr>
  </w:style>
  <w:style w:type="character" w:customStyle="1" w:styleId="79">
    <w:name w:val="font51"/>
    <w:basedOn w:val="34"/>
    <w:qFormat/>
    <w:uiPriority w:val="0"/>
    <w:rPr>
      <w:rFonts w:hint="default" w:ascii="方正仿宋_GBK" w:hAnsi="方正仿宋_GBK" w:eastAsia="方正仿宋_GBK" w:cs="方正仿宋_GBK"/>
      <w:color w:val="000000"/>
      <w:sz w:val="22"/>
      <w:szCs w:val="22"/>
      <w:u w:val="none"/>
    </w:rPr>
  </w:style>
  <w:style w:type="character" w:customStyle="1" w:styleId="80">
    <w:name w:val="font71"/>
    <w:basedOn w:val="34"/>
    <w:qFormat/>
    <w:uiPriority w:val="0"/>
    <w:rPr>
      <w:rFonts w:hint="default" w:ascii="方正仿宋_GBK" w:hAnsi="方正仿宋_GBK" w:eastAsia="方正仿宋_GBK" w:cs="方正仿宋_GBK"/>
      <w:color w:val="FF0000"/>
      <w:sz w:val="22"/>
      <w:szCs w:val="22"/>
      <w:u w:val="none"/>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10950</Words>
  <Characters>11753</Characters>
  <Lines>214</Lines>
  <Paragraphs>60</Paragraphs>
  <TotalTime>47</TotalTime>
  <ScaleCrop>false</ScaleCrop>
  <LinksUpToDate>false</LinksUpToDate>
  <CharactersWithSpaces>12845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浮生若梦</cp:lastModifiedBy>
  <cp:lastPrinted>2024-05-30T05:14:00Z</cp:lastPrinted>
  <dcterms:modified xsi:type="dcterms:W3CDTF">2025-07-14T09:05:46Z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348F9E0EE33B411689E7B2077CFAF720_13</vt:lpwstr>
  </property>
  <property fmtid="{D5CDD505-2E9C-101B-9397-08002B2CF9AE}" pid="4" name="KSOTemplateDocerSaveRecord">
    <vt:lpwstr>eyJoZGlkIjoiZjkwNzA2MzIzNjQwYjZmZjBkNmM1ZGQ0ODJkMDg0ZjYiLCJ1c2VySWQiOiI0NDE3NzU2OTEifQ==</vt:lpwstr>
  </property>
</Properties>
</file>