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08007">
      <w:pPr>
        <w:pStyle w:val="7"/>
        <w:ind w:left="0" w:leftChars="0" w:firstLine="0" w:firstLineChars="0"/>
        <w:jc w:val="center"/>
        <w:outlineLvl w:val="9"/>
        <w:rPr>
          <w:highlight w:val="none"/>
        </w:rPr>
      </w:pPr>
      <w:r>
        <w:rPr>
          <w:rFonts w:hint="eastAsia" w:ascii="黑体" w:hAnsi="黑体" w:eastAsia="黑体" w:cs="黑体"/>
          <w:bCs/>
          <w:sz w:val="52"/>
          <w:szCs w:val="52"/>
          <w:highlight w:val="none"/>
          <w:lang w:val="en-US" w:eastAsia="zh-CN"/>
        </w:rPr>
        <w:t>英吉沙县铸牢中华民族共同体意识交往交流交融项目——英吉沙县“石榴花·巾帼援疆行动”暨“民族团结一家亲”结对联谊项目</w:t>
      </w:r>
    </w:p>
    <w:p w14:paraId="6494D765">
      <w:pPr>
        <w:outlineLvl w:val="9"/>
        <w:rPr>
          <w:highlight w:val="none"/>
        </w:rPr>
      </w:pPr>
    </w:p>
    <w:p w14:paraId="528EA16B">
      <w:pPr>
        <w:pStyle w:val="14"/>
        <w:outlineLvl w:val="9"/>
        <w:rPr>
          <w:highlight w:val="none"/>
        </w:rPr>
      </w:pPr>
    </w:p>
    <w:p w14:paraId="7E89FC13">
      <w:pPr>
        <w:pStyle w:val="37"/>
        <w:outlineLvl w:val="9"/>
        <w:rPr>
          <w:highlight w:val="none"/>
        </w:rPr>
      </w:pPr>
    </w:p>
    <w:p w14:paraId="550AD627">
      <w:pPr>
        <w:spacing w:line="240" w:lineRule="atLeast"/>
        <w:ind w:left="1079" w:leftChars="257" w:hanging="540"/>
        <w:jc w:val="center"/>
        <w:outlineLvl w:val="9"/>
        <w:rPr>
          <w:rFonts w:hint="default" w:ascii="华文中宋" w:hAnsi="华文中宋" w:eastAsia="华文中宋" w:cs="华文中宋"/>
          <w:bCs/>
          <w:sz w:val="52"/>
          <w:szCs w:val="52"/>
          <w:highlight w:val="none"/>
          <w:lang w:val="en-US" w:eastAsia="zh-CN"/>
        </w:rPr>
      </w:pPr>
      <w:r>
        <w:rPr>
          <w:rFonts w:hint="eastAsia" w:ascii="华文中宋" w:hAnsi="华文中宋" w:eastAsia="华文中宋" w:cs="华文中宋"/>
          <w:bCs/>
          <w:sz w:val="52"/>
          <w:szCs w:val="52"/>
          <w:highlight w:val="none"/>
          <w:lang w:val="en-US" w:eastAsia="zh-CN"/>
        </w:rPr>
        <w:t>竞争性磋商文件</w:t>
      </w:r>
    </w:p>
    <w:p w14:paraId="39822F88">
      <w:pPr>
        <w:pStyle w:val="14"/>
        <w:outlineLvl w:val="9"/>
        <w:rPr>
          <w:rFonts w:hint="eastAsia"/>
          <w:highlight w:val="none"/>
        </w:rPr>
      </w:pPr>
    </w:p>
    <w:p w14:paraId="7DCBA399">
      <w:pPr>
        <w:spacing w:line="240" w:lineRule="atLeast"/>
        <w:ind w:left="0" w:leftChars="0" w:hanging="18" w:firstLineChars="0"/>
        <w:jc w:val="center"/>
        <w:outlineLvl w:val="9"/>
        <w:rPr>
          <w:rFonts w:hint="eastAsia" w:ascii="黑体" w:eastAsia="黑体"/>
          <w:sz w:val="28"/>
          <w:highlight w:val="none"/>
        </w:rPr>
      </w:pPr>
    </w:p>
    <w:p w14:paraId="49DEF0C0">
      <w:pPr>
        <w:spacing w:line="240" w:lineRule="atLeast"/>
        <w:ind w:left="0" w:leftChars="0" w:hanging="18" w:firstLineChars="0"/>
        <w:jc w:val="center"/>
        <w:outlineLvl w:val="9"/>
        <w:rPr>
          <w:rFonts w:hint="eastAsia" w:ascii="仿宋_GB2312" w:eastAsia="仿宋_GB2312"/>
          <w:b/>
          <w:sz w:val="28"/>
          <w:highlight w:val="none"/>
        </w:rPr>
      </w:pPr>
      <w:r>
        <w:rPr>
          <w:rFonts w:hint="eastAsia" w:ascii="黑体" w:eastAsia="黑体"/>
          <w:sz w:val="28"/>
          <w:highlight w:val="none"/>
        </w:rPr>
        <w:t>项目编号：</w:t>
      </w:r>
      <w:r>
        <w:rPr>
          <w:rFonts w:hint="eastAsia" w:ascii="黑体" w:hAnsi="黑体" w:eastAsia="黑体" w:cs="黑体"/>
          <w:sz w:val="32"/>
          <w:szCs w:val="40"/>
          <w:highlight w:val="none"/>
          <w:lang w:eastAsia="zh-CN"/>
        </w:rPr>
        <w:t>ZTZXYJSX（CS）DL-2025-20</w:t>
      </w:r>
    </w:p>
    <w:p w14:paraId="58E37115">
      <w:pPr>
        <w:pStyle w:val="7"/>
        <w:outlineLvl w:val="9"/>
        <w:rPr>
          <w:rFonts w:hint="eastAsia"/>
          <w:highlight w:val="none"/>
        </w:rPr>
      </w:pPr>
    </w:p>
    <w:p w14:paraId="38E4E3CA">
      <w:pPr>
        <w:outlineLvl w:val="9"/>
        <w:rPr>
          <w:rFonts w:hint="eastAsia"/>
          <w:highlight w:val="none"/>
        </w:rPr>
      </w:pPr>
    </w:p>
    <w:p w14:paraId="03EE6801">
      <w:pPr>
        <w:pStyle w:val="7"/>
        <w:outlineLvl w:val="9"/>
        <w:rPr>
          <w:rFonts w:hint="eastAsia"/>
          <w:highlight w:val="none"/>
        </w:rPr>
      </w:pPr>
      <w:bookmarkStart w:id="584" w:name="_GoBack"/>
      <w:bookmarkEnd w:id="584"/>
    </w:p>
    <w:p w14:paraId="446D490D">
      <w:pPr>
        <w:spacing w:line="240" w:lineRule="atLeast"/>
        <w:ind w:left="1079" w:leftChars="257" w:hanging="540"/>
        <w:jc w:val="center"/>
        <w:outlineLvl w:val="9"/>
        <w:rPr>
          <w:rFonts w:hint="eastAsia" w:ascii="仿宋_GB2312" w:eastAsia="仿宋_GB2312"/>
          <w:b/>
          <w:sz w:val="48"/>
          <w:szCs w:val="48"/>
          <w:highlight w:val="none"/>
        </w:rPr>
      </w:pPr>
      <w:r>
        <w:rPr>
          <w:rFonts w:hint="eastAsia" w:ascii="仿宋_GB2312" w:eastAsia="仿宋_GB2312"/>
          <w:b/>
          <w:sz w:val="48"/>
          <w:szCs w:val="48"/>
          <w:highlight w:val="none"/>
        </w:rPr>
        <w:t>第一册</w:t>
      </w:r>
    </w:p>
    <w:p w14:paraId="6EC4D191">
      <w:pPr>
        <w:outlineLvl w:val="9"/>
        <w:rPr>
          <w:rFonts w:hint="eastAsia"/>
          <w:highlight w:val="none"/>
        </w:rPr>
      </w:pPr>
    </w:p>
    <w:p w14:paraId="023EA4DE">
      <w:pPr>
        <w:spacing w:line="240" w:lineRule="atLeast"/>
        <w:ind w:left="1079" w:leftChars="257" w:hanging="540"/>
        <w:jc w:val="center"/>
        <w:outlineLvl w:val="9"/>
        <w:rPr>
          <w:rFonts w:hint="eastAsia" w:ascii="仿宋_GB2312" w:eastAsia="仿宋_GB2312"/>
          <w:b/>
          <w:sz w:val="52"/>
          <w:highlight w:val="none"/>
        </w:rPr>
      </w:pPr>
    </w:p>
    <w:p w14:paraId="624CF768">
      <w:pPr>
        <w:spacing w:line="720" w:lineRule="auto"/>
        <w:ind w:firstLine="897" w:firstLineChars="299"/>
        <w:outlineLvl w:val="9"/>
        <w:rPr>
          <w:rFonts w:hint="eastAsia" w:ascii="仿宋" w:hAnsi="仿宋" w:eastAsia="仿宋" w:cs="黑体"/>
          <w:b/>
          <w:bCs/>
          <w:sz w:val="30"/>
          <w:szCs w:val="30"/>
          <w:highlight w:val="none"/>
          <w:u w:val="single"/>
        </w:rPr>
      </w:pPr>
      <w:r>
        <w:rPr>
          <w:rFonts w:hint="eastAsia" w:ascii="仿宋" w:hAnsi="仿宋" w:eastAsia="仿宋" w:cs="黑体"/>
          <w:b/>
          <w:bCs/>
          <w:sz w:val="30"/>
          <w:szCs w:val="30"/>
          <w:highlight w:val="none"/>
        </w:rPr>
        <w:t>采  购 单 位：</w:t>
      </w:r>
      <w:r>
        <w:rPr>
          <w:rFonts w:hint="eastAsia" w:ascii="仿宋" w:hAnsi="仿宋" w:eastAsia="仿宋" w:cs="黑体"/>
          <w:b/>
          <w:bCs/>
          <w:sz w:val="30"/>
          <w:szCs w:val="30"/>
          <w:highlight w:val="none"/>
          <w:u w:val="single"/>
          <w:lang w:val="en-US" w:eastAsia="zh-CN"/>
        </w:rPr>
        <w:t>英吉沙县妇女联合会</w:t>
      </w:r>
      <w:r>
        <w:rPr>
          <w:rFonts w:hint="eastAsia" w:ascii="仿宋" w:hAnsi="仿宋" w:eastAsia="仿宋" w:cs="黑体"/>
          <w:b/>
          <w:bCs/>
          <w:sz w:val="30"/>
          <w:szCs w:val="30"/>
          <w:highlight w:val="none"/>
          <w:u w:val="single"/>
        </w:rPr>
        <w:t xml:space="preserve">  </w:t>
      </w:r>
    </w:p>
    <w:p w14:paraId="22988E9C">
      <w:pPr>
        <w:spacing w:line="720" w:lineRule="auto"/>
        <w:ind w:firstLine="897" w:firstLineChars="299"/>
        <w:outlineLvl w:val="9"/>
        <w:rPr>
          <w:rFonts w:hint="eastAsia" w:ascii="仿宋" w:hAnsi="仿宋" w:eastAsia="仿宋" w:cs="黑体"/>
          <w:b/>
          <w:bCs/>
          <w:sz w:val="30"/>
          <w:szCs w:val="30"/>
          <w:highlight w:val="none"/>
          <w:u w:val="single"/>
        </w:rPr>
      </w:pPr>
      <w:r>
        <w:rPr>
          <w:rFonts w:hint="eastAsia" w:ascii="仿宋" w:hAnsi="仿宋" w:eastAsia="仿宋" w:cs="黑体"/>
          <w:b/>
          <w:bCs/>
          <w:sz w:val="30"/>
          <w:szCs w:val="30"/>
          <w:highlight w:val="none"/>
        </w:rPr>
        <w:t>采购代理机构：</w:t>
      </w:r>
      <w:r>
        <w:rPr>
          <w:rFonts w:hint="eastAsia" w:ascii="仿宋" w:hAnsi="仿宋" w:eastAsia="仿宋" w:cs="黑体"/>
          <w:b/>
          <w:bCs/>
          <w:sz w:val="30"/>
          <w:szCs w:val="30"/>
          <w:highlight w:val="none"/>
          <w:u w:val="single"/>
          <w:lang w:eastAsia="zh-CN"/>
        </w:rPr>
        <w:t>新疆中泰正信项目管理有限公司</w:t>
      </w:r>
      <w:r>
        <w:rPr>
          <w:rFonts w:hint="eastAsia" w:ascii="仿宋" w:hAnsi="仿宋" w:eastAsia="仿宋" w:cs="黑体"/>
          <w:b/>
          <w:bCs/>
          <w:sz w:val="30"/>
          <w:szCs w:val="30"/>
          <w:highlight w:val="none"/>
          <w:u w:val="single"/>
        </w:rPr>
        <w:t xml:space="preserve">  </w:t>
      </w:r>
    </w:p>
    <w:p w14:paraId="79B2725A">
      <w:pPr>
        <w:spacing w:line="240" w:lineRule="atLeast"/>
        <w:ind w:left="1308" w:leftChars="399" w:hanging="471" w:hangingChars="157"/>
        <w:outlineLvl w:val="9"/>
        <w:rPr>
          <w:rFonts w:hint="eastAsia" w:ascii="仿宋_GB2312" w:eastAsia="仿宋_GB2312"/>
          <w:b/>
          <w:szCs w:val="21"/>
          <w:highlight w:val="none"/>
        </w:rPr>
      </w:pPr>
      <w:r>
        <w:rPr>
          <w:rFonts w:hint="eastAsia" w:ascii="仿宋" w:hAnsi="仿宋" w:eastAsia="仿宋" w:cs="黑体"/>
          <w:b/>
          <w:bCs/>
          <w:sz w:val="30"/>
          <w:szCs w:val="30"/>
          <w:highlight w:val="none"/>
        </w:rPr>
        <w:t>发  出 日 期：</w:t>
      </w:r>
      <w:r>
        <w:rPr>
          <w:rFonts w:hint="eastAsia" w:ascii="仿宋" w:hAnsi="仿宋" w:eastAsia="仿宋" w:cs="黑体"/>
          <w:b/>
          <w:bCs/>
          <w:sz w:val="30"/>
          <w:szCs w:val="30"/>
          <w:highlight w:val="none"/>
          <w:u w:val="single"/>
          <w:lang w:eastAsia="zh-CN"/>
        </w:rPr>
        <w:t>202</w:t>
      </w:r>
      <w:r>
        <w:rPr>
          <w:rFonts w:hint="eastAsia" w:ascii="仿宋" w:hAnsi="仿宋" w:eastAsia="仿宋" w:cs="黑体"/>
          <w:b/>
          <w:bCs/>
          <w:sz w:val="30"/>
          <w:szCs w:val="30"/>
          <w:highlight w:val="none"/>
          <w:u w:val="single"/>
          <w:lang w:val="en-US" w:eastAsia="zh-CN"/>
        </w:rPr>
        <w:t>5</w:t>
      </w:r>
      <w:r>
        <w:rPr>
          <w:rFonts w:hint="eastAsia" w:ascii="仿宋" w:hAnsi="仿宋" w:eastAsia="仿宋" w:cs="黑体"/>
          <w:b/>
          <w:bCs/>
          <w:sz w:val="30"/>
          <w:szCs w:val="30"/>
          <w:highlight w:val="none"/>
          <w:u w:val="single"/>
          <w:lang w:eastAsia="zh-CN"/>
        </w:rPr>
        <w:t>年0</w:t>
      </w:r>
      <w:r>
        <w:rPr>
          <w:rFonts w:hint="eastAsia" w:ascii="仿宋" w:hAnsi="仿宋" w:eastAsia="仿宋" w:cs="黑体"/>
          <w:b/>
          <w:bCs/>
          <w:sz w:val="30"/>
          <w:szCs w:val="30"/>
          <w:highlight w:val="none"/>
          <w:u w:val="single"/>
          <w:lang w:val="en-US" w:eastAsia="zh-CN"/>
        </w:rPr>
        <w:t>7</w:t>
      </w:r>
      <w:r>
        <w:rPr>
          <w:rFonts w:hint="eastAsia" w:ascii="仿宋" w:hAnsi="仿宋" w:eastAsia="仿宋" w:cs="黑体"/>
          <w:b/>
          <w:bCs/>
          <w:sz w:val="30"/>
          <w:szCs w:val="30"/>
          <w:highlight w:val="none"/>
          <w:u w:val="single"/>
          <w:lang w:eastAsia="zh-CN"/>
        </w:rPr>
        <w:t>月</w:t>
      </w:r>
      <w:r>
        <w:rPr>
          <w:rFonts w:hint="eastAsia" w:ascii="仿宋" w:hAnsi="仿宋" w:eastAsia="仿宋" w:cs="黑体"/>
          <w:b/>
          <w:bCs/>
          <w:sz w:val="30"/>
          <w:szCs w:val="30"/>
          <w:highlight w:val="none"/>
          <w:u w:val="single"/>
          <w:lang w:val="en-US" w:eastAsia="zh-CN"/>
        </w:rPr>
        <w:t xml:space="preserve">    </w:t>
      </w:r>
      <w:r>
        <w:rPr>
          <w:rFonts w:hint="eastAsia" w:ascii="仿宋" w:hAnsi="仿宋" w:eastAsia="仿宋" w:cs="黑体"/>
          <w:b/>
          <w:bCs/>
          <w:sz w:val="30"/>
          <w:szCs w:val="30"/>
          <w:highlight w:val="none"/>
          <w:u w:val="single"/>
        </w:rPr>
        <w:t xml:space="preserve">      </w:t>
      </w:r>
      <w:r>
        <w:rPr>
          <w:rFonts w:hint="eastAsia" w:ascii="仿宋" w:hAnsi="仿宋" w:eastAsia="仿宋" w:cs="黑体"/>
          <w:b/>
          <w:bCs/>
          <w:sz w:val="30"/>
          <w:szCs w:val="30"/>
          <w:highlight w:val="none"/>
          <w:u w:val="single"/>
        </w:rPr>
        <w:t xml:space="preserve">   </w:t>
      </w:r>
    </w:p>
    <w:p w14:paraId="2BEEE447">
      <w:pPr>
        <w:spacing w:line="240" w:lineRule="atLeast"/>
        <w:ind w:left="1079" w:leftChars="257" w:hanging="540"/>
        <w:jc w:val="center"/>
        <w:outlineLvl w:val="9"/>
        <w:rPr>
          <w:rFonts w:hint="eastAsia" w:ascii="仿宋_GB2312" w:eastAsia="仿宋_GB2312"/>
          <w:b/>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417" w:bottom="1134" w:left="1417" w:header="851" w:footer="992" w:gutter="0"/>
          <w:pgNumType w:fmt="numberInDash" w:start="1"/>
          <w:cols w:space="720" w:num="1"/>
          <w:docGrid w:type="linesAndChars" w:linePitch="312" w:charSpace="0"/>
        </w:sectPr>
      </w:pPr>
      <w:r>
        <w:rPr>
          <w:rFonts w:hint="eastAsia" w:ascii="仿宋_GB2312" w:eastAsia="仿宋_GB2312"/>
          <w:b/>
          <w:sz w:val="32"/>
          <w:highlight w:val="none"/>
        </w:rPr>
        <w:br w:type="page"/>
      </w:r>
    </w:p>
    <w:p w14:paraId="66FB4069">
      <w:pPr>
        <w:spacing w:line="240" w:lineRule="atLeast"/>
        <w:ind w:left="1080" w:leftChars="257" w:hanging="540"/>
        <w:jc w:val="center"/>
        <w:outlineLvl w:val="9"/>
        <w:rPr>
          <w:rFonts w:hint="eastAsia" w:ascii="仿宋_GB2312" w:eastAsia="仿宋_GB2312"/>
          <w:b/>
          <w:sz w:val="32"/>
          <w:highlight w:val="none"/>
        </w:rPr>
      </w:pPr>
      <w:r>
        <w:rPr>
          <w:rFonts w:hint="eastAsia" w:ascii="仿宋_GB2312" w:eastAsia="仿宋_GB2312"/>
          <w:b/>
          <w:sz w:val="44"/>
          <w:szCs w:val="36"/>
          <w:highlight w:val="none"/>
        </w:rPr>
        <w:t>目  录</w:t>
      </w:r>
    </w:p>
    <w:p w14:paraId="174C6578">
      <w:pPr>
        <w:spacing w:line="240" w:lineRule="atLeast"/>
        <w:ind w:left="1080" w:leftChars="257" w:hanging="540"/>
        <w:jc w:val="center"/>
        <w:outlineLvl w:val="9"/>
        <w:rPr>
          <w:rFonts w:hint="eastAsia" w:ascii="仿宋_GB2312" w:eastAsia="仿宋_GB2312"/>
          <w:b/>
          <w:sz w:val="32"/>
          <w:highlight w:val="none"/>
        </w:rPr>
      </w:pPr>
    </w:p>
    <w:p w14:paraId="3F61DEC3">
      <w:pPr>
        <w:pStyle w:val="24"/>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ascii="宋体" w:hAnsi="宋体" w:cs="宋体"/>
          <w:kern w:val="0"/>
          <w:sz w:val="32"/>
          <w:szCs w:val="32"/>
          <w:highlight w:val="none"/>
        </w:rPr>
        <w:fldChar w:fldCharType="begin"/>
      </w:r>
      <w:r>
        <w:rPr>
          <w:rFonts w:ascii="宋体" w:hAnsi="宋体" w:cs="宋体"/>
          <w:kern w:val="0"/>
          <w:sz w:val="32"/>
          <w:szCs w:val="32"/>
          <w:highlight w:val="none"/>
        </w:rPr>
        <w:instrText xml:space="preserve"> TOC \o "1-3" \h \z \u </w:instrText>
      </w:r>
      <w:r>
        <w:rPr>
          <w:rFonts w:ascii="宋体" w:hAnsi="宋体" w:cs="宋体"/>
          <w:kern w:val="0"/>
          <w:sz w:val="32"/>
          <w:szCs w:val="32"/>
          <w:highlight w:val="none"/>
        </w:rPr>
        <w:fldChar w:fldCharType="separate"/>
      </w:r>
      <w:r>
        <w:rPr>
          <w:rFonts w:ascii="宋体" w:hAnsi="宋体" w:cs="宋体"/>
          <w:kern w:val="0"/>
          <w:sz w:val="32"/>
          <w:szCs w:val="32"/>
          <w:highlight w:val="none"/>
        </w:rPr>
        <w:fldChar w:fldCharType="begin"/>
      </w:r>
      <w:r>
        <w:rPr>
          <w:rFonts w:ascii="宋体" w:hAnsi="宋体" w:cs="宋体"/>
          <w:kern w:val="0"/>
          <w:sz w:val="32"/>
          <w:szCs w:val="32"/>
          <w:highlight w:val="none"/>
        </w:rPr>
        <w:instrText xml:space="preserve"> HYPERLINK \l _Toc27492 </w:instrText>
      </w:r>
      <w:r>
        <w:rPr>
          <w:rFonts w:ascii="宋体" w:hAnsi="宋体" w:cs="宋体"/>
          <w:kern w:val="0"/>
          <w:sz w:val="32"/>
          <w:szCs w:val="32"/>
          <w:highlight w:val="none"/>
        </w:rPr>
        <w:fldChar w:fldCharType="separate"/>
      </w:r>
      <w:r>
        <w:rPr>
          <w:rFonts w:hint="default" w:ascii="宋体" w:hAnsi="宋体" w:eastAsia="宋体" w:cs="宋体"/>
          <w:kern w:val="44"/>
          <w:sz w:val="32"/>
          <w:szCs w:val="32"/>
          <w:highlight w:val="none"/>
          <w:lang w:val="en-US" w:eastAsia="zh-CN" w:bidi="ar-SA"/>
        </w:rPr>
        <w:t>第1章</w:t>
      </w:r>
      <w:r>
        <w:rPr>
          <w:rFonts w:hint="eastAsia" w:ascii="宋体" w:hAnsi="宋体" w:eastAsia="宋体" w:cs="宋体"/>
          <w:kern w:val="44"/>
          <w:sz w:val="32"/>
          <w:szCs w:val="32"/>
          <w:highlight w:val="none"/>
          <w:lang w:val="en-US" w:eastAsia="zh-CN" w:bidi="ar-SA"/>
        </w:rPr>
        <w:t xml:space="preserve">  投标人须知</w:t>
      </w:r>
      <w:r>
        <w:rPr>
          <w:sz w:val="32"/>
          <w:szCs w:val="32"/>
          <w:highlight w:val="none"/>
        </w:rPr>
        <w:tab/>
      </w:r>
      <w:r>
        <w:rPr>
          <w:sz w:val="32"/>
          <w:szCs w:val="32"/>
          <w:highlight w:val="none"/>
        </w:rPr>
        <w:fldChar w:fldCharType="begin"/>
      </w:r>
      <w:r>
        <w:rPr>
          <w:sz w:val="32"/>
          <w:szCs w:val="32"/>
          <w:highlight w:val="none"/>
        </w:rPr>
        <w:instrText xml:space="preserve"> PAGEREF _Toc27492 \h </w:instrText>
      </w:r>
      <w:r>
        <w:rPr>
          <w:sz w:val="32"/>
          <w:szCs w:val="32"/>
          <w:highlight w:val="none"/>
        </w:rPr>
        <w:fldChar w:fldCharType="separate"/>
      </w:r>
      <w:r>
        <w:rPr>
          <w:sz w:val="32"/>
          <w:szCs w:val="32"/>
          <w:highlight w:val="none"/>
        </w:rPr>
        <w:t>- 1 -</w:t>
      </w:r>
      <w:r>
        <w:rPr>
          <w:sz w:val="32"/>
          <w:szCs w:val="32"/>
          <w:highlight w:val="none"/>
        </w:rPr>
        <w:fldChar w:fldCharType="end"/>
      </w:r>
      <w:r>
        <w:rPr>
          <w:rFonts w:ascii="宋体" w:hAnsi="宋体" w:cs="宋体"/>
          <w:kern w:val="0"/>
          <w:sz w:val="32"/>
          <w:szCs w:val="32"/>
          <w:highlight w:val="none"/>
        </w:rPr>
        <w:fldChar w:fldCharType="end"/>
      </w:r>
    </w:p>
    <w:p w14:paraId="31D2910F">
      <w:pPr>
        <w:pStyle w:val="3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hAnsi="宋体" w:cs="宋体"/>
          <w:kern w:val="0"/>
          <w:sz w:val="32"/>
          <w:szCs w:val="32"/>
          <w:highlight w:val="none"/>
        </w:rPr>
        <w:fldChar w:fldCharType="begin"/>
      </w:r>
      <w:r>
        <w:rPr>
          <w:rFonts w:hAnsi="宋体" w:cs="宋体"/>
          <w:kern w:val="0"/>
          <w:sz w:val="32"/>
          <w:szCs w:val="32"/>
          <w:highlight w:val="none"/>
        </w:rPr>
        <w:instrText xml:space="preserve"> HYPERLINK \l _Toc29602 </w:instrText>
      </w:r>
      <w:r>
        <w:rPr>
          <w:rFonts w:hAnsi="宋体" w:cs="宋体"/>
          <w:kern w:val="0"/>
          <w:sz w:val="32"/>
          <w:szCs w:val="32"/>
          <w:highlight w:val="none"/>
        </w:rPr>
        <w:fldChar w:fldCharType="separate"/>
      </w:r>
      <w:r>
        <w:rPr>
          <w:rFonts w:hint="eastAsia" w:ascii="宋体" w:hAnsi="宋体" w:eastAsia="宋体" w:cs="宋体"/>
          <w:sz w:val="32"/>
          <w:szCs w:val="32"/>
          <w:highlight w:val="none"/>
        </w:rPr>
        <w:t>一   总  则</w:t>
      </w:r>
      <w:r>
        <w:rPr>
          <w:sz w:val="32"/>
          <w:szCs w:val="32"/>
          <w:highlight w:val="none"/>
        </w:rPr>
        <w:tab/>
      </w:r>
      <w:r>
        <w:rPr>
          <w:sz w:val="32"/>
          <w:szCs w:val="32"/>
          <w:highlight w:val="none"/>
        </w:rPr>
        <w:fldChar w:fldCharType="begin"/>
      </w:r>
      <w:r>
        <w:rPr>
          <w:sz w:val="32"/>
          <w:szCs w:val="32"/>
          <w:highlight w:val="none"/>
        </w:rPr>
        <w:instrText xml:space="preserve"> PAGEREF _Toc29602 \h </w:instrText>
      </w:r>
      <w:r>
        <w:rPr>
          <w:sz w:val="32"/>
          <w:szCs w:val="32"/>
          <w:highlight w:val="none"/>
        </w:rPr>
        <w:fldChar w:fldCharType="separate"/>
      </w:r>
      <w:r>
        <w:rPr>
          <w:sz w:val="32"/>
          <w:szCs w:val="32"/>
          <w:highlight w:val="none"/>
        </w:rPr>
        <w:t>- 1 -</w:t>
      </w:r>
      <w:r>
        <w:rPr>
          <w:sz w:val="32"/>
          <w:szCs w:val="32"/>
          <w:highlight w:val="none"/>
        </w:rPr>
        <w:fldChar w:fldCharType="end"/>
      </w:r>
      <w:r>
        <w:rPr>
          <w:rFonts w:hAnsi="宋体" w:cs="宋体"/>
          <w:kern w:val="0"/>
          <w:sz w:val="32"/>
          <w:szCs w:val="32"/>
          <w:highlight w:val="none"/>
        </w:rPr>
        <w:fldChar w:fldCharType="end"/>
      </w:r>
    </w:p>
    <w:p w14:paraId="4F7FF92F">
      <w:pPr>
        <w:pStyle w:val="3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hAnsi="宋体" w:cs="宋体"/>
          <w:kern w:val="0"/>
          <w:sz w:val="32"/>
          <w:szCs w:val="32"/>
          <w:highlight w:val="none"/>
        </w:rPr>
        <w:fldChar w:fldCharType="begin"/>
      </w:r>
      <w:r>
        <w:rPr>
          <w:rFonts w:hAnsi="宋体" w:cs="宋体"/>
          <w:kern w:val="0"/>
          <w:sz w:val="32"/>
          <w:szCs w:val="32"/>
          <w:highlight w:val="none"/>
        </w:rPr>
        <w:instrText xml:space="preserve"> HYPERLINK \l _Toc19112 </w:instrText>
      </w:r>
      <w:r>
        <w:rPr>
          <w:rFonts w:hAnsi="宋体" w:cs="宋体"/>
          <w:kern w:val="0"/>
          <w:sz w:val="32"/>
          <w:szCs w:val="32"/>
          <w:highlight w:val="none"/>
        </w:rPr>
        <w:fldChar w:fldCharType="separate"/>
      </w:r>
      <w:r>
        <w:rPr>
          <w:rFonts w:hint="eastAsia" w:ascii="宋体" w:hAnsi="宋体" w:eastAsia="宋体" w:cs="宋体"/>
          <w:sz w:val="32"/>
          <w:szCs w:val="32"/>
          <w:highlight w:val="none"/>
        </w:rPr>
        <w:t>二   招标文件</w:t>
      </w:r>
      <w:r>
        <w:rPr>
          <w:sz w:val="32"/>
          <w:szCs w:val="32"/>
          <w:highlight w:val="none"/>
        </w:rPr>
        <w:tab/>
      </w:r>
      <w:r>
        <w:rPr>
          <w:sz w:val="32"/>
          <w:szCs w:val="32"/>
          <w:highlight w:val="none"/>
        </w:rPr>
        <w:fldChar w:fldCharType="begin"/>
      </w:r>
      <w:r>
        <w:rPr>
          <w:sz w:val="32"/>
          <w:szCs w:val="32"/>
          <w:highlight w:val="none"/>
        </w:rPr>
        <w:instrText xml:space="preserve"> PAGEREF _Toc19112 \h </w:instrText>
      </w:r>
      <w:r>
        <w:rPr>
          <w:sz w:val="32"/>
          <w:szCs w:val="32"/>
          <w:highlight w:val="none"/>
        </w:rPr>
        <w:fldChar w:fldCharType="separate"/>
      </w:r>
      <w:r>
        <w:rPr>
          <w:sz w:val="32"/>
          <w:szCs w:val="32"/>
          <w:highlight w:val="none"/>
        </w:rPr>
        <w:t>- 2 -</w:t>
      </w:r>
      <w:r>
        <w:rPr>
          <w:sz w:val="32"/>
          <w:szCs w:val="32"/>
          <w:highlight w:val="none"/>
        </w:rPr>
        <w:fldChar w:fldCharType="end"/>
      </w:r>
      <w:r>
        <w:rPr>
          <w:rFonts w:hAnsi="宋体" w:cs="宋体"/>
          <w:kern w:val="0"/>
          <w:sz w:val="32"/>
          <w:szCs w:val="32"/>
          <w:highlight w:val="none"/>
        </w:rPr>
        <w:fldChar w:fldCharType="end"/>
      </w:r>
    </w:p>
    <w:p w14:paraId="5833FA8A">
      <w:pPr>
        <w:pStyle w:val="3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hAnsi="宋体" w:cs="宋体"/>
          <w:kern w:val="0"/>
          <w:sz w:val="32"/>
          <w:szCs w:val="32"/>
          <w:highlight w:val="none"/>
        </w:rPr>
        <w:fldChar w:fldCharType="begin"/>
      </w:r>
      <w:r>
        <w:rPr>
          <w:rFonts w:hAnsi="宋体" w:cs="宋体"/>
          <w:kern w:val="0"/>
          <w:sz w:val="32"/>
          <w:szCs w:val="32"/>
          <w:highlight w:val="none"/>
        </w:rPr>
        <w:instrText xml:space="preserve"> HYPERLINK \l _Toc198 </w:instrText>
      </w:r>
      <w:r>
        <w:rPr>
          <w:rFonts w:hAnsi="宋体" w:cs="宋体"/>
          <w:kern w:val="0"/>
          <w:sz w:val="32"/>
          <w:szCs w:val="32"/>
          <w:highlight w:val="none"/>
        </w:rPr>
        <w:fldChar w:fldCharType="separate"/>
      </w:r>
      <w:r>
        <w:rPr>
          <w:rFonts w:hint="eastAsia" w:ascii="宋体" w:hAnsi="宋体" w:eastAsia="宋体" w:cs="宋体"/>
          <w:sz w:val="32"/>
          <w:szCs w:val="32"/>
          <w:highlight w:val="none"/>
        </w:rPr>
        <w:t>三   投标文件的编制</w:t>
      </w:r>
      <w:r>
        <w:rPr>
          <w:sz w:val="32"/>
          <w:szCs w:val="32"/>
          <w:highlight w:val="none"/>
        </w:rPr>
        <w:tab/>
      </w:r>
      <w:r>
        <w:rPr>
          <w:sz w:val="32"/>
          <w:szCs w:val="32"/>
          <w:highlight w:val="none"/>
        </w:rPr>
        <w:fldChar w:fldCharType="begin"/>
      </w:r>
      <w:r>
        <w:rPr>
          <w:sz w:val="32"/>
          <w:szCs w:val="32"/>
          <w:highlight w:val="none"/>
        </w:rPr>
        <w:instrText xml:space="preserve"> PAGEREF _Toc198 \h </w:instrText>
      </w:r>
      <w:r>
        <w:rPr>
          <w:sz w:val="32"/>
          <w:szCs w:val="32"/>
          <w:highlight w:val="none"/>
        </w:rPr>
        <w:fldChar w:fldCharType="separate"/>
      </w:r>
      <w:r>
        <w:rPr>
          <w:sz w:val="32"/>
          <w:szCs w:val="32"/>
          <w:highlight w:val="none"/>
        </w:rPr>
        <w:t>- 3 -</w:t>
      </w:r>
      <w:r>
        <w:rPr>
          <w:sz w:val="32"/>
          <w:szCs w:val="32"/>
          <w:highlight w:val="none"/>
        </w:rPr>
        <w:fldChar w:fldCharType="end"/>
      </w:r>
      <w:r>
        <w:rPr>
          <w:rFonts w:hAnsi="宋体" w:cs="宋体"/>
          <w:kern w:val="0"/>
          <w:sz w:val="32"/>
          <w:szCs w:val="32"/>
          <w:highlight w:val="none"/>
        </w:rPr>
        <w:fldChar w:fldCharType="end"/>
      </w:r>
    </w:p>
    <w:p w14:paraId="1BEAEFCB">
      <w:pPr>
        <w:pStyle w:val="3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hAnsi="宋体" w:cs="宋体"/>
          <w:kern w:val="0"/>
          <w:sz w:val="32"/>
          <w:szCs w:val="32"/>
          <w:highlight w:val="none"/>
        </w:rPr>
        <w:fldChar w:fldCharType="begin"/>
      </w:r>
      <w:r>
        <w:rPr>
          <w:rFonts w:hAnsi="宋体" w:cs="宋体"/>
          <w:kern w:val="0"/>
          <w:sz w:val="32"/>
          <w:szCs w:val="32"/>
          <w:highlight w:val="none"/>
        </w:rPr>
        <w:instrText xml:space="preserve"> HYPERLINK \l _Toc19852 </w:instrText>
      </w:r>
      <w:r>
        <w:rPr>
          <w:rFonts w:hAnsi="宋体" w:cs="宋体"/>
          <w:kern w:val="0"/>
          <w:sz w:val="32"/>
          <w:szCs w:val="32"/>
          <w:highlight w:val="none"/>
        </w:rPr>
        <w:fldChar w:fldCharType="separate"/>
      </w:r>
      <w:r>
        <w:rPr>
          <w:rFonts w:hint="eastAsia" w:ascii="宋体" w:hAnsi="宋体" w:eastAsia="宋体" w:cs="宋体"/>
          <w:sz w:val="32"/>
          <w:szCs w:val="32"/>
          <w:highlight w:val="none"/>
        </w:rPr>
        <w:t>四   投标文件的递交</w:t>
      </w:r>
      <w:r>
        <w:rPr>
          <w:sz w:val="32"/>
          <w:szCs w:val="32"/>
          <w:highlight w:val="none"/>
        </w:rPr>
        <w:tab/>
      </w:r>
      <w:r>
        <w:rPr>
          <w:sz w:val="32"/>
          <w:szCs w:val="32"/>
          <w:highlight w:val="none"/>
        </w:rPr>
        <w:fldChar w:fldCharType="begin"/>
      </w:r>
      <w:r>
        <w:rPr>
          <w:sz w:val="32"/>
          <w:szCs w:val="32"/>
          <w:highlight w:val="none"/>
        </w:rPr>
        <w:instrText xml:space="preserve"> PAGEREF _Toc19852 \h </w:instrText>
      </w:r>
      <w:r>
        <w:rPr>
          <w:sz w:val="32"/>
          <w:szCs w:val="32"/>
          <w:highlight w:val="none"/>
        </w:rPr>
        <w:fldChar w:fldCharType="separate"/>
      </w:r>
      <w:r>
        <w:rPr>
          <w:sz w:val="32"/>
          <w:szCs w:val="32"/>
          <w:highlight w:val="none"/>
        </w:rPr>
        <w:t>- 5 -</w:t>
      </w:r>
      <w:r>
        <w:rPr>
          <w:sz w:val="32"/>
          <w:szCs w:val="32"/>
          <w:highlight w:val="none"/>
        </w:rPr>
        <w:fldChar w:fldCharType="end"/>
      </w:r>
      <w:r>
        <w:rPr>
          <w:rFonts w:hAnsi="宋体" w:cs="宋体"/>
          <w:kern w:val="0"/>
          <w:sz w:val="32"/>
          <w:szCs w:val="32"/>
          <w:highlight w:val="none"/>
        </w:rPr>
        <w:fldChar w:fldCharType="end"/>
      </w:r>
    </w:p>
    <w:p w14:paraId="1E7B66EC">
      <w:pPr>
        <w:pStyle w:val="3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hAnsi="宋体" w:cs="宋体"/>
          <w:kern w:val="0"/>
          <w:sz w:val="32"/>
          <w:szCs w:val="32"/>
          <w:highlight w:val="none"/>
        </w:rPr>
        <w:fldChar w:fldCharType="begin"/>
      </w:r>
      <w:r>
        <w:rPr>
          <w:rFonts w:hAnsi="宋体" w:cs="宋体"/>
          <w:kern w:val="0"/>
          <w:sz w:val="32"/>
          <w:szCs w:val="32"/>
          <w:highlight w:val="none"/>
        </w:rPr>
        <w:instrText xml:space="preserve"> HYPERLINK \l _Toc30668 </w:instrText>
      </w:r>
      <w:r>
        <w:rPr>
          <w:rFonts w:hAnsi="宋体" w:cs="宋体"/>
          <w:kern w:val="0"/>
          <w:sz w:val="32"/>
          <w:szCs w:val="32"/>
          <w:highlight w:val="none"/>
        </w:rPr>
        <w:fldChar w:fldCharType="separate"/>
      </w:r>
      <w:r>
        <w:rPr>
          <w:rFonts w:hint="eastAsia" w:ascii="宋体" w:hAnsi="宋体" w:eastAsia="宋体" w:cs="宋体"/>
          <w:sz w:val="32"/>
          <w:szCs w:val="32"/>
          <w:highlight w:val="none"/>
        </w:rPr>
        <w:t>五   开标及评标</w:t>
      </w:r>
      <w:r>
        <w:rPr>
          <w:sz w:val="32"/>
          <w:szCs w:val="32"/>
          <w:highlight w:val="none"/>
        </w:rPr>
        <w:tab/>
      </w:r>
      <w:r>
        <w:rPr>
          <w:sz w:val="32"/>
          <w:szCs w:val="32"/>
          <w:highlight w:val="none"/>
        </w:rPr>
        <w:fldChar w:fldCharType="begin"/>
      </w:r>
      <w:r>
        <w:rPr>
          <w:sz w:val="32"/>
          <w:szCs w:val="32"/>
          <w:highlight w:val="none"/>
        </w:rPr>
        <w:instrText xml:space="preserve"> PAGEREF _Toc30668 \h </w:instrText>
      </w:r>
      <w:r>
        <w:rPr>
          <w:sz w:val="32"/>
          <w:szCs w:val="32"/>
          <w:highlight w:val="none"/>
        </w:rPr>
        <w:fldChar w:fldCharType="separate"/>
      </w:r>
      <w:r>
        <w:rPr>
          <w:sz w:val="32"/>
          <w:szCs w:val="32"/>
          <w:highlight w:val="none"/>
        </w:rPr>
        <w:t>- 6 -</w:t>
      </w:r>
      <w:r>
        <w:rPr>
          <w:sz w:val="32"/>
          <w:szCs w:val="32"/>
          <w:highlight w:val="none"/>
        </w:rPr>
        <w:fldChar w:fldCharType="end"/>
      </w:r>
      <w:r>
        <w:rPr>
          <w:rFonts w:hAnsi="宋体" w:cs="宋体"/>
          <w:kern w:val="0"/>
          <w:sz w:val="32"/>
          <w:szCs w:val="32"/>
          <w:highlight w:val="none"/>
        </w:rPr>
        <w:fldChar w:fldCharType="end"/>
      </w:r>
    </w:p>
    <w:p w14:paraId="05155126">
      <w:pPr>
        <w:pStyle w:val="3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hAnsi="宋体" w:cs="宋体"/>
          <w:kern w:val="0"/>
          <w:sz w:val="32"/>
          <w:szCs w:val="32"/>
          <w:highlight w:val="none"/>
        </w:rPr>
        <w:fldChar w:fldCharType="begin"/>
      </w:r>
      <w:r>
        <w:rPr>
          <w:rFonts w:hAnsi="宋体" w:cs="宋体"/>
          <w:kern w:val="0"/>
          <w:sz w:val="32"/>
          <w:szCs w:val="32"/>
          <w:highlight w:val="none"/>
        </w:rPr>
        <w:instrText xml:space="preserve"> HYPERLINK \l _Toc28033 </w:instrText>
      </w:r>
      <w:r>
        <w:rPr>
          <w:rFonts w:hAnsi="宋体" w:cs="宋体"/>
          <w:kern w:val="0"/>
          <w:sz w:val="32"/>
          <w:szCs w:val="32"/>
          <w:highlight w:val="none"/>
        </w:rPr>
        <w:fldChar w:fldCharType="separate"/>
      </w:r>
      <w:r>
        <w:rPr>
          <w:rFonts w:hint="eastAsia" w:ascii="宋体" w:hAnsi="宋体" w:eastAsia="宋体" w:cs="宋体"/>
          <w:sz w:val="32"/>
          <w:szCs w:val="32"/>
          <w:highlight w:val="none"/>
        </w:rPr>
        <w:t>六   确定中标</w:t>
      </w:r>
      <w:r>
        <w:rPr>
          <w:sz w:val="32"/>
          <w:szCs w:val="32"/>
          <w:highlight w:val="none"/>
        </w:rPr>
        <w:tab/>
      </w:r>
      <w:r>
        <w:rPr>
          <w:sz w:val="32"/>
          <w:szCs w:val="32"/>
          <w:highlight w:val="none"/>
        </w:rPr>
        <w:fldChar w:fldCharType="begin"/>
      </w:r>
      <w:r>
        <w:rPr>
          <w:sz w:val="32"/>
          <w:szCs w:val="32"/>
          <w:highlight w:val="none"/>
        </w:rPr>
        <w:instrText xml:space="preserve"> PAGEREF _Toc28033 \h </w:instrText>
      </w:r>
      <w:r>
        <w:rPr>
          <w:sz w:val="32"/>
          <w:szCs w:val="32"/>
          <w:highlight w:val="none"/>
        </w:rPr>
        <w:fldChar w:fldCharType="separate"/>
      </w:r>
      <w:r>
        <w:rPr>
          <w:sz w:val="32"/>
          <w:szCs w:val="32"/>
          <w:highlight w:val="none"/>
        </w:rPr>
        <w:t>- 9 -</w:t>
      </w:r>
      <w:r>
        <w:rPr>
          <w:sz w:val="32"/>
          <w:szCs w:val="32"/>
          <w:highlight w:val="none"/>
        </w:rPr>
        <w:fldChar w:fldCharType="end"/>
      </w:r>
      <w:r>
        <w:rPr>
          <w:rFonts w:hAnsi="宋体" w:cs="宋体"/>
          <w:kern w:val="0"/>
          <w:sz w:val="32"/>
          <w:szCs w:val="32"/>
          <w:highlight w:val="none"/>
        </w:rPr>
        <w:fldChar w:fldCharType="end"/>
      </w:r>
    </w:p>
    <w:p w14:paraId="6C23B449">
      <w:pPr>
        <w:pStyle w:val="24"/>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hAnsi="宋体" w:cs="宋体"/>
          <w:kern w:val="0"/>
          <w:sz w:val="32"/>
          <w:szCs w:val="32"/>
          <w:highlight w:val="none"/>
        </w:rPr>
        <w:fldChar w:fldCharType="begin"/>
      </w:r>
      <w:r>
        <w:rPr>
          <w:rFonts w:hAnsi="宋体" w:cs="宋体"/>
          <w:kern w:val="0"/>
          <w:sz w:val="32"/>
          <w:szCs w:val="32"/>
          <w:highlight w:val="none"/>
        </w:rPr>
        <w:instrText xml:space="preserve"> HYPERLINK \l _Toc31861 </w:instrText>
      </w:r>
      <w:r>
        <w:rPr>
          <w:rFonts w:hAnsi="宋体" w:cs="宋体"/>
          <w:kern w:val="0"/>
          <w:sz w:val="32"/>
          <w:szCs w:val="32"/>
          <w:highlight w:val="none"/>
        </w:rPr>
        <w:fldChar w:fldCharType="separate"/>
      </w:r>
      <w:r>
        <w:rPr>
          <w:rFonts w:hint="default" w:ascii="宋体" w:hAnsi="宋体" w:eastAsia="宋体" w:cs="宋体"/>
          <w:kern w:val="44"/>
          <w:sz w:val="32"/>
          <w:szCs w:val="32"/>
          <w:highlight w:val="none"/>
          <w:lang w:val="en-US" w:eastAsia="zh-CN" w:bidi="ar-SA"/>
        </w:rPr>
        <w:t>第</w:t>
      </w:r>
      <w:r>
        <w:rPr>
          <w:rFonts w:hint="eastAsia" w:ascii="宋体" w:hAnsi="宋体" w:eastAsia="宋体" w:cs="宋体"/>
          <w:kern w:val="44"/>
          <w:sz w:val="32"/>
          <w:szCs w:val="32"/>
          <w:highlight w:val="none"/>
          <w:lang w:val="en-US" w:eastAsia="zh-CN" w:bidi="ar-SA"/>
        </w:rPr>
        <w:t>2</w:t>
      </w:r>
      <w:r>
        <w:rPr>
          <w:rFonts w:hint="default" w:ascii="宋体" w:hAnsi="宋体" w:eastAsia="宋体" w:cs="宋体"/>
          <w:kern w:val="44"/>
          <w:sz w:val="32"/>
          <w:szCs w:val="32"/>
          <w:highlight w:val="none"/>
          <w:lang w:val="en-US" w:eastAsia="zh-CN" w:bidi="ar-SA"/>
        </w:rPr>
        <w:t>章</w:t>
      </w:r>
      <w:r>
        <w:rPr>
          <w:rFonts w:hint="eastAsia" w:ascii="宋体" w:hAnsi="宋体" w:eastAsia="宋体" w:cs="宋体"/>
          <w:kern w:val="44"/>
          <w:sz w:val="32"/>
          <w:szCs w:val="32"/>
          <w:highlight w:val="none"/>
          <w:lang w:val="en-US" w:eastAsia="zh-CN" w:bidi="ar-SA"/>
        </w:rPr>
        <w:t xml:space="preserve">  投标文件格式</w:t>
      </w:r>
      <w:r>
        <w:rPr>
          <w:sz w:val="32"/>
          <w:szCs w:val="32"/>
          <w:highlight w:val="none"/>
        </w:rPr>
        <w:tab/>
      </w:r>
      <w:r>
        <w:rPr>
          <w:sz w:val="32"/>
          <w:szCs w:val="32"/>
          <w:highlight w:val="none"/>
        </w:rPr>
        <w:fldChar w:fldCharType="begin"/>
      </w:r>
      <w:r>
        <w:rPr>
          <w:sz w:val="32"/>
          <w:szCs w:val="32"/>
          <w:highlight w:val="none"/>
        </w:rPr>
        <w:instrText xml:space="preserve"> PAGEREF _Toc31861 \h </w:instrText>
      </w:r>
      <w:r>
        <w:rPr>
          <w:sz w:val="32"/>
          <w:szCs w:val="32"/>
          <w:highlight w:val="none"/>
        </w:rPr>
        <w:fldChar w:fldCharType="separate"/>
      </w:r>
      <w:r>
        <w:rPr>
          <w:sz w:val="32"/>
          <w:szCs w:val="32"/>
          <w:highlight w:val="none"/>
        </w:rPr>
        <w:t>- 17 -</w:t>
      </w:r>
      <w:r>
        <w:rPr>
          <w:sz w:val="32"/>
          <w:szCs w:val="32"/>
          <w:highlight w:val="none"/>
        </w:rPr>
        <w:fldChar w:fldCharType="end"/>
      </w:r>
      <w:r>
        <w:rPr>
          <w:rFonts w:hAnsi="宋体" w:cs="宋体"/>
          <w:kern w:val="0"/>
          <w:sz w:val="32"/>
          <w:szCs w:val="32"/>
          <w:highlight w:val="none"/>
        </w:rPr>
        <w:fldChar w:fldCharType="end"/>
      </w:r>
    </w:p>
    <w:p w14:paraId="792B1EF8">
      <w:pPr>
        <w:pStyle w:val="3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hAnsi="宋体" w:cs="宋体"/>
          <w:kern w:val="0"/>
          <w:sz w:val="32"/>
          <w:szCs w:val="32"/>
          <w:highlight w:val="none"/>
        </w:rPr>
        <w:fldChar w:fldCharType="begin"/>
      </w:r>
      <w:r>
        <w:rPr>
          <w:rFonts w:hAnsi="宋体" w:cs="宋体"/>
          <w:kern w:val="0"/>
          <w:sz w:val="32"/>
          <w:szCs w:val="32"/>
          <w:highlight w:val="none"/>
        </w:rPr>
        <w:instrText xml:space="preserve"> HYPERLINK \l _Toc22290 </w:instrText>
      </w:r>
      <w:r>
        <w:rPr>
          <w:rFonts w:hAnsi="宋体" w:cs="宋体"/>
          <w:kern w:val="0"/>
          <w:sz w:val="32"/>
          <w:szCs w:val="32"/>
          <w:highlight w:val="none"/>
        </w:rPr>
        <w:fldChar w:fldCharType="separate"/>
      </w:r>
      <w:r>
        <w:rPr>
          <w:rFonts w:hint="eastAsia" w:ascii="宋体" w:hAnsi="宋体" w:eastAsia="宋体" w:cs="宋体"/>
          <w:sz w:val="32"/>
          <w:szCs w:val="32"/>
          <w:highlight w:val="none"/>
        </w:rPr>
        <w:t>第一部分 开标一览表及资格证明文件</w:t>
      </w:r>
      <w:r>
        <w:rPr>
          <w:sz w:val="32"/>
          <w:szCs w:val="32"/>
          <w:highlight w:val="none"/>
        </w:rPr>
        <w:tab/>
      </w:r>
      <w:r>
        <w:rPr>
          <w:sz w:val="32"/>
          <w:szCs w:val="32"/>
          <w:highlight w:val="none"/>
        </w:rPr>
        <w:fldChar w:fldCharType="begin"/>
      </w:r>
      <w:r>
        <w:rPr>
          <w:sz w:val="32"/>
          <w:szCs w:val="32"/>
          <w:highlight w:val="none"/>
        </w:rPr>
        <w:instrText xml:space="preserve"> PAGEREF _Toc22290 \h </w:instrText>
      </w:r>
      <w:r>
        <w:rPr>
          <w:sz w:val="32"/>
          <w:szCs w:val="32"/>
          <w:highlight w:val="none"/>
        </w:rPr>
        <w:fldChar w:fldCharType="separate"/>
      </w:r>
      <w:r>
        <w:rPr>
          <w:sz w:val="32"/>
          <w:szCs w:val="32"/>
          <w:highlight w:val="none"/>
        </w:rPr>
        <w:t>- 18 -</w:t>
      </w:r>
      <w:r>
        <w:rPr>
          <w:sz w:val="32"/>
          <w:szCs w:val="32"/>
          <w:highlight w:val="none"/>
        </w:rPr>
        <w:fldChar w:fldCharType="end"/>
      </w:r>
      <w:r>
        <w:rPr>
          <w:rFonts w:hAnsi="宋体" w:cs="宋体"/>
          <w:kern w:val="0"/>
          <w:sz w:val="32"/>
          <w:szCs w:val="32"/>
          <w:highlight w:val="none"/>
        </w:rPr>
        <w:fldChar w:fldCharType="end"/>
      </w:r>
    </w:p>
    <w:p w14:paraId="2B6414BF">
      <w:pPr>
        <w:pStyle w:val="3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hAnsi="宋体" w:cs="宋体"/>
          <w:kern w:val="0"/>
          <w:sz w:val="32"/>
          <w:szCs w:val="32"/>
          <w:highlight w:val="none"/>
        </w:rPr>
        <w:fldChar w:fldCharType="begin"/>
      </w:r>
      <w:r>
        <w:rPr>
          <w:rFonts w:hAnsi="宋体" w:cs="宋体"/>
          <w:kern w:val="0"/>
          <w:sz w:val="32"/>
          <w:szCs w:val="32"/>
          <w:highlight w:val="none"/>
        </w:rPr>
        <w:instrText xml:space="preserve"> HYPERLINK \l _Toc27071 </w:instrText>
      </w:r>
      <w:r>
        <w:rPr>
          <w:rFonts w:hAnsi="宋体" w:cs="宋体"/>
          <w:kern w:val="0"/>
          <w:sz w:val="32"/>
          <w:szCs w:val="32"/>
          <w:highlight w:val="none"/>
        </w:rPr>
        <w:fldChar w:fldCharType="separate"/>
      </w:r>
      <w:r>
        <w:rPr>
          <w:rFonts w:hint="eastAsia" w:ascii="宋体" w:hAnsi="宋体" w:eastAsia="宋体" w:cs="宋体"/>
          <w:sz w:val="32"/>
          <w:szCs w:val="32"/>
          <w:highlight w:val="none"/>
        </w:rPr>
        <w:t>第二部分 商务及技术文件</w:t>
      </w:r>
      <w:r>
        <w:rPr>
          <w:sz w:val="32"/>
          <w:szCs w:val="32"/>
          <w:highlight w:val="none"/>
        </w:rPr>
        <w:tab/>
      </w:r>
      <w:r>
        <w:rPr>
          <w:sz w:val="32"/>
          <w:szCs w:val="32"/>
          <w:highlight w:val="none"/>
        </w:rPr>
        <w:fldChar w:fldCharType="begin"/>
      </w:r>
      <w:r>
        <w:rPr>
          <w:sz w:val="32"/>
          <w:szCs w:val="32"/>
          <w:highlight w:val="none"/>
        </w:rPr>
        <w:instrText xml:space="preserve"> PAGEREF _Toc27071 \h </w:instrText>
      </w:r>
      <w:r>
        <w:rPr>
          <w:sz w:val="32"/>
          <w:szCs w:val="32"/>
          <w:highlight w:val="none"/>
        </w:rPr>
        <w:fldChar w:fldCharType="separate"/>
      </w:r>
      <w:r>
        <w:rPr>
          <w:sz w:val="32"/>
          <w:szCs w:val="32"/>
          <w:highlight w:val="none"/>
        </w:rPr>
        <w:t>- 32 -</w:t>
      </w:r>
      <w:r>
        <w:rPr>
          <w:sz w:val="32"/>
          <w:szCs w:val="32"/>
          <w:highlight w:val="none"/>
        </w:rPr>
        <w:fldChar w:fldCharType="end"/>
      </w:r>
      <w:r>
        <w:rPr>
          <w:rFonts w:hAnsi="宋体" w:cs="宋体"/>
          <w:kern w:val="0"/>
          <w:sz w:val="32"/>
          <w:szCs w:val="32"/>
          <w:highlight w:val="none"/>
        </w:rPr>
        <w:fldChar w:fldCharType="end"/>
      </w:r>
    </w:p>
    <w:p w14:paraId="10D36DDA">
      <w:pPr>
        <w:pStyle w:val="24"/>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hAnsi="宋体" w:cs="宋体"/>
          <w:kern w:val="0"/>
          <w:sz w:val="32"/>
          <w:szCs w:val="32"/>
          <w:highlight w:val="none"/>
        </w:rPr>
        <w:fldChar w:fldCharType="begin"/>
      </w:r>
      <w:r>
        <w:rPr>
          <w:rFonts w:hAnsi="宋体" w:cs="宋体"/>
          <w:kern w:val="0"/>
          <w:sz w:val="32"/>
          <w:szCs w:val="32"/>
          <w:highlight w:val="none"/>
        </w:rPr>
        <w:instrText xml:space="preserve"> HYPERLINK \l _Toc24413 </w:instrText>
      </w:r>
      <w:r>
        <w:rPr>
          <w:rFonts w:hAnsi="宋体" w:cs="宋体"/>
          <w:kern w:val="0"/>
          <w:sz w:val="32"/>
          <w:szCs w:val="32"/>
          <w:highlight w:val="none"/>
        </w:rPr>
        <w:fldChar w:fldCharType="separate"/>
      </w:r>
      <w:r>
        <w:rPr>
          <w:rFonts w:hint="default" w:ascii="宋体" w:hAnsi="宋体" w:eastAsia="宋体" w:cs="宋体"/>
          <w:kern w:val="44"/>
          <w:sz w:val="32"/>
          <w:szCs w:val="32"/>
          <w:highlight w:val="none"/>
          <w:lang w:val="en-US" w:eastAsia="zh-CN" w:bidi="ar-SA"/>
        </w:rPr>
        <w:t>第</w:t>
      </w:r>
      <w:r>
        <w:rPr>
          <w:rFonts w:hint="eastAsia" w:ascii="宋体" w:hAnsi="宋体" w:eastAsia="宋体" w:cs="宋体"/>
          <w:kern w:val="44"/>
          <w:sz w:val="32"/>
          <w:szCs w:val="32"/>
          <w:highlight w:val="none"/>
          <w:lang w:val="en-US" w:eastAsia="zh-CN" w:bidi="ar-SA"/>
        </w:rPr>
        <w:t>3</w:t>
      </w:r>
      <w:r>
        <w:rPr>
          <w:rFonts w:hint="default" w:ascii="宋体" w:hAnsi="宋体" w:eastAsia="宋体" w:cs="宋体"/>
          <w:kern w:val="44"/>
          <w:sz w:val="32"/>
          <w:szCs w:val="32"/>
          <w:highlight w:val="none"/>
          <w:lang w:val="en-US" w:eastAsia="zh-CN" w:bidi="ar-SA"/>
        </w:rPr>
        <w:t>章</w:t>
      </w:r>
      <w:r>
        <w:rPr>
          <w:rFonts w:hint="eastAsia" w:ascii="宋体" w:hAnsi="宋体" w:eastAsia="宋体" w:cs="宋体"/>
          <w:kern w:val="44"/>
          <w:sz w:val="32"/>
          <w:szCs w:val="32"/>
          <w:highlight w:val="none"/>
          <w:lang w:val="en-US" w:eastAsia="zh-CN" w:bidi="ar-SA"/>
        </w:rPr>
        <w:t xml:space="preserve">  投标邀请</w:t>
      </w:r>
      <w:r>
        <w:rPr>
          <w:sz w:val="32"/>
          <w:szCs w:val="32"/>
          <w:highlight w:val="none"/>
        </w:rPr>
        <w:tab/>
      </w:r>
      <w:r>
        <w:rPr>
          <w:sz w:val="32"/>
          <w:szCs w:val="32"/>
          <w:highlight w:val="none"/>
        </w:rPr>
        <w:fldChar w:fldCharType="begin"/>
      </w:r>
      <w:r>
        <w:rPr>
          <w:sz w:val="32"/>
          <w:szCs w:val="32"/>
          <w:highlight w:val="none"/>
        </w:rPr>
        <w:instrText xml:space="preserve"> PAGEREF _Toc24413 \h </w:instrText>
      </w:r>
      <w:r>
        <w:rPr>
          <w:sz w:val="32"/>
          <w:szCs w:val="32"/>
          <w:highlight w:val="none"/>
        </w:rPr>
        <w:fldChar w:fldCharType="separate"/>
      </w:r>
      <w:r>
        <w:rPr>
          <w:sz w:val="32"/>
          <w:szCs w:val="32"/>
          <w:highlight w:val="none"/>
        </w:rPr>
        <w:t>- 39 -</w:t>
      </w:r>
      <w:r>
        <w:rPr>
          <w:sz w:val="32"/>
          <w:szCs w:val="32"/>
          <w:highlight w:val="none"/>
        </w:rPr>
        <w:fldChar w:fldCharType="end"/>
      </w:r>
      <w:r>
        <w:rPr>
          <w:rFonts w:hAnsi="宋体" w:cs="宋体"/>
          <w:kern w:val="0"/>
          <w:sz w:val="32"/>
          <w:szCs w:val="32"/>
          <w:highlight w:val="none"/>
        </w:rPr>
        <w:fldChar w:fldCharType="end"/>
      </w:r>
    </w:p>
    <w:p w14:paraId="34DE55E5">
      <w:pPr>
        <w:pStyle w:val="24"/>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hAnsi="宋体" w:cs="宋体"/>
          <w:kern w:val="0"/>
          <w:sz w:val="32"/>
          <w:szCs w:val="32"/>
          <w:highlight w:val="none"/>
        </w:rPr>
        <w:fldChar w:fldCharType="begin"/>
      </w:r>
      <w:r>
        <w:rPr>
          <w:rFonts w:hAnsi="宋体" w:cs="宋体"/>
          <w:kern w:val="0"/>
          <w:sz w:val="32"/>
          <w:szCs w:val="32"/>
          <w:highlight w:val="none"/>
        </w:rPr>
        <w:instrText xml:space="preserve"> HYPERLINK \l _Toc30211 </w:instrText>
      </w:r>
      <w:r>
        <w:rPr>
          <w:rFonts w:hAnsi="宋体" w:cs="宋体"/>
          <w:kern w:val="0"/>
          <w:sz w:val="32"/>
          <w:szCs w:val="32"/>
          <w:highlight w:val="none"/>
        </w:rPr>
        <w:fldChar w:fldCharType="separate"/>
      </w:r>
      <w:r>
        <w:rPr>
          <w:rFonts w:hint="default" w:ascii="宋体" w:hAnsi="宋体" w:eastAsia="宋体" w:cs="宋体"/>
          <w:kern w:val="44"/>
          <w:sz w:val="32"/>
          <w:szCs w:val="32"/>
          <w:highlight w:val="none"/>
          <w:lang w:val="en-US" w:eastAsia="zh-CN" w:bidi="ar-SA"/>
        </w:rPr>
        <w:t>第</w:t>
      </w:r>
      <w:r>
        <w:rPr>
          <w:rFonts w:hint="eastAsia" w:ascii="宋体" w:hAnsi="宋体" w:cs="宋体"/>
          <w:kern w:val="44"/>
          <w:sz w:val="32"/>
          <w:szCs w:val="32"/>
          <w:highlight w:val="none"/>
          <w:lang w:val="en-US" w:eastAsia="zh-CN" w:bidi="ar-SA"/>
        </w:rPr>
        <w:t>4</w:t>
      </w:r>
      <w:r>
        <w:rPr>
          <w:rFonts w:hint="default" w:ascii="宋体" w:hAnsi="宋体" w:eastAsia="宋体" w:cs="宋体"/>
          <w:kern w:val="44"/>
          <w:sz w:val="32"/>
          <w:szCs w:val="32"/>
          <w:highlight w:val="none"/>
          <w:lang w:val="en-US" w:eastAsia="zh-CN" w:bidi="ar-SA"/>
        </w:rPr>
        <w:t>章</w:t>
      </w:r>
      <w:r>
        <w:rPr>
          <w:rFonts w:hint="eastAsia" w:hAnsi="宋体" w:eastAsia="宋体" w:cs="宋体"/>
          <w:kern w:val="44"/>
          <w:sz w:val="32"/>
          <w:szCs w:val="32"/>
          <w:highlight w:val="none"/>
          <w:lang w:val="en-US" w:eastAsia="zh-CN" w:bidi="ar-SA"/>
        </w:rPr>
        <w:t xml:space="preserve">  </w:t>
      </w:r>
      <w:r>
        <w:rPr>
          <w:rFonts w:hint="eastAsia" w:ascii="宋体" w:hAnsi="宋体" w:eastAsia="宋体" w:cs="宋体"/>
          <w:kern w:val="44"/>
          <w:sz w:val="32"/>
          <w:szCs w:val="32"/>
          <w:highlight w:val="none"/>
          <w:lang w:val="en-US" w:eastAsia="zh-CN" w:bidi="ar-SA"/>
        </w:rPr>
        <w:t>投标人须知资料表</w:t>
      </w:r>
      <w:r>
        <w:rPr>
          <w:sz w:val="32"/>
          <w:szCs w:val="32"/>
          <w:highlight w:val="none"/>
        </w:rPr>
        <w:tab/>
      </w:r>
      <w:r>
        <w:rPr>
          <w:sz w:val="32"/>
          <w:szCs w:val="32"/>
          <w:highlight w:val="none"/>
        </w:rPr>
        <w:fldChar w:fldCharType="begin"/>
      </w:r>
      <w:r>
        <w:rPr>
          <w:sz w:val="32"/>
          <w:szCs w:val="32"/>
          <w:highlight w:val="none"/>
        </w:rPr>
        <w:instrText xml:space="preserve"> PAGEREF _Toc30211 \h </w:instrText>
      </w:r>
      <w:r>
        <w:rPr>
          <w:sz w:val="32"/>
          <w:szCs w:val="32"/>
          <w:highlight w:val="none"/>
        </w:rPr>
        <w:fldChar w:fldCharType="separate"/>
      </w:r>
      <w:r>
        <w:rPr>
          <w:sz w:val="32"/>
          <w:szCs w:val="32"/>
          <w:highlight w:val="none"/>
        </w:rPr>
        <w:t>- 43 -</w:t>
      </w:r>
      <w:r>
        <w:rPr>
          <w:sz w:val="32"/>
          <w:szCs w:val="32"/>
          <w:highlight w:val="none"/>
        </w:rPr>
        <w:fldChar w:fldCharType="end"/>
      </w:r>
      <w:r>
        <w:rPr>
          <w:rFonts w:hAnsi="宋体" w:cs="宋体"/>
          <w:kern w:val="0"/>
          <w:sz w:val="32"/>
          <w:szCs w:val="32"/>
          <w:highlight w:val="none"/>
        </w:rPr>
        <w:fldChar w:fldCharType="end"/>
      </w:r>
    </w:p>
    <w:p w14:paraId="1D607211">
      <w:pPr>
        <w:pStyle w:val="24"/>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hAnsi="宋体" w:cs="宋体"/>
          <w:kern w:val="0"/>
          <w:sz w:val="32"/>
          <w:szCs w:val="32"/>
          <w:highlight w:val="none"/>
        </w:rPr>
        <w:fldChar w:fldCharType="begin"/>
      </w:r>
      <w:r>
        <w:rPr>
          <w:rFonts w:hAnsi="宋体" w:cs="宋体"/>
          <w:kern w:val="0"/>
          <w:sz w:val="32"/>
          <w:szCs w:val="32"/>
          <w:highlight w:val="none"/>
        </w:rPr>
        <w:instrText xml:space="preserve"> HYPERLINK \l _Toc2626 </w:instrText>
      </w:r>
      <w:r>
        <w:rPr>
          <w:rFonts w:hAnsi="宋体" w:cs="宋体"/>
          <w:kern w:val="0"/>
          <w:sz w:val="32"/>
          <w:szCs w:val="32"/>
          <w:highlight w:val="none"/>
        </w:rPr>
        <w:fldChar w:fldCharType="separate"/>
      </w:r>
      <w:r>
        <w:rPr>
          <w:rFonts w:hint="eastAsia" w:ascii="宋体" w:hAnsi="宋体" w:eastAsia="宋体" w:cs="宋体"/>
          <w:kern w:val="44"/>
          <w:sz w:val="32"/>
          <w:szCs w:val="32"/>
          <w:highlight w:val="none"/>
          <w:lang w:val="en-US" w:eastAsia="zh-CN" w:bidi="ar-SA"/>
        </w:rPr>
        <w:t>第5章  服务需求</w:t>
      </w:r>
      <w:r>
        <w:rPr>
          <w:sz w:val="32"/>
          <w:szCs w:val="32"/>
          <w:highlight w:val="none"/>
        </w:rPr>
        <w:tab/>
      </w:r>
      <w:r>
        <w:rPr>
          <w:sz w:val="32"/>
          <w:szCs w:val="32"/>
          <w:highlight w:val="none"/>
        </w:rPr>
        <w:fldChar w:fldCharType="begin"/>
      </w:r>
      <w:r>
        <w:rPr>
          <w:sz w:val="32"/>
          <w:szCs w:val="32"/>
          <w:highlight w:val="none"/>
        </w:rPr>
        <w:instrText xml:space="preserve"> PAGEREF _Toc2626 \h </w:instrText>
      </w:r>
      <w:r>
        <w:rPr>
          <w:sz w:val="32"/>
          <w:szCs w:val="32"/>
          <w:highlight w:val="none"/>
        </w:rPr>
        <w:fldChar w:fldCharType="separate"/>
      </w:r>
      <w:r>
        <w:rPr>
          <w:sz w:val="32"/>
          <w:szCs w:val="32"/>
          <w:highlight w:val="none"/>
        </w:rPr>
        <w:t>- 47 -</w:t>
      </w:r>
      <w:r>
        <w:rPr>
          <w:sz w:val="32"/>
          <w:szCs w:val="32"/>
          <w:highlight w:val="none"/>
        </w:rPr>
        <w:fldChar w:fldCharType="end"/>
      </w:r>
      <w:r>
        <w:rPr>
          <w:rFonts w:hAnsi="宋体" w:cs="宋体"/>
          <w:kern w:val="0"/>
          <w:sz w:val="32"/>
          <w:szCs w:val="32"/>
          <w:highlight w:val="none"/>
        </w:rPr>
        <w:fldChar w:fldCharType="end"/>
      </w:r>
    </w:p>
    <w:p w14:paraId="1569F560">
      <w:pPr>
        <w:pStyle w:val="24"/>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hAnsi="宋体" w:cs="宋体"/>
          <w:kern w:val="0"/>
          <w:sz w:val="32"/>
          <w:szCs w:val="32"/>
          <w:highlight w:val="none"/>
        </w:rPr>
        <w:fldChar w:fldCharType="begin"/>
      </w:r>
      <w:r>
        <w:rPr>
          <w:rFonts w:hAnsi="宋体" w:cs="宋体"/>
          <w:kern w:val="0"/>
          <w:sz w:val="32"/>
          <w:szCs w:val="32"/>
          <w:highlight w:val="none"/>
        </w:rPr>
        <w:instrText xml:space="preserve"> HYPERLINK \l _Toc18658 </w:instrText>
      </w:r>
      <w:r>
        <w:rPr>
          <w:rFonts w:hAnsi="宋体" w:cs="宋体"/>
          <w:kern w:val="0"/>
          <w:sz w:val="32"/>
          <w:szCs w:val="32"/>
          <w:highlight w:val="none"/>
        </w:rPr>
        <w:fldChar w:fldCharType="separate"/>
      </w:r>
      <w:r>
        <w:rPr>
          <w:rFonts w:hint="eastAsia" w:ascii="宋体" w:hAnsi="宋体" w:eastAsia="宋体" w:cs="宋体"/>
          <w:bCs/>
          <w:sz w:val="32"/>
          <w:szCs w:val="32"/>
          <w:highlight w:val="none"/>
          <w:lang w:eastAsia="zh-CN"/>
        </w:rPr>
        <w:t>第</w:t>
      </w:r>
      <w:r>
        <w:rPr>
          <w:rFonts w:hint="eastAsia" w:ascii="宋体" w:hAnsi="宋体" w:cs="宋体"/>
          <w:bCs/>
          <w:sz w:val="32"/>
          <w:szCs w:val="32"/>
          <w:highlight w:val="none"/>
          <w:lang w:val="en-US" w:eastAsia="zh-CN"/>
        </w:rPr>
        <w:t>6</w:t>
      </w:r>
      <w:r>
        <w:rPr>
          <w:rFonts w:hint="eastAsia" w:ascii="宋体" w:hAnsi="宋体" w:eastAsia="宋体" w:cs="宋体"/>
          <w:bCs/>
          <w:sz w:val="32"/>
          <w:szCs w:val="32"/>
          <w:highlight w:val="none"/>
          <w:lang w:val="en-US" w:eastAsia="zh-CN"/>
        </w:rPr>
        <w:t xml:space="preserve">章  </w:t>
      </w:r>
      <w:r>
        <w:rPr>
          <w:rFonts w:hint="eastAsia" w:ascii="宋体" w:hAnsi="宋体" w:eastAsia="宋体" w:cs="宋体"/>
          <w:bCs/>
          <w:sz w:val="32"/>
          <w:szCs w:val="32"/>
          <w:highlight w:val="none"/>
        </w:rPr>
        <w:t>评标方法和标准</w:t>
      </w:r>
      <w:r>
        <w:rPr>
          <w:sz w:val="32"/>
          <w:szCs w:val="32"/>
          <w:highlight w:val="none"/>
        </w:rPr>
        <w:tab/>
      </w:r>
      <w:r>
        <w:rPr>
          <w:sz w:val="32"/>
          <w:szCs w:val="32"/>
          <w:highlight w:val="none"/>
        </w:rPr>
        <w:fldChar w:fldCharType="begin"/>
      </w:r>
      <w:r>
        <w:rPr>
          <w:sz w:val="32"/>
          <w:szCs w:val="32"/>
          <w:highlight w:val="none"/>
        </w:rPr>
        <w:instrText xml:space="preserve"> PAGEREF _Toc18658 \h </w:instrText>
      </w:r>
      <w:r>
        <w:rPr>
          <w:sz w:val="32"/>
          <w:szCs w:val="32"/>
          <w:highlight w:val="none"/>
        </w:rPr>
        <w:fldChar w:fldCharType="separate"/>
      </w:r>
      <w:r>
        <w:rPr>
          <w:sz w:val="32"/>
          <w:szCs w:val="32"/>
          <w:highlight w:val="none"/>
        </w:rPr>
        <w:t>- 49 -</w:t>
      </w:r>
      <w:r>
        <w:rPr>
          <w:sz w:val="32"/>
          <w:szCs w:val="32"/>
          <w:highlight w:val="none"/>
        </w:rPr>
        <w:fldChar w:fldCharType="end"/>
      </w:r>
      <w:r>
        <w:rPr>
          <w:rFonts w:hAnsi="宋体" w:cs="宋体"/>
          <w:kern w:val="0"/>
          <w:sz w:val="32"/>
          <w:szCs w:val="32"/>
          <w:highlight w:val="none"/>
        </w:rPr>
        <w:fldChar w:fldCharType="end"/>
      </w:r>
    </w:p>
    <w:p w14:paraId="0FC62BEF">
      <w:pPr>
        <w:pStyle w:val="24"/>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32"/>
          <w:szCs w:val="32"/>
          <w:highlight w:val="none"/>
        </w:rPr>
      </w:pPr>
      <w:r>
        <w:rPr>
          <w:rFonts w:hAnsi="宋体" w:cs="宋体"/>
          <w:kern w:val="0"/>
          <w:sz w:val="32"/>
          <w:szCs w:val="32"/>
          <w:highlight w:val="none"/>
        </w:rPr>
        <w:fldChar w:fldCharType="begin"/>
      </w:r>
      <w:r>
        <w:rPr>
          <w:rFonts w:hAnsi="宋体" w:cs="宋体"/>
          <w:kern w:val="0"/>
          <w:sz w:val="32"/>
          <w:szCs w:val="32"/>
          <w:highlight w:val="none"/>
        </w:rPr>
        <w:instrText xml:space="preserve"> HYPERLINK \l _Toc20245 </w:instrText>
      </w:r>
      <w:r>
        <w:rPr>
          <w:rFonts w:hAnsi="宋体" w:cs="宋体"/>
          <w:kern w:val="0"/>
          <w:sz w:val="32"/>
          <w:szCs w:val="32"/>
          <w:highlight w:val="none"/>
        </w:rPr>
        <w:fldChar w:fldCharType="separate"/>
      </w:r>
      <w:r>
        <w:rPr>
          <w:rFonts w:hint="default" w:ascii="宋体" w:hAnsi="宋体" w:eastAsia="宋体" w:cs="宋体"/>
          <w:kern w:val="44"/>
          <w:sz w:val="32"/>
          <w:szCs w:val="32"/>
          <w:highlight w:val="none"/>
          <w:lang w:val="en-US" w:eastAsia="zh-CN" w:bidi="ar-SA"/>
        </w:rPr>
        <w:t>第</w:t>
      </w:r>
      <w:r>
        <w:rPr>
          <w:rFonts w:hint="eastAsia" w:ascii="宋体" w:hAnsi="宋体" w:eastAsia="宋体" w:cs="宋体"/>
          <w:kern w:val="44"/>
          <w:sz w:val="32"/>
          <w:szCs w:val="32"/>
          <w:highlight w:val="none"/>
          <w:lang w:val="en-US" w:eastAsia="zh-CN" w:bidi="ar-SA"/>
        </w:rPr>
        <w:t>7</w:t>
      </w:r>
      <w:r>
        <w:rPr>
          <w:rFonts w:hint="default" w:ascii="宋体" w:hAnsi="宋体" w:eastAsia="宋体" w:cs="宋体"/>
          <w:kern w:val="44"/>
          <w:sz w:val="32"/>
          <w:szCs w:val="32"/>
          <w:highlight w:val="none"/>
          <w:lang w:val="en-US" w:eastAsia="zh-CN" w:bidi="ar-SA"/>
        </w:rPr>
        <w:t>章</w:t>
      </w:r>
      <w:r>
        <w:rPr>
          <w:rFonts w:hint="eastAsia" w:ascii="宋体" w:hAnsi="宋体" w:eastAsia="宋体" w:cs="宋体"/>
          <w:kern w:val="44"/>
          <w:sz w:val="32"/>
          <w:szCs w:val="32"/>
          <w:highlight w:val="none"/>
          <w:lang w:val="en-US" w:eastAsia="zh-CN" w:bidi="ar-SA"/>
        </w:rPr>
        <w:t xml:space="preserve">  政府采购合同</w:t>
      </w:r>
      <w:r>
        <w:rPr>
          <w:sz w:val="32"/>
          <w:szCs w:val="32"/>
          <w:highlight w:val="none"/>
        </w:rPr>
        <w:tab/>
      </w:r>
      <w:r>
        <w:rPr>
          <w:sz w:val="32"/>
          <w:szCs w:val="32"/>
          <w:highlight w:val="none"/>
        </w:rPr>
        <w:fldChar w:fldCharType="begin"/>
      </w:r>
      <w:r>
        <w:rPr>
          <w:sz w:val="32"/>
          <w:szCs w:val="32"/>
          <w:highlight w:val="none"/>
        </w:rPr>
        <w:instrText xml:space="preserve"> PAGEREF _Toc20245 \h </w:instrText>
      </w:r>
      <w:r>
        <w:rPr>
          <w:sz w:val="32"/>
          <w:szCs w:val="32"/>
          <w:highlight w:val="none"/>
        </w:rPr>
        <w:fldChar w:fldCharType="separate"/>
      </w:r>
      <w:r>
        <w:rPr>
          <w:sz w:val="32"/>
          <w:szCs w:val="32"/>
          <w:highlight w:val="none"/>
        </w:rPr>
        <w:t>- 57 -</w:t>
      </w:r>
      <w:r>
        <w:rPr>
          <w:sz w:val="32"/>
          <w:szCs w:val="32"/>
          <w:highlight w:val="none"/>
        </w:rPr>
        <w:fldChar w:fldCharType="end"/>
      </w:r>
      <w:r>
        <w:rPr>
          <w:rFonts w:hAnsi="宋体" w:cs="宋体"/>
          <w:kern w:val="0"/>
          <w:sz w:val="32"/>
          <w:szCs w:val="32"/>
          <w:highlight w:val="none"/>
        </w:rPr>
        <w:fldChar w:fldCharType="end"/>
      </w:r>
    </w:p>
    <w:p w14:paraId="419FFBAA">
      <w:pPr>
        <w:pStyle w:val="31"/>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0" w:leftChars="0" w:firstLine="0" w:firstLineChars="0"/>
        <w:jc w:val="center"/>
        <w:textAlignment w:val="auto"/>
        <w:outlineLvl w:val="9"/>
        <w:rPr>
          <w:rFonts w:hAnsi="宋体" w:cs="宋体"/>
          <w:kern w:val="0"/>
          <w:szCs w:val="21"/>
          <w:highlight w:val="none"/>
        </w:rPr>
      </w:pPr>
      <w:r>
        <w:rPr>
          <w:rFonts w:hAnsi="宋体" w:cs="宋体"/>
          <w:kern w:val="0"/>
          <w:sz w:val="32"/>
          <w:szCs w:val="32"/>
          <w:highlight w:val="none"/>
        </w:rPr>
        <w:fldChar w:fldCharType="end"/>
      </w:r>
      <w:bookmarkStart w:id="0" w:name="_Toc216582804"/>
    </w:p>
    <w:p w14:paraId="4A037488">
      <w:pPr>
        <w:pStyle w:val="31"/>
        <w:tabs>
          <w:tab w:val="right" w:leader="dot" w:pos="9072"/>
        </w:tabs>
        <w:ind w:left="0" w:leftChars="0" w:firstLine="0" w:firstLineChars="0"/>
        <w:jc w:val="center"/>
        <w:outlineLvl w:val="0"/>
        <w:rPr>
          <w:rFonts w:hint="eastAsia" w:ascii="宋体" w:hAnsi="宋体" w:eastAsia="宋体" w:cs="宋体"/>
          <w:highlight w:val="none"/>
        </w:rPr>
        <w:sectPr>
          <w:headerReference r:id="rId9" w:type="default"/>
          <w:footerReference r:id="rId11" w:type="default"/>
          <w:headerReference r:id="rId10" w:type="even"/>
          <w:footerReference r:id="rId12" w:type="even"/>
          <w:pgSz w:w="11906" w:h="16838"/>
          <w:pgMar w:top="1134" w:right="1417" w:bottom="1134" w:left="1417" w:header="851" w:footer="992" w:gutter="0"/>
          <w:pgNumType w:fmt="numberInDash" w:start="1"/>
          <w:cols w:space="720" w:num="1"/>
          <w:docGrid w:linePitch="312" w:charSpace="0"/>
        </w:sectPr>
      </w:pPr>
    </w:p>
    <w:p w14:paraId="120F7A9F">
      <w:pPr>
        <w:pStyle w:val="31"/>
        <w:tabs>
          <w:tab w:val="right" w:leader="dot" w:pos="9072"/>
        </w:tabs>
        <w:ind w:left="0" w:leftChars="0" w:firstLine="0" w:firstLineChars="0"/>
        <w:jc w:val="center"/>
        <w:outlineLvl w:val="0"/>
        <w:rPr>
          <w:rFonts w:hint="eastAsia" w:ascii="宋体" w:hAnsi="宋体" w:eastAsia="宋体" w:cs="宋体"/>
          <w:highlight w:val="none"/>
        </w:rPr>
      </w:pPr>
      <w:r>
        <w:rPr>
          <w:rFonts w:hint="eastAsia" w:ascii="宋体" w:hAnsi="宋体" w:eastAsia="宋体" w:cs="宋体"/>
          <w:highlight w:val="none"/>
        </w:rPr>
        <w:t xml:space="preserve"> </w:t>
      </w:r>
      <w:bookmarkStart w:id="1" w:name="_Toc27492"/>
      <w:r>
        <w:rPr>
          <w:rFonts w:hint="default" w:ascii="宋体" w:hAnsi="宋体" w:eastAsia="宋体" w:cs="宋体"/>
          <w:b/>
          <w:kern w:val="44"/>
          <w:sz w:val="32"/>
          <w:szCs w:val="20"/>
          <w:highlight w:val="none"/>
          <w:lang w:val="en-US" w:eastAsia="zh-CN" w:bidi="ar-SA"/>
        </w:rPr>
        <w:t>第1章</w:t>
      </w:r>
      <w:r>
        <w:rPr>
          <w:rFonts w:hint="eastAsia" w:ascii="宋体" w:hAnsi="宋体" w:eastAsia="宋体" w:cs="宋体"/>
          <w:b/>
          <w:kern w:val="44"/>
          <w:sz w:val="32"/>
          <w:szCs w:val="20"/>
          <w:highlight w:val="none"/>
          <w:lang w:val="en-US" w:eastAsia="zh-CN" w:bidi="ar-SA"/>
        </w:rPr>
        <w:t xml:space="preserve"> </w:t>
      </w:r>
      <w:bookmarkStart w:id="2" w:name="_Toc518923059"/>
      <w:r>
        <w:rPr>
          <w:rFonts w:hint="eastAsia" w:ascii="宋体" w:hAnsi="宋体" w:eastAsia="宋体" w:cs="宋体"/>
          <w:b/>
          <w:kern w:val="44"/>
          <w:sz w:val="32"/>
          <w:szCs w:val="20"/>
          <w:highlight w:val="none"/>
          <w:lang w:val="en-US" w:eastAsia="zh-CN" w:bidi="ar-SA"/>
        </w:rPr>
        <w:t xml:space="preserve"> 投标人须知</w:t>
      </w:r>
      <w:bookmarkEnd w:id="0"/>
      <w:bookmarkEnd w:id="1"/>
      <w:bookmarkEnd w:id="2"/>
    </w:p>
    <w:p w14:paraId="0596481D">
      <w:pPr>
        <w:pageBreakBefore w:val="0"/>
        <w:widowControl w:val="0"/>
        <w:kinsoku/>
        <w:wordWrap/>
        <w:overflowPunct/>
        <w:topLinePunct w:val="0"/>
        <w:bidi w:val="0"/>
        <w:snapToGrid/>
        <w:spacing w:before="0" w:line="240" w:lineRule="auto"/>
        <w:ind w:firstLine="560" w:firstLineChars="200"/>
        <w:jc w:val="both"/>
        <w:textAlignment w:val="auto"/>
        <w:outlineLvl w:val="1"/>
        <w:rPr>
          <w:rFonts w:hint="eastAsia" w:ascii="宋体" w:hAnsi="宋体" w:eastAsia="宋体" w:cs="宋体"/>
          <w:sz w:val="28"/>
          <w:highlight w:val="none"/>
        </w:rPr>
      </w:pPr>
      <w:bookmarkStart w:id="3" w:name="_Toc216582805"/>
      <w:bookmarkStart w:id="4" w:name="_Toc520356143"/>
      <w:bookmarkStart w:id="5" w:name="_Toc29602"/>
      <w:bookmarkStart w:id="6" w:name="_Toc518923060"/>
      <w:bookmarkStart w:id="7" w:name="_Toc32571"/>
      <w:r>
        <w:rPr>
          <w:rFonts w:hint="eastAsia" w:ascii="宋体" w:hAnsi="宋体" w:eastAsia="宋体" w:cs="宋体"/>
          <w:sz w:val="28"/>
          <w:highlight w:val="none"/>
        </w:rPr>
        <w:t xml:space="preserve">一   </w:t>
      </w:r>
      <w:bookmarkEnd w:id="3"/>
      <w:bookmarkEnd w:id="4"/>
      <w:r>
        <w:rPr>
          <w:rFonts w:hint="eastAsia" w:ascii="宋体" w:hAnsi="宋体" w:eastAsia="宋体" w:cs="宋体"/>
          <w:sz w:val="28"/>
          <w:highlight w:val="none"/>
        </w:rPr>
        <w:t>总  则</w:t>
      </w:r>
      <w:bookmarkEnd w:id="5"/>
      <w:bookmarkEnd w:id="6"/>
      <w:bookmarkEnd w:id="7"/>
    </w:p>
    <w:p w14:paraId="3D1E1643">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sz w:val="24"/>
          <w:szCs w:val="20"/>
          <w:highlight w:val="none"/>
          <w:u w:val="none"/>
        </w:rPr>
      </w:pPr>
      <w:bookmarkStart w:id="8" w:name="_Toc520356144"/>
      <w:bookmarkStart w:id="9" w:name="_Toc518923061"/>
      <w:bookmarkStart w:id="10" w:name="_Toc8476"/>
      <w:r>
        <w:rPr>
          <w:rFonts w:hint="eastAsia" w:ascii="宋体" w:hAnsi="宋体" w:eastAsia="宋体" w:cs="宋体"/>
          <w:sz w:val="24"/>
          <w:szCs w:val="20"/>
          <w:highlight w:val="none"/>
          <w:u w:val="none"/>
        </w:rPr>
        <w:t>1.采购人、采购代理机构及</w:t>
      </w:r>
      <w:bookmarkEnd w:id="8"/>
      <w:r>
        <w:rPr>
          <w:rFonts w:hint="eastAsia" w:ascii="宋体" w:hAnsi="宋体" w:eastAsia="宋体" w:cs="宋体"/>
          <w:sz w:val="24"/>
          <w:szCs w:val="20"/>
          <w:highlight w:val="none"/>
          <w:u w:val="none"/>
        </w:rPr>
        <w:t>投标人</w:t>
      </w:r>
      <w:bookmarkEnd w:id="9"/>
      <w:bookmarkEnd w:id="10"/>
    </w:p>
    <w:p w14:paraId="04FB9529">
      <w:pPr>
        <w:pageBreakBefore w:val="0"/>
        <w:widowControl w:val="0"/>
        <w:numPr>
          <w:ilvl w:val="1"/>
          <w:numId w:val="1"/>
        </w:numPr>
        <w:tabs>
          <w:tab w:val="left" w:pos="0"/>
          <w:tab w:val="clear" w:pos="900"/>
        </w:tabs>
        <w:kinsoku/>
        <w:wordWrap/>
        <w:overflowPunct/>
        <w:topLinePunct w:val="0"/>
        <w:bidi w:val="0"/>
        <w:snapToGrid/>
        <w:spacing w:line="400" w:lineRule="exact"/>
        <w:ind w:hanging="898"/>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采购人：是指依法开展政府采购活动的国家机关、事业单位、团体组织。</w:t>
      </w:r>
    </w:p>
    <w:p w14:paraId="4ED6D8B8">
      <w:pPr>
        <w:pageBreakBefore w:val="0"/>
        <w:widowControl w:val="0"/>
        <w:tabs>
          <w:tab w:val="left" w:pos="0"/>
        </w:tabs>
        <w:kinsoku/>
        <w:wordWrap/>
        <w:overflowPunct/>
        <w:topLinePunct w:val="0"/>
        <w:bidi w:val="0"/>
        <w:snapToGrid/>
        <w:spacing w:line="400" w:lineRule="exact"/>
        <w:ind w:left="9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本项目的采购人见</w:t>
      </w:r>
      <w:r>
        <w:rPr>
          <w:rFonts w:hint="eastAsia" w:ascii="宋体" w:hAnsi="宋体" w:eastAsia="宋体" w:cs="宋体"/>
          <w:sz w:val="24"/>
          <w:szCs w:val="24"/>
          <w:highlight w:val="none"/>
          <w:u w:val="single"/>
        </w:rPr>
        <w:t>投标人须知资料表</w:t>
      </w:r>
      <w:r>
        <w:rPr>
          <w:rFonts w:hint="eastAsia" w:ascii="宋体" w:hAnsi="宋体" w:eastAsia="宋体" w:cs="宋体"/>
          <w:sz w:val="24"/>
          <w:szCs w:val="24"/>
          <w:highlight w:val="none"/>
        </w:rPr>
        <w:t>。</w:t>
      </w:r>
    </w:p>
    <w:p w14:paraId="234492A4">
      <w:pPr>
        <w:pageBreakBefore w:val="0"/>
        <w:widowControl w:val="0"/>
        <w:numPr>
          <w:ilvl w:val="1"/>
          <w:numId w:val="1"/>
        </w:numPr>
        <w:tabs>
          <w:tab w:val="left" w:pos="0"/>
          <w:tab w:val="clear" w:pos="900"/>
        </w:tabs>
        <w:kinsoku/>
        <w:wordWrap/>
        <w:overflowPunct/>
        <w:topLinePunct w:val="0"/>
        <w:bidi w:val="0"/>
        <w:snapToGrid/>
        <w:spacing w:line="400" w:lineRule="exact"/>
        <w:ind w:hanging="898"/>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采购代理机构：是指集中采购机构或从事采购代理业务的社会中介机构。本项目的采购代理机构见</w:t>
      </w:r>
      <w:r>
        <w:rPr>
          <w:rFonts w:hint="eastAsia" w:ascii="宋体" w:hAnsi="宋体" w:eastAsia="宋体" w:cs="宋体"/>
          <w:sz w:val="24"/>
          <w:szCs w:val="24"/>
          <w:highlight w:val="none"/>
          <w:u w:val="single"/>
        </w:rPr>
        <w:t>投标人须知资料表</w:t>
      </w:r>
      <w:r>
        <w:rPr>
          <w:rFonts w:hint="eastAsia" w:ascii="宋体" w:hAnsi="宋体" w:eastAsia="宋体" w:cs="宋体"/>
          <w:sz w:val="24"/>
          <w:szCs w:val="24"/>
          <w:highlight w:val="none"/>
        </w:rPr>
        <w:t>。</w:t>
      </w:r>
    </w:p>
    <w:p w14:paraId="1C561814">
      <w:pPr>
        <w:pageBreakBefore w:val="0"/>
        <w:widowControl w:val="0"/>
        <w:numPr>
          <w:ilvl w:val="1"/>
          <w:numId w:val="1"/>
        </w:numPr>
        <w:kinsoku/>
        <w:wordWrap/>
        <w:overflowPunct/>
        <w:topLinePunct w:val="0"/>
        <w:bidi w:val="0"/>
        <w:snapToGrid/>
        <w:spacing w:line="400" w:lineRule="exact"/>
        <w:ind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投标人：是指向采购人提供货物、工程或者服务的法人、非法人组织或者自然人。本项目的投标人须满足以下条件：</w:t>
      </w:r>
    </w:p>
    <w:p w14:paraId="714E981D">
      <w:pPr>
        <w:pageBreakBefore w:val="0"/>
        <w:widowControl w:val="0"/>
        <w:kinsoku/>
        <w:wordWrap/>
        <w:overflowPunct/>
        <w:topLinePunct w:val="0"/>
        <w:bidi w:val="0"/>
        <w:snapToGrid/>
        <w:spacing w:line="400" w:lineRule="exact"/>
        <w:ind w:left="850" w:hanging="849" w:hangingChars="354"/>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在中华人民共和国境内注册，能够独立承担民事责任，有生产或供应能力的本国供应商。</w:t>
      </w:r>
    </w:p>
    <w:p w14:paraId="13D5CC23">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1.3.2</w:t>
      </w:r>
      <w:r>
        <w:rPr>
          <w:rFonts w:hint="eastAsia" w:ascii="宋体" w:hAnsi="宋体" w:eastAsia="宋体" w:cs="宋体"/>
          <w:sz w:val="24"/>
          <w:szCs w:val="24"/>
          <w:highlight w:val="none"/>
        </w:rPr>
        <w:tab/>
      </w:r>
      <w:r>
        <w:rPr>
          <w:rFonts w:hint="eastAsia" w:ascii="宋体" w:hAnsi="宋体" w:eastAsia="宋体" w:cs="宋体"/>
          <w:sz w:val="24"/>
          <w:szCs w:val="24"/>
          <w:highlight w:val="none"/>
        </w:rPr>
        <w:t>具备《中华人民共和国政府采购法》第二十二条关于供应商条件的规定，遵守本项目采购人本级和上级财政部门政府采购的有关规定。</w:t>
      </w:r>
    </w:p>
    <w:p w14:paraId="4EEADA7D">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1.3.3</w:t>
      </w:r>
      <w:r>
        <w:rPr>
          <w:rFonts w:hint="eastAsia" w:ascii="宋体" w:hAnsi="宋体" w:eastAsia="宋体" w:cs="宋体"/>
          <w:sz w:val="24"/>
          <w:szCs w:val="24"/>
          <w:highlight w:val="none"/>
        </w:rPr>
        <w:tab/>
      </w:r>
      <w:r>
        <w:rPr>
          <w:rFonts w:hint="eastAsia" w:ascii="宋体" w:hAnsi="宋体" w:eastAsia="宋体" w:cs="宋体"/>
          <w:sz w:val="24"/>
          <w:szCs w:val="24"/>
          <w:highlight w:val="none"/>
        </w:rPr>
        <w:t>以采购代理机构认可的方式获得了本项目的招标文件。</w:t>
      </w:r>
    </w:p>
    <w:p w14:paraId="1413D73D">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1.3.4</w:t>
      </w:r>
      <w:r>
        <w:rPr>
          <w:rFonts w:hint="eastAsia" w:ascii="宋体" w:hAnsi="宋体" w:eastAsia="宋体" w:cs="宋体"/>
          <w:sz w:val="24"/>
          <w:szCs w:val="24"/>
          <w:highlight w:val="none"/>
        </w:rPr>
        <w:tab/>
      </w:r>
      <w:r>
        <w:rPr>
          <w:rFonts w:hint="eastAsia" w:ascii="宋体" w:hAnsi="宋体" w:eastAsia="宋体" w:cs="宋体"/>
          <w:sz w:val="24"/>
          <w:szCs w:val="24"/>
          <w:highlight w:val="none"/>
        </w:rPr>
        <w:t>符合</w:t>
      </w:r>
      <w:r>
        <w:rPr>
          <w:rFonts w:hint="eastAsia" w:ascii="宋体" w:hAnsi="宋体" w:eastAsia="宋体" w:cs="宋体"/>
          <w:sz w:val="24"/>
          <w:szCs w:val="24"/>
          <w:highlight w:val="none"/>
          <w:u w:val="single"/>
        </w:rPr>
        <w:t>投标人须知资料表</w:t>
      </w:r>
      <w:r>
        <w:rPr>
          <w:rFonts w:hint="eastAsia" w:ascii="宋体" w:hAnsi="宋体" w:eastAsia="宋体" w:cs="宋体"/>
          <w:sz w:val="24"/>
          <w:szCs w:val="24"/>
          <w:highlight w:val="none"/>
        </w:rPr>
        <w:t>中规定的其他要求。</w:t>
      </w:r>
    </w:p>
    <w:p w14:paraId="09C2511A">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1.3.5</w:t>
      </w:r>
      <w:r>
        <w:rPr>
          <w:rFonts w:hint="eastAsia" w:ascii="宋体" w:hAnsi="宋体" w:eastAsia="宋体" w:cs="宋体"/>
          <w:sz w:val="24"/>
          <w:szCs w:val="24"/>
          <w:highlight w:val="none"/>
        </w:rPr>
        <w:tab/>
      </w:r>
      <w:r>
        <w:rPr>
          <w:rFonts w:hint="eastAsia" w:ascii="宋体" w:hAnsi="宋体" w:eastAsia="宋体" w:cs="宋体"/>
          <w:sz w:val="24"/>
          <w:szCs w:val="24"/>
          <w:highlight w:val="none"/>
        </w:rPr>
        <w:t>若</w:t>
      </w:r>
      <w:r>
        <w:rPr>
          <w:rFonts w:hint="eastAsia" w:ascii="宋体" w:hAnsi="宋体" w:eastAsia="宋体" w:cs="宋体"/>
          <w:sz w:val="24"/>
          <w:szCs w:val="24"/>
          <w:highlight w:val="none"/>
          <w:u w:val="single"/>
        </w:rPr>
        <w:t>投标人须知资料表</w:t>
      </w:r>
      <w:r>
        <w:rPr>
          <w:rFonts w:hint="eastAsia" w:ascii="宋体" w:hAnsi="宋体" w:eastAsia="宋体" w:cs="宋体"/>
          <w:sz w:val="24"/>
          <w:szCs w:val="24"/>
          <w:highlight w:val="none"/>
        </w:rPr>
        <w:t>中写明专门面向中小企业采购的，如投标人为非中小企业，其投标将被认定为投标无效。</w:t>
      </w:r>
    </w:p>
    <w:p w14:paraId="0D5E093A">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如</w:t>
      </w:r>
      <w:r>
        <w:rPr>
          <w:rFonts w:hint="eastAsia" w:ascii="宋体" w:hAnsi="宋体" w:eastAsia="宋体" w:cs="宋体"/>
          <w:sz w:val="24"/>
          <w:szCs w:val="24"/>
          <w:highlight w:val="none"/>
          <w:u w:val="single"/>
        </w:rPr>
        <w:t>投标人须知资料表</w:t>
      </w:r>
      <w:r>
        <w:rPr>
          <w:rFonts w:hint="eastAsia" w:ascii="宋体" w:hAnsi="宋体" w:eastAsia="宋体" w:cs="宋体"/>
          <w:sz w:val="24"/>
          <w:szCs w:val="24"/>
          <w:highlight w:val="none"/>
        </w:rPr>
        <w:t>中允许联合体投标，对联合体规定如下：</w:t>
      </w:r>
    </w:p>
    <w:p w14:paraId="3D5B5367">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1.4.1</w:t>
      </w:r>
      <w:r>
        <w:rPr>
          <w:rFonts w:hint="eastAsia" w:ascii="宋体" w:hAnsi="宋体" w:eastAsia="宋体" w:cs="宋体"/>
          <w:sz w:val="24"/>
          <w:szCs w:val="24"/>
          <w:highlight w:val="none"/>
        </w:rPr>
        <w:tab/>
      </w:r>
      <w:r>
        <w:rPr>
          <w:rFonts w:hint="eastAsia" w:ascii="宋体" w:hAnsi="宋体" w:eastAsia="宋体" w:cs="宋体"/>
          <w:sz w:val="24"/>
          <w:szCs w:val="24"/>
          <w:highlight w:val="none"/>
        </w:rPr>
        <w:t>两个以上供应商可以组成一个投标联合体，以一个投标人的身份投标。</w:t>
      </w:r>
    </w:p>
    <w:p w14:paraId="2D53348C">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1.4.2</w:t>
      </w:r>
      <w:r>
        <w:rPr>
          <w:rFonts w:hint="eastAsia" w:ascii="宋体" w:hAnsi="宋体" w:eastAsia="宋体" w:cs="宋体"/>
          <w:sz w:val="24"/>
          <w:szCs w:val="24"/>
          <w:highlight w:val="none"/>
        </w:rPr>
        <w:tab/>
      </w:r>
      <w:r>
        <w:rPr>
          <w:rFonts w:hint="eastAsia" w:ascii="宋体" w:hAnsi="宋体" w:eastAsia="宋体" w:cs="宋体"/>
          <w:sz w:val="24"/>
          <w:szCs w:val="24"/>
          <w:highlight w:val="none"/>
        </w:rPr>
        <w:t>联合体各方均应符合《中华人民共和国政府采购法》第二十二条规定的条件。</w:t>
      </w:r>
    </w:p>
    <w:p w14:paraId="37577B4D">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1.4.3</w:t>
      </w:r>
      <w:r>
        <w:rPr>
          <w:rFonts w:hint="eastAsia" w:ascii="宋体" w:hAnsi="宋体" w:eastAsia="宋体" w:cs="宋体"/>
          <w:sz w:val="24"/>
          <w:szCs w:val="24"/>
          <w:highlight w:val="none"/>
        </w:rPr>
        <w:tab/>
      </w:r>
      <w:r>
        <w:rPr>
          <w:rFonts w:hint="eastAsia" w:ascii="宋体" w:hAnsi="宋体" w:eastAsia="宋体" w:cs="宋体"/>
          <w:sz w:val="24"/>
          <w:szCs w:val="24"/>
          <w:highlight w:val="none"/>
        </w:rPr>
        <w:t>采购人根据采购项目对投标人的特殊要求，联合体中至少应当有一方符合相关规定。</w:t>
      </w:r>
    </w:p>
    <w:p w14:paraId="5F88C026">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1.4.4</w:t>
      </w:r>
      <w:r>
        <w:rPr>
          <w:rFonts w:hint="eastAsia" w:ascii="宋体" w:hAnsi="宋体" w:eastAsia="宋体" w:cs="宋体"/>
          <w:sz w:val="24"/>
          <w:szCs w:val="24"/>
          <w:highlight w:val="none"/>
        </w:rPr>
        <w:tab/>
      </w:r>
      <w:r>
        <w:rPr>
          <w:rFonts w:hint="eastAsia" w:ascii="宋体" w:hAnsi="宋体" w:eastAsia="宋体" w:cs="宋体"/>
          <w:sz w:val="24"/>
          <w:szCs w:val="24"/>
          <w:highlight w:val="none"/>
        </w:rPr>
        <w:t>联合体各方应签订共同投标协议，明确约定联合体各方承担的工作和相应的责任，并将共同投标协议连同投标文件一并提交招标采购单位。</w:t>
      </w:r>
    </w:p>
    <w:p w14:paraId="1C5E4BA4">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大中型企业、其他自然人、法人或者非法人组织与小型、微型企业组成联合体共同参加投标，共同投标协议中应写明小型、微型企业的协议合同金额占到共同投标协议投标总金额的比例。</w:t>
      </w:r>
    </w:p>
    <w:p w14:paraId="0C608060">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1.4.6</w:t>
      </w:r>
      <w:r>
        <w:rPr>
          <w:rFonts w:hint="eastAsia" w:ascii="宋体" w:hAnsi="宋体" w:eastAsia="宋体" w:cs="宋体"/>
          <w:sz w:val="24"/>
          <w:szCs w:val="24"/>
          <w:highlight w:val="none"/>
        </w:rPr>
        <w:tab/>
      </w:r>
      <w:r>
        <w:rPr>
          <w:rFonts w:hint="eastAsia" w:ascii="宋体" w:hAnsi="宋体" w:eastAsia="宋体" w:cs="宋体"/>
          <w:sz w:val="24"/>
          <w:szCs w:val="24"/>
          <w:highlight w:val="none"/>
        </w:rPr>
        <w:t>联合体中有同类资质的供应商按照联合体分工承担相同工作的，按照资质等级较低的供应商确定资质等级。</w:t>
      </w:r>
    </w:p>
    <w:p w14:paraId="7241C81B">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1.4.7</w:t>
      </w:r>
      <w:r>
        <w:rPr>
          <w:rFonts w:hint="eastAsia" w:ascii="宋体" w:hAnsi="宋体" w:eastAsia="宋体" w:cs="宋体"/>
          <w:sz w:val="24"/>
          <w:szCs w:val="24"/>
          <w:highlight w:val="none"/>
        </w:rPr>
        <w:tab/>
      </w:r>
      <w:r>
        <w:rPr>
          <w:rFonts w:hint="eastAsia" w:ascii="宋体" w:hAnsi="宋体" w:eastAsia="宋体" w:cs="宋体"/>
          <w:sz w:val="24"/>
          <w:szCs w:val="24"/>
          <w:highlight w:val="none"/>
        </w:rPr>
        <w:t>以联合体形式参加政府采购活动的，联合体各方不得再单独参加或者与其他供应商另外组成联合体参加本项目投标，否则相关投标将被认定为投标无效。</w:t>
      </w:r>
    </w:p>
    <w:p w14:paraId="4FC37F93">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1.4.8</w:t>
      </w:r>
      <w:r>
        <w:rPr>
          <w:rFonts w:hint="eastAsia" w:ascii="宋体" w:hAnsi="宋体" w:eastAsia="宋体" w:cs="宋体"/>
          <w:sz w:val="24"/>
          <w:szCs w:val="24"/>
          <w:highlight w:val="none"/>
        </w:rPr>
        <w:tab/>
      </w:r>
      <w:r>
        <w:rPr>
          <w:rFonts w:hint="eastAsia" w:ascii="宋体" w:hAnsi="宋体" w:eastAsia="宋体" w:cs="宋体"/>
          <w:sz w:val="24"/>
          <w:szCs w:val="24"/>
          <w:highlight w:val="none"/>
        </w:rPr>
        <w:t>对联合体投标的其他资格要求见</w:t>
      </w:r>
      <w:r>
        <w:rPr>
          <w:rFonts w:hint="eastAsia" w:ascii="宋体" w:hAnsi="宋体" w:eastAsia="宋体" w:cs="宋体"/>
          <w:sz w:val="24"/>
          <w:szCs w:val="24"/>
          <w:highlight w:val="none"/>
          <w:u w:val="single"/>
        </w:rPr>
        <w:t>投标人须知资料表</w:t>
      </w:r>
      <w:r>
        <w:rPr>
          <w:rFonts w:hint="eastAsia" w:ascii="宋体" w:hAnsi="宋体" w:eastAsia="宋体" w:cs="宋体"/>
          <w:sz w:val="24"/>
          <w:szCs w:val="24"/>
          <w:highlight w:val="none"/>
        </w:rPr>
        <w:t>。</w:t>
      </w:r>
    </w:p>
    <w:p w14:paraId="1F63011C">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rPr>
        <w:tab/>
      </w:r>
      <w:r>
        <w:rPr>
          <w:rFonts w:hint="eastAsia" w:ascii="宋体" w:hAnsi="宋体" w:eastAsia="宋体" w:cs="宋体"/>
          <w:sz w:val="24"/>
          <w:szCs w:val="24"/>
          <w:highlight w:val="none"/>
        </w:rPr>
        <w:t>单位负责人为同一人或者存在直接控股、管理关系的不同供应商，其相关投标将被认定为投标无效。</w:t>
      </w:r>
    </w:p>
    <w:p w14:paraId="575DB229">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rPr>
        <w:tab/>
      </w:r>
      <w:r>
        <w:rPr>
          <w:rFonts w:hint="eastAsia" w:ascii="宋体" w:hAnsi="宋体" w:eastAsia="宋体" w:cs="宋体"/>
          <w:sz w:val="24"/>
          <w:szCs w:val="24"/>
          <w:highlight w:val="none"/>
        </w:rPr>
        <w:t>为本项目提供过整体设计、规范编制或者项目管理、监理、检测等服务的供应商，不得再参加本项目上述服务以外的其他采购活动。否则其投标将被认定为投标无效。</w:t>
      </w:r>
    </w:p>
    <w:p w14:paraId="4B8E7D2A">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sz w:val="24"/>
          <w:szCs w:val="24"/>
          <w:highlight w:val="none"/>
        </w:rPr>
        <w:tab/>
      </w:r>
      <w:r>
        <w:rPr>
          <w:rFonts w:hint="eastAsia" w:ascii="宋体" w:hAnsi="宋体" w:eastAsia="宋体" w:cs="宋体"/>
          <w:sz w:val="24"/>
          <w:szCs w:val="24"/>
          <w:highlight w:val="none"/>
        </w:rPr>
        <w:t>投标人在投标过程中不得向采购人提供或给予影响其正常决策行为的任何有价值物品或服务。一经发现，其投标将被认定为投标无效。</w:t>
      </w:r>
    </w:p>
    <w:p w14:paraId="5A263436">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sz w:val="24"/>
          <w:szCs w:val="20"/>
          <w:highlight w:val="none"/>
          <w:u w:val="none"/>
        </w:rPr>
      </w:pPr>
      <w:bookmarkStart w:id="11" w:name="_Toc518923062"/>
      <w:bookmarkStart w:id="12" w:name="_Toc10511"/>
      <w:r>
        <w:rPr>
          <w:rFonts w:hint="eastAsia" w:ascii="宋体" w:hAnsi="宋体" w:eastAsia="宋体" w:cs="宋体"/>
          <w:sz w:val="24"/>
          <w:szCs w:val="20"/>
          <w:highlight w:val="none"/>
          <w:u w:val="none"/>
        </w:rPr>
        <w:t>2.资金来源</w:t>
      </w:r>
      <w:bookmarkEnd w:id="11"/>
      <w:bookmarkEnd w:id="12"/>
    </w:p>
    <w:p w14:paraId="04D91B81">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本项目的采购人已获得足以支付本次招标后所签订的合同项下的资金（包括财政性资金和本项目采购中无法与财政性资金分割的非财政性资金）。</w:t>
      </w:r>
    </w:p>
    <w:p w14:paraId="2E1691BD">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rPr>
        <w:tab/>
      </w:r>
      <w:r>
        <w:rPr>
          <w:rFonts w:hint="eastAsia" w:ascii="宋体" w:hAnsi="宋体" w:eastAsia="宋体" w:cs="宋体"/>
          <w:sz w:val="24"/>
          <w:szCs w:val="24"/>
          <w:highlight w:val="none"/>
        </w:rPr>
        <w:t>项目预算金额和分项或分包最高限价</w:t>
      </w:r>
      <w:r>
        <w:rPr>
          <w:rFonts w:hint="eastAsia" w:ascii="宋体" w:hAnsi="宋体" w:eastAsia="宋体" w:cs="宋体"/>
          <w:sz w:val="24"/>
          <w:szCs w:val="24"/>
          <w:highlight w:val="none"/>
          <w:u w:val="single"/>
        </w:rPr>
        <w:t>见投标人须知资料表</w:t>
      </w:r>
      <w:r>
        <w:rPr>
          <w:rFonts w:hint="eastAsia" w:ascii="宋体" w:hAnsi="宋体" w:eastAsia="宋体" w:cs="宋体"/>
          <w:sz w:val="24"/>
          <w:szCs w:val="24"/>
          <w:highlight w:val="none"/>
        </w:rPr>
        <w:t>。</w:t>
      </w:r>
    </w:p>
    <w:p w14:paraId="57B55376">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2.3</w:t>
      </w:r>
      <w:r>
        <w:rPr>
          <w:rFonts w:hint="eastAsia" w:ascii="宋体" w:hAnsi="宋体" w:eastAsia="宋体" w:cs="宋体"/>
          <w:sz w:val="24"/>
          <w:szCs w:val="24"/>
          <w:highlight w:val="none"/>
        </w:rPr>
        <w:tab/>
      </w:r>
      <w:r>
        <w:rPr>
          <w:rFonts w:hint="eastAsia" w:ascii="宋体" w:hAnsi="宋体" w:eastAsia="宋体" w:cs="宋体"/>
          <w:sz w:val="24"/>
          <w:szCs w:val="24"/>
          <w:highlight w:val="none"/>
        </w:rPr>
        <w:t>投标人报价超过招标文件规定的预算金额或者分项、分包最高限价的，其投标将被认定为投标无效。</w:t>
      </w:r>
    </w:p>
    <w:p w14:paraId="5BDA43E8">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sz w:val="24"/>
          <w:szCs w:val="20"/>
          <w:highlight w:val="none"/>
          <w:u w:val="none"/>
        </w:rPr>
      </w:pPr>
      <w:bookmarkStart w:id="13" w:name="_Toc518923063"/>
      <w:bookmarkStart w:id="14" w:name="_Toc520356145"/>
      <w:bookmarkStart w:id="15" w:name="_Toc2978"/>
      <w:r>
        <w:rPr>
          <w:rFonts w:hint="eastAsia" w:ascii="宋体" w:hAnsi="宋体" w:eastAsia="宋体" w:cs="宋体"/>
          <w:sz w:val="24"/>
          <w:szCs w:val="20"/>
          <w:highlight w:val="none"/>
          <w:u w:val="none"/>
        </w:rPr>
        <w:t>3.投标费用</w:t>
      </w:r>
      <w:bookmarkEnd w:id="13"/>
      <w:bookmarkEnd w:id="14"/>
      <w:bookmarkEnd w:id="15"/>
    </w:p>
    <w:p w14:paraId="3CB2908E">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不论投标的结果如何，投标人应承担所有与准备和参加投标有关的费用。</w:t>
      </w:r>
    </w:p>
    <w:p w14:paraId="0767129F">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sz w:val="24"/>
          <w:szCs w:val="20"/>
          <w:highlight w:val="none"/>
          <w:u w:val="none"/>
        </w:rPr>
      </w:pPr>
      <w:bookmarkStart w:id="16" w:name="_Toc27415"/>
      <w:bookmarkStart w:id="17" w:name="_Toc518923064"/>
      <w:r>
        <w:rPr>
          <w:rFonts w:hint="eastAsia" w:ascii="宋体" w:hAnsi="宋体" w:eastAsia="宋体" w:cs="宋体"/>
          <w:sz w:val="24"/>
          <w:szCs w:val="20"/>
          <w:highlight w:val="none"/>
          <w:u w:val="none"/>
        </w:rPr>
        <w:t>4.适用法律</w:t>
      </w:r>
      <w:bookmarkEnd w:id="16"/>
      <w:bookmarkEnd w:id="17"/>
    </w:p>
    <w:p w14:paraId="410E157D">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04313700">
      <w:pPr>
        <w:spacing w:line="240" w:lineRule="auto"/>
        <w:outlineLvl w:val="9"/>
        <w:rPr>
          <w:rFonts w:hint="eastAsia" w:ascii="宋体" w:hAnsi="宋体" w:eastAsia="宋体" w:cs="宋体"/>
          <w:sz w:val="24"/>
          <w:highlight w:val="none"/>
        </w:rPr>
      </w:pPr>
    </w:p>
    <w:p w14:paraId="3AA59FA0">
      <w:pPr>
        <w:spacing w:before="0" w:line="240" w:lineRule="auto"/>
        <w:ind w:left="1080" w:leftChars="257" w:hanging="540"/>
        <w:outlineLvl w:val="1"/>
        <w:rPr>
          <w:rFonts w:hint="eastAsia" w:ascii="宋体" w:hAnsi="宋体" w:eastAsia="宋体" w:cs="宋体"/>
          <w:sz w:val="28"/>
          <w:highlight w:val="none"/>
        </w:rPr>
      </w:pPr>
      <w:bookmarkStart w:id="18" w:name="_Toc518923065"/>
      <w:bookmarkStart w:id="19" w:name="_Toc216582806"/>
      <w:bookmarkStart w:id="20" w:name="_Toc19112"/>
      <w:bookmarkStart w:id="21" w:name="_Toc5081"/>
      <w:bookmarkStart w:id="22" w:name="_Toc520356146"/>
      <w:r>
        <w:rPr>
          <w:rFonts w:hint="eastAsia" w:ascii="宋体" w:hAnsi="宋体" w:eastAsia="宋体" w:cs="宋体"/>
          <w:sz w:val="28"/>
          <w:highlight w:val="none"/>
        </w:rPr>
        <w:t>二   招标文件</w:t>
      </w:r>
      <w:bookmarkEnd w:id="18"/>
      <w:bookmarkEnd w:id="19"/>
      <w:bookmarkEnd w:id="20"/>
      <w:bookmarkEnd w:id="21"/>
      <w:bookmarkEnd w:id="22"/>
    </w:p>
    <w:p w14:paraId="0F8CD272">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23" w:name="_Toc520356147"/>
      <w:bookmarkStart w:id="24" w:name="_Toc28192"/>
      <w:bookmarkStart w:id="25" w:name="_Toc518923066"/>
      <w:r>
        <w:rPr>
          <w:rFonts w:hint="eastAsia" w:ascii="宋体" w:hAnsi="宋体" w:eastAsia="宋体" w:cs="宋体"/>
          <w:highlight w:val="none"/>
          <w:u w:val="none"/>
        </w:rPr>
        <w:t>5.招标文件构成</w:t>
      </w:r>
      <w:bookmarkEnd w:id="23"/>
      <w:bookmarkEnd w:id="24"/>
      <w:bookmarkEnd w:id="25"/>
    </w:p>
    <w:p w14:paraId="61D07FD5">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5.1</w:t>
      </w:r>
      <w:r>
        <w:rPr>
          <w:rFonts w:hint="eastAsia" w:ascii="宋体" w:hAnsi="宋体" w:eastAsia="宋体" w:cs="宋体"/>
          <w:sz w:val="24"/>
          <w:highlight w:val="none"/>
        </w:rPr>
        <w:tab/>
      </w:r>
      <w:r>
        <w:rPr>
          <w:rFonts w:hint="eastAsia" w:ascii="宋体" w:hAnsi="宋体" w:eastAsia="宋体" w:cs="宋体"/>
          <w:sz w:val="24"/>
          <w:highlight w:val="none"/>
        </w:rPr>
        <w:t>招标文件分为三册共7章，内容如下：</w:t>
      </w:r>
    </w:p>
    <w:p w14:paraId="455C8CB3">
      <w:pPr>
        <w:pageBreakBefore w:val="0"/>
        <w:widowControl w:val="0"/>
        <w:kinsoku/>
        <w:wordWrap/>
        <w:overflowPunct/>
        <w:topLinePunct w:val="0"/>
        <w:bidi w:val="0"/>
        <w:snapToGrid/>
        <w:spacing w:line="400" w:lineRule="exact"/>
        <w:ind w:left="1079" w:leftChars="428" w:hanging="180" w:hangingChars="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第一册</w:t>
      </w:r>
    </w:p>
    <w:p w14:paraId="23D555A3">
      <w:pPr>
        <w:pageBreakBefore w:val="0"/>
        <w:widowControl w:val="0"/>
        <w:numPr>
          <w:ilvl w:val="0"/>
          <w:numId w:val="2"/>
        </w:numPr>
        <w:tabs>
          <w:tab w:val="left" w:pos="0"/>
          <w:tab w:val="clear" w:pos="1680"/>
        </w:tabs>
        <w:kinsoku/>
        <w:wordWrap/>
        <w:overflowPunct/>
        <w:topLinePunct w:val="0"/>
        <w:bidi w:val="0"/>
        <w:snapToGrid/>
        <w:spacing w:line="400" w:lineRule="exact"/>
        <w:ind w:left="993" w:firstLine="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投标人须知</w:t>
      </w:r>
    </w:p>
    <w:p w14:paraId="7273ED9B">
      <w:pPr>
        <w:pageBreakBefore w:val="0"/>
        <w:widowControl w:val="0"/>
        <w:numPr>
          <w:ilvl w:val="0"/>
          <w:numId w:val="2"/>
        </w:numPr>
        <w:tabs>
          <w:tab w:val="left" w:pos="0"/>
          <w:tab w:val="clear" w:pos="1680"/>
        </w:tabs>
        <w:kinsoku/>
        <w:wordWrap/>
        <w:overflowPunct/>
        <w:topLinePunct w:val="0"/>
        <w:bidi w:val="0"/>
        <w:snapToGrid/>
        <w:spacing w:line="400" w:lineRule="exact"/>
        <w:ind w:left="993" w:firstLine="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投标文件格式</w:t>
      </w:r>
    </w:p>
    <w:p w14:paraId="1868226A">
      <w:pPr>
        <w:pageBreakBefore w:val="0"/>
        <w:widowControl w:val="0"/>
        <w:kinsoku/>
        <w:wordWrap/>
        <w:overflowPunct/>
        <w:topLinePunct w:val="0"/>
        <w:bidi w:val="0"/>
        <w:snapToGrid/>
        <w:spacing w:line="400" w:lineRule="exact"/>
        <w:ind w:left="1081" w:leftChars="429" w:hanging="18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第二册</w:t>
      </w:r>
    </w:p>
    <w:p w14:paraId="55A21829">
      <w:pPr>
        <w:pageBreakBefore w:val="0"/>
        <w:widowControl w:val="0"/>
        <w:numPr>
          <w:ilvl w:val="0"/>
          <w:numId w:val="2"/>
        </w:numPr>
        <w:tabs>
          <w:tab w:val="left" w:pos="0"/>
          <w:tab w:val="clear" w:pos="1680"/>
        </w:tabs>
        <w:kinsoku/>
        <w:wordWrap/>
        <w:overflowPunct/>
        <w:topLinePunct w:val="0"/>
        <w:bidi w:val="0"/>
        <w:snapToGrid/>
        <w:spacing w:line="400" w:lineRule="exact"/>
        <w:ind w:left="993" w:firstLine="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投标邀请</w:t>
      </w:r>
    </w:p>
    <w:p w14:paraId="12441B28">
      <w:pPr>
        <w:pageBreakBefore w:val="0"/>
        <w:widowControl w:val="0"/>
        <w:numPr>
          <w:ilvl w:val="0"/>
          <w:numId w:val="2"/>
        </w:numPr>
        <w:tabs>
          <w:tab w:val="left" w:pos="0"/>
          <w:tab w:val="clear" w:pos="1680"/>
        </w:tabs>
        <w:kinsoku/>
        <w:wordWrap/>
        <w:overflowPunct/>
        <w:topLinePunct w:val="0"/>
        <w:bidi w:val="0"/>
        <w:snapToGrid/>
        <w:spacing w:line="400" w:lineRule="exact"/>
        <w:ind w:left="993" w:firstLine="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投标人须知资料表</w:t>
      </w:r>
    </w:p>
    <w:p w14:paraId="2357E0E7">
      <w:pPr>
        <w:pageBreakBefore w:val="0"/>
        <w:widowControl w:val="0"/>
        <w:numPr>
          <w:ilvl w:val="0"/>
          <w:numId w:val="2"/>
        </w:numPr>
        <w:tabs>
          <w:tab w:val="left" w:pos="0"/>
          <w:tab w:val="clear" w:pos="1680"/>
        </w:tabs>
        <w:kinsoku/>
        <w:wordWrap/>
        <w:overflowPunct/>
        <w:topLinePunct w:val="0"/>
        <w:bidi w:val="0"/>
        <w:snapToGrid/>
        <w:spacing w:line="400" w:lineRule="exact"/>
        <w:ind w:left="993" w:firstLine="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服务需求</w:t>
      </w:r>
    </w:p>
    <w:p w14:paraId="4C0F6FB1">
      <w:pPr>
        <w:pageBreakBefore w:val="0"/>
        <w:widowControl w:val="0"/>
        <w:numPr>
          <w:ilvl w:val="0"/>
          <w:numId w:val="2"/>
        </w:numPr>
        <w:tabs>
          <w:tab w:val="left" w:pos="0"/>
          <w:tab w:val="clear" w:pos="1680"/>
        </w:tabs>
        <w:kinsoku/>
        <w:wordWrap/>
        <w:overflowPunct/>
        <w:topLinePunct w:val="0"/>
        <w:bidi w:val="0"/>
        <w:snapToGrid/>
        <w:spacing w:line="400" w:lineRule="exact"/>
        <w:ind w:left="993" w:firstLine="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评标方法和标准</w:t>
      </w:r>
    </w:p>
    <w:p w14:paraId="738FA786">
      <w:pPr>
        <w:pageBreakBefore w:val="0"/>
        <w:widowControl w:val="0"/>
        <w:kinsoku/>
        <w:wordWrap/>
        <w:overflowPunct/>
        <w:topLinePunct w:val="0"/>
        <w:bidi w:val="0"/>
        <w:snapToGrid/>
        <w:spacing w:line="400" w:lineRule="exact"/>
        <w:ind w:left="901"/>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第三册</w:t>
      </w:r>
    </w:p>
    <w:p w14:paraId="7DDA392B">
      <w:pPr>
        <w:pageBreakBefore w:val="0"/>
        <w:widowControl w:val="0"/>
        <w:numPr>
          <w:ilvl w:val="0"/>
          <w:numId w:val="2"/>
        </w:numPr>
        <w:kinsoku/>
        <w:wordWrap/>
        <w:overflowPunct/>
        <w:topLinePunct w:val="0"/>
        <w:bidi w:val="0"/>
        <w:snapToGrid/>
        <w:spacing w:line="400" w:lineRule="exact"/>
        <w:ind w:left="1081" w:leftChars="429" w:hanging="180"/>
        <w:textAlignment w:val="auto"/>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政府采购合同格式</w:t>
      </w:r>
    </w:p>
    <w:p w14:paraId="739D66F2">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5.2</w:t>
      </w:r>
      <w:r>
        <w:rPr>
          <w:rFonts w:hint="eastAsia" w:ascii="宋体" w:hAnsi="宋体" w:eastAsia="宋体" w:cs="宋体"/>
          <w:sz w:val="24"/>
          <w:highlight w:val="none"/>
        </w:rPr>
        <w:tab/>
      </w:r>
      <w:r>
        <w:rPr>
          <w:rFonts w:hint="eastAsia" w:ascii="宋体" w:hAnsi="宋体" w:eastAsia="宋体" w:cs="宋体"/>
          <w:sz w:val="24"/>
          <w:highlight w:val="none"/>
        </w:rPr>
        <w:t>如本文件的前后内容不一致，以最后描述为准。</w:t>
      </w:r>
    </w:p>
    <w:p w14:paraId="4F11513F">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5.3</w:t>
      </w:r>
      <w:r>
        <w:rPr>
          <w:rFonts w:hint="eastAsia" w:ascii="宋体" w:hAnsi="宋体" w:eastAsia="宋体" w:cs="宋体"/>
          <w:sz w:val="24"/>
          <w:highlight w:val="none"/>
        </w:rPr>
        <w:tab/>
      </w:r>
      <w:r>
        <w:rPr>
          <w:rFonts w:hint="eastAsia" w:ascii="宋体" w:hAnsi="宋体" w:eastAsia="宋体" w:cs="宋体"/>
          <w:sz w:val="24"/>
          <w:highlight w:val="none"/>
        </w:rPr>
        <w:t>投标人应认真阅读招标文件所有的事项、格式、条款和技术规范等。如投标人没有按照招标文件要求提交全部资料，或者投标文件没有对招标文件在各方面都做出实质性响应，可能导致其投标被认定为投标无效。</w:t>
      </w:r>
    </w:p>
    <w:p w14:paraId="168C9D30">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b w:val="0"/>
          <w:highlight w:val="none"/>
          <w:u w:val="none"/>
        </w:rPr>
      </w:pPr>
      <w:bookmarkStart w:id="26" w:name="_Toc520356148"/>
      <w:bookmarkStart w:id="27" w:name="_Toc518923067"/>
      <w:bookmarkStart w:id="28" w:name="_Toc9178"/>
      <w:r>
        <w:rPr>
          <w:rFonts w:hint="eastAsia" w:ascii="宋体" w:hAnsi="宋体" w:eastAsia="宋体" w:cs="宋体"/>
          <w:highlight w:val="none"/>
          <w:u w:val="none"/>
        </w:rPr>
        <w:t>6.招标文件的澄清</w:t>
      </w:r>
      <w:bookmarkEnd w:id="26"/>
      <w:r>
        <w:rPr>
          <w:rFonts w:hint="eastAsia" w:ascii="宋体" w:hAnsi="宋体" w:eastAsia="宋体" w:cs="宋体"/>
          <w:highlight w:val="none"/>
          <w:u w:val="none"/>
        </w:rPr>
        <w:t>与修改</w:t>
      </w:r>
      <w:bookmarkEnd w:id="27"/>
      <w:bookmarkEnd w:id="28"/>
    </w:p>
    <w:p w14:paraId="762F5DE4">
      <w:pPr>
        <w:pStyle w:val="7"/>
        <w:pageBreakBefore w:val="0"/>
        <w:widowControl w:val="0"/>
        <w:kinsoku/>
        <w:wordWrap/>
        <w:overflowPunct/>
        <w:topLinePunct w:val="0"/>
        <w:bidi w:val="0"/>
        <w:snapToGrid/>
        <w:spacing w:line="400" w:lineRule="exact"/>
        <w:ind w:left="840" w:hanging="840" w:hangingChars="35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6.1</w:t>
      </w:r>
      <w:r>
        <w:rPr>
          <w:rFonts w:hint="eastAsia" w:ascii="宋体" w:hAnsi="宋体" w:eastAsia="宋体" w:cs="宋体"/>
          <w:sz w:val="24"/>
          <w:highlight w:val="none"/>
        </w:rPr>
        <w:tab/>
      </w:r>
      <w:r>
        <w:rPr>
          <w:rFonts w:hint="eastAsia" w:ascii="宋体" w:hAnsi="宋体" w:eastAsia="宋体" w:cs="宋体"/>
          <w:szCs w:val="24"/>
          <w:highlight w:val="none"/>
        </w:rPr>
        <w:t>为了保证对招标文件的澄清和修改满足法律的时限要求，任何要求对招标文件进行澄清的投标人，均应在投标截止期十五日前，以书面形式将澄清要求通知采购人或采购代理机构。</w:t>
      </w:r>
    </w:p>
    <w:p w14:paraId="22F321FD">
      <w:pPr>
        <w:pStyle w:val="7"/>
        <w:pageBreakBefore w:val="0"/>
        <w:widowControl w:val="0"/>
        <w:kinsoku/>
        <w:wordWrap/>
        <w:overflowPunct/>
        <w:topLinePunct w:val="0"/>
        <w:bidi w:val="0"/>
        <w:snapToGrid/>
        <w:spacing w:line="400" w:lineRule="exact"/>
        <w:ind w:left="840" w:hanging="840" w:hangingChars="350"/>
        <w:textAlignment w:val="auto"/>
        <w:outlineLvl w:val="9"/>
        <w:rPr>
          <w:rFonts w:hint="eastAsia" w:ascii="宋体" w:hAnsi="宋体" w:eastAsia="宋体" w:cs="宋体"/>
          <w:szCs w:val="24"/>
          <w:highlight w:val="none"/>
        </w:rPr>
      </w:pPr>
      <w:bookmarkStart w:id="29" w:name="_Ref467378678"/>
      <w:bookmarkStart w:id="30" w:name="_Toc520356149"/>
      <w:r>
        <w:rPr>
          <w:rFonts w:hint="eastAsia" w:ascii="宋体" w:hAnsi="宋体" w:eastAsia="宋体" w:cs="宋体"/>
          <w:szCs w:val="24"/>
          <w:highlight w:val="none"/>
        </w:rPr>
        <w:t>6.2</w:t>
      </w:r>
      <w:r>
        <w:rPr>
          <w:rFonts w:hint="eastAsia" w:ascii="宋体" w:hAnsi="宋体" w:eastAsia="宋体" w:cs="宋体"/>
          <w:szCs w:val="24"/>
          <w:highlight w:val="none"/>
        </w:rPr>
        <w:tab/>
      </w:r>
      <w:r>
        <w:rPr>
          <w:rFonts w:hint="eastAsia" w:ascii="宋体" w:hAnsi="宋体" w:eastAsia="宋体" w:cs="宋体"/>
          <w:szCs w:val="24"/>
          <w:highlight w:val="none"/>
        </w:rPr>
        <w:t>采购人可主动地或在解答投标人提出的澄清问题时对招标文件澄清或修改。采购代理机构将以发布澄清（更正）公告的方式，澄清或修改招标文件，澄清或修改内容作为招标文件的组成部分。</w:t>
      </w:r>
    </w:p>
    <w:p w14:paraId="07F584CB">
      <w:pPr>
        <w:pStyle w:val="7"/>
        <w:pageBreakBefore w:val="0"/>
        <w:widowControl w:val="0"/>
        <w:kinsoku/>
        <w:wordWrap/>
        <w:overflowPunct/>
        <w:topLinePunct w:val="0"/>
        <w:bidi w:val="0"/>
        <w:snapToGrid/>
        <w:spacing w:line="400" w:lineRule="exact"/>
        <w:ind w:left="840" w:hanging="840" w:hangingChars="35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6.3</w:t>
      </w:r>
      <w:r>
        <w:rPr>
          <w:rFonts w:hint="eastAsia" w:ascii="宋体" w:hAnsi="宋体" w:eastAsia="宋体" w:cs="宋体"/>
          <w:szCs w:val="24"/>
          <w:highlight w:val="none"/>
        </w:rPr>
        <w:tab/>
      </w:r>
      <w:r>
        <w:rPr>
          <w:rFonts w:hint="eastAsia" w:ascii="宋体" w:hAnsi="宋体" w:eastAsia="宋体" w:cs="宋体"/>
          <w:szCs w:val="24"/>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14:paraId="663E6D58">
      <w:pPr>
        <w:pageBreakBefore w:val="0"/>
        <w:widowControl w:val="0"/>
        <w:tabs>
          <w:tab w:val="left" w:pos="900"/>
        </w:tabs>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31" w:name="_Toc518923068"/>
      <w:bookmarkStart w:id="32" w:name="_Toc11886"/>
      <w:r>
        <w:rPr>
          <w:rFonts w:hint="eastAsia" w:ascii="宋体" w:hAnsi="宋体" w:eastAsia="宋体" w:cs="宋体"/>
          <w:highlight w:val="none"/>
          <w:u w:val="none"/>
        </w:rPr>
        <w:t>7</w:t>
      </w:r>
      <w:bookmarkEnd w:id="29"/>
      <w:bookmarkEnd w:id="30"/>
      <w:r>
        <w:rPr>
          <w:rFonts w:hint="eastAsia" w:ascii="宋体" w:hAnsi="宋体" w:eastAsia="宋体" w:cs="宋体"/>
          <w:highlight w:val="none"/>
          <w:u w:val="none"/>
        </w:rPr>
        <w:t>.投标截止时间的顺延</w:t>
      </w:r>
      <w:bookmarkEnd w:id="31"/>
      <w:bookmarkEnd w:id="32"/>
    </w:p>
    <w:p w14:paraId="01472FA9">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ab/>
      </w:r>
      <w:r>
        <w:rPr>
          <w:rFonts w:hint="eastAsia" w:ascii="宋体" w:hAnsi="宋体" w:eastAsia="宋体" w:cs="宋体"/>
          <w:sz w:val="24"/>
          <w:highlight w:val="none"/>
        </w:rPr>
        <w:t>为使投标人准备投标时有足够的时间对招标文件的澄清或者修改部分进行研究，采购人将依法决定是否顺延投标截止时间。</w:t>
      </w:r>
    </w:p>
    <w:p w14:paraId="6C69BBE9">
      <w:pPr>
        <w:spacing w:line="240" w:lineRule="auto"/>
        <w:ind w:left="900" w:hanging="900" w:hangingChars="375"/>
        <w:outlineLvl w:val="9"/>
        <w:rPr>
          <w:rFonts w:hint="eastAsia" w:ascii="宋体" w:hAnsi="宋体" w:eastAsia="宋体" w:cs="宋体"/>
          <w:sz w:val="24"/>
          <w:highlight w:val="none"/>
        </w:rPr>
      </w:pPr>
    </w:p>
    <w:p w14:paraId="149876D0">
      <w:pPr>
        <w:tabs>
          <w:tab w:val="left" w:pos="900"/>
        </w:tabs>
        <w:spacing w:before="0" w:line="240" w:lineRule="auto"/>
        <w:ind w:left="1080" w:leftChars="257" w:hanging="540"/>
        <w:outlineLvl w:val="1"/>
        <w:rPr>
          <w:rFonts w:hint="eastAsia" w:ascii="宋体" w:hAnsi="宋体" w:eastAsia="宋体" w:cs="宋体"/>
          <w:sz w:val="28"/>
          <w:highlight w:val="none"/>
        </w:rPr>
      </w:pPr>
      <w:bookmarkStart w:id="33" w:name="_Toc516367020"/>
      <w:bookmarkStart w:id="34" w:name="_Toc198"/>
      <w:bookmarkStart w:id="35" w:name="_Toc24351"/>
      <w:bookmarkStart w:id="36" w:name="_Toc518923069"/>
      <w:bookmarkStart w:id="37" w:name="_Toc520356150"/>
      <w:bookmarkStart w:id="38" w:name="_Toc216582807"/>
      <w:r>
        <w:rPr>
          <w:rFonts w:hint="eastAsia" w:ascii="宋体" w:hAnsi="宋体" w:eastAsia="宋体" w:cs="宋体"/>
          <w:sz w:val="28"/>
          <w:highlight w:val="none"/>
        </w:rPr>
        <w:t>三   投标文件</w:t>
      </w:r>
      <w:bookmarkEnd w:id="33"/>
      <w:r>
        <w:rPr>
          <w:rFonts w:hint="eastAsia" w:ascii="宋体" w:hAnsi="宋体" w:eastAsia="宋体" w:cs="宋体"/>
          <w:sz w:val="28"/>
          <w:highlight w:val="none"/>
        </w:rPr>
        <w:t>的编制</w:t>
      </w:r>
      <w:bookmarkEnd w:id="34"/>
      <w:bookmarkEnd w:id="35"/>
      <w:bookmarkEnd w:id="36"/>
      <w:bookmarkEnd w:id="37"/>
      <w:bookmarkEnd w:id="38"/>
    </w:p>
    <w:p w14:paraId="1A66CA75">
      <w:pPr>
        <w:pageBreakBefore w:val="0"/>
        <w:widowControl w:val="0"/>
        <w:tabs>
          <w:tab w:val="left" w:pos="900"/>
        </w:tabs>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39" w:name="_Toc520356151"/>
      <w:bookmarkStart w:id="40" w:name="_Toc518923070"/>
      <w:bookmarkStart w:id="41" w:name="_Toc8374"/>
      <w:bookmarkStart w:id="42" w:name="_Toc516367021"/>
      <w:r>
        <w:rPr>
          <w:rFonts w:hint="eastAsia" w:ascii="宋体" w:hAnsi="宋体" w:eastAsia="宋体" w:cs="宋体"/>
          <w:highlight w:val="none"/>
          <w:u w:val="none"/>
        </w:rPr>
        <w:t>8.</w:t>
      </w:r>
      <w:r>
        <w:rPr>
          <w:rFonts w:hint="eastAsia" w:ascii="宋体" w:hAnsi="宋体" w:eastAsia="宋体" w:cs="宋体"/>
          <w:highlight w:val="none"/>
          <w:u w:val="none"/>
        </w:rPr>
        <w:tab/>
      </w:r>
      <w:r>
        <w:rPr>
          <w:rFonts w:hint="eastAsia" w:ascii="宋体" w:hAnsi="宋体" w:eastAsia="宋体" w:cs="宋体"/>
          <w:highlight w:val="none"/>
          <w:u w:val="none"/>
        </w:rPr>
        <w:t>投标范围及投标文件中标准和计量单位的使用</w:t>
      </w:r>
      <w:bookmarkEnd w:id="39"/>
      <w:bookmarkEnd w:id="40"/>
      <w:bookmarkEnd w:id="41"/>
      <w:bookmarkEnd w:id="42"/>
    </w:p>
    <w:p w14:paraId="083120E0">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8.1</w:t>
      </w:r>
      <w:r>
        <w:rPr>
          <w:rFonts w:hint="eastAsia" w:ascii="宋体" w:hAnsi="宋体" w:eastAsia="宋体" w:cs="宋体"/>
          <w:sz w:val="24"/>
          <w:highlight w:val="none"/>
        </w:rPr>
        <w:tab/>
      </w:r>
      <w:r>
        <w:rPr>
          <w:rFonts w:hint="eastAsia" w:ascii="宋体" w:hAnsi="宋体" w:eastAsia="宋体" w:cs="宋体"/>
          <w:sz w:val="24"/>
          <w:highlight w:val="none"/>
        </w:rPr>
        <w:t>项目有分包的，投标人可对招标文件其中一个或几个分包进行投标，除非在</w:t>
      </w:r>
      <w:r>
        <w:rPr>
          <w:rFonts w:hint="eastAsia" w:ascii="宋体" w:hAnsi="宋体" w:eastAsia="宋体" w:cs="宋体"/>
          <w:sz w:val="24"/>
          <w:highlight w:val="none"/>
          <w:u w:val="single"/>
        </w:rPr>
        <w:t>投标人须知资料表</w:t>
      </w:r>
      <w:r>
        <w:rPr>
          <w:rFonts w:hint="eastAsia" w:ascii="宋体" w:hAnsi="宋体" w:eastAsia="宋体" w:cs="宋体"/>
          <w:sz w:val="24"/>
          <w:highlight w:val="none"/>
        </w:rPr>
        <w:t>中另有规定。</w:t>
      </w:r>
    </w:p>
    <w:p w14:paraId="3487E259">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8.2</w:t>
      </w:r>
      <w:r>
        <w:rPr>
          <w:rFonts w:hint="eastAsia" w:ascii="宋体" w:hAnsi="宋体" w:eastAsia="宋体" w:cs="宋体"/>
          <w:sz w:val="24"/>
          <w:highlight w:val="none"/>
        </w:rPr>
        <w:tab/>
      </w:r>
      <w:r>
        <w:rPr>
          <w:rFonts w:hint="eastAsia" w:ascii="宋体" w:hAnsi="宋体" w:eastAsia="宋体" w:cs="宋体"/>
          <w:sz w:val="24"/>
          <w:highlight w:val="none"/>
        </w:rPr>
        <w:t>投标人应当对所投分包招标文件中“服务需求”所列的所有服务内容进行投标，如仅响应分包中的部分内容，其投标将被认定为投标无效。</w:t>
      </w:r>
    </w:p>
    <w:p w14:paraId="7097371B">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8.3</w:t>
      </w:r>
      <w:r>
        <w:rPr>
          <w:rFonts w:hint="eastAsia" w:ascii="宋体" w:hAnsi="宋体" w:eastAsia="宋体" w:cs="宋体"/>
          <w:sz w:val="24"/>
          <w:highlight w:val="none"/>
        </w:rPr>
        <w:tab/>
      </w:r>
      <w:r>
        <w:rPr>
          <w:rFonts w:hint="eastAsia" w:ascii="宋体" w:hAnsi="宋体" w:eastAsia="宋体" w:cs="宋体"/>
          <w:sz w:val="24"/>
          <w:highlight w:val="none"/>
        </w:rPr>
        <w:t>无论招标文件第5章服务需求中是否要求，投标人所投服务均应符合国家强制性标准。</w:t>
      </w:r>
    </w:p>
    <w:p w14:paraId="6EECA469">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8.4</w:t>
      </w:r>
      <w:r>
        <w:rPr>
          <w:rFonts w:hint="eastAsia" w:ascii="宋体" w:hAnsi="宋体" w:eastAsia="宋体" w:cs="宋体"/>
          <w:sz w:val="24"/>
          <w:highlight w:val="none"/>
        </w:rPr>
        <w:tab/>
      </w:r>
      <w:r>
        <w:rPr>
          <w:rFonts w:hint="eastAsia" w:ascii="宋体" w:hAnsi="宋体" w:eastAsia="宋体" w:cs="宋体"/>
          <w:sz w:val="24"/>
          <w:highlight w:val="none"/>
        </w:rPr>
        <w:t>除招标文件中有特殊要求外，投标文件中所使用的计量单位，应采用中华人民共和国法定计量单位。</w:t>
      </w:r>
    </w:p>
    <w:p w14:paraId="4F8DCD50">
      <w:pPr>
        <w:pageBreakBefore w:val="0"/>
        <w:widowControl w:val="0"/>
        <w:tabs>
          <w:tab w:val="left" w:pos="900"/>
        </w:tabs>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43" w:name="_Ref467306676"/>
      <w:bookmarkStart w:id="44" w:name="_Ref467306195"/>
      <w:bookmarkStart w:id="45" w:name="_Toc516367022"/>
      <w:bookmarkStart w:id="46" w:name="_Toc520356152"/>
      <w:bookmarkStart w:id="47" w:name="_Toc518923071"/>
      <w:bookmarkStart w:id="48" w:name="_Toc21023"/>
      <w:r>
        <w:rPr>
          <w:rFonts w:hint="eastAsia" w:ascii="宋体" w:hAnsi="宋体" w:eastAsia="宋体" w:cs="宋体"/>
          <w:highlight w:val="none"/>
          <w:u w:val="none"/>
        </w:rPr>
        <w:t>9.投标文件</w:t>
      </w:r>
      <w:bookmarkEnd w:id="43"/>
      <w:bookmarkEnd w:id="44"/>
      <w:bookmarkEnd w:id="45"/>
      <w:r>
        <w:rPr>
          <w:rFonts w:hint="eastAsia" w:ascii="宋体" w:hAnsi="宋体" w:eastAsia="宋体" w:cs="宋体"/>
          <w:highlight w:val="none"/>
          <w:u w:val="none"/>
        </w:rPr>
        <w:t>构成</w:t>
      </w:r>
      <w:bookmarkEnd w:id="46"/>
      <w:bookmarkEnd w:id="47"/>
      <w:bookmarkEnd w:id="48"/>
    </w:p>
    <w:p w14:paraId="54563ADC">
      <w:pPr>
        <w:pageBreakBefore w:val="0"/>
        <w:widowControl w:val="0"/>
        <w:tabs>
          <w:tab w:val="left" w:pos="900"/>
          <w:tab w:val="left" w:pos="5580"/>
        </w:tabs>
        <w:kinsoku/>
        <w:wordWrap/>
        <w:overflowPunct/>
        <w:topLinePunct w:val="0"/>
        <w:bidi w:val="0"/>
        <w:snapToGrid/>
        <w:spacing w:line="400" w:lineRule="exact"/>
        <w:ind w:left="960" w:hanging="960" w:hangingChars="400"/>
        <w:jc w:val="left"/>
        <w:textAlignment w:val="auto"/>
        <w:outlineLvl w:val="9"/>
        <w:rPr>
          <w:rFonts w:hint="eastAsia" w:ascii="宋体" w:hAnsi="宋体" w:eastAsia="宋体" w:cs="宋体"/>
          <w:b/>
          <w:bCs/>
          <w:sz w:val="24"/>
          <w:highlight w:val="none"/>
          <w:u w:val="single"/>
          <w:lang w:eastAsia="zh-CN"/>
        </w:rPr>
      </w:pPr>
      <w:bookmarkStart w:id="49" w:name="_Ref467052588"/>
      <w:r>
        <w:rPr>
          <w:rFonts w:hint="eastAsia" w:ascii="宋体" w:hAnsi="宋体" w:eastAsia="宋体" w:cs="宋体"/>
          <w:sz w:val="24"/>
          <w:highlight w:val="none"/>
        </w:rPr>
        <w:t>9.1</w:t>
      </w:r>
      <w:r>
        <w:rPr>
          <w:rFonts w:hint="eastAsia" w:ascii="宋体" w:hAnsi="宋体" w:eastAsia="宋体" w:cs="宋体"/>
          <w:sz w:val="24"/>
          <w:highlight w:val="none"/>
        </w:rPr>
        <w:tab/>
      </w:r>
      <w:r>
        <w:rPr>
          <w:rFonts w:hint="eastAsia" w:ascii="宋体" w:hAnsi="宋体" w:eastAsia="宋体" w:cs="宋体"/>
          <w:b/>
          <w:bCs/>
          <w:sz w:val="24"/>
          <w:highlight w:val="none"/>
          <w:u w:val="single"/>
        </w:rPr>
        <w:t>投标人应完整地按招标文件提供的投标文件格式及要求编写投标文件，投标文件应包括</w:t>
      </w:r>
      <w:bookmarkEnd w:id="49"/>
      <w:r>
        <w:rPr>
          <w:rFonts w:hint="eastAsia" w:ascii="宋体" w:hAnsi="宋体" w:eastAsia="宋体" w:cs="宋体"/>
          <w:b/>
          <w:bCs/>
          <w:sz w:val="24"/>
          <w:highlight w:val="none"/>
          <w:u w:val="single"/>
        </w:rPr>
        <w:t>“开标一览表及资格证明文件”和“商务及技术文件”两部分。两部分</w:t>
      </w:r>
      <w:r>
        <w:rPr>
          <w:rFonts w:hint="eastAsia" w:ascii="宋体" w:hAnsi="宋体" w:eastAsia="宋体" w:cs="宋体"/>
          <w:b/>
          <w:bCs/>
          <w:sz w:val="24"/>
          <w:highlight w:val="none"/>
          <w:u w:val="single"/>
          <w:lang w:val="en-US" w:eastAsia="zh-CN"/>
        </w:rPr>
        <w:t>合并</w:t>
      </w:r>
      <w:r>
        <w:rPr>
          <w:rFonts w:hint="eastAsia" w:ascii="宋体" w:hAnsi="宋体" w:eastAsia="宋体" w:cs="宋体"/>
          <w:b/>
          <w:bCs/>
          <w:sz w:val="24"/>
          <w:highlight w:val="none"/>
          <w:u w:val="single"/>
        </w:rPr>
        <w:t>装订成</w:t>
      </w:r>
      <w:r>
        <w:rPr>
          <w:rFonts w:hint="eastAsia" w:ascii="宋体" w:hAnsi="宋体" w:eastAsia="宋体" w:cs="宋体"/>
          <w:b/>
          <w:bCs/>
          <w:sz w:val="24"/>
          <w:highlight w:val="none"/>
          <w:u w:val="single"/>
          <w:lang w:val="en-US" w:eastAsia="zh-CN"/>
        </w:rPr>
        <w:t>一</w:t>
      </w:r>
      <w:r>
        <w:rPr>
          <w:rFonts w:hint="eastAsia" w:ascii="宋体" w:hAnsi="宋体" w:eastAsia="宋体" w:cs="宋体"/>
          <w:b/>
          <w:bCs/>
          <w:sz w:val="24"/>
          <w:highlight w:val="none"/>
          <w:u w:val="single"/>
        </w:rPr>
        <w:t>册</w:t>
      </w:r>
      <w:r>
        <w:rPr>
          <w:rFonts w:hint="eastAsia" w:ascii="宋体" w:hAnsi="宋体" w:eastAsia="宋体" w:cs="宋体"/>
          <w:b/>
          <w:bCs/>
          <w:sz w:val="24"/>
          <w:highlight w:val="none"/>
          <w:u w:val="single"/>
          <w:lang w:eastAsia="zh-CN"/>
        </w:rPr>
        <w:t>，上传至政采云平台。</w:t>
      </w:r>
    </w:p>
    <w:p w14:paraId="68C1B87F">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9.2</w:t>
      </w:r>
      <w:r>
        <w:rPr>
          <w:rFonts w:hint="eastAsia" w:ascii="宋体" w:hAnsi="宋体" w:eastAsia="宋体" w:cs="宋体"/>
          <w:sz w:val="24"/>
          <w:highlight w:val="none"/>
        </w:rPr>
        <w:tab/>
      </w:r>
      <w:r>
        <w:rPr>
          <w:rFonts w:hint="eastAsia" w:ascii="宋体" w:hAnsi="宋体" w:eastAsia="宋体" w:cs="宋体"/>
          <w:sz w:val="24"/>
          <w:highlight w:val="none"/>
        </w:rPr>
        <w:t>上述文件应按照招标文件规定的格式填写、签署和盖章。</w:t>
      </w:r>
    </w:p>
    <w:p w14:paraId="020DC637">
      <w:pPr>
        <w:pageBreakBefore w:val="0"/>
        <w:widowControl w:val="0"/>
        <w:tabs>
          <w:tab w:val="left" w:pos="900"/>
        </w:tabs>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50" w:name="_Toc508185920"/>
      <w:bookmarkStart w:id="51" w:name="_Toc520356153"/>
      <w:bookmarkStart w:id="52" w:name="_Toc518923072"/>
      <w:bookmarkStart w:id="53" w:name="_Toc18371"/>
      <w:bookmarkStart w:id="54" w:name="_Toc516367023"/>
      <w:bookmarkStart w:id="55" w:name="_Toc520356155"/>
      <w:r>
        <w:rPr>
          <w:rFonts w:hint="eastAsia" w:ascii="宋体" w:hAnsi="宋体" w:eastAsia="宋体" w:cs="宋体"/>
          <w:highlight w:val="none"/>
          <w:u w:val="none"/>
        </w:rPr>
        <w:t>10.</w:t>
      </w:r>
      <w:r>
        <w:rPr>
          <w:rFonts w:hint="eastAsia" w:ascii="宋体" w:hAnsi="宋体" w:eastAsia="宋体" w:cs="宋体"/>
          <w:highlight w:val="none"/>
          <w:u w:val="none"/>
        </w:rPr>
        <w:tab/>
      </w:r>
      <w:r>
        <w:rPr>
          <w:rFonts w:hint="eastAsia" w:ascii="宋体" w:hAnsi="宋体" w:eastAsia="宋体" w:cs="宋体"/>
          <w:highlight w:val="none"/>
          <w:u w:val="none"/>
        </w:rPr>
        <w:t>证明投标标的的合格性和符合招标文件规定的响应文件</w:t>
      </w:r>
      <w:bookmarkEnd w:id="50"/>
      <w:bookmarkEnd w:id="51"/>
      <w:bookmarkEnd w:id="52"/>
      <w:bookmarkEnd w:id="53"/>
      <w:bookmarkEnd w:id="54"/>
    </w:p>
    <w:p w14:paraId="2B540E99">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10.1</w:t>
      </w:r>
      <w:r>
        <w:rPr>
          <w:rFonts w:hint="eastAsia" w:ascii="宋体" w:hAnsi="宋体" w:eastAsia="宋体" w:cs="宋体"/>
          <w:sz w:val="24"/>
          <w:highlight w:val="none"/>
        </w:rPr>
        <w:tab/>
      </w:r>
      <w:r>
        <w:rPr>
          <w:rFonts w:hint="eastAsia" w:ascii="宋体" w:hAnsi="宋体" w:eastAsia="宋体" w:cs="宋体"/>
          <w:sz w:val="24"/>
          <w:highlight w:val="none"/>
        </w:rPr>
        <w:t>投标人应提交证明文件，证明其投标内容符合招标文件规定。该证明文件是投标文件的一部分。</w:t>
      </w:r>
    </w:p>
    <w:p w14:paraId="253BDF85">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bookmarkStart w:id="56" w:name="_Ref467306244"/>
      <w:r>
        <w:rPr>
          <w:rFonts w:hint="eastAsia" w:ascii="宋体" w:hAnsi="宋体" w:eastAsia="宋体" w:cs="宋体"/>
          <w:sz w:val="24"/>
          <w:highlight w:val="none"/>
        </w:rPr>
        <w:t>10.2</w:t>
      </w:r>
      <w:r>
        <w:rPr>
          <w:rFonts w:hint="eastAsia" w:ascii="宋体" w:hAnsi="宋体" w:eastAsia="宋体" w:cs="宋体"/>
          <w:sz w:val="24"/>
          <w:highlight w:val="none"/>
        </w:rPr>
        <w:tab/>
      </w:r>
      <w:r>
        <w:rPr>
          <w:rFonts w:hint="eastAsia" w:ascii="宋体" w:hAnsi="宋体" w:eastAsia="宋体" w:cs="宋体"/>
          <w:sz w:val="24"/>
          <w:highlight w:val="none"/>
        </w:rPr>
        <w:t>上款所述的证明文件，可以是文字资料、图纸和数据</w:t>
      </w:r>
      <w:bookmarkEnd w:id="56"/>
      <w:r>
        <w:rPr>
          <w:rFonts w:hint="eastAsia" w:ascii="宋体" w:hAnsi="宋体" w:eastAsia="宋体" w:cs="宋体"/>
          <w:sz w:val="24"/>
          <w:highlight w:val="none"/>
        </w:rPr>
        <w:t>。</w:t>
      </w:r>
    </w:p>
    <w:p w14:paraId="7E33C74A">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57" w:name="_Toc518923073"/>
      <w:bookmarkStart w:id="58" w:name="_Toc17388"/>
      <w:r>
        <w:rPr>
          <w:rFonts w:hint="eastAsia" w:ascii="宋体" w:hAnsi="宋体" w:eastAsia="宋体" w:cs="宋体"/>
          <w:highlight w:val="none"/>
          <w:u w:val="none"/>
        </w:rPr>
        <w:t>11.投标报价</w:t>
      </w:r>
      <w:bookmarkEnd w:id="55"/>
      <w:bookmarkEnd w:id="57"/>
      <w:bookmarkEnd w:id="58"/>
    </w:p>
    <w:p w14:paraId="788F3D81">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sz w:val="24"/>
          <w:highlight w:val="none"/>
        </w:rPr>
        <w:tab/>
      </w:r>
      <w:r>
        <w:rPr>
          <w:rFonts w:hint="eastAsia" w:ascii="宋体" w:hAnsi="宋体" w:eastAsia="宋体" w:cs="宋体"/>
          <w:sz w:val="24"/>
          <w:highlight w:val="none"/>
        </w:rPr>
        <w:t>所有投标均以人民币报价。投标人的投标报价应遵守《中华人民共和国价格法》。同时，根据《中华人民共和国政府采购法》第二条的规定，为保证公平竞争，如有主体投标标的的赠与行为，其投标将被认定为投标无效。</w:t>
      </w:r>
    </w:p>
    <w:p w14:paraId="22692DC5">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rPr>
        <w:tab/>
      </w:r>
      <w:r>
        <w:rPr>
          <w:rFonts w:hint="eastAsia" w:ascii="宋体" w:hAnsi="宋体" w:eastAsia="宋体" w:cs="宋体"/>
          <w:sz w:val="24"/>
          <w:highlight w:val="none"/>
        </w:rPr>
        <w:t>投标人应在投标分项报价表上标明分项服务的价格（如适用）和总价，并由法定代表人或其委托代理人签署。</w:t>
      </w:r>
    </w:p>
    <w:p w14:paraId="42E2D38A">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11.3</w:t>
      </w:r>
      <w:r>
        <w:rPr>
          <w:rFonts w:hint="eastAsia" w:ascii="宋体" w:hAnsi="宋体" w:eastAsia="宋体" w:cs="宋体"/>
          <w:sz w:val="24"/>
          <w:highlight w:val="none"/>
        </w:rPr>
        <w:tab/>
      </w:r>
      <w:r>
        <w:rPr>
          <w:rFonts w:hint="eastAsia" w:ascii="宋体" w:hAnsi="宋体" w:eastAsia="宋体" w:cs="宋体"/>
          <w:sz w:val="24"/>
          <w:highlight w:val="none"/>
        </w:rPr>
        <w:t>采购人不接受具有附加条件的报价。</w:t>
      </w:r>
    </w:p>
    <w:p w14:paraId="236261D7">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11.4</w:t>
      </w:r>
      <w:r>
        <w:rPr>
          <w:rFonts w:hint="eastAsia" w:ascii="宋体" w:hAnsi="宋体" w:eastAsia="宋体" w:cs="宋体"/>
          <w:sz w:val="24"/>
          <w:highlight w:val="none"/>
        </w:rPr>
        <w:tab/>
      </w:r>
      <w:r>
        <w:rPr>
          <w:rFonts w:hint="eastAsia" w:ascii="宋体" w:hAnsi="宋体" w:eastAsia="宋体" w:cs="宋体"/>
          <w:sz w:val="24"/>
          <w:highlight w:val="none"/>
        </w:rPr>
        <w:t>投标人所报的各分项投标报价在合同履行过程中是固定不变的，不得以任何理由予以变更。任何包含价格调整要求的投标，将被认定为投标无效。</w:t>
      </w:r>
    </w:p>
    <w:p w14:paraId="452EA970">
      <w:pPr>
        <w:pStyle w:val="2"/>
        <w:keepNext/>
        <w:keepLines/>
        <w:pageBreakBefore w:val="0"/>
        <w:widowControl w:val="0"/>
        <w:kinsoku/>
        <w:wordWrap/>
        <w:overflowPunct/>
        <w:topLinePunct w:val="0"/>
        <w:autoSpaceDE w:val="0"/>
        <w:autoSpaceDN w:val="0"/>
        <w:bidi w:val="0"/>
        <w:adjustRightInd w:val="0"/>
        <w:snapToGrid/>
        <w:spacing w:before="120"/>
        <w:ind w:left="849" w:hanging="849" w:hangingChars="354"/>
        <w:textAlignment w:val="auto"/>
        <w:rPr>
          <w:rFonts w:hint="default" w:eastAsia="宋体"/>
          <w:highlight w:val="none"/>
          <w:lang w:val="en-US" w:eastAsia="zh-CN"/>
        </w:rPr>
      </w:pPr>
      <w:r>
        <w:rPr>
          <w:rFonts w:hint="eastAsia" w:ascii="宋体" w:hAnsi="宋体" w:eastAsia="宋体" w:cs="宋体"/>
          <w:b w:val="0"/>
          <w:kern w:val="2"/>
          <w:sz w:val="24"/>
          <w:szCs w:val="24"/>
          <w:highlight w:val="none"/>
          <w:u w:val="none"/>
          <w:lang w:val="en-US" w:eastAsia="zh-CN" w:bidi="ar-SA"/>
        </w:rPr>
        <w:t xml:space="preserve">11.5   </w:t>
      </w:r>
      <w:r>
        <w:rPr>
          <w:rFonts w:hint="eastAsia" w:ascii="宋体" w:hAnsi="宋体" w:eastAsia="宋体" w:cs="宋体"/>
          <w:b/>
          <w:bCs/>
          <w:kern w:val="2"/>
          <w:sz w:val="24"/>
          <w:szCs w:val="24"/>
          <w:highlight w:val="none"/>
          <w:u w:val="none"/>
          <w:lang w:val="en-US" w:eastAsia="zh-CN" w:bidi="ar-SA"/>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14:paraId="7B45FE90">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59" w:name="_Toc2087"/>
      <w:bookmarkStart w:id="60" w:name="_Toc520356156"/>
      <w:bookmarkStart w:id="61" w:name="_Toc518923074"/>
      <w:bookmarkStart w:id="62" w:name="_Ref467306513"/>
      <w:r>
        <w:rPr>
          <w:rFonts w:hint="eastAsia" w:ascii="宋体" w:hAnsi="宋体" w:eastAsia="宋体" w:cs="宋体"/>
          <w:highlight w:val="none"/>
          <w:u w:val="none"/>
        </w:rPr>
        <w:t>12.投标保证金</w:t>
      </w:r>
      <w:bookmarkEnd w:id="59"/>
      <w:bookmarkEnd w:id="60"/>
      <w:bookmarkEnd w:id="61"/>
      <w:bookmarkEnd w:id="62"/>
    </w:p>
    <w:p w14:paraId="7BAFE6B0">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bookmarkStart w:id="63" w:name="_Ref467306302"/>
      <w:r>
        <w:rPr>
          <w:rFonts w:hint="eastAsia" w:ascii="宋体" w:hAnsi="宋体" w:eastAsia="宋体" w:cs="宋体"/>
          <w:sz w:val="24"/>
          <w:highlight w:val="none"/>
        </w:rPr>
        <w:t>12.1</w:t>
      </w:r>
      <w:r>
        <w:rPr>
          <w:rFonts w:hint="eastAsia" w:ascii="宋体" w:hAnsi="宋体" w:eastAsia="宋体" w:cs="宋体"/>
          <w:sz w:val="24"/>
          <w:highlight w:val="none"/>
        </w:rPr>
        <w:tab/>
      </w:r>
      <w:r>
        <w:rPr>
          <w:rFonts w:hint="eastAsia" w:ascii="宋体" w:hAnsi="宋体" w:eastAsia="宋体" w:cs="宋体"/>
          <w:sz w:val="24"/>
          <w:highlight w:val="none"/>
        </w:rPr>
        <w:t>投标人应提交</w:t>
      </w:r>
      <w:r>
        <w:rPr>
          <w:rFonts w:hint="eastAsia" w:ascii="宋体" w:hAnsi="宋体" w:eastAsia="宋体" w:cs="宋体"/>
          <w:sz w:val="24"/>
          <w:highlight w:val="none"/>
          <w:u w:val="single"/>
        </w:rPr>
        <w:t>投标人须知资料表</w:t>
      </w:r>
      <w:r>
        <w:rPr>
          <w:rFonts w:hint="eastAsia" w:ascii="宋体" w:hAnsi="宋体" w:eastAsia="宋体" w:cs="宋体"/>
          <w:sz w:val="24"/>
          <w:highlight w:val="none"/>
        </w:rPr>
        <w:t>中规定的投标保证金</w:t>
      </w:r>
      <w:bookmarkEnd w:id="63"/>
      <w:r>
        <w:rPr>
          <w:rFonts w:hint="eastAsia" w:ascii="宋体" w:hAnsi="宋体" w:eastAsia="宋体" w:cs="宋体"/>
          <w:sz w:val="24"/>
          <w:highlight w:val="none"/>
        </w:rPr>
        <w:t>，并作为其投标的一部分。</w:t>
      </w:r>
    </w:p>
    <w:p w14:paraId="19F5EAF8">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12.2</w:t>
      </w:r>
      <w:r>
        <w:rPr>
          <w:rFonts w:hint="eastAsia" w:ascii="宋体" w:hAnsi="宋体" w:eastAsia="宋体" w:cs="宋体"/>
          <w:sz w:val="24"/>
          <w:highlight w:val="none"/>
        </w:rPr>
        <w:tab/>
      </w:r>
      <w:r>
        <w:rPr>
          <w:rFonts w:hint="eastAsia" w:ascii="宋体" w:hAnsi="宋体" w:eastAsia="宋体" w:cs="宋体"/>
          <w:sz w:val="24"/>
          <w:highlight w:val="none"/>
        </w:rPr>
        <w:t>投标人存在下列情形的，投标保证金不予退还：</w:t>
      </w:r>
    </w:p>
    <w:p w14:paraId="4DA2616C">
      <w:pPr>
        <w:pageBreakBefore w:val="0"/>
        <w:widowControl w:val="0"/>
        <w:kinsoku/>
        <w:wordWrap/>
        <w:overflowPunct/>
        <w:topLinePunct w:val="0"/>
        <w:bidi w:val="0"/>
        <w:snapToGrid/>
        <w:spacing w:line="400" w:lineRule="exact"/>
        <w:ind w:left="898" w:leftChars="342" w:hanging="180" w:hangingChars="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（1）在投标有效期内，撤销投标的；</w:t>
      </w:r>
    </w:p>
    <w:p w14:paraId="44F0D100">
      <w:pPr>
        <w:pStyle w:val="17"/>
        <w:pageBreakBefore w:val="0"/>
        <w:widowControl w:val="0"/>
        <w:tabs>
          <w:tab w:val="left" w:pos="2240"/>
        </w:tabs>
        <w:kinsoku/>
        <w:wordWrap/>
        <w:overflowPunct/>
        <w:topLinePunct w:val="0"/>
        <w:bidi w:val="0"/>
        <w:snapToGrid/>
        <w:spacing w:line="400" w:lineRule="exact"/>
        <w:ind w:left="1079" w:leftChars="371" w:hanging="300" w:hangingChars="12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（2）中标后不按本须知第30条的规定与采购人签订合同的；</w:t>
      </w:r>
    </w:p>
    <w:p w14:paraId="54977A92">
      <w:pPr>
        <w:pStyle w:val="17"/>
        <w:pageBreakBefore w:val="0"/>
        <w:widowControl w:val="0"/>
        <w:tabs>
          <w:tab w:val="left" w:pos="2240"/>
        </w:tabs>
        <w:kinsoku/>
        <w:wordWrap/>
        <w:overflowPunct/>
        <w:topLinePunct w:val="0"/>
        <w:bidi w:val="0"/>
        <w:snapToGrid/>
        <w:spacing w:line="400" w:lineRule="exact"/>
        <w:ind w:left="1079" w:leftChars="371" w:hanging="300" w:hangingChars="12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（3）中标后不按本须知第31条的规定提交履约保证金的；</w:t>
      </w:r>
    </w:p>
    <w:p w14:paraId="5E3C04E6">
      <w:pPr>
        <w:pStyle w:val="17"/>
        <w:pageBreakBefore w:val="0"/>
        <w:widowControl w:val="0"/>
        <w:tabs>
          <w:tab w:val="left" w:pos="2240"/>
        </w:tabs>
        <w:kinsoku/>
        <w:wordWrap/>
        <w:overflowPunct/>
        <w:topLinePunct w:val="0"/>
        <w:bidi w:val="0"/>
        <w:snapToGrid/>
        <w:spacing w:line="400" w:lineRule="exact"/>
        <w:ind w:left="1079" w:leftChars="371" w:hanging="300" w:hangingChars="12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（4）中标后不按本须知第32条的规定缴纳中标服务费的；</w:t>
      </w:r>
    </w:p>
    <w:p w14:paraId="5CEA770E">
      <w:pPr>
        <w:pStyle w:val="17"/>
        <w:pageBreakBefore w:val="0"/>
        <w:widowControl w:val="0"/>
        <w:tabs>
          <w:tab w:val="left" w:pos="2240"/>
        </w:tabs>
        <w:kinsoku/>
        <w:wordWrap/>
        <w:overflowPunct/>
        <w:topLinePunct w:val="0"/>
        <w:bidi w:val="0"/>
        <w:snapToGrid/>
        <w:spacing w:line="400" w:lineRule="exact"/>
        <w:ind w:left="1079" w:leftChars="371" w:hanging="300" w:hangingChars="12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（5）存在其他违法违规行为的。</w:t>
      </w:r>
    </w:p>
    <w:p w14:paraId="78D0C220">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bookmarkStart w:id="64" w:name="_Ref467306336"/>
      <w:r>
        <w:rPr>
          <w:rFonts w:hint="eastAsia" w:ascii="宋体" w:hAnsi="宋体" w:eastAsia="宋体" w:cs="宋体"/>
          <w:sz w:val="24"/>
          <w:highlight w:val="none"/>
        </w:rPr>
        <w:t>12.3</w:t>
      </w:r>
      <w:r>
        <w:rPr>
          <w:rFonts w:hint="eastAsia" w:ascii="宋体" w:hAnsi="宋体" w:eastAsia="宋体" w:cs="宋体"/>
          <w:sz w:val="24"/>
          <w:highlight w:val="none"/>
        </w:rPr>
        <w:tab/>
      </w:r>
      <w:bookmarkEnd w:id="64"/>
      <w:r>
        <w:rPr>
          <w:rFonts w:hint="eastAsia" w:ascii="宋体" w:hAnsi="宋体" w:eastAsia="宋体" w:cs="宋体"/>
          <w:sz w:val="24"/>
          <w:highlight w:val="none"/>
        </w:rPr>
        <w:t>政府采购信用担保试点范围内的项目，接受符合财政部门规定的政府采购投标担保函原件。</w:t>
      </w:r>
    </w:p>
    <w:p w14:paraId="13B024BA">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12.4</w:t>
      </w:r>
      <w:r>
        <w:rPr>
          <w:rFonts w:hint="eastAsia" w:ascii="宋体" w:hAnsi="宋体" w:eastAsia="宋体" w:cs="宋体"/>
          <w:sz w:val="24"/>
          <w:highlight w:val="none"/>
        </w:rPr>
        <w:tab/>
      </w:r>
      <w:r>
        <w:rPr>
          <w:rFonts w:hint="eastAsia" w:ascii="宋体" w:hAnsi="宋体" w:eastAsia="宋体" w:cs="宋体"/>
          <w:sz w:val="24"/>
          <w:highlight w:val="none"/>
        </w:rPr>
        <w:t>投标人未按本须知第12.1和12.3条规定提交投标保证金的，其投标将被认定为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14:paraId="4E29FFB2">
      <w:pPr>
        <w:pageBreakBefore w:val="0"/>
        <w:widowControl w:val="0"/>
        <w:kinsoku/>
        <w:wordWrap/>
        <w:overflowPunct/>
        <w:topLinePunct w:val="0"/>
        <w:bidi w:val="0"/>
        <w:snapToGrid/>
        <w:spacing w:line="400" w:lineRule="exact"/>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12.4.1</w:t>
      </w:r>
      <w:r>
        <w:rPr>
          <w:rFonts w:hint="eastAsia" w:ascii="宋体" w:hAnsi="宋体" w:eastAsia="宋体" w:cs="宋体"/>
          <w:sz w:val="24"/>
          <w:highlight w:val="none"/>
        </w:rPr>
        <w:tab/>
      </w:r>
      <w:r>
        <w:rPr>
          <w:rFonts w:hint="eastAsia" w:ascii="宋体" w:hAnsi="宋体" w:eastAsia="宋体" w:cs="宋体"/>
          <w:sz w:val="24"/>
          <w:highlight w:val="none"/>
        </w:rPr>
        <w:t>采用电汇形式的，一般可以实时入账；</w:t>
      </w:r>
    </w:p>
    <w:p w14:paraId="14F73291">
      <w:pPr>
        <w:pageBreakBefore w:val="0"/>
        <w:widowControl w:val="0"/>
        <w:kinsoku/>
        <w:wordWrap/>
        <w:overflowPunct/>
        <w:topLinePunct w:val="0"/>
        <w:bidi w:val="0"/>
        <w:snapToGrid/>
        <w:spacing w:line="400" w:lineRule="exact"/>
        <w:ind w:left="960" w:hanging="960" w:hangingChars="4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12.4.2</w:t>
      </w:r>
      <w:r>
        <w:rPr>
          <w:rFonts w:hint="eastAsia" w:ascii="宋体" w:hAnsi="宋体" w:eastAsia="宋体" w:cs="宋体"/>
          <w:sz w:val="24"/>
          <w:highlight w:val="none"/>
        </w:rPr>
        <w:tab/>
      </w:r>
      <w:r>
        <w:rPr>
          <w:rFonts w:hint="eastAsia" w:ascii="宋体" w:hAnsi="宋体" w:eastAsia="宋体" w:cs="宋体"/>
          <w:sz w:val="24"/>
          <w:highlight w:val="none"/>
        </w:rPr>
        <w:t>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w:t>
      </w:r>
    </w:p>
    <w:p w14:paraId="0F5F99AA">
      <w:pPr>
        <w:pageBreakBefore w:val="0"/>
        <w:widowControl w:val="0"/>
        <w:kinsoku/>
        <w:wordWrap/>
        <w:overflowPunct/>
        <w:topLinePunct w:val="0"/>
        <w:bidi w:val="0"/>
        <w:snapToGrid/>
        <w:spacing w:line="400" w:lineRule="exact"/>
        <w:ind w:left="960" w:hanging="960" w:hangingChars="4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22.2条相关规定处理。</w:t>
      </w:r>
    </w:p>
    <w:p w14:paraId="2709CA4B">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12.5</w:t>
      </w:r>
      <w:r>
        <w:rPr>
          <w:rFonts w:hint="eastAsia" w:ascii="宋体" w:hAnsi="宋体" w:eastAsia="宋体" w:cs="宋体"/>
          <w:sz w:val="24"/>
          <w:highlight w:val="none"/>
        </w:rPr>
        <w:tab/>
      </w:r>
      <w:r>
        <w:rPr>
          <w:rFonts w:hint="eastAsia" w:ascii="宋体" w:hAnsi="宋体" w:eastAsia="宋体" w:cs="宋体"/>
          <w:sz w:val="24"/>
          <w:highlight w:val="none"/>
        </w:rPr>
        <w:t>联合体投标的，可以由联合体中的一方或者共同提交投标保证金。以一方名义提交投标保证金的，对联合体各方均具有约束力。</w:t>
      </w:r>
    </w:p>
    <w:p w14:paraId="7340507C">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12.6</w:t>
      </w:r>
      <w:r>
        <w:rPr>
          <w:rFonts w:hint="eastAsia" w:ascii="宋体" w:hAnsi="宋体" w:eastAsia="宋体" w:cs="宋体"/>
          <w:sz w:val="24"/>
          <w:highlight w:val="none"/>
        </w:rPr>
        <w:tab/>
      </w:r>
      <w:r>
        <w:rPr>
          <w:rFonts w:hint="eastAsia" w:ascii="宋体" w:hAnsi="宋体" w:eastAsia="宋体" w:cs="宋体"/>
          <w:b/>
          <w:sz w:val="24"/>
          <w:highlight w:val="none"/>
        </w:rPr>
        <w:t>投标保证金的退还</w:t>
      </w:r>
    </w:p>
    <w:p w14:paraId="5A56544E">
      <w:pPr>
        <w:pageBreakBefore w:val="0"/>
        <w:widowControl w:val="0"/>
        <w:kinsoku/>
        <w:wordWrap/>
        <w:overflowPunct/>
        <w:topLinePunct w:val="0"/>
        <w:bidi w:val="0"/>
        <w:snapToGrid/>
        <w:spacing w:line="400" w:lineRule="exact"/>
        <w:ind w:left="1020" w:hanging="1020" w:hangingChars="42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12.6.1</w:t>
      </w:r>
      <w:r>
        <w:rPr>
          <w:rFonts w:hint="eastAsia" w:ascii="宋体" w:hAnsi="宋体" w:eastAsia="宋体" w:cs="宋体"/>
          <w:sz w:val="24"/>
          <w:highlight w:val="none"/>
        </w:rPr>
        <w:tab/>
      </w:r>
      <w:r>
        <w:rPr>
          <w:rFonts w:hint="eastAsia" w:ascii="宋体" w:hAnsi="宋体" w:eastAsia="宋体" w:cs="宋体"/>
          <w:sz w:val="24"/>
          <w:highlight w:val="none"/>
        </w:rPr>
        <w:t>中标人应在与采购人签订合同之日起5个工作日内，及时联系保证金收受机构办理投标保证金无息退还手续。</w:t>
      </w:r>
    </w:p>
    <w:p w14:paraId="17EF1008">
      <w:pPr>
        <w:pageBreakBefore w:val="0"/>
        <w:widowControl w:val="0"/>
        <w:kinsoku/>
        <w:wordWrap/>
        <w:overflowPunct/>
        <w:topLinePunct w:val="0"/>
        <w:bidi w:val="0"/>
        <w:snapToGrid/>
        <w:spacing w:line="400" w:lineRule="exact"/>
        <w:ind w:left="1020" w:hanging="1020" w:hangingChars="42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12.6.2</w:t>
      </w:r>
      <w:r>
        <w:rPr>
          <w:rFonts w:hint="eastAsia" w:ascii="宋体" w:hAnsi="宋体" w:eastAsia="宋体" w:cs="宋体"/>
          <w:sz w:val="24"/>
          <w:highlight w:val="none"/>
        </w:rPr>
        <w:tab/>
      </w:r>
      <w:r>
        <w:rPr>
          <w:rFonts w:hint="eastAsia" w:ascii="宋体" w:hAnsi="宋体" w:eastAsia="宋体" w:cs="宋体"/>
          <w:sz w:val="24"/>
          <w:highlight w:val="none"/>
        </w:rPr>
        <w:t>未中标投标人的投标保证金将在中标通知书发出之日暨中标结果公告公布之日起5个工作日内无息退还。投标人及时联系保证金收受机构办理退还投标保证金手续。</w:t>
      </w:r>
      <w:bookmarkStart w:id="65" w:name="_Toc518923075"/>
    </w:p>
    <w:p w14:paraId="7E02723A">
      <w:pPr>
        <w:pageBreakBefore w:val="0"/>
        <w:widowControl w:val="0"/>
        <w:kinsoku/>
        <w:wordWrap/>
        <w:overflowPunct/>
        <w:topLinePunct w:val="0"/>
        <w:bidi w:val="0"/>
        <w:snapToGrid/>
        <w:spacing w:line="400" w:lineRule="exact"/>
        <w:ind w:left="1020" w:hanging="1020" w:hangingChars="42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12.6.3  政府采购投标担保函不予退回。</w:t>
      </w:r>
      <w:bookmarkEnd w:id="65"/>
    </w:p>
    <w:p w14:paraId="68B73D18">
      <w:pPr>
        <w:pageBreakBefore w:val="0"/>
        <w:widowControl w:val="0"/>
        <w:kinsoku/>
        <w:wordWrap/>
        <w:overflowPunct/>
        <w:topLinePunct w:val="0"/>
        <w:bidi w:val="0"/>
        <w:snapToGrid/>
        <w:spacing w:line="400" w:lineRule="exact"/>
        <w:ind w:left="960" w:hanging="960" w:hangingChars="4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12.7</w:t>
      </w:r>
      <w:r>
        <w:rPr>
          <w:rFonts w:hint="eastAsia" w:ascii="宋体" w:hAnsi="宋体" w:eastAsia="宋体" w:cs="宋体"/>
          <w:sz w:val="24"/>
          <w:highlight w:val="none"/>
        </w:rPr>
        <w:tab/>
      </w:r>
      <w:r>
        <w:rPr>
          <w:rFonts w:hint="eastAsia" w:ascii="宋体" w:hAnsi="宋体" w:eastAsia="宋体" w:cs="宋体"/>
          <w:sz w:val="24"/>
          <w:highlight w:val="none"/>
        </w:rPr>
        <w:t>因投标人自身原因导致无法及时退还的，采购人或采购代理机构将不承担相应责任。</w:t>
      </w:r>
    </w:p>
    <w:p w14:paraId="41D55651">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66" w:name="_Toc24964"/>
      <w:bookmarkStart w:id="67" w:name="_Toc518923076"/>
      <w:bookmarkStart w:id="68" w:name="_Toc520356157"/>
      <w:r>
        <w:rPr>
          <w:rFonts w:hint="eastAsia" w:ascii="宋体" w:hAnsi="宋体" w:eastAsia="宋体" w:cs="宋体"/>
          <w:highlight w:val="none"/>
          <w:u w:val="none"/>
        </w:rPr>
        <w:t>13.投标有效期</w:t>
      </w:r>
      <w:bookmarkEnd w:id="66"/>
      <w:bookmarkEnd w:id="67"/>
      <w:bookmarkEnd w:id="68"/>
    </w:p>
    <w:p w14:paraId="4D32DC24">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13.1</w:t>
      </w:r>
      <w:r>
        <w:rPr>
          <w:rFonts w:hint="eastAsia" w:ascii="宋体" w:hAnsi="宋体" w:eastAsia="宋体" w:cs="宋体"/>
          <w:sz w:val="24"/>
          <w:highlight w:val="none"/>
        </w:rPr>
        <w:tab/>
      </w:r>
      <w:r>
        <w:rPr>
          <w:rFonts w:hint="eastAsia" w:ascii="宋体" w:hAnsi="宋体" w:eastAsia="宋体" w:cs="宋体"/>
          <w:sz w:val="24"/>
          <w:highlight w:val="none"/>
        </w:rPr>
        <w:t>投标应在</w:t>
      </w:r>
      <w:r>
        <w:rPr>
          <w:rFonts w:hint="eastAsia" w:ascii="宋体" w:hAnsi="宋体" w:eastAsia="宋体" w:cs="宋体"/>
          <w:sz w:val="24"/>
          <w:highlight w:val="none"/>
          <w:u w:val="single"/>
        </w:rPr>
        <w:t>投标人须知资料表</w:t>
      </w:r>
      <w:r>
        <w:rPr>
          <w:rFonts w:hint="eastAsia" w:ascii="宋体" w:hAnsi="宋体" w:eastAsia="宋体" w:cs="宋体"/>
          <w:sz w:val="24"/>
          <w:highlight w:val="none"/>
        </w:rPr>
        <w:t>中规定时间内保持有效。投标有效期不满足要求的投标，其投标将被认定为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14:paraId="5C12ECD1">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13.2</w:t>
      </w:r>
      <w:r>
        <w:rPr>
          <w:rFonts w:hint="eastAsia" w:ascii="宋体" w:hAnsi="宋体" w:eastAsia="宋体" w:cs="宋体"/>
          <w:sz w:val="24"/>
          <w:highlight w:val="none"/>
        </w:rPr>
        <w:tab/>
      </w:r>
      <w:r>
        <w:rPr>
          <w:rFonts w:hint="eastAsia" w:ascii="宋体" w:hAnsi="宋体" w:eastAsia="宋体" w:cs="宋体"/>
          <w:sz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64770FD6">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69" w:name="_Toc520356158"/>
      <w:bookmarkStart w:id="70" w:name="_Toc12980"/>
      <w:bookmarkStart w:id="71" w:name="_Toc518923077"/>
      <w:r>
        <w:rPr>
          <w:rFonts w:hint="eastAsia" w:ascii="宋体" w:hAnsi="宋体" w:eastAsia="宋体" w:cs="宋体"/>
          <w:highlight w:val="none"/>
          <w:u w:val="none"/>
        </w:rPr>
        <w:t>14.投标文件的签署</w:t>
      </w:r>
      <w:bookmarkEnd w:id="69"/>
      <w:r>
        <w:rPr>
          <w:rFonts w:hint="eastAsia" w:ascii="宋体" w:hAnsi="宋体" w:eastAsia="宋体" w:cs="宋体"/>
          <w:highlight w:val="none"/>
          <w:u w:val="none"/>
        </w:rPr>
        <w:t>及规定</w:t>
      </w:r>
      <w:bookmarkEnd w:id="70"/>
      <w:bookmarkEnd w:id="71"/>
    </w:p>
    <w:p w14:paraId="7282C8C2">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14.1</w:t>
      </w:r>
      <w:r>
        <w:rPr>
          <w:rFonts w:hint="eastAsia" w:ascii="宋体" w:hAnsi="宋体" w:eastAsia="宋体" w:cs="宋体"/>
          <w:sz w:val="24"/>
          <w:highlight w:val="none"/>
        </w:rPr>
        <w:tab/>
      </w:r>
      <w:r>
        <w:rPr>
          <w:rFonts w:hint="eastAsia" w:ascii="宋体" w:hAnsi="宋体" w:eastAsia="宋体" w:cs="宋体"/>
          <w:sz w:val="24"/>
          <w:highlight w:val="none"/>
        </w:rPr>
        <w:t>投标人应按</w:t>
      </w:r>
      <w:r>
        <w:rPr>
          <w:rFonts w:hint="eastAsia" w:ascii="宋体" w:hAnsi="宋体" w:eastAsia="宋体" w:cs="宋体"/>
          <w:sz w:val="24"/>
          <w:highlight w:val="none"/>
          <w:u w:val="single"/>
        </w:rPr>
        <w:t>投标人须知资料表</w:t>
      </w:r>
      <w:r>
        <w:rPr>
          <w:rFonts w:hint="eastAsia" w:ascii="宋体" w:hAnsi="宋体" w:eastAsia="宋体" w:cs="宋体"/>
          <w:sz w:val="24"/>
          <w:highlight w:val="none"/>
        </w:rPr>
        <w:t>中的规定，准备和递交投标文件资格证明文件、商务和技术文件正本、副本和电子文档，每份资格证明文件、商务和技术文件封皮须清楚地标明“正本”或“副本”。若正本和副本不符，以正本为准。</w:t>
      </w:r>
    </w:p>
    <w:p w14:paraId="56BF6BA6">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14.2</w:t>
      </w:r>
      <w:r>
        <w:rPr>
          <w:rFonts w:hint="eastAsia" w:ascii="宋体" w:hAnsi="宋体" w:eastAsia="宋体" w:cs="宋体"/>
          <w:sz w:val="24"/>
          <w:highlight w:val="none"/>
        </w:rPr>
        <w:tab/>
      </w:r>
      <w:r>
        <w:rPr>
          <w:rFonts w:hint="eastAsia" w:ascii="宋体" w:hAnsi="宋体" w:eastAsia="宋体" w:cs="宋体"/>
          <w:sz w:val="24"/>
          <w:highlight w:val="none"/>
        </w:rPr>
        <w:t>投标文件的正本需打印或用不褪色墨水书写，并由投标人的法定代表人或其委托代理人按招标文件规定在投标文件上签字并加盖单位印章。委托代理人须持有书面的“法定代表人授权委托书”（投标文件格式二），并将其附在投标文件中。如对投标文件进行了修改，则应由投标人法定代表人或其委托代理人在每一修改处签字。投标文件的副本可采用正本的复印件。</w:t>
      </w:r>
    </w:p>
    <w:p w14:paraId="4219FE7A">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14.3</w:t>
      </w:r>
      <w:r>
        <w:rPr>
          <w:rFonts w:hint="eastAsia" w:ascii="宋体" w:hAnsi="宋体" w:eastAsia="宋体" w:cs="宋体"/>
          <w:sz w:val="24"/>
          <w:highlight w:val="none"/>
        </w:rPr>
        <w:tab/>
      </w:r>
      <w:r>
        <w:rPr>
          <w:rFonts w:hint="eastAsia" w:ascii="宋体" w:hAnsi="宋体" w:eastAsia="宋体" w:cs="宋体"/>
          <w:sz w:val="24"/>
          <w:highlight w:val="none"/>
        </w:rPr>
        <w:t>所有投标文件采用不可拆装的胶订方式装订，否则将被认定为投标无效。</w:t>
      </w:r>
    </w:p>
    <w:p w14:paraId="1FF44F76">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14.4</w:t>
      </w:r>
      <w:r>
        <w:rPr>
          <w:rFonts w:hint="eastAsia" w:ascii="宋体" w:hAnsi="宋体" w:eastAsia="宋体" w:cs="宋体"/>
          <w:sz w:val="24"/>
          <w:highlight w:val="none"/>
        </w:rPr>
        <w:tab/>
      </w:r>
      <w:r>
        <w:rPr>
          <w:rFonts w:hint="eastAsia" w:ascii="宋体" w:hAnsi="宋体" w:eastAsia="宋体" w:cs="宋体"/>
          <w:sz w:val="24"/>
          <w:highlight w:val="none"/>
        </w:rPr>
        <w:t>投标文件因字迹潦草、表达不清或装订不当所引起的后果由投标人负责。</w:t>
      </w:r>
    </w:p>
    <w:p w14:paraId="446ECF84">
      <w:pPr>
        <w:spacing w:line="240" w:lineRule="auto"/>
        <w:ind w:left="900" w:hanging="900" w:hangingChars="375"/>
        <w:outlineLvl w:val="9"/>
        <w:rPr>
          <w:rFonts w:hint="eastAsia" w:ascii="宋体" w:hAnsi="宋体" w:eastAsia="宋体" w:cs="宋体"/>
          <w:sz w:val="24"/>
          <w:highlight w:val="none"/>
        </w:rPr>
      </w:pPr>
    </w:p>
    <w:p w14:paraId="1031EEEA">
      <w:pPr>
        <w:tabs>
          <w:tab w:val="left" w:pos="900"/>
        </w:tabs>
        <w:spacing w:before="0" w:line="240" w:lineRule="auto"/>
        <w:ind w:left="1080" w:leftChars="257" w:hanging="540"/>
        <w:outlineLvl w:val="1"/>
        <w:rPr>
          <w:rFonts w:hint="eastAsia" w:ascii="宋体" w:hAnsi="宋体" w:eastAsia="宋体" w:cs="宋体"/>
          <w:b/>
          <w:sz w:val="28"/>
          <w:highlight w:val="none"/>
        </w:rPr>
      </w:pPr>
      <w:bookmarkStart w:id="72" w:name="_Toc19852"/>
      <w:bookmarkStart w:id="73" w:name="_Toc520356159"/>
      <w:bookmarkStart w:id="74" w:name="_Toc30970"/>
      <w:bookmarkStart w:id="75" w:name="_Toc518923078"/>
      <w:bookmarkStart w:id="76" w:name="_Toc216582808"/>
      <w:r>
        <w:rPr>
          <w:rFonts w:hint="eastAsia" w:ascii="宋体" w:hAnsi="宋体" w:eastAsia="宋体" w:cs="宋体"/>
          <w:b/>
          <w:sz w:val="28"/>
          <w:highlight w:val="none"/>
        </w:rPr>
        <w:t>四   投标文件的递交</w:t>
      </w:r>
      <w:bookmarkEnd w:id="72"/>
      <w:bookmarkEnd w:id="73"/>
      <w:bookmarkEnd w:id="74"/>
      <w:bookmarkEnd w:id="75"/>
      <w:bookmarkEnd w:id="76"/>
    </w:p>
    <w:p w14:paraId="56138D1B">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77" w:name="_Toc17303"/>
      <w:bookmarkStart w:id="78" w:name="_Toc520356160"/>
      <w:bookmarkStart w:id="79" w:name="_Toc518923079"/>
      <w:r>
        <w:rPr>
          <w:rFonts w:hint="eastAsia" w:ascii="宋体" w:hAnsi="宋体" w:eastAsia="宋体" w:cs="宋体"/>
          <w:highlight w:val="none"/>
          <w:u w:val="none"/>
        </w:rPr>
        <w:t>15.投标文件的密封和标记</w:t>
      </w:r>
      <w:bookmarkEnd w:id="77"/>
      <w:bookmarkEnd w:id="78"/>
      <w:bookmarkEnd w:id="79"/>
    </w:p>
    <w:p w14:paraId="10133203">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b/>
          <w:bCs/>
          <w:sz w:val="24"/>
          <w:highlight w:val="none"/>
          <w:lang w:eastAsia="zh-CN"/>
        </w:rPr>
      </w:pPr>
      <w:r>
        <w:rPr>
          <w:rFonts w:hint="eastAsia" w:ascii="宋体" w:hAnsi="宋体" w:eastAsia="宋体" w:cs="宋体"/>
          <w:sz w:val="24"/>
          <w:highlight w:val="none"/>
        </w:rPr>
        <w:t>15.1</w:t>
      </w:r>
      <w:r>
        <w:rPr>
          <w:rFonts w:hint="eastAsia" w:ascii="宋体" w:hAnsi="宋体" w:eastAsia="宋体" w:cs="宋体"/>
          <w:sz w:val="24"/>
          <w:highlight w:val="none"/>
        </w:rPr>
        <w:tab/>
      </w:r>
      <w:r>
        <w:rPr>
          <w:rFonts w:hint="eastAsia" w:ascii="宋体" w:hAnsi="宋体" w:eastAsia="宋体" w:cs="宋体"/>
          <w:b/>
          <w:bCs/>
          <w:sz w:val="24"/>
          <w:highlight w:val="none"/>
        </w:rPr>
        <w:t>为方便评审及进行资格审查，投标人应完整地按招标文件提供的投标文件格式及要求编写投标文件，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r>
        <w:rPr>
          <w:rFonts w:hint="eastAsia" w:ascii="宋体" w:hAnsi="宋体" w:eastAsia="宋体" w:cs="宋体"/>
          <w:b/>
          <w:bCs/>
          <w:sz w:val="24"/>
          <w:highlight w:val="none"/>
          <w:lang w:eastAsia="zh-CN"/>
        </w:rPr>
        <w:t>。</w:t>
      </w:r>
    </w:p>
    <w:p w14:paraId="13D6248E">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80" w:name="_Toc27301"/>
      <w:bookmarkStart w:id="81" w:name="_Toc520356161"/>
      <w:bookmarkStart w:id="82" w:name="_Toc518923080"/>
      <w:r>
        <w:rPr>
          <w:rFonts w:hint="eastAsia" w:ascii="宋体" w:hAnsi="宋体" w:eastAsia="宋体" w:cs="宋体"/>
          <w:highlight w:val="none"/>
          <w:u w:val="none"/>
        </w:rPr>
        <w:t>16.投标截止</w:t>
      </w:r>
      <w:bookmarkEnd w:id="80"/>
      <w:bookmarkEnd w:id="81"/>
      <w:bookmarkEnd w:id="82"/>
    </w:p>
    <w:p w14:paraId="5EFB52FC">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bookmarkStart w:id="83" w:name="_Toc518923081"/>
      <w:bookmarkStart w:id="84" w:name="_Toc520356162"/>
      <w:r>
        <w:rPr>
          <w:rFonts w:hint="eastAsia" w:ascii="宋体" w:hAnsi="宋体" w:eastAsia="宋体" w:cs="宋体"/>
          <w:sz w:val="24"/>
          <w:highlight w:val="none"/>
        </w:rPr>
        <w:t>16.1</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投标人应在</w:t>
      </w:r>
      <w:r>
        <w:rPr>
          <w:rFonts w:hint="eastAsia" w:ascii="宋体" w:hAnsi="宋体" w:eastAsia="宋体" w:cs="宋体"/>
          <w:sz w:val="24"/>
          <w:highlight w:val="none"/>
          <w:lang w:val="en-US" w:eastAsia="zh-CN"/>
        </w:rPr>
        <w:t>招标文件</w:t>
      </w:r>
      <w:r>
        <w:rPr>
          <w:rFonts w:hint="eastAsia" w:ascii="宋体" w:hAnsi="宋体" w:eastAsia="宋体" w:cs="宋体"/>
          <w:sz w:val="24"/>
          <w:highlight w:val="none"/>
        </w:rPr>
        <w:t>中规定的截止时间前，将</w:t>
      </w:r>
      <w:r>
        <w:rPr>
          <w:rFonts w:hint="eastAsia" w:ascii="宋体" w:hAnsi="宋体" w:eastAsia="宋体" w:cs="宋体"/>
          <w:sz w:val="24"/>
          <w:highlight w:val="none"/>
          <w:lang w:val="en-US" w:eastAsia="zh-CN"/>
        </w:rPr>
        <w:t>电子</w:t>
      </w:r>
      <w:r>
        <w:rPr>
          <w:rFonts w:hint="eastAsia" w:ascii="宋体" w:hAnsi="宋体" w:eastAsia="宋体" w:cs="宋体"/>
          <w:sz w:val="24"/>
          <w:highlight w:val="none"/>
        </w:rPr>
        <w:t>投标文件</w:t>
      </w:r>
      <w:r>
        <w:rPr>
          <w:rFonts w:hint="eastAsia" w:ascii="宋体" w:hAnsi="宋体" w:eastAsia="宋体" w:cs="宋体"/>
          <w:sz w:val="24"/>
          <w:highlight w:val="none"/>
          <w:lang w:val="en-US" w:eastAsia="zh-CN"/>
        </w:rPr>
        <w:t>上传</w:t>
      </w:r>
      <w:r>
        <w:rPr>
          <w:rFonts w:hint="eastAsia" w:ascii="宋体" w:hAnsi="宋体" w:eastAsia="宋体" w:cs="宋体"/>
          <w:sz w:val="24"/>
          <w:highlight w:val="none"/>
        </w:rPr>
        <w:t>到</w:t>
      </w:r>
      <w:r>
        <w:rPr>
          <w:rFonts w:hint="eastAsia" w:ascii="宋体" w:hAnsi="宋体" w:eastAsia="宋体" w:cs="宋体"/>
          <w:sz w:val="24"/>
          <w:highlight w:val="none"/>
          <w:lang w:val="en-US" w:eastAsia="zh-CN"/>
        </w:rPr>
        <w:t>政采云平台</w:t>
      </w:r>
      <w:r>
        <w:rPr>
          <w:rFonts w:hint="eastAsia" w:ascii="宋体" w:hAnsi="宋体" w:eastAsia="宋体" w:cs="宋体"/>
          <w:sz w:val="24"/>
          <w:highlight w:val="none"/>
        </w:rPr>
        <w:t>。</w:t>
      </w:r>
    </w:p>
    <w:p w14:paraId="13CAE50D">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16.2   采购人和采购代理机构有权按本须知的规定，延迟投标截止时间。在此情况下，采购人、采购代理机构和投标人受投标截止时间制约的所有权利和义务均应延长至新的截止时间。</w:t>
      </w:r>
    </w:p>
    <w:p w14:paraId="58718BD2">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85" w:name="_Toc826"/>
      <w:r>
        <w:rPr>
          <w:rFonts w:hint="eastAsia" w:ascii="宋体" w:hAnsi="宋体" w:eastAsia="宋体" w:cs="宋体"/>
          <w:highlight w:val="none"/>
          <w:u w:val="none"/>
        </w:rPr>
        <w:t>17.投标文件的接收、修改与撤回</w:t>
      </w:r>
      <w:bookmarkEnd w:id="83"/>
      <w:bookmarkEnd w:id="84"/>
      <w:bookmarkEnd w:id="85"/>
    </w:p>
    <w:p w14:paraId="20ABE170">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b/>
          <w:highlight w:val="none"/>
        </w:rPr>
      </w:pPr>
      <w:r>
        <w:rPr>
          <w:rFonts w:hint="eastAsia" w:ascii="宋体" w:hAnsi="宋体" w:eastAsia="宋体" w:cs="宋体"/>
          <w:sz w:val="24"/>
          <w:highlight w:val="none"/>
        </w:rPr>
        <w:t>17.1</w:t>
      </w:r>
      <w:r>
        <w:rPr>
          <w:rFonts w:hint="eastAsia" w:ascii="宋体" w:hAnsi="宋体" w:eastAsia="宋体" w:cs="宋体"/>
          <w:sz w:val="24"/>
          <w:highlight w:val="none"/>
        </w:rPr>
        <w:tab/>
      </w:r>
      <w:r>
        <w:rPr>
          <w:rFonts w:hint="eastAsia" w:ascii="宋体" w:hAnsi="宋体" w:eastAsia="宋体" w:cs="宋体"/>
          <w:sz w:val="24"/>
          <w:highlight w:val="none"/>
        </w:rPr>
        <w:t>在投标文件提交截止时间前，投标人须将电子投标文件成功完整上传到政采云平台项目采购系统。时间以政采云平台项目采购系统服务器从中国科学院国家授时中心取得的北京时间为准，投标截止时间结束后，系统将不允许投标人上传投标文件，已上传投标文件但未完成传输的文件系统将拒绝接收。</w:t>
      </w:r>
    </w:p>
    <w:p w14:paraId="00700C16">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17.2</w:t>
      </w:r>
      <w:r>
        <w:rPr>
          <w:rFonts w:hint="eastAsia" w:ascii="宋体" w:hAnsi="宋体" w:eastAsia="宋体" w:cs="宋体"/>
          <w:sz w:val="24"/>
          <w:highlight w:val="none"/>
        </w:rPr>
        <w:tab/>
      </w:r>
      <w:bookmarkStart w:id="86" w:name="_Toc216582809"/>
      <w:bookmarkStart w:id="87" w:name="_Toc520356163"/>
      <w:bookmarkStart w:id="88" w:name="_Toc518923082"/>
      <w:r>
        <w:rPr>
          <w:rFonts w:hint="eastAsia" w:ascii="宋体" w:hAnsi="宋体" w:eastAsia="宋体" w:cs="宋体"/>
          <w:sz w:val="24"/>
          <w:highlight w:val="none"/>
          <w:lang w:val="en-US" w:eastAsia="zh-CN"/>
        </w:rPr>
        <w:t>代理机构对因不可抗力事件造成的投标文件的损坏、丢失的，不承担责任。</w:t>
      </w:r>
    </w:p>
    <w:p w14:paraId="6C397BCE">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17.3</w:t>
      </w:r>
      <w:r>
        <w:rPr>
          <w:rFonts w:hint="eastAsia" w:ascii="宋体" w:hAnsi="宋体" w:eastAsia="宋体" w:cs="宋体"/>
          <w:sz w:val="24"/>
          <w:highlight w:val="none"/>
        </w:rPr>
        <w:tab/>
      </w:r>
      <w:r>
        <w:rPr>
          <w:rFonts w:hint="eastAsia" w:ascii="宋体" w:hAnsi="宋体" w:eastAsia="宋体" w:cs="宋体"/>
          <w:sz w:val="24"/>
          <w:highlight w:val="none"/>
          <w:lang w:val="en-US" w:eastAsia="zh-CN"/>
        </w:rPr>
        <w:t xml:space="preserve">出现下述情形之一，属于未成功提交投标文件，按无效投标处理： </w:t>
      </w:r>
    </w:p>
    <w:p w14:paraId="50B7CCFF">
      <w:pPr>
        <w:pageBreakBefore w:val="0"/>
        <w:widowControl w:val="0"/>
        <w:kinsoku/>
        <w:wordWrap/>
        <w:overflowPunct/>
        <w:topLinePunct w:val="0"/>
        <w:bidi w:val="0"/>
        <w:snapToGrid/>
        <w:spacing w:line="400" w:lineRule="exact"/>
        <w:ind w:left="898" w:leftChars="342" w:hanging="180" w:hangingChars="75"/>
        <w:textAlignment w:val="auto"/>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（1）至提交投标文件截止时间，投标文件未完整上传的。 </w:t>
      </w:r>
    </w:p>
    <w:p w14:paraId="484A5A58">
      <w:pPr>
        <w:pageBreakBefore w:val="0"/>
        <w:widowControl w:val="0"/>
        <w:kinsoku/>
        <w:wordWrap/>
        <w:overflowPunct/>
        <w:topLinePunct w:val="0"/>
        <w:bidi w:val="0"/>
        <w:snapToGrid/>
        <w:spacing w:line="400" w:lineRule="exact"/>
        <w:ind w:left="898" w:leftChars="342" w:hanging="180" w:hangingChars="75"/>
        <w:textAlignment w:val="auto"/>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（2）投标文件未按投标格式中注明需签字盖章的要求进行签名（含电子签名）和加盖电子印章，或签名（含电子签名）或电子印章不完整的。 </w:t>
      </w:r>
    </w:p>
    <w:p w14:paraId="63BEAF18">
      <w:pPr>
        <w:pageBreakBefore w:val="0"/>
        <w:widowControl w:val="0"/>
        <w:kinsoku/>
        <w:wordWrap/>
        <w:overflowPunct/>
        <w:topLinePunct w:val="0"/>
        <w:bidi w:val="0"/>
        <w:snapToGrid/>
        <w:spacing w:line="400" w:lineRule="exact"/>
        <w:ind w:left="898" w:leftChars="342" w:hanging="180" w:hangingChars="75"/>
        <w:textAlignment w:val="auto"/>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（3）投标文件损坏或格式不正确的。 </w:t>
      </w:r>
    </w:p>
    <w:p w14:paraId="73E2E4B7">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t>17.4</w:t>
      </w:r>
      <w:r>
        <w:rPr>
          <w:rFonts w:hint="eastAsia" w:ascii="宋体" w:hAnsi="宋体" w:eastAsia="宋体" w:cs="宋体"/>
          <w:sz w:val="24"/>
          <w:highlight w:val="none"/>
        </w:rPr>
        <w:tab/>
      </w:r>
      <w:r>
        <w:rPr>
          <w:rFonts w:hint="eastAsia" w:ascii="宋体" w:hAnsi="宋体" w:eastAsia="宋体" w:cs="宋体"/>
          <w:sz w:val="24"/>
          <w:highlight w:val="none"/>
          <w:lang w:val="en-US" w:eastAsia="zh-CN"/>
        </w:rPr>
        <w:t>在提交投标文件截止时间前，投标人可以修改或撤回未解密的电子投标文件，并于提交投标文件截止时间前将修改后重新生成的电子投标文件上传至政采云平台项目采购系统，到达投标文件提交截止时间后，将不允许修改或撤回。</w:t>
      </w:r>
    </w:p>
    <w:p w14:paraId="2A943BEE">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17.5</w:t>
      </w:r>
      <w:r>
        <w:rPr>
          <w:rFonts w:hint="eastAsia" w:ascii="宋体" w:hAnsi="宋体" w:eastAsia="宋体" w:cs="宋体"/>
          <w:sz w:val="24"/>
          <w:highlight w:val="none"/>
        </w:rPr>
        <w:tab/>
      </w:r>
      <w:r>
        <w:rPr>
          <w:rFonts w:hint="eastAsia" w:ascii="宋体" w:hAnsi="宋体" w:eastAsia="宋体" w:cs="宋体"/>
          <w:sz w:val="24"/>
          <w:highlight w:val="none"/>
          <w:lang w:val="en-US" w:eastAsia="zh-CN"/>
        </w:rPr>
        <w:t>在提交投标文件截止时间后，投标人不得补充、修改和更换投标文件。</w:t>
      </w:r>
    </w:p>
    <w:p w14:paraId="0AC667DB">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17.6    到达开标时间后，投标人需使用上传投标文件的同一数字证书解密，投标人须在采购代理机构规定的时间内完成投标文件解密，投标人因非系统原因导致的逾期未解密投标文件，将作无效投标处理。</w:t>
      </w:r>
    </w:p>
    <w:p w14:paraId="22981C66">
      <w:pPr>
        <w:tabs>
          <w:tab w:val="left" w:pos="900"/>
        </w:tabs>
        <w:spacing w:before="0" w:line="240" w:lineRule="auto"/>
        <w:ind w:left="1080" w:leftChars="257" w:hanging="540"/>
        <w:outlineLvl w:val="1"/>
        <w:rPr>
          <w:rFonts w:hint="eastAsia" w:ascii="宋体" w:hAnsi="宋体" w:eastAsia="宋体" w:cs="宋体"/>
          <w:b/>
          <w:sz w:val="28"/>
          <w:highlight w:val="none"/>
        </w:rPr>
      </w:pPr>
      <w:bookmarkStart w:id="89" w:name="_Toc26863"/>
      <w:bookmarkStart w:id="90" w:name="_Toc30668"/>
      <w:r>
        <w:rPr>
          <w:rFonts w:hint="eastAsia" w:ascii="宋体" w:hAnsi="宋体" w:eastAsia="宋体" w:cs="宋体"/>
          <w:b/>
          <w:sz w:val="28"/>
          <w:highlight w:val="none"/>
        </w:rPr>
        <w:t>五   开标及评标</w:t>
      </w:r>
      <w:bookmarkEnd w:id="86"/>
      <w:bookmarkEnd w:id="87"/>
      <w:bookmarkEnd w:id="88"/>
      <w:bookmarkEnd w:id="89"/>
      <w:bookmarkEnd w:id="90"/>
    </w:p>
    <w:p w14:paraId="57564291">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91" w:name="_Toc24420"/>
      <w:bookmarkStart w:id="92" w:name="_Toc518923083"/>
      <w:bookmarkStart w:id="93" w:name="_Toc520356164"/>
      <w:r>
        <w:rPr>
          <w:rFonts w:hint="eastAsia" w:ascii="宋体" w:hAnsi="宋体" w:eastAsia="宋体" w:cs="宋体"/>
          <w:highlight w:val="none"/>
          <w:u w:val="none"/>
        </w:rPr>
        <w:t>18.开标</w:t>
      </w:r>
      <w:bookmarkEnd w:id="91"/>
      <w:bookmarkEnd w:id="92"/>
      <w:bookmarkEnd w:id="93"/>
    </w:p>
    <w:p w14:paraId="0EBDB221">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18.1</w:t>
      </w:r>
      <w:r>
        <w:rPr>
          <w:rFonts w:hint="eastAsia" w:ascii="宋体" w:hAnsi="宋体" w:eastAsia="宋体" w:cs="宋体"/>
          <w:sz w:val="24"/>
          <w:highlight w:val="none"/>
        </w:rPr>
        <w:tab/>
      </w:r>
      <w:r>
        <w:rPr>
          <w:rFonts w:hint="eastAsia" w:ascii="宋体" w:hAnsi="宋体" w:eastAsia="宋体" w:cs="宋体"/>
          <w:sz w:val="24"/>
          <w:highlight w:val="none"/>
        </w:rPr>
        <w:t>采购人和采购代理机构将按</w:t>
      </w:r>
      <w:r>
        <w:rPr>
          <w:rFonts w:hint="eastAsia" w:ascii="宋体" w:hAnsi="宋体" w:eastAsia="宋体" w:cs="宋体"/>
          <w:sz w:val="24"/>
          <w:highlight w:val="none"/>
          <w:u w:val="single"/>
        </w:rPr>
        <w:t>投标人须知资料表</w:t>
      </w:r>
      <w:r>
        <w:rPr>
          <w:rFonts w:hint="eastAsia" w:ascii="宋体" w:hAnsi="宋体" w:eastAsia="宋体" w:cs="宋体"/>
          <w:sz w:val="24"/>
          <w:highlight w:val="none"/>
        </w:rPr>
        <w:t xml:space="preserve">中规定的开标时间和地点组织公开开标并邀请所有投标人代表参加。  </w:t>
      </w:r>
    </w:p>
    <w:p w14:paraId="7B411692">
      <w:pPr>
        <w:pageBreakBefore w:val="0"/>
        <w:widowControl w:val="0"/>
        <w:kinsoku/>
        <w:wordWrap/>
        <w:overflowPunct/>
        <w:topLinePunct w:val="0"/>
        <w:bidi w:val="0"/>
        <w:snapToGrid/>
        <w:spacing w:line="400" w:lineRule="exact"/>
        <w:ind w:firstLine="960" w:firstLineChars="4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投标人不足3家的，不得开标。</w:t>
      </w:r>
    </w:p>
    <w:p w14:paraId="115DD291">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18.2</w:t>
      </w:r>
      <w:r>
        <w:rPr>
          <w:rFonts w:hint="eastAsia" w:ascii="宋体" w:hAnsi="宋体" w:eastAsia="宋体" w:cs="宋体"/>
          <w:sz w:val="24"/>
          <w:highlight w:val="none"/>
        </w:rPr>
        <w:tab/>
      </w:r>
      <w:bookmarkStart w:id="94" w:name="_Toc520356165"/>
      <w:r>
        <w:rPr>
          <w:rFonts w:hint="eastAsia" w:ascii="宋体" w:hAnsi="宋体" w:eastAsia="宋体" w:cs="宋体"/>
          <w:sz w:val="24"/>
          <w:highlight w:val="none"/>
        </w:rPr>
        <w:t>投标人应当按照本招标文件载明的时间和模式等要求参加开标。开标时，投标人应当使用上传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不见面电子开标，各投标人在参加开标以前须自行对使用电脑的网络环境、驱动安装、客户端安装以及数字证书的有效性等进行检测，确保可以正常使用）。</w:t>
      </w:r>
    </w:p>
    <w:p w14:paraId="1D156E8D">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18.3</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采购人或采购代理机构将对开标过程进行记录，由参加开标的相关工作人员签字确认，并存档备查。</w:t>
      </w:r>
    </w:p>
    <w:p w14:paraId="48E5BCC7">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18.4</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投标人代表对开标过程和开标记录有疑义，以及认为采购人、采购代理机构相关工作人员有需要回避的情形的，应当场提出询问或者回避申请。</w:t>
      </w:r>
    </w:p>
    <w:p w14:paraId="1F2D936A">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95" w:name="_Toc518923084"/>
      <w:bookmarkStart w:id="96" w:name="_Toc9087"/>
      <w:r>
        <w:rPr>
          <w:rFonts w:hint="eastAsia" w:ascii="宋体" w:hAnsi="宋体" w:eastAsia="宋体" w:cs="宋体"/>
          <w:highlight w:val="none"/>
          <w:u w:val="none"/>
        </w:rPr>
        <w:t>19</w:t>
      </w:r>
      <w:bookmarkEnd w:id="94"/>
      <w:r>
        <w:rPr>
          <w:rFonts w:hint="eastAsia" w:ascii="宋体" w:hAnsi="宋体" w:eastAsia="宋体" w:cs="宋体"/>
          <w:highlight w:val="none"/>
          <w:u w:val="none"/>
        </w:rPr>
        <w:t>.资格审查及组建评标委员会</w:t>
      </w:r>
      <w:bookmarkEnd w:id="95"/>
      <w:bookmarkEnd w:id="96"/>
    </w:p>
    <w:p w14:paraId="3243136A">
      <w:pPr>
        <w:pageBreakBefore w:val="0"/>
        <w:widowControl w:val="0"/>
        <w:kinsoku/>
        <w:wordWrap/>
        <w:overflowPunct/>
        <w:topLinePunct w:val="0"/>
        <w:bidi w:val="0"/>
        <w:snapToGrid/>
        <w:spacing w:line="400" w:lineRule="exact"/>
        <w:ind w:left="960" w:hanging="960" w:hangingChars="4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19.1</w:t>
      </w:r>
      <w:r>
        <w:rPr>
          <w:rFonts w:hint="eastAsia" w:ascii="宋体" w:hAnsi="宋体" w:eastAsia="宋体" w:cs="宋体"/>
          <w:sz w:val="24"/>
          <w:highlight w:val="none"/>
        </w:rPr>
        <w:tab/>
      </w:r>
      <w:r>
        <w:rPr>
          <w:rFonts w:hint="eastAsia" w:ascii="宋体" w:hAnsi="宋体" w:eastAsia="宋体" w:cs="宋体"/>
          <w:sz w:val="24"/>
          <w:highlight w:val="none"/>
        </w:rPr>
        <w:t>采购人或采购代理机构依据法律法规和招标文件中规定的内容，对投标人的资格进行审查。未通过资格审查的投标人不进入评标；进入评标的投标人不足3家的，不得评标。</w:t>
      </w:r>
    </w:p>
    <w:p w14:paraId="642FA9DD">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19.2</w:t>
      </w:r>
      <w:r>
        <w:rPr>
          <w:rFonts w:hint="eastAsia" w:ascii="宋体" w:hAnsi="宋体" w:eastAsia="宋体" w:cs="宋体"/>
          <w:sz w:val="24"/>
          <w:highlight w:val="none"/>
        </w:rPr>
        <w:tab/>
      </w:r>
      <w:r>
        <w:rPr>
          <w:rFonts w:hint="eastAsia" w:ascii="宋体" w:hAnsi="宋体" w:eastAsia="宋体" w:cs="宋体"/>
          <w:sz w:val="24"/>
          <w:highlight w:val="none"/>
        </w:rPr>
        <w:t>采购人或采购代理机构将在开标前1个工作日至投标截止后1小时的期间内查询投标人的信用记录。投标人存在不良信用记录的，其投标将被认定为投标无效。</w:t>
      </w:r>
    </w:p>
    <w:p w14:paraId="05E87426">
      <w:pPr>
        <w:pageBreakBefore w:val="0"/>
        <w:widowControl w:val="0"/>
        <w:kinsoku/>
        <w:wordWrap/>
        <w:overflowPunct/>
        <w:topLinePunct w:val="0"/>
        <w:bidi w:val="0"/>
        <w:snapToGrid/>
        <w:spacing w:line="400" w:lineRule="exact"/>
        <w:ind w:left="857" w:leftChars="2" w:hanging="853"/>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19.2.1</w:t>
      </w:r>
      <w:r>
        <w:rPr>
          <w:rFonts w:hint="eastAsia" w:ascii="宋体" w:hAnsi="宋体" w:eastAsia="宋体" w:cs="宋体"/>
          <w:sz w:val="24"/>
          <w:highlight w:val="none"/>
        </w:rPr>
        <w:tab/>
      </w:r>
      <w:r>
        <w:rPr>
          <w:rFonts w:hint="eastAsia" w:ascii="宋体" w:hAnsi="宋体" w:eastAsia="宋体" w:cs="宋体"/>
          <w:sz w:val="24"/>
          <w:highlight w:val="none"/>
        </w:rPr>
        <w:t>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56B73C8F">
      <w:pPr>
        <w:pageBreakBefore w:val="0"/>
        <w:widowControl w:val="0"/>
        <w:kinsoku/>
        <w:wordWrap/>
        <w:overflowPunct/>
        <w:topLinePunct w:val="0"/>
        <w:bidi w:val="0"/>
        <w:snapToGrid/>
        <w:spacing w:line="400" w:lineRule="exact"/>
        <w:ind w:left="850" w:leftChars="405"/>
        <w:jc w:val="left"/>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以联合体形式参加投标的，联合体任何成员存在以上不良信用记录的，联合体投标将被认定为投标无效。</w:t>
      </w:r>
    </w:p>
    <w:p w14:paraId="198BB858">
      <w:pPr>
        <w:pStyle w:val="7"/>
        <w:pageBreakBefore w:val="0"/>
        <w:widowControl w:val="0"/>
        <w:kinsoku/>
        <w:wordWrap/>
        <w:overflowPunct/>
        <w:topLinePunct w:val="0"/>
        <w:bidi w:val="0"/>
        <w:snapToGrid/>
        <w:spacing w:line="400" w:lineRule="exact"/>
        <w:ind w:left="850" w:hanging="849" w:hangingChars="354"/>
        <w:jc w:val="both"/>
        <w:textAlignment w:val="auto"/>
        <w:outlineLvl w:val="9"/>
        <w:rPr>
          <w:rFonts w:hint="eastAsia" w:ascii="宋体" w:hAnsi="宋体" w:eastAsia="宋体" w:cs="宋体"/>
          <w:highlight w:val="none"/>
        </w:rPr>
      </w:pPr>
      <w:r>
        <w:rPr>
          <w:rFonts w:hint="eastAsia" w:ascii="宋体" w:hAnsi="宋体" w:eastAsia="宋体" w:cs="宋体"/>
          <w:highlight w:val="none"/>
        </w:rPr>
        <w:t>19.2.2</w:t>
      </w:r>
      <w:r>
        <w:rPr>
          <w:rFonts w:hint="eastAsia" w:ascii="宋体" w:hAnsi="宋体" w:eastAsia="宋体" w:cs="宋体"/>
          <w:sz w:val="24"/>
          <w:highlight w:val="none"/>
        </w:rPr>
        <w:tab/>
      </w:r>
      <w:r>
        <w:rPr>
          <w:rFonts w:hint="eastAsia" w:ascii="宋体" w:hAnsi="宋体" w:eastAsia="宋体" w:cs="宋体"/>
          <w:highlight w:val="none"/>
        </w:rPr>
        <w:t>查询及记录方式：采购人或采购代理机构经办人将查询网页打印、签字并存档备查。投标人不良信用记录以采购人或采购代理机构查询结果为准。</w:t>
      </w:r>
    </w:p>
    <w:p w14:paraId="72A9FAB1">
      <w:pPr>
        <w:pStyle w:val="7"/>
        <w:pageBreakBefore w:val="0"/>
        <w:widowControl w:val="0"/>
        <w:kinsoku/>
        <w:wordWrap/>
        <w:overflowPunct/>
        <w:topLinePunct w:val="0"/>
        <w:bidi w:val="0"/>
        <w:snapToGrid/>
        <w:spacing w:line="400" w:lineRule="exact"/>
        <w:ind w:left="850" w:leftChars="405" w:firstLine="0"/>
        <w:jc w:val="both"/>
        <w:textAlignment w:val="auto"/>
        <w:outlineLvl w:val="9"/>
        <w:rPr>
          <w:rFonts w:hint="eastAsia" w:ascii="宋体" w:hAnsi="宋体" w:eastAsia="宋体" w:cs="宋体"/>
          <w:highlight w:val="none"/>
        </w:rPr>
      </w:pPr>
      <w:r>
        <w:rPr>
          <w:rFonts w:hint="eastAsia" w:ascii="宋体" w:hAnsi="宋体" w:eastAsia="宋体" w:cs="宋体"/>
          <w:highlight w:val="none"/>
        </w:rPr>
        <w:t>在本招标文件规定的查询时间之后，网站信息发生的任何变更均不再作为评标依据。</w:t>
      </w:r>
    </w:p>
    <w:p w14:paraId="38CE25CD">
      <w:pPr>
        <w:pStyle w:val="7"/>
        <w:pageBreakBefore w:val="0"/>
        <w:widowControl w:val="0"/>
        <w:kinsoku/>
        <w:wordWrap/>
        <w:overflowPunct/>
        <w:topLinePunct w:val="0"/>
        <w:bidi w:val="0"/>
        <w:snapToGrid/>
        <w:spacing w:line="400" w:lineRule="exact"/>
        <w:ind w:left="850" w:leftChars="405" w:firstLine="0"/>
        <w:jc w:val="both"/>
        <w:textAlignment w:val="auto"/>
        <w:outlineLvl w:val="9"/>
        <w:rPr>
          <w:rFonts w:hint="eastAsia" w:ascii="宋体" w:hAnsi="宋体" w:eastAsia="宋体" w:cs="宋体"/>
          <w:highlight w:val="none"/>
        </w:rPr>
      </w:pPr>
      <w:r>
        <w:rPr>
          <w:rFonts w:hint="eastAsia" w:ascii="宋体" w:hAnsi="宋体" w:eastAsia="宋体" w:cs="宋体"/>
          <w:highlight w:val="none"/>
        </w:rPr>
        <w:t>投标人自行提供的与网站信息不一致的其他证明材料亦不作为资格审查的依据。</w:t>
      </w:r>
    </w:p>
    <w:p w14:paraId="39275CA8">
      <w:pPr>
        <w:pageBreakBefore w:val="0"/>
        <w:widowControl w:val="0"/>
        <w:kinsoku/>
        <w:wordWrap/>
        <w:overflowPunct/>
        <w:topLinePunct w:val="0"/>
        <w:bidi w:val="0"/>
        <w:snapToGrid/>
        <w:spacing w:line="400" w:lineRule="exact"/>
        <w:ind w:left="850" w:hanging="849" w:hangingChars="354"/>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19.3</w:t>
      </w:r>
      <w:r>
        <w:rPr>
          <w:rFonts w:hint="eastAsia" w:ascii="宋体" w:hAnsi="宋体" w:eastAsia="宋体" w:cs="宋体"/>
          <w:sz w:val="24"/>
          <w:highlight w:val="none"/>
        </w:rPr>
        <w:tab/>
      </w:r>
      <w:r>
        <w:rPr>
          <w:rFonts w:hint="eastAsia" w:ascii="宋体" w:hAnsi="宋体" w:eastAsia="宋体" w:cs="宋体"/>
          <w:sz w:val="24"/>
          <w:highlight w:val="none"/>
        </w:rPr>
        <w:t>按照《中华人民共和国政府采购法》、《中华人民共和国政府采购法实施条例》及本项目本级和上级财政部门的有关规定依法组建的评标委员会，负责本项目评标工作。</w:t>
      </w:r>
      <w:bookmarkStart w:id="97" w:name="_Toc520356166"/>
      <w:r>
        <w:rPr>
          <w:rFonts w:hint="eastAsia" w:ascii="宋体" w:hAnsi="宋体" w:eastAsia="宋体" w:cs="宋体"/>
          <w:sz w:val="24"/>
          <w:highlight w:val="none"/>
        </w:rPr>
        <w:t>本项目评标委员会由3人或3人以上单数组成（政采云专家库随机抽取）。</w:t>
      </w:r>
    </w:p>
    <w:p w14:paraId="40EA80D7">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b w:val="0"/>
          <w:bCs/>
          <w:highlight w:val="none"/>
          <w:bdr w:val="single" w:color="auto" w:sz="4" w:space="0"/>
        </w:rPr>
      </w:pPr>
      <w:bookmarkStart w:id="98" w:name="_Toc17965"/>
      <w:bookmarkStart w:id="99" w:name="_Toc518923085"/>
      <w:r>
        <w:rPr>
          <w:rFonts w:hint="eastAsia" w:ascii="宋体" w:hAnsi="宋体" w:eastAsia="宋体" w:cs="宋体"/>
          <w:highlight w:val="none"/>
          <w:u w:val="none"/>
        </w:rPr>
        <w:t>20.投标文件的</w:t>
      </w:r>
      <w:bookmarkEnd w:id="97"/>
      <w:r>
        <w:rPr>
          <w:rFonts w:hint="eastAsia" w:ascii="宋体" w:hAnsi="宋体" w:eastAsia="宋体" w:cs="宋体"/>
          <w:highlight w:val="none"/>
          <w:u w:val="none"/>
        </w:rPr>
        <w:t>符合性审查与澄清</w:t>
      </w:r>
      <w:bookmarkEnd w:id="98"/>
      <w:bookmarkEnd w:id="99"/>
    </w:p>
    <w:p w14:paraId="5BE39696">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20.1</w:t>
      </w:r>
      <w:r>
        <w:rPr>
          <w:rFonts w:hint="eastAsia" w:ascii="宋体" w:hAnsi="宋体" w:eastAsia="宋体" w:cs="宋体"/>
          <w:sz w:val="24"/>
          <w:highlight w:val="none"/>
        </w:rPr>
        <w:tab/>
      </w:r>
      <w:r>
        <w:rPr>
          <w:rFonts w:hint="eastAsia" w:ascii="宋体" w:hAnsi="宋体" w:eastAsia="宋体" w:cs="宋体"/>
          <w:sz w:val="24"/>
          <w:highlight w:val="none"/>
        </w:rPr>
        <w:t>符合性审查是指依据招标文件的规定，从投标文件的有效性和完整性对招标文件的响应程度进行审查，以确定是否对招标文件的实质性要求做出响应。</w:t>
      </w:r>
      <w:bookmarkStart w:id="100" w:name="_Hlt522424701"/>
      <w:bookmarkEnd w:id="100"/>
      <w:bookmarkStart w:id="101" w:name="_Toc520356167"/>
    </w:p>
    <w:p w14:paraId="699B97D9">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20.2</w:t>
      </w:r>
      <w:r>
        <w:rPr>
          <w:rFonts w:hint="eastAsia" w:ascii="宋体" w:hAnsi="宋体" w:eastAsia="宋体" w:cs="宋体"/>
          <w:sz w:val="24"/>
          <w:highlight w:val="none"/>
        </w:rPr>
        <w:tab/>
      </w:r>
      <w:r>
        <w:rPr>
          <w:rFonts w:hint="eastAsia" w:ascii="宋体" w:hAnsi="宋体" w:eastAsia="宋体" w:cs="宋体"/>
          <w:sz w:val="24"/>
          <w:highlight w:val="none"/>
        </w:rPr>
        <w:t>投标文件的澄清</w:t>
      </w:r>
    </w:p>
    <w:p w14:paraId="6B11778C">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20.2.1</w:t>
      </w:r>
      <w:r>
        <w:rPr>
          <w:rFonts w:hint="eastAsia" w:ascii="宋体" w:hAnsi="宋体" w:eastAsia="宋体" w:cs="宋体"/>
          <w:sz w:val="24"/>
          <w:highlight w:val="none"/>
        </w:rPr>
        <w:tab/>
      </w:r>
      <w:r>
        <w:rPr>
          <w:rFonts w:hint="eastAsia" w:ascii="宋体" w:hAnsi="宋体" w:eastAsia="宋体" w:cs="宋体"/>
          <w:sz w:val="24"/>
          <w:highlight w:val="none"/>
        </w:rPr>
        <w:t>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1D18B0AC">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20.2.2</w:t>
      </w:r>
      <w:r>
        <w:rPr>
          <w:rFonts w:hint="eastAsia" w:ascii="宋体" w:hAnsi="宋体" w:eastAsia="宋体" w:cs="宋体"/>
          <w:sz w:val="24"/>
          <w:highlight w:val="none"/>
        </w:rPr>
        <w:tab/>
      </w:r>
      <w:r>
        <w:rPr>
          <w:rFonts w:hint="eastAsia" w:ascii="宋体" w:hAnsi="宋体" w:eastAsia="宋体" w:cs="宋体"/>
          <w:sz w:val="24"/>
          <w:highlight w:val="none"/>
        </w:rPr>
        <w:t>投标人的澄清、说明或补正将作为投标文件的一部分。</w:t>
      </w:r>
    </w:p>
    <w:p w14:paraId="6483031A">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20.3</w:t>
      </w:r>
      <w:r>
        <w:rPr>
          <w:rFonts w:hint="eastAsia" w:ascii="宋体" w:hAnsi="宋体" w:eastAsia="宋体" w:cs="宋体"/>
          <w:sz w:val="24"/>
          <w:highlight w:val="none"/>
        </w:rPr>
        <w:tab/>
      </w:r>
      <w:r>
        <w:rPr>
          <w:rFonts w:hint="eastAsia" w:ascii="宋体" w:hAnsi="宋体" w:eastAsia="宋体" w:cs="宋体"/>
          <w:sz w:val="24"/>
          <w:highlight w:val="none"/>
        </w:rPr>
        <w:t>投标文件报价出现前后不一致的，按照下列规定修正：</w:t>
      </w:r>
    </w:p>
    <w:p w14:paraId="31F099DC">
      <w:pPr>
        <w:pageBreakBefore w:val="0"/>
        <w:widowControl w:val="0"/>
        <w:kinsoku/>
        <w:wordWrap/>
        <w:overflowPunct/>
        <w:topLinePunct w:val="0"/>
        <w:bidi w:val="0"/>
        <w:snapToGrid/>
        <w:spacing w:line="400" w:lineRule="exact"/>
        <w:ind w:left="1020" w:hanging="1020" w:hangingChars="42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ab/>
      </w:r>
      <w:r>
        <w:rPr>
          <w:rFonts w:hint="eastAsia" w:ascii="宋体" w:hAnsi="宋体" w:eastAsia="宋体" w:cs="宋体"/>
          <w:sz w:val="24"/>
          <w:highlight w:val="none"/>
        </w:rPr>
        <w:t>（一）投标文件中开标一览表（报价表）内容与投标文件中相应内容不一致的，以开标一览表（报价表）为准；</w:t>
      </w:r>
    </w:p>
    <w:p w14:paraId="1DEE2E05">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ab/>
      </w:r>
      <w:r>
        <w:rPr>
          <w:rFonts w:hint="eastAsia" w:ascii="宋体" w:hAnsi="宋体" w:eastAsia="宋体" w:cs="宋体"/>
          <w:sz w:val="24"/>
          <w:highlight w:val="none"/>
        </w:rPr>
        <w:t>（二）大写金额和小写金额不一致的，以大写金额为准；</w:t>
      </w:r>
    </w:p>
    <w:p w14:paraId="5D0B6B8A">
      <w:pPr>
        <w:pageBreakBefore w:val="0"/>
        <w:widowControl w:val="0"/>
        <w:kinsoku/>
        <w:wordWrap/>
        <w:overflowPunct/>
        <w:topLinePunct w:val="0"/>
        <w:bidi w:val="0"/>
        <w:snapToGrid/>
        <w:spacing w:line="400" w:lineRule="exact"/>
        <w:ind w:left="1020" w:hanging="1020" w:hangingChars="42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ab/>
      </w:r>
      <w:r>
        <w:rPr>
          <w:rFonts w:hint="eastAsia" w:ascii="宋体" w:hAnsi="宋体" w:eastAsia="宋体" w:cs="宋体"/>
          <w:sz w:val="24"/>
          <w:highlight w:val="none"/>
        </w:rPr>
        <w:t>（三）单价金额小数点或者百分比有明显错位的，以开标一览表的总价为准，并修改单价；</w:t>
      </w:r>
    </w:p>
    <w:p w14:paraId="5FEDA01C">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ab/>
      </w:r>
      <w:r>
        <w:rPr>
          <w:rFonts w:hint="eastAsia" w:ascii="宋体" w:hAnsi="宋体" w:eastAsia="宋体" w:cs="宋体"/>
          <w:sz w:val="24"/>
          <w:highlight w:val="none"/>
        </w:rPr>
        <w:t>（四）总价金额与按单价汇总金额不一致的，以单价金额计算结果为准。</w:t>
      </w:r>
    </w:p>
    <w:p w14:paraId="1EC815A2">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ab/>
      </w:r>
      <w:r>
        <w:rPr>
          <w:rFonts w:hint="eastAsia" w:ascii="宋体" w:hAnsi="宋体" w:eastAsia="宋体" w:cs="宋体"/>
          <w:sz w:val="24"/>
          <w:highlight w:val="none"/>
        </w:rPr>
        <w:t>同时出现两种以上不一致的，按照前款规定的顺序修正。修正后的报价按照第20.2条的规定经投标人确认后产生约束力，投标人不确认的，将被认定为投标无效。</w:t>
      </w:r>
    </w:p>
    <w:p w14:paraId="54F499D5">
      <w:pPr>
        <w:pageBreakBefore w:val="0"/>
        <w:widowControl w:val="0"/>
        <w:kinsoku/>
        <w:wordWrap/>
        <w:overflowPunct/>
        <w:topLinePunct w:val="0"/>
        <w:bidi w:val="0"/>
        <w:snapToGrid/>
        <w:spacing w:line="400" w:lineRule="exact"/>
        <w:ind w:left="735" w:leftChars="350" w:firstLine="120" w:firstLineChars="5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对不同文字文本投标文件的解释发生异议的，以中文文本为准。</w:t>
      </w:r>
    </w:p>
    <w:p w14:paraId="3F3ABDF3">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02" w:name="_Toc518923086"/>
      <w:bookmarkStart w:id="103" w:name="_Toc8403"/>
      <w:r>
        <w:rPr>
          <w:rFonts w:hint="eastAsia" w:ascii="宋体" w:hAnsi="宋体" w:eastAsia="宋体" w:cs="宋体"/>
          <w:highlight w:val="none"/>
          <w:u w:val="none"/>
        </w:rPr>
        <w:t>21.投标偏离</w:t>
      </w:r>
      <w:bookmarkEnd w:id="102"/>
      <w:bookmarkEnd w:id="103"/>
    </w:p>
    <w:p w14:paraId="55737A60">
      <w:pPr>
        <w:pageBreakBefore w:val="0"/>
        <w:widowControl w:val="0"/>
        <w:kinsoku/>
        <w:wordWrap/>
        <w:overflowPunct/>
        <w:topLinePunct w:val="0"/>
        <w:bidi w:val="0"/>
        <w:snapToGrid/>
        <w:spacing w:line="400" w:lineRule="exact"/>
        <w:ind w:left="848" w:leftChars="99" w:hanging="640" w:hangingChars="267"/>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ab/>
      </w:r>
      <w:r>
        <w:rPr>
          <w:rFonts w:hint="eastAsia" w:ascii="宋体" w:hAnsi="宋体" w:eastAsia="宋体" w:cs="宋体"/>
          <w:sz w:val="24"/>
          <w:highlight w:val="none"/>
        </w:rPr>
        <w:t>评标委员会可以接受投标文件中不构成实质性偏离的不正规或不一致。</w:t>
      </w:r>
    </w:p>
    <w:p w14:paraId="41D74289">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04" w:name="_Toc518923087"/>
      <w:bookmarkStart w:id="105" w:name="_Toc22977"/>
      <w:r>
        <w:rPr>
          <w:rFonts w:hint="eastAsia" w:ascii="宋体" w:hAnsi="宋体" w:eastAsia="宋体" w:cs="宋体"/>
          <w:highlight w:val="none"/>
          <w:u w:val="none"/>
        </w:rPr>
        <w:t>22.投标无效</w:t>
      </w:r>
      <w:bookmarkEnd w:id="104"/>
      <w:bookmarkEnd w:id="105"/>
    </w:p>
    <w:p w14:paraId="7DA80540">
      <w:pPr>
        <w:pageBreakBefore w:val="0"/>
        <w:widowControl w:val="0"/>
        <w:kinsoku/>
        <w:wordWrap/>
        <w:overflowPunct/>
        <w:topLinePunct w:val="0"/>
        <w:bidi w:val="0"/>
        <w:snapToGrid/>
        <w:spacing w:line="400" w:lineRule="exact"/>
        <w:ind w:left="852" w:leftChars="-23"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22.1</w:t>
      </w:r>
      <w:r>
        <w:rPr>
          <w:rFonts w:hint="eastAsia" w:ascii="宋体" w:hAnsi="宋体" w:eastAsia="宋体" w:cs="宋体"/>
          <w:sz w:val="24"/>
          <w:highlight w:val="none"/>
        </w:rPr>
        <w:tab/>
      </w:r>
      <w:r>
        <w:rPr>
          <w:rFonts w:hint="eastAsia" w:ascii="宋体" w:hAnsi="宋体" w:eastAsia="宋体" w:cs="宋体"/>
          <w:sz w:val="24"/>
          <w:highlight w:val="none"/>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w:t>
      </w:r>
    </w:p>
    <w:p w14:paraId="024B33DD">
      <w:pPr>
        <w:pageBreakBefore w:val="0"/>
        <w:widowControl w:val="0"/>
        <w:kinsoku/>
        <w:wordWrap/>
        <w:overflowPunct/>
        <w:topLinePunct w:val="0"/>
        <w:bidi w:val="0"/>
        <w:snapToGrid/>
        <w:spacing w:line="400" w:lineRule="exact"/>
        <w:ind w:left="792" w:leftChars="377"/>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评标委员会决定投标的响应性只根据招标文件要求、投标文件内容及财政主管部门指定相关信息发布媒体。</w:t>
      </w:r>
    </w:p>
    <w:p w14:paraId="5D1C171E">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22.2</w:t>
      </w:r>
      <w:r>
        <w:rPr>
          <w:rFonts w:hint="eastAsia" w:ascii="宋体" w:hAnsi="宋体" w:eastAsia="宋体" w:cs="宋体"/>
          <w:sz w:val="24"/>
          <w:highlight w:val="none"/>
        </w:rPr>
        <w:tab/>
      </w:r>
      <w:r>
        <w:rPr>
          <w:rFonts w:hint="eastAsia" w:ascii="宋体" w:hAnsi="宋体" w:eastAsia="宋体" w:cs="宋体"/>
          <w:sz w:val="24"/>
          <w:highlight w:val="none"/>
        </w:rPr>
        <w:t>如发现下列情况之一的，其投标将被认定为投标无效：（</w:t>
      </w:r>
      <w:r>
        <w:rPr>
          <w:rFonts w:hint="eastAsia" w:ascii="宋体" w:hAnsi="宋体" w:eastAsia="宋体" w:cs="宋体"/>
          <w:b/>
          <w:sz w:val="24"/>
          <w:highlight w:val="none"/>
        </w:rPr>
        <w:t>以下情形应当在招标文件中规定，并以醒目的方式标明</w:t>
      </w:r>
      <w:r>
        <w:rPr>
          <w:rFonts w:hint="eastAsia" w:ascii="宋体" w:hAnsi="宋体" w:eastAsia="宋体" w:cs="宋体"/>
          <w:sz w:val="24"/>
          <w:highlight w:val="none"/>
        </w:rPr>
        <w:t>）</w:t>
      </w:r>
    </w:p>
    <w:p w14:paraId="0D55E81F">
      <w:pPr>
        <w:pageBreakBefore w:val="0"/>
        <w:widowControl w:val="0"/>
        <w:numPr>
          <w:ilvl w:val="0"/>
          <w:numId w:val="0"/>
        </w:numPr>
        <w:kinsoku/>
        <w:wordWrap/>
        <w:overflowPunct/>
        <w:topLinePunct w:val="0"/>
        <w:bidi w:val="0"/>
        <w:snapToGrid/>
        <w:spacing w:line="400" w:lineRule="exact"/>
        <w:ind w:left="1081" w:leftChars="429" w:hanging="180" w:firstLineChars="0"/>
        <w:textAlignment w:val="auto"/>
        <w:outlineLvl w:val="9"/>
        <w:rPr>
          <w:rFonts w:hint="eastAsia" w:ascii="宋体" w:hAnsi="宋体" w:eastAsia="宋体" w:cs="宋体"/>
          <w:b/>
          <w:bCs/>
          <w:sz w:val="24"/>
          <w:highlight w:val="none"/>
        </w:rPr>
      </w:pPr>
      <w:r>
        <w:rPr>
          <w:rFonts w:hint="eastAsia" w:ascii="仿宋_GB2312" w:hAnsi="宋体" w:eastAsia="仿宋_GB2312" w:cs="Times New Roman"/>
          <w:b/>
          <w:bCs/>
          <w:kern w:val="2"/>
          <w:sz w:val="24"/>
          <w:szCs w:val="24"/>
          <w:highlight w:val="none"/>
          <w:lang w:val="en-US" w:eastAsia="zh-CN" w:bidi="ar-SA"/>
        </w:rPr>
        <w:t>（1）</w:t>
      </w:r>
      <w:r>
        <w:rPr>
          <w:rFonts w:hint="eastAsia" w:ascii="宋体" w:hAnsi="宋体" w:eastAsia="宋体" w:cs="宋体"/>
          <w:b/>
          <w:bCs/>
          <w:sz w:val="24"/>
          <w:highlight w:val="none"/>
        </w:rPr>
        <w:t>未按招标文件规定的形式和金额提交投标保证金的；</w:t>
      </w:r>
    </w:p>
    <w:p w14:paraId="520695E4">
      <w:pPr>
        <w:pageBreakBefore w:val="0"/>
        <w:widowControl w:val="0"/>
        <w:numPr>
          <w:ilvl w:val="0"/>
          <w:numId w:val="0"/>
        </w:numPr>
        <w:kinsoku/>
        <w:wordWrap/>
        <w:overflowPunct/>
        <w:topLinePunct w:val="0"/>
        <w:bidi w:val="0"/>
        <w:snapToGrid/>
        <w:spacing w:line="400" w:lineRule="exact"/>
        <w:ind w:left="1081" w:leftChars="429" w:hanging="180" w:firstLineChars="0"/>
        <w:textAlignment w:val="auto"/>
        <w:outlineLvl w:val="9"/>
        <w:rPr>
          <w:rFonts w:hint="eastAsia" w:ascii="宋体" w:hAnsi="宋体" w:eastAsia="宋体" w:cs="宋体"/>
          <w:b/>
          <w:bCs/>
          <w:sz w:val="24"/>
          <w:highlight w:val="none"/>
        </w:rPr>
      </w:pPr>
      <w:r>
        <w:rPr>
          <w:rFonts w:hint="eastAsia" w:ascii="仿宋_GB2312" w:hAnsi="宋体" w:eastAsia="仿宋_GB2312" w:cs="Times New Roman"/>
          <w:b/>
          <w:bCs/>
          <w:kern w:val="2"/>
          <w:sz w:val="24"/>
          <w:szCs w:val="24"/>
          <w:highlight w:val="none"/>
          <w:lang w:val="en-US" w:eastAsia="zh-CN" w:bidi="ar-SA"/>
        </w:rPr>
        <w:t>（2）</w:t>
      </w:r>
      <w:r>
        <w:rPr>
          <w:rFonts w:hint="eastAsia" w:ascii="宋体" w:hAnsi="宋体" w:eastAsia="宋体" w:cs="宋体"/>
          <w:b/>
          <w:bCs/>
          <w:sz w:val="24"/>
          <w:highlight w:val="none"/>
        </w:rPr>
        <w:t>未按照招标文件规定要求签署、盖章的；</w:t>
      </w:r>
    </w:p>
    <w:p w14:paraId="22DC5A12">
      <w:pPr>
        <w:pageBreakBefore w:val="0"/>
        <w:widowControl w:val="0"/>
        <w:numPr>
          <w:ilvl w:val="0"/>
          <w:numId w:val="0"/>
        </w:numPr>
        <w:kinsoku/>
        <w:wordWrap/>
        <w:overflowPunct/>
        <w:topLinePunct w:val="0"/>
        <w:bidi w:val="0"/>
        <w:snapToGrid/>
        <w:spacing w:line="400" w:lineRule="exact"/>
        <w:ind w:left="1081" w:leftChars="429" w:hanging="180" w:firstLineChars="0"/>
        <w:textAlignment w:val="auto"/>
        <w:outlineLvl w:val="9"/>
        <w:rPr>
          <w:rFonts w:hint="eastAsia" w:ascii="宋体" w:hAnsi="宋体" w:eastAsia="宋体" w:cs="宋体"/>
          <w:b/>
          <w:bCs/>
          <w:sz w:val="24"/>
          <w:highlight w:val="none"/>
        </w:rPr>
      </w:pPr>
      <w:r>
        <w:rPr>
          <w:rFonts w:hint="eastAsia" w:ascii="仿宋_GB2312" w:hAnsi="宋体" w:eastAsia="仿宋_GB2312" w:cs="Times New Roman"/>
          <w:b/>
          <w:bCs/>
          <w:kern w:val="2"/>
          <w:sz w:val="24"/>
          <w:szCs w:val="24"/>
          <w:highlight w:val="none"/>
          <w:lang w:val="en-US" w:eastAsia="zh-CN" w:bidi="ar-SA"/>
        </w:rPr>
        <w:t>（3）</w:t>
      </w:r>
      <w:r>
        <w:rPr>
          <w:rFonts w:hint="eastAsia" w:ascii="宋体" w:hAnsi="宋体" w:eastAsia="宋体" w:cs="宋体"/>
          <w:b/>
          <w:bCs/>
          <w:sz w:val="24"/>
          <w:highlight w:val="none"/>
        </w:rPr>
        <w:t>未满足招标文件中技术条款的实质性要求；</w:t>
      </w:r>
    </w:p>
    <w:p w14:paraId="196AAF27">
      <w:pPr>
        <w:pageBreakBefore w:val="0"/>
        <w:widowControl w:val="0"/>
        <w:numPr>
          <w:ilvl w:val="0"/>
          <w:numId w:val="0"/>
        </w:numPr>
        <w:kinsoku/>
        <w:wordWrap/>
        <w:overflowPunct/>
        <w:topLinePunct w:val="0"/>
        <w:bidi w:val="0"/>
        <w:snapToGrid/>
        <w:spacing w:line="400" w:lineRule="exact"/>
        <w:ind w:left="1081" w:leftChars="429" w:hanging="180" w:firstLineChars="0"/>
        <w:textAlignment w:val="auto"/>
        <w:outlineLvl w:val="9"/>
        <w:rPr>
          <w:rFonts w:hint="eastAsia" w:ascii="宋体" w:hAnsi="宋体" w:eastAsia="宋体" w:cs="宋体"/>
          <w:b/>
          <w:bCs/>
          <w:sz w:val="24"/>
          <w:highlight w:val="none"/>
        </w:rPr>
      </w:pPr>
      <w:r>
        <w:rPr>
          <w:rFonts w:hint="eastAsia" w:ascii="仿宋_GB2312" w:hAnsi="宋体" w:eastAsia="仿宋_GB2312" w:cs="Times New Roman"/>
          <w:b/>
          <w:bCs/>
          <w:kern w:val="2"/>
          <w:sz w:val="24"/>
          <w:szCs w:val="24"/>
          <w:highlight w:val="none"/>
          <w:lang w:val="en-US" w:eastAsia="zh-CN" w:bidi="ar-SA"/>
        </w:rPr>
        <w:t>（4）</w:t>
      </w:r>
      <w:r>
        <w:rPr>
          <w:rFonts w:hint="eastAsia" w:ascii="宋体" w:hAnsi="宋体" w:eastAsia="宋体" w:cs="宋体"/>
          <w:b/>
          <w:bCs/>
          <w:sz w:val="24"/>
          <w:highlight w:val="none"/>
        </w:rPr>
        <w:t>与其他投标人串通投标，或者与招标人串通投标；</w:t>
      </w:r>
    </w:p>
    <w:p w14:paraId="4FFDD890">
      <w:pPr>
        <w:pageBreakBefore w:val="0"/>
        <w:widowControl w:val="0"/>
        <w:numPr>
          <w:ilvl w:val="0"/>
          <w:numId w:val="0"/>
        </w:numPr>
        <w:kinsoku/>
        <w:wordWrap/>
        <w:overflowPunct/>
        <w:topLinePunct w:val="0"/>
        <w:bidi w:val="0"/>
        <w:snapToGrid/>
        <w:spacing w:line="400" w:lineRule="exact"/>
        <w:ind w:left="1081" w:leftChars="429" w:hanging="180" w:firstLineChars="0"/>
        <w:textAlignment w:val="auto"/>
        <w:outlineLvl w:val="9"/>
        <w:rPr>
          <w:rFonts w:hint="eastAsia" w:ascii="宋体" w:hAnsi="宋体" w:eastAsia="宋体" w:cs="宋体"/>
          <w:b/>
          <w:bCs/>
          <w:sz w:val="24"/>
          <w:highlight w:val="none"/>
        </w:rPr>
      </w:pPr>
      <w:r>
        <w:rPr>
          <w:rFonts w:hint="eastAsia" w:ascii="仿宋_GB2312" w:hAnsi="宋体" w:eastAsia="仿宋_GB2312" w:cs="Times New Roman"/>
          <w:b/>
          <w:bCs/>
          <w:kern w:val="2"/>
          <w:sz w:val="24"/>
          <w:szCs w:val="24"/>
          <w:highlight w:val="none"/>
          <w:lang w:val="en-US" w:eastAsia="zh-CN" w:bidi="ar-SA"/>
        </w:rPr>
        <w:t>（5）</w:t>
      </w:r>
      <w:r>
        <w:rPr>
          <w:rFonts w:hint="eastAsia" w:ascii="宋体" w:hAnsi="宋体" w:eastAsia="宋体" w:cs="宋体"/>
          <w:b/>
          <w:bCs/>
          <w:sz w:val="24"/>
          <w:highlight w:val="none"/>
        </w:rPr>
        <w:t>属于招标文件规定的其他投标无效情形；</w:t>
      </w:r>
    </w:p>
    <w:p w14:paraId="4A8660E0">
      <w:pPr>
        <w:pageBreakBefore w:val="0"/>
        <w:widowControl w:val="0"/>
        <w:numPr>
          <w:ilvl w:val="0"/>
          <w:numId w:val="0"/>
        </w:numPr>
        <w:kinsoku/>
        <w:wordWrap/>
        <w:overflowPunct/>
        <w:topLinePunct w:val="0"/>
        <w:bidi w:val="0"/>
        <w:snapToGrid/>
        <w:spacing w:line="400" w:lineRule="exact"/>
        <w:ind w:left="1081" w:leftChars="429" w:hanging="180" w:firstLineChars="0"/>
        <w:textAlignment w:val="auto"/>
        <w:outlineLvl w:val="9"/>
        <w:rPr>
          <w:rFonts w:hint="eastAsia" w:ascii="宋体" w:hAnsi="宋体" w:eastAsia="宋体" w:cs="宋体"/>
          <w:b/>
          <w:bCs/>
          <w:sz w:val="24"/>
          <w:highlight w:val="none"/>
        </w:rPr>
      </w:pPr>
      <w:r>
        <w:rPr>
          <w:rFonts w:hint="eastAsia" w:ascii="仿宋_GB2312" w:hAnsi="宋体" w:eastAsia="仿宋_GB2312" w:cs="Times New Roman"/>
          <w:b/>
          <w:bCs/>
          <w:kern w:val="2"/>
          <w:sz w:val="24"/>
          <w:szCs w:val="24"/>
          <w:highlight w:val="none"/>
          <w:lang w:val="en-US" w:eastAsia="zh-CN" w:bidi="ar-SA"/>
        </w:rPr>
        <w:t>（6）</w:t>
      </w:r>
      <w:r>
        <w:rPr>
          <w:rFonts w:hint="eastAsia" w:ascii="宋体" w:hAnsi="宋体" w:eastAsia="宋体" w:cs="宋体"/>
          <w:b/>
          <w:bCs/>
          <w:sz w:val="24"/>
          <w:highlight w:val="none"/>
        </w:rPr>
        <w:t>评标委员会认为投标人的报价明显低于其他通过符合性检查投标人的报价，有可能影响履约的，且投标人未按照规定证明其报价合理性的；</w:t>
      </w:r>
    </w:p>
    <w:p w14:paraId="1F873736">
      <w:pPr>
        <w:pageBreakBefore w:val="0"/>
        <w:widowControl w:val="0"/>
        <w:numPr>
          <w:ilvl w:val="0"/>
          <w:numId w:val="0"/>
        </w:numPr>
        <w:kinsoku/>
        <w:wordWrap/>
        <w:overflowPunct/>
        <w:topLinePunct w:val="0"/>
        <w:bidi w:val="0"/>
        <w:snapToGrid/>
        <w:spacing w:line="400" w:lineRule="exact"/>
        <w:ind w:left="1081" w:leftChars="429" w:hanging="180" w:firstLineChars="0"/>
        <w:textAlignment w:val="auto"/>
        <w:outlineLvl w:val="9"/>
        <w:rPr>
          <w:rFonts w:hint="eastAsia" w:ascii="宋体" w:hAnsi="宋体" w:eastAsia="宋体" w:cs="宋体"/>
          <w:b/>
          <w:bCs/>
          <w:sz w:val="24"/>
          <w:highlight w:val="none"/>
        </w:rPr>
      </w:pPr>
      <w:r>
        <w:rPr>
          <w:rFonts w:hint="eastAsia" w:ascii="仿宋_GB2312" w:hAnsi="宋体" w:eastAsia="仿宋_GB2312" w:cs="Times New Roman"/>
          <w:b/>
          <w:bCs/>
          <w:kern w:val="2"/>
          <w:sz w:val="24"/>
          <w:szCs w:val="24"/>
          <w:highlight w:val="none"/>
          <w:lang w:val="en-US" w:eastAsia="zh-CN" w:bidi="ar-SA"/>
        </w:rPr>
        <w:t>（7）</w:t>
      </w:r>
      <w:r>
        <w:rPr>
          <w:rFonts w:hint="eastAsia" w:ascii="宋体" w:hAnsi="宋体" w:eastAsia="宋体" w:cs="宋体"/>
          <w:b/>
          <w:bCs/>
          <w:sz w:val="24"/>
          <w:highlight w:val="none"/>
        </w:rPr>
        <w:t>投标文件含有采购人不能接受的附加条件的；</w:t>
      </w:r>
    </w:p>
    <w:p w14:paraId="4DC9882D">
      <w:pPr>
        <w:pageBreakBefore w:val="0"/>
        <w:widowControl w:val="0"/>
        <w:numPr>
          <w:ilvl w:val="0"/>
          <w:numId w:val="0"/>
        </w:numPr>
        <w:tabs>
          <w:tab w:val="left" w:pos="0"/>
        </w:tabs>
        <w:kinsoku/>
        <w:wordWrap/>
        <w:overflowPunct/>
        <w:topLinePunct w:val="0"/>
        <w:bidi w:val="0"/>
        <w:snapToGrid/>
        <w:spacing w:line="400" w:lineRule="exact"/>
        <w:ind w:left="1081" w:leftChars="429" w:hanging="180" w:firstLineChars="0"/>
        <w:textAlignment w:val="auto"/>
        <w:outlineLvl w:val="9"/>
        <w:rPr>
          <w:rFonts w:hint="eastAsia" w:ascii="宋体" w:hAnsi="宋体" w:eastAsia="宋体" w:cs="宋体"/>
          <w:sz w:val="24"/>
          <w:highlight w:val="none"/>
        </w:rPr>
      </w:pPr>
      <w:r>
        <w:rPr>
          <w:rFonts w:hint="eastAsia" w:ascii="仿宋_GB2312" w:hAnsi="宋体" w:eastAsia="仿宋_GB2312" w:cs="Times New Roman"/>
          <w:b/>
          <w:bCs/>
          <w:kern w:val="2"/>
          <w:sz w:val="24"/>
          <w:szCs w:val="24"/>
          <w:highlight w:val="none"/>
          <w:lang w:val="en-US" w:eastAsia="zh-CN" w:bidi="ar-SA"/>
        </w:rPr>
        <w:t>（8）</w:t>
      </w:r>
      <w:r>
        <w:rPr>
          <w:rFonts w:hint="eastAsia" w:ascii="宋体" w:hAnsi="宋体" w:eastAsia="宋体" w:cs="宋体"/>
          <w:b/>
          <w:bCs/>
          <w:sz w:val="24"/>
          <w:highlight w:val="none"/>
        </w:rPr>
        <w:t>不符合法规和招标文件中规定的其他实质性要求的。</w:t>
      </w:r>
    </w:p>
    <w:p w14:paraId="294861ED">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b/>
          <w:highlight w:val="none"/>
          <w:u w:val="none"/>
        </w:rPr>
      </w:pPr>
      <w:bookmarkStart w:id="106" w:name="_Toc518923088"/>
      <w:bookmarkStart w:id="107" w:name="_Toc24965"/>
      <w:r>
        <w:rPr>
          <w:rFonts w:hint="eastAsia" w:ascii="宋体" w:hAnsi="宋体" w:eastAsia="宋体" w:cs="宋体"/>
          <w:b/>
          <w:highlight w:val="none"/>
          <w:u w:val="none"/>
        </w:rPr>
        <w:t>23</w:t>
      </w:r>
      <w:bookmarkEnd w:id="101"/>
      <w:r>
        <w:rPr>
          <w:rFonts w:hint="eastAsia" w:ascii="宋体" w:hAnsi="宋体" w:eastAsia="宋体" w:cs="宋体"/>
          <w:b/>
          <w:highlight w:val="none"/>
          <w:u w:val="none"/>
        </w:rPr>
        <w:t>.比较与评价</w:t>
      </w:r>
      <w:bookmarkEnd w:id="106"/>
      <w:bookmarkEnd w:id="107"/>
    </w:p>
    <w:p w14:paraId="2012890F">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23.1</w:t>
      </w:r>
      <w:r>
        <w:rPr>
          <w:rFonts w:hint="eastAsia" w:ascii="宋体" w:hAnsi="宋体" w:eastAsia="宋体" w:cs="宋体"/>
          <w:sz w:val="24"/>
          <w:highlight w:val="none"/>
        </w:rPr>
        <w:tab/>
      </w:r>
      <w:r>
        <w:rPr>
          <w:rFonts w:hint="eastAsia" w:ascii="宋体" w:hAnsi="宋体" w:eastAsia="宋体" w:cs="宋体"/>
          <w:sz w:val="24"/>
          <w:highlight w:val="none"/>
        </w:rPr>
        <w:t>经符合性审查合格的投标文件，评标委员会将根据招标文件确定的评标方法和标准，对其技术部分和商务部分作进一步的比较和评价。</w:t>
      </w:r>
    </w:p>
    <w:p w14:paraId="00C2F4F4">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23.</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ab/>
      </w:r>
      <w:r>
        <w:rPr>
          <w:rFonts w:hint="eastAsia" w:ascii="宋体" w:hAnsi="宋体" w:eastAsia="宋体" w:cs="宋体"/>
          <w:sz w:val="24"/>
          <w:highlight w:val="none"/>
        </w:rPr>
        <w:t>评标严格按照招标文件的要求和条件进行。根据实际情况，在</w:t>
      </w:r>
      <w:r>
        <w:rPr>
          <w:rFonts w:hint="eastAsia" w:ascii="宋体" w:hAnsi="宋体" w:eastAsia="宋体" w:cs="宋体"/>
          <w:sz w:val="24"/>
          <w:highlight w:val="none"/>
          <w:u w:val="single"/>
        </w:rPr>
        <w:t>投标人须知资料表</w:t>
      </w:r>
      <w:r>
        <w:rPr>
          <w:rFonts w:hint="eastAsia" w:ascii="宋体" w:hAnsi="宋体" w:eastAsia="宋体" w:cs="宋体"/>
          <w:sz w:val="24"/>
          <w:highlight w:val="none"/>
        </w:rPr>
        <w:t>中规定采用下列一种评标方法，详细评标标准见招标文件第六章：</w:t>
      </w:r>
    </w:p>
    <w:p w14:paraId="3F152F1B">
      <w:pPr>
        <w:pStyle w:val="17"/>
        <w:pageBreakBefore w:val="0"/>
        <w:widowControl w:val="0"/>
        <w:kinsoku/>
        <w:wordWrap/>
        <w:overflowPunct/>
        <w:topLinePunct w:val="0"/>
        <w:bidi w:val="0"/>
        <w:snapToGrid/>
        <w:spacing w:line="400" w:lineRule="exact"/>
        <w:ind w:left="899" w:leftChars="342" w:hanging="181"/>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 最低评标价法，是指投标文件满足招标文件全部实质性要求，且投标报价最低的投标人为中标候选人的评标方法。</w:t>
      </w:r>
    </w:p>
    <w:p w14:paraId="020D3320">
      <w:pPr>
        <w:pStyle w:val="17"/>
        <w:pageBreakBefore w:val="0"/>
        <w:widowControl w:val="0"/>
        <w:kinsoku/>
        <w:wordWrap/>
        <w:overflowPunct/>
        <w:topLinePunct w:val="0"/>
        <w:bidi w:val="0"/>
        <w:snapToGrid/>
        <w:spacing w:line="400" w:lineRule="exact"/>
        <w:ind w:left="898" w:leftChars="342" w:hanging="1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 综合评分法，是指投标文件满足招标文件全部实质性要求，且按照评审因素的量化指标评审得分最高的投标人为中标候选人的评标方法。</w:t>
      </w:r>
    </w:p>
    <w:p w14:paraId="74DBDBEF">
      <w:pPr>
        <w:pStyle w:val="17"/>
        <w:pageBreakBefore w:val="0"/>
        <w:widowControl w:val="0"/>
        <w:kinsoku/>
        <w:wordWrap/>
        <w:overflowPunct/>
        <w:topLinePunct w:val="0"/>
        <w:bidi w:val="0"/>
        <w:snapToGrid/>
        <w:spacing w:line="400" w:lineRule="exact"/>
        <w:ind w:left="898" w:leftChars="342" w:hanging="180"/>
        <w:textAlignment w:val="auto"/>
        <w:outlineLvl w:val="9"/>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i w:val="0"/>
          <w:iCs w:val="0"/>
          <w:color w:val="auto"/>
          <w:sz w:val="24"/>
          <w:szCs w:val="24"/>
          <w:highlight w:val="none"/>
          <w:u w:val="single"/>
        </w:rPr>
        <w:t>本项目采用招标方式：</w:t>
      </w:r>
      <w:r>
        <w:rPr>
          <w:rFonts w:hint="eastAsia" w:ascii="仿宋" w:hAnsi="仿宋" w:eastAsia="仿宋" w:cs="仿宋"/>
          <w:b/>
          <w:bCs/>
          <w:i w:val="0"/>
          <w:iCs w:val="0"/>
          <w:color w:val="auto"/>
          <w:sz w:val="24"/>
          <w:szCs w:val="24"/>
          <w:highlight w:val="none"/>
          <w:u w:val="single"/>
          <w:lang w:eastAsia="zh-CN"/>
        </w:rPr>
        <w:t>竞争性磋商</w:t>
      </w:r>
      <w:r>
        <w:rPr>
          <w:rFonts w:hint="eastAsia" w:ascii="仿宋" w:hAnsi="仿宋" w:eastAsia="仿宋" w:cs="仿宋"/>
          <w:b/>
          <w:bCs/>
          <w:i w:val="0"/>
          <w:iCs w:val="0"/>
          <w:color w:val="auto"/>
          <w:sz w:val="24"/>
          <w:szCs w:val="24"/>
          <w:highlight w:val="none"/>
          <w:u w:val="single"/>
        </w:rPr>
        <w:t>，评分方法：综合评分法</w:t>
      </w:r>
      <w:r>
        <w:rPr>
          <w:rFonts w:hint="eastAsia" w:ascii="仿宋" w:hAnsi="仿宋" w:eastAsia="仿宋" w:cs="仿宋"/>
          <w:b/>
          <w:bCs/>
          <w:i w:val="0"/>
          <w:iCs w:val="0"/>
          <w:color w:val="auto"/>
          <w:sz w:val="24"/>
          <w:szCs w:val="24"/>
          <w:highlight w:val="none"/>
          <w:u w:val="single"/>
          <w:lang w:eastAsia="zh-CN"/>
        </w:rPr>
        <w:t>。</w:t>
      </w:r>
    </w:p>
    <w:p w14:paraId="5AB660DD">
      <w:pPr>
        <w:pStyle w:val="30"/>
        <w:pageBreakBefore w:val="0"/>
        <w:widowControl w:val="0"/>
        <w:kinsoku/>
        <w:wordWrap/>
        <w:overflowPunct/>
        <w:topLinePunct w:val="0"/>
        <w:bidi w:val="0"/>
        <w:snapToGrid/>
        <w:spacing w:line="400" w:lineRule="exact"/>
        <w:textAlignment w:val="auto"/>
        <w:outlineLvl w:val="9"/>
        <w:rPr>
          <w:rFonts w:hint="eastAsia"/>
          <w:highlight w:val="none"/>
        </w:rPr>
      </w:pPr>
    </w:p>
    <w:p w14:paraId="0CC05BEE">
      <w:pPr>
        <w:pStyle w:val="17"/>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23.3</w:t>
      </w:r>
      <w:r>
        <w:rPr>
          <w:rFonts w:hint="eastAsia" w:ascii="宋体" w:hAnsi="宋体" w:eastAsia="宋体" w:cs="宋体"/>
          <w:sz w:val="24"/>
          <w:highlight w:val="none"/>
        </w:rPr>
        <w:tab/>
      </w:r>
      <w:r>
        <w:rPr>
          <w:rFonts w:hint="eastAsia" w:ascii="宋体" w:hAnsi="宋体" w:eastAsia="宋体" w:cs="宋体"/>
          <w:sz w:val="24"/>
          <w:szCs w:val="24"/>
          <w:highlight w:val="none"/>
        </w:rPr>
        <w:t>根据《政府采购促进中小企业发展暂行办法》（财库[2011]181号）、《三部门联合发布关于促进残疾人就业政府采购政策的通知》（</w:t>
      </w:r>
      <w:bookmarkStart w:id="108" w:name="sendNo"/>
      <w:r>
        <w:rPr>
          <w:rFonts w:hint="eastAsia" w:ascii="宋体" w:hAnsi="宋体" w:eastAsia="宋体" w:cs="宋体"/>
          <w:bCs/>
          <w:sz w:val="24"/>
          <w:szCs w:val="24"/>
          <w:highlight w:val="none"/>
        </w:rPr>
        <w:t>财库〔</w:t>
      </w:r>
      <w:bookmarkEnd w:id="108"/>
      <w:r>
        <w:rPr>
          <w:rFonts w:hint="eastAsia" w:ascii="宋体" w:hAnsi="宋体" w:eastAsia="宋体" w:cs="宋体"/>
          <w:bCs/>
          <w:sz w:val="24"/>
          <w:szCs w:val="24"/>
          <w:highlight w:val="none"/>
        </w:rPr>
        <w:t>2017〕141号</w:t>
      </w:r>
      <w:r>
        <w:rPr>
          <w:rFonts w:hint="eastAsia" w:ascii="宋体" w:hAnsi="宋体" w:eastAsia="宋体" w:cs="宋体"/>
          <w:sz w:val="24"/>
          <w:szCs w:val="24"/>
          <w:highlight w:val="none"/>
        </w:rPr>
        <w:t>）的规定，对满足价格扣除条件且在投标文件中提交了《投标人企业类型声明函》的投标人，其投标报价扣除6-10%后参与评审。具体办法详见招标文件第6章。</w:t>
      </w:r>
    </w:p>
    <w:p w14:paraId="34CB7875">
      <w:pPr>
        <w:pStyle w:val="26"/>
        <w:outlineLvl w:val="9"/>
        <w:rPr>
          <w:rFonts w:hint="eastAsia"/>
          <w:highlight w:val="none"/>
        </w:rPr>
      </w:pPr>
    </w:p>
    <w:p w14:paraId="7DE0E59D">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09" w:name="_Toc520356168"/>
      <w:bookmarkStart w:id="110" w:name="_Toc518923089"/>
      <w:bookmarkStart w:id="111" w:name="_Toc19206"/>
      <w:r>
        <w:rPr>
          <w:rFonts w:hint="eastAsia" w:ascii="宋体" w:hAnsi="宋体" w:eastAsia="宋体" w:cs="宋体"/>
          <w:highlight w:val="none"/>
          <w:u w:val="none"/>
        </w:rPr>
        <w:t>24</w:t>
      </w:r>
      <w:bookmarkEnd w:id="109"/>
      <w:r>
        <w:rPr>
          <w:rFonts w:hint="eastAsia" w:ascii="宋体" w:hAnsi="宋体" w:eastAsia="宋体" w:cs="宋体"/>
          <w:highlight w:val="none"/>
          <w:u w:val="none"/>
        </w:rPr>
        <w:t>.废标</w:t>
      </w:r>
      <w:bookmarkEnd w:id="110"/>
      <w:bookmarkEnd w:id="111"/>
    </w:p>
    <w:p w14:paraId="12EEE28F">
      <w:pPr>
        <w:pageBreakBefore w:val="0"/>
        <w:widowControl w:val="0"/>
        <w:kinsoku/>
        <w:wordWrap/>
        <w:overflowPunct/>
        <w:topLinePunct w:val="0"/>
        <w:bidi w:val="0"/>
        <w:snapToGrid/>
        <w:spacing w:line="400" w:lineRule="exact"/>
        <w:ind w:left="898" w:leftChars="399" w:hanging="60" w:hangingChars="2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出现下列情形之一，将导致项目废标： </w:t>
      </w:r>
    </w:p>
    <w:p w14:paraId="7BBCE23F">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b/>
          <w:bCs/>
          <w:sz w:val="24"/>
          <w:highlight w:val="none"/>
        </w:rPr>
      </w:pPr>
      <w:r>
        <w:rPr>
          <w:rFonts w:hint="eastAsia" w:ascii="宋体" w:hAnsi="宋体" w:eastAsia="宋体" w:cs="宋体"/>
          <w:sz w:val="24"/>
          <w:highlight w:val="none"/>
        </w:rPr>
        <w:tab/>
      </w:r>
      <w:r>
        <w:rPr>
          <w:rFonts w:hint="eastAsia" w:ascii="宋体" w:hAnsi="宋体" w:eastAsia="宋体" w:cs="宋体"/>
          <w:b/>
          <w:bCs/>
          <w:sz w:val="24"/>
          <w:highlight w:val="none"/>
        </w:rPr>
        <w:t>（1）符合专业条件的供应商或者对招标文件做实质性响应的供应商不足三家；</w:t>
      </w:r>
    </w:p>
    <w:p w14:paraId="592BDAD4">
      <w:pPr>
        <w:pageBreakBefore w:val="0"/>
        <w:widowControl w:val="0"/>
        <w:kinsoku/>
        <w:wordWrap/>
        <w:overflowPunct/>
        <w:topLinePunct w:val="0"/>
        <w:bidi w:val="0"/>
        <w:snapToGrid/>
        <w:spacing w:line="400" w:lineRule="exact"/>
        <w:ind w:left="900" w:hanging="904" w:hangingChars="375"/>
        <w:textAlignment w:val="auto"/>
        <w:outlineLvl w:val="9"/>
        <w:rPr>
          <w:rFonts w:hint="eastAsia" w:ascii="宋体" w:hAnsi="宋体" w:eastAsia="宋体" w:cs="宋体"/>
          <w:b/>
          <w:bCs/>
          <w:sz w:val="24"/>
          <w:highlight w:val="none"/>
        </w:rPr>
      </w:pPr>
      <w:r>
        <w:rPr>
          <w:rFonts w:hint="eastAsia" w:ascii="宋体" w:hAnsi="宋体" w:eastAsia="宋体" w:cs="宋体"/>
          <w:b/>
          <w:bCs/>
          <w:sz w:val="24"/>
          <w:highlight w:val="none"/>
        </w:rPr>
        <w:tab/>
      </w:r>
      <w:r>
        <w:rPr>
          <w:rFonts w:hint="eastAsia" w:ascii="宋体" w:hAnsi="宋体" w:eastAsia="宋体" w:cs="宋体"/>
          <w:b/>
          <w:bCs/>
          <w:sz w:val="24"/>
          <w:highlight w:val="none"/>
        </w:rPr>
        <w:t>（2）出现影响采购公正的违法、违规行为的；</w:t>
      </w:r>
    </w:p>
    <w:p w14:paraId="5E0C98AC">
      <w:pPr>
        <w:pageBreakBefore w:val="0"/>
        <w:widowControl w:val="0"/>
        <w:kinsoku/>
        <w:wordWrap/>
        <w:overflowPunct/>
        <w:topLinePunct w:val="0"/>
        <w:bidi w:val="0"/>
        <w:snapToGrid/>
        <w:spacing w:line="400" w:lineRule="exact"/>
        <w:ind w:firstLine="843" w:firstLineChars="350"/>
        <w:textAlignment w:val="auto"/>
        <w:outlineLvl w:val="9"/>
        <w:rPr>
          <w:rFonts w:hint="eastAsia" w:ascii="宋体" w:hAnsi="宋体" w:eastAsia="宋体" w:cs="宋体"/>
          <w:b/>
          <w:bCs/>
          <w:sz w:val="24"/>
          <w:highlight w:val="none"/>
        </w:rPr>
      </w:pPr>
      <w:r>
        <w:rPr>
          <w:rFonts w:hint="eastAsia" w:ascii="宋体" w:hAnsi="宋体" w:eastAsia="宋体" w:cs="宋体"/>
          <w:b/>
          <w:bCs/>
          <w:sz w:val="24"/>
          <w:highlight w:val="none"/>
        </w:rPr>
        <w:t>（3）投标人的报价均超过了采购预算，采购人不能支付的；</w:t>
      </w:r>
    </w:p>
    <w:p w14:paraId="60272938">
      <w:pPr>
        <w:pageBreakBefore w:val="0"/>
        <w:widowControl w:val="0"/>
        <w:kinsoku/>
        <w:wordWrap/>
        <w:overflowPunct/>
        <w:topLinePunct w:val="0"/>
        <w:bidi w:val="0"/>
        <w:snapToGrid/>
        <w:spacing w:line="400" w:lineRule="exact"/>
        <w:ind w:firstLine="843" w:firstLineChars="350"/>
        <w:textAlignment w:val="auto"/>
        <w:outlineLvl w:val="9"/>
        <w:rPr>
          <w:rFonts w:hint="eastAsia" w:ascii="宋体" w:hAnsi="宋体" w:eastAsia="宋体" w:cs="宋体"/>
          <w:sz w:val="24"/>
          <w:highlight w:val="none"/>
        </w:rPr>
      </w:pPr>
      <w:r>
        <w:rPr>
          <w:rFonts w:hint="eastAsia" w:ascii="宋体" w:hAnsi="宋体" w:eastAsia="宋体" w:cs="宋体"/>
          <w:b/>
          <w:bCs/>
          <w:sz w:val="24"/>
          <w:highlight w:val="none"/>
        </w:rPr>
        <w:t>（4）因重大变故，采购任务取消的</w:t>
      </w:r>
      <w:r>
        <w:rPr>
          <w:rFonts w:hint="eastAsia" w:ascii="宋体" w:hAnsi="宋体" w:eastAsia="宋体" w:cs="宋体"/>
          <w:sz w:val="24"/>
          <w:highlight w:val="none"/>
        </w:rPr>
        <w:t xml:space="preserve">。   </w:t>
      </w:r>
    </w:p>
    <w:p w14:paraId="1615940C">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12" w:name="_Toc518923090"/>
      <w:bookmarkStart w:id="113" w:name="_Toc712"/>
      <w:bookmarkStart w:id="114" w:name="_Toc520356169"/>
      <w:r>
        <w:rPr>
          <w:rFonts w:hint="eastAsia" w:ascii="宋体" w:hAnsi="宋体" w:eastAsia="宋体" w:cs="宋体"/>
          <w:highlight w:val="none"/>
          <w:u w:val="none"/>
        </w:rPr>
        <w:t>25.保密原则</w:t>
      </w:r>
      <w:bookmarkEnd w:id="112"/>
      <w:bookmarkEnd w:id="113"/>
    </w:p>
    <w:p w14:paraId="325ECF1A">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25.1</w:t>
      </w:r>
      <w:r>
        <w:rPr>
          <w:rFonts w:hint="eastAsia" w:ascii="宋体" w:hAnsi="宋体" w:eastAsia="宋体" w:cs="宋体"/>
          <w:sz w:val="24"/>
          <w:highlight w:val="none"/>
        </w:rPr>
        <w:tab/>
      </w:r>
      <w:r>
        <w:rPr>
          <w:rFonts w:hint="eastAsia" w:ascii="宋体" w:hAnsi="宋体" w:eastAsia="宋体" w:cs="宋体"/>
          <w:sz w:val="24"/>
          <w:highlight w:val="none"/>
        </w:rPr>
        <w:t>评标将在严格保密的情况下进行。</w:t>
      </w:r>
    </w:p>
    <w:p w14:paraId="74E5C212">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25.2</w:t>
      </w:r>
      <w:r>
        <w:rPr>
          <w:rFonts w:hint="eastAsia" w:ascii="宋体" w:hAnsi="宋体" w:eastAsia="宋体" w:cs="宋体"/>
          <w:sz w:val="24"/>
          <w:highlight w:val="none"/>
        </w:rPr>
        <w:tab/>
      </w:r>
      <w:r>
        <w:rPr>
          <w:rFonts w:hint="eastAsia" w:ascii="宋体" w:hAnsi="宋体" w:eastAsia="宋体" w:cs="宋体"/>
          <w:sz w:val="24"/>
          <w:highlight w:val="none"/>
        </w:rPr>
        <w:t>政府采购评审专家应当遵守评审工作纪律，不得泄露评审文件、评审情况和评审中获悉的商业秘密。</w:t>
      </w:r>
    </w:p>
    <w:p w14:paraId="7A7759E8">
      <w:pPr>
        <w:spacing w:line="240" w:lineRule="auto"/>
        <w:ind w:left="1080" w:leftChars="257" w:hanging="540"/>
        <w:outlineLvl w:val="9"/>
        <w:rPr>
          <w:rFonts w:hint="eastAsia" w:ascii="宋体" w:hAnsi="宋体" w:eastAsia="宋体" w:cs="宋体"/>
          <w:sz w:val="24"/>
          <w:highlight w:val="none"/>
        </w:rPr>
      </w:pPr>
    </w:p>
    <w:p w14:paraId="5B4098DD">
      <w:pPr>
        <w:pStyle w:val="57"/>
        <w:outlineLvl w:val="9"/>
        <w:rPr>
          <w:rFonts w:hint="eastAsia"/>
          <w:highlight w:val="none"/>
        </w:rPr>
      </w:pPr>
    </w:p>
    <w:p w14:paraId="698E1CF7">
      <w:pPr>
        <w:spacing w:before="0" w:line="240" w:lineRule="auto"/>
        <w:ind w:left="1080" w:leftChars="257" w:hanging="540"/>
        <w:outlineLvl w:val="1"/>
        <w:rPr>
          <w:rFonts w:hint="eastAsia" w:ascii="宋体" w:hAnsi="宋体" w:eastAsia="宋体" w:cs="宋体"/>
          <w:sz w:val="24"/>
          <w:highlight w:val="none"/>
        </w:rPr>
      </w:pPr>
      <w:bookmarkStart w:id="115" w:name="_Toc28033"/>
      <w:bookmarkStart w:id="116" w:name="_Toc23200"/>
      <w:bookmarkStart w:id="117" w:name="_Toc216582810"/>
      <w:bookmarkStart w:id="118" w:name="_Toc518923091"/>
      <w:r>
        <w:rPr>
          <w:rFonts w:hint="eastAsia" w:ascii="宋体" w:hAnsi="宋体" w:eastAsia="宋体" w:cs="宋体"/>
          <w:sz w:val="24"/>
          <w:highlight w:val="none"/>
        </w:rPr>
        <w:t xml:space="preserve">六   </w:t>
      </w:r>
      <w:bookmarkEnd w:id="114"/>
      <w:r>
        <w:rPr>
          <w:rFonts w:hint="eastAsia" w:ascii="宋体" w:hAnsi="宋体" w:eastAsia="宋体" w:cs="宋体"/>
          <w:sz w:val="24"/>
          <w:highlight w:val="none"/>
        </w:rPr>
        <w:t>确定中标</w:t>
      </w:r>
      <w:bookmarkEnd w:id="115"/>
      <w:bookmarkEnd w:id="116"/>
      <w:bookmarkEnd w:id="117"/>
      <w:bookmarkEnd w:id="118"/>
    </w:p>
    <w:p w14:paraId="437B5B64">
      <w:pPr>
        <w:outlineLvl w:val="9"/>
        <w:rPr>
          <w:rFonts w:hint="eastAsia"/>
          <w:highlight w:val="none"/>
        </w:rPr>
      </w:pPr>
    </w:p>
    <w:p w14:paraId="5B96BB7B">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19" w:name="_Toc518923092"/>
      <w:bookmarkStart w:id="120" w:name="_Toc496"/>
      <w:bookmarkStart w:id="121" w:name="_Toc520356170"/>
      <w:bookmarkStart w:id="122" w:name="_Ref467307010"/>
      <w:r>
        <w:rPr>
          <w:rFonts w:hint="eastAsia" w:ascii="宋体" w:hAnsi="宋体" w:eastAsia="宋体" w:cs="宋体"/>
          <w:highlight w:val="none"/>
          <w:u w:val="none"/>
        </w:rPr>
        <w:t>26.中标候选人的确定原则及标准</w:t>
      </w:r>
      <w:bookmarkEnd w:id="119"/>
      <w:bookmarkEnd w:id="120"/>
      <w:bookmarkEnd w:id="121"/>
      <w:bookmarkEnd w:id="122"/>
    </w:p>
    <w:p w14:paraId="0BDEDD14">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ab/>
      </w:r>
      <w:r>
        <w:rPr>
          <w:rFonts w:hint="eastAsia" w:ascii="宋体" w:hAnsi="宋体" w:eastAsia="宋体" w:cs="宋体"/>
          <w:sz w:val="24"/>
          <w:highlight w:val="none"/>
        </w:rPr>
        <w:t>除第28条规定外，对实质上响应招标文件的投标人按下列方法进行排序，确定中标候选人：</w:t>
      </w:r>
    </w:p>
    <w:p w14:paraId="7EBC8CE0">
      <w:pPr>
        <w:pageBreakBefore w:val="0"/>
        <w:widowControl w:val="0"/>
        <w:kinsoku/>
        <w:wordWrap/>
        <w:overflowPunct/>
        <w:topLinePunct w:val="0"/>
        <w:bidi w:val="0"/>
        <w:snapToGrid/>
        <w:spacing w:line="400" w:lineRule="exact"/>
        <w:ind w:left="901"/>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19138598">
      <w:pPr>
        <w:pageBreakBefore w:val="0"/>
        <w:widowControl w:val="0"/>
        <w:kinsoku/>
        <w:wordWrap/>
        <w:overflowPunct/>
        <w:topLinePunct w:val="0"/>
        <w:bidi w:val="0"/>
        <w:snapToGrid/>
        <w:spacing w:line="400" w:lineRule="exact"/>
        <w:ind w:left="901"/>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5E2CE0CF">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23" w:name="_Toc520356171"/>
      <w:bookmarkStart w:id="124" w:name="_Toc15081"/>
      <w:bookmarkStart w:id="125" w:name="_Toc518923093"/>
      <w:r>
        <w:rPr>
          <w:rFonts w:hint="eastAsia" w:ascii="宋体" w:hAnsi="宋体" w:eastAsia="宋体" w:cs="宋体"/>
          <w:highlight w:val="none"/>
          <w:u w:val="none"/>
        </w:rPr>
        <w:t>27</w:t>
      </w:r>
      <w:bookmarkEnd w:id="123"/>
      <w:r>
        <w:rPr>
          <w:rFonts w:hint="eastAsia" w:ascii="宋体" w:hAnsi="宋体" w:eastAsia="宋体" w:cs="宋体"/>
          <w:highlight w:val="none"/>
          <w:u w:val="none"/>
        </w:rPr>
        <w:t>.确定中标候选人和中标人</w:t>
      </w:r>
      <w:bookmarkEnd w:id="124"/>
      <w:bookmarkEnd w:id="125"/>
    </w:p>
    <w:p w14:paraId="015EED4E">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ab/>
      </w:r>
      <w:r>
        <w:rPr>
          <w:rFonts w:hint="eastAsia" w:ascii="宋体" w:hAnsi="宋体" w:eastAsia="宋体" w:cs="宋体"/>
          <w:sz w:val="24"/>
          <w:highlight w:val="none"/>
        </w:rPr>
        <w:t>评标委员会将根据评标标准，按</w:t>
      </w:r>
      <w:r>
        <w:rPr>
          <w:rFonts w:hint="eastAsia" w:ascii="宋体" w:hAnsi="宋体" w:eastAsia="宋体" w:cs="宋体"/>
          <w:sz w:val="24"/>
          <w:highlight w:val="none"/>
          <w:u w:val="single"/>
        </w:rPr>
        <w:t>投标人须知资料表中</w:t>
      </w:r>
      <w:r>
        <w:rPr>
          <w:rFonts w:hint="eastAsia" w:ascii="宋体" w:hAnsi="宋体" w:eastAsia="宋体" w:cs="宋体"/>
          <w:sz w:val="24"/>
          <w:highlight w:val="none"/>
        </w:rPr>
        <w:t>规定数量推荐中标候选人；或根据采购人的委托，直接确定中标人。</w:t>
      </w:r>
    </w:p>
    <w:p w14:paraId="5F7479B8">
      <w:pPr>
        <w:pageBreakBefore w:val="0"/>
        <w:widowControl w:val="0"/>
        <w:tabs>
          <w:tab w:val="left" w:pos="900"/>
        </w:tabs>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26" w:name="_Toc520356173"/>
      <w:bookmarkStart w:id="127" w:name="_Ref467306874"/>
      <w:bookmarkStart w:id="128" w:name="_Toc4341"/>
      <w:bookmarkStart w:id="129" w:name="_Toc518923094"/>
      <w:r>
        <w:rPr>
          <w:rFonts w:hint="eastAsia" w:ascii="宋体" w:hAnsi="宋体" w:eastAsia="宋体" w:cs="宋体"/>
          <w:highlight w:val="none"/>
          <w:u w:val="none"/>
        </w:rPr>
        <w:t>28</w:t>
      </w:r>
      <w:bookmarkEnd w:id="126"/>
      <w:bookmarkEnd w:id="127"/>
      <w:r>
        <w:rPr>
          <w:rFonts w:hint="eastAsia" w:ascii="宋体" w:hAnsi="宋体" w:eastAsia="宋体" w:cs="宋体"/>
          <w:highlight w:val="none"/>
          <w:u w:val="none"/>
        </w:rPr>
        <w:t>.采购任务取消</w:t>
      </w:r>
      <w:bookmarkEnd w:id="128"/>
      <w:bookmarkEnd w:id="129"/>
    </w:p>
    <w:p w14:paraId="5EAD07C0">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ab/>
      </w:r>
      <w:r>
        <w:rPr>
          <w:rFonts w:hint="eastAsia" w:ascii="宋体" w:hAnsi="宋体" w:eastAsia="宋体" w:cs="宋体"/>
          <w:sz w:val="24"/>
          <w:highlight w:val="none"/>
        </w:rPr>
        <w:t>因重大变故采购任务取消时，采购人有权拒绝任何投标人中标，且对受影响的投标人不承担任何责任。</w:t>
      </w:r>
      <w:bookmarkStart w:id="130" w:name="_Toc520356174"/>
    </w:p>
    <w:p w14:paraId="3849B1D5">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31" w:name="_Toc8918"/>
      <w:bookmarkStart w:id="132" w:name="_Toc518923095"/>
      <w:r>
        <w:rPr>
          <w:rFonts w:hint="eastAsia" w:ascii="宋体" w:hAnsi="宋体" w:eastAsia="宋体" w:cs="宋体"/>
          <w:highlight w:val="none"/>
          <w:u w:val="none"/>
        </w:rPr>
        <w:t>29.中标通知书</w:t>
      </w:r>
      <w:bookmarkEnd w:id="130"/>
      <w:r>
        <w:rPr>
          <w:rFonts w:hint="eastAsia" w:ascii="宋体" w:hAnsi="宋体" w:eastAsia="宋体" w:cs="宋体"/>
          <w:highlight w:val="none"/>
          <w:u w:val="none"/>
        </w:rPr>
        <w:t>和招标结果通知书</w:t>
      </w:r>
      <w:bookmarkEnd w:id="131"/>
      <w:bookmarkEnd w:id="132"/>
    </w:p>
    <w:p w14:paraId="06C5BAC8">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29.1</w:t>
      </w:r>
      <w:r>
        <w:rPr>
          <w:rFonts w:hint="eastAsia" w:ascii="宋体" w:hAnsi="宋体" w:eastAsia="宋体" w:cs="宋体"/>
          <w:sz w:val="24"/>
          <w:highlight w:val="none"/>
        </w:rPr>
        <w:tab/>
      </w:r>
      <w:r>
        <w:rPr>
          <w:rFonts w:hint="eastAsia" w:ascii="宋体" w:hAnsi="宋体" w:eastAsia="宋体" w:cs="宋体"/>
          <w:sz w:val="24"/>
          <w:highlight w:val="none"/>
        </w:rPr>
        <w:t>在投标有效期内，中标人确定后，采购人或者采购代理机构发布中标公告，同时以书面形式向中标人发出中标通知书；</w:t>
      </w:r>
    </w:p>
    <w:p w14:paraId="1FB36C7B">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29.2</w:t>
      </w:r>
      <w:r>
        <w:rPr>
          <w:rFonts w:hint="eastAsia" w:ascii="宋体" w:hAnsi="宋体" w:eastAsia="宋体" w:cs="宋体"/>
          <w:sz w:val="24"/>
          <w:highlight w:val="none"/>
        </w:rPr>
        <w:tab/>
      </w:r>
      <w:r>
        <w:rPr>
          <w:rFonts w:hint="eastAsia" w:ascii="宋体" w:hAnsi="宋体" w:eastAsia="宋体" w:cs="宋体"/>
          <w:sz w:val="24"/>
          <w:highlight w:val="none"/>
        </w:rPr>
        <w:t>中标通知书是合同的组成部分；</w:t>
      </w:r>
    </w:p>
    <w:p w14:paraId="19B18BA7">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33" w:name="_Ref467306377"/>
      <w:bookmarkStart w:id="134" w:name="_Toc518923096"/>
      <w:bookmarkStart w:id="135" w:name="_Ref467307062"/>
      <w:bookmarkStart w:id="136" w:name="_Toc11350"/>
      <w:bookmarkStart w:id="137" w:name="_Ref467306978"/>
      <w:bookmarkStart w:id="138" w:name="_Ref467307204"/>
      <w:bookmarkStart w:id="139" w:name="_Toc520356175"/>
      <w:r>
        <w:rPr>
          <w:rFonts w:hint="eastAsia" w:ascii="宋体" w:hAnsi="宋体" w:eastAsia="宋体" w:cs="宋体"/>
          <w:highlight w:val="none"/>
          <w:u w:val="none"/>
        </w:rPr>
        <w:t>30.签订合同</w:t>
      </w:r>
      <w:bookmarkEnd w:id="133"/>
      <w:bookmarkEnd w:id="134"/>
      <w:bookmarkEnd w:id="135"/>
      <w:bookmarkEnd w:id="136"/>
      <w:bookmarkEnd w:id="137"/>
      <w:bookmarkEnd w:id="138"/>
      <w:bookmarkEnd w:id="139"/>
    </w:p>
    <w:p w14:paraId="6D77EF22">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30.1</w:t>
      </w:r>
      <w:r>
        <w:rPr>
          <w:rFonts w:hint="eastAsia" w:ascii="宋体" w:hAnsi="宋体" w:eastAsia="宋体" w:cs="宋体"/>
          <w:sz w:val="24"/>
          <w:highlight w:val="none"/>
        </w:rPr>
        <w:tab/>
      </w:r>
      <w:r>
        <w:rPr>
          <w:rFonts w:hint="eastAsia" w:ascii="宋体" w:hAnsi="宋体" w:eastAsia="宋体" w:cs="宋体"/>
          <w:sz w:val="24"/>
          <w:highlight w:val="none"/>
        </w:rPr>
        <w:t>中标人应当自发出中标通知书之日起30日内，与采购人签订合同。</w:t>
      </w:r>
    </w:p>
    <w:p w14:paraId="666C588D">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30.2</w:t>
      </w:r>
      <w:r>
        <w:rPr>
          <w:rFonts w:hint="eastAsia" w:ascii="宋体" w:hAnsi="宋体" w:eastAsia="宋体" w:cs="宋体"/>
          <w:sz w:val="24"/>
          <w:highlight w:val="none"/>
        </w:rPr>
        <w:tab/>
      </w:r>
      <w:bookmarkStart w:id="140" w:name="_Toc520356176"/>
      <w:bookmarkStart w:id="141" w:name="_Ref467307090"/>
      <w:bookmarkStart w:id="142" w:name="_Ref467306425"/>
      <w:r>
        <w:rPr>
          <w:rFonts w:hint="eastAsia" w:ascii="宋体" w:hAnsi="宋体" w:eastAsia="宋体" w:cs="宋体"/>
          <w:sz w:val="24"/>
          <w:highlight w:val="none"/>
        </w:rPr>
        <w:t>招标文件、中标人的投标文件及其澄清文件等，均为签订合同的依据。</w:t>
      </w:r>
    </w:p>
    <w:p w14:paraId="3C1A1A66">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30.3</w:t>
      </w:r>
      <w:r>
        <w:rPr>
          <w:rFonts w:hint="eastAsia" w:ascii="宋体" w:hAnsi="宋体" w:eastAsia="宋体" w:cs="宋体"/>
          <w:sz w:val="24"/>
          <w:highlight w:val="none"/>
        </w:rPr>
        <w:tab/>
      </w:r>
      <w:r>
        <w:rPr>
          <w:rFonts w:hint="eastAsia" w:ascii="宋体" w:hAnsi="宋体" w:eastAsia="宋体" w:cs="宋体"/>
          <w:sz w:val="24"/>
          <w:highlight w:val="none"/>
        </w:rPr>
        <w:t>中标人拒绝与采购人签订合同的，采购人可以按照评审报告推荐的中标候选人名单排序，确定下一中标候选人为中标人，也可以重新开展政府采购活动。</w:t>
      </w:r>
    </w:p>
    <w:p w14:paraId="3BAAC209">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30.4</w:t>
      </w:r>
      <w:r>
        <w:rPr>
          <w:rFonts w:hint="eastAsia" w:ascii="宋体" w:hAnsi="宋体" w:eastAsia="宋体" w:cs="宋体"/>
          <w:sz w:val="24"/>
          <w:highlight w:val="none"/>
        </w:rPr>
        <w:tab/>
      </w:r>
      <w:r>
        <w:rPr>
          <w:rFonts w:hint="eastAsia" w:ascii="宋体" w:hAnsi="宋体" w:eastAsia="宋体" w:cs="宋体"/>
          <w:sz w:val="24"/>
          <w:highlight w:val="none"/>
        </w:rPr>
        <w:t>当出现法规规定的</w:t>
      </w:r>
      <w:r>
        <w:rPr>
          <w:rFonts w:hint="eastAsia" w:ascii="宋体" w:hAnsi="宋体" w:eastAsia="宋体" w:cs="宋体"/>
          <w:b/>
          <w:sz w:val="24"/>
          <w:highlight w:val="none"/>
        </w:rPr>
        <w:t>中标无效或中标结果无效</w:t>
      </w:r>
      <w:r>
        <w:rPr>
          <w:rFonts w:hint="eastAsia" w:ascii="宋体" w:hAnsi="宋体" w:eastAsia="宋体" w:cs="宋体"/>
          <w:sz w:val="24"/>
          <w:highlight w:val="none"/>
        </w:rPr>
        <w:t>情形时，采购人可与排名下一位的中标候选人另行签订合同，或依法重新开展采购活动。</w:t>
      </w:r>
    </w:p>
    <w:p w14:paraId="7687AC78">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43" w:name="_Toc8419"/>
      <w:bookmarkStart w:id="144" w:name="_Toc518923097"/>
      <w:r>
        <w:rPr>
          <w:rFonts w:hint="eastAsia" w:ascii="宋体" w:hAnsi="宋体" w:eastAsia="宋体" w:cs="宋体"/>
          <w:highlight w:val="none"/>
          <w:u w:val="none"/>
        </w:rPr>
        <w:t>31.履约保证金</w:t>
      </w:r>
      <w:bookmarkEnd w:id="140"/>
      <w:bookmarkEnd w:id="141"/>
      <w:bookmarkEnd w:id="142"/>
      <w:bookmarkEnd w:id="143"/>
      <w:bookmarkEnd w:id="144"/>
    </w:p>
    <w:p w14:paraId="0E01A6F4">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31.1</w:t>
      </w:r>
      <w:r>
        <w:rPr>
          <w:rFonts w:hint="eastAsia" w:ascii="宋体" w:hAnsi="宋体" w:eastAsia="宋体" w:cs="宋体"/>
          <w:sz w:val="24"/>
          <w:highlight w:val="none"/>
        </w:rPr>
        <w:tab/>
      </w:r>
      <w:r>
        <w:rPr>
          <w:rFonts w:hint="eastAsia" w:ascii="宋体" w:hAnsi="宋体" w:eastAsia="宋体" w:cs="宋体"/>
          <w:sz w:val="24"/>
          <w:highlight w:val="none"/>
        </w:rPr>
        <w:t>中标人应按照</w:t>
      </w:r>
      <w:r>
        <w:rPr>
          <w:rFonts w:hint="eastAsia" w:ascii="宋体" w:hAnsi="宋体" w:eastAsia="宋体" w:cs="宋体"/>
          <w:sz w:val="24"/>
          <w:highlight w:val="none"/>
          <w:u w:val="single"/>
        </w:rPr>
        <w:t>投标人须知资料表</w:t>
      </w:r>
      <w:r>
        <w:rPr>
          <w:rFonts w:hint="eastAsia" w:ascii="宋体" w:hAnsi="宋体" w:eastAsia="宋体" w:cs="宋体"/>
          <w:sz w:val="24"/>
          <w:highlight w:val="none"/>
        </w:rPr>
        <w:t>规定向采购人缴纳履约保证金（如采用保函形式，格式见本章附件1）。</w:t>
      </w:r>
    </w:p>
    <w:p w14:paraId="531E7E72">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31.2</w:t>
      </w:r>
      <w:r>
        <w:rPr>
          <w:rFonts w:hint="eastAsia" w:ascii="宋体" w:hAnsi="宋体" w:eastAsia="宋体" w:cs="宋体"/>
          <w:sz w:val="24"/>
          <w:highlight w:val="none"/>
        </w:rPr>
        <w:tab/>
      </w:r>
      <w:r>
        <w:rPr>
          <w:rFonts w:hint="eastAsia" w:ascii="宋体" w:hAnsi="宋体" w:eastAsia="宋体" w:cs="宋体"/>
          <w:sz w:val="24"/>
          <w:highlight w:val="none"/>
        </w:rPr>
        <w:t>政府采购利用担保试点范围内的项目，除31.1规定的情形外，中标人也可以按照财政部门的规定，向采购人提供合格的履约担保函（格式见本章附件2）。</w:t>
      </w:r>
    </w:p>
    <w:p w14:paraId="02A6A78B">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31.3</w:t>
      </w:r>
      <w:r>
        <w:rPr>
          <w:rFonts w:hint="eastAsia" w:ascii="宋体" w:hAnsi="宋体" w:eastAsia="宋体" w:cs="宋体"/>
          <w:sz w:val="24"/>
          <w:highlight w:val="none"/>
        </w:rPr>
        <w:tab/>
      </w:r>
      <w:r>
        <w:rPr>
          <w:rFonts w:hint="eastAsia" w:ascii="宋体" w:hAnsi="宋体" w:eastAsia="宋体" w:cs="宋体"/>
          <w:sz w:val="24"/>
          <w:highlight w:val="none"/>
        </w:rPr>
        <w:t>如果中标人没有按照上述履约保证金的规定执行，将视为放弃中标资格，中标人的投标保证金将不予退还。在此情况下，采购人可确定下一候选人为中标人，也可以重新开展采购活动。</w:t>
      </w:r>
    </w:p>
    <w:p w14:paraId="25062F80">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45" w:name="_Toc25796"/>
      <w:bookmarkStart w:id="146" w:name="_Toc518923098"/>
      <w:r>
        <w:rPr>
          <w:rFonts w:hint="eastAsia" w:ascii="宋体" w:hAnsi="宋体" w:eastAsia="宋体" w:cs="宋体"/>
          <w:highlight w:val="none"/>
          <w:u w:val="none"/>
        </w:rPr>
        <w:t>32.中标服务费</w:t>
      </w:r>
      <w:bookmarkEnd w:id="145"/>
      <w:bookmarkEnd w:id="146"/>
    </w:p>
    <w:p w14:paraId="7EF8F8DF">
      <w:pPr>
        <w:pageBreakBefore w:val="0"/>
        <w:widowControl w:val="0"/>
        <w:kinsoku/>
        <w:wordWrap/>
        <w:overflowPunct/>
        <w:topLinePunct w:val="0"/>
        <w:bidi w:val="0"/>
        <w:snapToGrid/>
        <w:spacing w:line="400" w:lineRule="exact"/>
        <w:ind w:left="840" w:leftChars="200" w:hanging="420" w:hangingChars="1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ab/>
      </w:r>
      <w:r>
        <w:rPr>
          <w:rFonts w:hint="eastAsia" w:ascii="宋体" w:hAnsi="宋体" w:eastAsia="宋体" w:cs="宋体"/>
          <w:sz w:val="24"/>
          <w:highlight w:val="none"/>
        </w:rPr>
        <w:t>中标人须按照</w:t>
      </w:r>
      <w:r>
        <w:rPr>
          <w:rFonts w:hint="eastAsia" w:ascii="宋体" w:hAnsi="宋体" w:eastAsia="宋体" w:cs="宋体"/>
          <w:sz w:val="24"/>
          <w:highlight w:val="none"/>
          <w:u w:val="single"/>
        </w:rPr>
        <w:t>投标须知资料表</w:t>
      </w:r>
      <w:r>
        <w:rPr>
          <w:rFonts w:hint="eastAsia" w:ascii="宋体" w:hAnsi="宋体" w:eastAsia="宋体" w:cs="宋体"/>
          <w:sz w:val="24"/>
          <w:highlight w:val="none"/>
        </w:rPr>
        <w:t>规定，向采购代理机构支付中标服务费。</w:t>
      </w:r>
    </w:p>
    <w:p w14:paraId="0CDCADC2">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47" w:name="_Toc9086"/>
      <w:bookmarkStart w:id="148" w:name="_Toc518923099"/>
      <w:r>
        <w:rPr>
          <w:rFonts w:hint="eastAsia" w:ascii="宋体" w:hAnsi="宋体" w:eastAsia="宋体" w:cs="宋体"/>
          <w:highlight w:val="none"/>
          <w:u w:val="none"/>
        </w:rPr>
        <w:t>33.政府采购信用担保</w:t>
      </w:r>
      <w:bookmarkEnd w:id="147"/>
      <w:bookmarkEnd w:id="148"/>
    </w:p>
    <w:p w14:paraId="256CDB9F">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33.1</w:t>
      </w:r>
      <w:r>
        <w:rPr>
          <w:rFonts w:hint="eastAsia" w:ascii="宋体" w:hAnsi="宋体" w:eastAsia="宋体" w:cs="宋体"/>
          <w:sz w:val="24"/>
          <w:highlight w:val="none"/>
        </w:rPr>
        <w:tab/>
      </w:r>
      <w:r>
        <w:rPr>
          <w:rFonts w:hint="eastAsia" w:ascii="宋体" w:hAnsi="宋体" w:eastAsia="宋体" w:cs="宋体"/>
          <w:sz w:val="24"/>
          <w:highlight w:val="none"/>
        </w:rPr>
        <w:t>本项目是否属于信用担保试点范围见</w:t>
      </w:r>
      <w:r>
        <w:rPr>
          <w:rFonts w:hint="eastAsia" w:ascii="宋体" w:hAnsi="宋体" w:eastAsia="宋体" w:cs="宋体"/>
          <w:sz w:val="24"/>
          <w:highlight w:val="none"/>
          <w:u w:val="single"/>
        </w:rPr>
        <w:t>投标人须知资料表</w:t>
      </w:r>
      <w:r>
        <w:rPr>
          <w:rFonts w:hint="eastAsia" w:ascii="宋体" w:hAnsi="宋体" w:eastAsia="宋体" w:cs="宋体"/>
          <w:sz w:val="24"/>
          <w:highlight w:val="none"/>
        </w:rPr>
        <w:t>。</w:t>
      </w:r>
    </w:p>
    <w:p w14:paraId="32CBA852">
      <w:pPr>
        <w:pageBreakBefore w:val="0"/>
        <w:widowControl w:val="0"/>
        <w:kinsoku/>
        <w:wordWrap/>
        <w:overflowPunct/>
        <w:topLinePunct w:val="0"/>
        <w:bidi w:val="0"/>
        <w:snapToGrid/>
        <w:spacing w:line="400" w:lineRule="exact"/>
        <w:ind w:left="850" w:hanging="849" w:hangingChars="354"/>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33.2</w:t>
      </w:r>
      <w:r>
        <w:rPr>
          <w:rFonts w:hint="eastAsia" w:ascii="宋体" w:hAnsi="宋体" w:eastAsia="宋体" w:cs="宋体"/>
          <w:sz w:val="24"/>
          <w:highlight w:val="none"/>
        </w:rPr>
        <w:tab/>
      </w:r>
      <w:r>
        <w:rPr>
          <w:rFonts w:hint="eastAsia" w:ascii="宋体" w:hAnsi="宋体" w:eastAsia="宋体" w:cs="宋体"/>
          <w:sz w:val="24"/>
          <w:highlight w:val="none"/>
        </w:rPr>
        <w:t>如属于政府采购信用担保试点范围内，中小型企业投标人可以自由按照财政部门的规定，采用投标担保、履约担保和融资担保。</w:t>
      </w:r>
    </w:p>
    <w:p w14:paraId="6EB18C5A">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33.2.1</w:t>
      </w:r>
      <w:r>
        <w:rPr>
          <w:rFonts w:hint="eastAsia" w:ascii="宋体" w:hAnsi="宋体" w:eastAsia="宋体" w:cs="宋体"/>
          <w:sz w:val="24"/>
          <w:highlight w:val="none"/>
        </w:rPr>
        <w:tab/>
      </w:r>
      <w:r>
        <w:rPr>
          <w:rFonts w:hint="eastAsia" w:ascii="宋体" w:hAnsi="宋体" w:eastAsia="宋体" w:cs="宋体"/>
          <w:sz w:val="24"/>
          <w:highlight w:val="none"/>
        </w:rPr>
        <w:t>投标人递交的投标担保函和履约担保函应符合本招标文件的规定。</w:t>
      </w:r>
    </w:p>
    <w:p w14:paraId="0D4CF1EB">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33.2.2</w:t>
      </w:r>
      <w:r>
        <w:rPr>
          <w:rFonts w:hint="eastAsia" w:ascii="宋体" w:hAnsi="宋体" w:eastAsia="宋体" w:cs="宋体"/>
          <w:sz w:val="24"/>
          <w:highlight w:val="none"/>
        </w:rPr>
        <w:tab/>
      </w:r>
      <w:r>
        <w:rPr>
          <w:rFonts w:hint="eastAsia" w:ascii="宋体" w:hAnsi="宋体" w:eastAsia="宋体" w:cs="宋体"/>
          <w:sz w:val="24"/>
          <w:highlight w:val="none"/>
        </w:rPr>
        <w:t>中标人可以采取融资担保的形式为政府采购项目履约进行融资。</w:t>
      </w:r>
    </w:p>
    <w:p w14:paraId="47555CBB">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33.2.3</w:t>
      </w:r>
      <w:r>
        <w:rPr>
          <w:rFonts w:hint="eastAsia" w:ascii="宋体" w:hAnsi="宋体" w:eastAsia="宋体" w:cs="宋体"/>
          <w:sz w:val="24"/>
          <w:highlight w:val="none"/>
        </w:rPr>
        <w:tab/>
      </w:r>
      <w:r>
        <w:rPr>
          <w:rFonts w:hint="eastAsia" w:ascii="宋体" w:hAnsi="宋体" w:eastAsia="宋体" w:cs="宋体"/>
          <w:sz w:val="24"/>
          <w:highlight w:val="none"/>
        </w:rPr>
        <w:t>合格的政府采购专业信用担保机构见</w:t>
      </w:r>
      <w:r>
        <w:rPr>
          <w:rFonts w:hint="eastAsia" w:ascii="宋体" w:hAnsi="宋体" w:eastAsia="宋体" w:cs="宋体"/>
          <w:sz w:val="24"/>
          <w:highlight w:val="none"/>
          <w:u w:val="single"/>
        </w:rPr>
        <w:t>投标人须知资料表</w:t>
      </w:r>
      <w:r>
        <w:rPr>
          <w:rFonts w:hint="eastAsia" w:ascii="宋体" w:hAnsi="宋体" w:eastAsia="宋体" w:cs="宋体"/>
          <w:sz w:val="24"/>
          <w:highlight w:val="none"/>
        </w:rPr>
        <w:t>。</w:t>
      </w:r>
    </w:p>
    <w:p w14:paraId="591700FC">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49" w:name="_Toc18288"/>
      <w:bookmarkStart w:id="150" w:name="_Toc518923100"/>
      <w:r>
        <w:rPr>
          <w:rFonts w:hint="eastAsia" w:ascii="宋体" w:hAnsi="宋体" w:eastAsia="宋体" w:cs="宋体"/>
          <w:highlight w:val="none"/>
          <w:u w:val="none"/>
        </w:rPr>
        <w:t>34.廉洁自律规定</w:t>
      </w:r>
      <w:bookmarkEnd w:id="149"/>
      <w:bookmarkEnd w:id="150"/>
    </w:p>
    <w:p w14:paraId="1B6AC5AB">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34.1</w:t>
      </w:r>
      <w:r>
        <w:rPr>
          <w:rFonts w:hint="eastAsia" w:ascii="宋体" w:hAnsi="宋体" w:eastAsia="宋体" w:cs="宋体"/>
          <w:sz w:val="24"/>
          <w:highlight w:val="none"/>
        </w:rPr>
        <w:tab/>
      </w:r>
      <w:r>
        <w:rPr>
          <w:rFonts w:hint="eastAsia" w:ascii="宋体" w:hAnsi="宋体" w:eastAsia="宋体" w:cs="宋体"/>
          <w:sz w:val="24"/>
          <w:highlight w:val="none"/>
        </w:rPr>
        <w:t>采购代理机构工作人员不得以不正当手段获取政府采购代理业务，不得与采购人、供应商恶意串通操纵政府采购活动。</w:t>
      </w:r>
    </w:p>
    <w:p w14:paraId="6D5F5234">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34.2</w:t>
      </w:r>
      <w:r>
        <w:rPr>
          <w:rFonts w:hint="eastAsia" w:ascii="宋体" w:hAnsi="宋体" w:eastAsia="宋体" w:cs="宋体"/>
          <w:sz w:val="24"/>
          <w:highlight w:val="none"/>
        </w:rPr>
        <w:tab/>
      </w:r>
      <w:r>
        <w:rPr>
          <w:rFonts w:hint="eastAsia" w:ascii="宋体" w:hAnsi="宋体" w:eastAsia="宋体" w:cs="宋体"/>
          <w:sz w:val="24"/>
          <w:highlight w:val="none"/>
        </w:rPr>
        <w:t>采购代理机构工作人员不得接受采购人或者供应商组织的宴请、旅游、娱乐，不得收受礼品、现金、有价证券等，不得向采购人或者供应商报销应当由个人承担的费用。</w:t>
      </w:r>
    </w:p>
    <w:p w14:paraId="4D456283">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34.3</w:t>
      </w:r>
      <w:r>
        <w:rPr>
          <w:rFonts w:hint="eastAsia" w:ascii="宋体" w:hAnsi="宋体" w:eastAsia="宋体" w:cs="宋体"/>
          <w:sz w:val="24"/>
          <w:highlight w:val="none"/>
        </w:rPr>
        <w:tab/>
      </w:r>
      <w:r>
        <w:rPr>
          <w:rFonts w:hint="eastAsia" w:ascii="宋体" w:hAnsi="宋体" w:eastAsia="宋体" w:cs="宋体"/>
          <w:sz w:val="24"/>
          <w:highlight w:val="none"/>
        </w:rPr>
        <w:t>为强化采购代理机构内部监督机制，供应商可按</w:t>
      </w:r>
      <w:r>
        <w:rPr>
          <w:rFonts w:hint="eastAsia" w:ascii="宋体" w:hAnsi="宋体" w:eastAsia="宋体" w:cs="宋体"/>
          <w:sz w:val="24"/>
          <w:highlight w:val="none"/>
          <w:u w:val="single"/>
        </w:rPr>
        <w:t>投标人须知资料表中的</w:t>
      </w:r>
      <w:r>
        <w:rPr>
          <w:rFonts w:hint="eastAsia" w:ascii="宋体" w:hAnsi="宋体" w:eastAsia="宋体" w:cs="宋体"/>
          <w:sz w:val="24"/>
          <w:highlight w:val="none"/>
        </w:rPr>
        <w:t>监督电话和信箱，反映采购代理机构的廉洁自律等问题。</w:t>
      </w:r>
    </w:p>
    <w:p w14:paraId="22E90A89">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51" w:name="_Toc9805"/>
      <w:bookmarkStart w:id="152" w:name="_Toc518923101"/>
      <w:r>
        <w:rPr>
          <w:rFonts w:hint="eastAsia" w:ascii="宋体" w:hAnsi="宋体" w:eastAsia="宋体" w:cs="宋体"/>
          <w:highlight w:val="none"/>
          <w:u w:val="none"/>
        </w:rPr>
        <w:t>35.人员回避</w:t>
      </w:r>
      <w:bookmarkEnd w:id="151"/>
      <w:bookmarkEnd w:id="152"/>
    </w:p>
    <w:p w14:paraId="00EF4BEC">
      <w:pPr>
        <w:pageBreakBefore w:val="0"/>
        <w:widowControl w:val="0"/>
        <w:kinsoku/>
        <w:wordWrap/>
        <w:overflowPunct/>
        <w:topLinePunct w:val="0"/>
        <w:bidi w:val="0"/>
        <w:snapToGrid/>
        <w:spacing w:line="400" w:lineRule="exact"/>
        <w:ind w:left="900" w:hanging="900" w:hangingChars="37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ab/>
      </w:r>
      <w:r>
        <w:rPr>
          <w:rFonts w:hint="eastAsia" w:ascii="宋体" w:hAnsi="宋体" w:eastAsia="宋体" w:cs="宋体"/>
          <w:sz w:val="24"/>
          <w:highlight w:val="none"/>
        </w:rPr>
        <w:t>投标人认为采购人员及其相关人员有法律法规所列与其他供应商有利害关系的，可以向采购人或采购代理机构书面提出回避申请，并说明理由。</w:t>
      </w:r>
    </w:p>
    <w:p w14:paraId="08F7F2AA">
      <w:pPr>
        <w:pageBreakBefore w:val="0"/>
        <w:widowControl w:val="0"/>
        <w:kinsoku/>
        <w:wordWrap/>
        <w:overflowPunct/>
        <w:topLinePunct w:val="0"/>
        <w:bidi w:val="0"/>
        <w:snapToGrid/>
        <w:spacing w:before="0" w:after="0" w:line="400" w:lineRule="exact"/>
        <w:textAlignment w:val="auto"/>
        <w:outlineLvl w:val="9"/>
        <w:rPr>
          <w:rFonts w:hint="eastAsia" w:ascii="宋体" w:hAnsi="宋体" w:eastAsia="宋体" w:cs="宋体"/>
          <w:highlight w:val="none"/>
          <w:u w:val="none"/>
        </w:rPr>
      </w:pPr>
      <w:bookmarkStart w:id="153" w:name="_Toc518923102"/>
      <w:bookmarkStart w:id="154" w:name="_Toc1677"/>
      <w:r>
        <w:rPr>
          <w:rFonts w:hint="eastAsia" w:ascii="宋体" w:hAnsi="宋体" w:eastAsia="宋体" w:cs="宋体"/>
          <w:highlight w:val="none"/>
          <w:u w:val="none"/>
        </w:rPr>
        <w:t>36.质疑与接收</w:t>
      </w:r>
      <w:bookmarkEnd w:id="153"/>
      <w:bookmarkEnd w:id="154"/>
    </w:p>
    <w:p w14:paraId="38DAED08">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36.1</w:t>
      </w:r>
      <w:r>
        <w:rPr>
          <w:rFonts w:hint="eastAsia" w:ascii="宋体" w:hAnsi="宋体" w:eastAsia="宋体" w:cs="宋体"/>
          <w:sz w:val="24"/>
          <w:highlight w:val="none"/>
        </w:rPr>
        <w:tab/>
      </w:r>
      <w:r>
        <w:rPr>
          <w:rFonts w:hint="eastAsia" w:ascii="宋体" w:hAnsi="宋体" w:eastAsia="宋体" w:cs="宋体"/>
          <w:sz w:val="24"/>
          <w:highlight w:val="none"/>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72E96A8D">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36.2</w:t>
      </w:r>
      <w:r>
        <w:rPr>
          <w:rFonts w:hint="eastAsia" w:ascii="宋体" w:hAnsi="宋体" w:eastAsia="宋体" w:cs="宋体"/>
          <w:sz w:val="24"/>
          <w:highlight w:val="none"/>
        </w:rPr>
        <w:tab/>
      </w:r>
      <w:r>
        <w:rPr>
          <w:rFonts w:hint="eastAsia" w:ascii="宋体" w:hAnsi="宋体" w:eastAsia="宋体" w:cs="宋体"/>
          <w:sz w:val="24"/>
          <w:highlight w:val="none"/>
        </w:rPr>
        <w:t>质疑供应商应按照财政部制定的《政府采购质疑函范本》格式（可从财政部官方网站下载）和《政府采购质疑和投诉办法》的要求，在法定质疑期内以纸质形式提出质疑，针对同一采购程序环节的质疑应一次性提出。</w:t>
      </w:r>
    </w:p>
    <w:p w14:paraId="78153F6A">
      <w:pPr>
        <w:pageBreakBefore w:val="0"/>
        <w:widowControl w:val="0"/>
        <w:kinsoku/>
        <w:wordWrap/>
        <w:overflowPunct/>
        <w:topLinePunct w:val="0"/>
        <w:bidi w:val="0"/>
        <w:snapToGrid/>
        <w:spacing w:line="400" w:lineRule="exact"/>
        <w:ind w:left="851" w:leftChars="405" w:hanging="1"/>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超出法定质疑期的、重复提出的、分次提出的或内容、形式不符合《政府采购质疑和投诉办法》的，质疑供应商将依法承担不利后果。</w:t>
      </w:r>
    </w:p>
    <w:p w14:paraId="56E7D529">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36.3</w:t>
      </w:r>
      <w:r>
        <w:rPr>
          <w:rFonts w:hint="eastAsia" w:ascii="宋体" w:hAnsi="宋体" w:eastAsia="宋体" w:cs="宋体"/>
          <w:sz w:val="24"/>
          <w:highlight w:val="none"/>
        </w:rPr>
        <w:tab/>
      </w:r>
      <w:r>
        <w:rPr>
          <w:rFonts w:hint="eastAsia" w:ascii="宋体" w:hAnsi="宋体" w:eastAsia="宋体" w:cs="宋体"/>
          <w:sz w:val="24"/>
          <w:highlight w:val="none"/>
        </w:rPr>
        <w:t>采购代理机构质疑函接收部门、联系电话和通讯地址,见</w:t>
      </w:r>
      <w:r>
        <w:rPr>
          <w:rFonts w:hint="eastAsia" w:ascii="宋体" w:hAnsi="宋体" w:eastAsia="宋体" w:cs="宋体"/>
          <w:sz w:val="24"/>
          <w:highlight w:val="none"/>
          <w:u w:val="single"/>
        </w:rPr>
        <w:t>投标人须知资料表。</w:t>
      </w:r>
    </w:p>
    <w:p w14:paraId="61B258CC">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36.4质疑的提出</w:t>
      </w:r>
    </w:p>
    <w:p w14:paraId="74EDD42E">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36.5 本采购文件中所称质疑及答复，是指参加本次采购活动的供应商对政府采购活动中的采购文件、采购过程和成交结果向采购方提出质疑，采购方答复质疑的行为。</w:t>
      </w:r>
    </w:p>
    <w:p w14:paraId="2DF8D60D">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21E51C51">
      <w:pPr>
        <w:pageBreakBefore w:val="0"/>
        <w:widowControl w:val="0"/>
        <w:kinsoku/>
        <w:wordWrap/>
        <w:overflowPunct/>
        <w:topLinePunct w:val="0"/>
        <w:bidi w:val="0"/>
        <w:snapToGrid/>
        <w:spacing w:line="400" w:lineRule="exact"/>
        <w:ind w:left="718" w:leftChars="342" w:firstLine="0" w:firstLineChars="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（一）对可以质疑的采购文件提出质疑的，为收到采购文件之日或者采购文件公告期限届满之日；</w:t>
      </w:r>
    </w:p>
    <w:p w14:paraId="7905B5DF">
      <w:pPr>
        <w:pageBreakBefore w:val="0"/>
        <w:widowControl w:val="0"/>
        <w:kinsoku/>
        <w:wordWrap/>
        <w:overflowPunct/>
        <w:topLinePunct w:val="0"/>
        <w:bidi w:val="0"/>
        <w:snapToGrid/>
        <w:spacing w:line="400" w:lineRule="exact"/>
        <w:ind w:firstLine="720" w:firstLineChars="3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（二）对采购过程提出质疑的，为各采购程序环节结束之日；</w:t>
      </w:r>
    </w:p>
    <w:p w14:paraId="771C8C16">
      <w:pPr>
        <w:pageBreakBefore w:val="0"/>
        <w:widowControl w:val="0"/>
        <w:kinsoku/>
        <w:wordWrap/>
        <w:overflowPunct/>
        <w:topLinePunct w:val="0"/>
        <w:bidi w:val="0"/>
        <w:snapToGrid/>
        <w:spacing w:line="400" w:lineRule="exact"/>
        <w:ind w:firstLine="720" w:firstLineChars="3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（三）对成交结果提出质疑的，为成交结果公告期限届满之日。</w:t>
      </w:r>
    </w:p>
    <w:p w14:paraId="6EE6A59B">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36.7对可以质疑的采购文件提出质疑的，质疑人为参与本项目的报价方或潜在报价方。可质疑的文件为采购公告以及采购文件（包括属于其组成部分的澄清、修改、补充文件和评审标准、合同文本等）。</w:t>
      </w:r>
    </w:p>
    <w:p w14:paraId="32FD47D0">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36.8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72109C7F">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36.9 提出质疑应当符合下列条件：</w:t>
      </w:r>
    </w:p>
    <w:p w14:paraId="6FF99691">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（一）质疑主体应当符合有关规定；</w:t>
      </w:r>
    </w:p>
    <w:p w14:paraId="1B340032">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（二）在质疑法定期限内提出；</w:t>
      </w:r>
    </w:p>
    <w:p w14:paraId="4F63F444">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（三）属于可以提出质疑的政府采购事项受理范围和本项目采购人的管辖权范围；</w:t>
      </w:r>
    </w:p>
    <w:p w14:paraId="1DF1DDCD">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（四）政府采购法律、法规、规章规定的其他条件。</w:t>
      </w:r>
    </w:p>
    <w:p w14:paraId="0E7BDC3F">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40.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5DAA827">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40.1 质疑人所提供的证明材料应当具有真实性、合法性以及与质疑事项的关联性和证明力，否则不能作为认定该质疑事项成立的依据。</w:t>
      </w:r>
    </w:p>
    <w:p w14:paraId="03DD49B6">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40.2 质疑人提出质疑时应当提交质疑函。质疑函包括下列内容：</w:t>
      </w:r>
    </w:p>
    <w:p w14:paraId="5DBD43E2">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（一）提出质疑的质疑人的名称、地址、邮编、联系人及联系电话等；</w:t>
      </w:r>
    </w:p>
    <w:p w14:paraId="01210223">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（二）质疑项目的名称、编号；</w:t>
      </w:r>
    </w:p>
    <w:p w14:paraId="3578F7D3">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（三）质疑事项；</w:t>
      </w:r>
    </w:p>
    <w:p w14:paraId="50099D1A">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（四）事实依据和证明材料；</w:t>
      </w:r>
    </w:p>
    <w:p w14:paraId="432029E4">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（五）法律依据；</w:t>
      </w:r>
    </w:p>
    <w:p w14:paraId="5386A572">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（六）提出质疑的日期。</w:t>
      </w:r>
    </w:p>
    <w:p w14:paraId="38115BA9">
      <w:pPr>
        <w:pageBreakBefore w:val="0"/>
        <w:widowControl w:val="0"/>
        <w:kinsoku/>
        <w:wordWrap/>
        <w:overflowPunct/>
        <w:topLinePunct w:val="0"/>
        <w:bidi w:val="0"/>
        <w:snapToGrid/>
        <w:spacing w:line="400" w:lineRule="exact"/>
        <w:ind w:left="861" w:leftChars="410" w:firstLine="12" w:firstLineChars="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15F6A711">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40.3 质疑人可以委托代理人进行质疑。代理人应当提交授权委托书。授权委托书应当载明委托代理的具体权限、期限和相关事项。</w:t>
      </w:r>
    </w:p>
    <w:p w14:paraId="505D1A9A">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40.4、质疑的审查和受理</w:t>
      </w:r>
    </w:p>
    <w:p w14:paraId="69519D3D">
      <w:pPr>
        <w:pageBreakBefore w:val="0"/>
        <w:widowControl w:val="0"/>
        <w:kinsoku/>
        <w:wordWrap/>
        <w:overflowPunct/>
        <w:topLinePunct w:val="0"/>
        <w:bidi w:val="0"/>
        <w:snapToGrid/>
        <w:spacing w:line="400" w:lineRule="exact"/>
        <w:ind w:left="861" w:leftChars="410" w:firstLine="12" w:firstLineChars="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采购方在收到质疑函后应当及时审查是否符合质疑受理条件，对符合质疑受理条件的，及时予以受理。</w:t>
      </w:r>
    </w:p>
    <w:p w14:paraId="6B1A497F">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40.5 对不符合质疑受理条件的，分别按照下列不同情形予以处理：</w:t>
      </w:r>
    </w:p>
    <w:p w14:paraId="0BA6D68F">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（一）质疑函内容不符合规定的，告知质疑人进行修改并重新提出质疑。修改后质疑事项仍不具体、不明确或者最终递交质疑函的时间超过质疑法定期限的，不予受理；</w:t>
      </w:r>
    </w:p>
    <w:p w14:paraId="25513BCD">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（二）质疑主体不符合有关规定的，告知质疑人不予受理；</w:t>
      </w:r>
    </w:p>
    <w:p w14:paraId="411214ED">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（三）超过质疑法定期限提出质疑的，告知质疑人不予受理；</w:t>
      </w:r>
    </w:p>
    <w:p w14:paraId="1D7F9C46">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（四）对不属于可以提出质疑的政府采购事项提出质疑的，告知质疑人不予受理；</w:t>
      </w:r>
    </w:p>
    <w:p w14:paraId="2A459A2B">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（五）质疑不属于本项目采购方管辖的，告知质疑人向有管辖权的采购人提出质疑；</w:t>
      </w:r>
    </w:p>
    <w:p w14:paraId="1C31285A">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（六）质疑不符合其他条件的，告知质疑人不予受理。</w:t>
      </w:r>
    </w:p>
    <w:p w14:paraId="2BBD178D">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40.6、质疑的处理和答复</w:t>
      </w:r>
    </w:p>
    <w:p w14:paraId="245920EC">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40.7 采购方受理质疑后，将及时把质疑函发送给被质疑人，并要求其在一定限期人提交书面答复，同时提供有关证据、依据和相关材料。</w:t>
      </w:r>
    </w:p>
    <w:p w14:paraId="5B1FBD2A">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40.8  对于质疑事项中涉及的问题较多、情况比较复杂的，为了全面查清事实、取得充分的证据，采购方认为有必要时，可以进行调查取证或者组织质证。</w:t>
      </w:r>
    </w:p>
    <w:p w14:paraId="06F8B440">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40.9 对评审过程、成交结果提出质疑的，采购方可以组织原评审委员会协助答复质疑。</w:t>
      </w:r>
    </w:p>
    <w:p w14:paraId="46D93B06">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41.质疑处理过程中，质疑人书面申请撤回质疑的，将终止质疑处理程序。</w:t>
      </w:r>
    </w:p>
    <w:p w14:paraId="5CC77462">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41.1质疑人拒绝配合采购方依法对质疑进行调查处理的，采购方将按质疑人自动撤回质疑处理；被质疑人拒绝配合采购方依法对质疑进行调查处理的，采购方将视同其认可质疑事项。</w:t>
      </w:r>
    </w:p>
    <w:p w14:paraId="40FF6C34">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41.2采购方将在正式受理质疑后7个工作日内作出答复，但处理质疑需要进行调查取证、组织专家评审、质疑人及被质疑人提交或补正材料等所需时间，不计算在质疑处理期限内。</w:t>
      </w:r>
    </w:p>
    <w:p w14:paraId="0B37B4C3">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41.3 采购方经调查、论证、核实，认定质疑不能成立的，继续开展采购活动；认定质疑成立的，按照以下情况处理：</w:t>
      </w:r>
    </w:p>
    <w:p w14:paraId="47100158">
      <w:pPr>
        <w:pageBreakBefore w:val="0"/>
        <w:widowControl w:val="0"/>
        <w:kinsoku/>
        <w:wordWrap/>
        <w:overflowPunct/>
        <w:topLinePunct w:val="0"/>
        <w:bidi w:val="0"/>
        <w:snapToGrid/>
        <w:spacing w:line="400" w:lineRule="exact"/>
        <w:ind w:left="850" w:leftChars="296" w:hanging="228" w:hangingChars="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0AABBAF">
      <w:pPr>
        <w:pageBreakBefore w:val="0"/>
        <w:widowControl w:val="0"/>
        <w:kinsoku/>
        <w:wordWrap/>
        <w:overflowPunct/>
        <w:topLinePunct w:val="0"/>
        <w:bidi w:val="0"/>
        <w:snapToGrid/>
        <w:spacing w:line="400" w:lineRule="exact"/>
        <w:ind w:left="850" w:leftChars="296" w:hanging="228" w:hangingChars="95"/>
        <w:jc w:val="left"/>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3534106">
      <w:pPr>
        <w:pageBreakBefore w:val="0"/>
        <w:widowControl w:val="0"/>
        <w:kinsoku/>
        <w:wordWrap/>
        <w:overflowPunct/>
        <w:topLinePunct w:val="0"/>
        <w:bidi w:val="0"/>
        <w:snapToGrid/>
        <w:spacing w:line="400" w:lineRule="exact"/>
        <w:ind w:left="851" w:leftChars="68" w:hanging="708" w:hangingChars="295"/>
        <w:jc w:val="left"/>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41.4 采购方将书面答复质疑，质疑答复包括下列内容：</w:t>
      </w:r>
    </w:p>
    <w:p w14:paraId="1B0785D7">
      <w:pPr>
        <w:pageBreakBefore w:val="0"/>
        <w:widowControl w:val="0"/>
        <w:kinsoku/>
        <w:wordWrap/>
        <w:overflowPunct/>
        <w:topLinePunct w:val="0"/>
        <w:bidi w:val="0"/>
        <w:snapToGrid/>
        <w:spacing w:line="400" w:lineRule="exact"/>
        <w:ind w:firstLine="720" w:firstLineChars="300"/>
        <w:jc w:val="left"/>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（一）质疑人名称；</w:t>
      </w:r>
    </w:p>
    <w:p w14:paraId="11683250">
      <w:pPr>
        <w:pageBreakBefore w:val="0"/>
        <w:widowControl w:val="0"/>
        <w:kinsoku/>
        <w:wordWrap/>
        <w:overflowPunct/>
        <w:topLinePunct w:val="0"/>
        <w:bidi w:val="0"/>
        <w:snapToGrid/>
        <w:spacing w:line="400" w:lineRule="exact"/>
        <w:ind w:firstLine="720" w:firstLineChars="300"/>
        <w:jc w:val="left"/>
        <w:textAlignment w:val="auto"/>
        <w:outlineLvl w:val="9"/>
        <w:rPr>
          <w:rFonts w:hint="eastAsia" w:ascii="宋体" w:hAnsi="宋体" w:eastAsia="宋体" w:cs="宋体"/>
          <w:sz w:val="24"/>
          <w:highlight w:val="none"/>
          <w:lang w:eastAsia="zh-CN"/>
        </w:rPr>
      </w:pPr>
      <w:r>
        <w:rPr>
          <w:rFonts w:hint="eastAsia" w:ascii="宋体" w:hAnsi="宋体" w:eastAsia="宋体" w:cs="宋体"/>
          <w:sz w:val="24"/>
          <w:highlight w:val="none"/>
        </w:rPr>
        <w:t>（二）收到质疑函的日期、质疑项目名称及编号</w:t>
      </w:r>
      <w:r>
        <w:rPr>
          <w:rFonts w:hint="eastAsia" w:ascii="宋体" w:hAnsi="宋体" w:eastAsia="宋体" w:cs="宋体"/>
          <w:sz w:val="24"/>
          <w:highlight w:val="none"/>
          <w:lang w:eastAsia="zh-CN"/>
        </w:rPr>
        <w:t>；</w:t>
      </w:r>
    </w:p>
    <w:p w14:paraId="58BBE804">
      <w:pPr>
        <w:pageBreakBefore w:val="0"/>
        <w:widowControl w:val="0"/>
        <w:kinsoku/>
        <w:wordWrap/>
        <w:overflowPunct/>
        <w:topLinePunct w:val="0"/>
        <w:bidi w:val="0"/>
        <w:snapToGrid/>
        <w:spacing w:line="400" w:lineRule="exact"/>
        <w:ind w:firstLine="720" w:firstLineChars="3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（三）质疑事项、质疑答复的具体内容、事实依据和法律依据；</w:t>
      </w:r>
    </w:p>
    <w:p w14:paraId="5A599BE4">
      <w:pPr>
        <w:pageBreakBefore w:val="0"/>
        <w:widowControl w:val="0"/>
        <w:kinsoku/>
        <w:wordWrap/>
        <w:overflowPunct/>
        <w:topLinePunct w:val="0"/>
        <w:bidi w:val="0"/>
        <w:snapToGrid/>
        <w:spacing w:line="400" w:lineRule="exact"/>
        <w:ind w:firstLine="720" w:firstLineChars="3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（四）告知质疑人依法投诉的权利；</w:t>
      </w:r>
    </w:p>
    <w:p w14:paraId="79F01C0F">
      <w:pPr>
        <w:pageBreakBefore w:val="0"/>
        <w:widowControl w:val="0"/>
        <w:kinsoku/>
        <w:wordWrap/>
        <w:overflowPunct/>
        <w:topLinePunct w:val="0"/>
        <w:bidi w:val="0"/>
        <w:snapToGrid/>
        <w:spacing w:line="400" w:lineRule="exact"/>
        <w:ind w:firstLine="720" w:firstLineChars="3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（五）质疑答复日期。</w:t>
      </w:r>
    </w:p>
    <w:p w14:paraId="6CB8C556">
      <w:pPr>
        <w:pageBreakBefore w:val="0"/>
        <w:widowControl w:val="0"/>
        <w:kinsoku/>
        <w:wordWrap/>
        <w:overflowPunct/>
        <w:topLinePunct w:val="0"/>
        <w:bidi w:val="0"/>
        <w:snapToGrid/>
        <w:spacing w:line="400" w:lineRule="exact"/>
        <w:ind w:left="851" w:leftChars="68" w:hanging="708" w:hangingChars="295"/>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41.5 质疑人有下列行为之一的，属于虚假、恶意质疑，将由采购方建议财政部门将其列入不良行为记录名单，禁止其1至3年内参加政府采购活动：</w:t>
      </w:r>
    </w:p>
    <w:p w14:paraId="7D5E87BA">
      <w:pPr>
        <w:pageBreakBefore w:val="0"/>
        <w:widowControl w:val="0"/>
        <w:kinsoku/>
        <w:wordWrap/>
        <w:overflowPunct/>
        <w:topLinePunct w:val="0"/>
        <w:bidi w:val="0"/>
        <w:snapToGrid/>
        <w:spacing w:line="400" w:lineRule="exact"/>
        <w:ind w:firstLine="720" w:firstLineChars="300"/>
        <w:jc w:val="left"/>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（一）捏造事实；</w:t>
      </w:r>
    </w:p>
    <w:p w14:paraId="27A27BE7">
      <w:pPr>
        <w:pageBreakBefore w:val="0"/>
        <w:widowControl w:val="0"/>
        <w:kinsoku/>
        <w:wordWrap/>
        <w:overflowPunct/>
        <w:topLinePunct w:val="0"/>
        <w:bidi w:val="0"/>
        <w:snapToGrid/>
        <w:spacing w:line="400" w:lineRule="exact"/>
        <w:ind w:firstLine="720" w:firstLineChars="300"/>
        <w:jc w:val="left"/>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（二）提供虚假材料；</w:t>
      </w:r>
    </w:p>
    <w:p w14:paraId="3802BC9E">
      <w:pPr>
        <w:pageBreakBefore w:val="0"/>
        <w:widowControl w:val="0"/>
        <w:kinsoku/>
        <w:wordWrap/>
        <w:overflowPunct/>
        <w:topLinePunct w:val="0"/>
        <w:bidi w:val="0"/>
        <w:snapToGrid/>
        <w:spacing w:line="400" w:lineRule="exact"/>
        <w:ind w:firstLine="720" w:firstLineChars="300"/>
        <w:jc w:val="left"/>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（三）以非法手段取得证明材料或者无法提供证据的合法来源；</w:t>
      </w:r>
    </w:p>
    <w:p w14:paraId="4CD0A2EF">
      <w:pPr>
        <w:pageBreakBefore w:val="0"/>
        <w:widowControl w:val="0"/>
        <w:kinsoku/>
        <w:wordWrap/>
        <w:overflowPunct/>
        <w:topLinePunct w:val="0"/>
        <w:bidi w:val="0"/>
        <w:snapToGrid/>
        <w:spacing w:line="400" w:lineRule="exact"/>
        <w:ind w:firstLine="720" w:firstLineChars="300"/>
        <w:jc w:val="left"/>
        <w:textAlignment w:val="auto"/>
        <w:outlineLvl w:val="9"/>
        <w:rPr>
          <w:rFonts w:hint="eastAsia" w:ascii="仿宋_GB2312" w:hAnsi="宋体" w:eastAsia="仿宋_GB2312"/>
          <w:sz w:val="24"/>
          <w:highlight w:val="none"/>
        </w:rPr>
      </w:pPr>
      <w:r>
        <w:rPr>
          <w:rFonts w:hint="eastAsia" w:ascii="宋体" w:hAnsi="宋体" w:eastAsia="宋体" w:cs="宋体"/>
          <w:sz w:val="24"/>
          <w:highlight w:val="none"/>
        </w:rPr>
        <w:t>（四）法律法规规定的其他违法情形。</w:t>
      </w:r>
    </w:p>
    <w:p w14:paraId="63616D9F">
      <w:pPr>
        <w:spacing w:line="240" w:lineRule="atLeast"/>
        <w:ind w:left="900" w:hanging="900" w:hangingChars="375"/>
        <w:outlineLvl w:val="9"/>
        <w:rPr>
          <w:rFonts w:hint="eastAsia" w:ascii="仿宋_GB2312" w:hAnsi="宋体" w:eastAsia="仿宋_GB2312"/>
          <w:sz w:val="24"/>
          <w:highlight w:val="none"/>
        </w:rPr>
      </w:pPr>
    </w:p>
    <w:p w14:paraId="43BFE24C">
      <w:pPr>
        <w:spacing w:line="240" w:lineRule="atLeast"/>
        <w:ind w:left="900" w:hanging="900" w:hangingChars="375"/>
        <w:outlineLvl w:val="9"/>
        <w:rPr>
          <w:rFonts w:hint="eastAsia" w:ascii="仿宋_GB2312" w:hAnsi="宋体" w:eastAsia="仿宋_GB2312"/>
          <w:sz w:val="24"/>
          <w:highlight w:val="none"/>
        </w:rPr>
      </w:pPr>
    </w:p>
    <w:p w14:paraId="54E6F724">
      <w:pPr>
        <w:spacing w:before="0" w:line="240" w:lineRule="atLeast"/>
        <w:ind w:left="1080" w:leftChars="257" w:hanging="540"/>
        <w:outlineLvl w:val="9"/>
        <w:rPr>
          <w:rFonts w:hint="eastAsia" w:ascii="宋体" w:hAnsi="宋体" w:eastAsia="宋体" w:cs="宋体"/>
          <w:szCs w:val="24"/>
          <w:highlight w:val="none"/>
        </w:rPr>
      </w:pPr>
      <w:r>
        <w:rPr>
          <w:rFonts w:ascii="仿宋_GB2312" w:hAnsi="宋体" w:eastAsia="仿宋_GB2312"/>
          <w:highlight w:val="none"/>
        </w:rPr>
        <w:br w:type="page"/>
      </w:r>
      <w:bookmarkStart w:id="155" w:name="_Toc6259"/>
      <w:bookmarkStart w:id="156" w:name="_Toc518923103"/>
      <w:r>
        <w:rPr>
          <w:rFonts w:hint="eastAsia" w:ascii="宋体" w:hAnsi="宋体" w:eastAsia="宋体" w:cs="宋体"/>
          <w:sz w:val="32"/>
          <w:szCs w:val="40"/>
          <w:highlight w:val="none"/>
        </w:rPr>
        <w:t>附件1：履约保证金保函（格式）</w:t>
      </w:r>
      <w:bookmarkEnd w:id="155"/>
      <w:bookmarkEnd w:id="156"/>
    </w:p>
    <w:p w14:paraId="26BDADAF">
      <w:pPr>
        <w:pStyle w:val="17"/>
        <w:spacing w:line="240" w:lineRule="atLeast"/>
        <w:ind w:left="1080" w:leftChars="257" w:hanging="540"/>
        <w:outlineLvl w:val="9"/>
        <w:rPr>
          <w:rFonts w:hint="eastAsia" w:ascii="宋体" w:hAnsi="宋体" w:eastAsia="宋体" w:cs="宋体"/>
          <w:b/>
          <w:sz w:val="24"/>
          <w:highlight w:val="none"/>
        </w:rPr>
      </w:pPr>
      <w:r>
        <w:rPr>
          <w:rFonts w:hint="eastAsia" w:ascii="宋体" w:hAnsi="宋体" w:eastAsia="宋体" w:cs="宋体"/>
          <w:b/>
          <w:sz w:val="24"/>
          <w:highlight w:val="none"/>
        </w:rPr>
        <w:t xml:space="preserve">                         （中标后开具）</w:t>
      </w:r>
    </w:p>
    <w:p w14:paraId="17F3ECD3">
      <w:pPr>
        <w:pStyle w:val="17"/>
        <w:spacing w:line="240" w:lineRule="atLeast"/>
        <w:ind w:left="1080" w:leftChars="257" w:hanging="540"/>
        <w:outlineLvl w:val="9"/>
        <w:rPr>
          <w:rFonts w:hint="eastAsia" w:ascii="宋体" w:hAnsi="宋体" w:eastAsia="宋体" w:cs="宋体"/>
          <w:b/>
          <w:sz w:val="24"/>
          <w:highlight w:val="none"/>
        </w:rPr>
      </w:pPr>
    </w:p>
    <w:p w14:paraId="6AFCC931">
      <w:pPr>
        <w:pStyle w:val="17"/>
        <w:spacing w:line="240" w:lineRule="atLeast"/>
        <w:outlineLvl w:val="9"/>
        <w:rPr>
          <w:rFonts w:hint="eastAsia" w:ascii="宋体" w:hAnsi="宋体" w:eastAsia="宋体" w:cs="宋体"/>
          <w:sz w:val="24"/>
          <w:highlight w:val="none"/>
        </w:rPr>
      </w:pPr>
      <w:r>
        <w:rPr>
          <w:rFonts w:hint="eastAsia" w:ascii="宋体" w:hAnsi="宋体" w:eastAsia="宋体" w:cs="宋体"/>
          <w:sz w:val="24"/>
          <w:highlight w:val="none"/>
        </w:rPr>
        <w:t>致: (</w:t>
      </w:r>
      <w:r>
        <w:rPr>
          <w:rFonts w:hint="eastAsia" w:hAnsi="宋体" w:eastAsia="宋体" w:cs="宋体"/>
          <w:i/>
          <w:sz w:val="24"/>
          <w:highlight w:val="none"/>
          <w:u w:val="single"/>
          <w:lang w:val="en-US" w:eastAsia="zh-CN"/>
        </w:rPr>
        <w:t>采购人</w:t>
      </w:r>
      <w:r>
        <w:rPr>
          <w:rFonts w:hint="eastAsia" w:ascii="宋体" w:hAnsi="宋体" w:eastAsia="宋体" w:cs="宋体"/>
          <w:sz w:val="24"/>
          <w:highlight w:val="none"/>
        </w:rPr>
        <w:t>)</w:t>
      </w:r>
    </w:p>
    <w:p w14:paraId="08520451">
      <w:pPr>
        <w:pStyle w:val="17"/>
        <w:spacing w:line="240" w:lineRule="atLeast"/>
        <w:ind w:left="1080" w:leftChars="257" w:hanging="540"/>
        <w:jc w:val="center"/>
        <w:outlineLvl w:val="9"/>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号合同履约保函</w:t>
      </w:r>
    </w:p>
    <w:p w14:paraId="2E2033E4">
      <w:pPr>
        <w:pStyle w:val="17"/>
        <w:spacing w:line="240" w:lineRule="atLeast"/>
        <w:ind w:left="1080" w:leftChars="257" w:hanging="540"/>
        <w:jc w:val="center"/>
        <w:outlineLvl w:val="9"/>
        <w:rPr>
          <w:rFonts w:hint="eastAsia" w:ascii="宋体" w:hAnsi="宋体" w:eastAsia="宋体" w:cs="宋体"/>
          <w:sz w:val="24"/>
          <w:highlight w:val="none"/>
        </w:rPr>
      </w:pPr>
    </w:p>
    <w:p w14:paraId="15DBBE83">
      <w:pPr>
        <w:pStyle w:val="17"/>
        <w:spacing w:line="240" w:lineRule="atLeast"/>
        <w:ind w:firstLine="600" w:firstLineChars="250"/>
        <w:outlineLvl w:val="9"/>
        <w:rPr>
          <w:rFonts w:hint="eastAsia" w:ascii="宋体" w:hAnsi="宋体" w:eastAsia="宋体" w:cs="宋体"/>
          <w:sz w:val="24"/>
          <w:highlight w:val="none"/>
        </w:rPr>
      </w:pPr>
      <w:r>
        <w:rPr>
          <w:rFonts w:hint="eastAsia" w:ascii="宋体" w:hAnsi="宋体" w:eastAsia="宋体" w:cs="宋体"/>
          <w:sz w:val="24"/>
          <w:highlight w:val="none"/>
        </w:rPr>
        <w:t>本保函作为贵方与</w:t>
      </w:r>
      <w:r>
        <w:rPr>
          <w:rFonts w:hint="eastAsia" w:ascii="宋体" w:hAnsi="宋体" w:eastAsia="宋体" w:cs="宋体"/>
          <w:sz w:val="24"/>
          <w:highlight w:val="none"/>
          <w:u w:val="single"/>
          <w:lang w:val="en-US" w:eastAsia="zh-CN"/>
        </w:rPr>
        <w:t xml:space="preserve">    </w:t>
      </w:r>
      <w:r>
        <w:rPr>
          <w:rFonts w:hint="eastAsia" w:hAnsi="宋体" w:eastAsia="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(以下简称</w:t>
      </w:r>
      <w:r>
        <w:rPr>
          <w:rFonts w:hint="eastAsia" w:hAnsi="宋体" w:eastAsia="宋体" w:cs="宋体"/>
          <w:sz w:val="24"/>
          <w:highlight w:val="none"/>
          <w:lang w:val="en-US" w:eastAsia="zh-CN"/>
        </w:rPr>
        <w:t>供应商</w:t>
      </w:r>
      <w:r>
        <w:rPr>
          <w:rFonts w:hint="eastAsia" w:ascii="宋体" w:hAnsi="宋体" w:eastAsia="宋体" w:cs="宋体"/>
          <w:sz w:val="24"/>
          <w:highlight w:val="none"/>
        </w:rPr>
        <w:t>)于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日就</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项目(以下简称项目)项下提供(</w:t>
      </w:r>
      <w:r>
        <w:rPr>
          <w:rFonts w:hint="eastAsia" w:ascii="宋体" w:hAnsi="宋体" w:eastAsia="宋体" w:cs="宋体"/>
          <w:i/>
          <w:sz w:val="24"/>
          <w:highlight w:val="none"/>
          <w:u w:val="single"/>
        </w:rPr>
        <w:t>服务名称</w:t>
      </w:r>
      <w:r>
        <w:rPr>
          <w:rFonts w:hint="eastAsia" w:ascii="宋体" w:hAnsi="宋体" w:eastAsia="宋体" w:cs="宋体"/>
          <w:sz w:val="24"/>
          <w:highlight w:val="none"/>
        </w:rPr>
        <w:t>)(以下简称服务)签订的(</w:t>
      </w:r>
      <w:r>
        <w:rPr>
          <w:rFonts w:hint="eastAsia" w:ascii="宋体" w:hAnsi="宋体" w:eastAsia="宋体" w:cs="宋体"/>
          <w:i/>
          <w:sz w:val="24"/>
          <w:highlight w:val="none"/>
          <w:u w:val="single"/>
        </w:rPr>
        <w:t>合同号</w:t>
      </w:r>
      <w:r>
        <w:rPr>
          <w:rFonts w:hint="eastAsia" w:ascii="宋体" w:hAnsi="宋体" w:eastAsia="宋体" w:cs="宋体"/>
          <w:sz w:val="24"/>
          <w:highlight w:val="none"/>
        </w:rPr>
        <w:t>)号合同的履约保函。</w:t>
      </w:r>
    </w:p>
    <w:p w14:paraId="7CB9FDA1">
      <w:pPr>
        <w:pStyle w:val="17"/>
        <w:spacing w:line="240" w:lineRule="atLeast"/>
        <w:ind w:firstLine="540" w:firstLineChars="225"/>
        <w:outlineLvl w:val="9"/>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i/>
          <w:sz w:val="24"/>
          <w:highlight w:val="none"/>
          <w:u w:val="single"/>
        </w:rPr>
        <w:t>出具保函的银行名称</w:t>
      </w:r>
      <w:r>
        <w:rPr>
          <w:rFonts w:hint="eastAsia" w:ascii="宋体" w:hAnsi="宋体" w:eastAsia="宋体" w:cs="宋体"/>
          <w:sz w:val="24"/>
          <w:highlight w:val="none"/>
        </w:rPr>
        <w:t>)(以下简称银行)无条件地、不可撤销地具结保证本行、其继承人和受让人无追索地向贵方以(</w:t>
      </w:r>
      <w:r>
        <w:rPr>
          <w:rFonts w:hint="eastAsia" w:ascii="宋体" w:hAnsi="宋体" w:eastAsia="宋体" w:cs="宋体"/>
          <w:i/>
          <w:sz w:val="24"/>
          <w:highlight w:val="none"/>
          <w:u w:val="single"/>
        </w:rPr>
        <w:t>货币名称</w:t>
      </w:r>
      <w:r>
        <w:rPr>
          <w:rFonts w:hint="eastAsia" w:ascii="宋体" w:hAnsi="宋体" w:eastAsia="宋体" w:cs="宋体"/>
          <w:sz w:val="24"/>
          <w:highlight w:val="none"/>
        </w:rPr>
        <w:t>)支付总额不超过(</w:t>
      </w:r>
      <w:r>
        <w:rPr>
          <w:rFonts w:hint="eastAsia" w:ascii="宋体" w:hAnsi="宋体" w:eastAsia="宋体" w:cs="宋体"/>
          <w:i/>
          <w:sz w:val="24"/>
          <w:highlight w:val="none"/>
          <w:u w:val="single"/>
        </w:rPr>
        <w:t>货币数量</w:t>
      </w:r>
      <w:r>
        <w:rPr>
          <w:rFonts w:hint="eastAsia" w:ascii="宋体" w:hAnsi="宋体" w:eastAsia="宋体" w:cs="宋体"/>
          <w:sz w:val="24"/>
          <w:highlight w:val="none"/>
        </w:rPr>
        <w:t>),即相当于合同价格的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%,并以此约定如下:</w:t>
      </w:r>
    </w:p>
    <w:p w14:paraId="00CFF85D">
      <w:pPr>
        <w:pStyle w:val="17"/>
        <w:spacing w:line="240" w:lineRule="atLeast"/>
        <w:ind w:left="540" w:leftChars="257"/>
        <w:outlineLvl w:val="9"/>
        <w:rPr>
          <w:rFonts w:hint="eastAsia" w:ascii="宋体" w:hAnsi="宋体" w:eastAsia="宋体" w:cs="宋体"/>
          <w:sz w:val="24"/>
          <w:highlight w:val="none"/>
        </w:rPr>
      </w:pPr>
      <w:r>
        <w:rPr>
          <w:rFonts w:hint="eastAsia" w:ascii="宋体" w:hAnsi="宋体" w:eastAsia="宋体" w:cs="宋体"/>
          <w:sz w:val="24"/>
          <w:highlight w:val="none"/>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575D35DD">
      <w:pPr>
        <w:pStyle w:val="17"/>
        <w:spacing w:line="240" w:lineRule="atLeast"/>
        <w:ind w:left="540"/>
        <w:outlineLvl w:val="9"/>
        <w:rPr>
          <w:rFonts w:hint="eastAsia" w:ascii="宋体" w:hAnsi="宋体" w:eastAsia="宋体" w:cs="宋体"/>
          <w:sz w:val="24"/>
          <w:highlight w:val="none"/>
        </w:rPr>
      </w:pPr>
      <w:r>
        <w:rPr>
          <w:rFonts w:hint="eastAsia" w:ascii="宋体" w:hAnsi="宋体" w:eastAsia="宋体" w:cs="宋体"/>
          <w:sz w:val="24"/>
          <w:highlight w:val="none"/>
        </w:rPr>
        <w:t>2.本保函项下的任何支付应为免税和净值。对于现有或将来的税收、关税、收费、费用扣减或预提税款，不论这些款项是何种性质和由谁征收，都不应从本保函项下的支付中扣除。</w:t>
      </w:r>
    </w:p>
    <w:p w14:paraId="3F3C5903">
      <w:pPr>
        <w:pStyle w:val="17"/>
        <w:spacing w:line="240" w:lineRule="atLeast"/>
        <w:ind w:left="540"/>
        <w:outlineLvl w:val="9"/>
        <w:rPr>
          <w:rFonts w:hint="eastAsia" w:ascii="宋体" w:hAnsi="宋体" w:eastAsia="宋体" w:cs="宋体"/>
          <w:sz w:val="24"/>
          <w:highlight w:val="none"/>
        </w:rPr>
      </w:pPr>
      <w:r>
        <w:rPr>
          <w:rFonts w:hint="eastAsia" w:ascii="宋体" w:hAnsi="宋体" w:eastAsia="宋体" w:cs="宋体"/>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FE770DB">
      <w:pPr>
        <w:pStyle w:val="17"/>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4.本保函在本合同规定的保证期期满前完全有效。</w:t>
      </w:r>
    </w:p>
    <w:p w14:paraId="5EFC6AE4">
      <w:pPr>
        <w:pStyle w:val="17"/>
        <w:spacing w:line="240" w:lineRule="atLeast"/>
        <w:ind w:left="1080" w:leftChars="257" w:hanging="540"/>
        <w:outlineLvl w:val="9"/>
        <w:rPr>
          <w:rFonts w:hint="eastAsia" w:ascii="宋体" w:hAnsi="宋体" w:eastAsia="宋体" w:cs="宋体"/>
          <w:sz w:val="24"/>
          <w:highlight w:val="none"/>
        </w:rPr>
      </w:pPr>
    </w:p>
    <w:p w14:paraId="6BA5DE86">
      <w:pPr>
        <w:pStyle w:val="17"/>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谨启</w:t>
      </w:r>
    </w:p>
    <w:p w14:paraId="7B9A42C5">
      <w:pPr>
        <w:pStyle w:val="17"/>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出具保函银行名称：</w:t>
      </w:r>
      <w:r>
        <w:rPr>
          <w:rFonts w:hint="eastAsia" w:ascii="宋体" w:hAnsi="宋体" w:eastAsia="宋体" w:cs="宋体"/>
          <w:sz w:val="24"/>
          <w:highlight w:val="none"/>
          <w:u w:val="single"/>
        </w:rPr>
        <w:t xml:space="preserve">                             </w:t>
      </w:r>
    </w:p>
    <w:p w14:paraId="31375F2B">
      <w:pPr>
        <w:pStyle w:val="17"/>
        <w:spacing w:line="240" w:lineRule="atLeast"/>
        <w:ind w:left="1080" w:leftChars="257" w:hanging="540"/>
        <w:outlineLvl w:val="9"/>
        <w:rPr>
          <w:rFonts w:hint="eastAsia" w:ascii="宋体" w:hAnsi="宋体" w:eastAsia="宋体" w:cs="宋体"/>
          <w:sz w:val="24"/>
          <w:highlight w:val="none"/>
          <w:u w:val="single"/>
        </w:rPr>
      </w:pPr>
      <w:r>
        <w:rPr>
          <w:rFonts w:hint="eastAsia" w:ascii="宋体" w:hAnsi="宋体" w:eastAsia="宋体" w:cs="宋体"/>
          <w:sz w:val="24"/>
          <w:highlight w:val="none"/>
        </w:rPr>
        <w:t>签字人姓名和职务：</w:t>
      </w:r>
      <w:r>
        <w:rPr>
          <w:rFonts w:hint="eastAsia" w:ascii="宋体" w:hAnsi="宋体" w:eastAsia="宋体" w:cs="宋体"/>
          <w:sz w:val="24"/>
          <w:highlight w:val="none"/>
          <w:u w:val="single"/>
        </w:rPr>
        <w:t xml:space="preserve">                             </w:t>
      </w:r>
    </w:p>
    <w:p w14:paraId="1D6C30C4">
      <w:pPr>
        <w:pStyle w:val="17"/>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签字人签名：</w:t>
      </w:r>
      <w:r>
        <w:rPr>
          <w:rFonts w:hint="eastAsia" w:ascii="宋体" w:hAnsi="宋体" w:eastAsia="宋体" w:cs="宋体"/>
          <w:sz w:val="24"/>
          <w:highlight w:val="none"/>
          <w:u w:val="single"/>
        </w:rPr>
        <w:t xml:space="preserve">                                   </w:t>
      </w:r>
    </w:p>
    <w:p w14:paraId="319CA3CB">
      <w:pPr>
        <w:pStyle w:val="17"/>
        <w:spacing w:line="240" w:lineRule="atLeast"/>
        <w:ind w:left="1080" w:leftChars="257" w:hanging="540"/>
        <w:outlineLvl w:val="9"/>
        <w:rPr>
          <w:rFonts w:hint="eastAsia" w:ascii="宋体" w:hAnsi="宋体" w:eastAsia="宋体" w:cs="宋体"/>
          <w:sz w:val="24"/>
          <w:highlight w:val="none"/>
          <w:u w:val="single"/>
        </w:rPr>
      </w:pPr>
      <w:r>
        <w:rPr>
          <w:rFonts w:hint="eastAsia" w:ascii="宋体" w:hAnsi="宋体" w:eastAsia="宋体" w:cs="宋体"/>
          <w:sz w:val="24"/>
          <w:highlight w:val="none"/>
        </w:rPr>
        <w:t>公章：</w:t>
      </w:r>
      <w:r>
        <w:rPr>
          <w:rFonts w:hint="eastAsia" w:ascii="宋体" w:hAnsi="宋体" w:eastAsia="宋体" w:cs="宋体"/>
          <w:sz w:val="24"/>
          <w:highlight w:val="none"/>
          <w:u w:val="single"/>
        </w:rPr>
        <w:t xml:space="preserve">                                         </w:t>
      </w:r>
    </w:p>
    <w:p w14:paraId="5BC11CAA">
      <w:pPr>
        <w:spacing w:before="0" w:line="240" w:lineRule="auto"/>
        <w:ind w:left="1080" w:leftChars="257" w:hanging="540"/>
        <w:outlineLvl w:val="9"/>
        <w:rPr>
          <w:rFonts w:hint="eastAsia" w:ascii="宋体" w:hAnsi="宋体" w:eastAsia="宋体" w:cs="宋体"/>
          <w:sz w:val="32"/>
          <w:szCs w:val="40"/>
          <w:highlight w:val="none"/>
        </w:rPr>
      </w:pPr>
      <w:r>
        <w:rPr>
          <w:rFonts w:ascii="仿宋_GB2312" w:eastAsia="仿宋_GB2312"/>
          <w:highlight w:val="none"/>
        </w:rPr>
        <w:br w:type="page"/>
      </w:r>
      <w:bookmarkStart w:id="157" w:name="_Toc3904"/>
      <w:bookmarkStart w:id="158" w:name="_Toc518923104"/>
      <w:r>
        <w:rPr>
          <w:rFonts w:hint="eastAsia" w:ascii="宋体" w:hAnsi="宋体" w:eastAsia="宋体" w:cs="宋体"/>
          <w:sz w:val="32"/>
          <w:szCs w:val="40"/>
          <w:highlight w:val="none"/>
        </w:rPr>
        <w:t>附件2：履约担保函格式</w:t>
      </w:r>
      <w:bookmarkEnd w:id="157"/>
      <w:bookmarkEnd w:id="158"/>
    </w:p>
    <w:p w14:paraId="659A221B">
      <w:pPr>
        <w:spacing w:before="0" w:line="240" w:lineRule="auto"/>
        <w:ind w:left="1080" w:leftChars="257" w:hanging="540"/>
        <w:outlineLvl w:val="9"/>
        <w:rPr>
          <w:rFonts w:hint="eastAsia" w:ascii="宋体" w:hAnsi="宋体" w:eastAsia="宋体" w:cs="宋体"/>
          <w:b w:val="0"/>
          <w:highlight w:val="none"/>
        </w:rPr>
      </w:pPr>
      <w:bookmarkStart w:id="159" w:name="_Toc515904842"/>
      <w:bookmarkStart w:id="160" w:name="_Toc6162"/>
      <w:bookmarkStart w:id="161" w:name="_Toc16766"/>
      <w:bookmarkStart w:id="162" w:name="_Toc518923105"/>
      <w:r>
        <w:rPr>
          <w:rFonts w:hint="eastAsia" w:ascii="宋体" w:hAnsi="宋体" w:eastAsia="宋体" w:cs="宋体"/>
          <w:sz w:val="32"/>
          <w:szCs w:val="40"/>
          <w:highlight w:val="none"/>
        </w:rPr>
        <w:t>（采用政府采购信用担保形式时使用）</w:t>
      </w:r>
      <w:bookmarkEnd w:id="159"/>
      <w:bookmarkEnd w:id="160"/>
      <w:bookmarkEnd w:id="161"/>
      <w:bookmarkEnd w:id="162"/>
    </w:p>
    <w:p w14:paraId="42F17386">
      <w:pPr>
        <w:spacing w:line="240" w:lineRule="auto"/>
        <w:ind w:left="1080" w:leftChars="257" w:hanging="540"/>
        <w:outlineLvl w:val="9"/>
        <w:rPr>
          <w:rFonts w:hint="eastAsia" w:ascii="宋体" w:hAnsi="宋体" w:eastAsia="宋体" w:cs="宋体"/>
          <w:b/>
          <w:kern w:val="0"/>
          <w:sz w:val="24"/>
          <w:szCs w:val="20"/>
          <w:highlight w:val="none"/>
        </w:rPr>
      </w:pPr>
    </w:p>
    <w:p w14:paraId="1C9F9C94">
      <w:pPr>
        <w:spacing w:line="24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政府采购履约担保函（项目用）</w:t>
      </w:r>
    </w:p>
    <w:p w14:paraId="465EE37A">
      <w:pPr>
        <w:spacing w:line="24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编号：</w:t>
      </w:r>
    </w:p>
    <w:p w14:paraId="68A290E5">
      <w:pPr>
        <w:spacing w:line="240" w:lineRule="auto"/>
        <w:outlineLvl w:val="9"/>
        <w:rPr>
          <w:rFonts w:hint="eastAsia" w:ascii="宋体" w:hAnsi="宋体" w:eastAsia="宋体" w:cs="宋体"/>
          <w:sz w:val="24"/>
          <w:highlight w:val="none"/>
        </w:rPr>
      </w:pPr>
    </w:p>
    <w:p w14:paraId="4CB07FBE">
      <w:pPr>
        <w:spacing w:line="240" w:lineRule="auto"/>
        <w:outlineLvl w:val="9"/>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（采购人）：</w:t>
      </w:r>
    </w:p>
    <w:p w14:paraId="0926B912">
      <w:pPr>
        <w:spacing w:line="240" w:lineRule="auto"/>
        <w:outlineLvl w:val="9"/>
        <w:rPr>
          <w:rFonts w:hint="eastAsia" w:ascii="宋体" w:hAnsi="宋体" w:eastAsia="宋体" w:cs="宋体"/>
          <w:sz w:val="24"/>
          <w:highlight w:val="none"/>
        </w:rPr>
      </w:pPr>
    </w:p>
    <w:p w14:paraId="1945323F">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鉴于你方与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（以下简称供应商）于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日签定编号为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政府采购合同》（以下简称主合同），且依据该合同的约定，供应商应在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日前向你方交纳履约保证金，且可以履约担保函的形式交纳履约保证金。应供应商的申请，我方以保证的方式向你方提供如下履约保证金担保：</w:t>
      </w:r>
    </w:p>
    <w:p w14:paraId="66BC4198">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一、保证责任的情形及保证金额</w:t>
      </w:r>
    </w:p>
    <w:p w14:paraId="1969D1D0">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（一）在供应商出现下列情形之一时，我方承担保证责任：</w:t>
      </w:r>
    </w:p>
    <w:p w14:paraId="396A503A">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1．将中标项目转让给他人，或者在投标文件中未说明，且未经采购招标机构人同意，将中标项目分包给他人的；</w:t>
      </w:r>
    </w:p>
    <w:p w14:paraId="1582CD06">
      <w:pPr>
        <w:spacing w:line="24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2．主合同约定的应当缴纳履约保证金的情形: </w:t>
      </w:r>
    </w:p>
    <w:p w14:paraId="0DFE5F20">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（1）未按主合同约定的质量、数量和期限供应货物/提供服务/完成工程的；</w:t>
      </w:r>
    </w:p>
    <w:p w14:paraId="01C7A7DA">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4165493C">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（二）我方的保证范围是主合同约定的合同价款总额的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%数额为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），币种为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。（即主合同履约保证金金额）</w:t>
      </w:r>
    </w:p>
    <w:p w14:paraId="1B5F4DBC">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二、保证的方式及保证期间</w:t>
      </w:r>
    </w:p>
    <w:p w14:paraId="73AFD24E">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我方保证的方式为：连带责任保证。</w:t>
      </w:r>
    </w:p>
    <w:p w14:paraId="59499D5C">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我方保证的期间为：自本合同生效之日起至供应商按照主合同约定的供货/完工期限届满后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日内。</w:t>
      </w:r>
    </w:p>
    <w:p w14:paraId="7BBD6367">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如果供应商未按主合同约定向贵方供应货物/提供服务/完成工程的，由我方在保证金额内向你方支付上述款项。</w:t>
      </w:r>
    </w:p>
    <w:p w14:paraId="230F0340">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三、承担保证责任的程序</w:t>
      </w:r>
    </w:p>
    <w:p w14:paraId="74190FCF">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7490B097">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如果你方与供应商因货物质量问题产生争议，你方还需同时提供</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部门出具的质量检测报告，或经诉讼（仲裁）程序裁决后的裁决书、调解书，本保证人即按照检测结果或裁决书、调解书决定是否承担保证责任。</w:t>
      </w:r>
    </w:p>
    <w:p w14:paraId="0F544B04">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 我方收到你方的书面索赔通知及相应证明材料，在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工作日内进行核定后按照本保函的承诺承担保证责任。</w:t>
      </w:r>
    </w:p>
    <w:p w14:paraId="75B98EC6">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四、保证责任的终止</w:t>
      </w:r>
    </w:p>
    <w:p w14:paraId="5A325A83">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6A02B347">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2．我方按照本保函向你方履行了保证责任后，自我方向你方支付款项（支付款项从我方账户划出）之日起，保证责任即终止。</w:t>
      </w:r>
    </w:p>
    <w:p w14:paraId="3CA4B897">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3．按照法律法规的规定或出现应终止我方保证责任的其它情形的，我方在本保函项下的保证责任亦终止。</w:t>
      </w:r>
    </w:p>
    <w:p w14:paraId="319CFE83">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C0DE633">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五、免责条款</w:t>
      </w:r>
    </w:p>
    <w:p w14:paraId="61BA25D6">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1．因你方违反主合同约定致使供应商不能履行义务的，我方不承担保证责任。</w:t>
      </w:r>
    </w:p>
    <w:p w14:paraId="42204DA5">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2．依照法律法规的规定或你方与供应商的另行约定，全部或者部分免除供应商应缴纳的保证金义务的，我方亦免除相应的保证责任。</w:t>
      </w:r>
    </w:p>
    <w:p w14:paraId="0DD6811B">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3．因不可抗力造成供应商不能履行供货义务的，我方不承担保证责任。</w:t>
      </w:r>
    </w:p>
    <w:p w14:paraId="658A2834">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六、争议的解决</w:t>
      </w:r>
    </w:p>
    <w:p w14:paraId="1DA954C9">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因本保函发生的纠纷，由你我双方协商解决，协商不成的，通过诉讼程序解决，诉讼管辖地法院为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法院。</w:t>
      </w:r>
    </w:p>
    <w:p w14:paraId="6B7EB69C">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七、保函的生效</w:t>
      </w:r>
    </w:p>
    <w:p w14:paraId="6ED880BC">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本保函自我方加盖公章之日起生效。</w:t>
      </w:r>
    </w:p>
    <w:p w14:paraId="04266D98">
      <w:pPr>
        <w:spacing w:line="240" w:lineRule="auto"/>
        <w:outlineLvl w:val="9"/>
        <w:rPr>
          <w:rFonts w:hint="eastAsia" w:ascii="宋体" w:hAnsi="宋体" w:eastAsia="宋体" w:cs="宋体"/>
          <w:sz w:val="24"/>
          <w:highlight w:val="none"/>
        </w:rPr>
      </w:pPr>
    </w:p>
    <w:p w14:paraId="3754CE3B">
      <w:pPr>
        <w:spacing w:line="24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CA6D721">
      <w:pPr>
        <w:spacing w:line="240" w:lineRule="auto"/>
        <w:ind w:firstLine="5400" w:firstLineChars="2250"/>
        <w:outlineLvl w:val="9"/>
        <w:rPr>
          <w:rFonts w:hint="eastAsia" w:ascii="宋体" w:hAnsi="宋体" w:eastAsia="宋体" w:cs="宋体"/>
          <w:sz w:val="24"/>
          <w:highlight w:val="none"/>
        </w:rPr>
      </w:pPr>
      <w:r>
        <w:rPr>
          <w:rFonts w:hint="eastAsia" w:ascii="宋体" w:hAnsi="宋体" w:eastAsia="宋体" w:cs="宋体"/>
          <w:sz w:val="24"/>
          <w:highlight w:val="none"/>
        </w:rPr>
        <w:t>保证人：（公章）</w:t>
      </w:r>
    </w:p>
    <w:p w14:paraId="73C1124A">
      <w:pPr>
        <w:spacing w:line="24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0820E183">
      <w:pPr>
        <w:spacing w:line="24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14:paraId="3B6250B2">
      <w:pPr>
        <w:pStyle w:val="7"/>
        <w:spacing w:line="240" w:lineRule="atLeast"/>
        <w:ind w:firstLine="0"/>
        <w:outlineLvl w:val="9"/>
        <w:rPr>
          <w:rFonts w:hint="eastAsia" w:ascii="仿宋_GB2312" w:hAnsi="宋体" w:eastAsia="仿宋_GB2312"/>
          <w:kern w:val="2"/>
          <w:szCs w:val="24"/>
          <w:highlight w:val="none"/>
        </w:rPr>
      </w:pPr>
      <w:r>
        <w:rPr>
          <w:rFonts w:ascii="仿宋_GB2312" w:hAnsi="Arial" w:eastAsia="仿宋_GB2312"/>
          <w:b/>
          <w:highlight w:val="none"/>
        </w:rPr>
        <w:br w:type="page"/>
      </w:r>
    </w:p>
    <w:p w14:paraId="146F9281">
      <w:pPr>
        <w:numPr>
          <w:ilvl w:val="0"/>
          <w:numId w:val="0"/>
        </w:numPr>
        <w:tabs>
          <w:tab w:val="left" w:pos="0"/>
        </w:tabs>
        <w:spacing w:before="0" w:after="0" w:line="240" w:lineRule="atLeast"/>
        <w:ind w:left="14" w:leftChars="0" w:hanging="14" w:firstLineChars="0"/>
        <w:jc w:val="center"/>
        <w:outlineLvl w:val="0"/>
        <w:rPr>
          <w:rFonts w:hint="eastAsia" w:ascii="宋体" w:hAnsi="宋体" w:eastAsia="宋体" w:cs="宋体"/>
          <w:b/>
          <w:kern w:val="44"/>
          <w:sz w:val="32"/>
          <w:szCs w:val="20"/>
          <w:highlight w:val="none"/>
          <w:lang w:val="en-US" w:eastAsia="zh-CN" w:bidi="ar-SA"/>
        </w:rPr>
      </w:pPr>
      <w:bookmarkStart w:id="163" w:name="_Toc31861"/>
      <w:bookmarkStart w:id="164" w:name="_Toc7648"/>
      <w:bookmarkStart w:id="165" w:name="_Toc216582812"/>
      <w:r>
        <w:rPr>
          <w:rFonts w:hint="default" w:ascii="宋体" w:hAnsi="宋体" w:eastAsia="宋体" w:cs="宋体"/>
          <w:b/>
          <w:kern w:val="44"/>
          <w:sz w:val="32"/>
          <w:szCs w:val="20"/>
          <w:highlight w:val="none"/>
          <w:lang w:val="en-US" w:eastAsia="zh-CN" w:bidi="ar-SA"/>
        </w:rPr>
        <w:t>第</w:t>
      </w:r>
      <w:r>
        <w:rPr>
          <w:rFonts w:hint="eastAsia" w:ascii="宋体" w:hAnsi="宋体" w:eastAsia="宋体" w:cs="宋体"/>
          <w:b/>
          <w:kern w:val="44"/>
          <w:sz w:val="32"/>
          <w:szCs w:val="20"/>
          <w:highlight w:val="none"/>
          <w:lang w:val="en-US" w:eastAsia="zh-CN" w:bidi="ar-SA"/>
        </w:rPr>
        <w:t>2</w:t>
      </w:r>
      <w:r>
        <w:rPr>
          <w:rFonts w:hint="default" w:ascii="宋体" w:hAnsi="宋体" w:eastAsia="宋体" w:cs="宋体"/>
          <w:b/>
          <w:kern w:val="44"/>
          <w:sz w:val="32"/>
          <w:szCs w:val="20"/>
          <w:highlight w:val="none"/>
          <w:lang w:val="en-US" w:eastAsia="zh-CN" w:bidi="ar-SA"/>
        </w:rPr>
        <w:t>章</w:t>
      </w:r>
      <w:r>
        <w:rPr>
          <w:rFonts w:hint="eastAsia" w:ascii="宋体" w:hAnsi="宋体" w:eastAsia="宋体" w:cs="宋体"/>
          <w:b/>
          <w:kern w:val="44"/>
          <w:sz w:val="32"/>
          <w:szCs w:val="20"/>
          <w:highlight w:val="none"/>
          <w:lang w:val="en-US" w:eastAsia="zh-CN" w:bidi="ar-SA"/>
        </w:rPr>
        <w:t xml:space="preserve">  </w:t>
      </w:r>
      <w:bookmarkStart w:id="166" w:name="_Toc518923106"/>
      <w:r>
        <w:rPr>
          <w:rFonts w:hint="eastAsia" w:ascii="宋体" w:hAnsi="宋体" w:eastAsia="宋体" w:cs="宋体"/>
          <w:b/>
          <w:kern w:val="44"/>
          <w:sz w:val="32"/>
          <w:szCs w:val="20"/>
          <w:highlight w:val="none"/>
          <w:lang w:val="en-US" w:eastAsia="zh-CN" w:bidi="ar-SA"/>
        </w:rPr>
        <w:t>投标文件格式</w:t>
      </w:r>
      <w:bookmarkEnd w:id="163"/>
      <w:bookmarkEnd w:id="164"/>
      <w:bookmarkEnd w:id="165"/>
      <w:bookmarkEnd w:id="166"/>
    </w:p>
    <w:tbl>
      <w:tblPr>
        <w:tblStyle w:val="38"/>
        <w:tblpPr w:leftFromText="180" w:rightFromText="180" w:vertAnchor="text" w:horzAnchor="page" w:tblpX="1536" w:tblpY="185"/>
        <w:tblOverlap w:val="never"/>
        <w:tblW w:w="5000" w:type="pct"/>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autofit"/>
        <w:tblCellMar>
          <w:top w:w="0" w:type="dxa"/>
          <w:left w:w="108" w:type="dxa"/>
          <w:bottom w:w="0" w:type="dxa"/>
          <w:right w:w="108" w:type="dxa"/>
        </w:tblCellMar>
      </w:tblPr>
      <w:tblGrid>
        <w:gridCol w:w="9288"/>
      </w:tblGrid>
      <w:tr w14:paraId="0C201AF8">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335" w:hRule="atLeast"/>
        </w:trPr>
        <w:tc>
          <w:tcPr>
            <w:tcW w:w="5000" w:type="pct"/>
            <w:shd w:val="clear" w:color="auto" w:fill="FCFEEA"/>
            <w:noWrap w:val="0"/>
            <w:vAlign w:val="top"/>
          </w:tcPr>
          <w:p w14:paraId="26C4242B">
            <w:pPr>
              <w:pStyle w:val="10"/>
              <w:keepNext w:val="0"/>
              <w:keepLines w:val="0"/>
              <w:pageBreakBefore w:val="0"/>
              <w:suppressLineNumbers w:val="0"/>
              <w:kinsoku/>
              <w:wordWrap/>
              <w:overflowPunct/>
              <w:topLinePunct w:val="0"/>
              <w:bidi w:val="0"/>
              <w:spacing w:beforeAutospacing="0" w:after="0" w:afterAutospacing="0" w:line="240" w:lineRule="auto"/>
              <w:ind w:left="0" w:right="0"/>
              <w:jc w:val="center"/>
              <w:outlineLvl w:val="9"/>
              <w:rPr>
                <w:rFonts w:hint="eastAsia" w:ascii="微软雅黑 Light" w:hAnsi="微软雅黑 Light" w:eastAsia="微软雅黑 Light" w:cs="微软雅黑 Light"/>
                <w:b/>
                <w:bCs/>
                <w:color w:val="auto"/>
                <w:sz w:val="28"/>
                <w:szCs w:val="28"/>
                <w:highlight w:val="none"/>
                <w:lang w:val="en-US" w:eastAsia="zh-CN"/>
              </w:rPr>
            </w:pPr>
            <w:r>
              <w:rPr>
                <w:rFonts w:hint="eastAsia" w:ascii="微软雅黑 Light" w:hAnsi="微软雅黑 Light" w:eastAsia="微软雅黑 Light" w:cs="微软雅黑 Light"/>
                <w:b/>
                <w:bCs/>
                <w:color w:val="auto"/>
                <w:sz w:val="28"/>
                <w:szCs w:val="28"/>
                <w:highlight w:val="none"/>
                <w:lang w:val="en-US" w:eastAsia="zh-CN"/>
              </w:rPr>
              <w:t xml:space="preserve">                                                  [正本/副本]</w:t>
            </w:r>
          </w:p>
          <w:p w14:paraId="57537852">
            <w:pPr>
              <w:pStyle w:val="10"/>
              <w:keepNext w:val="0"/>
              <w:keepLines w:val="0"/>
              <w:pageBreakBefore w:val="0"/>
              <w:suppressLineNumbers w:val="0"/>
              <w:kinsoku/>
              <w:wordWrap/>
              <w:overflowPunct/>
              <w:topLinePunct w:val="0"/>
              <w:bidi w:val="0"/>
              <w:spacing w:beforeAutospacing="0" w:after="0" w:afterAutospacing="0" w:line="240" w:lineRule="auto"/>
              <w:ind w:left="0" w:right="0" w:firstLine="4202" w:firstLineChars="1500"/>
              <w:outlineLvl w:val="9"/>
              <w:rPr>
                <w:rFonts w:hint="eastAsia" w:ascii="微软雅黑 Light" w:hAnsi="微软雅黑 Light" w:eastAsia="微软雅黑 Light" w:cs="微软雅黑 Light"/>
                <w:b/>
                <w:bCs/>
                <w:color w:val="auto"/>
                <w:sz w:val="28"/>
                <w:szCs w:val="28"/>
                <w:highlight w:val="none"/>
                <w:lang w:val="en-US" w:eastAsia="zh-CN"/>
              </w:rPr>
            </w:pPr>
          </w:p>
          <w:p w14:paraId="7BC5AB93">
            <w:pPr>
              <w:pStyle w:val="10"/>
              <w:keepNext w:val="0"/>
              <w:keepLines w:val="0"/>
              <w:pageBreakBefore w:val="0"/>
              <w:suppressLineNumbers w:val="0"/>
              <w:kinsoku/>
              <w:wordWrap/>
              <w:overflowPunct/>
              <w:topLinePunct w:val="0"/>
              <w:bidi w:val="0"/>
              <w:spacing w:beforeAutospacing="0" w:after="0" w:afterAutospacing="0" w:line="240" w:lineRule="auto"/>
              <w:ind w:left="0" w:right="0" w:firstLine="4202" w:firstLineChars="1500"/>
              <w:outlineLvl w:val="9"/>
              <w:rPr>
                <w:rFonts w:hint="eastAsia" w:ascii="微软雅黑 Light" w:hAnsi="微软雅黑 Light" w:eastAsia="微软雅黑 Light" w:cs="微软雅黑 Light"/>
                <w:b/>
                <w:bCs/>
                <w:color w:val="auto"/>
                <w:sz w:val="28"/>
                <w:szCs w:val="28"/>
                <w:highlight w:val="none"/>
                <w:lang w:val="en-US" w:eastAsia="zh-CN"/>
              </w:rPr>
            </w:pPr>
          </w:p>
          <w:p w14:paraId="1B7BDA1B">
            <w:pPr>
              <w:pStyle w:val="34"/>
              <w:keepNext w:val="0"/>
              <w:keepLines w:val="0"/>
              <w:pageBreakBefore w:val="0"/>
              <w:suppressLineNumbers w:val="0"/>
              <w:kinsoku/>
              <w:wordWrap/>
              <w:overflowPunct/>
              <w:topLinePunct w:val="0"/>
              <w:bidi w:val="0"/>
              <w:spacing w:beforeAutospacing="0" w:afterAutospacing="0" w:line="240" w:lineRule="auto"/>
              <w:ind w:left="0" w:leftChars="0" w:firstLine="0" w:firstLineChars="0"/>
              <w:jc w:val="center"/>
              <w:outlineLvl w:val="9"/>
              <w:rPr>
                <w:rFonts w:hint="eastAsia" w:ascii="微软雅黑 Light" w:hAnsi="微软雅黑 Light" w:eastAsia="微软雅黑 Light" w:cs="微软雅黑 Light"/>
                <w:b/>
                <w:color w:val="auto"/>
                <w:sz w:val="40"/>
                <w:szCs w:val="40"/>
                <w:highlight w:val="none"/>
                <w:lang w:val="en-US" w:eastAsia="zh-CN"/>
              </w:rPr>
            </w:pPr>
            <w:r>
              <w:rPr>
                <w:rFonts w:hint="eastAsia" w:ascii="微软雅黑 Light" w:hAnsi="微软雅黑 Light" w:eastAsia="微软雅黑 Light" w:cs="微软雅黑 Light"/>
                <w:b/>
                <w:color w:val="auto"/>
                <w:sz w:val="40"/>
                <w:szCs w:val="40"/>
                <w:highlight w:val="none"/>
                <w:lang w:val="en-US" w:eastAsia="zh-CN"/>
              </w:rPr>
              <w:t>XXXXXX项目</w:t>
            </w:r>
          </w:p>
          <w:p w14:paraId="72923167">
            <w:pPr>
              <w:keepNext w:val="0"/>
              <w:keepLines w:val="0"/>
              <w:suppressLineNumbers w:val="0"/>
              <w:spacing w:before="0" w:beforeAutospacing="0" w:after="0" w:afterAutospacing="0"/>
              <w:ind w:left="0" w:right="0"/>
              <w:outlineLvl w:val="9"/>
              <w:rPr>
                <w:rFonts w:hint="eastAsia" w:ascii="Times New Roman" w:hAnsi="Times New Roman" w:cs="Times New Roman"/>
                <w:highlight w:val="none"/>
                <w:lang w:val="en-US" w:eastAsia="zh-CN"/>
              </w:rPr>
            </w:pPr>
          </w:p>
          <w:p w14:paraId="06642ABF">
            <w:pPr>
              <w:keepNext w:val="0"/>
              <w:keepLines w:val="0"/>
              <w:suppressLineNumbers w:val="0"/>
              <w:spacing w:before="0" w:beforeAutospacing="0" w:after="0" w:afterAutospacing="0"/>
              <w:ind w:left="0" w:right="0"/>
              <w:outlineLvl w:val="9"/>
              <w:rPr>
                <w:rFonts w:hint="eastAsia" w:ascii="Times New Roman" w:hAnsi="Times New Roman" w:cs="Times New Roman"/>
                <w:highlight w:val="none"/>
                <w:lang w:val="en-US" w:eastAsia="zh-CN"/>
              </w:rPr>
            </w:pPr>
          </w:p>
          <w:p w14:paraId="5FB6283E">
            <w:pPr>
              <w:pStyle w:val="34"/>
              <w:keepNext w:val="0"/>
              <w:keepLines w:val="0"/>
              <w:pageBreakBefore w:val="0"/>
              <w:suppressLineNumbers w:val="0"/>
              <w:kinsoku/>
              <w:wordWrap/>
              <w:overflowPunct/>
              <w:topLinePunct w:val="0"/>
              <w:bidi w:val="0"/>
              <w:spacing w:beforeAutospacing="0" w:afterAutospacing="0" w:line="240" w:lineRule="auto"/>
              <w:ind w:left="0" w:leftChars="0" w:firstLine="0" w:firstLineChars="0"/>
              <w:jc w:val="center"/>
              <w:outlineLvl w:val="9"/>
              <w:rPr>
                <w:rFonts w:hint="eastAsia" w:ascii="微软雅黑 Light" w:hAnsi="微软雅黑 Light" w:eastAsia="微软雅黑 Light" w:cs="微软雅黑 Light"/>
                <w:b w:val="0"/>
                <w:bCs/>
                <w:color w:val="auto"/>
                <w:sz w:val="28"/>
                <w:szCs w:val="28"/>
                <w:highlight w:val="none"/>
                <w:lang w:val="en-US" w:eastAsia="zh-CN"/>
              </w:rPr>
            </w:pPr>
            <w:r>
              <w:rPr>
                <w:rFonts w:hint="eastAsia" w:ascii="微软雅黑 Light" w:hAnsi="微软雅黑 Light" w:eastAsia="微软雅黑 Light" w:cs="微软雅黑 Light"/>
                <w:b w:val="0"/>
                <w:bCs/>
                <w:color w:val="auto"/>
                <w:sz w:val="28"/>
                <w:szCs w:val="28"/>
                <w:highlight w:val="none"/>
                <w:lang w:val="en-US" w:eastAsia="zh-CN"/>
              </w:rPr>
              <w:t>项目编号：XXXXXXXX</w:t>
            </w:r>
          </w:p>
          <w:p w14:paraId="5539D245">
            <w:pPr>
              <w:pStyle w:val="10"/>
              <w:keepNext w:val="0"/>
              <w:keepLines w:val="0"/>
              <w:pageBreakBefore w:val="0"/>
              <w:suppressLineNumbers w:val="0"/>
              <w:kinsoku/>
              <w:wordWrap/>
              <w:overflowPunct/>
              <w:topLinePunct w:val="0"/>
              <w:bidi w:val="0"/>
              <w:spacing w:beforeAutospacing="0" w:after="0" w:afterAutospacing="0" w:line="240" w:lineRule="auto"/>
              <w:ind w:left="0" w:leftChars="0" w:right="0" w:firstLine="0" w:firstLineChars="0"/>
              <w:jc w:val="center"/>
              <w:outlineLvl w:val="9"/>
              <w:rPr>
                <w:rFonts w:hint="eastAsia" w:ascii="微软雅黑 Light" w:hAnsi="微软雅黑 Light" w:eastAsia="微软雅黑 Light" w:cs="微软雅黑 Light"/>
                <w:b/>
                <w:bCs/>
                <w:color w:val="auto"/>
                <w:sz w:val="21"/>
                <w:szCs w:val="21"/>
                <w:highlight w:val="none"/>
                <w:lang w:val="en-US" w:eastAsia="zh-CN"/>
              </w:rPr>
            </w:pPr>
          </w:p>
          <w:p w14:paraId="7B2738E4">
            <w:pPr>
              <w:pStyle w:val="10"/>
              <w:keepNext w:val="0"/>
              <w:keepLines w:val="0"/>
              <w:pageBreakBefore w:val="0"/>
              <w:suppressLineNumbers w:val="0"/>
              <w:kinsoku/>
              <w:wordWrap/>
              <w:overflowPunct/>
              <w:topLinePunct w:val="0"/>
              <w:bidi w:val="0"/>
              <w:spacing w:beforeAutospacing="0" w:after="0" w:afterAutospacing="0" w:line="240" w:lineRule="auto"/>
              <w:ind w:left="0" w:leftChars="0" w:right="0" w:firstLine="0" w:firstLineChars="0"/>
              <w:jc w:val="center"/>
              <w:outlineLvl w:val="9"/>
              <w:rPr>
                <w:rFonts w:hint="eastAsia" w:ascii="微软雅黑 Light" w:hAnsi="微软雅黑 Light" w:eastAsia="微软雅黑 Light" w:cs="微软雅黑 Light"/>
                <w:b/>
                <w:bCs/>
                <w:color w:val="auto"/>
                <w:sz w:val="40"/>
                <w:szCs w:val="21"/>
                <w:highlight w:val="none"/>
                <w:lang w:val="en-US" w:eastAsia="zh-CN"/>
              </w:rPr>
            </w:pPr>
          </w:p>
          <w:p w14:paraId="799D0CD6">
            <w:pPr>
              <w:pStyle w:val="10"/>
              <w:keepNext w:val="0"/>
              <w:keepLines w:val="0"/>
              <w:pageBreakBefore w:val="0"/>
              <w:suppressLineNumbers w:val="0"/>
              <w:kinsoku/>
              <w:wordWrap/>
              <w:overflowPunct/>
              <w:topLinePunct w:val="0"/>
              <w:bidi w:val="0"/>
              <w:spacing w:beforeAutospacing="0" w:after="0" w:afterAutospacing="0" w:line="240" w:lineRule="auto"/>
              <w:ind w:left="0" w:leftChars="0" w:right="0" w:firstLine="0" w:firstLineChars="0"/>
              <w:jc w:val="center"/>
              <w:outlineLvl w:val="9"/>
              <w:rPr>
                <w:rFonts w:hint="eastAsia" w:ascii="微软雅黑 Light" w:hAnsi="微软雅黑 Light" w:eastAsia="微软雅黑 Light" w:cs="微软雅黑 Light"/>
                <w:b/>
                <w:bCs/>
                <w:color w:val="auto"/>
                <w:sz w:val="48"/>
                <w:highlight w:val="none"/>
                <w:lang w:val="en-US" w:eastAsia="zh-CN"/>
              </w:rPr>
            </w:pPr>
            <w:r>
              <w:rPr>
                <w:rFonts w:hint="eastAsia" w:ascii="微软雅黑 Light" w:hAnsi="微软雅黑 Light" w:eastAsia="微软雅黑 Light" w:cs="微软雅黑 Light"/>
                <w:b/>
                <w:bCs/>
                <w:color w:val="auto"/>
                <w:sz w:val="48"/>
                <w:highlight w:val="none"/>
                <w:lang w:val="en-US" w:eastAsia="zh-CN"/>
              </w:rPr>
              <w:t>投 标 文 件</w:t>
            </w:r>
          </w:p>
          <w:p w14:paraId="6E2C54C2">
            <w:pPr>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jc w:val="center"/>
              <w:outlineLvl w:val="9"/>
              <w:rPr>
                <w:rFonts w:hint="eastAsia" w:ascii="微软雅黑 Light" w:hAnsi="微软雅黑 Light" w:eastAsia="微软雅黑 Light" w:cs="微软雅黑 Light"/>
                <w:b/>
                <w:color w:val="auto"/>
                <w:sz w:val="32"/>
                <w:highlight w:val="none"/>
              </w:rPr>
            </w:pPr>
          </w:p>
          <w:p w14:paraId="1E134931">
            <w:pPr>
              <w:pStyle w:val="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jc w:val="center"/>
              <w:outlineLvl w:val="9"/>
              <w:rPr>
                <w:rFonts w:hint="eastAsia" w:ascii="微软雅黑 Light" w:hAnsi="微软雅黑 Light" w:eastAsia="微软雅黑 Light" w:cs="微软雅黑 Light"/>
                <w:b/>
                <w:color w:val="auto"/>
                <w:sz w:val="32"/>
                <w:highlight w:val="none"/>
              </w:rPr>
            </w:pPr>
          </w:p>
          <w:p w14:paraId="4E6BC36A">
            <w:pPr>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jc w:val="center"/>
              <w:outlineLvl w:val="9"/>
              <w:rPr>
                <w:rFonts w:hint="eastAsia" w:ascii="微软雅黑 Light" w:hAnsi="微软雅黑 Light" w:eastAsia="微软雅黑 Light" w:cs="微软雅黑 Light"/>
                <w:b/>
                <w:bCs/>
                <w:color w:val="auto"/>
                <w:highlight w:val="none"/>
              </w:rPr>
            </w:pPr>
            <w:r>
              <w:rPr>
                <w:rFonts w:hint="eastAsia" w:ascii="微软雅黑 Light" w:hAnsi="微软雅黑 Light" w:eastAsia="微软雅黑 Light" w:cs="微软雅黑 Light"/>
                <w:b/>
                <w:bCs/>
                <w:color w:val="auto"/>
                <w:highlight w:val="none"/>
              </w:rPr>
              <w:t>注：在20</w:t>
            </w:r>
            <w:r>
              <w:rPr>
                <w:rFonts w:hint="eastAsia" w:ascii="微软雅黑 Light" w:hAnsi="微软雅黑 Light" w:eastAsia="微软雅黑 Light" w:cs="微软雅黑 Light"/>
                <w:b/>
                <w:bCs/>
                <w:color w:val="auto"/>
                <w:highlight w:val="none"/>
                <w:lang w:val="en-US" w:eastAsia="zh-CN"/>
              </w:rPr>
              <w:t>25</w:t>
            </w:r>
            <w:r>
              <w:rPr>
                <w:rFonts w:hint="eastAsia" w:ascii="微软雅黑 Light" w:hAnsi="微软雅黑 Light" w:eastAsia="微软雅黑 Light" w:cs="微软雅黑 Light"/>
                <w:b/>
                <w:bCs/>
                <w:color w:val="auto"/>
                <w:highlight w:val="none"/>
              </w:rPr>
              <w:t>年   月  日</w:t>
            </w:r>
            <w:r>
              <w:rPr>
                <w:rFonts w:hint="eastAsia" w:ascii="微软雅黑 Light" w:hAnsi="微软雅黑 Light" w:eastAsia="微软雅黑 Light" w:cs="微软雅黑 Light"/>
                <w:b/>
                <w:bCs/>
                <w:color w:val="auto"/>
                <w:highlight w:val="none"/>
                <w:lang w:val="en-US" w:eastAsia="zh-CN"/>
              </w:rPr>
              <w:t xml:space="preserve"> *</w:t>
            </w:r>
            <w:r>
              <w:rPr>
                <w:rFonts w:hint="eastAsia" w:ascii="微软雅黑 Light" w:hAnsi="微软雅黑 Light" w:eastAsia="微软雅黑 Light" w:cs="微软雅黑 Light"/>
                <w:b/>
                <w:bCs/>
                <w:color w:val="auto"/>
                <w:highlight w:val="none"/>
              </w:rPr>
              <w:t xml:space="preserve">午   </w:t>
            </w:r>
            <w:r>
              <w:rPr>
                <w:rFonts w:hint="eastAsia" w:ascii="微软雅黑 Light" w:hAnsi="微软雅黑 Light" w:eastAsia="微软雅黑 Light" w:cs="微软雅黑 Light"/>
                <w:b/>
                <w:bCs/>
                <w:color w:val="auto"/>
                <w:highlight w:val="none"/>
                <w:lang w:eastAsia="zh-CN"/>
              </w:rPr>
              <w:t>（</w:t>
            </w:r>
            <w:r>
              <w:rPr>
                <w:rFonts w:hint="eastAsia" w:ascii="微软雅黑 Light" w:hAnsi="微软雅黑 Light" w:eastAsia="微软雅黑 Light" w:cs="微软雅黑 Light"/>
                <w:b/>
                <w:bCs/>
                <w:color w:val="auto"/>
                <w:highlight w:val="none"/>
                <w:lang w:val="en-US" w:eastAsia="zh-CN"/>
              </w:rPr>
              <w:t>北京时间</w:t>
            </w:r>
            <w:r>
              <w:rPr>
                <w:rFonts w:hint="eastAsia" w:ascii="微软雅黑 Light" w:hAnsi="微软雅黑 Light" w:eastAsia="微软雅黑 Light" w:cs="微软雅黑 Light"/>
                <w:b/>
                <w:bCs/>
                <w:color w:val="auto"/>
                <w:highlight w:val="none"/>
                <w:lang w:eastAsia="zh-CN"/>
              </w:rPr>
              <w:t>）</w:t>
            </w:r>
            <w:r>
              <w:rPr>
                <w:rFonts w:hint="eastAsia" w:ascii="微软雅黑 Light" w:hAnsi="微软雅黑 Light" w:eastAsia="微软雅黑 Light" w:cs="微软雅黑 Light"/>
                <w:b/>
                <w:bCs/>
                <w:color w:val="auto"/>
                <w:highlight w:val="none"/>
              </w:rPr>
              <w:t>之前不得启封</w:t>
            </w:r>
          </w:p>
          <w:p w14:paraId="5ABB4A53">
            <w:pPr>
              <w:pStyle w:val="7"/>
              <w:keepNext w:val="0"/>
              <w:keepLines w:val="0"/>
              <w:pageBreakBefore w:val="0"/>
              <w:suppressLineNumbers w:val="0"/>
              <w:kinsoku/>
              <w:wordWrap/>
              <w:overflowPunct/>
              <w:topLinePunct w:val="0"/>
              <w:bidi w:val="0"/>
              <w:spacing w:before="0" w:beforeAutospacing="0" w:after="0" w:afterAutospacing="0" w:line="240" w:lineRule="auto"/>
              <w:ind w:left="0" w:right="0"/>
              <w:outlineLvl w:val="9"/>
              <w:rPr>
                <w:rFonts w:hint="eastAsia" w:ascii="微软雅黑 Light" w:hAnsi="微软雅黑 Light" w:eastAsia="微软雅黑 Light" w:cs="微软雅黑 Light"/>
                <w:b/>
                <w:color w:val="auto"/>
                <w:sz w:val="32"/>
                <w:highlight w:val="none"/>
              </w:rPr>
            </w:pPr>
          </w:p>
          <w:p w14:paraId="558A67AD">
            <w:pPr>
              <w:pStyle w:val="7"/>
              <w:keepNext w:val="0"/>
              <w:keepLines w:val="0"/>
              <w:pageBreakBefore w:val="0"/>
              <w:suppressLineNumbers w:val="0"/>
              <w:kinsoku/>
              <w:wordWrap/>
              <w:overflowPunct/>
              <w:topLinePunct w:val="0"/>
              <w:bidi w:val="0"/>
              <w:spacing w:before="0" w:beforeAutospacing="0" w:after="0" w:afterAutospacing="0" w:line="240" w:lineRule="auto"/>
              <w:ind w:left="0" w:right="0"/>
              <w:outlineLvl w:val="9"/>
              <w:rPr>
                <w:rFonts w:hint="eastAsia" w:ascii="微软雅黑 Light" w:hAnsi="微软雅黑 Light" w:eastAsia="微软雅黑 Light" w:cs="微软雅黑 Light"/>
                <w:b/>
                <w:color w:val="auto"/>
                <w:sz w:val="32"/>
                <w:highlight w:val="none"/>
              </w:rPr>
            </w:pPr>
          </w:p>
          <w:p w14:paraId="6BAA1830">
            <w:pPr>
              <w:pStyle w:val="7"/>
              <w:keepNext w:val="0"/>
              <w:keepLines w:val="0"/>
              <w:pageBreakBefore w:val="0"/>
              <w:suppressLineNumbers w:val="0"/>
              <w:kinsoku/>
              <w:wordWrap/>
              <w:overflowPunct/>
              <w:topLinePunct w:val="0"/>
              <w:bidi w:val="0"/>
              <w:spacing w:before="0" w:beforeAutospacing="0" w:after="0" w:afterAutospacing="0" w:line="240" w:lineRule="auto"/>
              <w:ind w:left="0" w:right="0"/>
              <w:outlineLvl w:val="9"/>
              <w:rPr>
                <w:rFonts w:hint="eastAsia" w:ascii="微软雅黑 Light" w:hAnsi="微软雅黑 Light" w:eastAsia="微软雅黑 Light" w:cs="微软雅黑 Light"/>
                <w:b/>
                <w:color w:val="auto"/>
                <w:sz w:val="32"/>
                <w:highlight w:val="none"/>
              </w:rPr>
            </w:pPr>
          </w:p>
          <w:p w14:paraId="17ECED3C">
            <w:pPr>
              <w:keepNext w:val="0"/>
              <w:keepLines w:val="0"/>
              <w:pageBreakBefore w:val="0"/>
              <w:suppressLineNumbers w:val="0"/>
              <w:kinsoku/>
              <w:wordWrap/>
              <w:overflowPunct/>
              <w:topLinePunct w:val="0"/>
              <w:bidi w:val="0"/>
              <w:spacing w:before="0" w:beforeAutospacing="0" w:after="0" w:afterAutospacing="0" w:line="240" w:lineRule="auto"/>
              <w:ind w:left="176" w:leftChars="84" w:right="0" w:firstLine="840" w:firstLineChars="400"/>
              <w:outlineLvl w:val="9"/>
              <w:rPr>
                <w:rFonts w:hint="eastAsia" w:ascii="微软雅黑 Light" w:hAnsi="微软雅黑 Light" w:eastAsia="微软雅黑 Light" w:cs="微软雅黑 Light"/>
                <w:color w:val="auto"/>
                <w:szCs w:val="21"/>
                <w:highlight w:val="none"/>
              </w:rPr>
            </w:pPr>
            <w:r>
              <w:rPr>
                <w:rFonts w:hint="eastAsia" w:ascii="微软雅黑 Light" w:hAnsi="微软雅黑 Light" w:eastAsia="微软雅黑 Light" w:cs="微软雅黑 Light"/>
                <w:color w:val="auto"/>
                <w:szCs w:val="21"/>
                <w:highlight w:val="none"/>
              </w:rPr>
              <w:t>投标单位：</w:t>
            </w:r>
            <w:r>
              <w:rPr>
                <w:rFonts w:hint="eastAsia" w:ascii="微软雅黑 Light" w:hAnsi="微软雅黑 Light" w:eastAsia="微软雅黑 Light" w:cs="微软雅黑 Light"/>
                <w:color w:val="auto"/>
                <w:szCs w:val="21"/>
                <w:highlight w:val="none"/>
                <w:u w:val="single"/>
              </w:rPr>
              <w:t xml:space="preserve">                                       </w:t>
            </w:r>
            <w:r>
              <w:rPr>
                <w:rFonts w:hint="eastAsia" w:ascii="微软雅黑 Light" w:hAnsi="微软雅黑 Light" w:eastAsia="微软雅黑 Light" w:cs="微软雅黑 Light"/>
                <w:color w:val="auto"/>
                <w:szCs w:val="21"/>
                <w:highlight w:val="none"/>
              </w:rPr>
              <w:t>（公章）</w:t>
            </w:r>
          </w:p>
          <w:p w14:paraId="07A95CA4">
            <w:pPr>
              <w:keepNext w:val="0"/>
              <w:keepLines w:val="0"/>
              <w:pageBreakBefore w:val="0"/>
              <w:suppressLineNumbers w:val="0"/>
              <w:kinsoku/>
              <w:wordWrap/>
              <w:overflowPunct/>
              <w:topLinePunct w:val="0"/>
              <w:bidi w:val="0"/>
              <w:spacing w:before="0" w:beforeAutospacing="0" w:after="0" w:afterAutospacing="0" w:line="240" w:lineRule="auto"/>
              <w:ind w:left="176" w:leftChars="84" w:right="0" w:firstLine="840" w:firstLineChars="400"/>
              <w:outlineLvl w:val="9"/>
              <w:rPr>
                <w:rFonts w:hint="eastAsia" w:ascii="微软雅黑 Light" w:hAnsi="微软雅黑 Light" w:eastAsia="微软雅黑 Light" w:cs="微软雅黑 Light"/>
                <w:color w:val="auto"/>
                <w:szCs w:val="21"/>
                <w:highlight w:val="none"/>
                <w:u w:val="single"/>
              </w:rPr>
            </w:pPr>
            <w:r>
              <w:rPr>
                <w:rFonts w:hint="eastAsia" w:ascii="微软雅黑 Light" w:hAnsi="微软雅黑 Light" w:eastAsia="微软雅黑 Light" w:cs="微软雅黑 Light"/>
                <w:color w:val="auto"/>
                <w:szCs w:val="21"/>
                <w:highlight w:val="none"/>
              </w:rPr>
              <w:t>地    址：</w:t>
            </w:r>
            <w:r>
              <w:rPr>
                <w:rFonts w:hint="eastAsia" w:ascii="微软雅黑 Light" w:hAnsi="微软雅黑 Light" w:eastAsia="微软雅黑 Light" w:cs="微软雅黑 Light"/>
                <w:color w:val="auto"/>
                <w:szCs w:val="21"/>
                <w:highlight w:val="none"/>
                <w:u w:val="single"/>
              </w:rPr>
              <w:t xml:space="preserve">                        </w:t>
            </w:r>
            <w:r>
              <w:rPr>
                <w:rFonts w:hint="eastAsia" w:ascii="微软雅黑 Light" w:hAnsi="微软雅黑 Light" w:eastAsia="微软雅黑 Light" w:cs="微软雅黑 Light"/>
                <w:color w:val="auto"/>
                <w:szCs w:val="21"/>
                <w:highlight w:val="none"/>
                <w:u w:val="single"/>
                <w:lang w:val="en-US" w:eastAsia="zh-CN"/>
              </w:rPr>
              <w:t xml:space="preserve">    </w:t>
            </w:r>
            <w:r>
              <w:rPr>
                <w:rFonts w:hint="eastAsia" w:ascii="微软雅黑 Light" w:hAnsi="微软雅黑 Light" w:eastAsia="微软雅黑 Light" w:cs="微软雅黑 Light"/>
                <w:color w:val="auto"/>
                <w:szCs w:val="21"/>
                <w:highlight w:val="none"/>
                <w:u w:val="single"/>
              </w:rPr>
              <w:t xml:space="preserve">            </w:t>
            </w:r>
          </w:p>
          <w:p w14:paraId="75A79A29">
            <w:pPr>
              <w:keepNext w:val="0"/>
              <w:keepLines w:val="0"/>
              <w:pageBreakBefore w:val="0"/>
              <w:suppressLineNumbers w:val="0"/>
              <w:kinsoku/>
              <w:wordWrap/>
              <w:overflowPunct/>
              <w:topLinePunct w:val="0"/>
              <w:bidi w:val="0"/>
              <w:spacing w:before="0" w:beforeAutospacing="0" w:after="0" w:afterAutospacing="0" w:line="240" w:lineRule="auto"/>
              <w:ind w:left="176" w:leftChars="84" w:right="0" w:firstLine="840" w:firstLineChars="400"/>
              <w:outlineLvl w:val="9"/>
              <w:rPr>
                <w:rFonts w:hint="eastAsia" w:ascii="微软雅黑 Light" w:hAnsi="微软雅黑 Light" w:eastAsia="微软雅黑 Light" w:cs="微软雅黑 Light"/>
                <w:color w:val="auto"/>
                <w:szCs w:val="21"/>
                <w:highlight w:val="none"/>
                <w:u w:val="single"/>
              </w:rPr>
            </w:pPr>
            <w:r>
              <w:rPr>
                <w:rFonts w:hint="eastAsia" w:ascii="微软雅黑 Light" w:hAnsi="微软雅黑 Light" w:eastAsia="微软雅黑 Light" w:cs="微软雅黑 Light"/>
                <w:color w:val="auto"/>
                <w:szCs w:val="21"/>
                <w:highlight w:val="none"/>
              </w:rPr>
              <w:t>联 系 人：</w:t>
            </w:r>
            <w:r>
              <w:rPr>
                <w:rFonts w:hint="eastAsia" w:ascii="微软雅黑 Light" w:hAnsi="微软雅黑 Light" w:eastAsia="微软雅黑 Light" w:cs="微软雅黑 Light"/>
                <w:color w:val="auto"/>
                <w:szCs w:val="21"/>
                <w:highlight w:val="none"/>
                <w:u w:val="single"/>
              </w:rPr>
              <w:t xml:space="preserve">                                        </w:t>
            </w:r>
          </w:p>
          <w:p w14:paraId="4A861990">
            <w:pPr>
              <w:keepNext w:val="0"/>
              <w:keepLines w:val="0"/>
              <w:pageBreakBefore w:val="0"/>
              <w:suppressLineNumbers w:val="0"/>
              <w:kinsoku/>
              <w:wordWrap/>
              <w:overflowPunct/>
              <w:topLinePunct w:val="0"/>
              <w:bidi w:val="0"/>
              <w:spacing w:before="0" w:beforeAutospacing="0" w:after="0" w:afterAutospacing="0" w:line="240" w:lineRule="auto"/>
              <w:ind w:left="176" w:leftChars="84" w:right="0" w:firstLine="840" w:firstLineChars="400"/>
              <w:outlineLvl w:val="9"/>
              <w:rPr>
                <w:rFonts w:hint="eastAsia" w:ascii="微软雅黑 Light" w:hAnsi="微软雅黑 Light" w:eastAsia="微软雅黑 Light" w:cs="微软雅黑 Light"/>
                <w:color w:val="auto"/>
                <w:szCs w:val="21"/>
                <w:highlight w:val="none"/>
              </w:rPr>
            </w:pPr>
            <w:r>
              <w:rPr>
                <w:rFonts w:hint="eastAsia" w:ascii="微软雅黑 Light" w:hAnsi="微软雅黑 Light" w:eastAsia="微软雅黑 Light" w:cs="微软雅黑 Light"/>
                <w:color w:val="auto"/>
                <w:szCs w:val="21"/>
                <w:highlight w:val="none"/>
              </w:rPr>
              <w:t>电    话：</w:t>
            </w:r>
            <w:r>
              <w:rPr>
                <w:rFonts w:hint="eastAsia" w:ascii="微软雅黑 Light" w:hAnsi="微软雅黑 Light" w:eastAsia="微软雅黑 Light" w:cs="微软雅黑 Light"/>
                <w:color w:val="auto"/>
                <w:szCs w:val="21"/>
                <w:highlight w:val="none"/>
                <w:u w:val="single"/>
              </w:rPr>
              <w:t xml:space="preserve">                                        </w:t>
            </w:r>
          </w:p>
          <w:p w14:paraId="62F3FCB8">
            <w:pPr>
              <w:keepNext w:val="0"/>
              <w:keepLines w:val="0"/>
              <w:pageBreakBefore w:val="0"/>
              <w:suppressLineNumbers w:val="0"/>
              <w:kinsoku/>
              <w:wordWrap/>
              <w:overflowPunct/>
              <w:topLinePunct w:val="0"/>
              <w:bidi w:val="0"/>
              <w:spacing w:before="0" w:beforeAutospacing="0" w:after="0" w:afterAutospacing="0" w:line="240" w:lineRule="auto"/>
              <w:ind w:left="176" w:leftChars="84" w:right="0" w:firstLine="840" w:firstLineChars="400"/>
              <w:outlineLvl w:val="9"/>
              <w:rPr>
                <w:rFonts w:hint="eastAsia" w:ascii="微软雅黑 Light" w:hAnsi="微软雅黑 Light" w:eastAsia="微软雅黑 Light" w:cs="微软雅黑 Light"/>
                <w:color w:val="auto"/>
                <w:highlight w:val="none"/>
                <w:lang w:val="en-US" w:eastAsia="zh-CN"/>
              </w:rPr>
            </w:pPr>
            <w:r>
              <w:rPr>
                <w:rFonts w:hint="eastAsia" w:ascii="微软雅黑 Light" w:hAnsi="微软雅黑 Light" w:eastAsia="微软雅黑 Light" w:cs="微软雅黑 Light"/>
                <w:color w:val="auto"/>
                <w:highlight w:val="none"/>
                <w:lang w:val="en-US" w:eastAsia="zh-CN"/>
              </w:rPr>
              <w:t>日    期：</w:t>
            </w:r>
            <w:r>
              <w:rPr>
                <w:rFonts w:hint="eastAsia" w:ascii="微软雅黑 Light" w:hAnsi="微软雅黑 Light" w:eastAsia="微软雅黑 Light" w:cs="微软雅黑 Light"/>
                <w:color w:val="auto"/>
                <w:szCs w:val="21"/>
                <w:highlight w:val="none"/>
                <w:u w:val="single"/>
              </w:rPr>
              <w:t xml:space="preserve">                                        </w:t>
            </w:r>
          </w:p>
          <w:p w14:paraId="7BB9D287">
            <w:pPr>
              <w:keepNext w:val="0"/>
              <w:keepLines w:val="0"/>
              <w:pageBreakBefore w:val="0"/>
              <w:suppressLineNumbers w:val="0"/>
              <w:kinsoku/>
              <w:wordWrap/>
              <w:overflowPunct/>
              <w:topLinePunct w:val="0"/>
              <w:bidi w:val="0"/>
              <w:spacing w:before="0" w:beforeAutospacing="0" w:after="0" w:afterAutospacing="0" w:line="240" w:lineRule="auto"/>
              <w:ind w:left="0" w:right="0"/>
              <w:jc w:val="both"/>
              <w:outlineLvl w:val="9"/>
              <w:rPr>
                <w:rFonts w:hint="eastAsia" w:ascii="微软雅黑 Light" w:hAnsi="微软雅黑 Light" w:eastAsia="微软雅黑 Light" w:cs="微软雅黑 Light"/>
                <w:b/>
                <w:bCs/>
                <w:color w:val="auto"/>
                <w:highlight w:val="none"/>
              </w:rPr>
            </w:pPr>
          </w:p>
          <w:p w14:paraId="7DE99645">
            <w:pPr>
              <w:keepNext w:val="0"/>
              <w:keepLines w:val="0"/>
              <w:pageBreakBefore w:val="0"/>
              <w:suppressLineNumbers w:val="0"/>
              <w:kinsoku/>
              <w:wordWrap/>
              <w:overflowPunct/>
              <w:topLinePunct w:val="0"/>
              <w:bidi w:val="0"/>
              <w:spacing w:before="0" w:beforeAutospacing="0" w:after="0" w:afterAutospacing="0" w:line="240" w:lineRule="auto"/>
              <w:ind w:left="0" w:right="0"/>
              <w:jc w:val="center"/>
              <w:outlineLvl w:val="9"/>
              <w:rPr>
                <w:rFonts w:hint="eastAsia" w:ascii="微软雅黑 Light" w:hAnsi="微软雅黑 Light" w:eastAsia="微软雅黑 Light" w:cs="微软雅黑 Light"/>
                <w:b/>
                <w:bCs/>
                <w:color w:val="auto"/>
                <w:highlight w:val="none"/>
              </w:rPr>
            </w:pPr>
          </w:p>
        </w:tc>
      </w:tr>
    </w:tbl>
    <w:p w14:paraId="28BD55F8">
      <w:pPr>
        <w:spacing w:line="240" w:lineRule="atLeast"/>
        <w:ind w:left="0" w:leftChars="0" w:firstLine="0" w:firstLineChars="0"/>
        <w:outlineLvl w:val="9"/>
        <w:rPr>
          <w:rFonts w:hint="eastAsia" w:ascii="宋体" w:hAnsi="宋体" w:eastAsia="宋体" w:cs="宋体"/>
          <w:sz w:val="24"/>
          <w:highlight w:val="none"/>
        </w:rPr>
      </w:pPr>
    </w:p>
    <w:p w14:paraId="7278AD57">
      <w:pPr>
        <w:spacing w:line="240" w:lineRule="atLeast"/>
        <w:ind w:left="735" w:leftChars="350" w:firstLine="120" w:firstLineChars="50"/>
        <w:outlineLvl w:val="9"/>
        <w:rPr>
          <w:rFonts w:hint="eastAsia" w:ascii="宋体" w:hAnsi="宋体" w:eastAsia="宋体" w:cs="宋体"/>
          <w:sz w:val="24"/>
          <w:highlight w:val="none"/>
        </w:rPr>
      </w:pPr>
    </w:p>
    <w:p w14:paraId="7C816C98">
      <w:pPr>
        <w:spacing w:line="240" w:lineRule="atLeast"/>
        <w:ind w:left="735" w:leftChars="350" w:firstLine="120" w:firstLineChars="50"/>
        <w:outlineLvl w:val="9"/>
        <w:rPr>
          <w:rFonts w:hint="eastAsia" w:ascii="宋体" w:hAnsi="宋体" w:eastAsia="宋体" w:cs="宋体"/>
          <w:sz w:val="24"/>
          <w:highlight w:val="none"/>
        </w:rPr>
      </w:pPr>
    </w:p>
    <w:p w14:paraId="2F083C36">
      <w:pPr>
        <w:spacing w:line="240" w:lineRule="atLeast"/>
        <w:ind w:left="735" w:leftChars="350" w:firstLine="120" w:firstLineChars="50"/>
        <w:outlineLvl w:val="9"/>
        <w:rPr>
          <w:rFonts w:hint="eastAsia" w:ascii="宋体" w:hAnsi="宋体" w:eastAsia="宋体" w:cs="宋体"/>
          <w:sz w:val="24"/>
          <w:highlight w:val="none"/>
        </w:rPr>
      </w:pPr>
    </w:p>
    <w:p w14:paraId="28E2E0E0">
      <w:pPr>
        <w:spacing w:before="0" w:line="240" w:lineRule="atLeast"/>
        <w:ind w:left="1080" w:leftChars="257" w:hanging="540"/>
        <w:outlineLvl w:val="1"/>
        <w:rPr>
          <w:rFonts w:hint="eastAsia" w:ascii="宋体" w:hAnsi="宋体" w:eastAsia="宋体" w:cs="宋体"/>
          <w:sz w:val="24"/>
          <w:highlight w:val="none"/>
        </w:rPr>
      </w:pPr>
      <w:bookmarkStart w:id="167" w:name="_Toc518923107"/>
      <w:bookmarkStart w:id="168" w:name="_Toc13271"/>
      <w:bookmarkStart w:id="169" w:name="_Toc22290"/>
      <w:r>
        <w:rPr>
          <w:rFonts w:hint="eastAsia" w:ascii="宋体" w:hAnsi="宋体" w:eastAsia="宋体" w:cs="宋体"/>
          <w:sz w:val="24"/>
          <w:highlight w:val="none"/>
        </w:rPr>
        <w:t>第一部分 开标一览表及资格证明文件</w:t>
      </w:r>
      <w:bookmarkEnd w:id="167"/>
      <w:bookmarkEnd w:id="168"/>
      <w:bookmarkEnd w:id="169"/>
    </w:p>
    <w:p w14:paraId="5F9167BE">
      <w:pPr>
        <w:spacing w:line="240" w:lineRule="atLeast"/>
        <w:ind w:left="708" w:hanging="708" w:hangingChars="295"/>
        <w:jc w:val="center"/>
        <w:outlineLvl w:val="9"/>
        <w:rPr>
          <w:rFonts w:hint="eastAsia" w:ascii="宋体" w:hAnsi="宋体" w:eastAsia="宋体" w:cs="宋体"/>
          <w:sz w:val="24"/>
          <w:highlight w:val="none"/>
        </w:rPr>
      </w:pPr>
    </w:p>
    <w:p w14:paraId="1D3DA8A1">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1、开标一览表（响应文件格式一）；</w:t>
      </w:r>
    </w:p>
    <w:p w14:paraId="55D487D8">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2、投标人法人或者非法人组织的营业执照等证明文件（须加盖本单位章）；</w:t>
      </w:r>
    </w:p>
    <w:p w14:paraId="6FCC7BE1">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3、</w:t>
      </w:r>
      <w:r>
        <w:rPr>
          <w:rFonts w:hint="eastAsia" w:ascii="宋体" w:hAnsi="宋体" w:eastAsia="宋体" w:cs="宋体"/>
          <w:sz w:val="24"/>
          <w:szCs w:val="24"/>
          <w:highlight w:val="none"/>
          <w:lang w:eastAsia="zh-CN"/>
        </w:rPr>
        <w:t>法定代表人资格证明或法定代表人授权委托书，自然人响应的无需提供；</w:t>
      </w:r>
    </w:p>
    <w:p w14:paraId="31CD8188">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 xml:space="preserve">4、提供本单位缴纳的近6个月内任意1个月的社保缴费凭证及单位缴费个人明细表（社保证明可含：社保缴费凭证、社保缴费汇总单、依法缴纳社保的完税证明）；  </w:t>
      </w:r>
    </w:p>
    <w:p w14:paraId="64BE010D">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5、具有良好的商业信誉和健全的财务会计制度或者提供最近一年（2024年）的财务审计报告（成立不满一年的提供开标前一个月内有效银行资信证明）；</w:t>
      </w:r>
    </w:p>
    <w:p w14:paraId="02AFA47B">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6、提供近6个月内任意1个月税务局开具的完税证明；依法免缴的应提供依法免缴的相关证明文件和零申报报表（完税证明或税务部门出具的其他证明，非社会保险类）；</w:t>
      </w:r>
    </w:p>
    <w:p w14:paraId="0BE48774">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7、投标单位（供应商）针对本次项目《反商业贿赂承诺书》；</w:t>
      </w:r>
    </w:p>
    <w:p w14:paraId="6AC026D5">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8、提供参与政府采购活动前3年内未被列入失信、重大税收违法案件、财政部门禁止参加政府采购活动的承诺书；</w:t>
      </w:r>
    </w:p>
    <w:p w14:paraId="4ACE4A4D">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9、缴纳磋商保证金的有效凭证；</w:t>
      </w:r>
    </w:p>
    <w:p w14:paraId="04852FF8">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10、</w:t>
      </w:r>
      <w:r>
        <w:rPr>
          <w:rFonts w:hint="eastAsia" w:ascii="宋体" w:hAnsi="宋体" w:eastAsia="宋体" w:cs="宋体"/>
          <w:b w:val="0"/>
          <w:bCs w:val="0"/>
          <w:color w:val="auto"/>
          <w:kern w:val="0"/>
          <w:sz w:val="24"/>
          <w:szCs w:val="24"/>
          <w:highlight w:val="none"/>
          <w:u w:val="none"/>
          <w:lang w:val="en-US" w:eastAsia="zh-CN" w:bidi="ar-SA"/>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被列入失信被执行人、重大税收违法案件当事人名单(信用服务-失信惩戒对象查询-搜索栏输入单位全称 -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14:paraId="498ABF37">
      <w:pPr>
        <w:pStyle w:val="17"/>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11.、符合《政府采购促进中小企业发展暂行办法》、和《三部门联合发布关于促进残疾人就业政府采购政策的通知》价格扣减条件的投标人须提交）</w:t>
      </w:r>
    </w:p>
    <w:p w14:paraId="50D720B6">
      <w:pPr>
        <w:pStyle w:val="17"/>
        <w:keepNext w:val="0"/>
        <w:keepLines w:val="0"/>
        <w:pageBreakBefore w:val="0"/>
        <w:widowControl w:val="0"/>
        <w:kinsoku/>
        <w:wordWrap/>
        <w:overflowPunct/>
        <w:topLinePunct w:val="0"/>
        <w:autoSpaceDE/>
        <w:autoSpaceDN/>
        <w:bidi w:val="0"/>
        <w:adjustRightInd/>
        <w:snapToGrid/>
        <w:spacing w:line="400" w:lineRule="exact"/>
        <w:ind w:left="311" w:leftChars="148" w:firstLine="228"/>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11-1《</w:t>
      </w:r>
      <w:r>
        <w:rPr>
          <w:rFonts w:hint="eastAsia" w:hAnsi="宋体" w:cs="宋体"/>
          <w:b w:val="0"/>
          <w:bCs w:val="0"/>
          <w:color w:val="auto"/>
          <w:kern w:val="0"/>
          <w:sz w:val="24"/>
          <w:szCs w:val="24"/>
          <w:highlight w:val="none"/>
          <w:u w:val="none"/>
          <w:lang w:val="en-US" w:eastAsia="zh-CN" w:bidi="ar-SA"/>
        </w:rPr>
        <w:t>中小企业声明函</w:t>
      </w: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sz w:val="24"/>
          <w:highlight w:val="none"/>
          <w:lang w:eastAsia="zh-CN"/>
        </w:rPr>
        <w:t>（</w:t>
      </w:r>
      <w:r>
        <w:rPr>
          <w:rFonts w:hint="eastAsia" w:ascii="宋体" w:hAnsi="宋体" w:eastAsia="宋体" w:cs="宋体"/>
          <w:sz w:val="24"/>
          <w:highlight w:val="none"/>
        </w:rPr>
        <w:t>响应文件格式</w:t>
      </w:r>
      <w:r>
        <w:rPr>
          <w:rFonts w:hint="eastAsia" w:ascii="宋体" w:hAnsi="宋体" w:eastAsia="宋体" w:cs="宋体"/>
          <w:sz w:val="24"/>
          <w:highlight w:val="none"/>
          <w:lang w:val="en-US" w:eastAsia="zh-CN"/>
        </w:rPr>
        <w:t>八</w:t>
      </w:r>
      <w:r>
        <w:rPr>
          <w:rFonts w:hint="eastAsia" w:ascii="宋体" w:hAnsi="宋体" w:eastAsia="宋体" w:cs="宋体"/>
          <w:sz w:val="24"/>
          <w:highlight w:val="none"/>
          <w:lang w:eastAsia="zh-CN"/>
        </w:rPr>
        <w:t>）</w:t>
      </w:r>
    </w:p>
    <w:p w14:paraId="4A76B49F">
      <w:pPr>
        <w:pStyle w:val="17"/>
        <w:keepNext w:val="0"/>
        <w:keepLines w:val="0"/>
        <w:pageBreakBefore w:val="0"/>
        <w:widowControl w:val="0"/>
        <w:kinsoku/>
        <w:wordWrap/>
        <w:overflowPunct/>
        <w:topLinePunct w:val="0"/>
        <w:autoSpaceDE/>
        <w:autoSpaceDN/>
        <w:bidi w:val="0"/>
        <w:adjustRightInd/>
        <w:snapToGrid/>
        <w:spacing w:line="400" w:lineRule="exact"/>
        <w:ind w:left="311" w:leftChars="148" w:firstLine="228"/>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11-2《残疾人福利性单位声明函》</w:t>
      </w:r>
      <w:r>
        <w:rPr>
          <w:rFonts w:hint="eastAsia" w:hAnsi="宋体" w:cs="宋体"/>
          <w:b w:val="0"/>
          <w:bCs w:val="0"/>
          <w:color w:val="auto"/>
          <w:kern w:val="0"/>
          <w:sz w:val="24"/>
          <w:szCs w:val="24"/>
          <w:highlight w:val="none"/>
          <w:u w:val="none"/>
          <w:lang w:val="en-US" w:eastAsia="zh-CN" w:bidi="ar-SA"/>
        </w:rPr>
        <w:t>（可选）</w:t>
      </w:r>
    </w:p>
    <w:p w14:paraId="0B4F03E4">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ascii="仿宋_GB2312" w:hAnsi="宋体" w:eastAsia="仿宋_GB2312"/>
          <w:sz w:val="24"/>
          <w:highlight w:val="none"/>
        </w:rPr>
      </w:pPr>
    </w:p>
    <w:p w14:paraId="141D93CC">
      <w:pPr>
        <w:pStyle w:val="10"/>
        <w:outlineLvl w:val="9"/>
        <w:rPr>
          <w:highlight w:val="none"/>
        </w:rPr>
      </w:pPr>
    </w:p>
    <w:p w14:paraId="1595123A">
      <w:pPr>
        <w:tabs>
          <w:tab w:val="left" w:pos="5580"/>
        </w:tabs>
        <w:spacing w:line="240" w:lineRule="atLeast"/>
        <w:ind w:left="1" w:firstLine="564" w:firstLineChars="235"/>
        <w:outlineLvl w:val="9"/>
        <w:rPr>
          <w:rFonts w:ascii="仿宋_GB2312" w:hAnsi="宋体" w:eastAsia="仿宋_GB2312"/>
          <w:sz w:val="24"/>
          <w:highlight w:val="none"/>
        </w:rPr>
      </w:pPr>
    </w:p>
    <w:p w14:paraId="1428CC23">
      <w:pPr>
        <w:tabs>
          <w:tab w:val="left" w:pos="5580"/>
        </w:tabs>
        <w:spacing w:line="240" w:lineRule="atLeast"/>
        <w:ind w:left="1" w:firstLine="564" w:firstLineChars="235"/>
        <w:outlineLvl w:val="9"/>
        <w:rPr>
          <w:rFonts w:ascii="仿宋_GB2312" w:hAnsi="宋体" w:eastAsia="仿宋_GB2312"/>
          <w:sz w:val="24"/>
          <w:highlight w:val="none"/>
        </w:rPr>
      </w:pPr>
    </w:p>
    <w:p w14:paraId="4416885D">
      <w:pPr>
        <w:tabs>
          <w:tab w:val="left" w:pos="5580"/>
        </w:tabs>
        <w:spacing w:line="240" w:lineRule="atLeast"/>
        <w:ind w:left="1" w:firstLine="564" w:firstLineChars="235"/>
        <w:outlineLvl w:val="9"/>
        <w:rPr>
          <w:rFonts w:hint="eastAsia" w:ascii="宋体" w:hAnsi="宋体" w:eastAsia="宋体" w:cs="宋体"/>
          <w:sz w:val="24"/>
          <w:highlight w:val="none"/>
        </w:rPr>
      </w:pPr>
    </w:p>
    <w:p w14:paraId="5C9D2B4E">
      <w:pPr>
        <w:spacing w:before="0" w:line="240" w:lineRule="atLeast"/>
        <w:ind w:left="1080" w:leftChars="257" w:hanging="540"/>
        <w:outlineLvl w:val="9"/>
        <w:rPr>
          <w:rFonts w:hint="eastAsia" w:ascii="宋体" w:hAnsi="宋体" w:eastAsia="宋体" w:cs="宋体"/>
          <w:sz w:val="24"/>
          <w:highlight w:val="none"/>
        </w:rPr>
      </w:pPr>
      <w:bookmarkStart w:id="170" w:name="_Toc16592"/>
      <w:bookmarkStart w:id="171" w:name="_Toc518923108"/>
      <w:bookmarkStart w:id="172" w:name="_Toc9018"/>
    </w:p>
    <w:p w14:paraId="487BCBF0">
      <w:pPr>
        <w:spacing w:before="0" w:line="240" w:lineRule="atLeast"/>
        <w:ind w:left="1080" w:leftChars="257" w:hanging="540"/>
        <w:outlineLvl w:val="9"/>
        <w:rPr>
          <w:rFonts w:hint="eastAsia" w:ascii="宋体" w:hAnsi="宋体" w:eastAsia="宋体" w:cs="宋体"/>
          <w:sz w:val="24"/>
          <w:highlight w:val="none"/>
        </w:rPr>
      </w:pPr>
    </w:p>
    <w:p w14:paraId="0B26A957">
      <w:pPr>
        <w:rPr>
          <w:rFonts w:hint="eastAsia" w:ascii="宋体" w:hAnsi="宋体" w:eastAsia="宋体" w:cs="宋体"/>
          <w:sz w:val="24"/>
          <w:highlight w:val="none"/>
        </w:rPr>
      </w:pPr>
      <w:r>
        <w:rPr>
          <w:rFonts w:hint="eastAsia" w:ascii="宋体" w:hAnsi="宋体" w:eastAsia="宋体" w:cs="宋体"/>
          <w:sz w:val="24"/>
          <w:highlight w:val="none"/>
        </w:rPr>
        <w:br w:type="page"/>
      </w:r>
    </w:p>
    <w:p w14:paraId="16DA1FB4">
      <w:pPr>
        <w:spacing w:before="0"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b/>
          <w:bCs/>
          <w:sz w:val="28"/>
          <w:szCs w:val="28"/>
          <w:highlight w:val="none"/>
        </w:rPr>
        <w:t>1  开标一览表</w:t>
      </w:r>
      <w:bookmarkEnd w:id="170"/>
      <w:bookmarkEnd w:id="171"/>
      <w:bookmarkEnd w:id="172"/>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响应文件格式一</w:t>
      </w:r>
      <w:r>
        <w:rPr>
          <w:rFonts w:hint="eastAsia" w:ascii="宋体" w:hAnsi="宋体" w:eastAsia="宋体" w:cs="宋体"/>
          <w:b/>
          <w:bCs/>
          <w:sz w:val="28"/>
          <w:szCs w:val="28"/>
          <w:highlight w:val="none"/>
          <w:lang w:eastAsia="zh-CN"/>
        </w:rPr>
        <w:t>）</w:t>
      </w:r>
    </w:p>
    <w:p w14:paraId="3BF465F4">
      <w:pPr>
        <w:pStyle w:val="17"/>
        <w:tabs>
          <w:tab w:val="left" w:pos="5580"/>
        </w:tabs>
        <w:spacing w:line="240" w:lineRule="atLeast"/>
        <w:ind w:left="269" w:leftChars="128"/>
        <w:outlineLvl w:val="9"/>
        <w:rPr>
          <w:rFonts w:hint="eastAsia" w:ascii="宋体" w:hAnsi="宋体" w:eastAsia="宋体" w:cs="宋体"/>
          <w:sz w:val="24"/>
          <w:highlight w:val="none"/>
        </w:rPr>
      </w:pPr>
    </w:p>
    <w:p w14:paraId="65525381">
      <w:pPr>
        <w:pStyle w:val="17"/>
        <w:tabs>
          <w:tab w:val="left" w:pos="5580"/>
        </w:tabs>
        <w:spacing w:line="240" w:lineRule="atLeast"/>
        <w:ind w:left="269" w:leftChars="128"/>
        <w:outlineLvl w:val="9"/>
        <w:rPr>
          <w:rFonts w:hint="eastAsia" w:ascii="宋体" w:hAnsi="宋体" w:eastAsia="宋体" w:cs="宋体"/>
          <w:sz w:val="24"/>
          <w:szCs w:val="24"/>
          <w:highlight w:val="none"/>
        </w:rPr>
      </w:pPr>
    </w:p>
    <w:p w14:paraId="1BD599AE">
      <w:pPr>
        <w:pStyle w:val="7"/>
        <w:tabs>
          <w:tab w:val="left" w:pos="5580"/>
        </w:tabs>
        <w:spacing w:line="240" w:lineRule="atLeast"/>
        <w:ind w:left="1080" w:leftChars="257" w:hanging="540"/>
        <w:jc w:val="center"/>
        <w:outlineLvl w:val="9"/>
        <w:rPr>
          <w:rFonts w:hint="eastAsia" w:ascii="宋体" w:hAnsi="宋体" w:eastAsia="宋体" w:cs="宋体"/>
          <w:b/>
          <w:highlight w:val="none"/>
        </w:rPr>
      </w:pPr>
      <w:bookmarkStart w:id="173" w:name="_Hlt520356241"/>
      <w:bookmarkEnd w:id="173"/>
      <w:bookmarkStart w:id="174" w:name="_Toc494296984"/>
      <w:bookmarkStart w:id="175" w:name="_Ref467988698"/>
      <w:bookmarkStart w:id="176" w:name="_Toc480942349"/>
      <w:bookmarkStart w:id="177" w:name="_Toc216582813"/>
      <w:bookmarkStart w:id="178" w:name="_Toc520356217"/>
      <w:r>
        <w:rPr>
          <w:rFonts w:hint="eastAsia" w:ascii="宋体" w:hAnsi="宋体" w:eastAsia="宋体" w:cs="宋体"/>
          <w:b/>
          <w:highlight w:val="none"/>
        </w:rPr>
        <w:t>开标一览表</w:t>
      </w:r>
      <w:bookmarkEnd w:id="174"/>
      <w:r>
        <w:rPr>
          <w:rFonts w:hint="eastAsia" w:ascii="宋体" w:hAnsi="宋体" w:eastAsia="宋体" w:cs="宋体"/>
          <w:b/>
          <w:highlight w:val="none"/>
        </w:rPr>
        <w:cr/>
      </w:r>
    </w:p>
    <w:p w14:paraId="213799F5">
      <w:pPr>
        <w:pStyle w:val="7"/>
        <w:tabs>
          <w:tab w:val="left" w:pos="5580"/>
        </w:tabs>
        <w:spacing w:line="240" w:lineRule="atLeast"/>
        <w:ind w:left="1080" w:leftChars="257" w:hanging="540"/>
        <w:outlineLvl w:val="9"/>
        <w:rPr>
          <w:rFonts w:hint="eastAsia" w:ascii="宋体" w:hAnsi="宋体" w:eastAsia="宋体" w:cs="宋体"/>
          <w:highlight w:val="none"/>
        </w:rPr>
      </w:pPr>
    </w:p>
    <w:p w14:paraId="0387B761">
      <w:pPr>
        <w:tabs>
          <w:tab w:val="left" w:pos="1800"/>
          <w:tab w:val="left" w:pos="5580"/>
        </w:tabs>
        <w:spacing w:line="240" w:lineRule="atLeast"/>
        <w:ind w:left="-1" w:leftChars="0" w:right="-867" w:rightChars="-413"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项目名称：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项目编号</w:t>
      </w:r>
      <w:r>
        <w:rPr>
          <w:rFonts w:hint="eastAsia" w:ascii="宋体" w:hAnsi="宋体" w:eastAsia="宋体" w:cs="宋体"/>
          <w:sz w:val="24"/>
          <w:highlight w:val="none"/>
        </w:rPr>
        <w:t xml:space="preserve">：                      </w:t>
      </w:r>
    </w:p>
    <w:p w14:paraId="0B261787">
      <w:pPr>
        <w:tabs>
          <w:tab w:val="left" w:pos="1800"/>
          <w:tab w:val="left" w:pos="5580"/>
        </w:tabs>
        <w:spacing w:line="240" w:lineRule="atLeast"/>
        <w:ind w:left="-1" w:leftChars="0" w:right="-867" w:rightChars="-413"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报价单位：人民币</w:t>
      </w:r>
      <w:r>
        <w:rPr>
          <w:rFonts w:hint="eastAsia" w:ascii="宋体" w:hAnsi="宋体" w:eastAsia="宋体" w:cs="宋体"/>
          <w:b/>
          <w:sz w:val="24"/>
          <w:highlight w:val="none"/>
        </w:rPr>
        <w:t>元</w:t>
      </w:r>
      <w:r>
        <w:rPr>
          <w:rFonts w:hint="eastAsia" w:ascii="宋体" w:hAnsi="宋体" w:eastAsia="宋体" w:cs="宋体"/>
          <w:b/>
          <w:sz w:val="24"/>
          <w:highlight w:val="none"/>
          <w:lang w:val="en-US" w:eastAsia="zh-CN"/>
        </w:rPr>
        <w:t xml:space="preserve">                </w:t>
      </w:r>
      <w:r>
        <w:rPr>
          <w:rFonts w:hint="eastAsia" w:ascii="宋体" w:hAnsi="宋体" w:eastAsia="宋体" w:cs="宋体"/>
          <w:sz w:val="24"/>
          <w:highlight w:val="none"/>
        </w:rPr>
        <w:t>分包号：</w:t>
      </w:r>
    </w:p>
    <w:tbl>
      <w:tblPr>
        <w:tblStyle w:val="38"/>
        <w:tblW w:w="4551" w:type="pct"/>
        <w:tblInd w:w="0" w:type="dxa"/>
        <w:tblLayout w:type="autofit"/>
        <w:tblCellMar>
          <w:top w:w="0" w:type="dxa"/>
          <w:left w:w="0" w:type="dxa"/>
          <w:bottom w:w="0" w:type="dxa"/>
          <w:right w:w="0" w:type="dxa"/>
        </w:tblCellMar>
      </w:tblPr>
      <w:tblGrid>
        <w:gridCol w:w="1596"/>
        <w:gridCol w:w="2636"/>
        <w:gridCol w:w="1626"/>
        <w:gridCol w:w="1142"/>
        <w:gridCol w:w="1271"/>
      </w:tblGrid>
      <w:tr w14:paraId="30978F21">
        <w:tblPrEx>
          <w:tblCellMar>
            <w:top w:w="0" w:type="dxa"/>
            <w:left w:w="0" w:type="dxa"/>
            <w:bottom w:w="0" w:type="dxa"/>
            <w:right w:w="0" w:type="dxa"/>
          </w:tblCellMar>
        </w:tblPrEx>
        <w:trPr>
          <w:trHeight w:val="793" w:hRule="atLeast"/>
        </w:trPr>
        <w:tc>
          <w:tcPr>
            <w:tcW w:w="965" w:type="pct"/>
            <w:tcBorders>
              <w:top w:val="single" w:color="auto" w:sz="4" w:space="0"/>
              <w:left w:val="single" w:color="auto" w:sz="4" w:space="0"/>
              <w:bottom w:val="single" w:color="auto" w:sz="8" w:space="0"/>
              <w:right w:val="single" w:color="auto" w:sz="4" w:space="0"/>
            </w:tcBorders>
            <w:noWrap w:val="0"/>
            <w:vAlign w:val="center"/>
          </w:tcPr>
          <w:p w14:paraId="42495187">
            <w:pPr>
              <w:keepNext w:val="0"/>
              <w:keepLines w:val="0"/>
              <w:suppressLineNumbers w:val="0"/>
              <w:tabs>
                <w:tab w:val="left" w:pos="5580"/>
              </w:tabs>
              <w:spacing w:before="0" w:beforeAutospacing="0" w:after="0" w:afterAutospacing="0" w:line="240" w:lineRule="atLeast"/>
              <w:ind w:left="0" w:right="-199"/>
              <w:jc w:val="center"/>
              <w:outlineLvl w:val="9"/>
              <w:rPr>
                <w:rFonts w:hint="eastAsia" w:ascii="宋体" w:hAnsi="宋体" w:eastAsia="宋体" w:cs="宋体"/>
                <w:sz w:val="24"/>
                <w:highlight w:val="none"/>
              </w:rPr>
            </w:pPr>
            <w:r>
              <w:rPr>
                <w:rFonts w:hint="eastAsia" w:ascii="宋体" w:hAnsi="宋体" w:eastAsia="宋体" w:cs="宋体"/>
                <w:sz w:val="24"/>
                <w:highlight w:val="none"/>
              </w:rPr>
              <w:t>服务名称</w:t>
            </w:r>
          </w:p>
        </w:tc>
        <w:tc>
          <w:tcPr>
            <w:tcW w:w="1593" w:type="pct"/>
            <w:tcBorders>
              <w:top w:val="single" w:color="auto" w:sz="4" w:space="0"/>
              <w:left w:val="single" w:color="auto" w:sz="8" w:space="0"/>
              <w:bottom w:val="single" w:color="auto" w:sz="8" w:space="0"/>
              <w:right w:val="single" w:color="auto" w:sz="4" w:space="0"/>
            </w:tcBorders>
            <w:noWrap w:val="0"/>
            <w:vAlign w:val="center"/>
          </w:tcPr>
          <w:p w14:paraId="66EBDE1F">
            <w:pPr>
              <w:keepNext w:val="0"/>
              <w:keepLines w:val="0"/>
              <w:suppressLineNumbers w:val="0"/>
              <w:tabs>
                <w:tab w:val="left" w:pos="5580"/>
              </w:tabs>
              <w:spacing w:before="0" w:beforeAutospacing="0" w:after="0" w:afterAutospacing="0" w:line="240" w:lineRule="atLeast"/>
              <w:ind w:left="0" w:right="0"/>
              <w:jc w:val="center"/>
              <w:outlineLvl w:val="9"/>
              <w:rPr>
                <w:rFonts w:hint="eastAsia" w:ascii="宋体" w:hAnsi="宋体" w:eastAsia="宋体" w:cs="宋体"/>
                <w:sz w:val="24"/>
                <w:highlight w:val="none"/>
              </w:rPr>
            </w:pPr>
            <w:r>
              <w:rPr>
                <w:rFonts w:hint="eastAsia" w:ascii="宋体" w:hAnsi="宋体" w:eastAsia="宋体" w:cs="宋体"/>
                <w:sz w:val="24"/>
                <w:highlight w:val="none"/>
              </w:rPr>
              <w:t>投标总价</w:t>
            </w:r>
          </w:p>
        </w:tc>
        <w:tc>
          <w:tcPr>
            <w:tcW w:w="983" w:type="pct"/>
            <w:tcBorders>
              <w:top w:val="single" w:color="auto" w:sz="8" w:space="0"/>
              <w:left w:val="nil"/>
              <w:bottom w:val="single" w:color="auto" w:sz="8" w:space="0"/>
              <w:right w:val="single" w:color="auto" w:sz="4" w:space="0"/>
            </w:tcBorders>
            <w:noWrap w:val="0"/>
            <w:vAlign w:val="center"/>
          </w:tcPr>
          <w:p w14:paraId="50EB544F">
            <w:pPr>
              <w:keepNext w:val="0"/>
              <w:keepLines w:val="0"/>
              <w:suppressLineNumbers w:val="0"/>
              <w:tabs>
                <w:tab w:val="left" w:pos="5580"/>
              </w:tabs>
              <w:spacing w:before="0" w:beforeAutospacing="0" w:after="0" w:afterAutospacing="0" w:line="240" w:lineRule="atLeast"/>
              <w:ind w:left="0" w:right="0"/>
              <w:jc w:val="center"/>
              <w:outlineLvl w:val="9"/>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项目负责人</w:t>
            </w:r>
          </w:p>
        </w:tc>
        <w:tc>
          <w:tcPr>
            <w:tcW w:w="690" w:type="pct"/>
            <w:tcBorders>
              <w:top w:val="single" w:color="auto" w:sz="8" w:space="0"/>
              <w:left w:val="nil"/>
              <w:bottom w:val="single" w:color="auto" w:sz="8" w:space="0"/>
              <w:right w:val="single" w:color="auto" w:sz="4" w:space="0"/>
            </w:tcBorders>
            <w:noWrap w:val="0"/>
            <w:vAlign w:val="center"/>
          </w:tcPr>
          <w:p w14:paraId="534F838D">
            <w:pPr>
              <w:keepNext w:val="0"/>
              <w:keepLines w:val="0"/>
              <w:suppressLineNumbers w:val="0"/>
              <w:tabs>
                <w:tab w:val="left" w:pos="5580"/>
              </w:tabs>
              <w:spacing w:before="0" w:beforeAutospacing="0" w:after="0" w:afterAutospacing="0" w:line="240" w:lineRule="atLeast"/>
              <w:ind w:left="0" w:right="0"/>
              <w:jc w:val="center"/>
              <w:outlineLvl w:val="9"/>
              <w:rPr>
                <w:rFonts w:hint="eastAsia" w:ascii="宋体" w:hAnsi="宋体" w:eastAsia="宋体" w:cs="宋体"/>
                <w:sz w:val="24"/>
                <w:highlight w:val="none"/>
              </w:rPr>
            </w:pPr>
            <w:r>
              <w:rPr>
                <w:rFonts w:hint="eastAsia" w:ascii="宋体" w:hAnsi="宋体" w:eastAsia="宋体" w:cs="宋体"/>
                <w:sz w:val="24"/>
                <w:highlight w:val="none"/>
              </w:rPr>
              <w:t>履约地点</w:t>
            </w:r>
          </w:p>
        </w:tc>
        <w:tc>
          <w:tcPr>
            <w:tcW w:w="768" w:type="pct"/>
            <w:tcBorders>
              <w:top w:val="single" w:color="auto" w:sz="8" w:space="0"/>
              <w:left w:val="single" w:color="auto" w:sz="4" w:space="0"/>
              <w:bottom w:val="single" w:color="auto" w:sz="8" w:space="0"/>
              <w:right w:val="single" w:color="auto" w:sz="8" w:space="0"/>
            </w:tcBorders>
            <w:noWrap w:val="0"/>
            <w:vAlign w:val="center"/>
          </w:tcPr>
          <w:p w14:paraId="6B657B60">
            <w:pPr>
              <w:keepNext w:val="0"/>
              <w:keepLines w:val="0"/>
              <w:suppressLineNumbers w:val="0"/>
              <w:tabs>
                <w:tab w:val="left" w:pos="5580"/>
              </w:tabs>
              <w:spacing w:before="0" w:beforeAutospacing="0" w:after="0" w:afterAutospacing="0" w:line="240" w:lineRule="atLeast"/>
              <w:ind w:left="0" w:right="0"/>
              <w:jc w:val="center"/>
              <w:outlineLvl w:val="9"/>
              <w:rPr>
                <w:rFonts w:hint="eastAsia" w:ascii="宋体" w:hAnsi="宋体" w:eastAsia="宋体" w:cs="宋体"/>
                <w:sz w:val="24"/>
                <w:highlight w:val="none"/>
              </w:rPr>
            </w:pPr>
            <w:r>
              <w:rPr>
                <w:rFonts w:hint="eastAsia" w:ascii="宋体" w:hAnsi="宋体" w:eastAsia="宋体" w:cs="宋体"/>
                <w:sz w:val="24"/>
                <w:highlight w:val="none"/>
              </w:rPr>
              <w:t>备注</w:t>
            </w:r>
          </w:p>
        </w:tc>
      </w:tr>
      <w:tr w14:paraId="7FBD8AC5">
        <w:tblPrEx>
          <w:tblCellMar>
            <w:top w:w="0" w:type="dxa"/>
            <w:left w:w="0" w:type="dxa"/>
            <w:bottom w:w="0" w:type="dxa"/>
            <w:right w:w="0" w:type="dxa"/>
          </w:tblCellMar>
        </w:tblPrEx>
        <w:trPr>
          <w:cantSplit/>
          <w:trHeight w:val="1941" w:hRule="atLeast"/>
        </w:trPr>
        <w:tc>
          <w:tcPr>
            <w:tcW w:w="965" w:type="pct"/>
            <w:tcBorders>
              <w:top w:val="single" w:color="auto" w:sz="8" w:space="0"/>
              <w:left w:val="single" w:color="auto" w:sz="4" w:space="0"/>
              <w:bottom w:val="single" w:color="auto" w:sz="4" w:space="0"/>
              <w:right w:val="single" w:color="auto" w:sz="4" w:space="0"/>
            </w:tcBorders>
            <w:noWrap w:val="0"/>
            <w:vAlign w:val="center"/>
          </w:tcPr>
          <w:p w14:paraId="0A379B9B">
            <w:pPr>
              <w:keepNext w:val="0"/>
              <w:keepLines w:val="0"/>
              <w:suppressLineNumbers w:val="0"/>
              <w:tabs>
                <w:tab w:val="left" w:pos="5580"/>
              </w:tabs>
              <w:spacing w:before="0" w:beforeAutospacing="0" w:after="0" w:afterAutospacing="0" w:line="240" w:lineRule="atLeast"/>
              <w:ind w:left="1080" w:leftChars="257" w:right="0" w:hanging="540"/>
              <w:jc w:val="center"/>
              <w:outlineLvl w:val="9"/>
              <w:rPr>
                <w:rFonts w:hint="eastAsia" w:ascii="宋体" w:hAnsi="宋体" w:eastAsia="宋体" w:cs="宋体"/>
                <w:sz w:val="24"/>
                <w:highlight w:val="none"/>
              </w:rPr>
            </w:pPr>
          </w:p>
        </w:tc>
        <w:tc>
          <w:tcPr>
            <w:tcW w:w="1593" w:type="pct"/>
            <w:tcBorders>
              <w:top w:val="single" w:color="auto" w:sz="8" w:space="0"/>
              <w:left w:val="single" w:color="auto" w:sz="8" w:space="0"/>
              <w:bottom w:val="single" w:color="auto" w:sz="4" w:space="0"/>
              <w:right w:val="single" w:color="auto" w:sz="4" w:space="0"/>
            </w:tcBorders>
            <w:noWrap w:val="0"/>
            <w:vAlign w:val="center"/>
          </w:tcPr>
          <w:p w14:paraId="03D748A1">
            <w:pPr>
              <w:keepNext w:val="0"/>
              <w:keepLines w:val="0"/>
              <w:suppressLineNumbers w:val="0"/>
              <w:tabs>
                <w:tab w:val="left" w:pos="5580"/>
              </w:tabs>
              <w:spacing w:before="0" w:beforeAutospacing="0" w:after="0" w:afterAutospacing="0" w:line="240" w:lineRule="atLeast"/>
              <w:ind w:left="0" w:right="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小</w:t>
            </w:r>
            <w:r>
              <w:rPr>
                <w:rFonts w:hint="eastAsia" w:ascii="宋体" w:hAnsi="宋体" w:eastAsia="宋体" w:cs="宋体"/>
                <w:sz w:val="24"/>
                <w:highlight w:val="none"/>
              </w:rPr>
              <w:t>写：</w:t>
            </w:r>
          </w:p>
          <w:p w14:paraId="5191D3D8">
            <w:pPr>
              <w:keepNext w:val="0"/>
              <w:keepLines w:val="0"/>
              <w:suppressLineNumbers w:val="0"/>
              <w:tabs>
                <w:tab w:val="left" w:pos="5580"/>
              </w:tabs>
              <w:spacing w:before="0" w:beforeAutospacing="0" w:after="0" w:afterAutospacing="0" w:line="240" w:lineRule="atLeast"/>
              <w:ind w:left="0" w:right="0"/>
              <w:jc w:val="left"/>
              <w:outlineLvl w:val="9"/>
              <w:rPr>
                <w:rFonts w:hint="eastAsia" w:ascii="宋体" w:hAnsi="宋体" w:eastAsia="宋体" w:cs="宋体"/>
                <w:sz w:val="24"/>
                <w:highlight w:val="none"/>
              </w:rPr>
            </w:pPr>
          </w:p>
          <w:p w14:paraId="443C4E7F">
            <w:pPr>
              <w:keepNext w:val="0"/>
              <w:keepLines w:val="0"/>
              <w:suppressLineNumbers w:val="0"/>
              <w:tabs>
                <w:tab w:val="left" w:pos="5580"/>
              </w:tabs>
              <w:spacing w:before="0" w:beforeAutospacing="0" w:after="0" w:afterAutospacing="0" w:line="240" w:lineRule="atLeast"/>
              <w:ind w:left="0" w:right="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大</w:t>
            </w:r>
            <w:r>
              <w:rPr>
                <w:rFonts w:hint="eastAsia" w:ascii="宋体" w:hAnsi="宋体" w:eastAsia="宋体" w:cs="宋体"/>
                <w:sz w:val="24"/>
                <w:highlight w:val="none"/>
              </w:rPr>
              <w:t>写：</w:t>
            </w:r>
          </w:p>
        </w:tc>
        <w:tc>
          <w:tcPr>
            <w:tcW w:w="983" w:type="pct"/>
            <w:tcBorders>
              <w:top w:val="single" w:color="auto" w:sz="8" w:space="0"/>
              <w:left w:val="nil"/>
              <w:bottom w:val="single" w:color="auto" w:sz="4" w:space="0"/>
              <w:right w:val="single" w:color="auto" w:sz="4" w:space="0"/>
            </w:tcBorders>
            <w:noWrap w:val="0"/>
            <w:vAlign w:val="center"/>
          </w:tcPr>
          <w:p w14:paraId="46BB4E8D">
            <w:pPr>
              <w:keepNext w:val="0"/>
              <w:keepLines w:val="0"/>
              <w:suppressLineNumbers w:val="0"/>
              <w:tabs>
                <w:tab w:val="left" w:pos="5580"/>
              </w:tabs>
              <w:spacing w:before="0" w:beforeAutospacing="0" w:after="0" w:afterAutospacing="0" w:line="240" w:lineRule="atLeast"/>
              <w:ind w:left="1080" w:leftChars="257" w:right="0" w:hanging="540"/>
              <w:jc w:val="center"/>
              <w:outlineLvl w:val="9"/>
              <w:rPr>
                <w:rFonts w:hint="eastAsia" w:ascii="宋体" w:hAnsi="宋体" w:eastAsia="宋体" w:cs="宋体"/>
                <w:sz w:val="24"/>
                <w:highlight w:val="none"/>
              </w:rPr>
            </w:pPr>
          </w:p>
        </w:tc>
        <w:tc>
          <w:tcPr>
            <w:tcW w:w="690" w:type="pct"/>
            <w:tcBorders>
              <w:top w:val="single" w:color="auto" w:sz="8" w:space="0"/>
              <w:left w:val="nil"/>
              <w:bottom w:val="single" w:color="auto" w:sz="4" w:space="0"/>
              <w:right w:val="single" w:color="auto" w:sz="4" w:space="0"/>
            </w:tcBorders>
            <w:noWrap w:val="0"/>
            <w:vAlign w:val="center"/>
          </w:tcPr>
          <w:p w14:paraId="3D3B72A9">
            <w:pPr>
              <w:keepNext w:val="0"/>
              <w:keepLines w:val="0"/>
              <w:suppressLineNumbers w:val="0"/>
              <w:tabs>
                <w:tab w:val="left" w:pos="5580"/>
              </w:tabs>
              <w:spacing w:before="0" w:beforeAutospacing="0" w:after="0" w:afterAutospacing="0" w:line="240" w:lineRule="atLeast"/>
              <w:ind w:left="1080" w:leftChars="257" w:right="0" w:hanging="540"/>
              <w:jc w:val="center"/>
              <w:outlineLvl w:val="9"/>
              <w:rPr>
                <w:rFonts w:hint="eastAsia" w:ascii="宋体" w:hAnsi="宋体" w:eastAsia="宋体" w:cs="宋体"/>
                <w:sz w:val="24"/>
                <w:highlight w:val="none"/>
              </w:rPr>
            </w:pPr>
          </w:p>
        </w:tc>
        <w:tc>
          <w:tcPr>
            <w:tcW w:w="768" w:type="pct"/>
            <w:tcBorders>
              <w:top w:val="single" w:color="auto" w:sz="8" w:space="0"/>
              <w:left w:val="single" w:color="auto" w:sz="4" w:space="0"/>
              <w:bottom w:val="single" w:color="auto" w:sz="4" w:space="0"/>
              <w:right w:val="single" w:color="auto" w:sz="8" w:space="0"/>
            </w:tcBorders>
            <w:noWrap w:val="0"/>
            <w:vAlign w:val="center"/>
          </w:tcPr>
          <w:p w14:paraId="2635D131">
            <w:pPr>
              <w:keepNext w:val="0"/>
              <w:keepLines w:val="0"/>
              <w:suppressLineNumbers w:val="0"/>
              <w:tabs>
                <w:tab w:val="left" w:pos="5580"/>
              </w:tabs>
              <w:spacing w:before="0" w:beforeAutospacing="0" w:after="0" w:afterAutospacing="0" w:line="240" w:lineRule="atLeast"/>
              <w:ind w:left="1080" w:leftChars="257" w:right="0" w:hanging="540"/>
              <w:jc w:val="center"/>
              <w:outlineLvl w:val="9"/>
              <w:rPr>
                <w:rFonts w:hint="eastAsia" w:ascii="宋体" w:hAnsi="宋体" w:eastAsia="宋体" w:cs="宋体"/>
                <w:sz w:val="24"/>
                <w:highlight w:val="none"/>
              </w:rPr>
            </w:pPr>
          </w:p>
        </w:tc>
      </w:tr>
    </w:tbl>
    <w:p w14:paraId="33F8B56E">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44D2EE42">
      <w:pPr>
        <w:pStyle w:val="17"/>
        <w:tabs>
          <w:tab w:val="left" w:pos="5580"/>
        </w:tabs>
        <w:spacing w:line="240" w:lineRule="atLeast"/>
        <w:ind w:left="1080" w:leftChars="257" w:hanging="540"/>
        <w:outlineLvl w:val="9"/>
        <w:rPr>
          <w:rFonts w:hint="eastAsia" w:ascii="宋体" w:hAnsi="宋体" w:eastAsia="宋体" w:cs="宋体"/>
          <w:sz w:val="24"/>
          <w:highlight w:val="none"/>
          <w:u w:val="single"/>
        </w:rPr>
      </w:pPr>
    </w:p>
    <w:p w14:paraId="1EC03837">
      <w:pPr>
        <w:pStyle w:val="17"/>
        <w:tabs>
          <w:tab w:val="left" w:pos="5580"/>
        </w:tabs>
        <w:spacing w:line="240" w:lineRule="atLeast"/>
        <w:ind w:left="1080" w:leftChars="257" w:hanging="540"/>
        <w:outlineLvl w:val="9"/>
        <w:rPr>
          <w:rFonts w:hint="eastAsia" w:ascii="宋体" w:hAnsi="宋体" w:eastAsia="宋体" w:cs="宋体"/>
          <w:sz w:val="24"/>
          <w:highlight w:val="none"/>
          <w:u w:val="single"/>
        </w:rPr>
      </w:pPr>
    </w:p>
    <w:p w14:paraId="05C46543">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投标人名称（单位章）：</w:t>
      </w:r>
      <w:r>
        <w:rPr>
          <w:rFonts w:hint="eastAsia" w:ascii="宋体" w:hAnsi="宋体" w:eastAsia="宋体" w:cs="宋体"/>
          <w:sz w:val="24"/>
          <w:highlight w:val="none"/>
          <w:u w:val="single"/>
        </w:rPr>
        <w:t xml:space="preserve">                       </w:t>
      </w:r>
    </w:p>
    <w:p w14:paraId="6E540155">
      <w:pPr>
        <w:pStyle w:val="17"/>
        <w:tabs>
          <w:tab w:val="left" w:pos="5580"/>
        </w:tabs>
        <w:spacing w:line="240" w:lineRule="atLeast"/>
        <w:ind w:left="1080" w:leftChars="257" w:hanging="540"/>
        <w:outlineLvl w:val="9"/>
        <w:rPr>
          <w:rFonts w:hint="eastAsia" w:ascii="宋体" w:hAnsi="宋体" w:eastAsia="宋体" w:cs="宋体"/>
          <w:sz w:val="24"/>
          <w:highlight w:val="none"/>
          <w:u w:val="single"/>
        </w:rPr>
      </w:pPr>
      <w:r>
        <w:rPr>
          <w:rFonts w:hint="eastAsia" w:ascii="宋体" w:hAnsi="宋体" w:eastAsia="宋体" w:cs="宋体"/>
          <w:sz w:val="24"/>
          <w:highlight w:val="none"/>
        </w:rPr>
        <w:t>法定代表人或其委托代理人(签字):</w:t>
      </w:r>
      <w:r>
        <w:rPr>
          <w:rFonts w:hint="eastAsia" w:ascii="宋体" w:hAnsi="宋体" w:eastAsia="宋体" w:cs="宋体"/>
          <w:sz w:val="24"/>
          <w:highlight w:val="none"/>
          <w:u w:val="single"/>
        </w:rPr>
        <w:tab/>
      </w:r>
    </w:p>
    <w:p w14:paraId="16F797E2">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292E6162">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574DBD07">
      <w:pPr>
        <w:pStyle w:val="17"/>
        <w:numPr>
          <w:ilvl w:val="0"/>
          <w:numId w:val="0"/>
        </w:numPr>
        <w:tabs>
          <w:tab w:val="left" w:pos="5580"/>
        </w:tabs>
        <w:spacing w:line="240" w:lineRule="atLeast"/>
        <w:outlineLvl w:val="9"/>
        <w:rPr>
          <w:rFonts w:hint="eastAsia" w:ascii="宋体" w:hAnsi="宋体" w:eastAsia="宋体" w:cs="宋体"/>
          <w:sz w:val="24"/>
          <w:highlight w:val="none"/>
        </w:rPr>
      </w:pPr>
      <w:r>
        <w:rPr>
          <w:rFonts w:hint="eastAsia" w:ascii="宋体" w:hAnsi="宋体" w:eastAsia="宋体" w:cs="宋体"/>
          <w:sz w:val="24"/>
          <w:highlight w:val="none"/>
        </w:rPr>
        <w:t>注:</w:t>
      </w:r>
      <w:r>
        <w:rPr>
          <w:rFonts w:hint="eastAsia" w:hAnsi="宋体" w:eastAsia="宋体" w:cs="宋体"/>
          <w:sz w:val="24"/>
          <w:highlight w:val="none"/>
          <w:lang w:val="en-US" w:eastAsia="zh-CN"/>
        </w:rPr>
        <w:t xml:space="preserve"> </w:t>
      </w:r>
      <w:r>
        <w:rPr>
          <w:rFonts w:hint="eastAsia" w:ascii="宋体" w:hAnsi="宋体" w:eastAsia="宋体" w:cs="宋体"/>
          <w:sz w:val="24"/>
          <w:highlight w:val="none"/>
        </w:rPr>
        <w:t>1、如投标报价超过本项目最高限价，其报价无效，不能进入下一阶段评审。</w:t>
      </w:r>
    </w:p>
    <w:p w14:paraId="6A564645">
      <w:pPr>
        <w:pStyle w:val="17"/>
        <w:numPr>
          <w:ilvl w:val="0"/>
          <w:numId w:val="0"/>
        </w:numPr>
        <w:tabs>
          <w:tab w:val="left" w:pos="5580"/>
        </w:tabs>
        <w:spacing w:line="240" w:lineRule="atLeas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w:t>
      </w:r>
      <w:r>
        <w:rPr>
          <w:rFonts w:hint="eastAsia" w:hAnsi="宋体" w:eastAsia="宋体" w:cs="宋体"/>
          <w:sz w:val="24"/>
          <w:highlight w:val="none"/>
          <w:lang w:val="en-US" w:eastAsia="zh-CN"/>
        </w:rPr>
        <w:t>此表报价为1年的服务费用的</w:t>
      </w:r>
      <w:r>
        <w:rPr>
          <w:rFonts w:hint="eastAsia" w:ascii="宋体" w:hAnsi="宋体" w:eastAsia="宋体" w:cs="宋体"/>
          <w:sz w:val="24"/>
          <w:highlight w:val="none"/>
        </w:rPr>
        <w:t>投标总价</w:t>
      </w:r>
      <w:r>
        <w:rPr>
          <w:rFonts w:hint="eastAsia" w:ascii="宋体" w:hAnsi="宋体" w:eastAsia="宋体" w:cs="宋体"/>
          <w:sz w:val="24"/>
          <w:highlight w:val="none"/>
          <w:lang w:eastAsia="zh-CN"/>
        </w:rPr>
        <w:t>，</w:t>
      </w:r>
      <w:r>
        <w:rPr>
          <w:rFonts w:hint="eastAsia" w:ascii="宋体" w:hAnsi="宋体" w:eastAsia="宋体" w:cs="宋体"/>
          <w:sz w:val="24"/>
          <w:highlight w:val="none"/>
        </w:rPr>
        <w:t>包含税费等一切与本次项目相关的费用。</w:t>
      </w:r>
    </w:p>
    <w:p w14:paraId="5B86E786">
      <w:pPr>
        <w:pStyle w:val="17"/>
        <w:numPr>
          <w:ilvl w:val="0"/>
          <w:numId w:val="0"/>
        </w:numPr>
        <w:tabs>
          <w:tab w:val="left" w:pos="5580"/>
        </w:tabs>
        <w:spacing w:line="240" w:lineRule="atLeast"/>
        <w:ind w:firstLine="480" w:firstLineChars="200"/>
        <w:outlineLvl w:val="9"/>
        <w:rPr>
          <w:rFonts w:hint="eastAsia" w:ascii="宋体" w:hAnsi="宋体" w:eastAsia="宋体" w:cs="宋体"/>
          <w:sz w:val="24"/>
          <w:highlight w:val="none"/>
        </w:rPr>
      </w:pPr>
      <w:r>
        <w:rPr>
          <w:rFonts w:hint="eastAsia" w:hAnsi="宋体" w:eastAsia="宋体" w:cs="宋体"/>
          <w:sz w:val="24"/>
          <w:highlight w:val="none"/>
          <w:lang w:val="en-US" w:eastAsia="zh-CN"/>
        </w:rPr>
        <w:t>3、</w:t>
      </w:r>
      <w:r>
        <w:rPr>
          <w:rFonts w:hint="eastAsia" w:ascii="宋体" w:hAnsi="宋体" w:eastAsia="宋体" w:cs="宋体"/>
          <w:sz w:val="24"/>
          <w:highlight w:val="none"/>
        </w:rPr>
        <w:t>此表中，每个分包的投标总价应和</w:t>
      </w:r>
      <w:r>
        <w:rPr>
          <w:rFonts w:hint="eastAsia" w:ascii="宋体" w:hAnsi="宋体" w:eastAsia="宋体" w:cs="宋体"/>
          <w:sz w:val="24"/>
          <w:highlight w:val="none"/>
          <w:lang w:val="en-US" w:eastAsia="zh-CN"/>
        </w:rPr>
        <w:t>投标报价分项表</w:t>
      </w:r>
      <w:r>
        <w:rPr>
          <w:rFonts w:hint="eastAsia" w:ascii="宋体" w:hAnsi="宋体" w:eastAsia="宋体" w:cs="宋体"/>
          <w:sz w:val="24"/>
          <w:highlight w:val="none"/>
        </w:rPr>
        <w:t>的总价相一致。</w:t>
      </w:r>
    </w:p>
    <w:p w14:paraId="6B18A5F5">
      <w:pPr>
        <w:pStyle w:val="17"/>
        <w:widowControl w:val="0"/>
        <w:numPr>
          <w:ilvl w:val="0"/>
          <w:numId w:val="0"/>
        </w:numPr>
        <w:tabs>
          <w:tab w:val="left" w:pos="5580"/>
        </w:tabs>
        <w:spacing w:line="240" w:lineRule="atLeast"/>
        <w:ind w:firstLine="480" w:firstLineChars="200"/>
        <w:jc w:val="both"/>
        <w:outlineLvl w:val="9"/>
        <w:rPr>
          <w:rFonts w:hint="default" w:ascii="宋体" w:hAnsi="宋体" w:eastAsia="宋体" w:cs="宋体"/>
          <w:sz w:val="24"/>
          <w:highlight w:val="none"/>
          <w:lang w:val="en-US" w:eastAsia="zh-CN"/>
        </w:rPr>
      </w:pPr>
    </w:p>
    <w:p w14:paraId="409C2D50">
      <w:pPr>
        <w:pStyle w:val="17"/>
        <w:widowControl w:val="0"/>
        <w:numPr>
          <w:ilvl w:val="0"/>
          <w:numId w:val="0"/>
        </w:numPr>
        <w:tabs>
          <w:tab w:val="left" w:pos="5580"/>
        </w:tabs>
        <w:spacing w:line="240" w:lineRule="atLeast"/>
        <w:jc w:val="both"/>
        <w:outlineLvl w:val="9"/>
        <w:rPr>
          <w:rFonts w:hint="eastAsia" w:ascii="宋体" w:hAnsi="宋体" w:eastAsia="宋体" w:cs="宋体"/>
          <w:sz w:val="24"/>
          <w:highlight w:val="none"/>
        </w:rPr>
      </w:pPr>
    </w:p>
    <w:p w14:paraId="72101345">
      <w:pPr>
        <w:spacing w:before="0" w:line="240" w:lineRule="atLeast"/>
        <w:jc w:val="center"/>
        <w:outlineLvl w:val="9"/>
        <w:rPr>
          <w:rFonts w:hint="eastAsia" w:ascii="宋体" w:hAnsi="宋体" w:eastAsia="宋体" w:cs="宋体"/>
          <w:sz w:val="24"/>
          <w:highlight w:val="none"/>
        </w:rPr>
        <w:sectPr>
          <w:footerReference r:id="rId13" w:type="default"/>
          <w:pgSz w:w="11906" w:h="16838"/>
          <w:pgMar w:top="1134" w:right="1417" w:bottom="1134" w:left="1417" w:header="851" w:footer="992" w:gutter="0"/>
          <w:pgNumType w:fmt="numberInDash" w:start="1"/>
          <w:cols w:space="720" w:num="1"/>
          <w:docGrid w:linePitch="312" w:charSpace="0"/>
        </w:sectPr>
      </w:pPr>
      <w:bookmarkStart w:id="179" w:name="_Toc518923109"/>
    </w:p>
    <w:p w14:paraId="74A461CB">
      <w:pPr>
        <w:pStyle w:val="84"/>
        <w:keepNext/>
        <w:keepLines/>
        <w:widowControl w:val="0"/>
        <w:shd w:val="clear" w:color="auto" w:fill="auto"/>
        <w:bidi w:val="0"/>
        <w:spacing w:before="0" w:after="520" w:line="240" w:lineRule="auto"/>
        <w:ind w:left="0" w:right="0" w:firstLine="0"/>
        <w:jc w:val="center"/>
        <w:outlineLvl w:val="9"/>
        <w:rPr>
          <w:rFonts w:hint="eastAsia" w:ascii="宋体" w:hAnsi="宋体" w:eastAsia="宋体" w:cs="宋体"/>
          <w:sz w:val="24"/>
          <w:highlight w:val="none"/>
        </w:rPr>
      </w:pPr>
      <w:bookmarkStart w:id="180" w:name="bookmark459"/>
      <w:bookmarkStart w:id="181" w:name="bookmark460"/>
    </w:p>
    <w:p w14:paraId="13645B57">
      <w:pPr>
        <w:pStyle w:val="84"/>
        <w:keepNext/>
        <w:keepLines/>
        <w:widowControl w:val="0"/>
        <w:shd w:val="clear" w:color="auto" w:fill="auto"/>
        <w:bidi w:val="0"/>
        <w:spacing w:before="0" w:after="520" w:line="240" w:lineRule="auto"/>
        <w:ind w:left="0" w:right="0" w:firstLine="0"/>
        <w:jc w:val="center"/>
        <w:outlineLvl w:val="9"/>
        <w:rPr>
          <w:highlight w:val="none"/>
        </w:rPr>
      </w:pPr>
      <w:r>
        <w:rPr>
          <w:rFonts w:hint="eastAsia" w:ascii="宋体" w:hAnsi="宋体" w:eastAsia="宋体" w:cs="宋体"/>
          <w:b/>
          <w:kern w:val="0"/>
          <w:sz w:val="24"/>
          <w:szCs w:val="20"/>
          <w:highlight w:val="none"/>
          <w:u w:val="none"/>
          <w:shd w:val="clear" w:color="auto" w:fill="auto"/>
          <w:lang w:val="en-US" w:eastAsia="zh-CN" w:bidi="ar-SA"/>
        </w:rPr>
        <w:t>最终报价一揽表</w:t>
      </w:r>
      <w:bookmarkEnd w:id="180"/>
      <w:bookmarkEnd w:id="181"/>
    </w:p>
    <w:p w14:paraId="52A892FD">
      <w:pPr>
        <w:pStyle w:val="85"/>
        <w:keepNext w:val="0"/>
        <w:keepLines w:val="0"/>
        <w:widowControl w:val="0"/>
        <w:shd w:val="clear" w:color="auto" w:fill="auto"/>
        <w:tabs>
          <w:tab w:val="left" w:pos="4020"/>
          <w:tab w:val="left" w:pos="7644"/>
        </w:tabs>
        <w:bidi w:val="0"/>
        <w:spacing w:before="0" w:after="180" w:line="240" w:lineRule="auto"/>
        <w:ind w:left="0" w:right="0" w:firstLine="0"/>
        <w:jc w:val="left"/>
        <w:outlineLvl w:val="9"/>
        <w:rPr>
          <w:color w:val="000000"/>
          <w:spacing w:val="0"/>
          <w:w w:val="100"/>
          <w:position w:val="0"/>
          <w:sz w:val="24"/>
          <w:szCs w:val="24"/>
          <w:highlight w:val="none"/>
        </w:rPr>
      </w:pPr>
      <w:r>
        <w:rPr>
          <w:color w:val="000000"/>
          <w:spacing w:val="0"/>
          <w:w w:val="100"/>
          <w:position w:val="0"/>
          <w:sz w:val="24"/>
          <w:szCs w:val="24"/>
          <w:highlight w:val="none"/>
        </w:rPr>
        <w:t>项目名称：</w:t>
      </w:r>
      <w:r>
        <w:rPr>
          <w:color w:val="000000"/>
          <w:spacing w:val="0"/>
          <w:w w:val="100"/>
          <w:position w:val="0"/>
          <w:sz w:val="24"/>
          <w:szCs w:val="24"/>
          <w:highlight w:val="none"/>
        </w:rPr>
        <w:tab/>
      </w:r>
      <w:r>
        <w:rPr>
          <w:color w:val="000000"/>
          <w:spacing w:val="0"/>
          <w:w w:val="100"/>
          <w:position w:val="0"/>
          <w:sz w:val="24"/>
          <w:szCs w:val="24"/>
          <w:highlight w:val="none"/>
        </w:rPr>
        <w:t>项目编号：</w:t>
      </w:r>
      <w:r>
        <w:rPr>
          <w:color w:val="000000"/>
          <w:spacing w:val="0"/>
          <w:w w:val="100"/>
          <w:position w:val="0"/>
          <w:sz w:val="24"/>
          <w:szCs w:val="24"/>
          <w:highlight w:val="none"/>
        </w:rPr>
        <w:tab/>
      </w:r>
      <w:r>
        <w:rPr>
          <w:color w:val="000000"/>
          <w:spacing w:val="0"/>
          <w:w w:val="100"/>
          <w:position w:val="0"/>
          <w:sz w:val="24"/>
          <w:szCs w:val="24"/>
          <w:highlight w:val="none"/>
        </w:rPr>
        <w:t>报价单位:元</w:t>
      </w:r>
    </w:p>
    <w:tbl>
      <w:tblPr>
        <w:tblStyle w:val="38"/>
        <w:tblW w:w="5035" w:type="pct"/>
        <w:tblInd w:w="0" w:type="dxa"/>
        <w:tblLayout w:type="autofit"/>
        <w:tblCellMar>
          <w:top w:w="0" w:type="dxa"/>
          <w:left w:w="0" w:type="dxa"/>
          <w:bottom w:w="0" w:type="dxa"/>
          <w:right w:w="0" w:type="dxa"/>
        </w:tblCellMar>
      </w:tblPr>
      <w:tblGrid>
        <w:gridCol w:w="1767"/>
        <w:gridCol w:w="2915"/>
        <w:gridCol w:w="1800"/>
        <w:gridCol w:w="1264"/>
        <w:gridCol w:w="1405"/>
      </w:tblGrid>
      <w:tr w14:paraId="5947ADE3">
        <w:tblPrEx>
          <w:tblCellMar>
            <w:top w:w="0" w:type="dxa"/>
            <w:left w:w="0" w:type="dxa"/>
            <w:bottom w:w="0" w:type="dxa"/>
            <w:right w:w="0" w:type="dxa"/>
          </w:tblCellMar>
        </w:tblPrEx>
        <w:trPr>
          <w:trHeight w:val="1039" w:hRule="atLeast"/>
        </w:trPr>
        <w:tc>
          <w:tcPr>
            <w:tcW w:w="965" w:type="pct"/>
            <w:tcBorders>
              <w:top w:val="single" w:color="auto" w:sz="4" w:space="0"/>
              <w:left w:val="single" w:color="auto" w:sz="4" w:space="0"/>
              <w:bottom w:val="single" w:color="auto" w:sz="8" w:space="0"/>
              <w:right w:val="single" w:color="auto" w:sz="4" w:space="0"/>
            </w:tcBorders>
            <w:noWrap w:val="0"/>
            <w:vAlign w:val="center"/>
          </w:tcPr>
          <w:p w14:paraId="6391E6D0">
            <w:pPr>
              <w:keepNext w:val="0"/>
              <w:keepLines w:val="0"/>
              <w:suppressLineNumbers w:val="0"/>
              <w:tabs>
                <w:tab w:val="left" w:pos="5580"/>
              </w:tabs>
              <w:spacing w:before="0" w:beforeAutospacing="0" w:after="0" w:afterAutospacing="0" w:line="240" w:lineRule="atLeast"/>
              <w:ind w:left="0" w:right="-199"/>
              <w:jc w:val="center"/>
              <w:outlineLvl w:val="9"/>
              <w:rPr>
                <w:rFonts w:hint="eastAsia" w:ascii="宋体" w:hAnsi="宋体" w:eastAsia="宋体" w:cs="宋体"/>
                <w:sz w:val="24"/>
                <w:highlight w:val="none"/>
              </w:rPr>
            </w:pPr>
            <w:r>
              <w:rPr>
                <w:rFonts w:hint="eastAsia" w:ascii="宋体" w:hAnsi="宋体" w:eastAsia="宋体" w:cs="宋体"/>
                <w:sz w:val="24"/>
                <w:highlight w:val="none"/>
              </w:rPr>
              <w:t>服务名称</w:t>
            </w:r>
          </w:p>
        </w:tc>
        <w:tc>
          <w:tcPr>
            <w:tcW w:w="1592" w:type="pct"/>
            <w:tcBorders>
              <w:top w:val="single" w:color="auto" w:sz="4" w:space="0"/>
              <w:left w:val="single" w:color="auto" w:sz="8" w:space="0"/>
              <w:bottom w:val="single" w:color="auto" w:sz="8" w:space="0"/>
              <w:right w:val="single" w:color="auto" w:sz="4" w:space="0"/>
            </w:tcBorders>
            <w:noWrap w:val="0"/>
            <w:vAlign w:val="center"/>
          </w:tcPr>
          <w:p w14:paraId="7F2A909B">
            <w:pPr>
              <w:keepNext w:val="0"/>
              <w:keepLines w:val="0"/>
              <w:suppressLineNumbers w:val="0"/>
              <w:tabs>
                <w:tab w:val="left" w:pos="5580"/>
              </w:tabs>
              <w:spacing w:before="0" w:beforeAutospacing="0" w:after="0" w:afterAutospacing="0" w:line="240" w:lineRule="atLeast"/>
              <w:ind w:left="0" w:right="0"/>
              <w:jc w:val="center"/>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最终报价</w:t>
            </w:r>
          </w:p>
        </w:tc>
        <w:tc>
          <w:tcPr>
            <w:tcW w:w="983" w:type="pct"/>
            <w:tcBorders>
              <w:top w:val="single" w:color="auto" w:sz="8" w:space="0"/>
              <w:left w:val="nil"/>
              <w:bottom w:val="single" w:color="auto" w:sz="8" w:space="0"/>
              <w:right w:val="single" w:color="auto" w:sz="4" w:space="0"/>
            </w:tcBorders>
            <w:noWrap w:val="0"/>
            <w:vAlign w:val="center"/>
          </w:tcPr>
          <w:p w14:paraId="54D28493">
            <w:pPr>
              <w:keepNext w:val="0"/>
              <w:keepLines w:val="0"/>
              <w:suppressLineNumbers w:val="0"/>
              <w:tabs>
                <w:tab w:val="left" w:pos="5580"/>
              </w:tabs>
              <w:spacing w:before="0" w:beforeAutospacing="0" w:after="0" w:afterAutospacing="0" w:line="240" w:lineRule="atLeast"/>
              <w:ind w:left="0" w:right="0"/>
              <w:jc w:val="center"/>
              <w:outlineLvl w:val="9"/>
              <w:rPr>
                <w:rFonts w:hint="eastAsia" w:ascii="宋体" w:hAnsi="宋体" w:eastAsia="宋体" w:cs="宋体"/>
                <w:sz w:val="24"/>
                <w:highlight w:val="none"/>
              </w:rPr>
            </w:pPr>
            <w:r>
              <w:rPr>
                <w:rFonts w:hint="eastAsia" w:ascii="宋体" w:hAnsi="宋体" w:cs="宋体"/>
                <w:sz w:val="24"/>
                <w:highlight w:val="none"/>
                <w:lang w:val="en-US" w:eastAsia="zh-CN"/>
              </w:rPr>
              <w:t>项目负责人</w:t>
            </w:r>
          </w:p>
        </w:tc>
        <w:tc>
          <w:tcPr>
            <w:tcW w:w="690" w:type="pct"/>
            <w:tcBorders>
              <w:top w:val="single" w:color="auto" w:sz="8" w:space="0"/>
              <w:left w:val="nil"/>
              <w:bottom w:val="single" w:color="auto" w:sz="8" w:space="0"/>
              <w:right w:val="single" w:color="auto" w:sz="4" w:space="0"/>
            </w:tcBorders>
            <w:noWrap w:val="0"/>
            <w:vAlign w:val="center"/>
          </w:tcPr>
          <w:p w14:paraId="1705D6FF">
            <w:pPr>
              <w:keepNext w:val="0"/>
              <w:keepLines w:val="0"/>
              <w:suppressLineNumbers w:val="0"/>
              <w:tabs>
                <w:tab w:val="left" w:pos="5580"/>
              </w:tabs>
              <w:spacing w:before="0" w:beforeAutospacing="0" w:after="0" w:afterAutospacing="0" w:line="240" w:lineRule="atLeast"/>
              <w:ind w:left="0" w:right="0"/>
              <w:jc w:val="center"/>
              <w:outlineLvl w:val="9"/>
              <w:rPr>
                <w:rFonts w:hint="eastAsia" w:ascii="宋体" w:hAnsi="宋体" w:eastAsia="宋体" w:cs="宋体"/>
                <w:sz w:val="24"/>
                <w:highlight w:val="none"/>
              </w:rPr>
            </w:pPr>
            <w:r>
              <w:rPr>
                <w:rFonts w:hint="eastAsia" w:ascii="宋体" w:hAnsi="宋体" w:eastAsia="宋体" w:cs="宋体"/>
                <w:sz w:val="24"/>
                <w:highlight w:val="none"/>
              </w:rPr>
              <w:t>履约地点</w:t>
            </w:r>
          </w:p>
        </w:tc>
        <w:tc>
          <w:tcPr>
            <w:tcW w:w="767" w:type="pct"/>
            <w:tcBorders>
              <w:top w:val="single" w:color="auto" w:sz="8" w:space="0"/>
              <w:left w:val="single" w:color="auto" w:sz="4" w:space="0"/>
              <w:bottom w:val="single" w:color="auto" w:sz="8" w:space="0"/>
              <w:right w:val="single" w:color="auto" w:sz="8" w:space="0"/>
            </w:tcBorders>
            <w:noWrap w:val="0"/>
            <w:vAlign w:val="center"/>
          </w:tcPr>
          <w:p w14:paraId="59F9A428">
            <w:pPr>
              <w:keepNext w:val="0"/>
              <w:keepLines w:val="0"/>
              <w:suppressLineNumbers w:val="0"/>
              <w:tabs>
                <w:tab w:val="left" w:pos="5580"/>
              </w:tabs>
              <w:spacing w:before="0" w:beforeAutospacing="0" w:after="0" w:afterAutospacing="0" w:line="240" w:lineRule="atLeast"/>
              <w:ind w:left="0" w:right="0"/>
              <w:jc w:val="center"/>
              <w:outlineLvl w:val="9"/>
              <w:rPr>
                <w:rFonts w:hint="eastAsia" w:ascii="宋体" w:hAnsi="宋体" w:eastAsia="宋体" w:cs="宋体"/>
                <w:sz w:val="24"/>
                <w:highlight w:val="none"/>
              </w:rPr>
            </w:pPr>
            <w:r>
              <w:rPr>
                <w:rFonts w:hint="eastAsia" w:ascii="宋体" w:hAnsi="宋体" w:eastAsia="宋体" w:cs="宋体"/>
                <w:sz w:val="24"/>
                <w:highlight w:val="none"/>
              </w:rPr>
              <w:t>备注</w:t>
            </w:r>
          </w:p>
        </w:tc>
      </w:tr>
      <w:tr w14:paraId="24C37FAB">
        <w:tblPrEx>
          <w:tblCellMar>
            <w:top w:w="0" w:type="dxa"/>
            <w:left w:w="0" w:type="dxa"/>
            <w:bottom w:w="0" w:type="dxa"/>
            <w:right w:w="0" w:type="dxa"/>
          </w:tblCellMar>
        </w:tblPrEx>
        <w:trPr>
          <w:cantSplit/>
          <w:trHeight w:val="2545" w:hRule="atLeast"/>
        </w:trPr>
        <w:tc>
          <w:tcPr>
            <w:tcW w:w="965" w:type="pct"/>
            <w:tcBorders>
              <w:top w:val="single" w:color="auto" w:sz="8" w:space="0"/>
              <w:left w:val="single" w:color="auto" w:sz="4" w:space="0"/>
              <w:bottom w:val="single" w:color="auto" w:sz="4" w:space="0"/>
              <w:right w:val="single" w:color="auto" w:sz="4" w:space="0"/>
            </w:tcBorders>
            <w:noWrap w:val="0"/>
            <w:vAlign w:val="center"/>
          </w:tcPr>
          <w:p w14:paraId="5C383070">
            <w:pPr>
              <w:keepNext w:val="0"/>
              <w:keepLines w:val="0"/>
              <w:suppressLineNumbers w:val="0"/>
              <w:tabs>
                <w:tab w:val="left" w:pos="5580"/>
              </w:tabs>
              <w:spacing w:before="0" w:beforeAutospacing="0" w:after="0" w:afterAutospacing="0" w:line="240" w:lineRule="atLeast"/>
              <w:ind w:left="1080" w:leftChars="257" w:right="0" w:hanging="540"/>
              <w:jc w:val="center"/>
              <w:outlineLvl w:val="9"/>
              <w:rPr>
                <w:rFonts w:hint="eastAsia" w:ascii="宋体" w:hAnsi="宋体" w:eastAsia="宋体" w:cs="宋体"/>
                <w:sz w:val="24"/>
                <w:highlight w:val="none"/>
              </w:rPr>
            </w:pPr>
          </w:p>
        </w:tc>
        <w:tc>
          <w:tcPr>
            <w:tcW w:w="1592" w:type="pct"/>
            <w:tcBorders>
              <w:top w:val="single" w:color="auto" w:sz="8" w:space="0"/>
              <w:left w:val="single" w:color="auto" w:sz="8" w:space="0"/>
              <w:bottom w:val="single" w:color="auto" w:sz="4" w:space="0"/>
              <w:right w:val="single" w:color="auto" w:sz="4" w:space="0"/>
            </w:tcBorders>
            <w:noWrap w:val="0"/>
            <w:vAlign w:val="center"/>
          </w:tcPr>
          <w:p w14:paraId="23CBF05A">
            <w:pPr>
              <w:keepNext w:val="0"/>
              <w:keepLines w:val="0"/>
              <w:suppressLineNumbers w:val="0"/>
              <w:tabs>
                <w:tab w:val="left" w:pos="5580"/>
              </w:tabs>
              <w:spacing w:before="0" w:beforeAutospacing="0" w:after="0" w:afterAutospacing="0" w:line="240" w:lineRule="atLeast"/>
              <w:ind w:left="0" w:right="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小</w:t>
            </w:r>
            <w:r>
              <w:rPr>
                <w:rFonts w:hint="eastAsia" w:ascii="宋体" w:hAnsi="宋体" w:eastAsia="宋体" w:cs="宋体"/>
                <w:sz w:val="24"/>
                <w:highlight w:val="none"/>
              </w:rPr>
              <w:t>写：</w:t>
            </w:r>
          </w:p>
          <w:p w14:paraId="744196D4">
            <w:pPr>
              <w:keepNext w:val="0"/>
              <w:keepLines w:val="0"/>
              <w:suppressLineNumbers w:val="0"/>
              <w:tabs>
                <w:tab w:val="left" w:pos="5580"/>
              </w:tabs>
              <w:spacing w:before="0" w:beforeAutospacing="0" w:after="0" w:afterAutospacing="0" w:line="240" w:lineRule="atLeast"/>
              <w:ind w:left="0" w:right="0"/>
              <w:jc w:val="left"/>
              <w:outlineLvl w:val="9"/>
              <w:rPr>
                <w:rFonts w:hint="eastAsia" w:ascii="宋体" w:hAnsi="宋体" w:eastAsia="宋体" w:cs="宋体"/>
                <w:sz w:val="24"/>
                <w:highlight w:val="none"/>
              </w:rPr>
            </w:pPr>
          </w:p>
          <w:p w14:paraId="7D7402A1">
            <w:pPr>
              <w:keepNext w:val="0"/>
              <w:keepLines w:val="0"/>
              <w:suppressLineNumbers w:val="0"/>
              <w:tabs>
                <w:tab w:val="left" w:pos="5580"/>
              </w:tabs>
              <w:spacing w:before="0" w:beforeAutospacing="0" w:after="0" w:afterAutospacing="0" w:line="240" w:lineRule="atLeast"/>
              <w:ind w:left="0" w:right="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大</w:t>
            </w:r>
            <w:r>
              <w:rPr>
                <w:rFonts w:hint="eastAsia" w:ascii="宋体" w:hAnsi="宋体" w:eastAsia="宋体" w:cs="宋体"/>
                <w:sz w:val="24"/>
                <w:highlight w:val="none"/>
              </w:rPr>
              <w:t>写：</w:t>
            </w:r>
          </w:p>
        </w:tc>
        <w:tc>
          <w:tcPr>
            <w:tcW w:w="983" w:type="pct"/>
            <w:tcBorders>
              <w:top w:val="single" w:color="auto" w:sz="8" w:space="0"/>
              <w:left w:val="nil"/>
              <w:bottom w:val="single" w:color="auto" w:sz="4" w:space="0"/>
              <w:right w:val="single" w:color="auto" w:sz="4" w:space="0"/>
            </w:tcBorders>
            <w:noWrap w:val="0"/>
            <w:vAlign w:val="center"/>
          </w:tcPr>
          <w:p w14:paraId="315D5C38">
            <w:pPr>
              <w:keepNext w:val="0"/>
              <w:keepLines w:val="0"/>
              <w:suppressLineNumbers w:val="0"/>
              <w:tabs>
                <w:tab w:val="left" w:pos="5580"/>
              </w:tabs>
              <w:spacing w:before="0" w:beforeAutospacing="0" w:after="0" w:afterAutospacing="0" w:line="240" w:lineRule="atLeast"/>
              <w:ind w:left="1080" w:leftChars="257" w:right="0" w:hanging="540"/>
              <w:jc w:val="center"/>
              <w:outlineLvl w:val="9"/>
              <w:rPr>
                <w:rFonts w:hint="eastAsia" w:ascii="宋体" w:hAnsi="宋体" w:eastAsia="宋体" w:cs="宋体"/>
                <w:sz w:val="24"/>
                <w:highlight w:val="none"/>
              </w:rPr>
            </w:pPr>
          </w:p>
        </w:tc>
        <w:tc>
          <w:tcPr>
            <w:tcW w:w="690" w:type="pct"/>
            <w:tcBorders>
              <w:top w:val="single" w:color="auto" w:sz="8" w:space="0"/>
              <w:left w:val="nil"/>
              <w:bottom w:val="single" w:color="auto" w:sz="4" w:space="0"/>
              <w:right w:val="single" w:color="auto" w:sz="4" w:space="0"/>
            </w:tcBorders>
            <w:noWrap w:val="0"/>
            <w:vAlign w:val="center"/>
          </w:tcPr>
          <w:p w14:paraId="30708E2A">
            <w:pPr>
              <w:keepNext w:val="0"/>
              <w:keepLines w:val="0"/>
              <w:suppressLineNumbers w:val="0"/>
              <w:tabs>
                <w:tab w:val="left" w:pos="5580"/>
              </w:tabs>
              <w:spacing w:before="0" w:beforeAutospacing="0" w:after="0" w:afterAutospacing="0" w:line="240" w:lineRule="atLeast"/>
              <w:ind w:left="1080" w:leftChars="257" w:right="0" w:hanging="540"/>
              <w:jc w:val="center"/>
              <w:outlineLvl w:val="9"/>
              <w:rPr>
                <w:rFonts w:hint="eastAsia" w:ascii="宋体" w:hAnsi="宋体" w:eastAsia="宋体" w:cs="宋体"/>
                <w:sz w:val="24"/>
                <w:highlight w:val="none"/>
              </w:rPr>
            </w:pPr>
          </w:p>
        </w:tc>
        <w:tc>
          <w:tcPr>
            <w:tcW w:w="767" w:type="pct"/>
            <w:tcBorders>
              <w:top w:val="single" w:color="auto" w:sz="8" w:space="0"/>
              <w:left w:val="single" w:color="auto" w:sz="4" w:space="0"/>
              <w:bottom w:val="single" w:color="auto" w:sz="4" w:space="0"/>
              <w:right w:val="single" w:color="auto" w:sz="8" w:space="0"/>
            </w:tcBorders>
            <w:noWrap w:val="0"/>
            <w:vAlign w:val="center"/>
          </w:tcPr>
          <w:p w14:paraId="4E52C171">
            <w:pPr>
              <w:keepNext w:val="0"/>
              <w:keepLines w:val="0"/>
              <w:suppressLineNumbers w:val="0"/>
              <w:tabs>
                <w:tab w:val="left" w:pos="5580"/>
              </w:tabs>
              <w:spacing w:before="0" w:beforeAutospacing="0" w:after="0" w:afterAutospacing="0" w:line="240" w:lineRule="atLeast"/>
              <w:ind w:left="1080" w:leftChars="257" w:right="0" w:hanging="540"/>
              <w:jc w:val="center"/>
              <w:outlineLvl w:val="9"/>
              <w:rPr>
                <w:rFonts w:hint="eastAsia" w:ascii="宋体" w:hAnsi="宋体" w:eastAsia="宋体" w:cs="宋体"/>
                <w:sz w:val="24"/>
                <w:highlight w:val="none"/>
              </w:rPr>
            </w:pPr>
          </w:p>
        </w:tc>
      </w:tr>
    </w:tbl>
    <w:p w14:paraId="74448D71">
      <w:pPr>
        <w:pStyle w:val="85"/>
        <w:keepNext w:val="0"/>
        <w:keepLines w:val="0"/>
        <w:widowControl w:val="0"/>
        <w:shd w:val="clear" w:color="auto" w:fill="auto"/>
        <w:tabs>
          <w:tab w:val="left" w:pos="4020"/>
          <w:tab w:val="left" w:pos="7644"/>
        </w:tabs>
        <w:bidi w:val="0"/>
        <w:spacing w:before="0" w:after="180" w:line="240" w:lineRule="auto"/>
        <w:ind w:left="0" w:right="0" w:firstLine="0"/>
        <w:jc w:val="left"/>
        <w:outlineLvl w:val="9"/>
        <w:rPr>
          <w:color w:val="000000"/>
          <w:spacing w:val="0"/>
          <w:w w:val="100"/>
          <w:position w:val="0"/>
          <w:sz w:val="24"/>
          <w:szCs w:val="24"/>
          <w:highlight w:val="none"/>
        </w:rPr>
      </w:pPr>
    </w:p>
    <w:p w14:paraId="25556EA7">
      <w:pPr>
        <w:widowControl w:val="0"/>
        <w:spacing w:after="239" w:line="1" w:lineRule="exact"/>
        <w:outlineLvl w:val="9"/>
        <w:rPr>
          <w:highlight w:val="none"/>
        </w:rPr>
      </w:pPr>
    </w:p>
    <w:p w14:paraId="24C310BB">
      <w:pPr>
        <w:pStyle w:val="85"/>
        <w:keepNext w:val="0"/>
        <w:keepLines w:val="0"/>
        <w:widowControl w:val="0"/>
        <w:shd w:val="clear" w:color="auto" w:fill="auto"/>
        <w:tabs>
          <w:tab w:val="left" w:pos="5904"/>
        </w:tabs>
        <w:bidi w:val="0"/>
        <w:spacing w:before="0" w:after="420" w:line="240" w:lineRule="auto"/>
        <w:ind w:left="0" w:right="0" w:firstLine="0"/>
        <w:jc w:val="left"/>
        <w:outlineLvl w:val="9"/>
        <w:rPr>
          <w:rFonts w:hint="default" w:eastAsia="宋体"/>
          <w:highlight w:val="none"/>
          <w:lang w:val="en-US" w:eastAsia="zh-CN"/>
        </w:rPr>
      </w:pPr>
      <w:r>
        <w:rPr>
          <w:color w:val="000000"/>
          <w:spacing w:val="0"/>
          <w:w w:val="100"/>
          <w:position w:val="0"/>
          <w:sz w:val="24"/>
          <w:szCs w:val="24"/>
          <w:highlight w:val="none"/>
        </w:rPr>
        <w:t>供应商名称（单位盖章）:</w:t>
      </w:r>
      <w:r>
        <w:rPr>
          <w:highlight w:val="none"/>
          <w:u w:val="single"/>
        </w:rPr>
        <w:t xml:space="preserve"> </w:t>
      </w:r>
      <w:r>
        <w:rPr>
          <w:rFonts w:hint="eastAsia"/>
          <w:highlight w:val="none"/>
          <w:u w:val="single"/>
          <w:lang w:val="en-US" w:eastAsia="zh-CN"/>
        </w:rPr>
        <w:t xml:space="preserve">                       </w:t>
      </w:r>
    </w:p>
    <w:p w14:paraId="70D6B23D">
      <w:pPr>
        <w:pStyle w:val="85"/>
        <w:keepNext w:val="0"/>
        <w:keepLines w:val="0"/>
        <w:widowControl w:val="0"/>
        <w:shd w:val="clear" w:color="auto" w:fill="auto"/>
        <w:tabs>
          <w:tab w:val="left" w:pos="6408"/>
        </w:tabs>
        <w:bidi w:val="0"/>
        <w:spacing w:before="0" w:after="340" w:line="240" w:lineRule="auto"/>
        <w:ind w:left="0" w:right="0" w:firstLine="0"/>
        <w:jc w:val="left"/>
        <w:outlineLvl w:val="9"/>
        <w:rPr>
          <w:rFonts w:hint="default" w:eastAsia="宋体"/>
          <w:highlight w:val="none"/>
          <w:lang w:val="en-US" w:eastAsia="zh-CN"/>
        </w:rPr>
      </w:pPr>
      <w:r>
        <w:rPr>
          <w:rFonts w:hint="eastAsia"/>
          <w:color w:val="000000"/>
          <w:spacing w:val="0"/>
          <w:w w:val="100"/>
          <w:position w:val="0"/>
          <w:sz w:val="24"/>
          <w:szCs w:val="24"/>
          <w:highlight w:val="none"/>
          <w:lang w:val="en-US" w:eastAsia="zh-CN"/>
        </w:rPr>
        <w:t>法定代表人或授权委托人</w:t>
      </w:r>
      <w:r>
        <w:rPr>
          <w:color w:val="000000"/>
          <w:spacing w:val="0"/>
          <w:w w:val="100"/>
          <w:position w:val="0"/>
          <w:sz w:val="24"/>
          <w:szCs w:val="24"/>
          <w:highlight w:val="none"/>
        </w:rPr>
        <w:t>（</w:t>
      </w:r>
      <w:r>
        <w:rPr>
          <w:rFonts w:hint="eastAsia"/>
          <w:color w:val="000000"/>
          <w:spacing w:val="0"/>
          <w:w w:val="100"/>
          <w:position w:val="0"/>
          <w:sz w:val="24"/>
          <w:szCs w:val="24"/>
          <w:highlight w:val="none"/>
          <w:lang w:val="en-US" w:eastAsia="zh-CN"/>
        </w:rPr>
        <w:t>签字或者盖章</w:t>
      </w:r>
      <w:r>
        <w:rPr>
          <w:color w:val="000000"/>
          <w:spacing w:val="0"/>
          <w:w w:val="100"/>
          <w:position w:val="0"/>
          <w:sz w:val="24"/>
          <w:szCs w:val="24"/>
          <w:highlight w:val="none"/>
        </w:rPr>
        <w:t>）:</w:t>
      </w:r>
      <w:r>
        <w:rPr>
          <w:highlight w:val="none"/>
          <w:u w:val="single"/>
        </w:rPr>
        <w:t xml:space="preserve"> </w:t>
      </w:r>
      <w:r>
        <w:rPr>
          <w:rFonts w:hint="eastAsia"/>
          <w:highlight w:val="none"/>
          <w:u w:val="single"/>
          <w:lang w:val="en-US" w:eastAsia="zh-CN"/>
        </w:rPr>
        <w:t xml:space="preserve">                   </w:t>
      </w:r>
    </w:p>
    <w:p w14:paraId="20CF2CE7">
      <w:pPr>
        <w:pStyle w:val="85"/>
        <w:keepNext w:val="0"/>
        <w:keepLines w:val="0"/>
        <w:widowControl w:val="0"/>
        <w:shd w:val="clear" w:color="auto" w:fill="auto"/>
        <w:tabs>
          <w:tab w:val="left" w:pos="3204"/>
        </w:tabs>
        <w:bidi w:val="0"/>
        <w:spacing w:before="0" w:after="960" w:line="240" w:lineRule="auto"/>
        <w:ind w:left="0" w:right="0" w:firstLine="0"/>
        <w:jc w:val="left"/>
        <w:outlineLvl w:val="9"/>
        <w:rPr>
          <w:rFonts w:hint="default" w:eastAsia="宋体"/>
          <w:highlight w:val="none"/>
          <w:u w:val="single"/>
          <w:lang w:val="en-US" w:eastAsia="zh-CN"/>
        </w:rPr>
      </w:pPr>
      <w:r>
        <w:rPr>
          <w:color w:val="000000"/>
          <w:spacing w:val="0"/>
          <w:w w:val="100"/>
          <w:position w:val="0"/>
          <w:sz w:val="24"/>
          <w:szCs w:val="24"/>
          <w:highlight w:val="none"/>
        </w:rPr>
        <w:t>日期：</w:t>
      </w:r>
      <w:r>
        <w:rPr>
          <w:highlight w:val="none"/>
          <w:u w:val="single"/>
        </w:rPr>
        <w:t xml:space="preserve"> </w:t>
      </w:r>
      <w:r>
        <w:rPr>
          <w:rFonts w:hint="eastAsia"/>
          <w:highlight w:val="none"/>
          <w:u w:val="single"/>
          <w:lang w:val="en-US" w:eastAsia="zh-CN"/>
        </w:rPr>
        <w:t xml:space="preserve">                  </w:t>
      </w:r>
    </w:p>
    <w:p w14:paraId="372FC649">
      <w:pPr>
        <w:pStyle w:val="85"/>
        <w:keepNext w:val="0"/>
        <w:keepLines w:val="0"/>
        <w:pageBreakBefore w:val="0"/>
        <w:widowControl w:val="0"/>
        <w:shd w:val="clear" w:color="auto" w:fill="auto"/>
        <w:tabs>
          <w:tab w:val="left" w:pos="3204"/>
        </w:tabs>
        <w:kinsoku/>
        <w:wordWrap/>
        <w:overflowPunct/>
        <w:topLinePunct w:val="0"/>
        <w:autoSpaceDE/>
        <w:autoSpaceDN/>
        <w:bidi w:val="0"/>
        <w:adjustRightInd/>
        <w:snapToGrid/>
        <w:spacing w:before="0" w:line="570" w:lineRule="exact"/>
        <w:ind w:left="0" w:leftChars="0" w:right="0" w:firstLine="520" w:firstLineChars="200"/>
        <w:jc w:val="left"/>
        <w:textAlignment w:val="auto"/>
        <w:outlineLvl w:val="9"/>
        <w:rPr>
          <w:color w:val="000000"/>
          <w:spacing w:val="0"/>
          <w:w w:val="100"/>
          <w:position w:val="0"/>
          <w:sz w:val="24"/>
          <w:szCs w:val="24"/>
          <w:highlight w:val="none"/>
        </w:rPr>
      </w:pPr>
      <w:r>
        <w:rPr>
          <w:rFonts w:hint="eastAsia" w:ascii="Times New Roman" w:hAnsi="Times New Roman" w:cs="Times New Roman"/>
          <w:color w:val="000000"/>
          <w:spacing w:val="0"/>
          <w:w w:val="100"/>
          <w:position w:val="0"/>
          <w:sz w:val="26"/>
          <w:szCs w:val="26"/>
          <w:highlight w:val="none"/>
          <w:lang w:val="en-US" w:eastAsia="zh-CN"/>
        </w:rPr>
        <w:t>注：</w:t>
      </w:r>
      <w:r>
        <w:rPr>
          <w:rFonts w:ascii="Times New Roman" w:hAnsi="Times New Roman" w:eastAsia="Times New Roman" w:cs="Times New Roman"/>
          <w:color w:val="000000"/>
          <w:spacing w:val="0"/>
          <w:w w:val="100"/>
          <w:position w:val="0"/>
          <w:sz w:val="26"/>
          <w:szCs w:val="26"/>
          <w:highlight w:val="none"/>
        </w:rPr>
        <w:t>1</w:t>
      </w:r>
      <w:r>
        <w:rPr>
          <w:color w:val="000000"/>
          <w:spacing w:val="0"/>
          <w:w w:val="100"/>
          <w:position w:val="0"/>
          <w:sz w:val="24"/>
          <w:szCs w:val="24"/>
          <w:highlight w:val="none"/>
        </w:rPr>
        <w:t>、由供应商依据磋商情况填写最终报价。</w:t>
      </w:r>
    </w:p>
    <w:p w14:paraId="3718C558">
      <w:pPr>
        <w:pStyle w:val="85"/>
        <w:keepNext w:val="0"/>
        <w:keepLines w:val="0"/>
        <w:pageBreakBefore w:val="0"/>
        <w:widowControl w:val="0"/>
        <w:shd w:val="clear" w:color="auto" w:fill="auto"/>
        <w:tabs>
          <w:tab w:val="left" w:pos="3204"/>
        </w:tabs>
        <w:kinsoku/>
        <w:wordWrap/>
        <w:overflowPunct/>
        <w:topLinePunct w:val="0"/>
        <w:autoSpaceDE/>
        <w:autoSpaceDN/>
        <w:bidi w:val="0"/>
        <w:adjustRightInd/>
        <w:snapToGrid/>
        <w:spacing w:before="0" w:line="570" w:lineRule="exact"/>
        <w:ind w:left="0" w:leftChars="0" w:right="0" w:firstLine="1040" w:firstLineChars="400"/>
        <w:jc w:val="left"/>
        <w:textAlignment w:val="auto"/>
        <w:outlineLvl w:val="9"/>
        <w:rPr>
          <w:highlight w:val="none"/>
        </w:rPr>
      </w:pPr>
      <w:r>
        <w:rPr>
          <w:rFonts w:ascii="Times New Roman" w:hAnsi="Times New Roman" w:eastAsia="Times New Roman" w:cs="Times New Roman"/>
          <w:color w:val="000000"/>
          <w:spacing w:val="0"/>
          <w:w w:val="100"/>
          <w:position w:val="0"/>
          <w:sz w:val="26"/>
          <w:szCs w:val="26"/>
          <w:highlight w:val="none"/>
        </w:rPr>
        <w:t>2</w:t>
      </w:r>
      <w:r>
        <w:rPr>
          <w:color w:val="000000"/>
          <w:spacing w:val="0"/>
          <w:w w:val="100"/>
          <w:position w:val="0"/>
          <w:sz w:val="24"/>
          <w:szCs w:val="24"/>
          <w:highlight w:val="none"/>
        </w:rPr>
        <w:t>、磋商现场提交最终报价一览表时未加盖公章为无效报价。</w:t>
      </w:r>
    </w:p>
    <w:p w14:paraId="3F3D8007">
      <w:pPr>
        <w:pStyle w:val="85"/>
        <w:keepNext w:val="0"/>
        <w:keepLines w:val="0"/>
        <w:pageBreakBefore w:val="0"/>
        <w:widowControl w:val="0"/>
        <w:shd w:val="clear" w:color="auto" w:fill="auto"/>
        <w:tabs>
          <w:tab w:val="left" w:pos="3204"/>
        </w:tabs>
        <w:kinsoku/>
        <w:wordWrap/>
        <w:overflowPunct/>
        <w:topLinePunct w:val="0"/>
        <w:autoSpaceDE/>
        <w:autoSpaceDN/>
        <w:bidi w:val="0"/>
        <w:adjustRightInd/>
        <w:snapToGrid/>
        <w:spacing w:before="0" w:line="570" w:lineRule="exact"/>
        <w:ind w:left="0" w:leftChars="0" w:right="0" w:firstLine="960" w:firstLineChars="400"/>
        <w:jc w:val="left"/>
        <w:textAlignment w:val="auto"/>
        <w:outlineLvl w:val="9"/>
        <w:rPr>
          <w:rFonts w:ascii="宋体" w:hAnsi="宋体" w:eastAsia="宋体" w:cs="宋体"/>
          <w:color w:val="000000"/>
          <w:spacing w:val="0"/>
          <w:w w:val="100"/>
          <w:position w:val="0"/>
          <w:sz w:val="24"/>
          <w:szCs w:val="24"/>
          <w:highlight w:val="none"/>
        </w:rPr>
      </w:pPr>
      <w:r>
        <w:rPr>
          <w:rFonts w:ascii="宋体" w:hAnsi="宋体" w:eastAsia="宋体" w:cs="宋体"/>
          <w:color w:val="000000"/>
          <w:spacing w:val="0"/>
          <w:w w:val="100"/>
          <w:position w:val="0"/>
          <w:sz w:val="24"/>
          <w:szCs w:val="24"/>
          <w:highlight w:val="none"/>
        </w:rPr>
        <w:t>3、此表</w:t>
      </w:r>
      <w:r>
        <w:rPr>
          <w:rFonts w:hint="eastAsia" w:ascii="宋体" w:hAnsi="宋体" w:eastAsia="宋体" w:cs="宋体"/>
          <w:color w:val="000000"/>
          <w:spacing w:val="0"/>
          <w:w w:val="100"/>
          <w:position w:val="0"/>
          <w:sz w:val="24"/>
          <w:szCs w:val="24"/>
          <w:highlight w:val="none"/>
        </w:rPr>
        <w:t>为开标时填写</w:t>
      </w:r>
      <w:r>
        <w:rPr>
          <w:rFonts w:hint="eastAsia" w:ascii="宋体" w:hAnsi="宋体" w:eastAsia="宋体" w:cs="宋体"/>
          <w:color w:val="000000"/>
          <w:spacing w:val="0"/>
          <w:w w:val="100"/>
          <w:position w:val="0"/>
          <w:sz w:val="24"/>
          <w:szCs w:val="24"/>
          <w:highlight w:val="none"/>
          <w:lang w:eastAsia="zh-CN"/>
        </w:rPr>
        <w:t>，</w:t>
      </w:r>
      <w:r>
        <w:rPr>
          <w:rFonts w:ascii="宋体" w:hAnsi="宋体" w:eastAsia="宋体" w:cs="宋体"/>
          <w:color w:val="000000"/>
          <w:spacing w:val="0"/>
          <w:w w:val="100"/>
          <w:position w:val="0"/>
          <w:sz w:val="24"/>
          <w:szCs w:val="24"/>
          <w:highlight w:val="none"/>
        </w:rPr>
        <w:t>无需装订在响应文件中。</w:t>
      </w:r>
    </w:p>
    <w:p w14:paraId="38DDC380">
      <w:pPr>
        <w:bidi w:val="0"/>
        <w:outlineLvl w:val="9"/>
        <w:rPr>
          <w:rFonts w:hint="eastAsia" w:ascii="宋体" w:hAnsi="宋体" w:eastAsia="宋体" w:cs="宋体"/>
          <w:b/>
          <w:bCs/>
          <w:sz w:val="28"/>
          <w:szCs w:val="28"/>
          <w:highlight w:val="none"/>
        </w:rPr>
      </w:pPr>
      <w:r>
        <w:rPr>
          <w:rFonts w:hint="eastAsia" w:ascii="宋体" w:hAnsi="宋体" w:eastAsia="宋体" w:cs="宋体"/>
          <w:sz w:val="24"/>
          <w:highlight w:val="none"/>
        </w:rPr>
        <w:br w:type="page"/>
      </w:r>
      <w:bookmarkStart w:id="182" w:name="_Toc24705"/>
      <w:bookmarkStart w:id="183" w:name="_Toc2796"/>
      <w:r>
        <w:rPr>
          <w:rFonts w:hint="eastAsia" w:ascii="宋体" w:hAnsi="宋体" w:eastAsia="宋体" w:cs="宋体"/>
          <w:b/>
          <w:bCs/>
          <w:sz w:val="28"/>
          <w:szCs w:val="28"/>
          <w:highlight w:val="none"/>
        </w:rPr>
        <w:t xml:space="preserve">2  </w:t>
      </w:r>
      <w:bookmarkEnd w:id="179"/>
      <w:r>
        <w:rPr>
          <w:rFonts w:hint="eastAsia" w:ascii="宋体" w:hAnsi="宋体" w:eastAsia="宋体" w:cs="宋体"/>
          <w:b/>
          <w:bCs/>
          <w:sz w:val="28"/>
          <w:szCs w:val="28"/>
          <w:highlight w:val="none"/>
        </w:rPr>
        <w:t>投标人法人或者非法人组织的营业执照等证明文件</w:t>
      </w:r>
      <w:bookmarkEnd w:id="182"/>
      <w:bookmarkEnd w:id="183"/>
    </w:p>
    <w:p w14:paraId="21B6EED5">
      <w:pPr>
        <w:pStyle w:val="17"/>
        <w:tabs>
          <w:tab w:val="left" w:pos="5580"/>
        </w:tabs>
        <w:spacing w:line="240" w:lineRule="atLeast"/>
        <w:ind w:left="1080" w:leftChars="257" w:hanging="540"/>
        <w:jc w:val="center"/>
        <w:outlineLvl w:val="9"/>
        <w:rPr>
          <w:rFonts w:hint="eastAsia" w:ascii="宋体" w:hAnsi="宋体" w:eastAsia="宋体" w:cs="宋体"/>
          <w:b/>
          <w:sz w:val="24"/>
          <w:highlight w:val="none"/>
        </w:rPr>
      </w:pPr>
    </w:p>
    <w:p w14:paraId="10C08ADF">
      <w:pPr>
        <w:pStyle w:val="17"/>
        <w:tabs>
          <w:tab w:val="left" w:pos="5580"/>
        </w:tabs>
        <w:spacing w:line="240" w:lineRule="atLeast"/>
        <w:ind w:left="1080" w:leftChars="257" w:hanging="540"/>
        <w:outlineLvl w:val="9"/>
        <w:rPr>
          <w:rFonts w:hint="eastAsia" w:ascii="宋体" w:hAnsi="宋体" w:eastAsia="宋体" w:cs="宋体"/>
          <w:b/>
          <w:sz w:val="24"/>
          <w:highlight w:val="none"/>
        </w:rPr>
      </w:pPr>
    </w:p>
    <w:p w14:paraId="65BB37C0">
      <w:pPr>
        <w:pStyle w:val="17"/>
        <w:tabs>
          <w:tab w:val="left" w:pos="5580"/>
        </w:tabs>
        <w:spacing w:line="240" w:lineRule="atLeast"/>
        <w:ind w:left="1080" w:leftChars="257" w:hanging="540"/>
        <w:outlineLvl w:val="9"/>
        <w:rPr>
          <w:rFonts w:hint="eastAsia" w:ascii="宋体" w:hAnsi="宋体" w:eastAsia="宋体" w:cs="宋体"/>
          <w:b/>
          <w:sz w:val="24"/>
          <w:highlight w:val="none"/>
        </w:rPr>
      </w:pPr>
    </w:p>
    <w:p w14:paraId="7FAC673D">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说明：1.提供有效的营业执照等证明文件复印件，复印件上应加盖本单位章。</w:t>
      </w:r>
    </w:p>
    <w:p w14:paraId="62DD06C8">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 xml:space="preserve">      2.投标人为自然人的，应提供身份证明的复印件。</w:t>
      </w:r>
    </w:p>
    <w:p w14:paraId="7F663117">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 xml:space="preserve">      3.联合体投标应提供联合体各方满足以上要求的证明文件。</w:t>
      </w:r>
    </w:p>
    <w:p w14:paraId="3A73301A">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274F8AAA">
      <w:pPr>
        <w:pStyle w:val="17"/>
        <w:tabs>
          <w:tab w:val="left" w:pos="5580"/>
        </w:tabs>
        <w:spacing w:line="240" w:lineRule="atLeast"/>
        <w:ind w:left="1080" w:leftChars="257" w:hanging="540"/>
        <w:jc w:val="center"/>
        <w:outlineLvl w:val="9"/>
        <w:rPr>
          <w:rFonts w:hint="eastAsia" w:ascii="仿宋_GB2312" w:hAnsi="宋体" w:eastAsia="仿宋_GB2312"/>
          <w:sz w:val="24"/>
          <w:highlight w:val="none"/>
        </w:rPr>
      </w:pPr>
    </w:p>
    <w:p w14:paraId="4E7D222E">
      <w:pPr>
        <w:pStyle w:val="17"/>
        <w:tabs>
          <w:tab w:val="left" w:pos="5580"/>
        </w:tabs>
        <w:spacing w:line="240" w:lineRule="atLeast"/>
        <w:ind w:left="1080" w:leftChars="257" w:hanging="540"/>
        <w:jc w:val="center"/>
        <w:outlineLvl w:val="9"/>
        <w:rPr>
          <w:rFonts w:hint="eastAsia" w:ascii="仿宋_GB2312" w:hAnsi="宋体" w:eastAsia="仿宋_GB2312"/>
          <w:sz w:val="24"/>
          <w:highlight w:val="none"/>
        </w:rPr>
      </w:pPr>
    </w:p>
    <w:p w14:paraId="489E4628">
      <w:pPr>
        <w:pStyle w:val="17"/>
        <w:tabs>
          <w:tab w:val="left" w:pos="5580"/>
        </w:tabs>
        <w:spacing w:line="240" w:lineRule="atLeast"/>
        <w:ind w:left="1080" w:leftChars="257" w:hanging="540"/>
        <w:jc w:val="center"/>
        <w:outlineLvl w:val="9"/>
        <w:rPr>
          <w:rFonts w:hint="eastAsia" w:ascii="仿宋_GB2312" w:hAnsi="宋体" w:eastAsia="仿宋_GB2312"/>
          <w:sz w:val="24"/>
          <w:highlight w:val="none"/>
        </w:rPr>
      </w:pPr>
    </w:p>
    <w:p w14:paraId="06B0D2BA">
      <w:pPr>
        <w:pStyle w:val="17"/>
        <w:tabs>
          <w:tab w:val="left" w:pos="5580"/>
        </w:tabs>
        <w:spacing w:line="240" w:lineRule="atLeast"/>
        <w:ind w:left="1080" w:leftChars="257" w:hanging="540"/>
        <w:jc w:val="center"/>
        <w:outlineLvl w:val="9"/>
        <w:rPr>
          <w:rFonts w:hint="eastAsia" w:ascii="仿宋_GB2312" w:hAnsi="宋体" w:eastAsia="仿宋_GB2312"/>
          <w:sz w:val="24"/>
          <w:highlight w:val="none"/>
        </w:rPr>
      </w:pPr>
    </w:p>
    <w:p w14:paraId="695580F1">
      <w:pPr>
        <w:spacing w:before="0" w:line="240" w:lineRule="atLeast"/>
        <w:ind w:left="1080" w:leftChars="257" w:hanging="540"/>
        <w:outlineLvl w:val="9"/>
        <w:rPr>
          <w:rFonts w:hint="eastAsia" w:ascii="宋体" w:hAnsi="宋体" w:eastAsia="宋体" w:cs="宋体"/>
          <w:b w:val="0"/>
          <w:sz w:val="24"/>
          <w:highlight w:val="none"/>
          <w:u w:val="single"/>
        </w:rPr>
      </w:pPr>
      <w:bookmarkStart w:id="184" w:name="_Toc518923110"/>
      <w:r>
        <w:rPr>
          <w:rFonts w:hint="eastAsia" w:ascii="宋体" w:hAnsi="宋体" w:eastAsia="宋体" w:cs="宋体"/>
          <w:sz w:val="24"/>
          <w:highlight w:val="none"/>
        </w:rPr>
        <w:br w:type="page"/>
      </w:r>
      <w:bookmarkStart w:id="185" w:name="_Toc18916"/>
      <w:bookmarkStart w:id="186" w:name="_Toc5427"/>
      <w:r>
        <w:rPr>
          <w:rFonts w:hint="eastAsia" w:ascii="宋体" w:hAnsi="宋体" w:eastAsia="宋体" w:cs="宋体"/>
          <w:sz w:val="24"/>
          <w:highlight w:val="none"/>
        </w:rPr>
        <w:t xml:space="preserve">3  </w:t>
      </w:r>
      <w:r>
        <w:rPr>
          <w:rFonts w:hint="eastAsia" w:ascii="宋体" w:hAnsi="宋体" w:eastAsia="宋体" w:cs="宋体"/>
          <w:sz w:val="24"/>
          <w:highlight w:val="none"/>
          <w:lang w:eastAsia="zh-CN"/>
        </w:rPr>
        <w:t>法定代表人资格证明或法定代表人授权委托书，自然人响应的无需提供；</w:t>
      </w:r>
      <w:r>
        <w:rPr>
          <w:rFonts w:hint="eastAsia" w:ascii="宋体" w:hAnsi="宋体" w:eastAsia="宋体" w:cs="宋体"/>
          <w:sz w:val="24"/>
          <w:highlight w:val="none"/>
        </w:rPr>
        <w:t>(响应文件格式</w:t>
      </w: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自然人投标的无需提供)</w:t>
      </w:r>
      <w:bookmarkEnd w:id="184"/>
      <w:bookmarkEnd w:id="185"/>
      <w:bookmarkEnd w:id="186"/>
    </w:p>
    <w:p w14:paraId="3FD9D1E0">
      <w:pPr>
        <w:pStyle w:val="17"/>
        <w:spacing w:line="240" w:lineRule="atLeast"/>
        <w:jc w:val="center"/>
        <w:outlineLvl w:val="9"/>
        <w:rPr>
          <w:rFonts w:ascii="仿宋" w:hAnsi="仿宋" w:eastAsia="仿宋" w:cs="仿宋"/>
          <w:spacing w:val="8"/>
          <w:sz w:val="31"/>
          <w:szCs w:val="31"/>
          <w:highlight w:val="none"/>
        </w:rPr>
      </w:pPr>
    </w:p>
    <w:p w14:paraId="0C1F2147">
      <w:pPr>
        <w:pStyle w:val="17"/>
        <w:spacing w:line="240" w:lineRule="atLeast"/>
        <w:jc w:val="center"/>
        <w:outlineLvl w:val="9"/>
        <w:rPr>
          <w:rFonts w:hint="eastAsia" w:ascii="宋体" w:hAnsi="宋体" w:eastAsia="宋体" w:cs="宋体"/>
          <w:spacing w:val="7"/>
          <w:sz w:val="31"/>
          <w:szCs w:val="31"/>
          <w:highlight w:val="none"/>
        </w:rPr>
      </w:pPr>
      <w:r>
        <w:rPr>
          <w:rFonts w:hint="eastAsia" w:ascii="宋体" w:hAnsi="宋体" w:eastAsia="宋体" w:cs="宋体"/>
          <w:spacing w:val="8"/>
          <w:sz w:val="31"/>
          <w:szCs w:val="31"/>
          <w:highlight w:val="none"/>
        </w:rPr>
        <w:t>法定代表人身份证明</w:t>
      </w:r>
      <w:r>
        <w:rPr>
          <w:rFonts w:hint="eastAsia" w:ascii="宋体" w:hAnsi="宋体" w:eastAsia="宋体" w:cs="宋体"/>
          <w:spacing w:val="7"/>
          <w:sz w:val="31"/>
          <w:szCs w:val="31"/>
          <w:highlight w:val="none"/>
        </w:rPr>
        <w:t>书</w:t>
      </w:r>
    </w:p>
    <w:p w14:paraId="4555B581">
      <w:pPr>
        <w:spacing w:before="101" w:line="228" w:lineRule="auto"/>
        <w:jc w:val="center"/>
        <w:outlineLvl w:val="9"/>
        <w:rPr>
          <w:rFonts w:hint="eastAsia" w:ascii="宋体" w:hAnsi="宋体" w:eastAsia="宋体" w:cs="宋体"/>
          <w:spacing w:val="8"/>
          <w:sz w:val="31"/>
          <w:szCs w:val="31"/>
          <w:highlight w:val="none"/>
        </w:rPr>
      </w:pPr>
      <w:r>
        <w:rPr>
          <w:rFonts w:hint="eastAsia" w:ascii="宋体" w:hAnsi="宋体" w:eastAsia="宋体" w:cs="宋体"/>
          <w:spacing w:val="8"/>
          <w:sz w:val="31"/>
          <w:szCs w:val="31"/>
          <w:highlight w:val="none"/>
        </w:rPr>
        <w:t>（法定代表人参与投标时提供）</w:t>
      </w:r>
    </w:p>
    <w:p w14:paraId="50D336EA">
      <w:pPr>
        <w:outlineLvl w:val="9"/>
        <w:rPr>
          <w:rFonts w:ascii="Arial"/>
          <w:sz w:val="21"/>
          <w:highlight w:val="none"/>
        </w:rPr>
      </w:pPr>
    </w:p>
    <w:p w14:paraId="55BE9AB7">
      <w:pPr>
        <w:outlineLvl w:val="9"/>
        <w:rPr>
          <w:rFonts w:ascii="Arial"/>
          <w:sz w:val="21"/>
          <w:highlight w:val="none"/>
        </w:rPr>
      </w:pPr>
    </w:p>
    <w:p w14:paraId="0A2A2F4C">
      <w:pPr>
        <w:spacing w:line="360" w:lineRule="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2"/>
          <w:sz w:val="24"/>
          <w:szCs w:val="24"/>
          <w:highlight w:val="none"/>
          <w:lang w:val="en-US" w:eastAsia="zh-CN" w:bidi="ar-SA"/>
        </w:rPr>
        <w:t xml:space="preserve">           同志，现任我单位</w:t>
      </w:r>
      <w:r>
        <w:rPr>
          <w:rFonts w:hint="eastAsia" w:ascii="宋体" w:hAnsi="宋体" w:eastAsia="宋体" w:cs="宋体"/>
          <w:color w:val="auto"/>
          <w:kern w:val="2"/>
          <w:sz w:val="24"/>
          <w:szCs w:val="24"/>
          <w:highlight w:val="none"/>
          <w:u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职务，为法定代表人，特此证明。</w:t>
      </w:r>
    </w:p>
    <w:p w14:paraId="6FD5B070">
      <w:pPr>
        <w:spacing w:line="360" w:lineRule="auto"/>
        <w:ind w:firstLine="240" w:firstLineChars="10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签发日期：                  单位：        </w:t>
      </w:r>
    </w:p>
    <w:p w14:paraId="4416AFF7">
      <w:pPr>
        <w:spacing w:line="360" w:lineRule="auto"/>
        <w:ind w:firstLine="240" w:firstLineChars="10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附：代表人性别：      年龄：      身份证号码：</w:t>
      </w:r>
    </w:p>
    <w:p w14:paraId="5EFD0F5F">
      <w:pPr>
        <w:spacing w:line="360" w:lineRule="auto"/>
        <w:ind w:firstLine="240" w:firstLineChars="10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p>
    <w:p w14:paraId="56CE7394">
      <w:pPr>
        <w:spacing w:line="360" w:lineRule="auto"/>
        <w:ind w:firstLine="240" w:firstLineChars="10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营业执照号码：              </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经济性质：</w:t>
      </w:r>
    </w:p>
    <w:p w14:paraId="75BBDFD5">
      <w:pPr>
        <w:spacing w:line="360" w:lineRule="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52B38862">
      <w:pPr>
        <w:spacing w:line="360" w:lineRule="auto"/>
        <w:ind w:firstLine="240" w:firstLineChars="10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1、法定代表人为企业事业单位、国家机关、社会团体的主要行政负责人。</w:t>
      </w:r>
    </w:p>
    <w:p w14:paraId="2F301761">
      <w:pPr>
        <w:spacing w:line="360" w:lineRule="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2、内容必须填写真实、清楚、涂改无效，不得转让。</w:t>
      </w:r>
    </w:p>
    <w:p w14:paraId="7977FFA6">
      <w:pPr>
        <w:pStyle w:val="10"/>
        <w:outlineLvl w:val="9"/>
        <w:rPr>
          <w:rFonts w:hint="eastAsia" w:ascii="宋体" w:hAnsi="宋体" w:eastAsia="宋体" w:cs="宋体"/>
          <w:color w:val="auto"/>
          <w:kern w:val="2"/>
          <w:sz w:val="24"/>
          <w:szCs w:val="24"/>
          <w:highlight w:val="none"/>
          <w:lang w:val="en-US" w:eastAsia="zh-CN" w:bidi="ar-SA"/>
        </w:rPr>
      </w:pPr>
    </w:p>
    <w:p w14:paraId="42BF0B65">
      <w:pPr>
        <w:outlineLvl w:val="9"/>
        <w:rPr>
          <w:rFonts w:hint="eastAsia" w:ascii="宋体" w:hAnsi="宋体" w:eastAsia="宋体" w:cs="宋体"/>
          <w:highlight w:val="none"/>
          <w:lang w:val="en-US" w:eastAsia="zh-CN"/>
        </w:rPr>
      </w:pPr>
    </w:p>
    <w:p w14:paraId="193FDC85">
      <w:pPr>
        <w:spacing w:line="360" w:lineRule="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154305</wp:posOffset>
                </wp:positionH>
                <wp:positionV relativeFrom="paragraph">
                  <wp:posOffset>41910</wp:posOffset>
                </wp:positionV>
                <wp:extent cx="2565400" cy="1553210"/>
                <wp:effectExtent l="4445" t="4445" r="5715" b="12065"/>
                <wp:wrapNone/>
                <wp:docPr id="1027" name="流程图: 可选过程 102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B3FF125">
                            <w:pPr>
                              <w:jc w:val="center"/>
                              <w:rPr>
                                <w:rFonts w:hAnsi="宋体"/>
                              </w:rPr>
                            </w:pPr>
                          </w:p>
                          <w:p w14:paraId="2DC58D5B">
                            <w:pPr>
                              <w:jc w:val="center"/>
                              <w:rPr>
                                <w:rFonts w:hAnsi="宋体"/>
                              </w:rPr>
                            </w:pPr>
                          </w:p>
                          <w:p w14:paraId="091623C2">
                            <w:pPr>
                              <w:jc w:val="center"/>
                              <w:rPr>
                                <w:rFonts w:hAnsi="宋体"/>
                              </w:rPr>
                            </w:pPr>
                          </w:p>
                          <w:p w14:paraId="4ECDB278">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wps:txbx>
                      <wps:bodyPr vert="horz" wrap="square" anchor="t" anchorCtr="0" upright="1"/>
                    </wps:wsp>
                  </a:graphicData>
                </a:graphic>
              </wp:anchor>
            </w:drawing>
          </mc:Choice>
          <mc:Fallback>
            <w:pict>
              <v:shape id="_x0000_s1026" o:spid="_x0000_s1026" o:spt="176" type="#_x0000_t176" style="position:absolute;left:0pt;margin-left:12.15pt;margin-top:3.3pt;height:122.3pt;width:202pt;z-index:251660288;mso-width-relative:page;mso-height-relative:page;" fillcolor="#FFFFFF" filled="t" stroked="t" coordsize="21600,21600" o:gfxdata="UEsDBAoAAAAAAIdO4kAAAAAAAAAAAAAAAAAEAAAAZHJzL1BLAwQUAAAACACHTuJALeFY9dYAAAAI&#10;AQAADwAAAGRycy9kb3ducmV2LnhtbE2PQU+EMBCF7yb+h2ZMvLkFdkUWKRuj0ZMXcZO9FhgpkU4J&#10;LSz66x1PenzzXt58rzisdhALTr53pCDeRCCQGtf21Ck4vj/fZCB80NTqwREq+EIPh/LyotB56870&#10;hksVOsEl5HOtwIQw5lL6xqDVfuNGJPY+3GR1YDl1sp30mcvtIJMoSqXVPfEHo0d8NNh8VrNVsL5+&#10;1/v5JW6qYLL07rRdnh6OUqnrqzi6BxFwDX9h+MVndCiZqXYztV4MCpLdlpMK0hQE27skY13z/TZO&#10;QJaF/D+g/AFQSwMEFAAAAAgAh07iQPSYlLdOAgAAlwQAAA4AAABkcnMvZTJvRG9jLnhtbK1UzY7T&#10;MBC+I/EOlu80aUuXJWq6Qi3lgqDSwgNMHaex5D9st2k5wQkhDjwAL8CNE1d4muXnLRg7pXQXDj2Q&#10;QzK2Z76Z7/NMxhdbJcmGOy+MLmm/l1PCNTOV0KuSPn82v3NOiQ+gK5BG85LuuKcXk9u3xq0t+MA0&#10;RlbcEQTRvmhtSZsQbJFlnjVcge8ZyzUe1sYpCLh0q6xy0CK6ktkgz8+y1rjKOsO497g76w7pHtGd&#10;AmjqWjA+M2ytuA4dquMSAlLyjbCeTlK1dc1ZeFrXngciS4pMQ3pjErSX8Z1NxlCsHNhGsH0JcEoJ&#10;NzgpEBqTHqBmEICsnfgLSgnmjDd16DGjso5IUgRZ9PMb2lw2YHniglJ7exDd/z9Y9mSzcERU2An5&#10;4B4lGhTe+bfPr79/fHf14UtBrt5/+vnq7Y+vb3CDJB+UrLW+wMhLu3D7lUcz8t/WTsUvMiPbJPPu&#10;IDPfBsJwczAcDs8GI0oYnvVH53eHuECc7E+4dT484kaRaJS0lqadNuDCAxm40xD4omugpDlsHvvQ&#10;xf+OiyV4I0U1F1KmhVstp9KRDWAjzNOzT3nNTWrSlvT+KFUH2N01dhUWqiwq5PUq5bsW4Y+B8/T8&#10;CzgWNgPfdAUkhOgGhRLIKFkNh+qhrkjYWbwCjcNHYzGKV5RIjrMareQZQMhTPFFQqWMSniZhr1K8&#10;vO66ohW2yy2CRnNpqh02A/4bUPLGuJeYHycDib9Yg8NqQDPcLikq0pnT0I3S2jqxajCqn7hHMOzX&#10;dKP72YoDcbxG+/h/Mv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eFY9dYAAAAIAQAADwAAAAAA&#10;AAABACAAAAAiAAAAZHJzL2Rvd25yZXYueG1sUEsBAhQAFAAAAAgAh07iQPSYlLdOAgAAlwQAAA4A&#10;AAAAAAAAAQAgAAAAJQEAAGRycy9lMm9Eb2MueG1sUEsFBgAAAAAGAAYAWQEAAOUFAAAAAA==&#10;">
                <v:fill on="t" focussize="0,0"/>
                <v:stroke color="#000000" joinstyle="miter"/>
                <v:imagedata o:title=""/>
                <o:lock v:ext="edit" aspectratio="f"/>
                <v:textbox>
                  <w:txbxContent>
                    <w:p w14:paraId="3B3FF125">
                      <w:pPr>
                        <w:jc w:val="center"/>
                        <w:rPr>
                          <w:rFonts w:hAnsi="宋体"/>
                        </w:rPr>
                      </w:pPr>
                    </w:p>
                    <w:p w14:paraId="2DC58D5B">
                      <w:pPr>
                        <w:jc w:val="center"/>
                        <w:rPr>
                          <w:rFonts w:hAnsi="宋体"/>
                        </w:rPr>
                      </w:pPr>
                    </w:p>
                    <w:p w14:paraId="091623C2">
                      <w:pPr>
                        <w:jc w:val="center"/>
                        <w:rPr>
                          <w:rFonts w:hAnsi="宋体"/>
                        </w:rPr>
                      </w:pPr>
                    </w:p>
                    <w:p w14:paraId="4ECDB278">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v:textbox>
              </v:shape>
            </w:pict>
          </mc:Fallback>
        </mc:AlternateContent>
      </w:r>
      <w:r>
        <w:rPr>
          <w:rFonts w:hint="eastAsia" w:ascii="宋体" w:hAnsi="宋体" w:eastAsia="宋体" w:cs="宋体"/>
          <w:color w:val="auto"/>
          <w:sz w:val="22"/>
          <w:szCs w:val="22"/>
          <w:highlight w:val="none"/>
        </w:rPr>
        <mc:AlternateContent>
          <mc:Choice Requires="wps">
            <w:drawing>
              <wp:anchor distT="0" distB="0" distL="114300" distR="114300" simplePos="0" relativeHeight="251661312" behindDoc="0" locked="0" layoutInCell="1" allowOverlap="1">
                <wp:simplePos x="0" y="0"/>
                <wp:positionH relativeFrom="column">
                  <wp:posOffset>2960370</wp:posOffset>
                </wp:positionH>
                <wp:positionV relativeFrom="paragraph">
                  <wp:posOffset>28575</wp:posOffset>
                </wp:positionV>
                <wp:extent cx="2567940" cy="1557020"/>
                <wp:effectExtent l="7620" t="7620" r="15240" b="20320"/>
                <wp:wrapNone/>
                <wp:docPr id="1028" name="圆角矩形 1028"/>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22587DE">
                            <w:pPr>
                              <w:jc w:val="center"/>
                              <w:rPr>
                                <w:rFonts w:hAnsi="宋体"/>
                              </w:rPr>
                            </w:pPr>
                            <w:r>
                              <w:rPr>
                                <w:rFonts w:hAnsi="宋体"/>
                              </w:rPr>
                              <w:t xml:space="preserve">  </w:t>
                            </w:r>
                          </w:p>
                          <w:p w14:paraId="429E47F9">
                            <w:pPr>
                              <w:jc w:val="center"/>
                              <w:rPr>
                                <w:rFonts w:hAnsi="宋体"/>
                              </w:rPr>
                            </w:pPr>
                          </w:p>
                          <w:p w14:paraId="74F0B342">
                            <w:pPr>
                              <w:jc w:val="center"/>
                              <w:rPr>
                                <w:rFonts w:hAnsi="宋体"/>
                              </w:rPr>
                            </w:pPr>
                          </w:p>
                          <w:p w14:paraId="16FE5839">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212CDBFA"/>
                          <w:p w14:paraId="620A7C4B">
                            <w:pPr>
                              <w:pStyle w:val="7"/>
                              <w:rPr>
                                <w:rFonts w:cs="Times New Roman"/>
                              </w:rPr>
                            </w:pPr>
                          </w:p>
                          <w:p w14:paraId="1CB59191">
                            <w:pPr>
                              <w:pStyle w:val="7"/>
                              <w:rPr>
                                <w:rFonts w:cs="Times New Roman"/>
                              </w:rPr>
                            </w:pPr>
                          </w:p>
                          <w:p w14:paraId="46CB88A8">
                            <w:pPr>
                              <w:pStyle w:val="7"/>
                              <w:rPr>
                                <w:rFonts w:cs="Times New Roman"/>
                              </w:rPr>
                            </w:pPr>
                          </w:p>
                          <w:p w14:paraId="5CC01E87">
                            <w:pPr>
                              <w:pStyle w:val="7"/>
                              <w:rPr>
                                <w:rFonts w:cs="Times New Roman"/>
                              </w:rPr>
                            </w:pPr>
                          </w:p>
                        </w:txbxContent>
                      </wps:txbx>
                      <wps:bodyPr vert="horz" wrap="square" anchor="t" anchorCtr="0" upright="1"/>
                    </wps:wsp>
                  </a:graphicData>
                </a:graphic>
              </wp:anchor>
            </w:drawing>
          </mc:Choice>
          <mc:Fallback>
            <w:pict>
              <v:roundrect id="_x0000_s1026" o:spid="_x0000_s1026" o:spt="2" style="position:absolute;left:0pt;margin-left:233.1pt;margin-top:2.25pt;height:122.6pt;width:202.2pt;z-index:251661312;mso-width-relative:page;mso-height-relative:page;" fillcolor="#FFFFFF" filled="t" stroked="t" coordsize="21600,21600" arcsize="0.166666666666667" o:gfxdata="UEsDBAoAAAAAAIdO4kAAAAAAAAAAAAAAAAAEAAAAZHJzL1BLAwQUAAAACACHTuJAc+Z/t9sAAAAJ&#10;AQAADwAAAGRycy9kb3ducmV2LnhtbE2PwU7DMBBE70j8g7VI3KjdUJI2xKkQEkggDm3KpTc3WZKo&#10;8TqK3abh61lOcJvVjGbeZuuL7cQZB9860jCfKRBIpataqjV87l7uliB8MFSZzhFqmNDDOr++ykxa&#10;uZG2eC5CLbiEfGo0NCH0qZS+bNAaP3M9EntfbrAm8DnUshrMyOW2k5FSsbSmJV5oTI/PDZbH4mQ1&#10;jN/T8fUjwft3tX17KnbJtNlvWq1vb+bqEUTAS/gLwy8+o0POTAd3osqLTsMijiOOsngAwf4yUTGI&#10;g4ZosUpA5pn8/0H+A1BLAwQUAAAACACHTuJAwb1qq08CAACpBAAADgAAAGRycy9lMm9Eb2MueG1s&#10;rVRLjhMxEN0jcQfLe6Y7kZIJ0XRmMWHYIBgxcADHdqeN/MN2fhyAA7BGQmKDOATHGcExeHY384PF&#10;LEik7rJd9fzqVVWfnO6NJlsZonK2oaOjmhJpuRPKrhv69s35kxklMTErmHZWNvQgIz1dPH50svNz&#10;OXad00IGAhAb5zvf0C4lP6+qyDtpWDxyXlocti4YlrAM60oEtgO60dW4rqfVzgXhg+MyRuwu+0M6&#10;IIaHALq2VVwuHd8YaVOPGqRmCSnFTvlIF4Vt20qeXrVtlInohiLTVJ64BPYqP6vFCZuvA/Od4gMF&#10;9hAK93IyTFlceg21ZImRTVB/QRnFg4uuTUfcmapPpCiCLEb1PW0uO+ZlyQVSR38tevx/sPzl9iIQ&#10;JdAJ9RiVt8yg5lefP/769unnl+9XP76ScgCddj7O4X7pL8KwijBz0vs2mPxGOmRftD1cayv3iXBs&#10;jqf109kEsnOcjSaT43pc1K9uwn2I6bl0hmSjocFtrHiNChZh2fZFTEVhMZBk4h0lrdGo15ZpMppO&#10;p8e5nkAcnGH9wcyR0WklzpXWZRHWqzMdCEIbel5+Q/AdN23JLvOdHU9AnaHfW/QZTOOhWbTrQu5O&#10;SLyNPKvz/1/ImdmSxa5nUBCyG5uXvIvVSSaeWUHSwaMoFuNIMxsjBSVaYnqzVTwTU/ohnlBE23yJ&#10;LLMBSbNgubJ9LbOV9qs9drO5cuKA9sDXAvXoXPiA+zErSPz9hgWwYZZju6FQpDfPUj9cGx/UukPU&#10;qOSewdDBpTjDtOURub0uPG6+M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Z/t9sAAAAJAQAA&#10;DwAAAAAAAAABACAAAAAiAAAAZHJzL2Rvd25yZXYueG1sUEsBAhQAFAAAAAgAh07iQMG9aqtPAgAA&#10;qQQAAA4AAAAAAAAAAQAgAAAAKgEAAGRycy9lMm9Eb2MueG1sUEsFBgAAAAAGAAYAWQEAAOsFAAAA&#10;AA==&#10;">
                <v:fill on="t" focussize="0,0"/>
                <v:stroke weight="1.25pt" color="#808080" joinstyle="round"/>
                <v:imagedata o:title=""/>
                <o:lock v:ext="edit" aspectratio="f"/>
                <v:textbox>
                  <w:txbxContent>
                    <w:p w14:paraId="022587DE">
                      <w:pPr>
                        <w:jc w:val="center"/>
                        <w:rPr>
                          <w:rFonts w:hAnsi="宋体"/>
                        </w:rPr>
                      </w:pPr>
                      <w:r>
                        <w:rPr>
                          <w:rFonts w:hAnsi="宋体"/>
                        </w:rPr>
                        <w:t xml:space="preserve">  </w:t>
                      </w:r>
                    </w:p>
                    <w:p w14:paraId="429E47F9">
                      <w:pPr>
                        <w:jc w:val="center"/>
                        <w:rPr>
                          <w:rFonts w:hAnsi="宋体"/>
                        </w:rPr>
                      </w:pPr>
                    </w:p>
                    <w:p w14:paraId="74F0B342">
                      <w:pPr>
                        <w:jc w:val="center"/>
                        <w:rPr>
                          <w:rFonts w:hAnsi="宋体"/>
                        </w:rPr>
                      </w:pPr>
                    </w:p>
                    <w:p w14:paraId="16FE5839">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212CDBFA"/>
                    <w:p w14:paraId="620A7C4B">
                      <w:pPr>
                        <w:pStyle w:val="7"/>
                        <w:rPr>
                          <w:rFonts w:cs="Times New Roman"/>
                        </w:rPr>
                      </w:pPr>
                    </w:p>
                    <w:p w14:paraId="1CB59191">
                      <w:pPr>
                        <w:pStyle w:val="7"/>
                        <w:rPr>
                          <w:rFonts w:cs="Times New Roman"/>
                        </w:rPr>
                      </w:pPr>
                    </w:p>
                    <w:p w14:paraId="46CB88A8">
                      <w:pPr>
                        <w:pStyle w:val="7"/>
                        <w:rPr>
                          <w:rFonts w:cs="Times New Roman"/>
                        </w:rPr>
                      </w:pPr>
                    </w:p>
                    <w:p w14:paraId="5CC01E87">
                      <w:pPr>
                        <w:pStyle w:val="7"/>
                        <w:rPr>
                          <w:rFonts w:cs="Times New Roman"/>
                        </w:rPr>
                      </w:pPr>
                    </w:p>
                  </w:txbxContent>
                </v:textbox>
              </v:roundrect>
            </w:pict>
          </mc:Fallback>
        </mc:AlternateContent>
      </w:r>
    </w:p>
    <w:p w14:paraId="104015AF">
      <w:pPr>
        <w:spacing w:line="360" w:lineRule="auto"/>
        <w:outlineLvl w:val="9"/>
        <w:rPr>
          <w:rFonts w:hint="eastAsia" w:ascii="宋体" w:hAnsi="宋体" w:eastAsia="宋体" w:cs="宋体"/>
          <w:color w:val="auto"/>
          <w:sz w:val="22"/>
          <w:szCs w:val="22"/>
          <w:highlight w:val="none"/>
        </w:rPr>
      </w:pPr>
    </w:p>
    <w:p w14:paraId="25E06923">
      <w:pPr>
        <w:spacing w:line="360" w:lineRule="auto"/>
        <w:outlineLvl w:val="9"/>
        <w:rPr>
          <w:rFonts w:hint="eastAsia" w:ascii="宋体" w:hAnsi="宋体" w:eastAsia="宋体" w:cs="宋体"/>
          <w:color w:val="auto"/>
          <w:sz w:val="22"/>
          <w:szCs w:val="22"/>
          <w:highlight w:val="none"/>
        </w:rPr>
      </w:pPr>
    </w:p>
    <w:p w14:paraId="58BBA2CD">
      <w:pPr>
        <w:tabs>
          <w:tab w:val="left" w:pos="654"/>
          <w:tab w:val="left" w:pos="1734"/>
          <w:tab w:val="left" w:pos="2814"/>
          <w:tab w:val="left" w:pos="3894"/>
          <w:tab w:val="left" w:pos="5334"/>
          <w:tab w:val="left" w:pos="6414"/>
          <w:tab w:val="left" w:pos="7254"/>
          <w:tab w:val="left" w:pos="8574"/>
          <w:tab w:val="left" w:pos="9654"/>
        </w:tabs>
        <w:spacing w:line="360" w:lineRule="auto"/>
        <w:outlineLvl w:val="9"/>
        <w:rPr>
          <w:rFonts w:hint="eastAsia" w:ascii="宋体" w:hAnsi="宋体" w:eastAsia="宋体" w:cs="宋体"/>
          <w:color w:val="auto"/>
          <w:sz w:val="22"/>
          <w:szCs w:val="22"/>
          <w:highlight w:val="none"/>
        </w:rPr>
      </w:pPr>
    </w:p>
    <w:p w14:paraId="65BEE43E">
      <w:pPr>
        <w:autoSpaceDE w:val="0"/>
        <w:autoSpaceDN w:val="0"/>
        <w:adjustRightInd w:val="0"/>
        <w:spacing w:line="360" w:lineRule="auto"/>
        <w:ind w:right="246"/>
        <w:outlineLvl w:val="9"/>
        <w:rPr>
          <w:rFonts w:hint="eastAsia" w:ascii="宋体" w:hAnsi="宋体" w:eastAsia="宋体" w:cs="宋体"/>
          <w:color w:val="auto"/>
          <w:kern w:val="0"/>
          <w:sz w:val="22"/>
          <w:szCs w:val="22"/>
          <w:highlight w:val="none"/>
        </w:rPr>
      </w:pPr>
    </w:p>
    <w:p w14:paraId="53EA35AE">
      <w:pPr>
        <w:pStyle w:val="7"/>
        <w:outlineLvl w:val="9"/>
        <w:rPr>
          <w:rFonts w:hint="eastAsia" w:ascii="宋体" w:hAnsi="宋体" w:eastAsia="宋体" w:cs="宋体"/>
          <w:color w:val="auto"/>
          <w:kern w:val="0"/>
          <w:sz w:val="22"/>
          <w:szCs w:val="22"/>
          <w:highlight w:val="none"/>
        </w:rPr>
      </w:pPr>
    </w:p>
    <w:p w14:paraId="6147D7E9">
      <w:pPr>
        <w:pStyle w:val="8"/>
        <w:outlineLvl w:val="9"/>
        <w:rPr>
          <w:rFonts w:hint="eastAsia"/>
          <w:highlight w:val="none"/>
        </w:rPr>
      </w:pPr>
    </w:p>
    <w:p w14:paraId="3DFC781A">
      <w:pPr>
        <w:wordWrap w:val="0"/>
        <w:spacing w:line="360" w:lineRule="auto"/>
        <w:jc w:val="right"/>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投标人（公章）：</w:t>
      </w:r>
      <w:r>
        <w:rPr>
          <w:rFonts w:hint="eastAsia" w:ascii="宋体" w:hAnsi="宋体" w:cs="宋体"/>
          <w:color w:val="auto"/>
          <w:kern w:val="2"/>
          <w:sz w:val="24"/>
          <w:szCs w:val="24"/>
          <w:highlight w:val="none"/>
          <w:lang w:val="en-US" w:eastAsia="zh-CN" w:bidi="ar-SA"/>
        </w:rPr>
        <w:t xml:space="preserve">           </w:t>
      </w:r>
    </w:p>
    <w:p w14:paraId="58483A20">
      <w:pPr>
        <w:wordWrap w:val="0"/>
        <w:spacing w:line="360" w:lineRule="auto"/>
        <w:jc w:val="right"/>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法定代表人（签字或盖章）：</w:t>
      </w:r>
      <w:r>
        <w:rPr>
          <w:rFonts w:hint="eastAsia" w:ascii="宋体" w:hAnsi="宋体" w:cs="宋体"/>
          <w:color w:val="auto"/>
          <w:kern w:val="2"/>
          <w:sz w:val="24"/>
          <w:szCs w:val="24"/>
          <w:highlight w:val="none"/>
          <w:lang w:val="en-US" w:eastAsia="zh-CN" w:bidi="ar-SA"/>
        </w:rPr>
        <w:t xml:space="preserve">           </w:t>
      </w:r>
    </w:p>
    <w:p w14:paraId="6953ED7B">
      <w:pPr>
        <w:spacing w:line="275" w:lineRule="auto"/>
        <w:ind w:firstLine="5280" w:firstLineChars="2200"/>
        <w:outlineLvl w:val="9"/>
        <w:rPr>
          <w:rFonts w:ascii="Arial"/>
          <w:sz w:val="21"/>
          <w:highlight w:val="none"/>
        </w:rPr>
      </w:pPr>
      <w:r>
        <w:rPr>
          <w:rFonts w:hint="eastAsia" w:ascii="宋体" w:hAnsi="宋体" w:eastAsia="宋体" w:cs="宋体"/>
          <w:color w:val="auto"/>
          <w:kern w:val="2"/>
          <w:sz w:val="24"/>
          <w:szCs w:val="24"/>
          <w:highlight w:val="none"/>
          <w:lang w:val="en-US" w:eastAsia="zh-CN" w:bidi="ar-SA"/>
        </w:rPr>
        <w:t>日期：</w:t>
      </w:r>
      <w:r>
        <w:rPr>
          <w:rFonts w:hint="eastAsia" w:ascii="宋体" w:hAnsi="宋体" w:cs="宋体"/>
          <w:color w:val="auto"/>
          <w:kern w:val="2"/>
          <w:sz w:val="24"/>
          <w:szCs w:val="24"/>
          <w:highlight w:val="none"/>
          <w:lang w:val="en-US" w:eastAsia="zh-CN" w:bidi="ar-SA"/>
        </w:rPr>
        <w:t xml:space="preserve">        </w:t>
      </w:r>
    </w:p>
    <w:p w14:paraId="684CDF80">
      <w:pPr>
        <w:outlineLvl w:val="9"/>
        <w:rPr>
          <w:rFonts w:ascii="仿宋" w:hAnsi="仿宋" w:eastAsia="仿宋" w:cs="仿宋"/>
          <w:spacing w:val="-18"/>
          <w:sz w:val="28"/>
          <w:szCs w:val="28"/>
          <w:highlight w:val="none"/>
        </w:rPr>
      </w:pPr>
    </w:p>
    <w:p w14:paraId="2A57E8DD">
      <w:pPr>
        <w:spacing w:before="91" w:line="223" w:lineRule="auto"/>
        <w:ind w:left="34"/>
        <w:outlineLvl w:val="9"/>
        <w:rPr>
          <w:rFonts w:ascii="Arial"/>
          <w:sz w:val="21"/>
          <w:highlight w:val="none"/>
        </w:rPr>
      </w:pPr>
      <w:r>
        <w:rPr>
          <w:rFonts w:ascii="仿宋" w:hAnsi="仿宋" w:eastAsia="仿宋" w:cs="仿宋"/>
          <w:spacing w:val="-18"/>
          <w:sz w:val="28"/>
          <w:szCs w:val="28"/>
          <w:highlight w:val="none"/>
        </w:rPr>
        <w:br w:type="page"/>
      </w:r>
    </w:p>
    <w:p w14:paraId="301FE481">
      <w:pPr>
        <w:spacing w:before="100" w:line="228" w:lineRule="auto"/>
        <w:jc w:val="center"/>
        <w:outlineLvl w:val="9"/>
        <w:rPr>
          <w:rFonts w:hint="eastAsia" w:ascii="宋体" w:hAnsi="宋体" w:eastAsia="宋体" w:cs="宋体"/>
          <w:sz w:val="31"/>
          <w:szCs w:val="31"/>
          <w:highlight w:val="none"/>
        </w:rPr>
      </w:pPr>
      <w:r>
        <w:rPr>
          <w:rFonts w:hint="eastAsia" w:ascii="宋体" w:hAnsi="宋体" w:eastAsia="宋体" w:cs="宋体"/>
          <w:spacing w:val="8"/>
          <w:sz w:val="31"/>
          <w:szCs w:val="31"/>
          <w:highlight w:val="none"/>
        </w:rPr>
        <w:t>法定代表人授权委托</w:t>
      </w:r>
      <w:r>
        <w:rPr>
          <w:rFonts w:hint="eastAsia" w:ascii="宋体" w:hAnsi="宋体" w:eastAsia="宋体" w:cs="宋体"/>
          <w:spacing w:val="7"/>
          <w:sz w:val="31"/>
          <w:szCs w:val="31"/>
          <w:highlight w:val="none"/>
        </w:rPr>
        <w:t>书</w:t>
      </w:r>
    </w:p>
    <w:p w14:paraId="4365F58B">
      <w:pPr>
        <w:pStyle w:val="17"/>
        <w:tabs>
          <w:tab w:val="left" w:pos="5580"/>
        </w:tabs>
        <w:spacing w:line="240" w:lineRule="atLeast"/>
        <w:jc w:val="center"/>
        <w:outlineLvl w:val="9"/>
        <w:rPr>
          <w:rFonts w:hint="eastAsia" w:ascii="宋体" w:hAnsi="宋体" w:eastAsia="宋体" w:cs="宋体"/>
          <w:b/>
          <w:bCs/>
          <w:color w:val="auto"/>
          <w:sz w:val="28"/>
          <w:szCs w:val="21"/>
          <w:highlight w:val="none"/>
        </w:rPr>
      </w:pPr>
      <w:r>
        <w:rPr>
          <w:rFonts w:hint="eastAsia" w:ascii="宋体" w:hAnsi="宋体" w:eastAsia="宋体" w:cs="宋体"/>
          <w:snapToGrid w:val="0"/>
          <w:color w:val="000000"/>
          <w:spacing w:val="8"/>
          <w:kern w:val="0"/>
          <w:sz w:val="31"/>
          <w:szCs w:val="31"/>
          <w:highlight w:val="none"/>
        </w:rPr>
        <w:t>（授权委托人参与投标时提供）</w:t>
      </w:r>
    </w:p>
    <w:p w14:paraId="3DB4FB02">
      <w:pPr>
        <w:spacing w:line="360" w:lineRule="auto"/>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lang w:val="en-US" w:eastAsia="zh-CN" w:bidi="ar-SA"/>
        </w:rPr>
        <w:t xml:space="preserve"> 本授权书声明：注册于（国家或地区的名称）的（投标人）的在下面签字的（法人代表姓名、职务）代表我单位授权（单位名称）的在下面签字的（被授权人的姓名、职务）为我单位的合法代理人，就（项目名称）的投标，以我单位名义处理一切与之有关的事务。　　</w:t>
      </w:r>
    </w:p>
    <w:p w14:paraId="7A3D59D5">
      <w:pPr>
        <w:spacing w:line="360" w:lineRule="auto"/>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本授权书于           年     月     日签字生效,特此声明。</w:t>
      </w:r>
    </w:p>
    <w:p w14:paraId="1AB7FCA1">
      <w:pPr>
        <w:pStyle w:val="17"/>
        <w:tabs>
          <w:tab w:val="left" w:pos="5580"/>
        </w:tabs>
        <w:spacing w:line="240" w:lineRule="atLeast"/>
        <w:ind w:left="-540" w:leftChars="-257" w:firstLine="900" w:firstLineChars="37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2837815</wp:posOffset>
                </wp:positionH>
                <wp:positionV relativeFrom="paragraph">
                  <wp:posOffset>128905</wp:posOffset>
                </wp:positionV>
                <wp:extent cx="2555240" cy="1379220"/>
                <wp:effectExtent l="7620" t="7620" r="12700" b="15240"/>
                <wp:wrapNone/>
                <wp:docPr id="1032" name="圆角矩形 1032"/>
                <wp:cNvGraphicFramePr/>
                <a:graphic xmlns:a="http://schemas.openxmlformats.org/drawingml/2006/main">
                  <a:graphicData uri="http://schemas.microsoft.com/office/word/2010/wordprocessingShape">
                    <wps:wsp>
                      <wps:cNvSpPr/>
                      <wps:spPr>
                        <a:xfrm>
                          <a:off x="0" y="0"/>
                          <a:ext cx="2555240" cy="1024888"/>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2DB080DF">
                            <w:pPr>
                              <w:jc w:val="center"/>
                              <w:rPr>
                                <w:rFonts w:hAnsi="宋体"/>
                              </w:rPr>
                            </w:pPr>
                          </w:p>
                          <w:p w14:paraId="58B60C69">
                            <w:pPr>
                              <w:rPr>
                                <w:rFonts w:hAnsi="宋体"/>
                              </w:rPr>
                            </w:pPr>
                          </w:p>
                          <w:p w14:paraId="50427EE7">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1ABB4574"/>
                        </w:txbxContent>
                      </wps:txbx>
                      <wps:bodyPr vert="horz" wrap="square" anchor="t" anchorCtr="0" upright="1"/>
                    </wps:wsp>
                  </a:graphicData>
                </a:graphic>
              </wp:anchor>
            </w:drawing>
          </mc:Choice>
          <mc:Fallback>
            <w:pict>
              <v:roundrect id="_x0000_s1026" o:spid="_x0000_s1026" o:spt="2" style="position:absolute;left:0pt;margin-left:223.45pt;margin-top:10.15pt;height:108.6pt;width:201.2pt;z-index:251665408;mso-width-relative:page;mso-height-relative:page;" fillcolor="#FFFFFF" filled="t" stroked="t" coordsize="21600,21600" arcsize="0.166666666666667" o:gfxdata="UEsDBAoAAAAAAIdO4kAAAAAAAAAAAAAAAAAEAAAAZHJzL1BLAwQUAAAACACHTuJAXRiL5tsAAAAK&#10;AQAADwAAAGRycy9kb3ducmV2LnhtbE2PTU+DQBCG7yb+h82YeLO7LVhaZGmMiSYaDy314m0LI5Cy&#10;s4TdluKvdzzpbT6evPNMtrnYTpxx8K0jDfOZAoFUuqqlWsPH/vluBcIHQ5XpHKGGCT1s8uurzKSV&#10;G2mH5yLUgkPIp0ZDE0KfSunLBq3xM9cj8e7LDdYEbodaVoMZOdx2cqHUUlrTEl9oTI9PDZbH4mQ1&#10;jN/T8eU9wehN7V4fi30ybT+3rda3N3P1ACLgJfzB8KvP6pCz08GdqPKi0xDHyzWjGhYqAsHAKl5z&#10;ceBBlNyDzDP5/4X8B1BLAwQUAAAACACHTuJAPM9nr1ECAACpBAAADgAAAGRycy9lMm9Eb2MueG1s&#10;rVTNjtMwEL4j8Q6W7zRp2HajqOketpQLghULD+DaTmLkP2y3TXkAHoAzEhIXxEPwOCt4DMZO6P7A&#10;oQdaKRnbM5+/+WYmi4teSbTjzgujazyd5BhxTQ0Tuq3x2zfrJyVGPhDNiDSa1/jAPb5YPn602NuK&#10;F6YzknGHAET7am9r3IVgqyzztOOK+ImxXMNhY5wiAZauzZgje0BXMivyfJ7tjWPWGcq9h93VcIhH&#10;RHcKoGkaQfnK0K3iOgyojksSICXfCevxMrFtGk7Dq6bxPCBZY8g0pCdcAvYmPrPlglStI7YTdKRA&#10;TqHwICdFhIZLj1ArEgjaOvEXlBLUGW+aMKFGZUMiSRHIYpo/0Oa6I5anXEBqb4+i+/8HS1/urhwS&#10;DDohf1pgpImCmt98/vjr26efX77f/PiK0gHotLe+Avdre+XGlQczJt03TsU3pIP6pO3hqC3vA6Kw&#10;Wcxms+IMZKdwNs2Ls7Iso/rZbbh1PjznRqFo1NiZrWavoYJJWLJ74UNSmI0kCXuHUaMk1GtHJJrO&#10;5/PzEXF0Buw/mDHSGynYWkiZFq7dXEqHILTG6/Qbg++5SY32wHdWns+AOoF+b6DPwFQWNPO6TeTu&#10;hfi7yGUe//9CjsxWxHcDg4QQ3UiV8k5Wxwl7phkKBwtF0TCOOLJRnGEkOUxvtJJnIEKe4gmKSB0v&#10;4Wk2QNJYgljZoZbRCv2mh91obgw7QHvA1wLq0Rn3Ae6HWYHE32+JAzZEU9iuMSgymJdhGK6tdaLt&#10;IGqaco9g0MGp3OO0xRG5u048br8w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dGIvm2wAAAAoB&#10;AAAPAAAAAAAAAAEAIAAAACIAAABkcnMvZG93bnJldi54bWxQSwECFAAUAAAACACHTuJAPM9nr1EC&#10;AACpBAAADgAAAAAAAAABACAAAAAqAQAAZHJzL2Uyb0RvYy54bWxQSwUGAAAAAAYABgBZAQAA7QUA&#10;AAAA&#10;">
                <v:fill on="t" focussize="0,0"/>
                <v:stroke weight="1.25pt" color="#808080" joinstyle="round"/>
                <v:imagedata o:title=""/>
                <o:lock v:ext="edit" aspectratio="f"/>
                <v:textbox>
                  <w:txbxContent>
                    <w:p w14:paraId="2DB080DF">
                      <w:pPr>
                        <w:jc w:val="center"/>
                        <w:rPr>
                          <w:rFonts w:hAnsi="宋体"/>
                        </w:rPr>
                      </w:pPr>
                    </w:p>
                    <w:p w14:paraId="58B60C69">
                      <w:pPr>
                        <w:rPr>
                          <w:rFonts w:hAnsi="宋体"/>
                        </w:rPr>
                      </w:pPr>
                    </w:p>
                    <w:p w14:paraId="50427EE7">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1ABB4574"/>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121920</wp:posOffset>
                </wp:positionV>
                <wp:extent cx="2535555" cy="1424940"/>
                <wp:effectExtent l="8255" t="7620" r="16510" b="15240"/>
                <wp:wrapNone/>
                <wp:docPr id="1031" name="圆角矩形 1031"/>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3E1DA2E7">
                            <w:pPr>
                              <w:jc w:val="center"/>
                              <w:rPr>
                                <w:rFonts w:hAnsi="宋体"/>
                              </w:rPr>
                            </w:pPr>
                            <w:r>
                              <w:rPr>
                                <w:rFonts w:hAnsi="宋体"/>
                              </w:rPr>
                              <w:t xml:space="preserve">  </w:t>
                            </w:r>
                          </w:p>
                          <w:p w14:paraId="1F6F0C28">
                            <w:pPr>
                              <w:jc w:val="both"/>
                              <w:rPr>
                                <w:rFonts w:hint="eastAsia" w:hAnsi="宋体" w:cs="宋体"/>
                              </w:rPr>
                            </w:pPr>
                          </w:p>
                          <w:p w14:paraId="33CD3747">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39F7D8EE"/>
                        </w:txbxContent>
                      </wps:txbx>
                      <wps:bodyPr vert="horz" wrap="square" anchor="t" anchorCtr="0" upright="1"/>
                    </wps:wsp>
                  </a:graphicData>
                </a:graphic>
              </wp:anchor>
            </w:drawing>
          </mc:Choice>
          <mc:Fallback>
            <w:pict>
              <v:roundrect id="_x0000_s1026" o:spid="_x0000_s1026" o:spt="2" style="position:absolute;left:0pt;margin-left:5.4pt;margin-top:9.6pt;height:112.2pt;width:199.65pt;z-index:251664384;mso-width-relative:page;mso-height-relative:page;" fillcolor="#FFFFFF" filled="t" stroked="t" coordsize="21600,21600" arcsize="0.166666666666667" o:gfxdata="UEsDBAoAAAAAAIdO4kAAAAAAAAAAAAAAAAAEAAAAZHJzL1BLAwQUAAAACACHTuJAw0ajGtoAAAAJ&#10;AQAADwAAAGRycy9kb3ducmV2LnhtbE2PwU7DMBBE70j8g7VI3KidtGohxKkQEkggDm3KhZsbL0nU&#10;eB3FbtPw9SynchqNZjXzNl+fXSdOOITWk4ZkpkAgVd62VGv43L3c3YMI0ZA1nSfUMGGAdXF9lZvM&#10;+pG2eCpjLbiEQmY0NDH2mZShatCZMPM9EmfffnAmsh1qaQczcrnrZKrUUjrTEi80psfnBqtDeXQa&#10;xp/p8Pqxwvm72r49lbvVtPnatFrf3iTqEUTEc7wcwx8+o0PBTHt/JBtEx14xeWR9SEFwvkhUAmKv&#10;IV3MlyCLXP7/oPgFUEsDBBQAAAAIAIdO4kC44heETQIAAKgEAAAOAAAAZHJzL2Uyb0RvYy54bWyt&#10;VEuOEzEQ3SNxB8t70vkomaGVziwmhA2CEQMHqNjutJF/2E7S4QAcgDUSEhvEITjOCI5B2d1kPrDI&#10;go7UKdtVz69eVfX8otWK7IQP0pqKjgZDSoRhlkuzqejbN6sn55SECIaDskZU9CACvVg8fjTfu1KM&#10;bWMVF54giAnl3lW0idGVRRFYIzSEgXXC4GFtvYaIS78puIc9omtVjIfDWbG3njtvmQgBd5fdIe0R&#10;/SmAtq4lE0vLtlqY2KF6oSBiSqGRLtBFZlvXgsVXdR1EJKqimGnMb7wE7XV6F4s5lBsPrpGspwCn&#10;UHiQkwZp8NIj1BIikK2Xf0FpybwNto4DZnXRJZIVwSxGwwfaXDfgRM4FpQ7uKHr4f7Ds5e7KE8mx&#10;E4aTESUGNNb85vPHX98+/fzy/ebHV5IPUKe9CyW6X7sr368CminptvY6/WM6pM3aHo7aijYShpvj&#10;6WSKDyUMz55O0iqJX9xGOx/ic2E1SUZFvd0a/hoLmHWF3YsQs8C85wj8HSW1VliuHSgyms1mZz1i&#10;74zYfzBTZLBK8pVUKi/8Zn2pPMHQiq7y0wffc1OG7FGa6flZYg7Y7jW2GZraoWTBbDK5eyHhLvL5&#10;MP3+hZyYLSE0HYOMkNygzHlnqxHAnxlO4sFhTQxOI01stOCUKIHDm6zsGUGqUzxREWXSJSKPBkqa&#10;SpAK25UyWbFdt7ibzLXlB+wO/FhgPRrrP+D9OCqY+PsteGQDhuF2RVGRzryM3WxtnZebBqNGOfcE&#10;hg2cy90PW5qQu+vM4/YDs/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0ajGtoAAAAJAQAADwAA&#10;AAAAAAABACAAAAAiAAAAZHJzL2Rvd25yZXYueG1sUEsBAhQAFAAAAAgAh07iQLjiF4RNAgAAqAQA&#10;AA4AAAAAAAAAAQAgAAAAKQEAAGRycy9lMm9Eb2MueG1sUEsFBgAAAAAGAAYAWQEAAOgFAAAAAA==&#10;">
                <v:fill on="t" focussize="0,0"/>
                <v:stroke weight="1.25pt" color="#808080" joinstyle="round"/>
                <v:imagedata o:title=""/>
                <o:lock v:ext="edit" aspectratio="f"/>
                <v:textbox>
                  <w:txbxContent>
                    <w:p w14:paraId="3E1DA2E7">
                      <w:pPr>
                        <w:jc w:val="center"/>
                        <w:rPr>
                          <w:rFonts w:hAnsi="宋体"/>
                        </w:rPr>
                      </w:pPr>
                      <w:r>
                        <w:rPr>
                          <w:rFonts w:hAnsi="宋体"/>
                        </w:rPr>
                        <w:t xml:space="preserve">  </w:t>
                      </w:r>
                    </w:p>
                    <w:p w14:paraId="1F6F0C28">
                      <w:pPr>
                        <w:jc w:val="both"/>
                        <w:rPr>
                          <w:rFonts w:hint="eastAsia" w:hAnsi="宋体" w:cs="宋体"/>
                        </w:rPr>
                      </w:pPr>
                    </w:p>
                    <w:p w14:paraId="33CD3747">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39F7D8EE"/>
                  </w:txbxContent>
                </v:textbox>
              </v:roundrect>
            </w:pict>
          </mc:Fallback>
        </mc:AlternateContent>
      </w:r>
    </w:p>
    <w:p w14:paraId="4A5564C0">
      <w:pPr>
        <w:spacing w:line="360" w:lineRule="auto"/>
        <w:ind w:firstLine="240" w:firstLineChars="100"/>
        <w:outlineLvl w:val="9"/>
        <w:rPr>
          <w:rFonts w:hint="eastAsia" w:ascii="宋体" w:hAnsi="宋体" w:eastAsia="宋体" w:cs="宋体"/>
          <w:color w:val="auto"/>
          <w:sz w:val="24"/>
          <w:szCs w:val="24"/>
          <w:highlight w:val="none"/>
        </w:rPr>
      </w:pPr>
    </w:p>
    <w:p w14:paraId="7DD7541A">
      <w:pPr>
        <w:spacing w:line="360" w:lineRule="auto"/>
        <w:outlineLvl w:val="9"/>
        <w:rPr>
          <w:rFonts w:hint="eastAsia" w:ascii="宋体" w:hAnsi="宋体" w:eastAsia="宋体" w:cs="宋体"/>
          <w:color w:val="auto"/>
          <w:sz w:val="24"/>
          <w:szCs w:val="24"/>
          <w:highlight w:val="none"/>
        </w:rPr>
      </w:pPr>
    </w:p>
    <w:p w14:paraId="018162F1">
      <w:pPr>
        <w:spacing w:line="360" w:lineRule="auto"/>
        <w:ind w:firstLine="240" w:firstLineChars="100"/>
        <w:outlineLvl w:val="9"/>
        <w:rPr>
          <w:rFonts w:hint="eastAsia" w:ascii="宋体" w:hAnsi="宋体" w:eastAsia="宋体" w:cs="宋体"/>
          <w:color w:val="auto"/>
          <w:sz w:val="24"/>
          <w:szCs w:val="24"/>
          <w:highlight w:val="none"/>
        </w:rPr>
      </w:pPr>
    </w:p>
    <w:p w14:paraId="31209168">
      <w:pPr>
        <w:spacing w:line="360" w:lineRule="auto"/>
        <w:ind w:firstLine="240" w:firstLineChars="100"/>
        <w:outlineLvl w:val="9"/>
        <w:rPr>
          <w:rFonts w:hint="eastAsia" w:ascii="宋体" w:hAnsi="宋体" w:eastAsia="宋体" w:cs="宋体"/>
          <w:color w:val="auto"/>
          <w:sz w:val="24"/>
          <w:szCs w:val="24"/>
          <w:highlight w:val="none"/>
        </w:rPr>
      </w:pPr>
    </w:p>
    <w:p w14:paraId="4C488E85">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kern w:val="2"/>
          <w:sz w:val="24"/>
          <w:szCs w:val="24"/>
          <w:highlight w:val="none"/>
          <w:lang w:val="en-US" w:eastAsia="zh-CN" w:bidi="ar-SA"/>
        </w:rPr>
      </w:pPr>
    </w:p>
    <w:p w14:paraId="486F231A">
      <w:pPr>
        <w:pStyle w:val="7"/>
        <w:outlineLvl w:val="9"/>
        <w:rPr>
          <w:rFonts w:hint="eastAsia"/>
          <w:highlight w:val="none"/>
          <w:lang w:val="en-US" w:eastAsia="zh-CN"/>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2898775</wp:posOffset>
                </wp:positionH>
                <wp:positionV relativeFrom="paragraph">
                  <wp:posOffset>95885</wp:posOffset>
                </wp:positionV>
                <wp:extent cx="2551430" cy="1304290"/>
                <wp:effectExtent l="7620" t="7620" r="16510" b="13970"/>
                <wp:wrapNone/>
                <wp:docPr id="1029" name="圆角矩形 1029"/>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184F5FDA">
                            <w:pPr>
                              <w:rPr>
                                <w:rFonts w:hAnsi="宋体"/>
                              </w:rPr>
                            </w:pPr>
                          </w:p>
                          <w:p w14:paraId="775BA754">
                            <w:pPr>
                              <w:rPr>
                                <w:rFonts w:hAnsi="宋体"/>
                              </w:rPr>
                            </w:pPr>
                          </w:p>
                          <w:p w14:paraId="7CF24E5E">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52D2E960"/>
                        </w:txbxContent>
                      </wps:txbx>
                      <wps:bodyPr vert="horz" wrap="square" anchor="t" anchorCtr="0" upright="1"/>
                    </wps:wsp>
                  </a:graphicData>
                </a:graphic>
              </wp:anchor>
            </w:drawing>
          </mc:Choice>
          <mc:Fallback>
            <w:pict>
              <v:roundrect id="_x0000_s1026" o:spid="_x0000_s1026" o:spt="2" style="position:absolute;left:0pt;margin-left:228.25pt;margin-top:7.55pt;height:102.7pt;width:200.9pt;z-index:251662336;mso-width-relative:page;mso-height-relative:page;" fillcolor="#FFFFFF" filled="t" stroked="t" coordsize="21600,21600" arcsize="0.166666666666667" o:gfxdata="UEsDBAoAAAAAAIdO4kAAAAAAAAAAAAAAAAAEAAAAZHJzL1BLAwQUAAAACACHTuJAYMIUjtsAAAAK&#10;AQAADwAAAGRycy9kb3ducmV2LnhtbE2PwU7DMBBE70j8g7VI3KidFLdRiFMhJJBAHNqUCzc3XpKo&#10;sR3FbtPw9SwnOK7maeZtsbnYnp1xDJ13CpKFAIau9qZzjYKP/fNdBixE7YzuvUMFMwbYlNdXhc6N&#10;n9wOz1VsGJW4kGsFbYxDznmoW7Q6LPyAjrIvP1od6RwbbkY9UbnteSrEilvdOVpo9YBPLdbH6mQV&#10;TN/z8eV9jcs3sXt9rPbrefu57ZS6vUnEA7CIl/gHw68+qUNJTgd/ciawXsG9XElCKZAJMAIymS2B&#10;HRSkqZDAy4L/f6H8AVBLAwQUAAAACACHTuJAx8i1T1ACAACoBAAADgAAAGRycy9lMm9Eb2MueG1s&#10;rVTNjtMwEL4j8Q6W7zRptdufqOketpQLghULD+DaTmLkP2y3SXkAHoAzEtJeEA/B46zgMRg7ofsD&#10;hx5opWRsz3ye75uZLC86JdGeOy+MLvF4lGPENTVM6LrE795uns0x8oFoRqTRvMQH7vHF6umTZWsL&#10;PjGNkYw7BCDaF60tcROCLbLM04Yr4kfGcg2HlXGKBFi6OmOOtICuZDbJ82nWGsesM5R7D7vr/hAP&#10;iO4UQFNVgvK1oTvFdehRHZckACXfCOvxKmVbVZyG11XleUCyxMA0pCdcAvY2PrPVkhS1I7YRdEiB&#10;nJLCI06KCA2XHqHWJBC0c+IvKCWoM95UYUSNynoiSRFgMc4faXPdEMsTF5Da26Po/v/B0lf7K4cE&#10;g07IJwuMNFFQ89svn359+/zz6/fbHzcoHYBOrfUFuF/bKzesPJiRdFc5Fd9AB3VJ28NRW94FRGFz&#10;cjabn+XnGFE4W0wXwDaKn91FW+fDC24UikaJndlp9gYKmHQl+5c+JIHZkCNh7zGqlIRy7YlE4+l0&#10;OhsQB2fA/oMZI72Rgm2ElGnh6u2ldAhCS7xJvyH4gZvUqAVpzuezmDmBdq+gzcBUFiTzuk7JPQjx&#10;95Hnefz/Czlmtia+6TNICNGNFIl3shpO2HPNUDhYqImGacQxG8UZRpLD8EYreQYi5CmeoIjU8RKe&#10;RgMkjSWIhe1LGa3QbTvYjebWsAN0B3wsoB6NcR/hfhgVIP5hRxxkQzSF7RKDIr15GfrZ2lkn6gai&#10;xol7BIMGTuUehi1OyP11yuPuA7P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DCFI7bAAAACgEA&#10;AA8AAAAAAAAAAQAgAAAAIgAAAGRycy9kb3ducmV2LnhtbFBLAQIUABQAAAAIAIdO4kDHyLVPUAIA&#10;AKgEAAAOAAAAAAAAAAEAIAAAACoBAABkcnMvZTJvRG9jLnhtbFBLBQYAAAAABgAGAFkBAADsBQAA&#10;AAA=&#10;">
                <v:fill on="t" focussize="0,0"/>
                <v:stroke weight="1.25pt" color="#808080" joinstyle="round"/>
                <v:imagedata o:title=""/>
                <o:lock v:ext="edit" aspectratio="f"/>
                <v:textbox>
                  <w:txbxContent>
                    <w:p w14:paraId="184F5FDA">
                      <w:pPr>
                        <w:rPr>
                          <w:rFonts w:hAnsi="宋体"/>
                        </w:rPr>
                      </w:pPr>
                    </w:p>
                    <w:p w14:paraId="775BA754">
                      <w:pPr>
                        <w:rPr>
                          <w:rFonts w:hAnsi="宋体"/>
                        </w:rPr>
                      </w:pPr>
                    </w:p>
                    <w:p w14:paraId="7CF24E5E">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52D2E960"/>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102235</wp:posOffset>
                </wp:positionH>
                <wp:positionV relativeFrom="paragraph">
                  <wp:posOffset>92710</wp:posOffset>
                </wp:positionV>
                <wp:extent cx="2546350" cy="1311910"/>
                <wp:effectExtent l="5080" t="4445" r="8890" b="9525"/>
                <wp:wrapNone/>
                <wp:docPr id="1030" name="流程图: 可选过程 1030"/>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C62725A">
                            <w:pPr>
                              <w:jc w:val="center"/>
                              <w:rPr>
                                <w:rFonts w:hAnsi="宋体"/>
                              </w:rPr>
                            </w:pPr>
                          </w:p>
                          <w:p w14:paraId="16F58C3A">
                            <w:pPr>
                              <w:jc w:val="center"/>
                              <w:rPr>
                                <w:rFonts w:hAnsi="宋体"/>
                              </w:rPr>
                            </w:pPr>
                          </w:p>
                          <w:p w14:paraId="1E6A4DDF">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wps:txbx>
                      <wps:bodyPr vert="horz" wrap="square" anchor="t" anchorCtr="0" upright="1"/>
                    </wps:wsp>
                  </a:graphicData>
                </a:graphic>
              </wp:anchor>
            </w:drawing>
          </mc:Choice>
          <mc:Fallback>
            <w:pict>
              <v:shape id="_x0000_s1026" o:spid="_x0000_s1026" o:spt="176" type="#_x0000_t176" style="position:absolute;left:0pt;margin-left:8.05pt;margin-top:7.3pt;height:103.3pt;width:200.5pt;z-index:251663360;mso-width-relative:page;mso-height-relative:page;" fillcolor="#FFFFFF" filled="t" stroked="t" coordsize="21600,21600" o:gfxdata="UEsDBAoAAAAAAIdO4kAAAAAAAAAAAAAAAAAEAAAAZHJzL1BLAwQUAAAACACHTuJAdzwJq9YAAAAJ&#10;AQAADwAAAGRycy9kb3ducmV2LnhtbE2PQU+EMBCF7yb+h2ZMvLmluGFXpGyMRk9exE28FjoCkU4J&#10;LSz66x1P7mny5r28+aY4rG4QC06h96RBbRIQSI23PbUaju/PN3sQIRqyZvCEGr4xwKG8vChMbv2J&#10;3nCpYiu4hEJuNHQxjrmUoenQmbDxIxJ7n35yJrKcWmknc+JyN8g0STLpTE98oTMjPnbYfFWz07C+&#10;/tR384tqqtjts93H7fL0cJRaX1+p5B5ExDX+h+EPn9GhZKbaz2SDGFhnipM8txkI9rdqx4taQ5qq&#10;FGRZyPMPyl9QSwMEFAAAAAgAh07iQH4Zo4dQAgAAlgQAAA4AAABkcnMvZTJvRG9jLnhtbK1Uy24T&#10;MRTdI/EPlvdkkrSlMMqkQg1lgyBS4QMcjydjyS9sJ5OwghVCLPgAfoAdK7bwNeXxFxx7QmkLiyyY&#10;xcz14x6fc3zvTE42WpG18EFaU9HRYEiJMNzW0iwr+vzZ2Z17lITITM2UNaKiWxHoyfT2rUnnSjG2&#10;rVW18AQgJpSdq2gboyuLIvBWaBYG1gmDxcZ6zSKGflnUnnVA16oYD4d3i8762nnLRQiYnfWLdIfo&#10;9wG0TSO5mFm+0sLEHtULxSIkhVa6QKeZbdMIHp82TRCRqIpCacxvHIJ4kd7FdMLKpWeulXxHge1D&#10;4YYmzaTBoZdQMxYZWXn5F5SW3NtgmzjgVhe9kOwIVIyGN7w5b5kTWQusDu7S9PD/YPmT9dwTWaMS&#10;hgcwxTCNO//2+fX3j+8uPnwpycX7Tz9fvf3x9Q0mSN4DyzoXSmSeu7nfjQLCpH/TeJ2+UEY22ebt&#10;pc1iEwnH5PhgdHx8hMM41u4fjg8O8z0Uf7KdD/GRsJqkoKKNst1py3x8oKLwhkUx7+snW87Wj0ME&#10;DeT/zksMglWyPpNK5YFfLk6VJ2uGOjjLT7p6pFzbpgzpQOlofARyDMXdoKgQageDglnm865lhKvA&#10;w/z8CzgRm7HQ9gQyQl96WkIRmLCyFax+aGoStw43YNB7NJHRoqZECbRqivLOyKTaZyfUKZOgRW6E&#10;nUvp7vrbSlHcLDYATeHC1lvUAn4NsLy1/iXOR2NA+IsV82DDDMd0ReFIH57GvpNWzstli6xR1p7A&#10;UK7Z3l1rpX64OkZ89Xcy/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PAmr1gAAAAkBAAAPAAAA&#10;AAAAAAEAIAAAACIAAABkcnMvZG93bnJldi54bWxQSwECFAAUAAAACACHTuJAfhmjh1ACAACWBAAA&#10;DgAAAAAAAAABACAAAAAlAQAAZHJzL2Uyb0RvYy54bWxQSwUGAAAAAAYABgBZAQAA5wUAAAAA&#10;">
                <v:fill on="t" focussize="0,0"/>
                <v:stroke color="#000000" joinstyle="miter"/>
                <v:imagedata o:title=""/>
                <o:lock v:ext="edit" aspectratio="f"/>
                <v:textbox>
                  <w:txbxContent>
                    <w:p w14:paraId="4C62725A">
                      <w:pPr>
                        <w:jc w:val="center"/>
                        <w:rPr>
                          <w:rFonts w:hAnsi="宋体"/>
                        </w:rPr>
                      </w:pPr>
                    </w:p>
                    <w:p w14:paraId="16F58C3A">
                      <w:pPr>
                        <w:jc w:val="center"/>
                        <w:rPr>
                          <w:rFonts w:hAnsi="宋体"/>
                        </w:rPr>
                      </w:pPr>
                    </w:p>
                    <w:p w14:paraId="1E6A4DDF">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v:textbox>
              </v:shape>
            </w:pict>
          </mc:Fallback>
        </mc:AlternateContent>
      </w:r>
    </w:p>
    <w:p w14:paraId="1E77F782">
      <w:pPr>
        <w:pStyle w:val="8"/>
        <w:outlineLvl w:val="9"/>
        <w:rPr>
          <w:rFonts w:hint="eastAsia"/>
          <w:highlight w:val="none"/>
          <w:lang w:val="en-US" w:eastAsia="zh-CN"/>
        </w:rPr>
      </w:pPr>
    </w:p>
    <w:p w14:paraId="35FE00D3">
      <w:pPr>
        <w:outlineLvl w:val="9"/>
        <w:rPr>
          <w:rFonts w:hint="eastAsia"/>
          <w:highlight w:val="none"/>
          <w:lang w:val="en-US" w:eastAsia="zh-CN"/>
        </w:rPr>
      </w:pPr>
    </w:p>
    <w:p w14:paraId="2EC4310B">
      <w:pPr>
        <w:pStyle w:val="7"/>
        <w:outlineLvl w:val="9"/>
        <w:rPr>
          <w:rFonts w:hint="eastAsia"/>
          <w:highlight w:val="none"/>
          <w:lang w:val="en-US" w:eastAsia="zh-CN"/>
        </w:rPr>
      </w:pPr>
    </w:p>
    <w:p w14:paraId="0EA9FAB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kern w:val="2"/>
          <w:sz w:val="24"/>
          <w:szCs w:val="24"/>
          <w:highlight w:val="none"/>
          <w:lang w:val="en-US" w:eastAsia="zh-CN" w:bidi="ar-SA"/>
        </w:rPr>
      </w:pPr>
    </w:p>
    <w:p w14:paraId="612ED37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kern w:val="2"/>
          <w:sz w:val="24"/>
          <w:szCs w:val="24"/>
          <w:highlight w:val="none"/>
          <w:lang w:val="en-US" w:eastAsia="zh-CN" w:bidi="ar-SA"/>
        </w:rPr>
      </w:pPr>
    </w:p>
    <w:p w14:paraId="7AA319D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投标人（公章）；                           </w:t>
      </w:r>
    </w:p>
    <w:p w14:paraId="14AEA57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法定代表人（签字或盖章）：                     </w:t>
      </w:r>
    </w:p>
    <w:p w14:paraId="1BC255C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身份证号码：</w:t>
      </w:r>
    </w:p>
    <w:p w14:paraId="02E2B51B">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委托代理人（签字或盖章）：                                   </w:t>
      </w:r>
    </w:p>
    <w:p w14:paraId="6DB5BADB">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身份证号码：                                   </w:t>
      </w:r>
    </w:p>
    <w:p w14:paraId="4CD8989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详细通讯地址：                                 </w:t>
      </w:r>
    </w:p>
    <w:p w14:paraId="2CA528C4">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邮 政 编 码 ：                                 </w:t>
      </w:r>
    </w:p>
    <w:p w14:paraId="3CDC9448">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传　　　　真：                                  </w:t>
      </w:r>
    </w:p>
    <w:p w14:paraId="55EED57A">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kern w:val="2"/>
          <w:sz w:val="24"/>
          <w:szCs w:val="24"/>
          <w:highlight w:val="none"/>
          <w:lang w:val="en-US" w:eastAsia="zh-CN" w:bidi="ar-SA"/>
        </w:rPr>
        <w:t xml:space="preserve">电　　　　话： </w:t>
      </w:r>
      <w:r>
        <w:rPr>
          <w:rFonts w:hint="eastAsia" w:ascii="宋体" w:hAnsi="宋体" w:eastAsia="宋体" w:cs="宋体"/>
          <w:color w:val="auto"/>
          <w:sz w:val="22"/>
          <w:szCs w:val="22"/>
          <w:highlight w:val="none"/>
        </w:rPr>
        <w:t xml:space="preserve">                                </w:t>
      </w:r>
    </w:p>
    <w:p w14:paraId="321C17FD">
      <w:pPr>
        <w:pStyle w:val="17"/>
        <w:tabs>
          <w:tab w:val="left" w:pos="5580"/>
        </w:tabs>
        <w:spacing w:line="240" w:lineRule="atLeast"/>
        <w:ind w:firstLine="480" w:firstLineChars="200"/>
        <w:outlineLvl w:val="9"/>
        <w:rPr>
          <w:rFonts w:hint="eastAsia" w:ascii="仿宋" w:hAnsi="仿宋" w:eastAsia="仿宋" w:cs="仿宋"/>
          <w:sz w:val="28"/>
          <w:szCs w:val="28"/>
          <w:highlight w:val="none"/>
        </w:rPr>
      </w:pPr>
      <w:r>
        <w:rPr>
          <w:rFonts w:hint="eastAsia" w:ascii="宋体" w:hAnsi="宋体" w:eastAsia="宋体" w:cs="宋体"/>
          <w:color w:val="auto"/>
          <w:kern w:val="2"/>
          <w:sz w:val="24"/>
          <w:szCs w:val="24"/>
          <w:highlight w:val="none"/>
          <w:lang w:val="en-US" w:eastAsia="zh-CN" w:bidi="ar-SA"/>
        </w:rPr>
        <w:t>年   月   日</w:t>
      </w:r>
    </w:p>
    <w:p w14:paraId="1881B3F3">
      <w:pPr>
        <w:tabs>
          <w:tab w:val="left" w:pos="5580"/>
        </w:tabs>
        <w:spacing w:line="240" w:lineRule="atLeast"/>
        <w:ind w:firstLine="482" w:firstLineChars="200"/>
        <w:jc w:val="left"/>
        <w:outlineLvl w:val="9"/>
        <w:rPr>
          <w:rFonts w:hint="eastAsia" w:ascii="宋体" w:hAnsi="宋体" w:eastAsia="宋体" w:cs="宋体"/>
          <w:b/>
          <w:kern w:val="0"/>
          <w:sz w:val="24"/>
          <w:szCs w:val="20"/>
          <w:highlight w:val="none"/>
          <w:lang w:val="en-US" w:eastAsia="zh-CN" w:bidi="ar-SA"/>
        </w:rPr>
      </w:pPr>
    </w:p>
    <w:p w14:paraId="1D3CC681">
      <w:pPr>
        <w:pStyle w:val="7"/>
        <w:outlineLvl w:val="9"/>
        <w:rPr>
          <w:rFonts w:hint="eastAsia" w:ascii="宋体" w:hAnsi="宋体" w:eastAsia="宋体" w:cs="宋体"/>
          <w:b/>
          <w:kern w:val="0"/>
          <w:sz w:val="24"/>
          <w:szCs w:val="20"/>
          <w:highlight w:val="none"/>
          <w:lang w:val="en-US" w:eastAsia="zh-CN" w:bidi="ar-SA"/>
        </w:rPr>
      </w:pPr>
    </w:p>
    <w:p w14:paraId="57DEFEA9">
      <w:pPr>
        <w:outlineLvl w:val="9"/>
        <w:rPr>
          <w:rFonts w:hint="eastAsia" w:ascii="宋体" w:hAnsi="宋体" w:eastAsia="宋体" w:cs="宋体"/>
          <w:b/>
          <w:kern w:val="0"/>
          <w:sz w:val="24"/>
          <w:szCs w:val="20"/>
          <w:highlight w:val="none"/>
          <w:lang w:val="en-US" w:eastAsia="zh-CN" w:bidi="ar-SA"/>
        </w:rPr>
      </w:pPr>
    </w:p>
    <w:p w14:paraId="3681C0FD">
      <w:pPr>
        <w:pStyle w:val="7"/>
        <w:outlineLvl w:val="9"/>
        <w:rPr>
          <w:rFonts w:hint="eastAsia"/>
          <w:highlight w:val="none"/>
          <w:lang w:val="en-US" w:eastAsia="zh-CN"/>
        </w:rPr>
      </w:pPr>
    </w:p>
    <w:p w14:paraId="3422CBE5">
      <w:pPr>
        <w:tabs>
          <w:tab w:val="left" w:pos="5580"/>
        </w:tabs>
        <w:spacing w:line="240" w:lineRule="atLeast"/>
        <w:ind w:firstLine="482" w:firstLineChars="200"/>
        <w:jc w:val="left"/>
        <w:outlineLvl w:val="9"/>
        <w:rPr>
          <w:rFonts w:hint="eastAsia" w:ascii="宋体" w:hAnsi="宋体" w:eastAsia="宋体" w:cs="宋体"/>
          <w:b/>
          <w:kern w:val="0"/>
          <w:sz w:val="24"/>
          <w:szCs w:val="20"/>
          <w:highlight w:val="none"/>
          <w:lang w:val="en-US" w:eastAsia="zh-CN" w:bidi="ar-SA"/>
        </w:rPr>
      </w:pPr>
      <w:bookmarkStart w:id="187" w:name="_Toc18810"/>
      <w:bookmarkStart w:id="188" w:name="_Toc2502"/>
    </w:p>
    <w:p w14:paraId="4EBE01FE">
      <w:pPr>
        <w:tabs>
          <w:tab w:val="left" w:pos="5580"/>
        </w:tabs>
        <w:spacing w:line="240" w:lineRule="atLeast"/>
        <w:ind w:firstLine="482" w:firstLineChars="200"/>
        <w:jc w:val="left"/>
        <w:outlineLvl w:val="9"/>
        <w:rPr>
          <w:rFonts w:hint="eastAsia" w:ascii="仿宋" w:hAnsi="仿宋" w:eastAsia="仿宋" w:cs="仿宋"/>
          <w:b/>
          <w:bCs/>
          <w:i w:val="0"/>
          <w:iCs w:val="0"/>
          <w:color w:val="auto"/>
          <w:kern w:val="2"/>
          <w:sz w:val="30"/>
          <w:szCs w:val="30"/>
          <w:highlight w:val="none"/>
          <w:u w:val="none"/>
          <w:lang w:val="en-US" w:eastAsia="zh-CN" w:bidi="ar-SA"/>
        </w:rPr>
      </w:pPr>
      <w:r>
        <w:rPr>
          <w:rFonts w:hint="eastAsia" w:ascii="宋体" w:hAnsi="宋体" w:eastAsia="宋体" w:cs="宋体"/>
          <w:b/>
          <w:kern w:val="0"/>
          <w:sz w:val="24"/>
          <w:szCs w:val="20"/>
          <w:highlight w:val="none"/>
          <w:lang w:val="en-US" w:eastAsia="zh-CN" w:bidi="ar-SA"/>
        </w:rPr>
        <w:t xml:space="preserve">4 </w:t>
      </w:r>
      <w:r>
        <w:rPr>
          <w:rFonts w:hint="eastAsia" w:ascii="仿宋" w:hAnsi="仿宋" w:eastAsia="仿宋" w:cs="仿宋"/>
          <w:b/>
          <w:bCs/>
          <w:i w:val="0"/>
          <w:iCs w:val="0"/>
          <w:color w:val="auto"/>
          <w:kern w:val="2"/>
          <w:sz w:val="30"/>
          <w:szCs w:val="30"/>
          <w:highlight w:val="none"/>
          <w:u w:val="none"/>
          <w:lang w:val="en-US" w:eastAsia="zh-CN" w:bidi="ar-SA"/>
        </w:rPr>
        <w:t>提供本单位缴纳的近6个月内任意1个月的社保缴费凭证及单位缴费个人明细表（社保证明可含：社保缴费凭证、社保缴费汇总单、依法缴纳社保的完税证明）；</w:t>
      </w:r>
      <w:bookmarkEnd w:id="187"/>
      <w:bookmarkEnd w:id="188"/>
    </w:p>
    <w:p w14:paraId="5FB62E95">
      <w:pPr>
        <w:tabs>
          <w:tab w:val="left" w:pos="5580"/>
        </w:tabs>
        <w:spacing w:line="240" w:lineRule="atLeast"/>
        <w:ind w:firstLine="562" w:firstLineChars="200"/>
        <w:jc w:val="left"/>
        <w:outlineLvl w:val="9"/>
        <w:rPr>
          <w:rFonts w:hint="default" w:ascii="仿宋" w:hAnsi="仿宋" w:eastAsia="仿宋" w:cs="仿宋"/>
          <w:b/>
          <w:bCs/>
          <w:i w:val="0"/>
          <w:iCs w:val="0"/>
          <w:color w:val="auto"/>
          <w:kern w:val="2"/>
          <w:sz w:val="30"/>
          <w:szCs w:val="30"/>
          <w:highlight w:val="none"/>
          <w:u w:val="none"/>
          <w:lang w:val="en-US" w:eastAsia="zh-CN" w:bidi="ar-SA"/>
        </w:rPr>
      </w:pPr>
      <w:r>
        <w:rPr>
          <w:rFonts w:hint="eastAsia" w:ascii="仿宋" w:hAnsi="仿宋" w:eastAsia="仿宋" w:cs="仿宋"/>
          <w:b/>
          <w:bCs/>
          <w:i w:val="0"/>
          <w:iCs w:val="0"/>
          <w:color w:val="auto"/>
          <w:kern w:val="2"/>
          <w:sz w:val="28"/>
          <w:szCs w:val="28"/>
          <w:highlight w:val="none"/>
          <w:u w:val="none"/>
          <w:lang w:val="en-US" w:eastAsia="zh-CN" w:bidi="ar-SA"/>
        </w:rPr>
        <w:t>注：</w:t>
      </w:r>
      <w:r>
        <w:rPr>
          <w:rFonts w:hint="eastAsia" w:ascii="仿宋" w:hAnsi="仿宋" w:eastAsia="仿宋" w:cs="仿宋"/>
          <w:b w:val="0"/>
          <w:bCs w:val="0"/>
          <w:i w:val="0"/>
          <w:iCs w:val="0"/>
          <w:color w:val="auto"/>
          <w:kern w:val="2"/>
          <w:sz w:val="28"/>
          <w:szCs w:val="28"/>
          <w:highlight w:val="none"/>
          <w:u w:val="none"/>
          <w:lang w:val="en-US" w:eastAsia="zh-CN" w:bidi="ar-SA"/>
        </w:rPr>
        <w:t>近六个月任意一个月是指2025年01月-2025年6月任意一个月。</w:t>
      </w:r>
    </w:p>
    <w:p w14:paraId="73F0D570">
      <w:pPr>
        <w:pStyle w:val="20"/>
        <w:outlineLvl w:val="9"/>
        <w:rPr>
          <w:rFonts w:hint="eastAsia"/>
          <w:highlight w:val="none"/>
          <w:lang w:val="en-US" w:eastAsia="zh-CN"/>
        </w:rPr>
      </w:pPr>
    </w:p>
    <w:p w14:paraId="79EF744A">
      <w:pPr>
        <w:tabs>
          <w:tab w:val="left" w:pos="5580"/>
        </w:tabs>
        <w:spacing w:line="240" w:lineRule="atLeast"/>
        <w:ind w:firstLine="482" w:firstLineChars="200"/>
        <w:jc w:val="left"/>
        <w:outlineLvl w:val="9"/>
        <w:rPr>
          <w:rFonts w:hint="eastAsia" w:ascii="宋体" w:hAnsi="宋体" w:eastAsia="宋体" w:cs="宋体"/>
          <w:b/>
          <w:kern w:val="0"/>
          <w:sz w:val="24"/>
          <w:szCs w:val="20"/>
          <w:highlight w:val="none"/>
          <w:lang w:val="en-US" w:eastAsia="zh-CN" w:bidi="ar-SA"/>
        </w:rPr>
      </w:pPr>
    </w:p>
    <w:p w14:paraId="4259037B">
      <w:pPr>
        <w:spacing w:line="240" w:lineRule="atLeast"/>
        <w:ind w:left="1080" w:leftChars="257" w:hanging="540"/>
        <w:jc w:val="center"/>
        <w:outlineLvl w:val="9"/>
        <w:rPr>
          <w:rFonts w:ascii="微软雅黑" w:hAnsi="微软雅黑" w:eastAsia="微软雅黑" w:cs="微软雅黑"/>
          <w:b/>
          <w:kern w:val="0"/>
          <w:sz w:val="24"/>
          <w:highlight w:val="none"/>
        </w:rPr>
      </w:pPr>
    </w:p>
    <w:p w14:paraId="69782FF5">
      <w:pPr>
        <w:outlineLvl w:val="9"/>
        <w:rPr>
          <w:rFonts w:hint="eastAsia"/>
          <w:highlight w:val="none"/>
          <w:lang w:val="en-US" w:eastAsia="zh-CN"/>
        </w:rPr>
      </w:pPr>
    </w:p>
    <w:p w14:paraId="4F4C1685">
      <w:pPr>
        <w:outlineLvl w:val="9"/>
        <w:rPr>
          <w:rFonts w:hint="eastAsia"/>
          <w:highlight w:val="none"/>
          <w:lang w:val="en-US" w:eastAsia="zh-CN"/>
        </w:rPr>
      </w:pPr>
    </w:p>
    <w:p w14:paraId="15E36F8F">
      <w:pPr>
        <w:pStyle w:val="82"/>
        <w:outlineLvl w:val="9"/>
        <w:rPr>
          <w:rFonts w:hint="eastAsia"/>
          <w:highlight w:val="none"/>
          <w:lang w:val="en-US" w:eastAsia="zh-CN"/>
        </w:rPr>
      </w:pPr>
    </w:p>
    <w:p w14:paraId="48637559">
      <w:pPr>
        <w:tabs>
          <w:tab w:val="left" w:pos="5580"/>
        </w:tabs>
        <w:spacing w:line="240" w:lineRule="atLeast"/>
        <w:ind w:firstLine="482" w:firstLineChars="200"/>
        <w:jc w:val="left"/>
        <w:outlineLvl w:val="9"/>
        <w:rPr>
          <w:rFonts w:hint="eastAsia" w:ascii="宋体" w:hAnsi="宋体" w:eastAsia="宋体" w:cs="宋体"/>
          <w:b/>
          <w:kern w:val="0"/>
          <w:sz w:val="24"/>
          <w:szCs w:val="20"/>
          <w:highlight w:val="none"/>
          <w:lang w:val="en-US" w:eastAsia="zh-CN" w:bidi="ar-SA"/>
        </w:rPr>
      </w:pPr>
      <w:r>
        <w:rPr>
          <w:rFonts w:hint="eastAsia" w:ascii="宋体" w:hAnsi="宋体" w:eastAsia="宋体" w:cs="宋体"/>
          <w:b/>
          <w:kern w:val="0"/>
          <w:sz w:val="24"/>
          <w:szCs w:val="20"/>
          <w:highlight w:val="none"/>
          <w:lang w:val="en-US" w:eastAsia="zh-CN" w:bidi="ar-SA"/>
        </w:rPr>
        <w:t xml:space="preserve"> </w:t>
      </w:r>
      <w:bookmarkStart w:id="189" w:name="_Toc11714"/>
      <w:bookmarkStart w:id="190" w:name="_Toc5548"/>
      <w:r>
        <w:rPr>
          <w:rFonts w:hint="eastAsia" w:ascii="宋体" w:hAnsi="宋体" w:eastAsia="宋体" w:cs="宋体"/>
          <w:b/>
          <w:kern w:val="0"/>
          <w:sz w:val="24"/>
          <w:szCs w:val="20"/>
          <w:highlight w:val="none"/>
          <w:lang w:val="en-US" w:eastAsia="zh-CN" w:bidi="ar-SA"/>
        </w:rPr>
        <w:t>5</w:t>
      </w:r>
      <w:r>
        <w:rPr>
          <w:rFonts w:hint="eastAsia" w:ascii="仿宋" w:hAnsi="仿宋" w:eastAsia="仿宋" w:cs="仿宋"/>
          <w:b/>
          <w:bCs/>
          <w:i w:val="0"/>
          <w:iCs w:val="0"/>
          <w:color w:val="auto"/>
          <w:kern w:val="2"/>
          <w:sz w:val="30"/>
          <w:szCs w:val="30"/>
          <w:highlight w:val="none"/>
          <w:u w:val="none"/>
          <w:lang w:val="en-US" w:eastAsia="zh-CN" w:bidi="ar-SA"/>
        </w:rPr>
        <w:t xml:space="preserve"> 具有良好的商业信誉和健全的财务会计制度或者提供最近一年（2024年）的财务审计报告（成立不满一年的提供开标前一个月内有效银行资信证明）；</w:t>
      </w:r>
      <w:bookmarkEnd w:id="189"/>
      <w:bookmarkEnd w:id="190"/>
    </w:p>
    <w:p w14:paraId="07255CDC">
      <w:pPr>
        <w:pStyle w:val="20"/>
        <w:outlineLvl w:val="9"/>
        <w:rPr>
          <w:highlight w:val="none"/>
        </w:rPr>
      </w:pPr>
    </w:p>
    <w:p w14:paraId="71D76C1F">
      <w:pPr>
        <w:pStyle w:val="20"/>
        <w:outlineLvl w:val="9"/>
        <w:rPr>
          <w:highlight w:val="none"/>
        </w:rPr>
      </w:pPr>
    </w:p>
    <w:p w14:paraId="415511DA">
      <w:pPr>
        <w:pStyle w:val="20"/>
        <w:outlineLvl w:val="9"/>
        <w:rPr>
          <w:highlight w:val="none"/>
        </w:rPr>
      </w:pPr>
    </w:p>
    <w:p w14:paraId="040D7527">
      <w:pPr>
        <w:pStyle w:val="20"/>
        <w:outlineLvl w:val="9"/>
        <w:rPr>
          <w:highlight w:val="none"/>
        </w:rPr>
      </w:pPr>
    </w:p>
    <w:p w14:paraId="261F6CF9">
      <w:pPr>
        <w:bidi w:val="0"/>
        <w:ind w:firstLine="420" w:firstLineChars="200"/>
        <w:jc w:val="left"/>
        <w:outlineLvl w:val="9"/>
        <w:rPr>
          <w:rFonts w:hint="eastAsia" w:ascii="仿宋" w:hAnsi="仿宋" w:eastAsia="仿宋" w:cs="仿宋"/>
          <w:highlight w:val="none"/>
        </w:rPr>
      </w:pPr>
      <w:bookmarkStart w:id="191" w:name="_Toc19348"/>
      <w:bookmarkStart w:id="192" w:name="_Toc18311"/>
      <w:bookmarkStart w:id="193" w:name="_Toc28204"/>
      <w:bookmarkStart w:id="194" w:name="_Toc14825"/>
      <w:bookmarkStart w:id="195" w:name="_Toc11393"/>
      <w:bookmarkStart w:id="196" w:name="_Toc4169"/>
      <w:bookmarkStart w:id="197" w:name="_Toc550"/>
      <w:bookmarkStart w:id="198" w:name="_Toc20037"/>
      <w:r>
        <w:rPr>
          <w:rFonts w:hint="eastAsia" w:ascii="仿宋" w:hAnsi="仿宋" w:eastAsia="仿宋" w:cs="仿宋"/>
          <w:highlight w:val="none"/>
          <w:lang w:val="en-US" w:eastAsia="zh-CN"/>
        </w:rPr>
        <w:t>6</w:t>
      </w:r>
      <w:r>
        <w:rPr>
          <w:rFonts w:hint="eastAsia" w:ascii="仿宋" w:hAnsi="仿宋" w:eastAsia="仿宋" w:cs="仿宋"/>
          <w:highlight w:val="none"/>
        </w:rPr>
        <w:t xml:space="preserve"> </w:t>
      </w:r>
      <w:bookmarkEnd w:id="191"/>
      <w:bookmarkEnd w:id="192"/>
      <w:bookmarkEnd w:id="193"/>
      <w:bookmarkEnd w:id="194"/>
      <w:r>
        <w:rPr>
          <w:rFonts w:hint="eastAsia" w:ascii="仿宋" w:hAnsi="仿宋" w:eastAsia="仿宋" w:cs="仿宋"/>
          <w:b/>
          <w:bCs/>
          <w:i w:val="0"/>
          <w:iCs w:val="0"/>
          <w:color w:val="auto"/>
          <w:kern w:val="2"/>
          <w:sz w:val="30"/>
          <w:szCs w:val="30"/>
          <w:highlight w:val="none"/>
          <w:u w:val="none"/>
          <w:lang w:val="en-US" w:eastAsia="zh-CN" w:bidi="ar-SA"/>
        </w:rPr>
        <w:t>提供近6个月内任意1个月税务局开具的完税证明；（完税证明或税务部门出具的其他证明，非社会保险类）</w:t>
      </w:r>
      <w:bookmarkEnd w:id="195"/>
      <w:bookmarkEnd w:id="196"/>
      <w:bookmarkEnd w:id="197"/>
      <w:bookmarkEnd w:id="198"/>
    </w:p>
    <w:p w14:paraId="4B6F88C0">
      <w:pPr>
        <w:bidi w:val="0"/>
        <w:jc w:val="left"/>
        <w:outlineLvl w:val="9"/>
        <w:rPr>
          <w:rFonts w:hint="eastAsia" w:ascii="仿宋" w:hAnsi="仿宋" w:eastAsia="仿宋" w:cs="仿宋"/>
          <w:highlight w:val="none"/>
        </w:rPr>
      </w:pPr>
    </w:p>
    <w:p w14:paraId="1855C94B">
      <w:pPr>
        <w:tabs>
          <w:tab w:val="left" w:pos="5580"/>
        </w:tabs>
        <w:spacing w:line="240" w:lineRule="atLeas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3DADBB93">
      <w:pPr>
        <w:bidi w:val="0"/>
        <w:ind w:firstLine="482" w:firstLineChars="200"/>
        <w:jc w:val="left"/>
        <w:outlineLvl w:val="9"/>
        <w:rPr>
          <w:rFonts w:hint="eastAsia" w:ascii="仿宋" w:hAnsi="仿宋" w:eastAsia="仿宋" w:cs="仿宋"/>
          <w:b/>
          <w:bCs w:val="0"/>
          <w:color w:val="auto"/>
          <w:sz w:val="24"/>
          <w:szCs w:val="24"/>
          <w:highlight w:val="none"/>
          <w:lang w:val="en-US" w:eastAsia="zh-CN"/>
        </w:rPr>
      </w:pPr>
      <w:bookmarkStart w:id="199" w:name="_Toc11047"/>
      <w:bookmarkStart w:id="200" w:name="_Toc515647809"/>
      <w:bookmarkStart w:id="201" w:name="_Toc28445"/>
      <w:bookmarkStart w:id="202" w:name="_Toc16548"/>
      <w:bookmarkStart w:id="203" w:name="_Toc31773"/>
      <w:bookmarkStart w:id="204" w:name="_Toc24072"/>
      <w:bookmarkStart w:id="205" w:name="_Toc31916"/>
      <w:bookmarkStart w:id="206" w:name="_Toc28828"/>
      <w:bookmarkStart w:id="207" w:name="_Toc15037"/>
      <w:bookmarkStart w:id="208" w:name="_Toc20618"/>
      <w:r>
        <w:rPr>
          <w:rFonts w:hint="eastAsia" w:ascii="仿宋" w:hAnsi="仿宋" w:eastAsia="仿宋" w:cs="仿宋"/>
          <w:b/>
          <w:bCs w:val="0"/>
          <w:color w:val="auto"/>
          <w:sz w:val="24"/>
          <w:szCs w:val="24"/>
          <w:highlight w:val="none"/>
          <w:lang w:val="en-US" w:eastAsia="zh-CN"/>
        </w:rPr>
        <w:t>税务部门出具的完税凭证或缴税证明或银行出具的“银行电子缴税付款凭证”；①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79474674">
      <w:pPr>
        <w:bidi w:val="0"/>
        <w:ind w:firstLine="482" w:firstLineChars="200"/>
        <w:jc w:val="left"/>
        <w:outlineLvl w:val="9"/>
        <w:rPr>
          <w:rFonts w:hint="eastAsia" w:ascii="仿宋" w:hAnsi="仿宋" w:eastAsia="仿宋" w:cs="仿宋"/>
          <w:sz w:val="24"/>
          <w:highlight w:val="none"/>
          <w:lang w:val="en-US" w:eastAsia="zh-CN"/>
        </w:rPr>
      </w:pPr>
      <w:r>
        <w:rPr>
          <w:rFonts w:hint="eastAsia" w:ascii="仿宋" w:hAnsi="仿宋" w:eastAsia="仿宋" w:cs="仿宋"/>
          <w:b/>
          <w:bCs w:val="0"/>
          <w:color w:val="auto"/>
          <w:sz w:val="24"/>
          <w:szCs w:val="24"/>
          <w:highlight w:val="none"/>
          <w:lang w:val="en-US" w:eastAsia="zh-CN"/>
        </w:rPr>
        <w:t>注：</w:t>
      </w:r>
      <w:r>
        <w:rPr>
          <w:rFonts w:hint="eastAsia" w:ascii="仿宋" w:hAnsi="仿宋" w:eastAsia="仿宋" w:cs="仿宋"/>
          <w:b w:val="0"/>
          <w:bCs/>
          <w:color w:val="auto"/>
          <w:sz w:val="24"/>
          <w:szCs w:val="24"/>
          <w:highlight w:val="none"/>
          <w:lang w:eastAsia="zh-CN"/>
        </w:rPr>
        <w:t>近六个月任意一个月是指2025年01月-2025年6月任意一个月。</w:t>
      </w:r>
    </w:p>
    <w:p w14:paraId="7F889624">
      <w:pPr>
        <w:bidi w:val="0"/>
        <w:ind w:firstLine="480" w:firstLineChars="200"/>
        <w:jc w:val="center"/>
        <w:outlineLvl w:val="9"/>
        <w:rPr>
          <w:rFonts w:hint="eastAsia" w:ascii="仿宋" w:hAnsi="仿宋" w:eastAsia="仿宋" w:cs="仿宋"/>
          <w:sz w:val="28"/>
          <w:szCs w:val="28"/>
          <w:highlight w:val="none"/>
        </w:rPr>
      </w:pPr>
      <w:r>
        <w:rPr>
          <w:rFonts w:hint="eastAsia" w:ascii="仿宋" w:hAnsi="仿宋" w:eastAsia="仿宋" w:cs="仿宋"/>
          <w:sz w:val="24"/>
          <w:highlight w:val="none"/>
          <w:lang w:val="en-US" w:eastAsia="zh-CN"/>
        </w:rPr>
        <w:br w:type="page"/>
      </w:r>
      <w:r>
        <w:rPr>
          <w:rFonts w:hint="eastAsia" w:ascii="仿宋" w:hAnsi="仿宋" w:eastAsia="仿宋" w:cs="仿宋"/>
          <w:sz w:val="24"/>
          <w:highlight w:val="none"/>
          <w:lang w:val="en-US" w:eastAsia="zh-CN"/>
        </w:rPr>
        <w:t xml:space="preserve"> </w:t>
      </w:r>
      <w:bookmarkStart w:id="209" w:name="_Toc21146"/>
      <w:bookmarkStart w:id="210" w:name="_Toc695"/>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 xml:space="preserve">  </w:t>
      </w:r>
      <w:bookmarkEnd w:id="199"/>
      <w:bookmarkEnd w:id="200"/>
      <w:bookmarkEnd w:id="201"/>
      <w:bookmarkEnd w:id="202"/>
      <w:r>
        <w:rPr>
          <w:rFonts w:hint="eastAsia" w:ascii="仿宋" w:hAnsi="仿宋" w:eastAsia="仿宋" w:cs="仿宋"/>
          <w:b/>
          <w:bCs/>
          <w:i w:val="0"/>
          <w:iCs w:val="0"/>
          <w:color w:val="auto"/>
          <w:kern w:val="2"/>
          <w:sz w:val="30"/>
          <w:szCs w:val="30"/>
          <w:highlight w:val="none"/>
          <w:u w:val="none"/>
          <w:lang w:val="en-US" w:eastAsia="zh-CN" w:bidi="ar-SA"/>
        </w:rPr>
        <w:t>投标单位（供应商）针对本次项目《反商业贿赂承诺书》</w:t>
      </w:r>
      <w:bookmarkEnd w:id="203"/>
      <w:bookmarkEnd w:id="204"/>
      <w:bookmarkEnd w:id="205"/>
      <w:bookmarkEnd w:id="206"/>
      <w:bookmarkEnd w:id="207"/>
      <w:bookmarkEnd w:id="208"/>
      <w:bookmarkEnd w:id="209"/>
      <w:bookmarkEnd w:id="210"/>
    </w:p>
    <w:p w14:paraId="149D8308">
      <w:pPr>
        <w:ind w:firstLine="480" w:firstLineChars="200"/>
        <w:outlineLvl w:val="9"/>
        <w:rPr>
          <w:rFonts w:hint="eastAsia" w:ascii="仿宋" w:hAnsi="仿宋" w:eastAsia="仿宋" w:cs="仿宋"/>
          <w:color w:val="auto"/>
          <w:sz w:val="24"/>
          <w:szCs w:val="24"/>
          <w:highlight w:val="none"/>
        </w:rPr>
      </w:pPr>
    </w:p>
    <w:p w14:paraId="21548057">
      <w:pPr>
        <w:ind w:firstLine="560"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我公司承诺在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（项目名称）</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（项目编号）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公开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6008999C">
      <w:pP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5805465">
      <w:pP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投标单位名称:                    </w:t>
      </w:r>
    </w:p>
    <w:p w14:paraId="2C46649B">
      <w:pP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6DBA0E9">
      <w:pP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投标单位法定代表人签字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14:paraId="6CB56FF4">
      <w:pPr>
        <w:outlineLvl w:val="9"/>
        <w:rPr>
          <w:rFonts w:hint="eastAsia" w:ascii="宋体" w:hAnsi="宋体" w:eastAsia="宋体" w:cs="宋体"/>
          <w:color w:val="auto"/>
          <w:sz w:val="28"/>
          <w:szCs w:val="28"/>
          <w:highlight w:val="none"/>
        </w:rPr>
      </w:pPr>
    </w:p>
    <w:p w14:paraId="0F961CC6">
      <w:pP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委托代表人签字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14:paraId="1BE86143">
      <w:pPr>
        <w:outlineLvl w:val="9"/>
        <w:rPr>
          <w:rFonts w:hint="eastAsia" w:ascii="宋体" w:hAnsi="宋体" w:eastAsia="宋体" w:cs="宋体"/>
          <w:color w:val="auto"/>
          <w:sz w:val="28"/>
          <w:szCs w:val="28"/>
          <w:highlight w:val="none"/>
        </w:rPr>
      </w:pPr>
    </w:p>
    <w:p w14:paraId="7508F09C">
      <w:pPr>
        <w:outlineLvl w:val="9"/>
        <w:rPr>
          <w:rFonts w:hint="eastAsia" w:ascii="仿宋" w:hAnsi="仿宋" w:eastAsia="仿宋" w:cs="仿宋"/>
          <w:color w:val="auto"/>
          <w:sz w:val="28"/>
          <w:szCs w:val="28"/>
          <w:highlight w:val="none"/>
        </w:rPr>
      </w:pPr>
      <w:r>
        <w:rPr>
          <w:rFonts w:hint="eastAsia" w:ascii="宋体" w:hAnsi="宋体" w:eastAsia="宋体" w:cs="宋体"/>
          <w:color w:val="auto"/>
          <w:sz w:val="28"/>
          <w:szCs w:val="28"/>
          <w:highlight w:val="none"/>
        </w:rPr>
        <w:t>日期：  年  月  日</w:t>
      </w:r>
    </w:p>
    <w:p w14:paraId="113F9A35">
      <w:pPr>
        <w:pStyle w:val="17"/>
        <w:tabs>
          <w:tab w:val="left" w:pos="5580"/>
        </w:tabs>
        <w:spacing w:line="240" w:lineRule="atLeast"/>
        <w:ind w:left="1260" w:leftChars="344" w:hanging="538"/>
        <w:outlineLvl w:val="9"/>
        <w:rPr>
          <w:rFonts w:hint="eastAsia" w:ascii="宋体" w:hAnsi="宋体" w:eastAsia="宋体" w:cs="宋体"/>
          <w:sz w:val="24"/>
          <w:highlight w:val="none"/>
        </w:rPr>
      </w:pPr>
    </w:p>
    <w:p w14:paraId="1D7E3A76">
      <w:pPr>
        <w:spacing w:line="240" w:lineRule="atLeast"/>
        <w:jc w:val="both"/>
        <w:outlineLvl w:val="9"/>
        <w:rPr>
          <w:rFonts w:hint="eastAsia" w:ascii="仿宋" w:hAnsi="仿宋" w:eastAsia="仿宋" w:cs="仿宋"/>
          <w:sz w:val="24"/>
          <w:szCs w:val="24"/>
          <w:highlight w:val="none"/>
        </w:rPr>
      </w:pPr>
    </w:p>
    <w:p w14:paraId="6AABA982">
      <w:pPr>
        <w:pStyle w:val="17"/>
        <w:keepNext w:val="0"/>
        <w:keepLines w:val="0"/>
        <w:pageBreakBefore w:val="0"/>
        <w:widowControl w:val="0"/>
        <w:tabs>
          <w:tab w:val="left" w:pos="5580"/>
        </w:tabs>
        <w:kinsoku/>
        <w:wordWrap/>
        <w:overflowPunct/>
        <w:topLinePunct w:val="0"/>
        <w:bidi w:val="0"/>
        <w:snapToGrid/>
        <w:spacing w:line="360" w:lineRule="auto"/>
        <w:jc w:val="both"/>
        <w:textAlignment w:val="auto"/>
        <w:outlineLvl w:val="9"/>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br w:type="page"/>
      </w:r>
      <w:bookmarkStart w:id="211" w:name="_Toc3335"/>
      <w:bookmarkStart w:id="212" w:name="_Toc27179"/>
      <w:r>
        <w:rPr>
          <w:rFonts w:hint="eastAsia" w:ascii="仿宋" w:hAnsi="仿宋" w:eastAsia="仿宋" w:cs="仿宋"/>
          <w:b/>
          <w:bCs/>
          <w:color w:val="auto"/>
          <w:sz w:val="30"/>
          <w:szCs w:val="30"/>
          <w:highlight w:val="none"/>
          <w:lang w:val="en-US" w:eastAsia="zh-CN"/>
        </w:rPr>
        <w:t>8  提供参与政府采购活动前3年内未被列入失信、重大税收违法案件、财政部门禁止参加政府采购活动的承诺书（格式自拟）。</w:t>
      </w:r>
      <w:bookmarkEnd w:id="211"/>
      <w:bookmarkEnd w:id="212"/>
    </w:p>
    <w:p w14:paraId="15E8CC79">
      <w:pPr>
        <w:pStyle w:val="17"/>
        <w:keepNext w:val="0"/>
        <w:keepLines w:val="0"/>
        <w:pageBreakBefore w:val="0"/>
        <w:widowControl w:val="0"/>
        <w:tabs>
          <w:tab w:val="left" w:pos="5580"/>
        </w:tabs>
        <w:kinsoku/>
        <w:wordWrap/>
        <w:overflowPunct/>
        <w:topLinePunct w:val="0"/>
        <w:bidi w:val="0"/>
        <w:snapToGrid/>
        <w:spacing w:line="360" w:lineRule="auto"/>
        <w:jc w:val="center"/>
        <w:textAlignment w:val="auto"/>
        <w:outlineLvl w:val="9"/>
        <w:rPr>
          <w:rFonts w:hint="eastAsia" w:ascii="仿宋" w:hAnsi="仿宋" w:eastAsia="仿宋" w:cs="仿宋"/>
          <w:b/>
          <w:bCs/>
          <w:color w:val="auto"/>
          <w:sz w:val="30"/>
          <w:szCs w:val="30"/>
          <w:highlight w:val="none"/>
          <w:lang w:val="en-US" w:eastAsia="zh-CN"/>
        </w:rPr>
      </w:pPr>
    </w:p>
    <w:p w14:paraId="3D3315E0">
      <w:pPr>
        <w:pStyle w:val="17"/>
        <w:keepNext w:val="0"/>
        <w:keepLines w:val="0"/>
        <w:pageBreakBefore w:val="0"/>
        <w:widowControl w:val="0"/>
        <w:tabs>
          <w:tab w:val="left" w:pos="5580"/>
        </w:tabs>
        <w:kinsoku/>
        <w:wordWrap/>
        <w:overflowPunct/>
        <w:topLinePunct w:val="0"/>
        <w:bidi w:val="0"/>
        <w:snapToGrid/>
        <w:spacing w:line="360" w:lineRule="auto"/>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37681D24">
      <w:pPr>
        <w:pStyle w:val="17"/>
        <w:keepNext w:val="0"/>
        <w:keepLines w:val="0"/>
        <w:pageBreakBefore w:val="0"/>
        <w:widowControl w:val="0"/>
        <w:tabs>
          <w:tab w:val="left" w:pos="5580"/>
        </w:tabs>
        <w:kinsoku/>
        <w:wordWrap/>
        <w:overflowPunct/>
        <w:topLinePunct w:val="0"/>
        <w:bidi w:val="0"/>
        <w:snapToGrid/>
        <w:spacing w:line="360" w:lineRule="auto"/>
        <w:ind w:firstLine="720" w:firstLineChars="3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1.投标人应按照相关法规规定如实作出说明。</w:t>
      </w:r>
    </w:p>
    <w:p w14:paraId="04F900F3">
      <w:pPr>
        <w:pStyle w:val="17"/>
        <w:keepNext w:val="0"/>
        <w:keepLines w:val="0"/>
        <w:pageBreakBefore w:val="0"/>
        <w:widowControl w:val="0"/>
        <w:tabs>
          <w:tab w:val="left" w:pos="5580"/>
        </w:tabs>
        <w:kinsoku/>
        <w:wordWrap/>
        <w:overflowPunct/>
        <w:topLinePunct w:val="0"/>
        <w:bidi w:val="0"/>
        <w:snapToGrid/>
        <w:spacing w:line="360" w:lineRule="auto"/>
        <w:ind w:firstLine="720" w:firstLineChars="3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按照</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的规定加盖单位章。</w:t>
      </w:r>
    </w:p>
    <w:p w14:paraId="468482D4">
      <w:pPr>
        <w:pStyle w:val="30"/>
        <w:outlineLvl w:val="9"/>
        <w:rPr>
          <w:rFonts w:hint="eastAsia"/>
          <w:highlight w:val="none"/>
        </w:rPr>
      </w:pPr>
    </w:p>
    <w:p w14:paraId="78AE70EA">
      <w:pPr>
        <w:pStyle w:val="7"/>
        <w:outlineLvl w:val="9"/>
        <w:rPr>
          <w:rFonts w:hint="eastAsia" w:ascii="仿宋" w:hAnsi="仿宋" w:eastAsia="仿宋" w:cs="仿宋"/>
          <w:sz w:val="24"/>
          <w:szCs w:val="24"/>
          <w:highlight w:val="none"/>
        </w:rPr>
      </w:pPr>
    </w:p>
    <w:p w14:paraId="33D6F4A8">
      <w:pPr>
        <w:pStyle w:val="17"/>
        <w:keepNext w:val="0"/>
        <w:keepLines w:val="0"/>
        <w:pageBreakBefore w:val="0"/>
        <w:widowControl w:val="0"/>
        <w:tabs>
          <w:tab w:val="left" w:pos="5580"/>
        </w:tabs>
        <w:kinsoku/>
        <w:wordWrap/>
        <w:overflowPunct/>
        <w:topLinePunct w:val="0"/>
        <w:bidi w:val="0"/>
        <w:snapToGrid/>
        <w:spacing w:line="360" w:lineRule="auto"/>
        <w:jc w:val="both"/>
        <w:textAlignment w:val="auto"/>
        <w:outlineLvl w:val="9"/>
        <w:rPr>
          <w:rFonts w:hint="eastAsia" w:ascii="仿宋" w:hAnsi="仿宋" w:eastAsia="仿宋" w:cs="仿宋"/>
          <w:b/>
          <w:bCs/>
          <w:color w:val="auto"/>
          <w:sz w:val="30"/>
          <w:szCs w:val="30"/>
          <w:highlight w:val="none"/>
          <w:lang w:val="en-US" w:eastAsia="zh-CN"/>
        </w:rPr>
      </w:pPr>
      <w:bookmarkStart w:id="213" w:name="_Toc29495"/>
      <w:bookmarkStart w:id="214" w:name="_Toc28665"/>
      <w:r>
        <w:rPr>
          <w:rFonts w:hint="eastAsia" w:ascii="仿宋" w:hAnsi="仿宋" w:eastAsia="仿宋" w:cs="仿宋"/>
          <w:b/>
          <w:bCs/>
          <w:color w:val="auto"/>
          <w:sz w:val="30"/>
          <w:szCs w:val="30"/>
          <w:highlight w:val="none"/>
          <w:lang w:val="en-US" w:eastAsia="zh-CN"/>
        </w:rPr>
        <w:br w:type="page"/>
      </w:r>
      <w:r>
        <w:rPr>
          <w:rFonts w:hint="eastAsia" w:ascii="仿宋" w:hAnsi="仿宋" w:eastAsia="仿宋" w:cs="仿宋"/>
          <w:b/>
          <w:bCs/>
          <w:color w:val="auto"/>
          <w:sz w:val="30"/>
          <w:szCs w:val="30"/>
          <w:highlight w:val="none"/>
          <w:lang w:val="en-US" w:eastAsia="zh-CN"/>
        </w:rPr>
        <w:t>9  缴纳磋商保证金的有效凭证；</w:t>
      </w:r>
      <w:bookmarkEnd w:id="213"/>
      <w:bookmarkEnd w:id="214"/>
    </w:p>
    <w:p w14:paraId="435EB753">
      <w:pPr>
        <w:pStyle w:val="17"/>
        <w:keepNext w:val="0"/>
        <w:keepLines w:val="0"/>
        <w:pageBreakBefore w:val="0"/>
        <w:widowControl w:val="0"/>
        <w:tabs>
          <w:tab w:val="left" w:pos="5580"/>
        </w:tabs>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说明：</w:t>
      </w:r>
    </w:p>
    <w:p w14:paraId="5153F9C7">
      <w:pPr>
        <w:pStyle w:val="17"/>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投标人可将本项目投标保证金支付的汇款凭证、汇票或保证金收据（如有）的扫描件作为缴纳凭证装订在本部分，复印件上应加盖本单位公章；使用银行保函等其他投标担保函的，应将担保函装订在本部分中。</w:t>
      </w:r>
    </w:p>
    <w:p w14:paraId="0F626A92">
      <w:pPr>
        <w:pStyle w:val="17"/>
        <w:keepNext w:val="0"/>
        <w:keepLines w:val="0"/>
        <w:pageBreakBefore w:val="0"/>
        <w:widowControl w:val="0"/>
        <w:tabs>
          <w:tab w:val="left" w:pos="5580"/>
        </w:tabs>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color w:val="auto"/>
          <w:sz w:val="30"/>
          <w:szCs w:val="30"/>
          <w:highlight w:val="none"/>
          <w:lang w:val="en-US" w:eastAsia="zh-CN"/>
        </w:rPr>
      </w:pPr>
      <w:bookmarkStart w:id="215" w:name="_Toc28808"/>
      <w:r>
        <w:rPr>
          <w:rFonts w:hint="eastAsia" w:ascii="仿宋" w:hAnsi="仿宋" w:eastAsia="仿宋" w:cs="仿宋"/>
          <w:b/>
          <w:bCs/>
          <w:color w:val="auto"/>
          <w:sz w:val="30"/>
          <w:szCs w:val="30"/>
          <w:highlight w:val="none"/>
          <w:lang w:val="en-US" w:eastAsia="zh-CN"/>
        </w:rPr>
        <w:br w:type="page"/>
      </w:r>
      <w:r>
        <w:rPr>
          <w:rFonts w:hint="eastAsia" w:ascii="仿宋" w:hAnsi="仿宋" w:eastAsia="仿宋" w:cs="仿宋"/>
          <w:b/>
          <w:bCs/>
          <w:color w:val="auto"/>
          <w:sz w:val="30"/>
          <w:szCs w:val="30"/>
          <w:highlight w:val="none"/>
          <w:lang w:val="en-US" w:eastAsia="zh-CN"/>
        </w:rPr>
        <w:t xml:space="preserve">10 </w:t>
      </w:r>
      <w:r>
        <w:rPr>
          <w:rFonts w:hint="eastAsia" w:ascii="仿宋" w:hAnsi="仿宋" w:eastAsia="仿宋" w:cs="仿宋"/>
          <w:sz w:val="24"/>
          <w:szCs w:val="24"/>
          <w:highlight w:val="none"/>
          <w:lang w:val="en-US" w:eastAsia="zh-CN"/>
        </w:rPr>
        <w:t xml:space="preserve"> </w:t>
      </w:r>
      <w:r>
        <w:rPr>
          <w:rFonts w:hint="eastAsia" w:ascii="仿宋" w:hAnsi="仿宋" w:eastAsia="仿宋" w:cs="仿宋"/>
          <w:b/>
          <w:bCs/>
          <w:color w:val="auto"/>
          <w:sz w:val="30"/>
          <w:szCs w:val="30"/>
          <w:highlight w:val="none"/>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 （http://www.gsxt.gov.cn）”列入严重违法失信企业名单（黑名单）信息及企业信用信息公示报告；将拒绝其参加本次招标活动；</w:t>
      </w:r>
      <w:bookmarkEnd w:id="215"/>
    </w:p>
    <w:p w14:paraId="62BE2AE4">
      <w:pPr>
        <w:pStyle w:val="17"/>
        <w:keepNext w:val="0"/>
        <w:keepLines w:val="0"/>
        <w:pageBreakBefore w:val="0"/>
        <w:widowControl w:val="0"/>
        <w:tabs>
          <w:tab w:val="left" w:pos="5580"/>
        </w:tabs>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highlight w:val="none"/>
          <w:lang w:eastAsia="zh-CN"/>
        </w:rPr>
      </w:pPr>
    </w:p>
    <w:p w14:paraId="33C6E7B2">
      <w:pPr>
        <w:pStyle w:val="17"/>
        <w:keepNext w:val="0"/>
        <w:keepLines w:val="0"/>
        <w:pageBreakBefore w:val="0"/>
        <w:widowControl w:val="0"/>
        <w:tabs>
          <w:tab w:val="left" w:pos="5580"/>
        </w:tabs>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说明：</w:t>
      </w:r>
    </w:p>
    <w:p w14:paraId="6B01D52B">
      <w:pPr>
        <w:pStyle w:val="17"/>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查询结果截图打印并加盖投标单位公章</w:t>
      </w:r>
      <w:r>
        <w:rPr>
          <w:rFonts w:hint="eastAsia" w:ascii="仿宋" w:hAnsi="仿宋" w:eastAsia="仿宋" w:cs="仿宋"/>
          <w:color w:val="auto"/>
          <w:sz w:val="24"/>
          <w:szCs w:val="24"/>
          <w:highlight w:val="none"/>
        </w:rPr>
        <w:t>装订在本部分</w:t>
      </w:r>
      <w:r>
        <w:rPr>
          <w:rFonts w:hint="eastAsia" w:ascii="仿宋" w:hAnsi="仿宋" w:eastAsia="仿宋" w:cs="仿宋"/>
          <w:sz w:val="24"/>
          <w:szCs w:val="24"/>
          <w:highlight w:val="none"/>
          <w:lang w:val="en-US" w:eastAsia="zh-CN"/>
        </w:rPr>
        <w:t>。</w:t>
      </w:r>
    </w:p>
    <w:p w14:paraId="1A1DFC89">
      <w:pPr>
        <w:pStyle w:val="17"/>
        <w:tabs>
          <w:tab w:val="left" w:pos="5580"/>
        </w:tabs>
        <w:spacing w:line="240" w:lineRule="atLeast"/>
        <w:ind w:left="1260" w:leftChars="344" w:hanging="538"/>
        <w:outlineLvl w:val="9"/>
        <w:rPr>
          <w:rFonts w:hint="eastAsia" w:ascii="宋体" w:hAnsi="宋体" w:eastAsia="宋体" w:cs="宋体"/>
          <w:sz w:val="24"/>
          <w:highlight w:val="none"/>
        </w:rPr>
      </w:pPr>
    </w:p>
    <w:p w14:paraId="3B7B9964">
      <w:pPr>
        <w:outlineLvl w:val="9"/>
        <w:rPr>
          <w:rFonts w:hint="eastAsia" w:ascii="宋体" w:hAnsi="宋体" w:eastAsia="宋体" w:cs="宋体"/>
          <w:sz w:val="24"/>
          <w:highlight w:val="none"/>
        </w:rPr>
      </w:pPr>
    </w:p>
    <w:p w14:paraId="3CA3E52E">
      <w:pPr>
        <w:pStyle w:val="17"/>
        <w:keepNext w:val="0"/>
        <w:keepLines w:val="0"/>
        <w:pageBreakBefore w:val="0"/>
        <w:widowControl w:val="0"/>
        <w:tabs>
          <w:tab w:val="left" w:pos="5580"/>
        </w:tabs>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color w:val="auto"/>
          <w:sz w:val="30"/>
          <w:szCs w:val="30"/>
          <w:highlight w:val="none"/>
          <w:lang w:val="en-US" w:eastAsia="zh-CN"/>
        </w:rPr>
      </w:pPr>
    </w:p>
    <w:p w14:paraId="55A07DB7">
      <w:pPr>
        <w:outlineLvl w:val="9"/>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br w:type="page"/>
      </w:r>
    </w:p>
    <w:p w14:paraId="70A7AD30">
      <w:pPr>
        <w:pStyle w:val="17"/>
        <w:keepNext w:val="0"/>
        <w:keepLines w:val="0"/>
        <w:pageBreakBefore w:val="0"/>
        <w:widowControl w:val="0"/>
        <w:tabs>
          <w:tab w:val="left" w:pos="5580"/>
        </w:tabs>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11.提供中小企业声明函；</w:t>
      </w:r>
    </w:p>
    <w:p w14:paraId="49C0D352">
      <w:pPr>
        <w:spacing w:before="78" w:line="229" w:lineRule="auto"/>
        <w:jc w:val="center"/>
        <w:outlineLvl w:val="9"/>
        <w:rPr>
          <w:rFonts w:ascii="微软雅黑" w:hAnsi="微软雅黑" w:eastAsia="微软雅黑" w:cs="微软雅黑"/>
          <w:spacing w:val="5"/>
          <w:sz w:val="23"/>
          <w:szCs w:val="23"/>
          <w:highlight w:val="none"/>
        </w:rPr>
      </w:pPr>
      <w:r>
        <w:rPr>
          <w:rFonts w:hint="eastAsia" w:ascii="宋体" w:hAnsi="宋体" w:eastAsia="宋体" w:cs="宋体"/>
          <w:sz w:val="24"/>
          <w:highlight w:val="none"/>
        </w:rPr>
        <w:t xml:space="preserve"> </w:t>
      </w:r>
      <w:r>
        <w:rPr>
          <w:rFonts w:hint="eastAsia" w:ascii="黑体" w:hAnsi="黑体" w:eastAsia="黑体" w:cs="黑体"/>
          <w:b/>
          <w:bCs/>
          <w:spacing w:val="-7"/>
          <w:sz w:val="24"/>
          <w:szCs w:val="24"/>
          <w:highlight w:val="none"/>
          <w:lang w:val="en-US" w:eastAsia="zh-CN"/>
        </w:rPr>
        <w:t>11-1</w:t>
      </w:r>
      <w:r>
        <w:rPr>
          <w:rFonts w:ascii="黑体" w:hAnsi="黑体" w:eastAsia="黑体" w:cs="黑体"/>
          <w:b/>
          <w:bCs/>
          <w:spacing w:val="-7"/>
          <w:sz w:val="24"/>
          <w:szCs w:val="24"/>
          <w:highlight w:val="none"/>
        </w:rPr>
        <w:t>、中小企业声明函（</w:t>
      </w:r>
      <w:r>
        <w:rPr>
          <w:rFonts w:hint="eastAsia" w:ascii="黑体" w:hAnsi="黑体" w:eastAsia="黑体" w:cs="黑体"/>
          <w:b/>
          <w:bCs/>
          <w:spacing w:val="-7"/>
          <w:sz w:val="24"/>
          <w:szCs w:val="24"/>
          <w:highlight w:val="none"/>
          <w:lang w:val="en-US" w:eastAsia="zh-CN"/>
        </w:rPr>
        <w:t>服务</w:t>
      </w:r>
      <w:r>
        <w:rPr>
          <w:rFonts w:ascii="黑体" w:hAnsi="黑体" w:eastAsia="黑体" w:cs="黑体"/>
          <w:b/>
          <w:bCs/>
          <w:spacing w:val="-7"/>
          <w:sz w:val="24"/>
          <w:szCs w:val="24"/>
          <w:highlight w:val="none"/>
        </w:rPr>
        <w:t>）</w:t>
      </w:r>
    </w:p>
    <w:p w14:paraId="6F863EF6">
      <w:pPr>
        <w:spacing w:before="312" w:line="253" w:lineRule="auto"/>
        <w:ind w:left="13" w:right="306" w:firstLine="433"/>
        <w:jc w:val="both"/>
        <w:outlineLvl w:val="9"/>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A52D969">
      <w:pPr>
        <w:spacing w:before="312" w:line="253" w:lineRule="auto"/>
        <w:ind w:left="13" w:right="306" w:firstLine="433"/>
        <w:jc w:val="both"/>
        <w:outlineLvl w:val="9"/>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1.（标的名称），属于（采购文件中明确的所属行业）；承建（承接）企业为（企业名称），从业人员</w:t>
      </w:r>
      <w:r>
        <w:rPr>
          <w:rFonts w:hint="eastAsia" w:ascii="仿宋" w:hAnsi="仿宋" w:eastAsia="仿宋" w:cs="仿宋"/>
          <w:spacing w:val="5"/>
          <w:sz w:val="23"/>
          <w:szCs w:val="23"/>
          <w:highlight w:val="none"/>
          <w:lang w:val="en-US" w:eastAsia="zh-CN"/>
        </w:rPr>
        <w:t xml:space="preserve">  </w:t>
      </w:r>
      <w:r>
        <w:rPr>
          <w:rFonts w:hint="eastAsia" w:ascii="仿宋" w:hAnsi="仿宋" w:eastAsia="仿宋" w:cs="仿宋"/>
          <w:spacing w:val="5"/>
          <w:sz w:val="23"/>
          <w:szCs w:val="23"/>
          <w:highlight w:val="none"/>
        </w:rPr>
        <w:t>人，营业收入为</w:t>
      </w:r>
      <w:r>
        <w:rPr>
          <w:rFonts w:hint="eastAsia" w:ascii="仿宋" w:hAnsi="仿宋" w:eastAsia="仿宋" w:cs="仿宋"/>
          <w:spacing w:val="5"/>
          <w:sz w:val="23"/>
          <w:szCs w:val="23"/>
          <w:highlight w:val="none"/>
          <w:lang w:val="en-US" w:eastAsia="zh-CN"/>
        </w:rPr>
        <w:t xml:space="preserve">  </w:t>
      </w:r>
      <w:r>
        <w:rPr>
          <w:rFonts w:hint="eastAsia" w:ascii="仿宋" w:hAnsi="仿宋" w:eastAsia="仿宋" w:cs="仿宋"/>
          <w:spacing w:val="5"/>
          <w:sz w:val="23"/>
          <w:szCs w:val="23"/>
          <w:highlight w:val="none"/>
        </w:rPr>
        <w:t>万元，资产总额为</w:t>
      </w:r>
      <w:r>
        <w:rPr>
          <w:rFonts w:hint="eastAsia" w:ascii="仿宋" w:hAnsi="仿宋" w:eastAsia="仿宋" w:cs="仿宋"/>
          <w:spacing w:val="5"/>
          <w:sz w:val="23"/>
          <w:szCs w:val="23"/>
          <w:highlight w:val="none"/>
          <w:lang w:val="en-US" w:eastAsia="zh-CN"/>
        </w:rPr>
        <w:t xml:space="preserve">  </w:t>
      </w:r>
      <w:r>
        <w:rPr>
          <w:rFonts w:hint="eastAsia" w:ascii="仿宋" w:hAnsi="仿宋" w:eastAsia="仿宋" w:cs="仿宋"/>
          <w:spacing w:val="5"/>
          <w:sz w:val="23"/>
          <w:szCs w:val="23"/>
          <w:highlight w:val="none"/>
        </w:rPr>
        <w:t>万元，属于(中型企业、小型企业、微型企业）；</w:t>
      </w:r>
    </w:p>
    <w:p w14:paraId="359B125B">
      <w:pPr>
        <w:spacing w:before="312" w:line="253" w:lineRule="auto"/>
        <w:ind w:left="13" w:right="306" w:firstLine="433"/>
        <w:jc w:val="both"/>
        <w:outlineLvl w:val="9"/>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2.（标的名称），属于（采购文件中明确的所属行业）；承建（承接）企业为（企业名称），从业人员</w:t>
      </w:r>
      <w:r>
        <w:rPr>
          <w:rFonts w:hint="eastAsia" w:ascii="仿宋" w:hAnsi="仿宋" w:eastAsia="仿宋" w:cs="仿宋"/>
          <w:spacing w:val="5"/>
          <w:sz w:val="23"/>
          <w:szCs w:val="23"/>
          <w:highlight w:val="none"/>
          <w:lang w:val="en-US" w:eastAsia="zh-CN"/>
        </w:rPr>
        <w:t xml:space="preserve">  </w:t>
      </w:r>
      <w:r>
        <w:rPr>
          <w:rFonts w:hint="eastAsia" w:ascii="仿宋" w:hAnsi="仿宋" w:eastAsia="仿宋" w:cs="仿宋"/>
          <w:spacing w:val="5"/>
          <w:sz w:val="23"/>
          <w:szCs w:val="23"/>
          <w:highlight w:val="none"/>
        </w:rPr>
        <w:t>人，营业收入为</w:t>
      </w:r>
      <w:r>
        <w:rPr>
          <w:rFonts w:hint="eastAsia" w:ascii="仿宋" w:hAnsi="仿宋" w:eastAsia="仿宋" w:cs="仿宋"/>
          <w:spacing w:val="5"/>
          <w:sz w:val="23"/>
          <w:szCs w:val="23"/>
          <w:highlight w:val="none"/>
          <w:lang w:val="en-US" w:eastAsia="zh-CN"/>
        </w:rPr>
        <w:t xml:space="preserve">  </w:t>
      </w:r>
      <w:r>
        <w:rPr>
          <w:rFonts w:hint="eastAsia" w:ascii="仿宋" w:hAnsi="仿宋" w:eastAsia="仿宋" w:cs="仿宋"/>
          <w:spacing w:val="5"/>
          <w:sz w:val="23"/>
          <w:szCs w:val="23"/>
          <w:highlight w:val="none"/>
        </w:rPr>
        <w:t>万元，资产总额为</w:t>
      </w:r>
      <w:r>
        <w:rPr>
          <w:rFonts w:hint="eastAsia" w:ascii="仿宋" w:hAnsi="仿宋" w:eastAsia="仿宋" w:cs="仿宋"/>
          <w:spacing w:val="5"/>
          <w:sz w:val="23"/>
          <w:szCs w:val="23"/>
          <w:highlight w:val="none"/>
          <w:lang w:val="en-US" w:eastAsia="zh-CN"/>
        </w:rPr>
        <w:t xml:space="preserve">  </w:t>
      </w:r>
      <w:r>
        <w:rPr>
          <w:rFonts w:hint="eastAsia" w:ascii="仿宋" w:hAnsi="仿宋" w:eastAsia="仿宋" w:cs="仿宋"/>
          <w:spacing w:val="5"/>
          <w:sz w:val="23"/>
          <w:szCs w:val="23"/>
          <w:highlight w:val="none"/>
        </w:rPr>
        <w:t>万元，属于(中型企业、小型企业、微型企业）；</w:t>
      </w:r>
    </w:p>
    <w:p w14:paraId="671F976F">
      <w:pPr>
        <w:spacing w:before="312" w:line="253" w:lineRule="auto"/>
        <w:ind w:left="13" w:right="306" w:firstLine="433"/>
        <w:jc w:val="both"/>
        <w:outlineLvl w:val="9"/>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以上企业，不属于大企业的分支机构，不存在控股股东为大企业的情形，也不存在与大企业的负责人为同一人的情形。</w:t>
      </w:r>
    </w:p>
    <w:p w14:paraId="43A159BA">
      <w:pPr>
        <w:spacing w:before="312" w:line="253" w:lineRule="auto"/>
        <w:ind w:left="13" w:right="306" w:firstLine="433"/>
        <w:jc w:val="both"/>
        <w:outlineLvl w:val="9"/>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本企业对上述声明内容的真实性负责。如有虚假，将依法承担相应责任。</w:t>
      </w:r>
    </w:p>
    <w:p w14:paraId="052154E7">
      <w:pPr>
        <w:spacing w:before="312" w:line="253" w:lineRule="auto"/>
        <w:ind w:left="13" w:right="306" w:firstLine="433"/>
        <w:jc w:val="both"/>
        <w:outlineLvl w:val="9"/>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投标人名称(公章):</w:t>
      </w:r>
    </w:p>
    <w:p w14:paraId="099AE2BB">
      <w:pPr>
        <w:spacing w:before="312" w:line="253" w:lineRule="auto"/>
        <w:ind w:left="13" w:right="306" w:firstLine="433"/>
        <w:jc w:val="both"/>
        <w:outlineLvl w:val="9"/>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法定代表人(签字盖章):</w:t>
      </w:r>
    </w:p>
    <w:p w14:paraId="4745CB3D">
      <w:pPr>
        <w:spacing w:before="312" w:line="253" w:lineRule="auto"/>
        <w:ind w:left="13" w:right="306" w:firstLine="433"/>
        <w:jc w:val="both"/>
        <w:outlineLvl w:val="9"/>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日期：</w:t>
      </w:r>
      <w:r>
        <w:rPr>
          <w:rFonts w:hint="eastAsia" w:ascii="仿宋" w:hAnsi="仿宋" w:eastAsia="仿宋" w:cs="仿宋"/>
          <w:spacing w:val="5"/>
          <w:sz w:val="23"/>
          <w:szCs w:val="23"/>
          <w:highlight w:val="none"/>
          <w:lang w:val="en-US" w:eastAsia="zh-CN"/>
        </w:rPr>
        <w:t xml:space="preserve">  </w:t>
      </w:r>
      <w:r>
        <w:rPr>
          <w:rFonts w:hint="eastAsia" w:ascii="仿宋" w:hAnsi="仿宋" w:eastAsia="仿宋" w:cs="仿宋"/>
          <w:spacing w:val="5"/>
          <w:sz w:val="23"/>
          <w:szCs w:val="23"/>
          <w:highlight w:val="none"/>
        </w:rPr>
        <w:t>年</w:t>
      </w:r>
      <w:r>
        <w:rPr>
          <w:rFonts w:hint="eastAsia" w:ascii="仿宋" w:hAnsi="仿宋" w:eastAsia="仿宋" w:cs="仿宋"/>
          <w:spacing w:val="5"/>
          <w:sz w:val="23"/>
          <w:szCs w:val="23"/>
          <w:highlight w:val="none"/>
          <w:lang w:val="en-US" w:eastAsia="zh-CN"/>
        </w:rPr>
        <w:t xml:space="preserve"> </w:t>
      </w:r>
      <w:r>
        <w:rPr>
          <w:rFonts w:hint="eastAsia" w:ascii="仿宋" w:hAnsi="仿宋" w:eastAsia="仿宋" w:cs="仿宋"/>
          <w:spacing w:val="5"/>
          <w:sz w:val="23"/>
          <w:szCs w:val="23"/>
          <w:highlight w:val="none"/>
        </w:rPr>
        <w:t>月</w:t>
      </w:r>
      <w:r>
        <w:rPr>
          <w:rFonts w:hint="eastAsia" w:ascii="仿宋" w:hAnsi="仿宋" w:eastAsia="仿宋" w:cs="仿宋"/>
          <w:spacing w:val="5"/>
          <w:sz w:val="23"/>
          <w:szCs w:val="23"/>
          <w:highlight w:val="none"/>
          <w:lang w:val="en-US" w:eastAsia="zh-CN"/>
        </w:rPr>
        <w:t xml:space="preserve"> </w:t>
      </w:r>
      <w:r>
        <w:rPr>
          <w:rFonts w:hint="eastAsia" w:ascii="仿宋" w:hAnsi="仿宋" w:eastAsia="仿宋" w:cs="仿宋"/>
          <w:spacing w:val="5"/>
          <w:sz w:val="23"/>
          <w:szCs w:val="23"/>
          <w:highlight w:val="none"/>
        </w:rPr>
        <w:t>日</w:t>
      </w:r>
    </w:p>
    <w:p w14:paraId="442CEA50">
      <w:pPr>
        <w:spacing w:before="312" w:line="253" w:lineRule="auto"/>
        <w:ind w:left="13" w:right="306" w:firstLine="433"/>
        <w:jc w:val="both"/>
        <w:outlineLvl w:val="9"/>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注：从业人员、营业收入、资产总额填报上一年度数据，无上一年度数据的新成立企业可不填报。</w:t>
      </w:r>
    </w:p>
    <w:p w14:paraId="79D81E28">
      <w:pPr>
        <w:spacing w:before="0" w:line="240" w:lineRule="atLeast"/>
        <w:outlineLvl w:val="9"/>
        <w:rPr>
          <w:rFonts w:hint="eastAsia" w:ascii="宋体" w:hAnsi="宋体" w:eastAsia="宋体" w:cs="宋体"/>
          <w:b/>
          <w:sz w:val="24"/>
          <w:highlight w:val="none"/>
          <w:lang w:val="en-US" w:eastAsia="zh-CN"/>
        </w:rPr>
      </w:pPr>
    </w:p>
    <w:p w14:paraId="7F8AC4D6">
      <w:pPr>
        <w:spacing w:before="0" w:line="240" w:lineRule="atLeast"/>
        <w:outlineLvl w:val="9"/>
        <w:rPr>
          <w:rFonts w:hint="eastAsia" w:ascii="宋体" w:hAnsi="宋体" w:eastAsia="宋体" w:cs="宋体"/>
          <w:b/>
          <w:sz w:val="24"/>
          <w:highlight w:val="none"/>
          <w:lang w:val="en-US" w:eastAsia="zh-CN"/>
        </w:rPr>
      </w:pPr>
    </w:p>
    <w:p w14:paraId="221852FB">
      <w:pPr>
        <w:spacing w:before="0" w:line="240" w:lineRule="atLeast"/>
        <w:outlineLvl w:val="9"/>
        <w:rPr>
          <w:rFonts w:hint="eastAsia" w:ascii="宋体" w:hAnsi="宋体" w:eastAsia="宋体" w:cs="宋体"/>
          <w:b/>
          <w:sz w:val="24"/>
          <w:highlight w:val="none"/>
          <w:lang w:val="en-US" w:eastAsia="zh-CN"/>
        </w:rPr>
      </w:pPr>
    </w:p>
    <w:p w14:paraId="51F73FD1">
      <w:pPr>
        <w:spacing w:line="240" w:lineRule="atLeast"/>
        <w:ind w:left="1080" w:leftChars="257" w:hanging="540"/>
        <w:jc w:val="center"/>
        <w:outlineLvl w:val="9"/>
        <w:rPr>
          <w:rFonts w:hint="eastAsia"/>
          <w:b/>
          <w:bCs/>
          <w:sz w:val="28"/>
          <w:szCs w:val="36"/>
          <w:highlight w:val="none"/>
          <w:lang w:val="en-US"/>
        </w:rPr>
      </w:pPr>
      <w:r>
        <w:rPr>
          <w:rFonts w:hint="eastAsia"/>
          <w:b/>
          <w:bCs/>
          <w:sz w:val="28"/>
          <w:szCs w:val="36"/>
          <w:highlight w:val="none"/>
          <w:lang w:val="en-US"/>
        </w:rPr>
        <w:t>中小企业划分标准</w:t>
      </w:r>
    </w:p>
    <w:p w14:paraId="0608716B">
      <w:pPr>
        <w:outlineLvl w:val="9"/>
        <w:rPr>
          <w:rFonts w:hint="eastAsia" w:ascii="宋体" w:hAnsi="宋体" w:eastAsia="宋体" w:cs="宋体"/>
          <w:color w:val="auto"/>
          <w:kern w:val="2"/>
          <w:sz w:val="24"/>
          <w:szCs w:val="24"/>
          <w:highlight w:val="none"/>
          <w:lang w:val="en-US" w:eastAsia="zh-CN" w:bidi="ar-SA"/>
        </w:rPr>
      </w:pPr>
      <w:bookmarkStart w:id="216" w:name="bookmark4"/>
      <w:bookmarkStart w:id="217" w:name="bookmark5"/>
      <w:r>
        <w:rPr>
          <w:rFonts w:hint="eastAsia" w:ascii="宋体" w:hAnsi="宋体" w:eastAsia="宋体" w:cs="宋体"/>
          <w:color w:val="auto"/>
          <w:kern w:val="2"/>
          <w:sz w:val="24"/>
          <w:szCs w:val="24"/>
          <w:highlight w:val="none"/>
          <w:lang w:val="en-US" w:eastAsia="zh-CN" w:bidi="ar-SA"/>
        </w:rPr>
        <w:t>工业和信息化部、国家统计局、发展改革委、财政部等四部门《关于印发中 小企业划型标准规定的通知》（工信部联企业〔2011〕300号）规定中小企业划型标准如表所示：</w:t>
      </w:r>
      <w:bookmarkEnd w:id="216"/>
      <w:bookmarkEnd w:id="217"/>
    </w:p>
    <w:tbl>
      <w:tblPr>
        <w:tblStyle w:val="3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4"/>
        <w:gridCol w:w="774"/>
        <w:gridCol w:w="6666"/>
      </w:tblGrid>
      <w:tr w14:paraId="323B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B23AE">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农、林、牧、渔业</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E7AF3">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营业收入20000万元以下的为中小微型企业。</w:t>
            </w:r>
          </w:p>
        </w:tc>
      </w:tr>
      <w:tr w14:paraId="7BFE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D6251">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7822B">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AC267">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500万元-20000万元</w:t>
            </w:r>
          </w:p>
        </w:tc>
      </w:tr>
      <w:tr w14:paraId="667DD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17B80">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F4FFD">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BA3EF">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50万元-500万元</w:t>
            </w:r>
          </w:p>
        </w:tc>
      </w:tr>
      <w:tr w14:paraId="7A87A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A012B">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E1B79">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719C1">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50万元以下</w:t>
            </w:r>
          </w:p>
        </w:tc>
      </w:tr>
      <w:tr w14:paraId="665A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ED3AB">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工业（包括采矿业，制造 业，电力、热力、燃 气及水生产和供应业）</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4CEDF">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从业人员1000人以下或营业收入 40000万元以下的为中小微型企业。</w:t>
            </w:r>
          </w:p>
        </w:tc>
      </w:tr>
      <w:tr w14:paraId="232A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8B8489">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E427C">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E1602">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 300人—1000人，且营业收入 2000万元—40000万元</w:t>
            </w:r>
          </w:p>
        </w:tc>
      </w:tr>
      <w:tr w14:paraId="5C34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2B3E1">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31EE7">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FF8ED">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从业人员20人—300人，且营业收入 300万元—2 000万元</w:t>
            </w:r>
          </w:p>
        </w:tc>
      </w:tr>
      <w:tr w14:paraId="0A6E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5BFDA">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A81AD">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DA829">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从业人员20人以下或营业收入 300万元以下</w:t>
            </w:r>
          </w:p>
        </w:tc>
      </w:tr>
      <w:tr w14:paraId="6EBB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3E8B6">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建筑业</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1891E">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营业收入80000万元以下或资产总额 80000万元以下的为中小微型企业。</w:t>
            </w:r>
          </w:p>
        </w:tc>
      </w:tr>
      <w:tr w14:paraId="60B1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D9777">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C3AF0">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DB53E">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营业收入6000万元—80000万元，且资产总额 5000万元—80000 万元</w:t>
            </w:r>
          </w:p>
        </w:tc>
      </w:tr>
      <w:tr w14:paraId="6104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0A281">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A3182">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7CB4E">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营业收入 300万元—6000万元，且资产总额 300万—5000万元</w:t>
            </w:r>
          </w:p>
        </w:tc>
      </w:tr>
      <w:tr w14:paraId="09CE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39280">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B1E13">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2FAE5">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营业收入300万元以下或资产总额 300万元以下</w:t>
            </w:r>
          </w:p>
        </w:tc>
      </w:tr>
      <w:tr w14:paraId="0A083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64275">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批发业</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A6CEE">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从业人员200人以下或营业收入 40 000万元以下的为中小微型企业。</w:t>
            </w:r>
          </w:p>
        </w:tc>
      </w:tr>
      <w:tr w14:paraId="60B6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EDCF0">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89755">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52D48">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从业人员20人—200人，且营业收入 5000万元—40000万元</w:t>
            </w:r>
          </w:p>
        </w:tc>
      </w:tr>
      <w:tr w14:paraId="5BAE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15EA9">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EFB8A">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1F3E8">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从业人员5人—20人，且营业收入 1000万元—5000万元</w:t>
            </w:r>
          </w:p>
        </w:tc>
      </w:tr>
      <w:tr w14:paraId="0AB8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E685D">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F829D">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FBE61">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从业人员5人以下或营业收入 1 000万元以下</w:t>
            </w:r>
          </w:p>
        </w:tc>
      </w:tr>
      <w:tr w14:paraId="78550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BDC6C">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零售业</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4C5F4">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从业人员300人以下或营业收入 20 000万元以下的为中小微型企业。</w:t>
            </w:r>
          </w:p>
        </w:tc>
      </w:tr>
      <w:tr w14:paraId="7B20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33C6B">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B5045">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45EEA">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 50人—300人，且营业收入 500万元—20000万元</w:t>
            </w:r>
          </w:p>
        </w:tc>
      </w:tr>
      <w:tr w14:paraId="4660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A66CC">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8DB29">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0C0B9">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从业人员10人—50人，且营业收入 100万元—500万元</w:t>
            </w:r>
          </w:p>
        </w:tc>
      </w:tr>
      <w:tr w14:paraId="0530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E535E">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095C4">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D19E6">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从业人员10人以下或营业收入 100万元以下</w:t>
            </w:r>
          </w:p>
        </w:tc>
      </w:tr>
      <w:tr w14:paraId="7F4A6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17C71">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交通运输业 （不含铁路运输业）</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F507E">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从业人员1000人以下或营业收入 30000万元以下的为中小微型企业。</w:t>
            </w:r>
          </w:p>
        </w:tc>
      </w:tr>
      <w:tr w14:paraId="736C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07035">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AA1CF">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8216E">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 300人—1000人，且营业收入 3000万元—30000万元</w:t>
            </w:r>
          </w:p>
        </w:tc>
      </w:tr>
      <w:tr w14:paraId="3B0C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87C39">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187EB">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4590B">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从业人员20人—300人，且营业收入 200万元—3000万元</w:t>
            </w:r>
          </w:p>
        </w:tc>
      </w:tr>
      <w:tr w14:paraId="56A7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9B90E">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1F1E2">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1915D">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从业人员20人以下或营业收入 200万元以下</w:t>
            </w:r>
          </w:p>
        </w:tc>
      </w:tr>
      <w:tr w14:paraId="6486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1711B">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仓储业</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2C541">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从业人员200人以下或营业收入 30 000万元以下的为中小微型企业。</w:t>
            </w:r>
          </w:p>
        </w:tc>
      </w:tr>
      <w:tr w14:paraId="108E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759DB">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A7BB9">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58F27">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从业人员100人—200人，且营业收入 1000万元—30000万元</w:t>
            </w:r>
          </w:p>
        </w:tc>
      </w:tr>
      <w:tr w14:paraId="6822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ECDEB">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19FE1">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80DE9">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从业人员20人—100人，且营业收入 100万元—1000万元</w:t>
            </w:r>
          </w:p>
        </w:tc>
      </w:tr>
      <w:tr w14:paraId="0CAC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45EE1">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30303">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B9C39">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从业人员20人以下或营业收入 100万元以下</w:t>
            </w:r>
          </w:p>
        </w:tc>
      </w:tr>
      <w:tr w14:paraId="24CD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B5263">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邮政业</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49E80">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从业人员1000人以下或营业收入 30000万元以下的为中小微型企业。</w:t>
            </w:r>
          </w:p>
        </w:tc>
      </w:tr>
      <w:tr w14:paraId="4225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2A361">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C8570">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61F0A">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 300人—1000人，且营业收入 2000万元—30000万元</w:t>
            </w:r>
          </w:p>
        </w:tc>
      </w:tr>
      <w:tr w14:paraId="16EF7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9DA46">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435FB">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42E58">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从业人员20人—300人，且营业收入 100万元—2000万元</w:t>
            </w:r>
          </w:p>
        </w:tc>
      </w:tr>
      <w:tr w14:paraId="6A0F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13EB3">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60713">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EDC36">
            <w:pPr>
              <w:keepNext w:val="0"/>
              <w:keepLines w:val="0"/>
              <w:widowControl/>
              <w:suppressLineNumbers w:val="0"/>
              <w:spacing w:before="0" w:beforeAutospacing="0" w:after="0" w:afterAutospacing="0"/>
              <w:ind w:left="0" w:right="0"/>
              <w:jc w:val="both"/>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从业人员20人以下或营业收入 100万元以下</w:t>
            </w:r>
          </w:p>
        </w:tc>
      </w:tr>
      <w:tr w14:paraId="5E7A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84BF3">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住宿业</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811D2">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从业人员300人以下或营业收入 10000万元以下的为中小微型企业。</w:t>
            </w:r>
          </w:p>
        </w:tc>
      </w:tr>
      <w:tr w14:paraId="28F4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4B098">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55438">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71910">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从业人员100人一300人，且营业收入 2000万元一10000万元</w:t>
            </w:r>
          </w:p>
        </w:tc>
      </w:tr>
      <w:tr w14:paraId="4E61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0B06A">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CCBA2">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CE2F5">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从业人员10人一100人，且营业收入 100万元一2000万元</w:t>
            </w:r>
          </w:p>
        </w:tc>
      </w:tr>
      <w:tr w14:paraId="04DB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B6C64">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6F33C">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DCFB3">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从业人员10人以下或营业收入 100万元以下</w:t>
            </w:r>
          </w:p>
        </w:tc>
      </w:tr>
      <w:tr w14:paraId="36C7B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86372">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餐饮业</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ECC16">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从业人员300人以下或营业收入 10 000万元以下的为中小微型企业。</w:t>
            </w:r>
          </w:p>
        </w:tc>
      </w:tr>
      <w:tr w14:paraId="28F2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A6AAB">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A8D33">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38271">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从业人员100— 300人，且营业收入 2000万元一10000万元</w:t>
            </w:r>
          </w:p>
        </w:tc>
      </w:tr>
      <w:tr w14:paraId="774B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A5A86">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EADD6">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D4111">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从业人员10人一100人，且营业收入 100万元一2000万元</w:t>
            </w:r>
          </w:p>
        </w:tc>
      </w:tr>
      <w:tr w14:paraId="7FDF3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76BF4">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6DAED">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83E3E">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从业人员10人以下或营业收入 100万元以下</w:t>
            </w:r>
          </w:p>
        </w:tc>
      </w:tr>
      <w:tr w14:paraId="7C5D9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09CD0">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信息传输业 （包括电信、互联网 和相关服务）</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33CB0">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从业人员2 000人以下或营业收入 100 000万元以下的为中小微型企业。</w:t>
            </w:r>
          </w:p>
        </w:tc>
      </w:tr>
      <w:tr w14:paraId="45B7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53EB5">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367F9">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ED9E2">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从业人员100人一2000人，且营业收入 1000万元一10000万元</w:t>
            </w:r>
          </w:p>
        </w:tc>
      </w:tr>
      <w:tr w14:paraId="0E020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5A33B">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2AA2B">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EDA07">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从业人员10人一100人，且营业收入 100万元一1000万元</w:t>
            </w:r>
          </w:p>
        </w:tc>
      </w:tr>
      <w:tr w14:paraId="325F4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50C54">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28492">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86F81">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从业人员10人以下或营业收入 100万元以下</w:t>
            </w:r>
          </w:p>
        </w:tc>
      </w:tr>
      <w:tr w14:paraId="2419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8AD00">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软件和信息技术服务业</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15180">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从业人员300人以下或营业收入 10 000万元以下的为中小微型企业。</w:t>
            </w:r>
          </w:p>
        </w:tc>
      </w:tr>
      <w:tr w14:paraId="15E1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E5CD9">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813E6">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AF1D2">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从业人员100— 300人，且营业收入 1000万元一10000万元</w:t>
            </w:r>
          </w:p>
        </w:tc>
      </w:tr>
      <w:tr w14:paraId="0B18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4DBB9">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902D5">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EA9C9">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从业人员10人一100人，且营业收入 50万元一1000万元</w:t>
            </w:r>
          </w:p>
        </w:tc>
      </w:tr>
      <w:tr w14:paraId="782F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9F46AD">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485B4">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178F0">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从业人员10人以下或营业收入 50万元以下</w:t>
            </w:r>
          </w:p>
        </w:tc>
      </w:tr>
      <w:tr w14:paraId="45CC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F9315">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房地产开发经营</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19DA4">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营业收入200000万元以下或资产总额 10000万元以下的为中小微型企业。</w:t>
            </w:r>
          </w:p>
        </w:tc>
      </w:tr>
      <w:tr w14:paraId="51DA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2DB9A">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AA533">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C9410">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营业收入1000万元一200000万元，且资产总额 5000万元一10000万元</w:t>
            </w:r>
          </w:p>
        </w:tc>
      </w:tr>
      <w:tr w14:paraId="1AD5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4D15F">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58969">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B70B1">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营业收入100万元一1000万元，且资产总额 2000万元一5000 万元</w:t>
            </w:r>
          </w:p>
        </w:tc>
      </w:tr>
      <w:tr w14:paraId="2A41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DDB94">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6AC01">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77A6F">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营业收入100万元以下或资产总额</w:t>
            </w:r>
            <w:r>
              <w:rPr>
                <w:rStyle w:val="79"/>
                <w:rFonts w:hint="default" w:eastAsia="宋体"/>
                <w:highlight w:val="none"/>
                <w:lang w:val="en-US" w:eastAsia="zh-CN" w:bidi="ar"/>
              </w:rPr>
              <w:t xml:space="preserve"> </w:t>
            </w:r>
            <w:r>
              <w:rPr>
                <w:rStyle w:val="80"/>
                <w:highlight w:val="none"/>
                <w:lang w:val="en-US" w:eastAsia="zh-CN" w:bidi="ar"/>
              </w:rPr>
              <w:t>2000万元以下的为微型企业</w:t>
            </w:r>
          </w:p>
        </w:tc>
      </w:tr>
      <w:tr w14:paraId="1BE2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535BC">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物业管理</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46383">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从业人员1000人以下或营业收入 5000万元以下的为中小微型企业。</w:t>
            </w:r>
          </w:p>
        </w:tc>
      </w:tr>
      <w:tr w14:paraId="6733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95926">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C1680">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F43A2">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 300人一1000人，且营业收入 1000万元一5000万元</w:t>
            </w:r>
          </w:p>
        </w:tc>
      </w:tr>
      <w:tr w14:paraId="48AE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5FB86">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B0668">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AE98C">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从业人员100人一300人，且营业收入 500万元一1000万元</w:t>
            </w:r>
          </w:p>
        </w:tc>
      </w:tr>
      <w:tr w14:paraId="479B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A6EF8">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0A38D">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FEF72">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从业人员100人以下或营业收入 500万元以下</w:t>
            </w:r>
          </w:p>
        </w:tc>
      </w:tr>
      <w:tr w14:paraId="2BB76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0174D">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租赁和商务服务业</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C30EC">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Style w:val="79"/>
                <w:rFonts w:hint="default" w:eastAsia="宋体"/>
                <w:highlight w:val="none"/>
                <w:lang w:val="en-US" w:eastAsia="zh-CN" w:bidi="ar"/>
              </w:rPr>
              <w:t xml:space="preserve"> </w:t>
            </w:r>
            <w:r>
              <w:rPr>
                <w:rStyle w:val="80"/>
                <w:highlight w:val="none"/>
                <w:lang w:val="en-US" w:eastAsia="zh-CN" w:bidi="ar"/>
              </w:rPr>
              <w:t>10人以下或资产总额 100万元以下的为微型企业。</w:t>
            </w:r>
          </w:p>
        </w:tc>
      </w:tr>
      <w:tr w14:paraId="4198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56906">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0BA4A">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7B542">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从业人员100人一300人，且资产总额 8000万元一120000万元</w:t>
            </w:r>
          </w:p>
        </w:tc>
      </w:tr>
      <w:tr w14:paraId="37B49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9236F">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5523E">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FB4F5">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从业人员10人一100人，且资产总额 100万元一8000万元</w:t>
            </w:r>
          </w:p>
        </w:tc>
      </w:tr>
      <w:tr w14:paraId="2FCB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0CBFB">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4B1CF">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D0324">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从业人员10人以下或资产总额 100万元以下</w:t>
            </w:r>
          </w:p>
        </w:tc>
      </w:tr>
      <w:tr w14:paraId="29C4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58565">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其他未列明行业</w:t>
            </w:r>
          </w:p>
        </w:tc>
        <w:tc>
          <w:tcPr>
            <w:tcW w:w="400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BA12B">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从业人员300人以下的为中小微型企业。</w:t>
            </w:r>
          </w:p>
        </w:tc>
      </w:tr>
      <w:tr w14:paraId="40B7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1D110">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9CED8">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CF20A">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从业人员100— 300人</w:t>
            </w:r>
          </w:p>
        </w:tc>
      </w:tr>
      <w:tr w14:paraId="4D27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E7281">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67489">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57408">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从业人员10人一100人</w:t>
            </w:r>
          </w:p>
        </w:tc>
      </w:tr>
      <w:tr w14:paraId="3A03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3A3D7">
            <w:pPr>
              <w:keepNext w:val="0"/>
              <w:keepLines w:val="0"/>
              <w:suppressLineNumbers w:val="0"/>
              <w:spacing w:before="0" w:beforeAutospacing="0" w:after="0" w:afterAutospacing="0"/>
              <w:ind w:left="0" w:right="0"/>
              <w:jc w:val="center"/>
              <w:outlineLvl w:val="9"/>
              <w:rPr>
                <w:rFonts w:hint="eastAsia" w:ascii="宋体" w:hAnsi="宋体" w:eastAsia="宋体" w:cs="宋体"/>
                <w:i w:val="0"/>
                <w:iCs w:val="0"/>
                <w:color w:val="000000"/>
                <w:sz w:val="22"/>
                <w:szCs w:val="22"/>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BC106">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微型</w:t>
            </w:r>
          </w:p>
        </w:tc>
        <w:tc>
          <w:tcPr>
            <w:tcW w:w="35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C4212">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从业人员10人以下</w:t>
            </w:r>
          </w:p>
        </w:tc>
      </w:tr>
    </w:tbl>
    <w:p w14:paraId="3EE35151">
      <w:pPr>
        <w:spacing w:before="0" w:line="240" w:lineRule="atLeast"/>
        <w:outlineLvl w:val="9"/>
        <w:rPr>
          <w:rFonts w:hint="eastAsia" w:ascii="宋体" w:hAnsi="宋体" w:eastAsia="宋体" w:cs="宋体"/>
          <w:b/>
          <w:sz w:val="24"/>
          <w:highlight w:val="none"/>
          <w:lang w:val="en-US" w:eastAsia="zh-CN"/>
        </w:rPr>
      </w:pPr>
    </w:p>
    <w:p w14:paraId="23CB5959">
      <w:pPr>
        <w:spacing w:before="0" w:line="240" w:lineRule="atLeast"/>
        <w:outlineLvl w:val="9"/>
        <w:rPr>
          <w:rFonts w:hint="eastAsia" w:ascii="宋体" w:hAnsi="宋体" w:eastAsia="宋体" w:cs="宋体"/>
          <w:b/>
          <w:sz w:val="24"/>
          <w:highlight w:val="none"/>
          <w:lang w:val="en-US" w:eastAsia="zh-CN"/>
        </w:rPr>
      </w:pPr>
    </w:p>
    <w:p w14:paraId="3B80BC9B">
      <w:pPr>
        <w:spacing w:before="0" w:line="240" w:lineRule="atLeast"/>
        <w:outlineLvl w:val="9"/>
        <w:rPr>
          <w:rFonts w:hint="eastAsia" w:ascii="宋体" w:hAnsi="宋体" w:eastAsia="宋体" w:cs="宋体"/>
          <w:b/>
          <w:sz w:val="24"/>
          <w:highlight w:val="none"/>
          <w:lang w:val="en-US" w:eastAsia="zh-CN"/>
        </w:rPr>
      </w:pPr>
    </w:p>
    <w:p w14:paraId="193AB354">
      <w:pPr>
        <w:spacing w:before="0" w:line="240" w:lineRule="atLeast"/>
        <w:outlineLvl w:val="9"/>
        <w:rPr>
          <w:rFonts w:hint="eastAsia" w:ascii="宋体" w:hAnsi="宋体" w:eastAsia="宋体" w:cs="宋体"/>
          <w:b/>
          <w:sz w:val="24"/>
          <w:highlight w:val="none"/>
          <w:lang w:val="en-US" w:eastAsia="zh-CN"/>
        </w:rPr>
      </w:pPr>
    </w:p>
    <w:p w14:paraId="303DDE7A">
      <w:pPr>
        <w:spacing w:before="0" w:line="240" w:lineRule="atLeast"/>
        <w:outlineLvl w:val="9"/>
        <w:rPr>
          <w:rFonts w:ascii="微软雅黑" w:hAnsi="微软雅黑" w:eastAsia="微软雅黑" w:cs="微软雅黑"/>
          <w:sz w:val="24"/>
          <w:szCs w:val="24"/>
          <w:highlight w:val="none"/>
        </w:rPr>
      </w:pPr>
      <w:r>
        <w:rPr>
          <w:rFonts w:hint="eastAsia" w:ascii="宋体" w:hAnsi="宋体" w:eastAsia="宋体" w:cs="宋体"/>
          <w:b/>
          <w:sz w:val="24"/>
          <w:highlight w:val="none"/>
          <w:lang w:val="en-US" w:eastAsia="zh-CN"/>
        </w:rPr>
        <w:t>11</w:t>
      </w:r>
      <w:r>
        <w:rPr>
          <w:rFonts w:hint="eastAsia" w:ascii="宋体" w:hAnsi="宋体" w:eastAsia="宋体" w:cs="宋体"/>
          <w:b/>
          <w:sz w:val="24"/>
          <w:highlight w:val="none"/>
        </w:rPr>
        <w:t>-2、残疾人福利性单位声明函</w:t>
      </w:r>
    </w:p>
    <w:p w14:paraId="42EE03E9">
      <w:pPr>
        <w:spacing w:line="240" w:lineRule="atLeast"/>
        <w:ind w:left="1080" w:leftChars="257" w:hanging="540"/>
        <w:jc w:val="center"/>
        <w:outlineLvl w:val="9"/>
        <w:rPr>
          <w:rFonts w:ascii="微软雅黑" w:hAnsi="微软雅黑" w:eastAsia="微软雅黑" w:cs="微软雅黑"/>
          <w:kern w:val="0"/>
          <w:sz w:val="24"/>
          <w:highlight w:val="none"/>
        </w:rPr>
      </w:pPr>
    </w:p>
    <w:p w14:paraId="52BF76A6">
      <w:pPr>
        <w:spacing w:line="240" w:lineRule="atLeast"/>
        <w:ind w:firstLine="567"/>
        <w:outlineLvl w:val="9"/>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的服务。</w:t>
      </w:r>
    </w:p>
    <w:p w14:paraId="17D32D4B">
      <w:pPr>
        <w:spacing w:line="240" w:lineRule="atLeast"/>
        <w:ind w:left="1080" w:leftChars="257" w:hanging="540"/>
        <w:outlineLvl w:val="9"/>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本单位对上述声明的真实性负责。如有虚假，将依法承担相应责任。</w:t>
      </w:r>
    </w:p>
    <w:p w14:paraId="69EF0E54">
      <w:pPr>
        <w:spacing w:line="240" w:lineRule="atLeast"/>
        <w:ind w:left="1080" w:leftChars="257" w:hanging="540"/>
        <w:jc w:val="center"/>
        <w:outlineLvl w:val="9"/>
        <w:rPr>
          <w:rFonts w:ascii="微软雅黑" w:hAnsi="微软雅黑" w:eastAsia="微软雅黑" w:cs="微软雅黑"/>
          <w:kern w:val="0"/>
          <w:sz w:val="24"/>
          <w:highlight w:val="none"/>
        </w:rPr>
      </w:pPr>
    </w:p>
    <w:p w14:paraId="0C9DE18F">
      <w:pPr>
        <w:spacing w:line="240" w:lineRule="atLeast"/>
        <w:ind w:left="1080" w:leftChars="257" w:hanging="540"/>
        <w:jc w:val="center"/>
        <w:outlineLvl w:val="9"/>
        <w:rPr>
          <w:rFonts w:ascii="微软雅黑" w:hAnsi="微软雅黑" w:eastAsia="微软雅黑" w:cs="微软雅黑"/>
          <w:kern w:val="0"/>
          <w:sz w:val="24"/>
          <w:highlight w:val="none"/>
        </w:rPr>
      </w:pPr>
    </w:p>
    <w:p w14:paraId="760B93C8">
      <w:pPr>
        <w:spacing w:line="240" w:lineRule="atLeast"/>
        <w:ind w:left="1080" w:leftChars="257" w:hanging="540"/>
        <w:jc w:val="center"/>
        <w:outlineLvl w:val="9"/>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xml:space="preserve">              残疾人福利性单位名称（公章）：______________</w:t>
      </w:r>
    </w:p>
    <w:p w14:paraId="39C354D8">
      <w:pPr>
        <w:spacing w:line="240" w:lineRule="atLeast"/>
        <w:ind w:left="1080" w:leftChars="257" w:hanging="540"/>
        <w:jc w:val="center"/>
        <w:outlineLvl w:val="9"/>
        <w:rPr>
          <w:rFonts w:ascii="微软雅黑" w:hAnsi="微软雅黑" w:eastAsia="微软雅黑" w:cs="微软雅黑"/>
          <w:b/>
          <w:kern w:val="0"/>
          <w:sz w:val="24"/>
          <w:highlight w:val="none"/>
        </w:rPr>
      </w:pPr>
      <w:r>
        <w:rPr>
          <w:rFonts w:hint="eastAsia" w:ascii="微软雅黑" w:hAnsi="微软雅黑" w:eastAsia="微软雅黑" w:cs="微软雅黑"/>
          <w:kern w:val="0"/>
          <w:sz w:val="24"/>
          <w:highlight w:val="none"/>
        </w:rPr>
        <w:t xml:space="preserve">                 日  期：_____________________________________</w:t>
      </w:r>
    </w:p>
    <w:p w14:paraId="444FA1BB">
      <w:pPr>
        <w:spacing w:line="240" w:lineRule="atLeast"/>
        <w:ind w:left="1080" w:leftChars="257" w:hanging="540"/>
        <w:jc w:val="center"/>
        <w:outlineLvl w:val="9"/>
        <w:rPr>
          <w:rFonts w:ascii="微软雅黑" w:hAnsi="微软雅黑" w:eastAsia="微软雅黑" w:cs="微软雅黑"/>
          <w:b/>
          <w:kern w:val="0"/>
          <w:sz w:val="24"/>
          <w:highlight w:val="none"/>
        </w:rPr>
      </w:pPr>
    </w:p>
    <w:p w14:paraId="0ADA6226">
      <w:pPr>
        <w:numPr>
          <w:ilvl w:val="0"/>
          <w:numId w:val="0"/>
        </w:numPr>
        <w:outlineLvl w:val="9"/>
        <w:rPr>
          <w:rFonts w:hint="default" w:ascii="宋体" w:hAnsi="宋体" w:eastAsia="宋体" w:cs="宋体"/>
          <w:sz w:val="24"/>
          <w:highlight w:val="none"/>
          <w:lang w:val="en-US" w:eastAsia="zh-CN"/>
        </w:rPr>
      </w:pPr>
    </w:p>
    <w:p w14:paraId="0BDDA57F">
      <w:pPr>
        <w:pStyle w:val="10"/>
        <w:spacing w:before="85" w:line="262" w:lineRule="auto"/>
        <w:ind w:right="147" w:firstLine="556" w:firstLineChars="200"/>
        <w:outlineLvl w:val="9"/>
        <w:rPr>
          <w:rFonts w:hint="eastAsia" w:ascii="宋体" w:hAnsi="宋体" w:eastAsia="宋体" w:cs="宋体"/>
          <w:spacing w:val="9"/>
          <w:sz w:val="26"/>
          <w:szCs w:val="26"/>
          <w:highlight w:val="none"/>
        </w:rPr>
      </w:pPr>
      <w:r>
        <w:rPr>
          <w:rFonts w:hint="eastAsia" w:ascii="宋体" w:hAnsi="宋体" w:eastAsia="宋体" w:cs="宋体"/>
          <w:spacing w:val="9"/>
          <w:sz w:val="26"/>
          <w:szCs w:val="26"/>
          <w:highlight w:val="none"/>
        </w:rPr>
        <w:t>注：</w:t>
      </w:r>
    </w:p>
    <w:p w14:paraId="0F9CD861">
      <w:pPr>
        <w:pStyle w:val="10"/>
        <w:numPr>
          <w:ilvl w:val="0"/>
          <w:numId w:val="0"/>
        </w:numPr>
        <w:spacing w:before="85" w:line="262" w:lineRule="auto"/>
        <w:ind w:right="147" w:rightChars="0" w:firstLine="556" w:firstLineChars="200"/>
        <w:outlineLvl w:val="9"/>
        <w:rPr>
          <w:rFonts w:hint="eastAsia" w:ascii="宋体" w:hAnsi="宋体" w:eastAsia="宋体" w:cs="宋体"/>
          <w:spacing w:val="9"/>
          <w:sz w:val="26"/>
          <w:szCs w:val="26"/>
          <w:highlight w:val="none"/>
        </w:rPr>
      </w:pPr>
      <w:r>
        <w:rPr>
          <w:rFonts w:hint="eastAsia" w:cs="宋体"/>
          <w:spacing w:val="9"/>
          <w:sz w:val="26"/>
          <w:szCs w:val="26"/>
          <w:highlight w:val="none"/>
          <w:lang w:val="en-US" w:eastAsia="zh-CN"/>
        </w:rPr>
        <w:t>1.</w:t>
      </w:r>
      <w:r>
        <w:rPr>
          <w:rFonts w:hint="eastAsia" w:ascii="宋体" w:hAnsi="宋体" w:eastAsia="宋体" w:cs="宋体"/>
          <w:spacing w:val="9"/>
          <w:sz w:val="26"/>
          <w:szCs w:val="26"/>
          <w:highlight w:val="none"/>
        </w:rPr>
        <w:t>残疾人福利性单位视同小型、微型企业，享受预留份额、评审中价格扣除等促进中小企业发展的政府采购政策。残疾人福利性单位属于小型、微型企业的，不重复享受政策。</w:t>
      </w:r>
    </w:p>
    <w:p w14:paraId="743EB237">
      <w:pPr>
        <w:pStyle w:val="10"/>
        <w:numPr>
          <w:ilvl w:val="0"/>
          <w:numId w:val="0"/>
        </w:numPr>
        <w:spacing w:before="85" w:line="262" w:lineRule="auto"/>
        <w:ind w:right="147" w:rightChars="0" w:firstLine="556" w:firstLineChars="200"/>
        <w:outlineLvl w:val="9"/>
        <w:rPr>
          <w:rFonts w:hint="eastAsia" w:ascii="宋体" w:hAnsi="宋体" w:eastAsia="宋体" w:cs="宋体"/>
          <w:sz w:val="24"/>
          <w:highlight w:val="none"/>
        </w:rPr>
      </w:pPr>
      <w:r>
        <w:rPr>
          <w:rFonts w:hint="eastAsia" w:ascii="宋体" w:hAnsi="宋体" w:eastAsia="宋体" w:cs="宋体"/>
          <w:spacing w:val="9"/>
          <w:sz w:val="26"/>
          <w:szCs w:val="26"/>
          <w:highlight w:val="none"/>
        </w:rPr>
        <w:t>2.供应商为非残疾人福利性单位的，不得提供此声明，提供此声明的，声明无效。</w:t>
      </w:r>
    </w:p>
    <w:p w14:paraId="0D7FFE92">
      <w:pPr>
        <w:pStyle w:val="57"/>
        <w:outlineLvl w:val="9"/>
        <w:rPr>
          <w:rFonts w:hint="eastAsia" w:ascii="宋体" w:hAnsi="宋体" w:eastAsia="宋体" w:cs="宋体"/>
          <w:sz w:val="24"/>
          <w:highlight w:val="none"/>
        </w:rPr>
      </w:pPr>
    </w:p>
    <w:p w14:paraId="0C31AFED">
      <w:pPr>
        <w:outlineLvl w:val="9"/>
        <w:rPr>
          <w:rFonts w:hint="eastAsia" w:ascii="宋体" w:hAnsi="宋体" w:eastAsia="宋体" w:cs="宋体"/>
          <w:sz w:val="24"/>
          <w:highlight w:val="none"/>
        </w:rPr>
      </w:pPr>
    </w:p>
    <w:p w14:paraId="6A2E3DC6">
      <w:pPr>
        <w:spacing w:before="0" w:line="240" w:lineRule="atLeast"/>
        <w:ind w:left="1080" w:leftChars="257" w:hanging="540"/>
        <w:outlineLvl w:val="1"/>
        <w:rPr>
          <w:rFonts w:hint="eastAsia" w:ascii="宋体" w:hAnsi="宋体" w:eastAsia="宋体" w:cs="宋体"/>
          <w:sz w:val="24"/>
          <w:highlight w:val="none"/>
        </w:rPr>
      </w:pPr>
      <w:bookmarkStart w:id="218" w:name="_Toc518923115"/>
      <w:r>
        <w:rPr>
          <w:rFonts w:hint="eastAsia" w:ascii="宋体" w:hAnsi="宋体" w:eastAsia="宋体" w:cs="宋体"/>
          <w:sz w:val="24"/>
          <w:highlight w:val="none"/>
        </w:rPr>
        <w:br w:type="page"/>
      </w:r>
      <w:bookmarkStart w:id="219" w:name="_Toc18382"/>
      <w:bookmarkStart w:id="220" w:name="_Toc27071"/>
      <w:r>
        <w:rPr>
          <w:rFonts w:hint="eastAsia" w:ascii="宋体" w:hAnsi="宋体" w:eastAsia="宋体" w:cs="宋体"/>
          <w:sz w:val="24"/>
          <w:highlight w:val="none"/>
        </w:rPr>
        <w:t>第二部分  商务及技术文件</w:t>
      </w:r>
      <w:bookmarkEnd w:id="218"/>
      <w:bookmarkEnd w:id="219"/>
      <w:bookmarkEnd w:id="220"/>
    </w:p>
    <w:p w14:paraId="424D82A3">
      <w:pPr>
        <w:pStyle w:val="17"/>
        <w:ind w:left="1080" w:leftChars="257" w:hanging="540"/>
        <w:outlineLvl w:val="9"/>
        <w:rPr>
          <w:rFonts w:hint="eastAsia" w:ascii="宋体" w:hAnsi="宋体" w:eastAsia="宋体" w:cs="宋体"/>
          <w:sz w:val="24"/>
          <w:highlight w:val="none"/>
        </w:rPr>
      </w:pPr>
    </w:p>
    <w:p w14:paraId="607BA84B">
      <w:pPr>
        <w:pStyle w:val="17"/>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1、投标书</w:t>
      </w:r>
      <w:r>
        <w:rPr>
          <w:rFonts w:hint="eastAsia" w:ascii="宋体" w:hAnsi="宋体" w:eastAsia="宋体" w:cs="宋体"/>
          <w:sz w:val="24"/>
          <w:highlight w:val="none"/>
          <w:lang w:eastAsia="zh-CN"/>
        </w:rPr>
        <w:t>（</w:t>
      </w:r>
      <w:r>
        <w:rPr>
          <w:rFonts w:hint="eastAsia" w:ascii="宋体" w:hAnsi="宋体" w:eastAsia="宋体" w:cs="宋体"/>
          <w:sz w:val="24"/>
          <w:highlight w:val="none"/>
        </w:rPr>
        <w:t>响应文件格式</w:t>
      </w:r>
      <w:r>
        <w:rPr>
          <w:rFonts w:hint="eastAsia" w:ascii="宋体" w:hAnsi="宋体" w:eastAsia="宋体" w:cs="宋体"/>
          <w:sz w:val="24"/>
          <w:highlight w:val="none"/>
          <w:lang w:val="en-US" w:eastAsia="zh-CN"/>
        </w:rPr>
        <w:t>四</w:t>
      </w:r>
      <w:r>
        <w:rPr>
          <w:rFonts w:hint="eastAsia" w:ascii="宋体" w:hAnsi="宋体" w:eastAsia="宋体" w:cs="宋体"/>
          <w:sz w:val="24"/>
          <w:highlight w:val="none"/>
          <w:lang w:eastAsia="zh-CN"/>
        </w:rPr>
        <w:t>）</w:t>
      </w:r>
    </w:p>
    <w:p w14:paraId="57144DCA">
      <w:pPr>
        <w:pStyle w:val="17"/>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2、投标分项报价表</w:t>
      </w:r>
      <w:r>
        <w:rPr>
          <w:rFonts w:hint="eastAsia" w:ascii="宋体" w:hAnsi="宋体" w:eastAsia="宋体" w:cs="宋体"/>
          <w:sz w:val="24"/>
          <w:highlight w:val="none"/>
          <w:lang w:eastAsia="zh-CN"/>
        </w:rPr>
        <w:t>（</w:t>
      </w:r>
      <w:r>
        <w:rPr>
          <w:rFonts w:hint="eastAsia" w:ascii="宋体" w:hAnsi="宋体" w:eastAsia="宋体" w:cs="宋体"/>
          <w:sz w:val="24"/>
          <w:highlight w:val="none"/>
        </w:rPr>
        <w:t>响应文件格式</w:t>
      </w:r>
      <w:r>
        <w:rPr>
          <w:rFonts w:hint="eastAsia" w:ascii="宋体" w:hAnsi="宋体" w:eastAsia="宋体" w:cs="宋体"/>
          <w:sz w:val="24"/>
          <w:highlight w:val="none"/>
          <w:lang w:val="en-US" w:eastAsia="zh-CN"/>
        </w:rPr>
        <w:t>五</w:t>
      </w:r>
      <w:r>
        <w:rPr>
          <w:rFonts w:hint="eastAsia" w:ascii="宋体" w:hAnsi="宋体" w:eastAsia="宋体" w:cs="宋体"/>
          <w:sz w:val="24"/>
          <w:highlight w:val="none"/>
          <w:lang w:eastAsia="zh-CN"/>
        </w:rPr>
        <w:t>）</w:t>
      </w:r>
    </w:p>
    <w:p w14:paraId="7C8D48CF">
      <w:pPr>
        <w:pStyle w:val="17"/>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outlineLvl w:val="9"/>
        <w:rPr>
          <w:rFonts w:hint="default"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3、</w:t>
      </w:r>
      <w:r>
        <w:rPr>
          <w:rFonts w:hint="eastAsia" w:hAnsi="宋体" w:eastAsia="宋体" w:cs="宋体"/>
          <w:b w:val="0"/>
          <w:bCs w:val="0"/>
          <w:color w:val="auto"/>
          <w:kern w:val="0"/>
          <w:sz w:val="24"/>
          <w:szCs w:val="24"/>
          <w:highlight w:val="none"/>
          <w:u w:val="none"/>
          <w:lang w:val="en-US" w:eastAsia="zh-CN" w:bidi="ar-SA"/>
        </w:rPr>
        <w:t>技术规格偏离表</w:t>
      </w:r>
      <w:r>
        <w:rPr>
          <w:rFonts w:hint="eastAsia" w:ascii="宋体" w:hAnsi="宋体" w:eastAsia="宋体" w:cs="宋体"/>
          <w:sz w:val="24"/>
          <w:highlight w:val="none"/>
          <w:lang w:eastAsia="zh-CN"/>
        </w:rPr>
        <w:t>（</w:t>
      </w:r>
      <w:r>
        <w:rPr>
          <w:rFonts w:hint="eastAsia" w:ascii="宋体" w:hAnsi="宋体" w:eastAsia="宋体" w:cs="宋体"/>
          <w:sz w:val="24"/>
          <w:highlight w:val="none"/>
        </w:rPr>
        <w:t>响应文件格式</w:t>
      </w:r>
      <w:r>
        <w:rPr>
          <w:rFonts w:hint="eastAsia" w:ascii="宋体" w:hAnsi="宋体" w:eastAsia="宋体" w:cs="宋体"/>
          <w:sz w:val="24"/>
          <w:highlight w:val="none"/>
          <w:lang w:val="en-US" w:eastAsia="zh-CN"/>
        </w:rPr>
        <w:t>六</w:t>
      </w:r>
      <w:r>
        <w:rPr>
          <w:rFonts w:hint="eastAsia" w:ascii="宋体" w:hAnsi="宋体" w:eastAsia="宋体" w:cs="宋体"/>
          <w:sz w:val="24"/>
          <w:highlight w:val="none"/>
          <w:lang w:eastAsia="zh-CN"/>
        </w:rPr>
        <w:t>）</w:t>
      </w:r>
    </w:p>
    <w:p w14:paraId="4AFF38E5">
      <w:pPr>
        <w:pStyle w:val="17"/>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4、商务条款偏离表</w:t>
      </w:r>
      <w:r>
        <w:rPr>
          <w:rFonts w:hint="eastAsia" w:ascii="宋体" w:hAnsi="宋体" w:eastAsia="宋体" w:cs="宋体"/>
          <w:sz w:val="24"/>
          <w:highlight w:val="none"/>
          <w:lang w:eastAsia="zh-CN"/>
        </w:rPr>
        <w:t>（</w:t>
      </w:r>
      <w:r>
        <w:rPr>
          <w:rFonts w:hint="eastAsia" w:ascii="宋体" w:hAnsi="宋体" w:eastAsia="宋体" w:cs="宋体"/>
          <w:sz w:val="24"/>
          <w:highlight w:val="none"/>
        </w:rPr>
        <w:t>响应文件格式</w:t>
      </w:r>
      <w:r>
        <w:rPr>
          <w:rFonts w:hint="eastAsia" w:ascii="宋体" w:hAnsi="宋体" w:eastAsia="宋体" w:cs="宋体"/>
          <w:sz w:val="24"/>
          <w:highlight w:val="none"/>
          <w:lang w:val="en-US" w:eastAsia="zh-CN"/>
        </w:rPr>
        <w:t>七</w:t>
      </w:r>
      <w:r>
        <w:rPr>
          <w:rFonts w:hint="eastAsia" w:ascii="宋体" w:hAnsi="宋体" w:eastAsia="宋体" w:cs="宋体"/>
          <w:sz w:val="24"/>
          <w:highlight w:val="none"/>
          <w:lang w:eastAsia="zh-CN"/>
        </w:rPr>
        <w:t>）</w:t>
      </w:r>
    </w:p>
    <w:p w14:paraId="6C627124">
      <w:pPr>
        <w:pStyle w:val="17"/>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hAnsi="宋体" w:eastAsia="宋体" w:cs="宋体"/>
          <w:b w:val="0"/>
          <w:bCs w:val="0"/>
          <w:color w:val="auto"/>
          <w:kern w:val="0"/>
          <w:sz w:val="24"/>
          <w:szCs w:val="24"/>
          <w:highlight w:val="none"/>
          <w:u w:val="none"/>
          <w:lang w:val="en-US" w:eastAsia="zh-CN" w:bidi="ar-SA"/>
        </w:rPr>
        <w:t>5</w:t>
      </w:r>
      <w:r>
        <w:rPr>
          <w:rFonts w:hint="eastAsia" w:ascii="宋体" w:hAnsi="宋体" w:eastAsia="宋体" w:cs="宋体"/>
          <w:b w:val="0"/>
          <w:bCs w:val="0"/>
          <w:color w:val="auto"/>
          <w:kern w:val="0"/>
          <w:sz w:val="24"/>
          <w:szCs w:val="24"/>
          <w:highlight w:val="none"/>
          <w:u w:val="none"/>
          <w:lang w:val="en-US" w:eastAsia="zh-CN" w:bidi="ar-SA"/>
        </w:rPr>
        <w:t>、投标人关联单位的说明（格式自拟）</w:t>
      </w:r>
    </w:p>
    <w:p w14:paraId="61E77E0E">
      <w:pPr>
        <w:pStyle w:val="17"/>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hAnsi="宋体" w:eastAsia="宋体" w:cs="宋体"/>
          <w:b w:val="0"/>
          <w:bCs w:val="0"/>
          <w:color w:val="auto"/>
          <w:kern w:val="0"/>
          <w:sz w:val="24"/>
          <w:szCs w:val="24"/>
          <w:highlight w:val="none"/>
          <w:u w:val="none"/>
          <w:lang w:val="en-US" w:eastAsia="zh-CN" w:bidi="ar-SA"/>
        </w:rPr>
        <w:t>6</w:t>
      </w:r>
      <w:r>
        <w:rPr>
          <w:rFonts w:hint="eastAsia" w:ascii="宋体" w:hAnsi="宋体" w:eastAsia="宋体" w:cs="宋体"/>
          <w:b w:val="0"/>
          <w:bCs w:val="0"/>
          <w:color w:val="auto"/>
          <w:kern w:val="0"/>
          <w:sz w:val="24"/>
          <w:szCs w:val="24"/>
          <w:highlight w:val="none"/>
          <w:u w:val="none"/>
          <w:lang w:val="en-US" w:eastAsia="zh-CN" w:bidi="ar-SA"/>
        </w:rPr>
        <w:t>、响应文件还应包括供应商须知的所有技术文件</w:t>
      </w:r>
    </w:p>
    <w:p w14:paraId="353327FB">
      <w:pPr>
        <w:pStyle w:val="17"/>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hAnsi="宋体" w:eastAsia="宋体" w:cs="宋体"/>
          <w:b w:val="0"/>
          <w:bCs w:val="0"/>
          <w:color w:val="auto"/>
          <w:kern w:val="0"/>
          <w:sz w:val="24"/>
          <w:szCs w:val="24"/>
          <w:highlight w:val="none"/>
          <w:u w:val="none"/>
          <w:lang w:val="en-US" w:eastAsia="zh-CN" w:bidi="ar-SA"/>
        </w:rPr>
        <w:t>7</w:t>
      </w:r>
      <w:r>
        <w:rPr>
          <w:rFonts w:hint="eastAsia" w:ascii="宋体" w:hAnsi="宋体" w:eastAsia="宋体" w:cs="宋体"/>
          <w:b w:val="0"/>
          <w:bCs w:val="0"/>
          <w:color w:val="auto"/>
          <w:kern w:val="0"/>
          <w:sz w:val="24"/>
          <w:szCs w:val="24"/>
          <w:highlight w:val="none"/>
          <w:u w:val="none"/>
          <w:lang w:val="en-US" w:eastAsia="zh-CN" w:bidi="ar-SA"/>
        </w:rPr>
        <w:t>、其他有利于磋商的技术条件</w:t>
      </w:r>
    </w:p>
    <w:p w14:paraId="37F17B96">
      <w:pPr>
        <w:pStyle w:val="17"/>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outlineLvl w:val="9"/>
        <w:rPr>
          <w:rFonts w:hint="eastAsia" w:ascii="宋体" w:hAnsi="宋体" w:eastAsia="宋体" w:cs="宋体"/>
          <w:sz w:val="24"/>
          <w:highlight w:val="none"/>
        </w:rPr>
      </w:pPr>
    </w:p>
    <w:p w14:paraId="4F3393CB">
      <w:pPr>
        <w:pStyle w:val="17"/>
        <w:ind w:left="1080" w:leftChars="257" w:hanging="540"/>
        <w:outlineLvl w:val="9"/>
        <w:rPr>
          <w:rFonts w:hint="eastAsia" w:ascii="宋体" w:hAnsi="宋体" w:eastAsia="宋体" w:cs="宋体"/>
          <w:sz w:val="24"/>
          <w:highlight w:val="none"/>
        </w:rPr>
      </w:pPr>
    </w:p>
    <w:p w14:paraId="04750352">
      <w:pPr>
        <w:pStyle w:val="17"/>
        <w:ind w:left="1080" w:leftChars="257" w:hanging="540"/>
        <w:outlineLvl w:val="9"/>
        <w:rPr>
          <w:rFonts w:hint="eastAsia" w:ascii="宋体" w:hAnsi="宋体" w:eastAsia="宋体" w:cs="宋体"/>
          <w:sz w:val="24"/>
          <w:highlight w:val="none"/>
        </w:rPr>
      </w:pPr>
    </w:p>
    <w:p w14:paraId="32D13924">
      <w:pPr>
        <w:pStyle w:val="30"/>
        <w:outlineLvl w:val="9"/>
        <w:rPr>
          <w:rFonts w:hint="eastAsia" w:ascii="宋体" w:hAnsi="宋体" w:eastAsia="宋体" w:cs="宋体"/>
          <w:sz w:val="24"/>
          <w:highlight w:val="none"/>
        </w:rPr>
      </w:pPr>
    </w:p>
    <w:p w14:paraId="531D5B56">
      <w:pPr>
        <w:outlineLvl w:val="9"/>
        <w:rPr>
          <w:rFonts w:hint="eastAsia" w:ascii="宋体" w:hAnsi="宋体" w:eastAsia="宋体" w:cs="宋体"/>
          <w:sz w:val="24"/>
          <w:highlight w:val="none"/>
        </w:rPr>
      </w:pPr>
    </w:p>
    <w:p w14:paraId="27598B02">
      <w:pPr>
        <w:pStyle w:val="20"/>
        <w:outlineLvl w:val="9"/>
        <w:rPr>
          <w:rFonts w:hint="eastAsia" w:ascii="宋体" w:hAnsi="宋体" w:eastAsia="宋体" w:cs="宋体"/>
          <w:sz w:val="24"/>
          <w:highlight w:val="none"/>
        </w:rPr>
      </w:pPr>
    </w:p>
    <w:p w14:paraId="286C1132">
      <w:pPr>
        <w:pStyle w:val="20"/>
        <w:outlineLvl w:val="9"/>
        <w:rPr>
          <w:rFonts w:hint="eastAsia" w:ascii="宋体" w:hAnsi="宋体" w:eastAsia="宋体" w:cs="宋体"/>
          <w:sz w:val="24"/>
          <w:highlight w:val="none"/>
        </w:rPr>
      </w:pPr>
    </w:p>
    <w:p w14:paraId="10659145">
      <w:pPr>
        <w:pStyle w:val="20"/>
        <w:outlineLvl w:val="9"/>
        <w:rPr>
          <w:rFonts w:hint="eastAsia" w:ascii="宋体" w:hAnsi="宋体" w:eastAsia="宋体" w:cs="宋体"/>
          <w:sz w:val="24"/>
          <w:highlight w:val="none"/>
        </w:rPr>
      </w:pPr>
    </w:p>
    <w:p w14:paraId="104803D4">
      <w:pPr>
        <w:pStyle w:val="20"/>
        <w:outlineLvl w:val="9"/>
        <w:rPr>
          <w:rFonts w:hint="eastAsia" w:ascii="宋体" w:hAnsi="宋体" w:eastAsia="宋体" w:cs="宋体"/>
          <w:sz w:val="24"/>
          <w:highlight w:val="none"/>
        </w:rPr>
      </w:pPr>
    </w:p>
    <w:p w14:paraId="74774C95">
      <w:pPr>
        <w:pStyle w:val="20"/>
        <w:outlineLvl w:val="9"/>
        <w:rPr>
          <w:rFonts w:hint="eastAsia" w:ascii="宋体" w:hAnsi="宋体" w:eastAsia="宋体" w:cs="宋体"/>
          <w:sz w:val="24"/>
          <w:highlight w:val="none"/>
        </w:rPr>
      </w:pPr>
    </w:p>
    <w:p w14:paraId="1B2B93F3">
      <w:pPr>
        <w:pStyle w:val="20"/>
        <w:outlineLvl w:val="9"/>
        <w:rPr>
          <w:rFonts w:hint="eastAsia" w:ascii="宋体" w:hAnsi="宋体" w:eastAsia="宋体" w:cs="宋体"/>
          <w:sz w:val="24"/>
          <w:highlight w:val="none"/>
        </w:rPr>
      </w:pPr>
    </w:p>
    <w:p w14:paraId="20E5929B">
      <w:pPr>
        <w:pStyle w:val="20"/>
        <w:outlineLvl w:val="9"/>
        <w:rPr>
          <w:rFonts w:hint="eastAsia" w:ascii="宋体" w:hAnsi="宋体" w:eastAsia="宋体" w:cs="宋体"/>
          <w:sz w:val="24"/>
          <w:highlight w:val="none"/>
        </w:rPr>
      </w:pPr>
    </w:p>
    <w:p w14:paraId="1FBDE88D">
      <w:pPr>
        <w:pStyle w:val="20"/>
        <w:outlineLvl w:val="9"/>
        <w:rPr>
          <w:rFonts w:hint="eastAsia" w:ascii="宋体" w:hAnsi="宋体" w:eastAsia="宋体" w:cs="宋体"/>
          <w:sz w:val="24"/>
          <w:highlight w:val="none"/>
        </w:rPr>
      </w:pPr>
    </w:p>
    <w:p w14:paraId="56693706">
      <w:pPr>
        <w:pStyle w:val="20"/>
        <w:outlineLvl w:val="9"/>
        <w:rPr>
          <w:rFonts w:hint="eastAsia" w:ascii="宋体" w:hAnsi="宋体" w:eastAsia="宋体" w:cs="宋体"/>
          <w:sz w:val="24"/>
          <w:highlight w:val="none"/>
        </w:rPr>
      </w:pPr>
    </w:p>
    <w:p w14:paraId="77A678CF">
      <w:pPr>
        <w:pStyle w:val="20"/>
        <w:outlineLvl w:val="9"/>
        <w:rPr>
          <w:rFonts w:hint="eastAsia" w:ascii="宋体" w:hAnsi="宋体" w:eastAsia="宋体" w:cs="宋体"/>
          <w:sz w:val="24"/>
          <w:highlight w:val="none"/>
        </w:rPr>
      </w:pPr>
    </w:p>
    <w:p w14:paraId="51622FA4">
      <w:pPr>
        <w:pStyle w:val="20"/>
        <w:outlineLvl w:val="9"/>
        <w:rPr>
          <w:rFonts w:hint="eastAsia" w:ascii="宋体" w:hAnsi="宋体" w:eastAsia="宋体" w:cs="宋体"/>
          <w:sz w:val="24"/>
          <w:highlight w:val="none"/>
        </w:rPr>
      </w:pPr>
    </w:p>
    <w:p w14:paraId="3FB64FED">
      <w:pPr>
        <w:pStyle w:val="20"/>
        <w:outlineLvl w:val="9"/>
        <w:rPr>
          <w:rFonts w:hint="eastAsia" w:ascii="宋体" w:hAnsi="宋体" w:eastAsia="宋体" w:cs="宋体"/>
          <w:sz w:val="24"/>
          <w:highlight w:val="none"/>
        </w:rPr>
      </w:pPr>
    </w:p>
    <w:p w14:paraId="1014D5AA">
      <w:pPr>
        <w:pStyle w:val="20"/>
        <w:outlineLvl w:val="9"/>
        <w:rPr>
          <w:rFonts w:hint="eastAsia" w:ascii="宋体" w:hAnsi="宋体" w:eastAsia="宋体" w:cs="宋体"/>
          <w:sz w:val="24"/>
          <w:highlight w:val="none"/>
        </w:rPr>
      </w:pPr>
    </w:p>
    <w:p w14:paraId="5D214C21">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38581B13">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309D398C">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410D39EE">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6E908F7C">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75E18E2B">
      <w:pPr>
        <w:pStyle w:val="26"/>
        <w:outlineLvl w:val="9"/>
        <w:rPr>
          <w:rFonts w:hint="eastAsia"/>
          <w:highlight w:val="none"/>
        </w:rPr>
      </w:pPr>
    </w:p>
    <w:p w14:paraId="7EE098F4">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35B04EAD">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0F04915E">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55CD6C74">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74590857">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313D03B1">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1AEAFABD">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325654AB">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049BE618">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4B08F48F">
      <w:pPr>
        <w:pStyle w:val="17"/>
        <w:tabs>
          <w:tab w:val="left" w:pos="5580"/>
        </w:tabs>
        <w:spacing w:line="240" w:lineRule="atLeast"/>
        <w:outlineLvl w:val="9"/>
        <w:rPr>
          <w:rFonts w:hint="eastAsia" w:ascii="仿宋_GB2312" w:hAnsi="宋体" w:eastAsia="仿宋_GB2312"/>
          <w:sz w:val="24"/>
          <w:highlight w:val="none"/>
          <w:lang w:val="en-US" w:eastAsia="zh-CN"/>
        </w:rPr>
      </w:pPr>
    </w:p>
    <w:p w14:paraId="60467610">
      <w:pPr>
        <w:rPr>
          <w:rFonts w:hint="eastAsia" w:ascii="宋体" w:hAnsi="宋体" w:eastAsia="宋体" w:cs="宋体"/>
          <w:sz w:val="24"/>
          <w:highlight w:val="none"/>
        </w:rPr>
      </w:pPr>
      <w:bookmarkStart w:id="221" w:name="_Toc30144"/>
      <w:bookmarkStart w:id="222" w:name="_Toc15093"/>
      <w:bookmarkStart w:id="223" w:name="_Toc518923116"/>
      <w:r>
        <w:rPr>
          <w:rFonts w:hint="eastAsia" w:ascii="宋体" w:hAnsi="宋体" w:eastAsia="宋体" w:cs="宋体"/>
          <w:sz w:val="24"/>
          <w:highlight w:val="none"/>
        </w:rPr>
        <w:br w:type="page"/>
      </w:r>
    </w:p>
    <w:p w14:paraId="50571A68">
      <w:pPr>
        <w:spacing w:before="0"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 xml:space="preserve">1   </w:t>
      </w:r>
      <w:bookmarkStart w:id="224" w:name="_Hlt520355504"/>
      <w:bookmarkEnd w:id="224"/>
      <w:r>
        <w:rPr>
          <w:rFonts w:hint="eastAsia" w:ascii="宋体" w:hAnsi="宋体" w:eastAsia="宋体" w:cs="宋体"/>
          <w:sz w:val="24"/>
          <w:highlight w:val="none"/>
        </w:rPr>
        <w:t>投标</w:t>
      </w:r>
      <w:bookmarkEnd w:id="175"/>
      <w:bookmarkEnd w:id="176"/>
      <w:r>
        <w:rPr>
          <w:rFonts w:hint="eastAsia" w:ascii="宋体" w:hAnsi="宋体" w:eastAsia="宋体" w:cs="宋体"/>
          <w:sz w:val="24"/>
          <w:highlight w:val="none"/>
        </w:rPr>
        <w:t>书</w:t>
      </w:r>
      <w:bookmarkEnd w:id="177"/>
      <w:bookmarkEnd w:id="178"/>
      <w:bookmarkEnd w:id="221"/>
      <w:bookmarkEnd w:id="222"/>
      <w:bookmarkEnd w:id="223"/>
      <w:r>
        <w:rPr>
          <w:rFonts w:hint="eastAsia" w:ascii="宋体" w:hAnsi="宋体" w:eastAsia="宋体" w:cs="宋体"/>
          <w:sz w:val="24"/>
          <w:highlight w:val="none"/>
          <w:lang w:eastAsia="zh-CN"/>
        </w:rPr>
        <w:t>（</w:t>
      </w:r>
      <w:r>
        <w:rPr>
          <w:rFonts w:hint="eastAsia" w:ascii="宋体" w:hAnsi="宋体" w:eastAsia="宋体" w:cs="宋体"/>
          <w:sz w:val="24"/>
          <w:highlight w:val="none"/>
        </w:rPr>
        <w:t>响应文件格式</w:t>
      </w:r>
      <w:r>
        <w:rPr>
          <w:rFonts w:hint="eastAsia" w:ascii="宋体" w:hAnsi="宋体" w:eastAsia="宋体" w:cs="宋体"/>
          <w:sz w:val="24"/>
          <w:highlight w:val="none"/>
          <w:lang w:val="en-US" w:eastAsia="zh-CN"/>
        </w:rPr>
        <w:t>四</w:t>
      </w:r>
      <w:r>
        <w:rPr>
          <w:rFonts w:hint="eastAsia" w:ascii="宋体" w:hAnsi="宋体" w:eastAsia="宋体" w:cs="宋体"/>
          <w:sz w:val="24"/>
          <w:highlight w:val="none"/>
          <w:lang w:eastAsia="zh-CN"/>
        </w:rPr>
        <w:t>）</w:t>
      </w:r>
    </w:p>
    <w:p w14:paraId="48391D56">
      <w:pPr>
        <w:tabs>
          <w:tab w:val="left" w:pos="5580"/>
        </w:tabs>
        <w:spacing w:line="240" w:lineRule="atLeast"/>
        <w:ind w:left="1080" w:leftChars="257" w:hanging="540"/>
        <w:outlineLvl w:val="9"/>
        <w:rPr>
          <w:rFonts w:hint="eastAsia" w:ascii="宋体" w:hAnsi="宋体" w:eastAsia="宋体" w:cs="宋体"/>
          <w:sz w:val="24"/>
          <w:highlight w:val="none"/>
        </w:rPr>
      </w:pPr>
    </w:p>
    <w:p w14:paraId="6A139653">
      <w:pPr>
        <w:tabs>
          <w:tab w:val="left" w:pos="5580"/>
        </w:tabs>
        <w:spacing w:line="240" w:lineRule="atLeast"/>
        <w:ind w:left="1080" w:hanging="1080"/>
        <w:outlineLvl w:val="9"/>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采购代理机构</w:t>
      </w:r>
    </w:p>
    <w:p w14:paraId="1BF3F9A8">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6C307326">
      <w:pPr>
        <w:pStyle w:val="17"/>
        <w:tabs>
          <w:tab w:val="left" w:pos="5580"/>
        </w:tabs>
        <w:spacing w:line="240" w:lineRule="atLeast"/>
        <w:ind w:left="2" w:leftChars="1"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根据贵方(</w:t>
      </w:r>
      <w:r>
        <w:rPr>
          <w:rFonts w:hint="eastAsia" w:ascii="宋体" w:hAnsi="宋体" w:eastAsia="宋体" w:cs="宋体"/>
          <w:i/>
          <w:sz w:val="24"/>
          <w:highlight w:val="none"/>
          <w:u w:val="single"/>
        </w:rPr>
        <w:t>项目名称</w:t>
      </w:r>
      <w:r>
        <w:rPr>
          <w:rFonts w:hint="eastAsia" w:ascii="宋体" w:hAnsi="宋体" w:eastAsia="宋体" w:cs="宋体"/>
          <w:sz w:val="24"/>
          <w:highlight w:val="none"/>
        </w:rPr>
        <w:t>)项目的投标邀请(</w:t>
      </w:r>
      <w:r>
        <w:rPr>
          <w:rFonts w:hint="eastAsia" w:hAnsi="宋体" w:eastAsia="宋体" w:cs="宋体"/>
          <w:i/>
          <w:sz w:val="24"/>
          <w:highlight w:val="none"/>
          <w:u w:val="single"/>
          <w:lang w:eastAsia="zh-CN"/>
        </w:rPr>
        <w:t>项目编号</w:t>
      </w:r>
      <w:r>
        <w:rPr>
          <w:rFonts w:hint="eastAsia" w:ascii="宋体" w:hAnsi="宋体" w:eastAsia="宋体" w:cs="宋体"/>
          <w:sz w:val="24"/>
          <w:highlight w:val="none"/>
        </w:rPr>
        <w:t>),签字代表(</w:t>
      </w:r>
      <w:r>
        <w:rPr>
          <w:rFonts w:hint="eastAsia" w:ascii="宋体" w:hAnsi="宋体" w:eastAsia="宋体" w:cs="宋体"/>
          <w:i/>
          <w:sz w:val="24"/>
          <w:highlight w:val="none"/>
          <w:u w:val="single"/>
        </w:rPr>
        <w:t>姓名、职务</w:t>
      </w:r>
      <w:r>
        <w:rPr>
          <w:rFonts w:hint="eastAsia" w:ascii="宋体" w:hAnsi="宋体" w:eastAsia="宋体" w:cs="宋体"/>
          <w:sz w:val="24"/>
          <w:highlight w:val="none"/>
        </w:rPr>
        <w:t>)经正式授权并代表投标人（</w:t>
      </w:r>
      <w:r>
        <w:rPr>
          <w:rFonts w:hint="eastAsia" w:ascii="宋体" w:hAnsi="宋体" w:eastAsia="宋体" w:cs="宋体"/>
          <w:i/>
          <w:sz w:val="24"/>
          <w:highlight w:val="none"/>
          <w:u w:val="single"/>
        </w:rPr>
        <w:t>名称、地址</w:t>
      </w:r>
      <w:r>
        <w:rPr>
          <w:rFonts w:hint="eastAsia" w:ascii="宋体" w:hAnsi="宋体" w:eastAsia="宋体" w:cs="宋体"/>
          <w:sz w:val="24"/>
          <w:highlight w:val="none"/>
        </w:rPr>
        <w:t>）提交下述文件正本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份、副本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份及电子文档</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份，并以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形式出具的金额为人民币</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元的投标保证金。</w:t>
      </w:r>
    </w:p>
    <w:p w14:paraId="6D281B64">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据此，签字代表宣布同意如下：</w:t>
      </w:r>
    </w:p>
    <w:p w14:paraId="7055C549">
      <w:pPr>
        <w:pStyle w:val="17"/>
        <w:tabs>
          <w:tab w:val="left" w:pos="720"/>
          <w:tab w:val="left" w:pos="900"/>
        </w:tabs>
        <w:spacing w:line="240" w:lineRule="atLeast"/>
        <w:ind w:left="769" w:leftChars="257" w:hanging="229"/>
        <w:outlineLvl w:val="9"/>
        <w:rPr>
          <w:rFonts w:hint="eastAsia" w:ascii="宋体" w:hAnsi="宋体" w:eastAsia="宋体" w:cs="宋体"/>
          <w:sz w:val="24"/>
          <w:highlight w:val="none"/>
          <w:u w:val="single"/>
        </w:rPr>
      </w:pPr>
      <w:r>
        <w:rPr>
          <w:rFonts w:hint="eastAsia" w:ascii="宋体" w:hAnsi="宋体" w:eastAsia="宋体" w:cs="宋体"/>
          <w:sz w:val="24"/>
          <w:highlight w:val="none"/>
        </w:rPr>
        <w:t>（1）附投标价格表中规定的应提供服务的投标总价详见开标一览表，</w:t>
      </w:r>
      <w:r>
        <w:rPr>
          <w:rFonts w:hint="eastAsia" w:ascii="宋体" w:hAnsi="宋体" w:eastAsia="宋体" w:cs="宋体"/>
          <w:sz w:val="24"/>
          <w:highlight w:val="none"/>
          <w:u w:val="single"/>
        </w:rPr>
        <w:t>其中由小型和</w:t>
      </w:r>
      <w:r>
        <w:rPr>
          <w:rFonts w:hint="eastAsia" w:ascii="宋体" w:hAnsi="宋体" w:eastAsia="宋体" w:cs="宋体"/>
          <w:sz w:val="24"/>
          <w:highlight w:val="none"/>
        </w:rPr>
        <w:t>微型企业</w:t>
      </w:r>
      <w:r>
        <w:rPr>
          <w:rFonts w:hint="eastAsia" w:hAnsi="宋体" w:cs="宋体"/>
          <w:sz w:val="24"/>
          <w:highlight w:val="none"/>
          <w:lang w:val="en-US" w:eastAsia="zh-CN"/>
        </w:rPr>
        <w:t>承接</w:t>
      </w:r>
      <w:r>
        <w:rPr>
          <w:rFonts w:hint="eastAsia" w:ascii="宋体" w:hAnsi="宋体" w:eastAsia="宋体" w:cs="宋体"/>
          <w:sz w:val="24"/>
          <w:highlight w:val="none"/>
        </w:rPr>
        <w:t>的价格为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（用文字和数字表示），占投标总价   %</w:t>
      </w:r>
      <w:r>
        <w:rPr>
          <w:rFonts w:hint="eastAsia" w:ascii="宋体" w:hAnsi="宋体" w:eastAsia="宋体" w:cs="宋体"/>
          <w:sz w:val="24"/>
          <w:highlight w:val="none"/>
        </w:rPr>
        <w:t>。</w:t>
      </w:r>
    </w:p>
    <w:p w14:paraId="130A0307">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（2）本投标有效期为自投标截止之日起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个日历日。</w:t>
      </w:r>
    </w:p>
    <w:p w14:paraId="40AFA5E7">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（3）联合体中的大中型企业和其他自然人、法人或者非法人组织，与联合体中的小型、微型企业之间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存在、不存在）投资关系（如果联合体的话）。</w:t>
      </w:r>
    </w:p>
    <w:p w14:paraId="229DC872">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（4）已详细审查全部招标文件，包括所有补充通知（如果有的话），完全理解并同意放弃对这方面有不明、误解和质疑的权力。</w:t>
      </w:r>
    </w:p>
    <w:p w14:paraId="6A4DFA99">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（5）在规定的开标时间后，遵守招标文件中有关保证金的规定。</w:t>
      </w:r>
    </w:p>
    <w:p w14:paraId="2CEAFB56">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（6）根据投标人须知第1条规定，我方不是为本项目提供整体设计、规范编制或者项目管理、监理、检测等服务的供应商，我方不是采购代理机构的附属机构。</w:t>
      </w:r>
    </w:p>
    <w:p w14:paraId="58FB7001">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（7）在领取中标通知书的同时按招标文件规定的形式，向贵方一次性支付中标服务费。</w:t>
      </w:r>
    </w:p>
    <w:p w14:paraId="4B97B663">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（8）按照贵方可能要求，提供与其投标有关的一切数据或资料，完全理解贵方不一定接受最低价的投标或收到的任何投标。</w:t>
      </w:r>
    </w:p>
    <w:p w14:paraId="4B45770E">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（9）按照招标文件的规定履行合同责任和义务。</w:t>
      </w:r>
    </w:p>
    <w:p w14:paraId="4DD8FAF2">
      <w:pPr>
        <w:pStyle w:val="17"/>
        <w:tabs>
          <w:tab w:val="left" w:pos="5580"/>
        </w:tabs>
        <w:spacing w:line="240" w:lineRule="atLeast"/>
        <w:ind w:left="359" w:leftChars="68" w:hanging="216" w:hangingChars="90"/>
        <w:outlineLvl w:val="9"/>
        <w:rPr>
          <w:rFonts w:hint="eastAsia"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hAnsi="宋体" w:eastAsia="宋体" w:cs="宋体"/>
          <w:sz w:val="24"/>
          <w:highlight w:val="none"/>
          <w:lang w:val="en-US" w:eastAsia="zh-CN"/>
        </w:rPr>
        <w:t xml:space="preserve"> </w:t>
      </w:r>
    </w:p>
    <w:p w14:paraId="0E5A1725">
      <w:pPr>
        <w:pStyle w:val="17"/>
        <w:tabs>
          <w:tab w:val="left" w:pos="5580"/>
        </w:tabs>
        <w:spacing w:line="240" w:lineRule="atLeast"/>
        <w:ind w:left="359" w:leftChars="68" w:hanging="216" w:hangingChars="90"/>
        <w:outlineLvl w:val="9"/>
        <w:rPr>
          <w:rFonts w:hint="eastAsia" w:hAnsi="宋体" w:eastAsia="宋体" w:cs="宋体"/>
          <w:sz w:val="24"/>
          <w:highlight w:val="none"/>
          <w:lang w:val="en-US" w:eastAsia="zh-CN"/>
        </w:rPr>
      </w:pPr>
    </w:p>
    <w:p w14:paraId="6F783DE4">
      <w:pPr>
        <w:pStyle w:val="17"/>
        <w:tabs>
          <w:tab w:val="left" w:pos="5580"/>
        </w:tabs>
        <w:spacing w:line="240" w:lineRule="atLeast"/>
        <w:ind w:left="359" w:leftChars="68" w:hanging="216" w:hangingChars="90"/>
        <w:outlineLvl w:val="9"/>
        <w:rPr>
          <w:rFonts w:hint="eastAsia" w:hAnsi="宋体" w:eastAsia="宋体" w:cs="宋体"/>
          <w:sz w:val="24"/>
          <w:highlight w:val="none"/>
          <w:lang w:val="en-US" w:eastAsia="zh-CN"/>
        </w:rPr>
      </w:pPr>
    </w:p>
    <w:p w14:paraId="6EF29F2A">
      <w:pPr>
        <w:pStyle w:val="17"/>
        <w:tabs>
          <w:tab w:val="left" w:pos="5580"/>
        </w:tabs>
        <w:spacing w:line="240" w:lineRule="atLeast"/>
        <w:ind w:left="359" w:leftChars="68" w:hanging="216" w:hangingChars="90"/>
        <w:outlineLvl w:val="9"/>
        <w:rPr>
          <w:rFonts w:hint="eastAsia" w:ascii="宋体" w:hAnsi="宋体" w:eastAsia="宋体" w:cs="宋体"/>
          <w:sz w:val="24"/>
          <w:highlight w:val="none"/>
        </w:rPr>
      </w:pPr>
      <w:r>
        <w:rPr>
          <w:rFonts w:hint="eastAsia" w:ascii="宋体" w:hAnsi="宋体" w:eastAsia="宋体" w:cs="宋体"/>
          <w:sz w:val="24"/>
          <w:highlight w:val="none"/>
        </w:rPr>
        <w:t>与本投标有关的一切正式往来信函请寄：</w:t>
      </w:r>
    </w:p>
    <w:p w14:paraId="549BA262">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4F059710">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传真：</w:t>
      </w:r>
      <w:r>
        <w:rPr>
          <w:rFonts w:hint="eastAsia" w:ascii="宋体" w:hAnsi="宋体" w:eastAsia="宋体" w:cs="宋体"/>
          <w:sz w:val="24"/>
          <w:highlight w:val="none"/>
          <w:u w:val="single"/>
        </w:rPr>
        <w:t xml:space="preserve">                             </w:t>
      </w:r>
    </w:p>
    <w:p w14:paraId="6CF02F48">
      <w:pPr>
        <w:pStyle w:val="17"/>
        <w:tabs>
          <w:tab w:val="left" w:pos="5580"/>
        </w:tabs>
        <w:spacing w:line="240" w:lineRule="atLeast"/>
        <w:ind w:left="1080" w:leftChars="257" w:hanging="540"/>
        <w:outlineLvl w:val="9"/>
        <w:rPr>
          <w:rFonts w:hint="eastAsia" w:ascii="宋体" w:hAnsi="宋体" w:eastAsia="宋体" w:cs="宋体"/>
          <w:b/>
          <w:sz w:val="24"/>
          <w:highlight w:val="none"/>
        </w:rPr>
      </w:pPr>
      <w:r>
        <w:rPr>
          <w:rFonts w:hint="eastAsia" w:ascii="宋体" w:hAnsi="宋体" w:eastAsia="宋体" w:cs="宋体"/>
          <w:sz w:val="24"/>
          <w:highlight w:val="none"/>
        </w:rPr>
        <w:t>电话：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电子函件：</w:t>
      </w:r>
      <w:r>
        <w:rPr>
          <w:rFonts w:hint="eastAsia" w:ascii="宋体" w:hAnsi="宋体" w:eastAsia="宋体" w:cs="宋体"/>
          <w:sz w:val="24"/>
          <w:highlight w:val="none"/>
          <w:u w:val="single"/>
        </w:rPr>
        <w:t xml:space="preserve">                         </w:t>
      </w:r>
    </w:p>
    <w:p w14:paraId="45B2379C">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3ECEFE46">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49355AF5">
      <w:pPr>
        <w:pStyle w:val="17"/>
        <w:tabs>
          <w:tab w:val="left" w:pos="5580"/>
        </w:tabs>
        <w:spacing w:line="240" w:lineRule="atLeast"/>
        <w:ind w:left="1080" w:leftChars="257" w:hanging="540"/>
        <w:outlineLvl w:val="9"/>
        <w:rPr>
          <w:rFonts w:hint="default" w:ascii="宋体" w:hAnsi="宋体" w:eastAsia="宋体" w:cs="宋体"/>
          <w:sz w:val="24"/>
          <w:highlight w:val="none"/>
          <w:u w:val="single"/>
          <w:lang w:val="en-US" w:eastAsia="zh-CN"/>
        </w:rPr>
      </w:pPr>
      <w:r>
        <w:rPr>
          <w:rFonts w:hint="eastAsia" w:ascii="宋体" w:hAnsi="宋体" w:eastAsia="宋体" w:cs="宋体"/>
          <w:sz w:val="24"/>
          <w:highlight w:val="none"/>
        </w:rPr>
        <w:t>法定代表人或其委托代理人签字：</w:t>
      </w:r>
      <w:r>
        <w:rPr>
          <w:rFonts w:hint="eastAsia" w:hAnsi="宋体" w:eastAsia="宋体" w:cs="宋体"/>
          <w:sz w:val="24"/>
          <w:highlight w:val="none"/>
          <w:u w:val="single"/>
          <w:lang w:val="en-US" w:eastAsia="zh-CN"/>
        </w:rPr>
        <w:t xml:space="preserve">               </w:t>
      </w:r>
    </w:p>
    <w:p w14:paraId="4BA7C4A7">
      <w:pPr>
        <w:pStyle w:val="17"/>
        <w:tabs>
          <w:tab w:val="left" w:pos="5580"/>
        </w:tabs>
        <w:spacing w:line="240" w:lineRule="atLeast"/>
        <w:ind w:left="1080" w:leftChars="257" w:hanging="540"/>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rPr>
        <w:t>投标人名称（全称）：</w:t>
      </w:r>
      <w:r>
        <w:rPr>
          <w:rFonts w:hint="eastAsia" w:hAnsi="宋体" w:eastAsia="宋体" w:cs="宋体"/>
          <w:sz w:val="24"/>
          <w:highlight w:val="none"/>
          <w:u w:val="single"/>
          <w:lang w:val="en-US" w:eastAsia="zh-CN"/>
        </w:rPr>
        <w:t xml:space="preserve">                         </w:t>
      </w:r>
    </w:p>
    <w:p w14:paraId="1EAB30DE">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投标人开户银行（全称）：</w:t>
      </w:r>
      <w:r>
        <w:rPr>
          <w:rFonts w:hint="eastAsia" w:ascii="宋体" w:hAnsi="宋体" w:eastAsia="宋体" w:cs="宋体"/>
          <w:sz w:val="24"/>
          <w:highlight w:val="none"/>
          <w:u w:val="single"/>
        </w:rPr>
        <w:t>　　　　　</w:t>
      </w:r>
      <w:r>
        <w:rPr>
          <w:rFonts w:hint="eastAsia"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14:paraId="750CA0B9">
      <w:pPr>
        <w:pStyle w:val="17"/>
        <w:tabs>
          <w:tab w:val="left" w:pos="5580"/>
        </w:tabs>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投标人银行帐号：</w:t>
      </w:r>
      <w:r>
        <w:rPr>
          <w:rFonts w:hint="eastAsia" w:ascii="宋体" w:hAnsi="宋体" w:eastAsia="宋体" w:cs="宋体"/>
          <w:sz w:val="24"/>
          <w:highlight w:val="none"/>
          <w:u w:val="single"/>
        </w:rPr>
        <w:t>　　　　　　　　</w:t>
      </w:r>
      <w:r>
        <w:rPr>
          <w:rFonts w:hint="eastAsia"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14:paraId="4C86FF6D">
      <w:pPr>
        <w:pStyle w:val="17"/>
        <w:tabs>
          <w:tab w:val="left" w:pos="5580"/>
        </w:tabs>
        <w:spacing w:line="240" w:lineRule="atLeast"/>
        <w:ind w:left="1080" w:leftChars="257" w:hanging="540"/>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rPr>
        <w:t>投标人单位章：</w:t>
      </w:r>
      <w:r>
        <w:rPr>
          <w:rFonts w:hint="eastAsia" w:hAnsi="宋体" w:eastAsia="宋体" w:cs="宋体"/>
          <w:sz w:val="24"/>
          <w:highlight w:val="none"/>
          <w:u w:val="single"/>
          <w:lang w:val="en-US" w:eastAsia="zh-CN"/>
        </w:rPr>
        <w:t xml:space="preserve">                               </w:t>
      </w:r>
    </w:p>
    <w:p w14:paraId="0EA16E95">
      <w:pPr>
        <w:pStyle w:val="17"/>
        <w:tabs>
          <w:tab w:val="left" w:pos="5580"/>
        </w:tabs>
        <w:spacing w:line="240" w:lineRule="atLeast"/>
        <w:ind w:left="1080" w:leftChars="257" w:hanging="540"/>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rPr>
        <w:t>日</w:t>
      </w:r>
      <w:r>
        <w:rPr>
          <w:rFonts w:hint="eastAsia" w:hAnsi="宋体" w:eastAsia="宋体" w:cs="宋体"/>
          <w:sz w:val="24"/>
          <w:highlight w:val="none"/>
          <w:lang w:val="en-US" w:eastAsia="zh-CN"/>
        </w:rPr>
        <w:t xml:space="preserve"> </w:t>
      </w:r>
      <w:r>
        <w:rPr>
          <w:rFonts w:hint="eastAsia" w:ascii="宋体" w:hAnsi="宋体" w:eastAsia="宋体" w:cs="宋体"/>
          <w:sz w:val="24"/>
          <w:highlight w:val="none"/>
        </w:rPr>
        <w:t>期：</w:t>
      </w:r>
      <w:r>
        <w:rPr>
          <w:rFonts w:hint="eastAsia" w:hAnsi="宋体" w:eastAsia="宋体" w:cs="宋体"/>
          <w:sz w:val="24"/>
          <w:highlight w:val="none"/>
          <w:u w:val="single"/>
          <w:lang w:val="en-US" w:eastAsia="zh-CN"/>
        </w:rPr>
        <w:t xml:space="preserve">                                      </w:t>
      </w:r>
    </w:p>
    <w:p w14:paraId="405B4A6D">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639BE9E6">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453C3667">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486BAF90">
      <w:pPr>
        <w:pStyle w:val="26"/>
        <w:outlineLvl w:val="9"/>
        <w:rPr>
          <w:rFonts w:hint="eastAsia"/>
          <w:highlight w:val="none"/>
        </w:rPr>
      </w:pPr>
    </w:p>
    <w:p w14:paraId="33AC9285">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3776DF36">
      <w:pPr>
        <w:pStyle w:val="17"/>
        <w:tabs>
          <w:tab w:val="left" w:pos="5580"/>
        </w:tabs>
        <w:spacing w:line="240" w:lineRule="atLeast"/>
        <w:ind w:left="1080" w:leftChars="257" w:hanging="540"/>
        <w:outlineLvl w:val="9"/>
        <w:rPr>
          <w:rFonts w:hint="eastAsia" w:ascii="宋体" w:hAnsi="宋体" w:eastAsia="宋体" w:cs="宋体"/>
          <w:sz w:val="24"/>
          <w:highlight w:val="none"/>
        </w:rPr>
      </w:pPr>
    </w:p>
    <w:p w14:paraId="4C899D20">
      <w:pPr>
        <w:rPr>
          <w:rFonts w:hint="eastAsia" w:ascii="宋体" w:hAnsi="宋体" w:eastAsia="宋体" w:cs="宋体"/>
          <w:b/>
          <w:sz w:val="24"/>
          <w:highlight w:val="none"/>
          <w:lang w:val="en-US" w:eastAsia="zh-CN"/>
        </w:rPr>
      </w:pPr>
      <w:bookmarkStart w:id="225" w:name="_Hlt520355938"/>
      <w:bookmarkEnd w:id="225"/>
      <w:bookmarkStart w:id="226" w:name="_Hlt520356243"/>
      <w:bookmarkEnd w:id="226"/>
      <w:bookmarkStart w:id="227" w:name="_Toc216582815"/>
      <w:bookmarkStart w:id="228" w:name="_Toc9664"/>
      <w:bookmarkStart w:id="229" w:name="_Toc24741"/>
      <w:bookmarkStart w:id="230" w:name="_Toc518923118"/>
      <w:r>
        <w:rPr>
          <w:rFonts w:hint="eastAsia" w:ascii="宋体" w:hAnsi="宋体" w:eastAsia="宋体" w:cs="宋体"/>
          <w:b/>
          <w:sz w:val="24"/>
          <w:highlight w:val="none"/>
          <w:lang w:val="en-US" w:eastAsia="zh-CN"/>
        </w:rPr>
        <w:br w:type="page"/>
      </w:r>
    </w:p>
    <w:p w14:paraId="7B6DEEB4">
      <w:pPr>
        <w:spacing w:before="0" w:line="240" w:lineRule="atLeast"/>
        <w:ind w:left="1080" w:leftChars="257" w:hanging="540"/>
        <w:outlineLvl w:val="9"/>
        <w:rPr>
          <w:rFonts w:hint="eastAsia" w:ascii="仿宋_GB2312" w:eastAsia="仿宋_GB2312"/>
          <w:sz w:val="24"/>
          <w:highlight w:val="none"/>
        </w:rPr>
      </w:pPr>
      <w:r>
        <w:rPr>
          <w:rFonts w:hint="eastAsia" w:ascii="宋体" w:hAnsi="宋体" w:eastAsia="宋体" w:cs="宋体"/>
          <w:b/>
          <w:sz w:val="24"/>
          <w:highlight w:val="none"/>
          <w:lang w:val="en-US" w:eastAsia="zh-CN"/>
        </w:rPr>
        <w:t>2</w:t>
      </w:r>
      <w:r>
        <w:rPr>
          <w:rFonts w:hint="eastAsia" w:ascii="宋体" w:hAnsi="宋体" w:eastAsia="宋体" w:cs="宋体"/>
          <w:b/>
          <w:sz w:val="24"/>
          <w:highlight w:val="none"/>
        </w:rPr>
        <w:t xml:space="preserve">   投标分项报价表</w:t>
      </w:r>
      <w:bookmarkEnd w:id="227"/>
      <w:r>
        <w:rPr>
          <w:rFonts w:hint="eastAsia" w:ascii="宋体" w:hAnsi="宋体" w:eastAsia="宋体" w:cs="宋体"/>
          <w:b/>
          <w:sz w:val="24"/>
          <w:highlight w:val="none"/>
        </w:rPr>
        <w:t>（投标文件格式五）</w:t>
      </w:r>
      <w:bookmarkEnd w:id="228"/>
      <w:bookmarkEnd w:id="229"/>
      <w:bookmarkEnd w:id="230"/>
    </w:p>
    <w:p w14:paraId="72608826">
      <w:pPr>
        <w:pStyle w:val="17"/>
        <w:spacing w:line="240" w:lineRule="atLeast"/>
        <w:outlineLvl w:val="9"/>
        <w:rPr>
          <w:rFonts w:hint="eastAsia" w:ascii="仿宋_GB2312" w:eastAsia="仿宋_GB2312"/>
          <w:sz w:val="24"/>
          <w:highlight w:val="none"/>
        </w:rPr>
      </w:pPr>
    </w:p>
    <w:p w14:paraId="34EE97BE">
      <w:pPr>
        <w:numPr>
          <w:ilvl w:val="0"/>
          <w:numId w:val="0"/>
        </w:numPr>
        <w:spacing w:before="0" w:line="400" w:lineRule="exact"/>
        <w:ind w:leftChars="257"/>
        <w:jc w:val="center"/>
        <w:outlineLvl w:val="9"/>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b/>
          <w:bCs/>
          <w:color w:val="auto"/>
          <w:sz w:val="24"/>
          <w:szCs w:val="24"/>
          <w:highlight w:val="none"/>
          <w:u w:val="none"/>
        </w:rPr>
        <w:t>投标分项报价表；</w:t>
      </w:r>
    </w:p>
    <w:p w14:paraId="4CC165A5">
      <w:pPr>
        <w:pStyle w:val="17"/>
        <w:spacing w:line="400" w:lineRule="exact"/>
        <w:outlineLvl w:val="9"/>
        <w:rPr>
          <w:rFonts w:hint="eastAsia" w:ascii="微软雅黑 Light" w:hAnsi="微软雅黑 Light" w:eastAsia="微软雅黑 Light" w:cs="微软雅黑 Light"/>
          <w:color w:val="auto"/>
          <w:sz w:val="24"/>
          <w:szCs w:val="24"/>
          <w:highlight w:val="none"/>
        </w:rPr>
      </w:pPr>
    </w:p>
    <w:p w14:paraId="609451DE">
      <w:pPr>
        <w:pStyle w:val="17"/>
        <w:spacing w:line="400" w:lineRule="exact"/>
        <w:outlineLvl w:val="9"/>
        <w:rPr>
          <w:rFonts w:hint="default"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rPr>
        <w:t xml:space="preserve">项目名称:         </w:t>
      </w:r>
      <w:r>
        <w:rPr>
          <w:rFonts w:hint="eastAsia" w:ascii="微软雅黑 Light" w:hAnsi="微软雅黑 Light" w:eastAsia="微软雅黑 Light" w:cs="微软雅黑 Light"/>
          <w:color w:val="auto"/>
          <w:sz w:val="24"/>
          <w:szCs w:val="24"/>
          <w:highlight w:val="none"/>
          <w:lang w:val="en-US" w:eastAsia="zh-CN"/>
        </w:rPr>
        <w:t xml:space="preserve">         </w:t>
      </w:r>
      <w:r>
        <w:rPr>
          <w:rFonts w:hint="eastAsia" w:ascii="微软雅黑 Light" w:hAnsi="微软雅黑 Light" w:eastAsia="微软雅黑 Light" w:cs="微软雅黑 Light"/>
          <w:color w:val="auto"/>
          <w:sz w:val="24"/>
          <w:szCs w:val="24"/>
          <w:highlight w:val="none"/>
        </w:rPr>
        <w:t xml:space="preserve"> 项目编号:         </w:t>
      </w:r>
      <w:r>
        <w:rPr>
          <w:rFonts w:hint="eastAsia" w:ascii="微软雅黑 Light" w:hAnsi="微软雅黑 Light" w:eastAsia="微软雅黑 Light" w:cs="微软雅黑 Light"/>
          <w:color w:val="auto"/>
          <w:sz w:val="24"/>
          <w:szCs w:val="24"/>
          <w:highlight w:val="none"/>
          <w:lang w:val="en-US" w:eastAsia="zh-CN"/>
        </w:rPr>
        <w:t xml:space="preserve"> </w:t>
      </w:r>
      <w:r>
        <w:rPr>
          <w:rFonts w:hint="eastAsia" w:ascii="微软雅黑 Light" w:hAnsi="微软雅黑 Light" w:eastAsia="微软雅黑 Light" w:cs="微软雅黑 Light"/>
          <w:color w:val="auto"/>
          <w:sz w:val="24"/>
          <w:szCs w:val="24"/>
          <w:highlight w:val="none"/>
        </w:rPr>
        <w:t xml:space="preserve"> </w:t>
      </w:r>
      <w:r>
        <w:rPr>
          <w:rFonts w:hint="eastAsia" w:ascii="微软雅黑 Light" w:hAnsi="微软雅黑 Light" w:eastAsia="微软雅黑 Light" w:cs="微软雅黑 Light"/>
          <w:color w:val="auto"/>
          <w:sz w:val="24"/>
          <w:szCs w:val="24"/>
          <w:highlight w:val="none"/>
          <w:lang w:val="en-US" w:eastAsia="zh-CN"/>
        </w:rPr>
        <w:t xml:space="preserve">      </w:t>
      </w:r>
      <w:r>
        <w:rPr>
          <w:rFonts w:hint="eastAsia" w:ascii="微软雅黑 Light" w:hAnsi="微软雅黑 Light" w:eastAsia="微软雅黑 Light" w:cs="微软雅黑 Light"/>
          <w:color w:val="auto"/>
          <w:sz w:val="24"/>
          <w:szCs w:val="24"/>
          <w:highlight w:val="none"/>
        </w:rPr>
        <w:t>报价单位：</w:t>
      </w:r>
      <w:r>
        <w:rPr>
          <w:rFonts w:hint="eastAsia" w:ascii="微软雅黑 Light" w:hAnsi="微软雅黑 Light" w:eastAsia="微软雅黑 Light" w:cs="微软雅黑 Light"/>
          <w:color w:val="auto"/>
          <w:sz w:val="24"/>
          <w:szCs w:val="24"/>
          <w:highlight w:val="none"/>
          <w:lang w:val="en-US" w:eastAsia="zh-CN"/>
        </w:rPr>
        <w:t>元</w:t>
      </w:r>
      <w:r>
        <w:rPr>
          <w:rFonts w:hint="eastAsia" w:ascii="微软雅黑 Light" w:hAnsi="微软雅黑 Light" w:eastAsia="微软雅黑 Light" w:cs="微软雅黑 Light"/>
          <w:color w:val="auto"/>
          <w:sz w:val="24"/>
          <w:szCs w:val="24"/>
          <w:highlight w:val="none"/>
        </w:rPr>
        <w:t xml:space="preserve">    </w:t>
      </w:r>
      <w:r>
        <w:rPr>
          <w:rFonts w:hint="eastAsia" w:ascii="微软雅黑 Light" w:hAnsi="微软雅黑 Light" w:eastAsia="微软雅黑 Light" w:cs="微软雅黑 Light"/>
          <w:color w:val="auto"/>
          <w:sz w:val="24"/>
          <w:szCs w:val="24"/>
          <w:highlight w:val="none"/>
          <w:lang w:val="en-US" w:eastAsia="zh-CN"/>
        </w:rPr>
        <w:t xml:space="preserve"> </w:t>
      </w:r>
    </w:p>
    <w:tbl>
      <w:tblPr>
        <w:tblStyle w:val="38"/>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467"/>
        <w:gridCol w:w="1319"/>
        <w:gridCol w:w="2044"/>
        <w:gridCol w:w="1402"/>
        <w:gridCol w:w="1033"/>
      </w:tblGrid>
      <w:tr w14:paraId="720A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05" w:type="dxa"/>
            <w:noWrap w:val="0"/>
            <w:vAlign w:val="center"/>
          </w:tcPr>
          <w:p w14:paraId="61E63E0C">
            <w:pPr>
              <w:pStyle w:val="17"/>
              <w:keepNext w:val="0"/>
              <w:keepLines w:val="0"/>
              <w:suppressLineNumbers w:val="0"/>
              <w:spacing w:before="0" w:beforeAutospacing="0" w:after="0" w:afterAutospacing="0" w:line="240" w:lineRule="atLeas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序号</w:t>
            </w:r>
          </w:p>
        </w:tc>
        <w:tc>
          <w:tcPr>
            <w:tcW w:w="1467" w:type="dxa"/>
            <w:noWrap w:val="0"/>
            <w:vAlign w:val="center"/>
          </w:tcPr>
          <w:p w14:paraId="1303B424">
            <w:pPr>
              <w:pStyle w:val="17"/>
              <w:keepNext w:val="0"/>
              <w:keepLines w:val="0"/>
              <w:suppressLineNumbers w:val="0"/>
              <w:spacing w:before="0" w:beforeAutospacing="0" w:after="0" w:afterAutospacing="0" w:line="240" w:lineRule="atLeas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服务名称</w:t>
            </w:r>
          </w:p>
        </w:tc>
        <w:tc>
          <w:tcPr>
            <w:tcW w:w="1319" w:type="dxa"/>
            <w:noWrap w:val="0"/>
            <w:vAlign w:val="center"/>
          </w:tcPr>
          <w:p w14:paraId="47AED336">
            <w:pPr>
              <w:pStyle w:val="17"/>
              <w:keepNext w:val="0"/>
              <w:keepLines w:val="0"/>
              <w:suppressLineNumbers w:val="0"/>
              <w:spacing w:before="0" w:beforeAutospacing="0" w:after="0" w:afterAutospacing="0" w:line="240" w:lineRule="atLeast"/>
              <w:ind w:left="0" w:right="0"/>
              <w:jc w:val="center"/>
              <w:outlineLvl w:val="9"/>
              <w:rPr>
                <w:rFonts w:hint="default"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服务地点</w:t>
            </w:r>
          </w:p>
        </w:tc>
        <w:tc>
          <w:tcPr>
            <w:tcW w:w="2044" w:type="dxa"/>
            <w:noWrap w:val="0"/>
            <w:vAlign w:val="center"/>
          </w:tcPr>
          <w:p w14:paraId="3D16EE21">
            <w:pPr>
              <w:pStyle w:val="17"/>
              <w:keepNext w:val="0"/>
              <w:keepLines w:val="0"/>
              <w:suppressLineNumbers w:val="0"/>
              <w:spacing w:before="0" w:beforeAutospacing="0" w:after="0" w:afterAutospacing="0" w:line="240" w:lineRule="atLeast"/>
              <w:ind w:left="0" w:right="0"/>
              <w:jc w:val="center"/>
              <w:outlineLvl w:val="9"/>
              <w:rPr>
                <w:rFonts w:hint="default"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服务期限</w:t>
            </w:r>
          </w:p>
        </w:tc>
        <w:tc>
          <w:tcPr>
            <w:tcW w:w="1402" w:type="dxa"/>
            <w:noWrap w:val="0"/>
            <w:vAlign w:val="center"/>
          </w:tcPr>
          <w:p w14:paraId="20228603">
            <w:pPr>
              <w:pStyle w:val="17"/>
              <w:keepNext w:val="0"/>
              <w:keepLines w:val="0"/>
              <w:suppressLineNumbers w:val="0"/>
              <w:spacing w:before="0" w:beforeAutospacing="0" w:after="0" w:afterAutospacing="0" w:line="240" w:lineRule="atLeast"/>
              <w:ind w:left="0" w:right="0"/>
              <w:jc w:val="center"/>
              <w:outlineLvl w:val="9"/>
              <w:rPr>
                <w:rFonts w:hint="default"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单价</w:t>
            </w:r>
          </w:p>
        </w:tc>
        <w:tc>
          <w:tcPr>
            <w:tcW w:w="1033" w:type="dxa"/>
            <w:noWrap w:val="0"/>
            <w:vAlign w:val="center"/>
          </w:tcPr>
          <w:p w14:paraId="24D396FB">
            <w:pPr>
              <w:pStyle w:val="17"/>
              <w:keepNext w:val="0"/>
              <w:keepLines w:val="0"/>
              <w:suppressLineNumbers w:val="0"/>
              <w:spacing w:before="0" w:beforeAutospacing="0" w:after="0" w:afterAutospacing="0" w:line="240" w:lineRule="atLeas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总价</w:t>
            </w:r>
          </w:p>
        </w:tc>
      </w:tr>
      <w:tr w14:paraId="0B24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5" w:type="dxa"/>
            <w:noWrap w:val="0"/>
            <w:vAlign w:val="center"/>
          </w:tcPr>
          <w:p w14:paraId="3F28003E">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1.</w:t>
            </w:r>
          </w:p>
        </w:tc>
        <w:tc>
          <w:tcPr>
            <w:tcW w:w="1467" w:type="dxa"/>
            <w:noWrap w:val="0"/>
            <w:vAlign w:val="center"/>
          </w:tcPr>
          <w:p w14:paraId="230740CC">
            <w:pPr>
              <w:keepNext w:val="0"/>
              <w:keepLines w:val="0"/>
              <w:suppressLineNumbers w:val="0"/>
              <w:tabs>
                <w:tab w:val="left" w:pos="5580"/>
              </w:tabs>
              <w:spacing w:before="0" w:beforeAutospacing="0" w:after="0" w:afterAutospacing="0" w:line="400" w:lineRule="exact"/>
              <w:ind w:left="0" w:right="0"/>
              <w:jc w:val="center"/>
              <w:outlineLvl w:val="9"/>
              <w:rPr>
                <w:rFonts w:hint="default"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w:t>
            </w:r>
          </w:p>
        </w:tc>
        <w:tc>
          <w:tcPr>
            <w:tcW w:w="1319" w:type="dxa"/>
            <w:noWrap w:val="0"/>
            <w:vAlign w:val="center"/>
          </w:tcPr>
          <w:p w14:paraId="5ABCC733">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p>
        </w:tc>
        <w:tc>
          <w:tcPr>
            <w:tcW w:w="2044" w:type="dxa"/>
            <w:noWrap w:val="0"/>
            <w:vAlign w:val="center"/>
          </w:tcPr>
          <w:p w14:paraId="46341162">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p>
        </w:tc>
        <w:tc>
          <w:tcPr>
            <w:tcW w:w="1402" w:type="dxa"/>
            <w:noWrap w:val="0"/>
            <w:vAlign w:val="center"/>
          </w:tcPr>
          <w:p w14:paraId="30F0A82D">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p>
        </w:tc>
        <w:tc>
          <w:tcPr>
            <w:tcW w:w="1033" w:type="dxa"/>
            <w:noWrap w:val="0"/>
            <w:vAlign w:val="center"/>
          </w:tcPr>
          <w:p w14:paraId="251DD5F9">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p>
        </w:tc>
      </w:tr>
      <w:tr w14:paraId="2312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5" w:type="dxa"/>
            <w:noWrap w:val="0"/>
            <w:vAlign w:val="center"/>
          </w:tcPr>
          <w:p w14:paraId="6E1CB22A">
            <w:pPr>
              <w:keepNext w:val="0"/>
              <w:keepLines w:val="0"/>
              <w:suppressLineNumbers w:val="0"/>
              <w:tabs>
                <w:tab w:val="left" w:pos="5580"/>
              </w:tabs>
              <w:spacing w:before="0" w:beforeAutospacing="0" w:after="0" w:afterAutospacing="0" w:line="400" w:lineRule="exact"/>
              <w:ind w:left="0" w:right="0"/>
              <w:jc w:val="center"/>
              <w:outlineLvl w:val="9"/>
              <w:rPr>
                <w:rFonts w:hint="default"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2</w:t>
            </w:r>
          </w:p>
        </w:tc>
        <w:tc>
          <w:tcPr>
            <w:tcW w:w="1467" w:type="dxa"/>
            <w:noWrap w:val="0"/>
            <w:vAlign w:val="center"/>
          </w:tcPr>
          <w:p w14:paraId="7D3669C9">
            <w:pPr>
              <w:keepNext w:val="0"/>
              <w:keepLines w:val="0"/>
              <w:suppressLineNumbers w:val="0"/>
              <w:tabs>
                <w:tab w:val="left" w:pos="5580"/>
              </w:tabs>
              <w:spacing w:before="0" w:beforeAutospacing="0" w:after="0" w:afterAutospacing="0" w:line="400" w:lineRule="exact"/>
              <w:ind w:left="0" w:right="0"/>
              <w:jc w:val="center"/>
              <w:outlineLvl w:val="9"/>
              <w:rPr>
                <w:rFonts w:hint="default"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w:t>
            </w:r>
          </w:p>
        </w:tc>
        <w:tc>
          <w:tcPr>
            <w:tcW w:w="1319" w:type="dxa"/>
            <w:noWrap w:val="0"/>
            <w:vAlign w:val="center"/>
          </w:tcPr>
          <w:p w14:paraId="1E8C83DD">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p>
        </w:tc>
        <w:tc>
          <w:tcPr>
            <w:tcW w:w="2044" w:type="dxa"/>
            <w:noWrap w:val="0"/>
            <w:vAlign w:val="center"/>
          </w:tcPr>
          <w:p w14:paraId="3516F0EB">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p>
        </w:tc>
        <w:tc>
          <w:tcPr>
            <w:tcW w:w="1402" w:type="dxa"/>
            <w:noWrap w:val="0"/>
            <w:vAlign w:val="center"/>
          </w:tcPr>
          <w:p w14:paraId="6F03825C">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p>
        </w:tc>
        <w:tc>
          <w:tcPr>
            <w:tcW w:w="1033" w:type="dxa"/>
            <w:noWrap w:val="0"/>
            <w:vAlign w:val="center"/>
          </w:tcPr>
          <w:p w14:paraId="32CEDD71">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p>
        </w:tc>
      </w:tr>
      <w:tr w14:paraId="0FFD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5" w:type="dxa"/>
            <w:noWrap w:val="0"/>
            <w:vAlign w:val="center"/>
          </w:tcPr>
          <w:p w14:paraId="56F16B02">
            <w:pPr>
              <w:keepNext w:val="0"/>
              <w:keepLines w:val="0"/>
              <w:suppressLineNumbers w:val="0"/>
              <w:tabs>
                <w:tab w:val="left" w:pos="5580"/>
              </w:tabs>
              <w:spacing w:before="0" w:beforeAutospacing="0" w:after="0" w:afterAutospacing="0" w:line="400" w:lineRule="exact"/>
              <w:ind w:left="0" w:right="0"/>
              <w:jc w:val="center"/>
              <w:outlineLvl w:val="9"/>
              <w:rPr>
                <w:rFonts w:hint="default"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w:t>
            </w:r>
          </w:p>
        </w:tc>
        <w:tc>
          <w:tcPr>
            <w:tcW w:w="1467" w:type="dxa"/>
            <w:noWrap w:val="0"/>
            <w:vAlign w:val="center"/>
          </w:tcPr>
          <w:p w14:paraId="44DAFCAD">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w:t>
            </w:r>
          </w:p>
        </w:tc>
        <w:tc>
          <w:tcPr>
            <w:tcW w:w="1319" w:type="dxa"/>
            <w:noWrap w:val="0"/>
            <w:vAlign w:val="center"/>
          </w:tcPr>
          <w:p w14:paraId="0A81C075">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p>
        </w:tc>
        <w:tc>
          <w:tcPr>
            <w:tcW w:w="2044" w:type="dxa"/>
            <w:noWrap w:val="0"/>
            <w:vAlign w:val="center"/>
          </w:tcPr>
          <w:p w14:paraId="03FEFBC5">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p>
        </w:tc>
        <w:tc>
          <w:tcPr>
            <w:tcW w:w="1402" w:type="dxa"/>
            <w:noWrap w:val="0"/>
            <w:vAlign w:val="center"/>
          </w:tcPr>
          <w:p w14:paraId="2FBB9B25">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p>
        </w:tc>
        <w:tc>
          <w:tcPr>
            <w:tcW w:w="1033" w:type="dxa"/>
            <w:noWrap w:val="0"/>
            <w:vAlign w:val="center"/>
          </w:tcPr>
          <w:p w14:paraId="7CC8E3BB">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p>
        </w:tc>
      </w:tr>
      <w:tr w14:paraId="2464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437" w:type="dxa"/>
            <w:gridSpan w:val="5"/>
            <w:noWrap w:val="0"/>
            <w:vAlign w:val="center"/>
          </w:tcPr>
          <w:p w14:paraId="1E339707">
            <w:pPr>
              <w:keepNext w:val="0"/>
              <w:keepLines w:val="0"/>
              <w:suppressLineNumbers w:val="0"/>
              <w:tabs>
                <w:tab w:val="left" w:pos="5580"/>
              </w:tabs>
              <w:spacing w:before="0" w:beforeAutospacing="0" w:after="0" w:afterAutospacing="0" w:line="400" w:lineRule="exact"/>
              <w:ind w:left="0" w:right="0"/>
              <w:jc w:val="center"/>
              <w:outlineLvl w:val="9"/>
              <w:rPr>
                <w:rFonts w:hint="default"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合计（元）</w:t>
            </w:r>
          </w:p>
        </w:tc>
        <w:tc>
          <w:tcPr>
            <w:tcW w:w="1033" w:type="dxa"/>
            <w:noWrap w:val="0"/>
            <w:vAlign w:val="center"/>
          </w:tcPr>
          <w:p w14:paraId="0696F086">
            <w:pPr>
              <w:keepNext w:val="0"/>
              <w:keepLines w:val="0"/>
              <w:suppressLineNumbers w:val="0"/>
              <w:tabs>
                <w:tab w:val="left" w:pos="5580"/>
              </w:tabs>
              <w:spacing w:before="0" w:beforeAutospacing="0" w:after="0" w:afterAutospacing="0" w:line="400" w:lineRule="exact"/>
              <w:ind w:left="0" w:right="0"/>
              <w:jc w:val="center"/>
              <w:outlineLvl w:val="9"/>
              <w:rPr>
                <w:rFonts w:hint="eastAsia" w:ascii="微软雅黑 Light" w:hAnsi="微软雅黑 Light" w:eastAsia="微软雅黑 Light" w:cs="微软雅黑 Light"/>
                <w:color w:val="auto"/>
                <w:kern w:val="2"/>
                <w:sz w:val="24"/>
                <w:szCs w:val="24"/>
                <w:highlight w:val="none"/>
                <w:lang w:val="en-US" w:eastAsia="zh-CN" w:bidi="ar-SA"/>
              </w:rPr>
            </w:pPr>
          </w:p>
        </w:tc>
      </w:tr>
    </w:tbl>
    <w:p w14:paraId="3748D3FA">
      <w:pPr>
        <w:pStyle w:val="17"/>
        <w:tabs>
          <w:tab w:val="left" w:pos="5580"/>
        </w:tabs>
        <w:spacing w:line="400" w:lineRule="exact"/>
        <w:jc w:val="left"/>
        <w:outlineLvl w:val="9"/>
        <w:rPr>
          <w:rFonts w:hint="eastAsia" w:ascii="微软雅黑 Light" w:hAnsi="微软雅黑 Light" w:eastAsia="微软雅黑 Light" w:cs="微软雅黑 Light"/>
          <w:color w:val="auto"/>
          <w:sz w:val="24"/>
          <w:szCs w:val="24"/>
          <w:highlight w:val="none"/>
        </w:rPr>
      </w:pPr>
    </w:p>
    <w:p w14:paraId="234F599B">
      <w:pPr>
        <w:pStyle w:val="17"/>
        <w:tabs>
          <w:tab w:val="left" w:pos="5580"/>
        </w:tabs>
        <w:spacing w:line="400" w:lineRule="exact"/>
        <w:jc w:val="left"/>
        <w:outlineLvl w:val="9"/>
        <w:rPr>
          <w:rFonts w:hint="default"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rPr>
        <w:t>注：</w:t>
      </w:r>
      <w:r>
        <w:rPr>
          <w:rFonts w:hint="eastAsia" w:ascii="微软雅黑 Light" w:hAnsi="微软雅黑 Light" w:eastAsia="微软雅黑 Light" w:cs="微软雅黑 Light"/>
          <w:color w:val="auto"/>
          <w:sz w:val="24"/>
          <w:szCs w:val="24"/>
          <w:highlight w:val="none"/>
          <w:u w:val="none"/>
          <w:lang w:val="en-US" w:eastAsia="zh-CN"/>
        </w:rPr>
        <w:t>此表</w:t>
      </w:r>
      <w:r>
        <w:rPr>
          <w:rFonts w:hint="eastAsia" w:ascii="微软雅黑 Light" w:hAnsi="微软雅黑 Light" w:eastAsia="微软雅黑 Light" w:cs="微软雅黑 Light"/>
          <w:color w:val="auto"/>
          <w:sz w:val="24"/>
          <w:szCs w:val="24"/>
          <w:highlight w:val="none"/>
        </w:rPr>
        <w:t>按需填写</w:t>
      </w:r>
      <w:r>
        <w:rPr>
          <w:rFonts w:hint="eastAsia" w:ascii="微软雅黑 Light" w:hAnsi="微软雅黑 Light" w:eastAsia="微软雅黑 Light" w:cs="微软雅黑 Light"/>
          <w:color w:val="auto"/>
          <w:sz w:val="24"/>
          <w:szCs w:val="24"/>
          <w:highlight w:val="none"/>
          <w:lang w:eastAsia="zh-CN"/>
        </w:rPr>
        <w:t>，</w:t>
      </w:r>
      <w:r>
        <w:rPr>
          <w:rFonts w:hint="eastAsia" w:ascii="微软雅黑 Light" w:hAnsi="微软雅黑 Light" w:eastAsia="微软雅黑 Light" w:cs="微软雅黑 Light"/>
          <w:color w:val="auto"/>
          <w:sz w:val="24"/>
          <w:szCs w:val="24"/>
          <w:highlight w:val="none"/>
          <w:lang w:val="en-US" w:eastAsia="zh-CN"/>
        </w:rPr>
        <w:t>无则填</w:t>
      </w:r>
      <w:r>
        <w:rPr>
          <w:rFonts w:hint="eastAsia" w:ascii="微软雅黑 Light" w:hAnsi="微软雅黑 Light" w:eastAsia="微软雅黑 Light" w:cs="微软雅黑 Light"/>
          <w:color w:val="auto"/>
          <w:sz w:val="24"/>
          <w:szCs w:val="24"/>
          <w:highlight w:val="none"/>
          <w:u w:val="single"/>
          <w:lang w:val="en-US" w:eastAsia="zh-CN"/>
        </w:rPr>
        <w:t xml:space="preserve"> / </w:t>
      </w:r>
      <w:r>
        <w:rPr>
          <w:rFonts w:hint="eastAsia" w:ascii="微软雅黑 Light" w:hAnsi="微软雅黑 Light" w:eastAsia="微软雅黑 Light" w:cs="微软雅黑 Light"/>
          <w:color w:val="auto"/>
          <w:sz w:val="24"/>
          <w:szCs w:val="24"/>
          <w:highlight w:val="none"/>
          <w:u w:val="none"/>
          <w:lang w:val="en-US" w:eastAsia="zh-CN"/>
        </w:rPr>
        <w:t>。</w:t>
      </w:r>
    </w:p>
    <w:p w14:paraId="6C9615EF">
      <w:pPr>
        <w:pStyle w:val="17"/>
        <w:tabs>
          <w:tab w:val="left" w:pos="5580"/>
        </w:tabs>
        <w:spacing w:line="400" w:lineRule="exact"/>
        <w:jc w:val="left"/>
        <w:outlineLvl w:val="9"/>
        <w:rPr>
          <w:rFonts w:hint="eastAsia" w:ascii="微软雅黑 Light" w:hAnsi="微软雅黑 Light" w:eastAsia="微软雅黑 Light" w:cs="微软雅黑 Light"/>
          <w:color w:val="auto"/>
          <w:sz w:val="24"/>
          <w:szCs w:val="24"/>
          <w:highlight w:val="none"/>
        </w:rPr>
      </w:pPr>
    </w:p>
    <w:p w14:paraId="5A7B96F7">
      <w:pPr>
        <w:pStyle w:val="17"/>
        <w:tabs>
          <w:tab w:val="left" w:pos="5580"/>
        </w:tabs>
        <w:spacing w:line="400" w:lineRule="exact"/>
        <w:jc w:val="left"/>
        <w:outlineLvl w:val="9"/>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供应商名称（盖章）：</w:t>
      </w:r>
      <w:r>
        <w:rPr>
          <w:rFonts w:hint="eastAsia" w:ascii="微软雅黑 Light" w:hAnsi="微软雅黑 Light" w:eastAsia="微软雅黑 Light" w:cs="微软雅黑 Light"/>
          <w:color w:val="auto"/>
          <w:sz w:val="24"/>
          <w:szCs w:val="24"/>
          <w:highlight w:val="none"/>
          <w:u w:val="single"/>
        </w:rPr>
        <w:t xml:space="preserve">                       </w:t>
      </w:r>
    </w:p>
    <w:p w14:paraId="3EF51E74">
      <w:pPr>
        <w:pStyle w:val="17"/>
        <w:tabs>
          <w:tab w:val="left" w:pos="5580"/>
        </w:tabs>
        <w:spacing w:line="400" w:lineRule="exact"/>
        <w:jc w:val="left"/>
        <w:outlineLvl w:val="9"/>
        <w:rPr>
          <w:rFonts w:hint="eastAsia" w:ascii="微软雅黑 Light" w:hAnsi="微软雅黑 Light" w:eastAsia="微软雅黑 Light" w:cs="微软雅黑 Light"/>
          <w:color w:val="auto"/>
          <w:sz w:val="24"/>
          <w:szCs w:val="24"/>
          <w:highlight w:val="none"/>
          <w:u w:val="single"/>
        </w:rPr>
      </w:pPr>
      <w:r>
        <w:rPr>
          <w:rFonts w:hint="eastAsia" w:ascii="微软雅黑 Light" w:hAnsi="微软雅黑 Light" w:eastAsia="微软雅黑 Light" w:cs="微软雅黑 Light"/>
          <w:color w:val="auto"/>
          <w:sz w:val="24"/>
          <w:szCs w:val="24"/>
          <w:highlight w:val="none"/>
        </w:rPr>
        <w:t>法定代表人或其委托代理人(签字或签章):</w:t>
      </w:r>
      <w:r>
        <w:rPr>
          <w:rFonts w:hint="eastAsia" w:ascii="微软雅黑 Light" w:hAnsi="微软雅黑 Light" w:eastAsia="微软雅黑 Light" w:cs="微软雅黑 Light"/>
          <w:color w:val="auto"/>
          <w:sz w:val="24"/>
          <w:szCs w:val="24"/>
          <w:highlight w:val="none"/>
          <w:u w:val="single"/>
        </w:rPr>
        <w:tab/>
      </w:r>
    </w:p>
    <w:p w14:paraId="6C381D9A">
      <w:pPr>
        <w:pStyle w:val="17"/>
        <w:tabs>
          <w:tab w:val="left" w:pos="5580"/>
        </w:tabs>
        <w:spacing w:line="400" w:lineRule="exact"/>
        <w:jc w:val="left"/>
        <w:outlineLvl w:val="9"/>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日期：  年   月    日</w:t>
      </w:r>
    </w:p>
    <w:p w14:paraId="0CABAE84">
      <w:pPr>
        <w:pStyle w:val="26"/>
        <w:outlineLvl w:val="9"/>
        <w:rPr>
          <w:rFonts w:hint="eastAsia"/>
          <w:color w:val="auto"/>
          <w:highlight w:val="none"/>
        </w:rPr>
      </w:pPr>
    </w:p>
    <w:p w14:paraId="4C61D05F">
      <w:pPr>
        <w:pStyle w:val="17"/>
        <w:tabs>
          <w:tab w:val="left" w:pos="5580"/>
        </w:tabs>
        <w:spacing w:line="400" w:lineRule="exact"/>
        <w:jc w:val="left"/>
        <w:outlineLvl w:val="9"/>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注:1. 如果按分项报价计算的结果与总价不一致,以分项报价为准修正总价。</w:t>
      </w:r>
    </w:p>
    <w:p w14:paraId="4AC52D7E">
      <w:pPr>
        <w:pStyle w:val="17"/>
        <w:tabs>
          <w:tab w:val="left" w:pos="5580"/>
        </w:tabs>
        <w:spacing w:line="400" w:lineRule="exact"/>
        <w:ind w:firstLine="240" w:firstLineChars="100"/>
        <w:jc w:val="left"/>
        <w:outlineLvl w:val="9"/>
        <w:rPr>
          <w:rFonts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 上述各项的详细分项报价，可另页描述，请投标企业认真填写每一项报价，便于后期审计。</w:t>
      </w:r>
    </w:p>
    <w:p w14:paraId="023E17CC">
      <w:pPr>
        <w:pStyle w:val="17"/>
        <w:tabs>
          <w:tab w:val="left" w:pos="5580"/>
        </w:tabs>
        <w:spacing w:line="400" w:lineRule="exact"/>
        <w:ind w:firstLine="240" w:firstLineChars="100"/>
        <w:jc w:val="left"/>
        <w:outlineLvl w:val="9"/>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 如果开标一览表（报价表）内容与投标文件中明细表内容不一致的，以开标一览表（报价表）内容为准。</w:t>
      </w:r>
    </w:p>
    <w:p w14:paraId="1743C06C">
      <w:pPr>
        <w:outlineLvl w:val="9"/>
        <w:rPr>
          <w:highlight w:val="none"/>
        </w:rPr>
      </w:pPr>
    </w:p>
    <w:p w14:paraId="686BB417">
      <w:pPr>
        <w:outlineLvl w:val="9"/>
        <w:rPr>
          <w:rFonts w:hint="eastAsia" w:ascii="宋体" w:hAnsi="宋体" w:eastAsia="宋体" w:cs="宋体"/>
          <w:sz w:val="24"/>
          <w:highlight w:val="none"/>
          <w:lang w:val="en-US" w:eastAsia="zh-CN"/>
        </w:rPr>
      </w:pPr>
      <w:bookmarkStart w:id="231" w:name="_Toc216582818"/>
      <w:bookmarkStart w:id="232" w:name="_Toc23764"/>
      <w:bookmarkStart w:id="233" w:name="_Toc8111"/>
      <w:bookmarkStart w:id="234" w:name="_Toc518923119"/>
    </w:p>
    <w:p w14:paraId="757C5749">
      <w:pPr>
        <w:numPr>
          <w:ilvl w:val="0"/>
          <w:numId w:val="0"/>
        </w:numPr>
        <w:spacing w:before="0" w:line="240" w:lineRule="atLeast"/>
        <w:jc w:val="center"/>
        <w:outlineLvl w:val="9"/>
        <w:rPr>
          <w:rFonts w:ascii="宋体" w:hAnsi="宋体" w:eastAsia="宋体" w:cs="宋体"/>
          <w:sz w:val="24"/>
          <w:highlight w:val="none"/>
        </w:rPr>
      </w:pPr>
      <w:r>
        <w:rPr>
          <w:rFonts w:hint="eastAsia" w:ascii="宋体" w:hAnsi="宋体" w:eastAsia="宋体" w:cs="宋体"/>
          <w:sz w:val="24"/>
          <w:highlight w:val="none"/>
          <w:lang w:val="en-US" w:eastAsia="zh-CN"/>
        </w:rPr>
        <w:br w:type="page"/>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 xml:space="preserve">    技术规格偏离表（响应文件格式</w:t>
      </w:r>
      <w:r>
        <w:rPr>
          <w:rFonts w:hint="eastAsia" w:ascii="宋体" w:hAnsi="宋体" w:eastAsia="宋体" w:cs="宋体"/>
          <w:sz w:val="24"/>
          <w:highlight w:val="none"/>
          <w:lang w:val="en-US" w:eastAsia="zh-CN"/>
        </w:rPr>
        <w:t>六</w:t>
      </w:r>
      <w:r>
        <w:rPr>
          <w:rFonts w:hint="eastAsia" w:ascii="宋体" w:hAnsi="宋体" w:eastAsia="宋体" w:cs="宋体"/>
          <w:sz w:val="24"/>
          <w:highlight w:val="none"/>
        </w:rPr>
        <w:t>）</w:t>
      </w:r>
    </w:p>
    <w:p w14:paraId="2DC97F22">
      <w:pPr>
        <w:pStyle w:val="17"/>
        <w:spacing w:line="360" w:lineRule="exact"/>
        <w:ind w:left="1080" w:leftChars="257" w:hanging="540"/>
        <w:outlineLvl w:val="9"/>
        <w:rPr>
          <w:rFonts w:ascii="宋体" w:hAnsi="宋体" w:eastAsia="宋体" w:cs="宋体"/>
          <w:sz w:val="24"/>
          <w:highlight w:val="none"/>
        </w:rPr>
      </w:pPr>
    </w:p>
    <w:p w14:paraId="4FDD7D03">
      <w:pPr>
        <w:pStyle w:val="17"/>
        <w:spacing w:line="360" w:lineRule="exact"/>
        <w:outlineLvl w:val="9"/>
        <w:rPr>
          <w:rFonts w:ascii="宋体" w:hAnsi="宋体" w:eastAsia="宋体" w:cs="宋体"/>
          <w:sz w:val="24"/>
          <w:highlight w:val="none"/>
        </w:rPr>
      </w:pPr>
      <w:r>
        <w:rPr>
          <w:rFonts w:hint="eastAsia" w:ascii="宋体" w:hAnsi="宋体" w:eastAsia="宋体" w:cs="宋体"/>
          <w:sz w:val="24"/>
          <w:highlight w:val="none"/>
        </w:rPr>
        <w:t>项目名称:                       磋商文件编号:                 包号:</w:t>
      </w:r>
    </w:p>
    <w:tbl>
      <w:tblPr>
        <w:tblStyle w:val="38"/>
        <w:tblpPr w:leftFromText="180" w:rightFromText="180" w:vertAnchor="text" w:horzAnchor="page" w:tblpX="1837" w:tblpY="613"/>
        <w:tblOverlap w:val="never"/>
        <w:tblW w:w="8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608"/>
        <w:gridCol w:w="1608"/>
        <w:gridCol w:w="1608"/>
        <w:gridCol w:w="1148"/>
        <w:gridCol w:w="1148"/>
      </w:tblGrid>
      <w:tr w14:paraId="6A2B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56" w:type="dxa"/>
            <w:noWrap w:val="0"/>
            <w:vAlign w:val="center"/>
          </w:tcPr>
          <w:p w14:paraId="7FE7931D">
            <w:pPr>
              <w:pStyle w:val="17"/>
              <w:keepNext w:val="0"/>
              <w:keepLines w:val="0"/>
              <w:suppressLineNumbers w:val="0"/>
              <w:spacing w:before="0" w:beforeAutospacing="0" w:after="0" w:afterAutospacing="0" w:line="360" w:lineRule="exact"/>
              <w:ind w:left="0" w:right="0"/>
              <w:jc w:val="center"/>
              <w:outlineLvl w:val="9"/>
              <w:rPr>
                <w:rFonts w:hint="default" w:ascii="宋体" w:hAnsi="宋体" w:eastAsia="宋体" w:cs="宋体"/>
                <w:sz w:val="24"/>
                <w:highlight w:val="none"/>
              </w:rPr>
            </w:pPr>
            <w:r>
              <w:rPr>
                <w:rFonts w:hint="eastAsia" w:ascii="宋体" w:hAnsi="宋体" w:eastAsia="宋体" w:cs="宋体"/>
                <w:sz w:val="24"/>
                <w:highlight w:val="none"/>
              </w:rPr>
              <w:t>序号</w:t>
            </w:r>
          </w:p>
        </w:tc>
        <w:tc>
          <w:tcPr>
            <w:tcW w:w="1608" w:type="dxa"/>
            <w:noWrap w:val="0"/>
            <w:vAlign w:val="center"/>
          </w:tcPr>
          <w:p w14:paraId="7D525F8C">
            <w:pPr>
              <w:pStyle w:val="17"/>
              <w:keepNext w:val="0"/>
              <w:keepLines w:val="0"/>
              <w:suppressLineNumbers w:val="0"/>
              <w:spacing w:before="0" w:beforeAutospacing="0" w:after="0" w:afterAutospacing="0" w:line="360" w:lineRule="exact"/>
              <w:ind w:left="0" w:right="0"/>
              <w:jc w:val="center"/>
              <w:outlineLvl w:val="9"/>
              <w:rPr>
                <w:rFonts w:hint="default" w:ascii="宋体" w:hAnsi="宋体" w:eastAsia="宋体" w:cs="宋体"/>
                <w:sz w:val="24"/>
                <w:highlight w:val="none"/>
              </w:rPr>
            </w:pPr>
            <w:r>
              <w:rPr>
                <w:rFonts w:hint="eastAsia" w:ascii="宋体" w:hAnsi="宋体" w:eastAsia="宋体" w:cs="宋体"/>
                <w:sz w:val="24"/>
                <w:highlight w:val="none"/>
              </w:rPr>
              <w:t>服务名称</w:t>
            </w:r>
          </w:p>
        </w:tc>
        <w:tc>
          <w:tcPr>
            <w:tcW w:w="1608" w:type="dxa"/>
            <w:noWrap w:val="0"/>
            <w:vAlign w:val="center"/>
          </w:tcPr>
          <w:p w14:paraId="75894E0F">
            <w:pPr>
              <w:pStyle w:val="17"/>
              <w:keepNext w:val="0"/>
              <w:keepLines w:val="0"/>
              <w:suppressLineNumbers w:val="0"/>
              <w:spacing w:before="0" w:beforeAutospacing="0" w:after="0" w:afterAutospacing="0" w:line="360" w:lineRule="exact"/>
              <w:ind w:left="0" w:right="0"/>
              <w:jc w:val="center"/>
              <w:outlineLvl w:val="9"/>
              <w:rPr>
                <w:rFonts w:hint="default" w:ascii="宋体" w:hAnsi="宋体" w:eastAsia="宋体" w:cs="宋体"/>
                <w:sz w:val="24"/>
                <w:highlight w:val="none"/>
              </w:rPr>
            </w:pPr>
            <w:r>
              <w:rPr>
                <w:rFonts w:hint="eastAsia" w:ascii="宋体" w:hAnsi="宋体" w:eastAsia="宋体" w:cs="宋体"/>
                <w:sz w:val="24"/>
                <w:highlight w:val="none"/>
              </w:rPr>
              <w:t>磋商文件规格</w:t>
            </w:r>
          </w:p>
        </w:tc>
        <w:tc>
          <w:tcPr>
            <w:tcW w:w="1608" w:type="dxa"/>
            <w:noWrap w:val="0"/>
            <w:vAlign w:val="center"/>
          </w:tcPr>
          <w:p w14:paraId="7EC3000B">
            <w:pPr>
              <w:pStyle w:val="17"/>
              <w:keepNext w:val="0"/>
              <w:keepLines w:val="0"/>
              <w:suppressLineNumbers w:val="0"/>
              <w:spacing w:before="0" w:beforeAutospacing="0" w:after="0" w:afterAutospacing="0" w:line="360" w:lineRule="exact"/>
              <w:ind w:left="0" w:right="0"/>
              <w:jc w:val="center"/>
              <w:outlineLvl w:val="9"/>
              <w:rPr>
                <w:rFonts w:hint="default" w:ascii="宋体" w:hAnsi="宋体" w:eastAsia="宋体" w:cs="宋体"/>
                <w:sz w:val="24"/>
                <w:highlight w:val="none"/>
              </w:rPr>
            </w:pPr>
            <w:r>
              <w:rPr>
                <w:rFonts w:hint="eastAsia" w:ascii="宋体" w:hAnsi="宋体" w:eastAsia="宋体" w:cs="宋体"/>
                <w:sz w:val="24"/>
                <w:highlight w:val="none"/>
              </w:rPr>
              <w:t>响应文件规格</w:t>
            </w:r>
          </w:p>
        </w:tc>
        <w:tc>
          <w:tcPr>
            <w:tcW w:w="1148" w:type="dxa"/>
            <w:noWrap w:val="0"/>
            <w:vAlign w:val="center"/>
          </w:tcPr>
          <w:p w14:paraId="6EA60B61">
            <w:pPr>
              <w:pStyle w:val="17"/>
              <w:keepNext w:val="0"/>
              <w:keepLines w:val="0"/>
              <w:suppressLineNumbers w:val="0"/>
              <w:spacing w:before="0" w:beforeAutospacing="0" w:after="0" w:afterAutospacing="0" w:line="360" w:lineRule="exact"/>
              <w:ind w:left="0" w:right="0"/>
              <w:jc w:val="center"/>
              <w:outlineLvl w:val="9"/>
              <w:rPr>
                <w:rFonts w:hint="default" w:ascii="宋体" w:hAnsi="宋体" w:eastAsia="宋体" w:cs="宋体"/>
                <w:sz w:val="24"/>
                <w:highlight w:val="none"/>
              </w:rPr>
            </w:pPr>
            <w:r>
              <w:rPr>
                <w:rFonts w:hint="eastAsia" w:ascii="宋体" w:hAnsi="宋体" w:eastAsia="宋体" w:cs="宋体"/>
                <w:sz w:val="24"/>
                <w:highlight w:val="none"/>
              </w:rPr>
              <w:t>偏离</w:t>
            </w:r>
          </w:p>
        </w:tc>
        <w:tc>
          <w:tcPr>
            <w:tcW w:w="1148" w:type="dxa"/>
            <w:noWrap w:val="0"/>
            <w:vAlign w:val="center"/>
          </w:tcPr>
          <w:p w14:paraId="7FC036C0">
            <w:pPr>
              <w:pStyle w:val="17"/>
              <w:keepNext w:val="0"/>
              <w:keepLines w:val="0"/>
              <w:suppressLineNumbers w:val="0"/>
              <w:spacing w:before="0" w:beforeAutospacing="0" w:after="0" w:afterAutospacing="0" w:line="360" w:lineRule="exact"/>
              <w:ind w:left="0" w:right="0"/>
              <w:jc w:val="center"/>
              <w:outlineLvl w:val="9"/>
              <w:rPr>
                <w:rFonts w:hint="default" w:ascii="宋体" w:hAnsi="宋体" w:eastAsia="宋体" w:cs="宋体"/>
                <w:sz w:val="24"/>
                <w:highlight w:val="none"/>
              </w:rPr>
            </w:pPr>
            <w:r>
              <w:rPr>
                <w:rFonts w:hint="eastAsia" w:ascii="宋体" w:hAnsi="宋体" w:eastAsia="宋体" w:cs="宋体"/>
                <w:sz w:val="24"/>
                <w:highlight w:val="none"/>
              </w:rPr>
              <w:t>说明</w:t>
            </w:r>
          </w:p>
        </w:tc>
      </w:tr>
      <w:tr w14:paraId="1BD8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56" w:type="dxa"/>
            <w:noWrap w:val="0"/>
            <w:vAlign w:val="top"/>
          </w:tcPr>
          <w:p w14:paraId="5002E6F8">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59C5DFB8">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548C4F56">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66DDC63E">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3A4A6D87">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05D8332F">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5931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56" w:type="dxa"/>
            <w:noWrap w:val="0"/>
            <w:vAlign w:val="top"/>
          </w:tcPr>
          <w:p w14:paraId="78F3DAF4">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76F6F4DC">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6D86B2C5">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1C52CB9F">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44D92B91">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1F26E862">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1238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56" w:type="dxa"/>
            <w:noWrap w:val="0"/>
            <w:vAlign w:val="top"/>
          </w:tcPr>
          <w:p w14:paraId="60B7C016">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5EC015BD">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1635722E">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79D790C1">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70C156E0">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0E4D55BA">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102C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56" w:type="dxa"/>
            <w:noWrap w:val="0"/>
            <w:vAlign w:val="top"/>
          </w:tcPr>
          <w:p w14:paraId="737D5BA1">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5FD74DA2">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1D954C51">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1E59F818">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4EC0E580">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1AB150CA">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11E7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56" w:type="dxa"/>
            <w:noWrap w:val="0"/>
            <w:vAlign w:val="top"/>
          </w:tcPr>
          <w:p w14:paraId="4D2B2546">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6C62F6D8">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65E2EED8">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64ED342E">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2E9A74E1">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46745ABF">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2932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56" w:type="dxa"/>
            <w:noWrap w:val="0"/>
            <w:vAlign w:val="top"/>
          </w:tcPr>
          <w:p w14:paraId="08A586CE">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11CB8A8C">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099FFD6A">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10DE3324">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6DDA452E">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55A313A6">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5947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56" w:type="dxa"/>
            <w:noWrap w:val="0"/>
            <w:vAlign w:val="top"/>
          </w:tcPr>
          <w:p w14:paraId="01A3BDA6">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7E2B5EF1">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52DBE67B">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63AD5A6B">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60B8CE9D">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4DB59850">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5E08E609">
        <w:tblPrEx>
          <w:tblCellMar>
            <w:top w:w="0" w:type="dxa"/>
            <w:left w:w="108" w:type="dxa"/>
            <w:bottom w:w="0" w:type="dxa"/>
            <w:right w:w="108" w:type="dxa"/>
          </w:tblCellMar>
        </w:tblPrEx>
        <w:trPr>
          <w:trHeight w:val="526" w:hRule="atLeast"/>
        </w:trPr>
        <w:tc>
          <w:tcPr>
            <w:tcW w:w="1056" w:type="dxa"/>
            <w:noWrap w:val="0"/>
            <w:vAlign w:val="top"/>
          </w:tcPr>
          <w:p w14:paraId="7A8F9BEA">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03F033FC">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03D2FCA4">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7FDE2045">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560472A2">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281C9BA7">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48BF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56" w:type="dxa"/>
            <w:noWrap w:val="0"/>
            <w:vAlign w:val="top"/>
          </w:tcPr>
          <w:p w14:paraId="2681A32D">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6FCA666C">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4FC3A549">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15062E90">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6F7AAB68">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02854B6C">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18C4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56" w:type="dxa"/>
            <w:noWrap w:val="0"/>
            <w:vAlign w:val="top"/>
          </w:tcPr>
          <w:p w14:paraId="6192FC34">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3791CA1A">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4A0CB82A">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4676BA3F">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00D177FC">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5C37EDCB">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0659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56" w:type="dxa"/>
            <w:noWrap w:val="0"/>
            <w:vAlign w:val="top"/>
          </w:tcPr>
          <w:p w14:paraId="35CB5497">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355FEE53">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4C749D8D">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01858C41">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455018E9">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17F7AAE8">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45D0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56" w:type="dxa"/>
            <w:noWrap w:val="0"/>
            <w:vAlign w:val="top"/>
          </w:tcPr>
          <w:p w14:paraId="5CE5AD6D">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4FBDDE63">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737BFCE5">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46E40C2C">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0DE9A604">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062DD79F">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015B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56" w:type="dxa"/>
            <w:noWrap w:val="0"/>
            <w:vAlign w:val="top"/>
          </w:tcPr>
          <w:p w14:paraId="72E6E1AD">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246338F5">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7211B6B7">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516C55A8">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0B5ED25C">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7CDBF933">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6098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56" w:type="dxa"/>
            <w:noWrap w:val="0"/>
            <w:vAlign w:val="top"/>
          </w:tcPr>
          <w:p w14:paraId="2B2393EE">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5E2DE241">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40F1BAF4">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18D85DEC">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085561C4">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6AF4DA6A">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4DE1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56" w:type="dxa"/>
            <w:noWrap w:val="0"/>
            <w:vAlign w:val="top"/>
          </w:tcPr>
          <w:p w14:paraId="06C09BC6">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7C0C8E0C">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6112284B">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394328FA">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69F6268C">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7C2C9F74">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5EC4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56" w:type="dxa"/>
            <w:noWrap w:val="0"/>
            <w:vAlign w:val="top"/>
          </w:tcPr>
          <w:p w14:paraId="78A8BE5E">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5140ABCB">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35A692BC">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2E6F596D">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1FE83512">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71FF9247">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r w14:paraId="04A3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56" w:type="dxa"/>
            <w:noWrap w:val="0"/>
            <w:vAlign w:val="top"/>
          </w:tcPr>
          <w:p w14:paraId="5FC352BD">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430A496E">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4A018487">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608" w:type="dxa"/>
            <w:noWrap w:val="0"/>
            <w:vAlign w:val="top"/>
          </w:tcPr>
          <w:p w14:paraId="3452235B">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223FA4FF">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c>
          <w:tcPr>
            <w:tcW w:w="1148" w:type="dxa"/>
            <w:noWrap w:val="0"/>
            <w:vAlign w:val="top"/>
          </w:tcPr>
          <w:p w14:paraId="0F8E14E6">
            <w:pPr>
              <w:pStyle w:val="17"/>
              <w:keepNext w:val="0"/>
              <w:keepLines w:val="0"/>
              <w:suppressLineNumbers w:val="0"/>
              <w:spacing w:before="0" w:beforeAutospacing="0" w:after="0" w:afterAutospacing="0" w:line="360" w:lineRule="exact"/>
              <w:ind w:left="1080" w:leftChars="257" w:right="0" w:hanging="540"/>
              <w:outlineLvl w:val="9"/>
              <w:rPr>
                <w:rFonts w:hint="default" w:ascii="宋体" w:hAnsi="宋体" w:eastAsia="宋体" w:cs="宋体"/>
                <w:sz w:val="24"/>
                <w:highlight w:val="none"/>
              </w:rPr>
            </w:pPr>
          </w:p>
        </w:tc>
      </w:tr>
    </w:tbl>
    <w:p w14:paraId="04947B03">
      <w:pPr>
        <w:pStyle w:val="17"/>
        <w:spacing w:line="360" w:lineRule="exact"/>
        <w:ind w:left="1080" w:leftChars="257" w:hanging="540"/>
        <w:outlineLvl w:val="9"/>
        <w:rPr>
          <w:rFonts w:ascii="宋体" w:hAnsi="宋体" w:eastAsia="宋体" w:cs="宋体"/>
          <w:sz w:val="24"/>
          <w:highlight w:val="none"/>
        </w:rPr>
      </w:pPr>
    </w:p>
    <w:p w14:paraId="4A74E687">
      <w:pPr>
        <w:pStyle w:val="17"/>
        <w:spacing w:line="360" w:lineRule="exact"/>
        <w:ind w:left="1080" w:leftChars="257" w:hanging="540"/>
        <w:outlineLvl w:val="9"/>
        <w:rPr>
          <w:rFonts w:ascii="宋体" w:hAnsi="宋体" w:eastAsia="宋体" w:cs="宋体"/>
          <w:sz w:val="24"/>
          <w:highlight w:val="none"/>
        </w:rPr>
      </w:pPr>
    </w:p>
    <w:p w14:paraId="5E17B69F">
      <w:pPr>
        <w:pStyle w:val="17"/>
        <w:spacing w:line="360" w:lineRule="exact"/>
        <w:ind w:left="1080" w:leftChars="257" w:hanging="540"/>
        <w:outlineLvl w:val="9"/>
        <w:rPr>
          <w:rFonts w:ascii="宋体" w:hAnsi="宋体" w:eastAsia="宋体" w:cs="宋体"/>
          <w:sz w:val="24"/>
          <w:highlight w:val="none"/>
        </w:rPr>
      </w:pPr>
    </w:p>
    <w:p w14:paraId="6B98CE20">
      <w:pPr>
        <w:pStyle w:val="26"/>
        <w:outlineLvl w:val="9"/>
        <w:rPr>
          <w:rFonts w:ascii="宋体" w:hAnsi="宋体" w:eastAsia="宋体" w:cs="宋体"/>
          <w:sz w:val="24"/>
          <w:highlight w:val="none"/>
        </w:rPr>
      </w:pPr>
    </w:p>
    <w:p w14:paraId="43763D6D">
      <w:pPr>
        <w:outlineLvl w:val="9"/>
        <w:rPr>
          <w:rFonts w:ascii="宋体" w:hAnsi="宋体" w:eastAsia="宋体" w:cs="宋体"/>
          <w:sz w:val="24"/>
          <w:highlight w:val="none"/>
        </w:rPr>
      </w:pPr>
    </w:p>
    <w:p w14:paraId="138A4B90">
      <w:pPr>
        <w:pStyle w:val="57"/>
        <w:outlineLvl w:val="9"/>
        <w:rPr>
          <w:rFonts w:ascii="宋体" w:hAnsi="宋体" w:eastAsia="宋体" w:cs="宋体"/>
          <w:sz w:val="24"/>
          <w:highlight w:val="none"/>
        </w:rPr>
      </w:pPr>
    </w:p>
    <w:p w14:paraId="536DDDE1">
      <w:pPr>
        <w:outlineLvl w:val="9"/>
        <w:rPr>
          <w:rFonts w:ascii="宋体" w:hAnsi="宋体" w:eastAsia="宋体" w:cs="宋体"/>
          <w:sz w:val="24"/>
          <w:highlight w:val="none"/>
        </w:rPr>
      </w:pPr>
    </w:p>
    <w:p w14:paraId="216274A0">
      <w:pPr>
        <w:pStyle w:val="57"/>
        <w:outlineLvl w:val="9"/>
        <w:rPr>
          <w:rFonts w:ascii="宋体" w:hAnsi="宋体" w:eastAsia="宋体" w:cs="宋体"/>
          <w:sz w:val="24"/>
          <w:highlight w:val="none"/>
        </w:rPr>
      </w:pPr>
    </w:p>
    <w:p w14:paraId="2269A41E">
      <w:pPr>
        <w:outlineLvl w:val="9"/>
        <w:rPr>
          <w:rFonts w:ascii="宋体" w:hAnsi="宋体" w:eastAsia="宋体" w:cs="宋体"/>
          <w:sz w:val="24"/>
          <w:highlight w:val="none"/>
        </w:rPr>
      </w:pPr>
    </w:p>
    <w:p w14:paraId="55E4BFBB">
      <w:pPr>
        <w:pStyle w:val="57"/>
        <w:outlineLvl w:val="9"/>
        <w:rPr>
          <w:rFonts w:ascii="宋体" w:hAnsi="宋体" w:eastAsia="宋体" w:cs="宋体"/>
          <w:sz w:val="24"/>
          <w:highlight w:val="none"/>
        </w:rPr>
      </w:pPr>
    </w:p>
    <w:p w14:paraId="268DCD1D">
      <w:pPr>
        <w:outlineLvl w:val="9"/>
        <w:rPr>
          <w:rFonts w:ascii="宋体" w:hAnsi="宋体" w:eastAsia="宋体" w:cs="宋体"/>
          <w:sz w:val="24"/>
          <w:highlight w:val="none"/>
        </w:rPr>
      </w:pPr>
    </w:p>
    <w:p w14:paraId="37195A1D">
      <w:pPr>
        <w:pStyle w:val="57"/>
        <w:outlineLvl w:val="9"/>
        <w:rPr>
          <w:rFonts w:ascii="宋体" w:hAnsi="宋体" w:eastAsia="宋体" w:cs="宋体"/>
          <w:sz w:val="24"/>
          <w:highlight w:val="none"/>
        </w:rPr>
      </w:pPr>
    </w:p>
    <w:p w14:paraId="4186907B">
      <w:pPr>
        <w:outlineLvl w:val="9"/>
        <w:rPr>
          <w:rFonts w:ascii="宋体" w:hAnsi="宋体" w:eastAsia="宋体" w:cs="宋体"/>
          <w:sz w:val="24"/>
          <w:highlight w:val="none"/>
        </w:rPr>
      </w:pPr>
    </w:p>
    <w:p w14:paraId="2A71D0B6">
      <w:pPr>
        <w:pStyle w:val="57"/>
        <w:outlineLvl w:val="9"/>
        <w:rPr>
          <w:rFonts w:ascii="宋体" w:hAnsi="宋体" w:eastAsia="宋体" w:cs="宋体"/>
          <w:sz w:val="24"/>
          <w:highlight w:val="none"/>
        </w:rPr>
      </w:pPr>
    </w:p>
    <w:p w14:paraId="45396C11">
      <w:pPr>
        <w:outlineLvl w:val="9"/>
        <w:rPr>
          <w:rFonts w:ascii="宋体" w:hAnsi="宋体" w:eastAsia="宋体" w:cs="宋体"/>
          <w:sz w:val="24"/>
          <w:highlight w:val="none"/>
        </w:rPr>
      </w:pPr>
    </w:p>
    <w:p w14:paraId="13074953">
      <w:pPr>
        <w:pStyle w:val="57"/>
        <w:outlineLvl w:val="9"/>
        <w:rPr>
          <w:rFonts w:ascii="宋体" w:hAnsi="宋体" w:eastAsia="宋体" w:cs="宋体"/>
          <w:sz w:val="24"/>
          <w:highlight w:val="none"/>
        </w:rPr>
      </w:pPr>
    </w:p>
    <w:p w14:paraId="71545F32">
      <w:pPr>
        <w:outlineLvl w:val="9"/>
        <w:rPr>
          <w:rFonts w:ascii="宋体" w:hAnsi="宋体" w:eastAsia="宋体" w:cs="宋体"/>
          <w:sz w:val="24"/>
          <w:highlight w:val="none"/>
        </w:rPr>
      </w:pPr>
    </w:p>
    <w:p w14:paraId="4A1FC26F">
      <w:pPr>
        <w:pStyle w:val="57"/>
        <w:outlineLvl w:val="9"/>
        <w:rPr>
          <w:rFonts w:ascii="宋体" w:hAnsi="宋体" w:eastAsia="宋体" w:cs="宋体"/>
          <w:sz w:val="24"/>
          <w:highlight w:val="none"/>
        </w:rPr>
      </w:pPr>
    </w:p>
    <w:p w14:paraId="6AA1E587">
      <w:pPr>
        <w:outlineLvl w:val="9"/>
        <w:rPr>
          <w:rFonts w:ascii="宋体" w:hAnsi="宋体" w:eastAsia="宋体" w:cs="宋体"/>
          <w:sz w:val="24"/>
          <w:highlight w:val="none"/>
        </w:rPr>
      </w:pPr>
    </w:p>
    <w:p w14:paraId="226CA87D">
      <w:pPr>
        <w:pStyle w:val="57"/>
        <w:outlineLvl w:val="9"/>
        <w:rPr>
          <w:rFonts w:ascii="宋体" w:hAnsi="宋体" w:eastAsia="宋体" w:cs="宋体"/>
          <w:sz w:val="24"/>
          <w:highlight w:val="none"/>
        </w:rPr>
      </w:pPr>
    </w:p>
    <w:p w14:paraId="40CC30C3">
      <w:pPr>
        <w:outlineLvl w:val="9"/>
        <w:rPr>
          <w:rFonts w:ascii="宋体" w:hAnsi="宋体" w:eastAsia="宋体" w:cs="宋体"/>
          <w:sz w:val="24"/>
          <w:highlight w:val="none"/>
        </w:rPr>
      </w:pPr>
    </w:p>
    <w:p w14:paraId="4B687AA2">
      <w:pPr>
        <w:pStyle w:val="57"/>
        <w:outlineLvl w:val="9"/>
        <w:rPr>
          <w:rFonts w:ascii="宋体" w:hAnsi="宋体" w:eastAsia="宋体" w:cs="宋体"/>
          <w:sz w:val="24"/>
          <w:highlight w:val="none"/>
        </w:rPr>
      </w:pPr>
    </w:p>
    <w:p w14:paraId="633D11B5">
      <w:pPr>
        <w:outlineLvl w:val="9"/>
        <w:rPr>
          <w:rFonts w:ascii="宋体" w:hAnsi="宋体" w:eastAsia="宋体" w:cs="宋体"/>
          <w:sz w:val="24"/>
          <w:highlight w:val="none"/>
        </w:rPr>
      </w:pPr>
    </w:p>
    <w:p w14:paraId="6B4D53FA">
      <w:pPr>
        <w:pStyle w:val="57"/>
        <w:outlineLvl w:val="9"/>
        <w:rPr>
          <w:rFonts w:ascii="宋体" w:hAnsi="宋体" w:eastAsia="宋体" w:cs="宋体"/>
          <w:sz w:val="24"/>
          <w:highlight w:val="none"/>
        </w:rPr>
      </w:pPr>
    </w:p>
    <w:p w14:paraId="6226D6DC">
      <w:pPr>
        <w:outlineLvl w:val="9"/>
        <w:rPr>
          <w:rFonts w:ascii="宋体" w:hAnsi="宋体" w:eastAsia="宋体" w:cs="宋体"/>
          <w:sz w:val="24"/>
          <w:highlight w:val="none"/>
        </w:rPr>
      </w:pPr>
    </w:p>
    <w:p w14:paraId="5881E84D">
      <w:pPr>
        <w:pStyle w:val="57"/>
        <w:outlineLvl w:val="9"/>
        <w:rPr>
          <w:rFonts w:ascii="宋体" w:hAnsi="宋体" w:eastAsia="宋体" w:cs="宋体"/>
          <w:sz w:val="24"/>
          <w:highlight w:val="none"/>
        </w:rPr>
      </w:pPr>
    </w:p>
    <w:p w14:paraId="1CC9DAA5">
      <w:pPr>
        <w:outlineLvl w:val="9"/>
        <w:rPr>
          <w:rFonts w:ascii="宋体" w:hAnsi="宋体" w:eastAsia="宋体" w:cs="宋体"/>
          <w:sz w:val="24"/>
          <w:highlight w:val="none"/>
        </w:rPr>
      </w:pPr>
    </w:p>
    <w:p w14:paraId="67000688">
      <w:pPr>
        <w:pStyle w:val="57"/>
        <w:outlineLvl w:val="9"/>
        <w:rPr>
          <w:rFonts w:ascii="宋体" w:hAnsi="宋体" w:eastAsia="宋体" w:cs="宋体"/>
          <w:sz w:val="24"/>
          <w:highlight w:val="none"/>
        </w:rPr>
      </w:pPr>
    </w:p>
    <w:p w14:paraId="4961163C">
      <w:pPr>
        <w:outlineLvl w:val="9"/>
        <w:rPr>
          <w:highlight w:val="none"/>
        </w:rPr>
      </w:pPr>
    </w:p>
    <w:p w14:paraId="2E2CFB3E">
      <w:pPr>
        <w:pStyle w:val="17"/>
        <w:spacing w:line="360" w:lineRule="exact"/>
        <w:ind w:left="1080" w:leftChars="257" w:hanging="540"/>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rPr>
        <w:t>法定代表人或其委托代理人签字:</w:t>
      </w:r>
      <w:r>
        <w:rPr>
          <w:rFonts w:hint="eastAsia" w:ascii="宋体" w:hAnsi="宋体" w:eastAsia="宋体" w:cs="宋体"/>
          <w:sz w:val="24"/>
          <w:highlight w:val="none"/>
          <w:u w:val="single"/>
        </w:rPr>
        <w:tab/>
      </w:r>
      <w:r>
        <w:rPr>
          <w:rFonts w:hint="eastAsia" w:ascii="宋体" w:hAnsi="宋体" w:eastAsia="宋体" w:cs="宋体"/>
          <w:sz w:val="24"/>
          <w:highlight w:val="none"/>
          <w:u w:val="single"/>
          <w:lang w:val="en-US" w:eastAsia="zh-CN"/>
        </w:rPr>
        <w:t xml:space="preserve">          </w:t>
      </w:r>
    </w:p>
    <w:p w14:paraId="683CA813">
      <w:pPr>
        <w:pStyle w:val="17"/>
        <w:tabs>
          <w:tab w:val="left" w:pos="5370"/>
        </w:tabs>
        <w:spacing w:line="360" w:lineRule="exact"/>
        <w:ind w:left="1080" w:leftChars="257" w:hanging="540"/>
        <w:outlineLvl w:val="9"/>
        <w:rPr>
          <w:rFonts w:ascii="宋体" w:hAnsi="宋体" w:eastAsia="宋体" w:cs="宋体"/>
          <w:sz w:val="24"/>
          <w:highlight w:val="none"/>
          <w:u w:val="single"/>
        </w:rPr>
      </w:pPr>
      <w:r>
        <w:rPr>
          <w:rFonts w:hint="eastAsia" w:ascii="宋体" w:hAnsi="宋体" w:eastAsia="宋体" w:cs="宋体"/>
          <w:sz w:val="24"/>
          <w:highlight w:val="none"/>
        </w:rPr>
        <w:t>供应商(盖单位章):</w:t>
      </w:r>
      <w:r>
        <w:rPr>
          <w:rFonts w:hint="eastAsia" w:ascii="宋体" w:hAnsi="宋体" w:eastAsia="宋体" w:cs="宋体"/>
          <w:sz w:val="24"/>
          <w:highlight w:val="none"/>
          <w:u w:val="single"/>
        </w:rPr>
        <w:tab/>
      </w:r>
    </w:p>
    <w:p w14:paraId="4FA07A55">
      <w:pPr>
        <w:spacing w:before="0" w:line="240" w:lineRule="atLeast"/>
        <w:ind w:left="1080" w:leftChars="257" w:hanging="540"/>
        <w:outlineLvl w:val="9"/>
        <w:rPr>
          <w:rFonts w:hint="eastAsia" w:ascii="宋体" w:hAnsi="宋体" w:eastAsia="宋体" w:cs="宋体"/>
          <w:sz w:val="24"/>
          <w:highlight w:val="none"/>
        </w:rPr>
      </w:pPr>
    </w:p>
    <w:p w14:paraId="40BECB12">
      <w:pPr>
        <w:spacing w:before="0"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sz w:val="24"/>
          <w:highlight w:val="none"/>
          <w:lang w:val="en-US" w:eastAsia="zh-CN"/>
        </w:rPr>
        <w:t xml:space="preserve">4   </w:t>
      </w:r>
      <w:r>
        <w:rPr>
          <w:rFonts w:hint="eastAsia" w:ascii="宋体" w:hAnsi="宋体" w:eastAsia="宋体" w:cs="宋体"/>
          <w:sz w:val="24"/>
          <w:highlight w:val="none"/>
        </w:rPr>
        <w:t>商务条款偏离表</w:t>
      </w:r>
      <w:bookmarkEnd w:id="231"/>
      <w:r>
        <w:rPr>
          <w:rFonts w:hint="eastAsia" w:ascii="宋体" w:hAnsi="宋体" w:eastAsia="宋体" w:cs="宋体"/>
          <w:sz w:val="24"/>
          <w:highlight w:val="none"/>
        </w:rPr>
        <w:t>（投标文件格式</w:t>
      </w:r>
      <w:r>
        <w:rPr>
          <w:rFonts w:hint="eastAsia" w:ascii="宋体" w:hAnsi="宋体" w:eastAsia="宋体" w:cs="宋体"/>
          <w:sz w:val="24"/>
          <w:highlight w:val="none"/>
          <w:lang w:val="en-US" w:eastAsia="zh-CN"/>
        </w:rPr>
        <w:t>七</w:t>
      </w:r>
      <w:r>
        <w:rPr>
          <w:rFonts w:hint="eastAsia" w:ascii="宋体" w:hAnsi="宋体" w:eastAsia="宋体" w:cs="宋体"/>
          <w:sz w:val="24"/>
          <w:highlight w:val="none"/>
        </w:rPr>
        <w:t>）</w:t>
      </w:r>
      <w:bookmarkEnd w:id="232"/>
      <w:bookmarkEnd w:id="233"/>
      <w:bookmarkEnd w:id="234"/>
    </w:p>
    <w:p w14:paraId="4CBF95B2">
      <w:pPr>
        <w:pStyle w:val="17"/>
        <w:spacing w:line="240" w:lineRule="atLeast"/>
        <w:ind w:left="1080" w:leftChars="257" w:hanging="540"/>
        <w:outlineLvl w:val="9"/>
        <w:rPr>
          <w:rFonts w:hint="eastAsia" w:ascii="宋体" w:hAnsi="宋体" w:eastAsia="宋体" w:cs="宋体"/>
          <w:sz w:val="24"/>
          <w:highlight w:val="none"/>
        </w:rPr>
      </w:pPr>
    </w:p>
    <w:p w14:paraId="549A0F78">
      <w:pPr>
        <w:pStyle w:val="17"/>
        <w:spacing w:line="240" w:lineRule="atLeast"/>
        <w:ind w:left="1080" w:leftChars="257" w:hanging="540"/>
        <w:outlineLvl w:val="9"/>
        <w:rPr>
          <w:rFonts w:hint="eastAsia" w:ascii="宋体" w:hAnsi="宋体" w:eastAsia="宋体" w:cs="宋体"/>
          <w:sz w:val="24"/>
          <w:highlight w:val="none"/>
        </w:rPr>
      </w:pPr>
    </w:p>
    <w:p w14:paraId="72F234E5">
      <w:pPr>
        <w:pStyle w:val="17"/>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 xml:space="preserve">项目名称:                      </w:t>
      </w:r>
      <w:r>
        <w:rPr>
          <w:rFonts w:hint="eastAsia" w:hAnsi="宋体" w:eastAsia="宋体" w:cs="宋体"/>
          <w:sz w:val="24"/>
          <w:highlight w:val="none"/>
          <w:lang w:eastAsia="zh-CN"/>
        </w:rPr>
        <w:t>项目编号</w:t>
      </w:r>
      <w:r>
        <w:rPr>
          <w:rFonts w:hint="eastAsia" w:ascii="宋体" w:hAnsi="宋体" w:eastAsia="宋体" w:cs="宋体"/>
          <w:sz w:val="24"/>
          <w:highlight w:val="none"/>
        </w:rPr>
        <w:t>:             分包号:</w:t>
      </w:r>
    </w:p>
    <w:p w14:paraId="2EB50B9F">
      <w:pPr>
        <w:pStyle w:val="17"/>
        <w:spacing w:line="240" w:lineRule="atLeast"/>
        <w:ind w:left="1080" w:leftChars="257" w:hanging="540"/>
        <w:outlineLvl w:val="9"/>
        <w:rPr>
          <w:rFonts w:hint="eastAsia" w:ascii="宋体" w:hAnsi="宋体" w:eastAsia="宋体" w:cs="宋体"/>
          <w:sz w:val="24"/>
          <w:highlight w:val="none"/>
        </w:rPr>
      </w:pP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2121"/>
        <w:gridCol w:w="2622"/>
        <w:gridCol w:w="2622"/>
        <w:gridCol w:w="935"/>
      </w:tblGrid>
      <w:tr w14:paraId="240A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5078B37F">
            <w:pPr>
              <w:pStyle w:val="17"/>
              <w:keepNext w:val="0"/>
              <w:keepLines w:val="0"/>
              <w:suppressLineNumbers w:val="0"/>
              <w:spacing w:before="0" w:beforeAutospacing="0" w:after="0" w:afterAutospacing="0" w:line="240" w:lineRule="atLeast"/>
              <w:ind w:left="0" w:right="0"/>
              <w:jc w:val="center"/>
              <w:outlineLvl w:val="9"/>
              <w:rPr>
                <w:rFonts w:hint="eastAsia" w:ascii="宋体" w:hAnsi="宋体" w:eastAsia="宋体" w:cs="宋体"/>
                <w:sz w:val="24"/>
                <w:highlight w:val="none"/>
              </w:rPr>
            </w:pPr>
            <w:r>
              <w:rPr>
                <w:rFonts w:hint="eastAsia" w:ascii="宋体" w:hAnsi="宋体" w:eastAsia="宋体" w:cs="宋体"/>
                <w:sz w:val="24"/>
                <w:highlight w:val="none"/>
              </w:rPr>
              <w:t>序号</w:t>
            </w:r>
          </w:p>
        </w:tc>
        <w:tc>
          <w:tcPr>
            <w:tcW w:w="1142" w:type="pct"/>
            <w:noWrap w:val="0"/>
            <w:vAlign w:val="top"/>
          </w:tcPr>
          <w:p w14:paraId="54A381BD">
            <w:pPr>
              <w:pStyle w:val="17"/>
              <w:keepNext w:val="0"/>
              <w:keepLines w:val="0"/>
              <w:suppressLineNumbers w:val="0"/>
              <w:spacing w:before="0" w:beforeAutospacing="0" w:after="0" w:afterAutospacing="0" w:line="240" w:lineRule="atLeast"/>
              <w:ind w:left="0" w:right="0"/>
              <w:jc w:val="center"/>
              <w:outlineLvl w:val="9"/>
              <w:rPr>
                <w:rFonts w:hint="eastAsia" w:ascii="宋体" w:hAnsi="宋体" w:eastAsia="宋体" w:cs="宋体"/>
                <w:sz w:val="24"/>
                <w:highlight w:val="none"/>
              </w:rPr>
            </w:pPr>
            <w:r>
              <w:rPr>
                <w:rFonts w:hint="eastAsia" w:ascii="宋体" w:hAnsi="宋体" w:eastAsia="宋体" w:cs="宋体"/>
                <w:sz w:val="24"/>
                <w:highlight w:val="none"/>
              </w:rPr>
              <w:t>招标文件条款号</w:t>
            </w:r>
          </w:p>
        </w:tc>
        <w:tc>
          <w:tcPr>
            <w:tcW w:w="1411" w:type="pct"/>
            <w:noWrap w:val="0"/>
            <w:vAlign w:val="top"/>
          </w:tcPr>
          <w:p w14:paraId="4CC4C2E4">
            <w:pPr>
              <w:pStyle w:val="17"/>
              <w:keepNext w:val="0"/>
              <w:keepLines w:val="0"/>
              <w:suppressLineNumbers w:val="0"/>
              <w:spacing w:before="0" w:beforeAutospacing="0" w:after="0" w:afterAutospacing="0" w:line="240" w:lineRule="atLeast"/>
              <w:ind w:left="0" w:right="0"/>
              <w:jc w:val="center"/>
              <w:outlineLvl w:val="9"/>
              <w:rPr>
                <w:rFonts w:hint="eastAsia" w:ascii="宋体" w:hAnsi="宋体" w:eastAsia="宋体" w:cs="宋体"/>
                <w:sz w:val="24"/>
                <w:highlight w:val="none"/>
              </w:rPr>
            </w:pPr>
            <w:r>
              <w:rPr>
                <w:rFonts w:hint="eastAsia" w:ascii="宋体" w:hAnsi="宋体" w:eastAsia="宋体" w:cs="宋体"/>
                <w:sz w:val="24"/>
                <w:highlight w:val="none"/>
              </w:rPr>
              <w:t>招标文件的商务条款</w:t>
            </w:r>
          </w:p>
        </w:tc>
        <w:tc>
          <w:tcPr>
            <w:tcW w:w="1411" w:type="pct"/>
            <w:noWrap w:val="0"/>
            <w:vAlign w:val="top"/>
          </w:tcPr>
          <w:p w14:paraId="10585CC5">
            <w:pPr>
              <w:pStyle w:val="17"/>
              <w:keepNext w:val="0"/>
              <w:keepLines w:val="0"/>
              <w:suppressLineNumbers w:val="0"/>
              <w:spacing w:before="0" w:beforeAutospacing="0" w:after="0" w:afterAutospacing="0" w:line="240" w:lineRule="atLeast"/>
              <w:ind w:left="0" w:right="0"/>
              <w:jc w:val="center"/>
              <w:outlineLvl w:val="9"/>
              <w:rPr>
                <w:rFonts w:hint="eastAsia" w:ascii="宋体" w:hAnsi="宋体" w:eastAsia="宋体" w:cs="宋体"/>
                <w:sz w:val="24"/>
                <w:highlight w:val="none"/>
              </w:rPr>
            </w:pPr>
            <w:r>
              <w:rPr>
                <w:rFonts w:hint="eastAsia" w:ascii="宋体" w:hAnsi="宋体" w:eastAsia="宋体" w:cs="宋体"/>
                <w:sz w:val="24"/>
                <w:highlight w:val="none"/>
              </w:rPr>
              <w:t>投标文件的商务条款</w:t>
            </w:r>
          </w:p>
        </w:tc>
        <w:tc>
          <w:tcPr>
            <w:tcW w:w="503" w:type="pct"/>
            <w:noWrap w:val="0"/>
            <w:vAlign w:val="top"/>
          </w:tcPr>
          <w:p w14:paraId="4FC1EF01">
            <w:pPr>
              <w:pStyle w:val="17"/>
              <w:keepNext w:val="0"/>
              <w:keepLines w:val="0"/>
              <w:suppressLineNumbers w:val="0"/>
              <w:spacing w:before="0" w:beforeAutospacing="0" w:after="0" w:afterAutospacing="0" w:line="240" w:lineRule="atLeast"/>
              <w:ind w:left="0" w:right="0"/>
              <w:jc w:val="center"/>
              <w:outlineLvl w:val="9"/>
              <w:rPr>
                <w:rFonts w:hint="eastAsia" w:ascii="宋体" w:hAnsi="宋体" w:eastAsia="宋体" w:cs="宋体"/>
                <w:sz w:val="24"/>
                <w:highlight w:val="none"/>
              </w:rPr>
            </w:pPr>
            <w:r>
              <w:rPr>
                <w:rFonts w:hint="eastAsia" w:ascii="宋体" w:hAnsi="宋体" w:eastAsia="宋体" w:cs="宋体"/>
                <w:sz w:val="24"/>
                <w:highlight w:val="none"/>
              </w:rPr>
              <w:t>说明</w:t>
            </w:r>
          </w:p>
        </w:tc>
      </w:tr>
      <w:tr w14:paraId="2A48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731B0FD5">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49EB1999">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18DCCC98">
            <w:pPr>
              <w:pStyle w:val="17"/>
              <w:keepNext w:val="0"/>
              <w:keepLines w:val="0"/>
              <w:suppressLineNumbers w:val="0"/>
              <w:spacing w:before="0" w:beforeAutospacing="0" w:after="0" w:afterAutospacing="0" w:line="240" w:lineRule="atLeast"/>
              <w:ind w:left="1080" w:leftChars="257" w:right="0" w:hanging="540"/>
              <w:jc w:val="center"/>
              <w:outlineLvl w:val="9"/>
              <w:rPr>
                <w:rFonts w:hint="eastAsia" w:ascii="宋体" w:hAnsi="宋体" w:eastAsia="宋体" w:cs="宋体"/>
                <w:sz w:val="24"/>
                <w:highlight w:val="none"/>
              </w:rPr>
            </w:pPr>
          </w:p>
        </w:tc>
        <w:tc>
          <w:tcPr>
            <w:tcW w:w="1411" w:type="pct"/>
            <w:noWrap w:val="0"/>
            <w:vAlign w:val="top"/>
          </w:tcPr>
          <w:p w14:paraId="1A44BE1E">
            <w:pPr>
              <w:pStyle w:val="17"/>
              <w:keepNext w:val="0"/>
              <w:keepLines w:val="0"/>
              <w:suppressLineNumbers w:val="0"/>
              <w:spacing w:before="0" w:beforeAutospacing="0" w:after="0" w:afterAutospacing="0" w:line="240" w:lineRule="atLeast"/>
              <w:ind w:left="1080" w:leftChars="257" w:right="0" w:hanging="540"/>
              <w:jc w:val="center"/>
              <w:outlineLvl w:val="9"/>
              <w:rPr>
                <w:rFonts w:hint="eastAsia" w:ascii="宋体" w:hAnsi="宋体" w:eastAsia="宋体" w:cs="宋体"/>
                <w:sz w:val="24"/>
                <w:highlight w:val="none"/>
              </w:rPr>
            </w:pPr>
          </w:p>
        </w:tc>
        <w:tc>
          <w:tcPr>
            <w:tcW w:w="503" w:type="pct"/>
            <w:noWrap w:val="0"/>
            <w:vAlign w:val="top"/>
          </w:tcPr>
          <w:p w14:paraId="674CE682">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4E18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4ABB2E9E">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7D4FD93A">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6938BE59">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34AFBAEC">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3C43778A">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656E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1A8D487F">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09FF742D">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30819CA8">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32633EA8">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3C825A01">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020C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61D38FFD">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02969CB8">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5E43D5FE">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0541874D">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6E34C1DF">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3967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71E9B0AB">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5208DE71">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172DD2BD">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7888D7DF">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492F2B1F">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3A7D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5926C37A">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3599A16A">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384E49F5">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46AD0643">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2D8EBF17">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099B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14758A13">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0691F62B">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05727C8A">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48BD11D0">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72B890AA">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259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17E7828C">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4E20A50D">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4F96577B">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77A73091">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2577F2E0">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2B67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383DD9CC">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716E7EAA">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58EE1117">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42F4DF1F">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6C72E413">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06C8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3289F3FC">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115F4C14">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5CF254EF">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5AC0A9E6">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3269C334">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0596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71E161EF">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49E6BEEE">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00B27708">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74AF0DD8">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3B264606">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1E5A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076220F3">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0DB48DFA">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7960AB7F">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77D5F58C">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204FF932">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02DA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00499CC9">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2D3E528D">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7929E175">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42EE90F5">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3757AB36">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2B39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55DFB7F8">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63671DB7">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00F83536">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5D3080D6">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777DBB71">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48FB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3F07B771">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021FDCD4">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35950B98">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3270297B">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4CB9A279">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2C84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76769BD2">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240C99FE">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4355BE14">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24E8EE13">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1259080B">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r w14:paraId="74A1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0" w:type="pct"/>
            <w:noWrap w:val="0"/>
            <w:vAlign w:val="top"/>
          </w:tcPr>
          <w:p w14:paraId="3F88A5AB">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142" w:type="pct"/>
            <w:noWrap w:val="0"/>
            <w:vAlign w:val="top"/>
          </w:tcPr>
          <w:p w14:paraId="45058BE0">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2FA0AE61">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1411" w:type="pct"/>
            <w:noWrap w:val="0"/>
            <w:vAlign w:val="top"/>
          </w:tcPr>
          <w:p w14:paraId="05D843D7">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c>
          <w:tcPr>
            <w:tcW w:w="503" w:type="pct"/>
            <w:noWrap w:val="0"/>
            <w:vAlign w:val="top"/>
          </w:tcPr>
          <w:p w14:paraId="392B6FC1">
            <w:pPr>
              <w:pStyle w:val="17"/>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p>
        </w:tc>
      </w:tr>
    </w:tbl>
    <w:p w14:paraId="07B6B2C2">
      <w:pPr>
        <w:pStyle w:val="17"/>
        <w:spacing w:line="240" w:lineRule="atLeast"/>
        <w:ind w:left="1080" w:leftChars="257" w:hanging="540"/>
        <w:outlineLvl w:val="9"/>
        <w:rPr>
          <w:rFonts w:hint="eastAsia" w:ascii="宋体" w:hAnsi="宋体" w:eastAsia="宋体" w:cs="宋体"/>
          <w:sz w:val="24"/>
          <w:highlight w:val="none"/>
        </w:rPr>
      </w:pPr>
    </w:p>
    <w:p w14:paraId="43F938B5">
      <w:pPr>
        <w:pStyle w:val="17"/>
        <w:spacing w:line="240" w:lineRule="atLeast"/>
        <w:ind w:left="1080" w:leftChars="257" w:hanging="540"/>
        <w:outlineLvl w:val="9"/>
        <w:rPr>
          <w:rFonts w:hint="eastAsia" w:ascii="宋体" w:hAnsi="宋体" w:eastAsia="宋体" w:cs="宋体"/>
          <w:sz w:val="24"/>
          <w:highlight w:val="none"/>
        </w:rPr>
      </w:pPr>
    </w:p>
    <w:p w14:paraId="218C4B75">
      <w:pPr>
        <w:pStyle w:val="17"/>
        <w:spacing w:line="240" w:lineRule="atLeast"/>
        <w:ind w:left="1080" w:leftChars="257" w:hanging="540"/>
        <w:outlineLvl w:val="9"/>
        <w:rPr>
          <w:rFonts w:hint="eastAsia" w:ascii="宋体" w:hAnsi="宋体" w:eastAsia="宋体" w:cs="宋体"/>
          <w:sz w:val="24"/>
          <w:highlight w:val="none"/>
        </w:rPr>
      </w:pPr>
      <w:r>
        <w:rPr>
          <w:rFonts w:hint="eastAsia" w:ascii="宋体" w:hAnsi="宋体" w:eastAsia="宋体" w:cs="宋体"/>
          <w:sz w:val="24"/>
          <w:highlight w:val="none"/>
        </w:rPr>
        <w:t>法定代表人或其委托代理人签字:</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p>
    <w:p w14:paraId="6D7678EE">
      <w:pPr>
        <w:pStyle w:val="17"/>
        <w:tabs>
          <w:tab w:val="left" w:pos="5370"/>
        </w:tabs>
        <w:spacing w:line="240" w:lineRule="atLeast"/>
        <w:ind w:left="1080" w:leftChars="257" w:hanging="540"/>
        <w:outlineLvl w:val="9"/>
        <w:rPr>
          <w:rFonts w:hint="eastAsia" w:ascii="宋体" w:hAnsi="宋体" w:eastAsia="宋体" w:cs="宋体"/>
          <w:sz w:val="24"/>
          <w:highlight w:val="none"/>
          <w:u w:val="single"/>
        </w:rPr>
      </w:pPr>
      <w:r>
        <w:rPr>
          <w:rFonts w:hint="eastAsia" w:ascii="宋体" w:hAnsi="宋体" w:eastAsia="宋体" w:cs="宋体"/>
          <w:sz w:val="24"/>
          <w:highlight w:val="none"/>
        </w:rPr>
        <w:t>投标人(盖单位章):</w:t>
      </w:r>
      <w:r>
        <w:rPr>
          <w:rFonts w:hint="eastAsia" w:ascii="宋体" w:hAnsi="宋体" w:eastAsia="宋体" w:cs="宋体"/>
          <w:sz w:val="24"/>
          <w:highlight w:val="none"/>
          <w:u w:val="single"/>
        </w:rPr>
        <w:tab/>
      </w:r>
    </w:p>
    <w:p w14:paraId="031F89F3">
      <w:pPr>
        <w:widowControl/>
        <w:spacing w:before="100" w:beforeAutospacing="1" w:after="100" w:afterAutospacing="1" w:line="330" w:lineRule="atLeast"/>
        <w:jc w:val="left"/>
        <w:outlineLvl w:val="9"/>
        <w:rPr>
          <w:rFonts w:hint="eastAsia" w:ascii="宋体" w:hAnsi="宋体" w:eastAsia="宋体" w:cs="宋体"/>
          <w:highlight w:val="none"/>
        </w:rPr>
      </w:pPr>
      <w:r>
        <w:rPr>
          <w:rFonts w:hint="eastAsia" w:ascii="宋体" w:hAnsi="宋体" w:eastAsia="宋体" w:cs="宋体"/>
          <w:sz w:val="24"/>
          <w:highlight w:val="none"/>
          <w:u w:val="single"/>
        </w:rPr>
        <w:br w:type="page"/>
      </w:r>
      <w:bookmarkStart w:id="235" w:name="_Hlt520274407"/>
      <w:bookmarkEnd w:id="235"/>
      <w:bookmarkStart w:id="236" w:name="_Hlt520343000"/>
      <w:bookmarkEnd w:id="236"/>
      <w:bookmarkStart w:id="237" w:name="_Hlt520274393"/>
      <w:bookmarkEnd w:id="237"/>
      <w:bookmarkStart w:id="238" w:name="_Hlt520274065"/>
      <w:bookmarkEnd w:id="238"/>
      <w:bookmarkStart w:id="239" w:name="_Hlt520274911"/>
      <w:bookmarkEnd w:id="239"/>
      <w:bookmarkStart w:id="240" w:name="_Hlt520273711"/>
      <w:bookmarkEnd w:id="240"/>
      <w:bookmarkStart w:id="241" w:name="_Hlt520273973"/>
      <w:bookmarkEnd w:id="241"/>
      <w:bookmarkStart w:id="242" w:name="_Hlt520350957"/>
      <w:bookmarkEnd w:id="242"/>
      <w:bookmarkStart w:id="243" w:name="_Hlt520350918"/>
      <w:bookmarkEnd w:id="243"/>
      <w:bookmarkStart w:id="244" w:name="_Hlt520343392"/>
      <w:bookmarkEnd w:id="244"/>
      <w:bookmarkStart w:id="245" w:name="_Hlt520271212"/>
      <w:bookmarkEnd w:id="245"/>
    </w:p>
    <w:p w14:paraId="2CD337E0">
      <w:pPr>
        <w:pStyle w:val="7"/>
        <w:outlineLvl w:val="9"/>
        <w:rPr>
          <w:rFonts w:hint="eastAsia" w:ascii="宋体" w:hAnsi="宋体" w:eastAsia="宋体" w:cs="宋体"/>
          <w:highlight w:val="none"/>
        </w:rPr>
      </w:pPr>
    </w:p>
    <w:p w14:paraId="2F42E3A1">
      <w:pPr>
        <w:pStyle w:val="14"/>
        <w:ind w:firstLine="480"/>
        <w:outlineLvl w:val="9"/>
        <w:rPr>
          <w:rFonts w:hint="eastAsia" w:ascii="Times New Roman" w:hAnsi="Times New Roman" w:eastAsia="宋体" w:cs="Times New Roman"/>
          <w:b/>
          <w:bCs w:val="0"/>
          <w:highlight w:val="none"/>
        </w:rPr>
      </w:pPr>
    </w:p>
    <w:p w14:paraId="665F891C">
      <w:pPr>
        <w:pStyle w:val="14"/>
        <w:ind w:firstLine="480"/>
        <w:outlineLvl w:val="9"/>
        <w:rPr>
          <w:rFonts w:hint="eastAsia" w:ascii="Times New Roman" w:hAnsi="Times New Roman" w:eastAsia="宋体" w:cs="Times New Roman"/>
          <w:b/>
          <w:bCs w:val="0"/>
          <w:highlight w:val="none"/>
        </w:rPr>
      </w:pPr>
      <w:bookmarkStart w:id="246" w:name="_Toc19756"/>
      <w:bookmarkStart w:id="247" w:name="_Toc518923122"/>
      <w:r>
        <w:rPr>
          <w:rFonts w:hint="eastAsia" w:cs="Times New Roman"/>
          <w:b/>
          <w:bCs w:val="0"/>
          <w:highlight w:val="none"/>
          <w:lang w:val="en-US" w:eastAsia="zh-CN"/>
        </w:rPr>
        <w:t>5</w:t>
      </w:r>
      <w:r>
        <w:rPr>
          <w:rFonts w:hint="eastAsia" w:ascii="Times New Roman" w:hAnsi="Times New Roman" w:eastAsia="宋体" w:cs="Times New Roman"/>
          <w:b/>
          <w:bCs w:val="0"/>
          <w:highlight w:val="none"/>
          <w:lang w:eastAsia="zh-CN"/>
        </w:rPr>
        <w:t>、</w:t>
      </w:r>
      <w:r>
        <w:rPr>
          <w:rFonts w:hint="eastAsia" w:ascii="Times New Roman" w:hAnsi="Times New Roman" w:eastAsia="宋体" w:cs="Times New Roman"/>
          <w:b/>
          <w:bCs w:val="0"/>
          <w:highlight w:val="none"/>
        </w:rPr>
        <w:t>投标人关联单位的说明</w:t>
      </w:r>
      <w:bookmarkEnd w:id="246"/>
      <w:bookmarkEnd w:id="247"/>
    </w:p>
    <w:p w14:paraId="0DD58E5F">
      <w:pPr>
        <w:pStyle w:val="7"/>
        <w:ind w:firstLine="480" w:firstLineChars="200"/>
        <w:outlineLvl w:val="9"/>
        <w:rPr>
          <w:rFonts w:hint="eastAsia" w:ascii="宋体" w:hAnsi="宋体" w:eastAsia="宋体" w:cs="宋体"/>
          <w:highlight w:val="none"/>
        </w:rPr>
      </w:pPr>
    </w:p>
    <w:p w14:paraId="4767F2E5">
      <w:pPr>
        <w:pStyle w:val="7"/>
        <w:ind w:firstLine="480" w:firstLineChars="200"/>
        <w:outlineLvl w:val="9"/>
        <w:rPr>
          <w:rFonts w:hint="eastAsia" w:ascii="宋体" w:hAnsi="宋体" w:eastAsia="宋体" w:cs="宋体"/>
          <w:highlight w:val="none"/>
        </w:rPr>
      </w:pPr>
    </w:p>
    <w:p w14:paraId="1FF7BD8D">
      <w:pPr>
        <w:pStyle w:val="7"/>
        <w:ind w:firstLine="480" w:firstLineChars="200"/>
        <w:outlineLvl w:val="9"/>
        <w:rPr>
          <w:rFonts w:hint="eastAsia" w:ascii="宋体" w:hAnsi="宋体" w:eastAsia="宋体" w:cs="宋体"/>
          <w:highlight w:val="none"/>
        </w:rPr>
      </w:pPr>
      <w:r>
        <w:rPr>
          <w:rFonts w:hint="eastAsia" w:ascii="宋体" w:hAnsi="宋体" w:eastAsia="宋体" w:cs="宋体"/>
          <w:highlight w:val="none"/>
        </w:rPr>
        <w:t>说明：投标人应当如实披露与本单位存在下列关联关系的单位名称：</w:t>
      </w:r>
    </w:p>
    <w:p w14:paraId="49069056">
      <w:pPr>
        <w:pStyle w:val="7"/>
        <w:ind w:firstLine="480" w:firstLineChars="200"/>
        <w:outlineLvl w:val="9"/>
        <w:rPr>
          <w:rFonts w:hint="eastAsia" w:ascii="宋体" w:hAnsi="宋体" w:eastAsia="宋体" w:cs="宋体"/>
          <w:highlight w:val="none"/>
        </w:rPr>
      </w:pPr>
      <w:r>
        <w:rPr>
          <w:rFonts w:hint="eastAsia" w:ascii="宋体" w:hAnsi="宋体" w:eastAsia="宋体" w:cs="宋体"/>
          <w:highlight w:val="none"/>
        </w:rPr>
        <w:t>（1）与投标人单位负责人为同一人的其他单位；</w:t>
      </w:r>
      <w:r>
        <w:rPr>
          <w:rFonts w:hint="eastAsia" w:ascii="宋体" w:hAnsi="宋体" w:eastAsia="宋体" w:cs="宋体"/>
          <w:highlight w:val="none"/>
        </w:rPr>
        <w:br w:type="textWrapping"/>
      </w:r>
      <w:r>
        <w:rPr>
          <w:rFonts w:hint="eastAsia" w:ascii="宋体" w:hAnsi="宋体" w:eastAsia="宋体" w:cs="宋体"/>
          <w:highlight w:val="none"/>
        </w:rPr>
        <w:t xml:space="preserve">    （2）与投标人存在直接控股、管理关系的其他单位。</w:t>
      </w:r>
    </w:p>
    <w:p w14:paraId="2164474D">
      <w:pPr>
        <w:pStyle w:val="7"/>
        <w:jc w:val="center"/>
        <w:outlineLvl w:val="9"/>
        <w:rPr>
          <w:rFonts w:hint="eastAsia" w:ascii="宋体" w:hAnsi="宋体" w:eastAsia="宋体" w:cs="宋体"/>
          <w:highlight w:val="none"/>
        </w:rPr>
      </w:pPr>
    </w:p>
    <w:p w14:paraId="371CA980">
      <w:pPr>
        <w:pStyle w:val="7"/>
        <w:outlineLvl w:val="9"/>
        <w:rPr>
          <w:rFonts w:hint="eastAsia" w:ascii="宋体" w:hAnsi="宋体" w:eastAsia="宋体" w:cs="宋体"/>
          <w:highlight w:val="none"/>
        </w:rPr>
      </w:pPr>
    </w:p>
    <w:p w14:paraId="0CAF85E1">
      <w:pPr>
        <w:pStyle w:val="20"/>
        <w:ind w:left="0" w:leftChars="0" w:firstLine="0" w:firstLineChars="0"/>
        <w:outlineLvl w:val="9"/>
        <w:rPr>
          <w:rFonts w:hint="eastAsia" w:ascii="宋体" w:hAnsi="宋体" w:eastAsia="宋体" w:cs="宋体"/>
          <w:color w:val="000000"/>
          <w:kern w:val="0"/>
          <w:sz w:val="24"/>
          <w:szCs w:val="24"/>
          <w:highlight w:val="none"/>
          <w:lang w:val="en-US" w:eastAsia="zh-CN" w:bidi="ar"/>
        </w:rPr>
      </w:pPr>
    </w:p>
    <w:p w14:paraId="56D13A87">
      <w:pPr>
        <w:pStyle w:val="20"/>
        <w:outlineLvl w:val="9"/>
        <w:rPr>
          <w:rFonts w:hint="eastAsia" w:ascii="宋体" w:hAnsi="宋体" w:eastAsia="宋体" w:cs="宋体"/>
          <w:color w:val="000000"/>
          <w:kern w:val="0"/>
          <w:sz w:val="24"/>
          <w:szCs w:val="24"/>
          <w:highlight w:val="none"/>
          <w:lang w:val="en-US" w:eastAsia="zh-CN" w:bidi="ar"/>
        </w:rPr>
      </w:pPr>
    </w:p>
    <w:p w14:paraId="53808B2F">
      <w:pPr>
        <w:spacing w:line="240" w:lineRule="atLeast"/>
        <w:ind w:left="1080" w:leftChars="257" w:hanging="540"/>
        <w:jc w:val="center"/>
        <w:outlineLvl w:val="9"/>
        <w:rPr>
          <w:rFonts w:ascii="微软雅黑" w:hAnsi="微软雅黑" w:eastAsia="微软雅黑" w:cs="微软雅黑"/>
          <w:b/>
          <w:bCs w:val="0"/>
          <w:kern w:val="0"/>
          <w:sz w:val="24"/>
          <w:highlight w:val="none"/>
        </w:rPr>
      </w:pPr>
    </w:p>
    <w:p w14:paraId="193D7F40">
      <w:pPr>
        <w:pStyle w:val="14"/>
        <w:ind w:firstLine="480"/>
        <w:outlineLvl w:val="9"/>
        <w:rPr>
          <w:rFonts w:hint="eastAsia"/>
          <w:b/>
          <w:bCs w:val="0"/>
          <w:highlight w:val="none"/>
        </w:rPr>
      </w:pPr>
      <w:r>
        <w:rPr>
          <w:rFonts w:hint="eastAsia"/>
          <w:b/>
          <w:bCs w:val="0"/>
          <w:highlight w:val="none"/>
          <w:lang w:val="en-US" w:eastAsia="zh-CN"/>
        </w:rPr>
        <w:t>6</w:t>
      </w:r>
      <w:r>
        <w:rPr>
          <w:rFonts w:hint="eastAsia"/>
          <w:b/>
          <w:bCs w:val="0"/>
          <w:highlight w:val="none"/>
        </w:rPr>
        <w:t>、响应文件还应包括供应商须知的所有技术文件</w:t>
      </w:r>
    </w:p>
    <w:p w14:paraId="5FE153CF">
      <w:pPr>
        <w:pStyle w:val="14"/>
        <w:ind w:firstLine="480"/>
        <w:outlineLvl w:val="9"/>
        <w:rPr>
          <w:rFonts w:hint="eastAsia"/>
          <w:b/>
          <w:bCs w:val="0"/>
          <w:highlight w:val="none"/>
        </w:rPr>
      </w:pPr>
    </w:p>
    <w:p w14:paraId="3AC9EB9E">
      <w:pPr>
        <w:pStyle w:val="14"/>
        <w:ind w:firstLine="480"/>
        <w:outlineLvl w:val="9"/>
        <w:rPr>
          <w:rFonts w:hint="eastAsia"/>
          <w:b/>
          <w:bCs w:val="0"/>
          <w:highlight w:val="none"/>
        </w:rPr>
      </w:pPr>
    </w:p>
    <w:p w14:paraId="27DBF708">
      <w:pPr>
        <w:pStyle w:val="14"/>
        <w:ind w:firstLine="480"/>
        <w:outlineLvl w:val="9"/>
        <w:rPr>
          <w:rFonts w:hint="eastAsia"/>
          <w:b/>
          <w:bCs w:val="0"/>
          <w:highlight w:val="none"/>
        </w:rPr>
      </w:pPr>
    </w:p>
    <w:p w14:paraId="3EDA2776">
      <w:pPr>
        <w:pStyle w:val="14"/>
        <w:outlineLvl w:val="9"/>
        <w:rPr>
          <w:b/>
          <w:bCs w:val="0"/>
          <w:highlight w:val="none"/>
        </w:rPr>
      </w:pPr>
      <w:r>
        <w:rPr>
          <w:rFonts w:hint="eastAsia"/>
          <w:b/>
          <w:bCs w:val="0"/>
          <w:highlight w:val="none"/>
          <w:lang w:val="en-US" w:eastAsia="zh-CN"/>
        </w:rPr>
        <w:t>7</w:t>
      </w:r>
      <w:r>
        <w:rPr>
          <w:rFonts w:hint="eastAsia"/>
          <w:b/>
          <w:bCs w:val="0"/>
          <w:highlight w:val="none"/>
        </w:rPr>
        <w:t>、其他有利于磋商的技术条件</w:t>
      </w:r>
    </w:p>
    <w:p w14:paraId="1D397E60">
      <w:pPr>
        <w:spacing w:line="240" w:lineRule="atLeast"/>
        <w:ind w:left="1080" w:leftChars="257" w:hanging="540"/>
        <w:jc w:val="center"/>
        <w:outlineLvl w:val="9"/>
        <w:rPr>
          <w:rFonts w:hint="eastAsia" w:ascii="宋体" w:hAnsi="宋体" w:eastAsia="宋体" w:cs="宋体"/>
          <w:b/>
          <w:bCs w:val="0"/>
          <w:sz w:val="24"/>
          <w:highlight w:val="none"/>
        </w:rPr>
      </w:pPr>
    </w:p>
    <w:p w14:paraId="7741316A">
      <w:pPr>
        <w:spacing w:line="240" w:lineRule="atLeast"/>
        <w:ind w:left="1080" w:leftChars="257" w:hanging="540"/>
        <w:jc w:val="center"/>
        <w:outlineLvl w:val="9"/>
        <w:rPr>
          <w:rFonts w:hint="eastAsia" w:ascii="宋体" w:hAnsi="宋体" w:eastAsia="宋体" w:cs="宋体"/>
          <w:sz w:val="24"/>
          <w:highlight w:val="none"/>
        </w:rPr>
      </w:pPr>
    </w:p>
    <w:p w14:paraId="47A6276E">
      <w:pPr>
        <w:spacing w:line="240" w:lineRule="atLeast"/>
        <w:ind w:left="1080" w:leftChars="257" w:hanging="540"/>
        <w:jc w:val="center"/>
        <w:outlineLvl w:val="9"/>
        <w:rPr>
          <w:rFonts w:hint="eastAsia" w:ascii="宋体" w:hAnsi="宋体" w:eastAsia="宋体" w:cs="宋体"/>
          <w:sz w:val="24"/>
          <w:highlight w:val="none"/>
        </w:rPr>
      </w:pPr>
    </w:p>
    <w:p w14:paraId="7E5A5558">
      <w:pPr>
        <w:spacing w:line="240" w:lineRule="auto"/>
        <w:ind w:left="0" w:leftChars="0" w:firstLine="0"/>
        <w:jc w:val="both"/>
        <w:outlineLvl w:val="9"/>
        <w:rPr>
          <w:rFonts w:ascii="仿宋_GB2312" w:hAnsi="宋体" w:eastAsia="仿宋_GB2312"/>
          <w:sz w:val="24"/>
          <w:highlight w:val="none"/>
        </w:rPr>
      </w:pPr>
      <w:r>
        <w:rPr>
          <w:rFonts w:hint="eastAsia" w:ascii="宋体" w:hAnsi="宋体" w:eastAsia="宋体" w:cs="宋体"/>
          <w:sz w:val="24"/>
          <w:highlight w:val="none"/>
        </w:rPr>
        <w:br w:type="page"/>
      </w:r>
    </w:p>
    <w:p w14:paraId="51CA6CBC">
      <w:pPr>
        <w:spacing w:line="240" w:lineRule="atLeast"/>
        <w:ind w:left="1080" w:leftChars="257" w:hanging="540"/>
        <w:jc w:val="center"/>
        <w:outlineLvl w:val="9"/>
        <w:rPr>
          <w:rFonts w:ascii="仿宋_GB2312" w:hAnsi="宋体" w:eastAsia="仿宋_GB2312"/>
          <w:sz w:val="24"/>
          <w:highlight w:val="none"/>
        </w:rPr>
      </w:pPr>
    </w:p>
    <w:p w14:paraId="1160C05E">
      <w:pPr>
        <w:spacing w:line="240" w:lineRule="atLeast"/>
        <w:ind w:left="1080" w:leftChars="257" w:hanging="540"/>
        <w:jc w:val="center"/>
        <w:outlineLvl w:val="9"/>
        <w:rPr>
          <w:rFonts w:ascii="仿宋_GB2312" w:hAnsi="宋体" w:eastAsia="仿宋_GB2312"/>
          <w:sz w:val="24"/>
          <w:highlight w:val="none"/>
        </w:rPr>
      </w:pPr>
    </w:p>
    <w:p w14:paraId="48402999">
      <w:pPr>
        <w:spacing w:line="240" w:lineRule="atLeast"/>
        <w:ind w:left="1080" w:leftChars="257" w:hanging="540"/>
        <w:jc w:val="center"/>
        <w:outlineLvl w:val="9"/>
        <w:rPr>
          <w:rFonts w:ascii="仿宋_GB2312" w:hAnsi="宋体" w:eastAsia="仿宋_GB2312"/>
          <w:sz w:val="24"/>
          <w:highlight w:val="none"/>
        </w:rPr>
      </w:pPr>
    </w:p>
    <w:p w14:paraId="5DA009D8">
      <w:pPr>
        <w:spacing w:line="240" w:lineRule="atLeast"/>
        <w:ind w:left="1080" w:leftChars="257" w:hanging="540"/>
        <w:jc w:val="center"/>
        <w:outlineLvl w:val="9"/>
        <w:rPr>
          <w:rFonts w:ascii="仿宋_GB2312" w:hAnsi="宋体" w:eastAsia="仿宋_GB2312"/>
          <w:sz w:val="24"/>
          <w:highlight w:val="none"/>
        </w:rPr>
      </w:pPr>
    </w:p>
    <w:p w14:paraId="24318ECB">
      <w:pPr>
        <w:spacing w:line="240" w:lineRule="atLeast"/>
        <w:ind w:left="1080" w:leftChars="257" w:hanging="540"/>
        <w:jc w:val="center"/>
        <w:outlineLvl w:val="9"/>
        <w:rPr>
          <w:rFonts w:ascii="仿宋_GB2312" w:hAnsi="宋体" w:eastAsia="仿宋_GB2312"/>
          <w:sz w:val="24"/>
          <w:highlight w:val="none"/>
        </w:rPr>
      </w:pPr>
    </w:p>
    <w:p w14:paraId="589F3606">
      <w:pPr>
        <w:spacing w:line="240" w:lineRule="atLeast"/>
        <w:ind w:left="1080" w:leftChars="257" w:hanging="540"/>
        <w:jc w:val="center"/>
        <w:outlineLvl w:val="9"/>
        <w:rPr>
          <w:rFonts w:ascii="仿宋_GB2312" w:hAnsi="宋体" w:eastAsia="仿宋_GB2312"/>
          <w:sz w:val="24"/>
          <w:highlight w:val="none"/>
        </w:rPr>
      </w:pPr>
    </w:p>
    <w:p w14:paraId="1ED600AB">
      <w:pPr>
        <w:pStyle w:val="7"/>
        <w:ind w:left="0" w:leftChars="0" w:firstLine="0" w:firstLineChars="0"/>
        <w:jc w:val="center"/>
        <w:outlineLvl w:val="9"/>
        <w:rPr>
          <w:highlight w:val="none"/>
        </w:rPr>
      </w:pPr>
      <w:r>
        <w:rPr>
          <w:rFonts w:hint="eastAsia" w:ascii="黑体" w:hAnsi="黑体" w:eastAsia="黑体" w:cs="黑体"/>
          <w:bCs/>
          <w:sz w:val="52"/>
          <w:szCs w:val="52"/>
          <w:highlight w:val="none"/>
          <w:lang w:val="en-US" w:eastAsia="zh-CN"/>
        </w:rPr>
        <w:t>英吉沙县铸牢中华民族共同体意识交往交流交融项目——英吉沙县“石榴花·巾帼援疆行动”暨“民族团结一家亲”结对联谊项目</w:t>
      </w:r>
    </w:p>
    <w:p w14:paraId="3C065B84">
      <w:pPr>
        <w:outlineLvl w:val="9"/>
        <w:rPr>
          <w:highlight w:val="none"/>
        </w:rPr>
      </w:pPr>
    </w:p>
    <w:p w14:paraId="71EC0261">
      <w:pPr>
        <w:pStyle w:val="14"/>
        <w:outlineLvl w:val="9"/>
        <w:rPr>
          <w:highlight w:val="none"/>
        </w:rPr>
      </w:pPr>
    </w:p>
    <w:p w14:paraId="51ADB7FD">
      <w:pPr>
        <w:pStyle w:val="37"/>
        <w:outlineLvl w:val="9"/>
        <w:rPr>
          <w:highlight w:val="none"/>
        </w:rPr>
      </w:pPr>
    </w:p>
    <w:p w14:paraId="4116F17B">
      <w:pPr>
        <w:spacing w:line="240" w:lineRule="atLeast"/>
        <w:ind w:left="1080" w:leftChars="257" w:hanging="540"/>
        <w:jc w:val="center"/>
        <w:outlineLvl w:val="9"/>
        <w:rPr>
          <w:rFonts w:hint="default" w:ascii="华文中宋" w:hAnsi="华文中宋" w:eastAsia="华文中宋" w:cs="华文中宋"/>
          <w:bCs/>
          <w:sz w:val="52"/>
          <w:szCs w:val="52"/>
          <w:highlight w:val="none"/>
          <w:lang w:val="en-US" w:eastAsia="zh-CN"/>
        </w:rPr>
      </w:pPr>
      <w:r>
        <w:rPr>
          <w:rFonts w:hint="eastAsia" w:ascii="华文中宋" w:hAnsi="华文中宋" w:eastAsia="华文中宋" w:cs="华文中宋"/>
          <w:bCs/>
          <w:sz w:val="52"/>
          <w:szCs w:val="52"/>
          <w:highlight w:val="none"/>
          <w:lang w:val="en-US" w:eastAsia="zh-CN"/>
        </w:rPr>
        <w:t>竞争性磋商文件</w:t>
      </w:r>
    </w:p>
    <w:p w14:paraId="0BA558FC">
      <w:pPr>
        <w:pStyle w:val="14"/>
        <w:outlineLvl w:val="9"/>
        <w:rPr>
          <w:rFonts w:hint="eastAsia"/>
          <w:highlight w:val="none"/>
        </w:rPr>
      </w:pPr>
    </w:p>
    <w:p w14:paraId="51C6C98E">
      <w:pPr>
        <w:spacing w:line="240" w:lineRule="atLeast"/>
        <w:ind w:left="0" w:leftChars="0" w:hanging="18" w:firstLineChars="0"/>
        <w:jc w:val="center"/>
        <w:outlineLvl w:val="9"/>
        <w:rPr>
          <w:rFonts w:hint="eastAsia" w:ascii="黑体" w:eastAsia="黑体"/>
          <w:sz w:val="28"/>
          <w:highlight w:val="none"/>
        </w:rPr>
      </w:pPr>
    </w:p>
    <w:p w14:paraId="45E2D94C">
      <w:pPr>
        <w:spacing w:line="240" w:lineRule="atLeast"/>
        <w:ind w:left="0" w:leftChars="0" w:hanging="18" w:firstLineChars="0"/>
        <w:jc w:val="center"/>
        <w:outlineLvl w:val="9"/>
        <w:rPr>
          <w:rFonts w:hint="eastAsia" w:ascii="仿宋_GB2312" w:eastAsia="仿宋_GB2312"/>
          <w:b/>
          <w:sz w:val="28"/>
          <w:highlight w:val="none"/>
        </w:rPr>
      </w:pPr>
      <w:r>
        <w:rPr>
          <w:rFonts w:hint="eastAsia" w:ascii="黑体" w:eastAsia="黑体"/>
          <w:sz w:val="28"/>
          <w:highlight w:val="none"/>
        </w:rPr>
        <w:t>项目编号：</w:t>
      </w:r>
      <w:r>
        <w:rPr>
          <w:rFonts w:hint="eastAsia" w:ascii="黑体" w:hAnsi="黑体" w:eastAsia="黑体" w:cs="黑体"/>
          <w:sz w:val="32"/>
          <w:szCs w:val="40"/>
          <w:highlight w:val="none"/>
          <w:lang w:eastAsia="zh-CN"/>
        </w:rPr>
        <w:t>ZTZXYJSX（CS）DL-2025-20号</w:t>
      </w:r>
    </w:p>
    <w:p w14:paraId="3BD8C7B5">
      <w:pPr>
        <w:spacing w:line="240" w:lineRule="atLeast"/>
        <w:ind w:left="1080" w:leftChars="257" w:hanging="540"/>
        <w:jc w:val="center"/>
        <w:outlineLvl w:val="9"/>
        <w:rPr>
          <w:rFonts w:hint="eastAsia" w:ascii="仿宋_GB2312" w:eastAsia="仿宋_GB2312"/>
          <w:b/>
          <w:sz w:val="52"/>
          <w:highlight w:val="none"/>
        </w:rPr>
      </w:pPr>
    </w:p>
    <w:p w14:paraId="310862AE">
      <w:pPr>
        <w:spacing w:line="240" w:lineRule="atLeast"/>
        <w:ind w:left="1080" w:leftChars="257" w:hanging="540"/>
        <w:outlineLvl w:val="9"/>
        <w:rPr>
          <w:rFonts w:hint="eastAsia" w:ascii="仿宋_GB2312" w:eastAsia="仿宋_GB2312"/>
          <w:b/>
          <w:sz w:val="28"/>
          <w:highlight w:val="none"/>
        </w:rPr>
      </w:pPr>
    </w:p>
    <w:p w14:paraId="55C91629">
      <w:pPr>
        <w:spacing w:line="240" w:lineRule="atLeast"/>
        <w:ind w:left="1080" w:leftChars="257" w:hanging="540"/>
        <w:jc w:val="center"/>
        <w:outlineLvl w:val="9"/>
        <w:rPr>
          <w:rFonts w:hint="eastAsia" w:ascii="仿宋_GB2312" w:eastAsia="仿宋_GB2312"/>
          <w:b/>
          <w:sz w:val="48"/>
          <w:szCs w:val="48"/>
          <w:highlight w:val="none"/>
        </w:rPr>
      </w:pPr>
      <w:r>
        <w:rPr>
          <w:rFonts w:hint="eastAsia" w:ascii="仿宋_GB2312" w:eastAsia="仿宋_GB2312"/>
          <w:b/>
          <w:sz w:val="48"/>
          <w:szCs w:val="48"/>
          <w:highlight w:val="none"/>
        </w:rPr>
        <w:t>第二册</w:t>
      </w:r>
    </w:p>
    <w:p w14:paraId="746BDD8D">
      <w:pPr>
        <w:spacing w:line="240" w:lineRule="atLeast"/>
        <w:ind w:left="1080" w:leftChars="257" w:hanging="540"/>
        <w:outlineLvl w:val="9"/>
        <w:rPr>
          <w:rFonts w:hint="eastAsia" w:ascii="仿宋_GB2312" w:eastAsia="仿宋_GB2312"/>
          <w:b/>
          <w:sz w:val="28"/>
          <w:highlight w:val="none"/>
        </w:rPr>
      </w:pPr>
    </w:p>
    <w:p w14:paraId="5E0FB94D">
      <w:pPr>
        <w:spacing w:line="240" w:lineRule="atLeast"/>
        <w:ind w:left="1080" w:leftChars="257" w:hanging="540"/>
        <w:outlineLvl w:val="9"/>
        <w:rPr>
          <w:rFonts w:hint="eastAsia" w:ascii="仿宋_GB2312" w:eastAsia="仿宋_GB2312"/>
          <w:b/>
          <w:sz w:val="28"/>
          <w:highlight w:val="none"/>
        </w:rPr>
      </w:pPr>
    </w:p>
    <w:p w14:paraId="211645B9">
      <w:pPr>
        <w:spacing w:line="240" w:lineRule="atLeast"/>
        <w:ind w:left="1080" w:leftChars="257" w:hanging="540"/>
        <w:outlineLvl w:val="9"/>
        <w:rPr>
          <w:rFonts w:hint="eastAsia" w:ascii="仿宋_GB2312" w:eastAsia="仿宋_GB2312"/>
          <w:b/>
          <w:sz w:val="28"/>
          <w:highlight w:val="none"/>
        </w:rPr>
      </w:pPr>
    </w:p>
    <w:p w14:paraId="417DFA45">
      <w:pPr>
        <w:spacing w:line="240" w:lineRule="atLeast"/>
        <w:ind w:left="1080" w:leftChars="257" w:hanging="540"/>
        <w:outlineLvl w:val="9"/>
        <w:rPr>
          <w:rFonts w:hint="eastAsia" w:ascii="仿宋_GB2312" w:eastAsia="仿宋_GB2312"/>
          <w:b/>
          <w:sz w:val="28"/>
          <w:highlight w:val="none"/>
        </w:rPr>
      </w:pPr>
    </w:p>
    <w:p w14:paraId="4207C966">
      <w:pPr>
        <w:spacing w:line="240" w:lineRule="atLeast"/>
        <w:ind w:left="1080" w:leftChars="257" w:hanging="540"/>
        <w:jc w:val="center"/>
        <w:outlineLvl w:val="9"/>
        <w:rPr>
          <w:rFonts w:hint="eastAsia" w:ascii="仿宋_GB2312" w:eastAsia="仿宋_GB2312"/>
          <w:b/>
          <w:sz w:val="52"/>
          <w:highlight w:val="none"/>
        </w:rPr>
      </w:pPr>
    </w:p>
    <w:p w14:paraId="0927C86B">
      <w:pPr>
        <w:spacing w:line="240" w:lineRule="atLeast"/>
        <w:ind w:left="1080" w:leftChars="257" w:hanging="540"/>
        <w:jc w:val="center"/>
        <w:outlineLvl w:val="9"/>
        <w:rPr>
          <w:rFonts w:hint="eastAsia" w:ascii="仿宋_GB2312" w:eastAsia="仿宋_GB2312"/>
          <w:b/>
          <w:sz w:val="52"/>
          <w:highlight w:val="none"/>
        </w:rPr>
      </w:pPr>
    </w:p>
    <w:p w14:paraId="1118D596">
      <w:pPr>
        <w:spacing w:line="240" w:lineRule="atLeast"/>
        <w:ind w:left="1080" w:leftChars="257" w:hanging="540"/>
        <w:jc w:val="center"/>
        <w:outlineLvl w:val="9"/>
        <w:rPr>
          <w:rFonts w:hint="eastAsia" w:ascii="仿宋_GB2312" w:eastAsia="仿宋_GB2312"/>
          <w:b/>
          <w:sz w:val="52"/>
          <w:highlight w:val="none"/>
        </w:rPr>
      </w:pPr>
    </w:p>
    <w:p w14:paraId="29D8F3ED">
      <w:pPr>
        <w:spacing w:line="240" w:lineRule="atLeast"/>
        <w:ind w:left="1080" w:leftChars="257" w:hanging="540"/>
        <w:jc w:val="center"/>
        <w:outlineLvl w:val="9"/>
        <w:rPr>
          <w:rFonts w:hint="eastAsia" w:ascii="仿宋_GB2312" w:eastAsia="仿宋_GB2312"/>
          <w:b/>
          <w:sz w:val="52"/>
          <w:highlight w:val="none"/>
        </w:rPr>
      </w:pPr>
    </w:p>
    <w:p w14:paraId="56F2687D">
      <w:pPr>
        <w:spacing w:line="240" w:lineRule="atLeast"/>
        <w:ind w:left="1080" w:leftChars="257" w:hanging="540"/>
        <w:jc w:val="center"/>
        <w:outlineLvl w:val="9"/>
        <w:rPr>
          <w:rFonts w:hint="eastAsia" w:ascii="仿宋_GB2312" w:eastAsia="仿宋_GB2312"/>
          <w:b/>
          <w:sz w:val="52"/>
          <w:highlight w:val="none"/>
        </w:rPr>
      </w:pPr>
    </w:p>
    <w:p w14:paraId="02A815A2">
      <w:pPr>
        <w:spacing w:line="240" w:lineRule="atLeast"/>
        <w:ind w:left="1080" w:leftChars="257" w:hanging="540"/>
        <w:jc w:val="center"/>
        <w:outlineLvl w:val="9"/>
        <w:rPr>
          <w:rFonts w:hint="eastAsia" w:ascii="仿宋_GB2312" w:eastAsia="仿宋_GB2312"/>
          <w:b/>
          <w:sz w:val="52"/>
          <w:highlight w:val="none"/>
        </w:rPr>
      </w:pPr>
    </w:p>
    <w:p w14:paraId="61BB2E07">
      <w:pPr>
        <w:numPr>
          <w:ilvl w:val="0"/>
          <w:numId w:val="0"/>
        </w:numPr>
        <w:tabs>
          <w:tab w:val="left" w:pos="0"/>
        </w:tabs>
        <w:spacing w:before="0" w:after="0" w:line="240" w:lineRule="atLeast"/>
        <w:jc w:val="both"/>
        <w:outlineLvl w:val="9"/>
        <w:rPr>
          <w:rFonts w:hint="default" w:ascii="宋体" w:hAnsi="宋体" w:eastAsia="宋体" w:cs="宋体"/>
          <w:b/>
          <w:kern w:val="44"/>
          <w:sz w:val="32"/>
          <w:szCs w:val="20"/>
          <w:highlight w:val="none"/>
          <w:lang w:val="en-US" w:eastAsia="zh-CN" w:bidi="ar-SA"/>
        </w:rPr>
      </w:pPr>
      <w:bookmarkStart w:id="248" w:name="_Toc218935350"/>
      <w:bookmarkStart w:id="249" w:name="_Toc216582822"/>
      <w:bookmarkStart w:id="250" w:name="_Toc219175634"/>
      <w:bookmarkStart w:id="251" w:name="_Toc507399902"/>
      <w:bookmarkStart w:id="252" w:name="_Toc518923124"/>
      <w:r>
        <w:rPr>
          <w:rFonts w:hint="eastAsia" w:hAnsi="宋体" w:eastAsia="宋体" w:cs="宋体"/>
          <w:b/>
          <w:kern w:val="44"/>
          <w:sz w:val="32"/>
          <w:szCs w:val="20"/>
          <w:highlight w:val="none"/>
          <w:lang w:val="en-US" w:eastAsia="zh-CN" w:bidi="ar-SA"/>
        </w:rPr>
        <w:t xml:space="preserve"> </w:t>
      </w:r>
    </w:p>
    <w:p w14:paraId="166F8EE1">
      <w:pPr>
        <w:numPr>
          <w:ilvl w:val="0"/>
          <w:numId w:val="0"/>
        </w:numPr>
        <w:tabs>
          <w:tab w:val="left" w:pos="0"/>
        </w:tabs>
        <w:spacing w:before="0" w:after="0" w:line="240" w:lineRule="atLeast"/>
        <w:jc w:val="center"/>
        <w:outlineLvl w:val="0"/>
        <w:rPr>
          <w:rFonts w:hint="eastAsia" w:ascii="宋体" w:hAnsi="宋体" w:eastAsia="宋体" w:cs="宋体"/>
          <w:highlight w:val="none"/>
        </w:rPr>
      </w:pPr>
      <w:bookmarkStart w:id="253" w:name="_Toc24413"/>
      <w:bookmarkStart w:id="254" w:name="_Toc29272"/>
      <w:r>
        <w:rPr>
          <w:rFonts w:hint="default" w:ascii="宋体" w:hAnsi="宋体" w:eastAsia="宋体" w:cs="宋体"/>
          <w:b/>
          <w:kern w:val="44"/>
          <w:sz w:val="32"/>
          <w:szCs w:val="20"/>
          <w:highlight w:val="none"/>
          <w:lang w:val="en-US" w:eastAsia="zh-CN" w:bidi="ar-SA"/>
        </w:rPr>
        <w:t>第</w:t>
      </w:r>
      <w:r>
        <w:rPr>
          <w:rFonts w:hint="eastAsia" w:ascii="宋体" w:hAnsi="宋体" w:eastAsia="宋体" w:cs="宋体"/>
          <w:b/>
          <w:kern w:val="44"/>
          <w:sz w:val="32"/>
          <w:szCs w:val="20"/>
          <w:highlight w:val="none"/>
          <w:lang w:val="en-US" w:eastAsia="zh-CN" w:bidi="ar-SA"/>
        </w:rPr>
        <w:t>3</w:t>
      </w:r>
      <w:r>
        <w:rPr>
          <w:rFonts w:hint="default" w:ascii="宋体" w:hAnsi="宋体" w:eastAsia="宋体" w:cs="宋体"/>
          <w:b/>
          <w:kern w:val="44"/>
          <w:sz w:val="32"/>
          <w:szCs w:val="20"/>
          <w:highlight w:val="none"/>
          <w:lang w:val="en-US" w:eastAsia="zh-CN" w:bidi="ar-SA"/>
        </w:rPr>
        <w:t>章</w:t>
      </w:r>
      <w:r>
        <w:rPr>
          <w:rFonts w:hint="eastAsia" w:ascii="宋体" w:hAnsi="宋体" w:eastAsia="宋体" w:cs="宋体"/>
          <w:b/>
          <w:kern w:val="44"/>
          <w:sz w:val="32"/>
          <w:szCs w:val="20"/>
          <w:highlight w:val="none"/>
          <w:lang w:val="en-US" w:eastAsia="zh-CN" w:bidi="ar-SA"/>
        </w:rPr>
        <w:t xml:space="preserve">  投标邀请</w:t>
      </w:r>
      <w:bookmarkEnd w:id="248"/>
      <w:bookmarkEnd w:id="249"/>
      <w:bookmarkEnd w:id="250"/>
      <w:bookmarkEnd w:id="251"/>
      <w:bookmarkEnd w:id="252"/>
      <w:bookmarkEnd w:id="253"/>
      <w:bookmarkEnd w:id="254"/>
    </w:p>
    <w:p w14:paraId="2B68C008">
      <w:pPr>
        <w:spacing w:line="360" w:lineRule="auto"/>
        <w:jc w:val="center"/>
        <w:outlineLvl w:val="9"/>
        <w:rPr>
          <w:rFonts w:hint="eastAsia" w:ascii="宋体" w:hAnsi="宋体" w:eastAsia="宋体" w:cs="宋体"/>
          <w:b/>
          <w:sz w:val="32"/>
          <w:szCs w:val="32"/>
          <w:highlight w:val="none"/>
        </w:rPr>
      </w:pPr>
      <w:bookmarkStart w:id="255" w:name="_Toc18719"/>
      <w:bookmarkStart w:id="256" w:name="_Toc7958"/>
      <w:r>
        <w:rPr>
          <w:rFonts w:hint="eastAsia" w:ascii="宋体" w:hAnsi="宋体" w:cs="宋体"/>
          <w:b/>
          <w:sz w:val="32"/>
          <w:szCs w:val="32"/>
          <w:highlight w:val="none"/>
          <w:lang w:val="en-US" w:eastAsia="zh-CN"/>
        </w:rPr>
        <w:t>英吉沙县铸牢中华民族共同体意识交往交流交融项目——英吉沙县“石榴花·巾帼援疆行动”暨“民族团结一家亲”结对联谊项目</w:t>
      </w:r>
      <w:r>
        <w:rPr>
          <w:rFonts w:hint="eastAsia" w:ascii="宋体" w:hAnsi="宋体" w:eastAsia="宋体" w:cs="宋体"/>
          <w:b/>
          <w:sz w:val="32"/>
          <w:szCs w:val="32"/>
          <w:highlight w:val="none"/>
        </w:rPr>
        <w:t>竞争性磋商公告</w:t>
      </w:r>
      <w:bookmarkEnd w:id="255"/>
      <w:bookmarkEnd w:id="256"/>
    </w:p>
    <w:p w14:paraId="1C7C3B45">
      <w:pPr>
        <w:outlineLvl w:val="9"/>
        <w:rPr>
          <w:highlight w:val="none"/>
        </w:rPr>
      </w:pPr>
    </w:p>
    <w:p w14:paraId="41EBF0FD">
      <w:pPr>
        <w:pBdr>
          <w:top w:val="single" w:color="auto" w:sz="4" w:space="1"/>
          <w:left w:val="single" w:color="auto" w:sz="4" w:space="4"/>
          <w:bottom w:val="single" w:color="auto" w:sz="4" w:space="1"/>
          <w:right w:val="single" w:color="auto" w:sz="4" w:space="4"/>
        </w:pBd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7279008C">
      <w:pPr>
        <w:pBdr>
          <w:top w:val="single" w:color="auto" w:sz="4" w:space="1"/>
          <w:left w:val="single" w:color="auto" w:sz="4" w:space="4"/>
          <w:bottom w:val="single" w:color="auto" w:sz="4" w:space="1"/>
          <w:right w:val="single" w:color="auto" w:sz="4" w:space="4"/>
        </w:pBdr>
        <w:spacing w:line="360" w:lineRule="auto"/>
        <w:ind w:firstLine="480" w:firstLineChars="200"/>
        <w:jc w:val="both"/>
        <w:outlineLvl w:val="9"/>
        <w:rPr>
          <w:rFonts w:hint="eastAsia" w:ascii="宋体" w:hAnsi="宋体" w:eastAsia="宋体" w:cs="宋体"/>
          <w:sz w:val="24"/>
          <w:szCs w:val="24"/>
          <w:highlight w:val="none"/>
        </w:rPr>
      </w:pPr>
      <w:r>
        <w:rPr>
          <w:rFonts w:hint="eastAsia" w:ascii="宋体" w:hAnsi="宋体" w:cs="宋体"/>
          <w:sz w:val="24"/>
          <w:szCs w:val="24"/>
          <w:highlight w:val="none"/>
          <w:u w:val="single"/>
          <w:lang w:val="en-US" w:eastAsia="zh-CN"/>
        </w:rPr>
        <w:t>英吉沙县铸牢中华民族共同体意识交往交流交融项目——英吉沙县“石榴花·巾帼援疆行动”暨“民族团结一家亲”结对联谊项目</w:t>
      </w:r>
      <w:r>
        <w:rPr>
          <w:rFonts w:hint="eastAsia" w:ascii="宋体" w:hAnsi="宋体" w:eastAsia="宋体" w:cs="宋体"/>
          <w:sz w:val="24"/>
          <w:szCs w:val="24"/>
          <w:highlight w:val="none"/>
        </w:rPr>
        <w:t>采购项目的潜在供应商应在</w:t>
      </w:r>
      <w:r>
        <w:rPr>
          <w:rFonts w:hint="eastAsia" w:ascii="宋体" w:hAnsi="宋体" w:eastAsia="宋体" w:cs="宋体"/>
          <w:bCs/>
          <w:sz w:val="24"/>
          <w:szCs w:val="24"/>
          <w:highlight w:val="none"/>
          <w:u w:val="single"/>
        </w:rPr>
        <w:t>http://www.ccgp-xinjiang.gov.cn/</w:t>
      </w:r>
      <w:r>
        <w:rPr>
          <w:rFonts w:hint="eastAsia" w:ascii="宋体" w:hAnsi="宋体" w:eastAsia="宋体" w:cs="宋体"/>
          <w:sz w:val="24"/>
          <w:szCs w:val="24"/>
          <w:highlight w:val="none"/>
        </w:rPr>
        <w:t>获取采购文件，并于</w:t>
      </w:r>
      <w:r>
        <w:rPr>
          <w:rFonts w:hint="eastAsia" w:ascii="宋体" w:hAnsi="宋体" w:cs="宋体"/>
          <w:color w:val="auto"/>
          <w:sz w:val="24"/>
          <w:szCs w:val="24"/>
          <w:highlight w:val="none"/>
          <w:u w:val="single"/>
          <w:lang w:val="en-US" w:eastAsia="zh-CN"/>
        </w:rPr>
        <w:t>2025年07月21日</w:t>
      </w:r>
      <w:r>
        <w:rPr>
          <w:rFonts w:hint="eastAsia" w:ascii="宋体" w:hAnsi="宋体" w:cs="宋体"/>
          <w:bCs/>
          <w:color w:val="auto"/>
          <w:sz w:val="24"/>
          <w:szCs w:val="24"/>
          <w:highlight w:val="none"/>
          <w:u w:val="single"/>
          <w:lang w:val="en-US" w:eastAsia="zh-CN"/>
        </w:rPr>
        <w:t>11点00分</w:t>
      </w:r>
      <w:r>
        <w:rPr>
          <w:rFonts w:hint="eastAsia" w:ascii="宋体" w:hAnsi="宋体" w:eastAsia="宋体" w:cs="宋体"/>
          <w:bCs/>
          <w:sz w:val="24"/>
          <w:szCs w:val="24"/>
          <w:highlight w:val="none"/>
        </w:rPr>
        <w:t>（北京时间）</w:t>
      </w:r>
      <w:r>
        <w:rPr>
          <w:rFonts w:hint="eastAsia" w:ascii="宋体" w:hAnsi="宋体" w:eastAsia="宋体" w:cs="宋体"/>
          <w:bCs/>
          <w:sz w:val="24"/>
          <w:szCs w:val="24"/>
          <w:highlight w:val="none"/>
        </w:rPr>
        <w:t>前提交响应文件</w:t>
      </w:r>
      <w:r>
        <w:rPr>
          <w:rFonts w:hint="eastAsia" w:ascii="宋体" w:hAnsi="宋体" w:eastAsia="宋体" w:cs="宋体"/>
          <w:sz w:val="24"/>
          <w:szCs w:val="24"/>
          <w:highlight w:val="none"/>
        </w:rPr>
        <w:t>。</w:t>
      </w:r>
    </w:p>
    <w:p w14:paraId="04C2133C">
      <w:pPr>
        <w:ind w:left="0" w:leftChars="0" w:firstLine="0" w:firstLineChars="0"/>
        <w:outlineLvl w:val="9"/>
        <w:rPr>
          <w:rFonts w:hint="eastAsia" w:ascii="宋体" w:hAnsi="宋体" w:eastAsia="宋体" w:cs="宋体"/>
          <w:b/>
          <w:bCs/>
          <w:sz w:val="28"/>
          <w:szCs w:val="28"/>
          <w:highlight w:val="none"/>
        </w:rPr>
      </w:pPr>
      <w:bookmarkStart w:id="257" w:name="_Toc35393798"/>
      <w:bookmarkStart w:id="258" w:name="_Toc35393629"/>
      <w:bookmarkStart w:id="259" w:name="_Toc28359089"/>
      <w:bookmarkStart w:id="260" w:name="_Toc28359012"/>
      <w:r>
        <w:rPr>
          <w:rFonts w:hint="eastAsia" w:ascii="宋体" w:hAnsi="宋体" w:eastAsia="宋体" w:cs="宋体"/>
          <w:b/>
          <w:bCs/>
          <w:sz w:val="28"/>
          <w:szCs w:val="28"/>
          <w:highlight w:val="none"/>
        </w:rPr>
        <w:t>一、项目基本情况</w:t>
      </w:r>
      <w:bookmarkEnd w:id="257"/>
      <w:bookmarkEnd w:id="258"/>
      <w:bookmarkEnd w:id="259"/>
      <w:bookmarkEnd w:id="260"/>
    </w:p>
    <w:p w14:paraId="14C23B27">
      <w:pPr>
        <w:pStyle w:val="34"/>
        <w:spacing w:before="75" w:after="75" w:line="360" w:lineRule="auto"/>
        <w:ind w:firstLine="42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项目编号：</w:t>
      </w:r>
      <w:r>
        <w:rPr>
          <w:rFonts w:hint="eastAsia" w:ascii="宋体" w:hAnsi="宋体" w:cs="宋体"/>
          <w:sz w:val="24"/>
          <w:szCs w:val="24"/>
          <w:highlight w:val="none"/>
          <w:lang w:val="en-US" w:eastAsia="zh-CN"/>
        </w:rPr>
        <w:t>ZTZXYJSX（CS）DL-2025-20</w:t>
      </w:r>
      <w:r>
        <w:rPr>
          <w:rFonts w:hint="eastAsia" w:ascii="宋体" w:hAnsi="宋体" w:eastAsia="宋体" w:cs="宋体"/>
          <w:sz w:val="24"/>
          <w:szCs w:val="24"/>
          <w:highlight w:val="none"/>
          <w:lang w:val="en-US" w:eastAsia="zh-CN"/>
        </w:rPr>
        <w:t>号</w:t>
      </w:r>
    </w:p>
    <w:p w14:paraId="64F53C59">
      <w:pPr>
        <w:pStyle w:val="34"/>
        <w:spacing w:before="75" w:after="75" w:line="360" w:lineRule="auto"/>
        <w:ind w:firstLine="42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w:t>
      </w:r>
      <w:r>
        <w:rPr>
          <w:rFonts w:hint="eastAsia" w:ascii="宋体" w:hAnsi="宋体" w:cs="宋体"/>
          <w:sz w:val="24"/>
          <w:szCs w:val="24"/>
          <w:highlight w:val="none"/>
          <w:lang w:val="en-US" w:eastAsia="zh-CN"/>
        </w:rPr>
        <w:t>英吉沙县铸牢中华民族共同体意识交往交流交融项目——英吉沙县“石榴花·巾帼援疆行动”暨“民族团结一家亲”结对联谊项目</w:t>
      </w:r>
    </w:p>
    <w:p w14:paraId="259A6D59">
      <w:pPr>
        <w:pStyle w:val="34"/>
        <w:spacing w:before="75" w:after="75" w:line="360" w:lineRule="auto"/>
        <w:ind w:firstLine="42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采购方式： 竞争性磋商</w:t>
      </w:r>
    </w:p>
    <w:p w14:paraId="7C6C2454">
      <w:pPr>
        <w:pStyle w:val="34"/>
        <w:spacing w:before="75" w:after="75" w:line="360" w:lineRule="auto"/>
        <w:ind w:firstLine="420"/>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预算</w:t>
      </w:r>
      <w:r>
        <w:rPr>
          <w:rFonts w:hint="eastAsia" w:ascii="宋体" w:hAnsi="宋体" w:eastAsia="宋体" w:cs="宋体"/>
          <w:sz w:val="24"/>
          <w:szCs w:val="24"/>
          <w:highlight w:val="none"/>
          <w:lang w:val="en-US" w:eastAsia="zh-CN"/>
        </w:rPr>
        <w:t>金额：800000元</w:t>
      </w:r>
    </w:p>
    <w:p w14:paraId="16C7D476">
      <w:pPr>
        <w:pStyle w:val="34"/>
        <w:spacing w:before="75" w:after="75" w:line="360" w:lineRule="auto"/>
        <w:ind w:firstLine="420"/>
        <w:outlineLvl w:val="9"/>
        <w:rPr>
          <w:rFonts w:hint="eastAsia" w:ascii="宋体" w:hAnsi="宋体" w:eastAsia="宋体" w:cs="宋体"/>
          <w:sz w:val="24"/>
          <w:szCs w:val="24"/>
          <w:highlight w:val="none"/>
          <w:lang w:val="en-US" w:eastAsia="zh-CN"/>
        </w:rPr>
      </w:pPr>
      <w:r>
        <w:rPr>
          <w:rStyle w:val="40"/>
          <w:rFonts w:hint="eastAsia" w:ascii="宋体" w:hAnsi="宋体" w:eastAsia="宋体" w:cs="Times New Roman"/>
          <w:sz w:val="24"/>
          <w:highlight w:val="none"/>
          <w:lang w:val="en-US" w:eastAsia="zh-CN"/>
        </w:rPr>
        <w:t>最高限价：</w:t>
      </w:r>
      <w:r>
        <w:rPr>
          <w:rFonts w:hint="eastAsia" w:ascii="宋体" w:hAnsi="宋体" w:eastAsia="宋体" w:cs="宋体"/>
          <w:sz w:val="24"/>
          <w:szCs w:val="24"/>
          <w:highlight w:val="none"/>
          <w:lang w:val="en-US" w:eastAsia="zh-CN"/>
        </w:rPr>
        <w:t>800000元</w:t>
      </w:r>
    </w:p>
    <w:p w14:paraId="1B2F35B3">
      <w:pPr>
        <w:pStyle w:val="34"/>
        <w:spacing w:before="75" w:after="75" w:line="360" w:lineRule="auto"/>
        <w:ind w:firstLine="420"/>
        <w:outlineLvl w:val="9"/>
        <w:rPr>
          <w:rStyle w:val="40"/>
          <w:rFonts w:hint="eastAsia" w:ascii="宋体" w:hAnsi="宋体" w:eastAsia="宋体" w:cs="Times New Roman"/>
          <w:sz w:val="24"/>
          <w:highlight w:val="none"/>
          <w:lang w:val="en-US" w:eastAsia="zh-CN"/>
        </w:rPr>
      </w:pPr>
      <w:r>
        <w:rPr>
          <w:rStyle w:val="40"/>
          <w:rFonts w:hint="eastAsia" w:ascii="宋体" w:hAnsi="宋体" w:eastAsia="宋体" w:cs="Times New Roman"/>
          <w:sz w:val="24"/>
          <w:highlight w:val="none"/>
          <w:lang w:val="en-US" w:eastAsia="zh-CN"/>
        </w:rPr>
        <w:t>采购需求：英吉沙县40户“最美家庭”与济宁市最美家庭互结对子、互换礼物，一起开展趣味互动，共跳欢乐舞蹈，共促民族团结一家亲。参观考察山东济宁市经济发展、孔府孔庙、传统文化示范基地、微山湖等地，组织开展儒家文化思想的教育理念及新时期女性在家风建设中的独特作用的学习，并与济宁市部分家庭代表进行结对联谊活动。 （具体详见磋商文件）</w:t>
      </w:r>
    </w:p>
    <w:p w14:paraId="0EEF0423">
      <w:pPr>
        <w:pStyle w:val="34"/>
        <w:spacing w:before="75" w:after="75" w:line="360" w:lineRule="auto"/>
        <w:ind w:firstLine="420"/>
        <w:outlineLvl w:val="9"/>
        <w:rPr>
          <w:rStyle w:val="40"/>
          <w:rFonts w:hint="default" w:ascii="宋体" w:hAnsi="宋体" w:eastAsia="宋体" w:cs="Times New Roman"/>
          <w:color w:val="auto"/>
          <w:sz w:val="24"/>
          <w:highlight w:val="none"/>
          <w:lang w:val="en-US" w:eastAsia="zh-CN"/>
        </w:rPr>
      </w:pPr>
      <w:r>
        <w:rPr>
          <w:rStyle w:val="40"/>
          <w:rFonts w:hint="eastAsia" w:ascii="宋体" w:hAnsi="宋体" w:eastAsia="宋体" w:cs="Times New Roman"/>
          <w:color w:val="auto"/>
          <w:sz w:val="24"/>
          <w:highlight w:val="none"/>
          <w:lang w:val="en-US" w:eastAsia="zh-CN"/>
        </w:rPr>
        <w:t>合同履行期限：以合同签订为准；</w:t>
      </w:r>
    </w:p>
    <w:p w14:paraId="150E628A">
      <w:pPr>
        <w:pStyle w:val="34"/>
        <w:spacing w:before="75" w:after="75" w:line="360" w:lineRule="auto"/>
        <w:ind w:firstLine="42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本项目（否）接受联合体。</w:t>
      </w:r>
    </w:p>
    <w:p w14:paraId="26A060B4">
      <w:pPr>
        <w:ind w:left="0" w:leftChars="0" w:firstLine="0" w:firstLineChars="0"/>
        <w:outlineLvl w:val="9"/>
        <w:rPr>
          <w:rFonts w:hint="eastAsia" w:ascii="宋体" w:hAnsi="宋体" w:eastAsia="宋体" w:cs="宋体"/>
          <w:b/>
          <w:bCs/>
          <w:sz w:val="28"/>
          <w:szCs w:val="28"/>
          <w:highlight w:val="none"/>
        </w:rPr>
      </w:pPr>
      <w:bookmarkStart w:id="261" w:name="_Toc28359013"/>
      <w:bookmarkStart w:id="262" w:name="_Toc35393799"/>
      <w:bookmarkStart w:id="263" w:name="_Toc28359090"/>
      <w:bookmarkStart w:id="264" w:name="_Toc35393630"/>
      <w:r>
        <w:rPr>
          <w:rFonts w:hint="eastAsia" w:ascii="宋体" w:hAnsi="宋体" w:eastAsia="宋体" w:cs="宋体"/>
          <w:b/>
          <w:bCs/>
          <w:sz w:val="28"/>
          <w:szCs w:val="28"/>
          <w:highlight w:val="none"/>
        </w:rPr>
        <w:t>二、申请人的资格要求：</w:t>
      </w:r>
      <w:bookmarkEnd w:id="261"/>
      <w:bookmarkEnd w:id="262"/>
      <w:bookmarkEnd w:id="263"/>
      <w:bookmarkEnd w:id="264"/>
    </w:p>
    <w:p w14:paraId="76AC8046">
      <w:pPr>
        <w:ind w:firstLine="480" w:firstLineChars="200"/>
        <w:outlineLvl w:val="9"/>
        <w:rPr>
          <w:rFonts w:ascii="仿宋" w:hAnsi="仿宋" w:eastAsia="仿宋" w:cs="仿宋"/>
          <w:spacing w:val="6"/>
          <w:sz w:val="23"/>
          <w:szCs w:val="23"/>
          <w:highlight w:val="none"/>
        </w:rPr>
      </w:pPr>
      <w:bookmarkStart w:id="265" w:name="_Toc28359091"/>
      <w:bookmarkStart w:id="266" w:name="_Toc28359014"/>
      <w:r>
        <w:rPr>
          <w:rFonts w:hint="eastAsia" w:ascii="仿宋" w:hAnsi="仿宋" w:eastAsia="仿宋"/>
          <w:sz w:val="24"/>
          <w:szCs w:val="24"/>
          <w:highlight w:val="none"/>
        </w:rPr>
        <w:t>1、</w:t>
      </w:r>
      <w:r>
        <w:rPr>
          <w:rFonts w:ascii="仿宋" w:hAnsi="仿宋" w:eastAsia="仿宋" w:cs="仿宋"/>
          <w:spacing w:val="6"/>
          <w:sz w:val="23"/>
          <w:szCs w:val="23"/>
          <w:highlight w:val="none"/>
        </w:rPr>
        <w:t>满足《中华人民共和国政府采购法》第二十二条规定；</w:t>
      </w:r>
    </w:p>
    <w:p w14:paraId="2E4C972A">
      <w:pPr>
        <w:ind w:firstLine="484" w:firstLineChars="200"/>
        <w:outlineLvl w:val="9"/>
        <w:rPr>
          <w:rFonts w:hint="eastAsia" w:ascii="仿宋" w:hAnsi="仿宋" w:eastAsia="仿宋" w:cs="仿宋"/>
          <w:spacing w:val="6"/>
          <w:sz w:val="23"/>
          <w:szCs w:val="23"/>
          <w:highlight w:val="none"/>
          <w:lang w:val="en-US" w:eastAsia="zh-CN"/>
        </w:rPr>
      </w:pPr>
      <w:r>
        <w:rPr>
          <w:rFonts w:hint="eastAsia" w:ascii="仿宋" w:hAnsi="仿宋" w:eastAsia="仿宋" w:cs="仿宋"/>
          <w:spacing w:val="6"/>
          <w:sz w:val="23"/>
          <w:szCs w:val="23"/>
          <w:highlight w:val="none"/>
          <w:lang w:val="en-US" w:eastAsia="zh-CN"/>
        </w:rPr>
        <w:t>2、</w:t>
      </w:r>
      <w:r>
        <w:rPr>
          <w:rFonts w:ascii="仿宋" w:hAnsi="仿宋" w:eastAsia="仿宋" w:cs="仿宋"/>
          <w:spacing w:val="6"/>
          <w:sz w:val="23"/>
          <w:szCs w:val="23"/>
          <w:highlight w:val="none"/>
        </w:rPr>
        <w:t>落实政府采购政策需满足的资格要求：</w:t>
      </w:r>
      <w:r>
        <w:rPr>
          <w:rFonts w:hint="eastAsia" w:ascii="仿宋" w:hAnsi="仿宋" w:eastAsia="仿宋" w:cs="仿宋"/>
          <w:spacing w:val="6"/>
          <w:sz w:val="23"/>
          <w:szCs w:val="23"/>
          <w:highlight w:val="none"/>
          <w:lang w:val="en-US" w:eastAsia="zh-CN"/>
        </w:rPr>
        <w:t>供应商应为中小微企业；</w:t>
      </w:r>
    </w:p>
    <w:p w14:paraId="19C200C4">
      <w:pPr>
        <w:ind w:firstLine="480" w:firstLineChars="200"/>
        <w:outlineLvl w:val="9"/>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rPr>
        <w:t>本项目的特定资格要求：</w:t>
      </w:r>
    </w:p>
    <w:p w14:paraId="57AEE72B">
      <w:pPr>
        <w:ind w:firstLine="480" w:firstLineChars="200"/>
        <w:outlineLvl w:val="9"/>
        <w:rPr>
          <w:rFonts w:hint="eastAsia" w:ascii="仿宋" w:hAnsi="仿宋" w:eastAsia="仿宋"/>
          <w:sz w:val="24"/>
          <w:szCs w:val="24"/>
          <w:highlight w:val="none"/>
          <w:lang w:eastAsia="zh-CN"/>
        </w:rPr>
      </w:pPr>
      <w:r>
        <w:rPr>
          <w:rFonts w:hint="eastAsia" w:ascii="仿宋" w:hAnsi="仿宋" w:eastAsia="仿宋"/>
          <w:sz w:val="24"/>
          <w:szCs w:val="24"/>
          <w:highlight w:val="none"/>
        </w:rPr>
        <w:t>1.投标人法人或者非法人组织的营业执照等证明文件（须加盖本单位章）</w:t>
      </w:r>
      <w:r>
        <w:rPr>
          <w:rFonts w:hint="eastAsia" w:ascii="仿宋" w:hAnsi="仿宋" w:eastAsia="仿宋"/>
          <w:sz w:val="24"/>
          <w:szCs w:val="24"/>
          <w:highlight w:val="none"/>
          <w:lang w:eastAsia="zh-CN"/>
        </w:rPr>
        <w:t>；</w:t>
      </w:r>
    </w:p>
    <w:p w14:paraId="02D50740">
      <w:pPr>
        <w:ind w:firstLine="480" w:firstLineChars="200"/>
        <w:outlineLvl w:val="9"/>
        <w:rPr>
          <w:rFonts w:hint="eastAsia" w:ascii="仿宋" w:hAnsi="仿宋" w:eastAsia="仿宋"/>
          <w:sz w:val="24"/>
          <w:szCs w:val="24"/>
          <w:highlight w:val="none"/>
        </w:rPr>
      </w:pPr>
      <w:r>
        <w:rPr>
          <w:rFonts w:hint="eastAsia" w:ascii="仿宋" w:hAnsi="仿宋" w:eastAsia="仿宋"/>
          <w:sz w:val="24"/>
          <w:szCs w:val="24"/>
          <w:highlight w:val="none"/>
        </w:rPr>
        <w:t>2.法定代表人资格证明或法定代表人授权委托书，自然人响应的无需提供；</w:t>
      </w:r>
    </w:p>
    <w:p w14:paraId="0298DD54">
      <w:pPr>
        <w:ind w:firstLine="480" w:firstLineChars="200"/>
        <w:outlineLvl w:val="9"/>
        <w:rPr>
          <w:rFonts w:hint="eastAsia" w:ascii="仿宋" w:hAnsi="仿宋" w:eastAsia="仿宋"/>
          <w:sz w:val="24"/>
          <w:szCs w:val="24"/>
          <w:highlight w:val="none"/>
        </w:rPr>
      </w:pPr>
      <w:r>
        <w:rPr>
          <w:rFonts w:hint="eastAsia" w:ascii="仿宋" w:hAnsi="仿宋" w:eastAsia="仿宋"/>
          <w:sz w:val="24"/>
          <w:szCs w:val="24"/>
          <w:highlight w:val="none"/>
        </w:rPr>
        <w:t>3.提供本单位</w:t>
      </w:r>
      <w:r>
        <w:rPr>
          <w:rFonts w:hint="eastAsia" w:ascii="仿宋" w:hAnsi="仿宋" w:eastAsia="仿宋"/>
          <w:sz w:val="24"/>
          <w:szCs w:val="24"/>
          <w:highlight w:val="none"/>
          <w:lang w:eastAsia="zh-CN"/>
        </w:rPr>
        <w:t>缴纳的近6个月内任意1个月的社保缴费</w:t>
      </w:r>
      <w:r>
        <w:rPr>
          <w:rFonts w:hint="eastAsia" w:ascii="仿宋" w:hAnsi="仿宋" w:eastAsia="仿宋"/>
          <w:sz w:val="24"/>
          <w:szCs w:val="24"/>
          <w:highlight w:val="none"/>
        </w:rPr>
        <w:t>凭证及单位缴费个人明细表（社保证明可含：社保缴费凭证、社保缴费汇总单、依法缴纳社保的完税证明）；</w:t>
      </w:r>
    </w:p>
    <w:p w14:paraId="021B68C6">
      <w:pPr>
        <w:ind w:firstLine="480" w:firstLineChars="200"/>
        <w:outlineLvl w:val="9"/>
        <w:rPr>
          <w:rFonts w:hint="eastAsia" w:ascii="仿宋" w:hAnsi="仿宋" w:eastAsia="仿宋"/>
          <w:sz w:val="24"/>
          <w:szCs w:val="24"/>
          <w:highlight w:val="none"/>
        </w:rPr>
      </w:pPr>
      <w:r>
        <w:rPr>
          <w:rFonts w:hint="eastAsia" w:ascii="仿宋" w:hAnsi="仿宋" w:eastAsia="仿宋"/>
          <w:sz w:val="24"/>
          <w:szCs w:val="24"/>
          <w:highlight w:val="none"/>
        </w:rPr>
        <w:t>4.</w:t>
      </w:r>
      <w:r>
        <w:rPr>
          <w:rFonts w:hint="eastAsia" w:ascii="仿宋" w:hAnsi="仿宋" w:eastAsia="仿宋"/>
          <w:sz w:val="24"/>
          <w:szCs w:val="24"/>
          <w:highlight w:val="none"/>
          <w:lang w:eastAsia="zh-CN"/>
        </w:rPr>
        <w:t>具有良好的商业信誉和健全的财务会计制度或者提供最近一年（2024年）的财务审计报告（成立不满一年的提供开标前一个月内有效银行资信证明）</w:t>
      </w:r>
      <w:r>
        <w:rPr>
          <w:rFonts w:hint="eastAsia" w:ascii="仿宋" w:hAnsi="仿宋" w:eastAsia="仿宋"/>
          <w:sz w:val="24"/>
          <w:szCs w:val="24"/>
          <w:highlight w:val="none"/>
        </w:rPr>
        <w:t>；</w:t>
      </w:r>
    </w:p>
    <w:p w14:paraId="3CFDBD54">
      <w:pPr>
        <w:ind w:firstLine="480" w:firstLineChars="200"/>
        <w:outlineLvl w:val="9"/>
        <w:rPr>
          <w:rFonts w:hint="eastAsia" w:ascii="仿宋" w:hAnsi="仿宋" w:eastAsia="仿宋"/>
          <w:sz w:val="24"/>
          <w:szCs w:val="24"/>
          <w:highlight w:val="none"/>
        </w:rPr>
      </w:pPr>
      <w:r>
        <w:rPr>
          <w:rFonts w:hint="eastAsia" w:ascii="仿宋" w:hAnsi="仿宋" w:eastAsia="仿宋"/>
          <w:sz w:val="24"/>
          <w:szCs w:val="24"/>
          <w:highlight w:val="none"/>
        </w:rPr>
        <w:t>5.提供近</w:t>
      </w:r>
      <w:r>
        <w:rPr>
          <w:rFonts w:hint="eastAsia" w:ascii="仿宋" w:hAnsi="仿宋" w:eastAsia="仿宋"/>
          <w:sz w:val="24"/>
          <w:szCs w:val="24"/>
          <w:highlight w:val="none"/>
          <w:lang w:eastAsia="zh-CN"/>
        </w:rPr>
        <w:t>6个月内任意1个月税务局</w:t>
      </w:r>
      <w:r>
        <w:rPr>
          <w:rFonts w:hint="eastAsia" w:ascii="仿宋" w:hAnsi="仿宋" w:eastAsia="仿宋"/>
          <w:sz w:val="24"/>
          <w:szCs w:val="24"/>
          <w:highlight w:val="none"/>
        </w:rPr>
        <w:t>开具的完税证明；依法免缴的应提供依法免缴的相关证明文件和零申报报表（完税证明或税务部门出具的其他证明，非社会保险类）；</w:t>
      </w:r>
    </w:p>
    <w:p w14:paraId="035B064A">
      <w:pPr>
        <w:ind w:firstLine="480" w:firstLineChars="200"/>
        <w:outlineLvl w:val="9"/>
        <w:rPr>
          <w:rFonts w:hint="eastAsia" w:ascii="仿宋" w:hAnsi="仿宋" w:eastAsia="仿宋"/>
          <w:sz w:val="24"/>
          <w:szCs w:val="24"/>
          <w:highlight w:val="none"/>
        </w:rPr>
      </w:pPr>
      <w:r>
        <w:rPr>
          <w:rFonts w:hint="eastAsia" w:ascii="仿宋" w:hAnsi="仿宋" w:eastAsia="仿宋"/>
          <w:sz w:val="24"/>
          <w:szCs w:val="24"/>
          <w:highlight w:val="none"/>
        </w:rPr>
        <w:t>6.投标单位（供应商）针对本次项目《反商业贿赂承诺书》；</w:t>
      </w:r>
    </w:p>
    <w:p w14:paraId="483A1B16">
      <w:pPr>
        <w:ind w:firstLine="480" w:firstLineChars="200"/>
        <w:outlineLvl w:val="9"/>
        <w:rPr>
          <w:rFonts w:hint="eastAsia" w:ascii="仿宋" w:hAnsi="仿宋" w:eastAsia="仿宋"/>
          <w:sz w:val="24"/>
          <w:szCs w:val="24"/>
          <w:highlight w:val="none"/>
        </w:rPr>
      </w:pPr>
      <w:r>
        <w:rPr>
          <w:rFonts w:hint="eastAsia" w:ascii="仿宋" w:hAnsi="仿宋" w:eastAsia="仿宋"/>
          <w:sz w:val="24"/>
          <w:szCs w:val="24"/>
          <w:highlight w:val="none"/>
        </w:rPr>
        <w:t>7.提供参与政府采购活动前3年内未被列入失信、重大税收违法案件、财政部门禁止参加政府采购活动的承诺书；</w:t>
      </w:r>
    </w:p>
    <w:p w14:paraId="01AF0BE3">
      <w:pPr>
        <w:ind w:firstLine="480" w:firstLineChars="200"/>
        <w:outlineLvl w:val="9"/>
        <w:rPr>
          <w:rFonts w:hint="eastAsia" w:ascii="仿宋" w:hAnsi="仿宋" w:eastAsia="仿宋"/>
          <w:sz w:val="24"/>
          <w:szCs w:val="24"/>
          <w:highlight w:val="none"/>
        </w:rPr>
      </w:pPr>
      <w:r>
        <w:rPr>
          <w:rFonts w:hint="eastAsia" w:ascii="仿宋" w:hAnsi="仿宋" w:eastAsia="仿宋"/>
          <w:sz w:val="24"/>
          <w:szCs w:val="24"/>
          <w:highlight w:val="none"/>
        </w:rPr>
        <w:t>8.缴纳磋商保证金的有效凭证。</w:t>
      </w:r>
    </w:p>
    <w:p w14:paraId="51D4334F">
      <w:pPr>
        <w:ind w:firstLine="480" w:firstLineChars="200"/>
        <w:outlineLvl w:val="9"/>
        <w:rPr>
          <w:rFonts w:hint="eastAsia" w:ascii="仿宋" w:hAnsi="仿宋" w:eastAsia="仿宋"/>
          <w:sz w:val="24"/>
          <w:szCs w:val="24"/>
          <w:highlight w:val="none"/>
        </w:rPr>
      </w:pPr>
      <w:r>
        <w:rPr>
          <w:rFonts w:hint="eastAsia" w:ascii="仿宋" w:hAnsi="仿宋" w:eastAsia="仿宋"/>
          <w:sz w:val="24"/>
          <w:szCs w:val="24"/>
          <w:highlight w:val="none"/>
        </w:rPr>
        <w:t>9.根据《财政部关于在政府采购活动中查询及使用信用记录有关问题的通知》（财库﹝2016﹞125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被列入失信被执行人、重大税收违法案件当事人名单(信用服务-失信惩戒对象查询-搜索栏输入单位全称 -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14:paraId="4DE55B9D">
      <w:pPr>
        <w:ind w:firstLine="480" w:firstLineChars="200"/>
        <w:outlineLvl w:val="9"/>
        <w:rPr>
          <w:rFonts w:hint="default" w:ascii="仿宋" w:hAnsi="仿宋" w:eastAsia="仿宋"/>
          <w:sz w:val="24"/>
          <w:szCs w:val="24"/>
          <w:highlight w:val="none"/>
          <w:lang w:val="en-US" w:eastAsia="zh-CN"/>
        </w:rPr>
      </w:pPr>
    </w:p>
    <w:p w14:paraId="6BCC02B8">
      <w:pPr>
        <w:ind w:firstLine="480" w:firstLineChars="200"/>
        <w:outlineLvl w:val="9"/>
        <w:rPr>
          <w:rFonts w:hint="eastAsia" w:ascii="仿宋" w:hAnsi="仿宋" w:eastAsia="仿宋"/>
          <w:sz w:val="24"/>
          <w:szCs w:val="24"/>
          <w:highlight w:val="none"/>
        </w:rPr>
      </w:pPr>
    </w:p>
    <w:p w14:paraId="50CDCE46">
      <w:pPr>
        <w:ind w:left="0" w:leftChars="0" w:firstLine="0" w:firstLineChars="0"/>
        <w:outlineLvl w:val="9"/>
        <w:rPr>
          <w:rFonts w:hint="eastAsia" w:ascii="宋体" w:hAnsi="宋体" w:eastAsia="宋体" w:cs="宋体"/>
          <w:b/>
          <w:bCs/>
          <w:sz w:val="28"/>
          <w:szCs w:val="28"/>
          <w:highlight w:val="none"/>
        </w:rPr>
      </w:pPr>
      <w:bookmarkStart w:id="267" w:name="_Toc35393631"/>
      <w:bookmarkStart w:id="268" w:name="_Toc35393800"/>
      <w:r>
        <w:rPr>
          <w:rFonts w:hint="eastAsia" w:ascii="宋体" w:hAnsi="宋体" w:eastAsia="宋体" w:cs="宋体"/>
          <w:b/>
          <w:bCs/>
          <w:sz w:val="28"/>
          <w:szCs w:val="28"/>
          <w:highlight w:val="none"/>
        </w:rPr>
        <w:t>三、获取采购文件</w:t>
      </w:r>
      <w:bookmarkEnd w:id="265"/>
      <w:bookmarkEnd w:id="266"/>
      <w:bookmarkEnd w:id="267"/>
      <w:bookmarkEnd w:id="268"/>
    </w:p>
    <w:p w14:paraId="73A0739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年0</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年0</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ascii="宋体" w:hAnsi="宋体" w:eastAsia="宋体" w:cs="宋体"/>
          <w:sz w:val="24"/>
          <w:szCs w:val="24"/>
          <w:highlight w:val="none"/>
        </w:rPr>
        <w:t>，每天上午</w:t>
      </w:r>
      <w:r>
        <w:rPr>
          <w:rFonts w:hint="eastAsia" w:ascii="宋体" w:hAnsi="宋体" w:eastAsia="宋体" w:cs="宋体"/>
          <w:sz w:val="24"/>
          <w:szCs w:val="24"/>
          <w:highlight w:val="none"/>
          <w:u w:val="single"/>
          <w:lang w:val="en-US" w:eastAsia="zh-CN"/>
        </w:rPr>
        <w:t>10：00</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14：00</w:t>
      </w:r>
      <w:r>
        <w:rPr>
          <w:rFonts w:hint="eastAsia" w:ascii="宋体" w:hAnsi="宋体" w:eastAsia="宋体" w:cs="宋体"/>
          <w:sz w:val="24"/>
          <w:szCs w:val="24"/>
          <w:highlight w:val="none"/>
        </w:rPr>
        <w:t>，下午</w:t>
      </w:r>
      <w:r>
        <w:rPr>
          <w:rFonts w:hint="eastAsia" w:ascii="宋体" w:hAnsi="宋体" w:eastAsia="宋体" w:cs="宋体"/>
          <w:sz w:val="24"/>
          <w:szCs w:val="24"/>
          <w:highlight w:val="none"/>
          <w:u w:val="single"/>
          <w:lang w:val="en-US" w:eastAsia="zh-CN"/>
        </w:rPr>
        <w:t>16：00</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20：00</w:t>
      </w:r>
      <w:r>
        <w:rPr>
          <w:rFonts w:hint="eastAsia" w:ascii="宋体" w:hAnsi="宋体" w:eastAsia="宋体" w:cs="宋体"/>
          <w:sz w:val="24"/>
          <w:szCs w:val="24"/>
          <w:highlight w:val="none"/>
        </w:rPr>
        <w:t>（北京时间，法定节假日除外 ）</w:t>
      </w:r>
    </w:p>
    <w:p w14:paraId="6AF902A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地点：</w:t>
      </w:r>
      <w:r>
        <w:rPr>
          <w:rFonts w:hint="eastAsia" w:ascii="宋体" w:hAnsi="宋体" w:eastAsia="宋体" w:cs="宋体"/>
          <w:b w:val="0"/>
          <w:i w:val="0"/>
          <w:caps w:val="0"/>
          <w:color w:val="000000"/>
          <w:spacing w:val="0"/>
          <w:w w:val="100"/>
          <w:kern w:val="0"/>
          <w:sz w:val="24"/>
          <w:szCs w:val="24"/>
          <w:highlight w:val="none"/>
          <w:lang w:val="en-US" w:eastAsia="zh-CN" w:bidi="ar-SA"/>
        </w:rPr>
        <w:t>投标人登陆政采云平台http://www.zcygov.cn/，在线申请获取招标文件</w:t>
      </w:r>
    </w:p>
    <w:p w14:paraId="01D180F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方式：</w:t>
      </w:r>
      <w:r>
        <w:rPr>
          <w:rFonts w:hint="eastAsia" w:ascii="宋体" w:hAnsi="宋体" w:eastAsia="宋体" w:cs="宋体"/>
          <w:kern w:val="0"/>
          <w:sz w:val="24"/>
          <w:szCs w:val="24"/>
          <w:highlight w:val="none"/>
          <w:lang w:val="en-US" w:eastAsia="zh-CN" w:bidi="ar-SA"/>
        </w:rPr>
        <w:t>线上获取（</w:t>
      </w:r>
      <w:r>
        <w:rPr>
          <w:rFonts w:hint="eastAsia" w:ascii="宋体" w:hAnsi="宋体" w:eastAsia="宋体" w:cs="宋体"/>
          <w:b w:val="0"/>
          <w:i w:val="0"/>
          <w:caps w:val="0"/>
          <w:color w:val="000000"/>
          <w:spacing w:val="0"/>
          <w:w w:val="100"/>
          <w:kern w:val="0"/>
          <w:sz w:val="24"/>
          <w:szCs w:val="24"/>
          <w:highlight w:val="none"/>
          <w:lang w:val="en-US" w:eastAsia="zh-CN" w:bidi="ar-SA"/>
        </w:rPr>
        <w:t>投标人登陆政采云平台http://www.zcygov.cn/， → 项目采购 → 获取招标文件→申请，审核通过后可下载招标文件，如有操作性问题，可与政采云在线客服进行咨询，咨询电话：95763</w:t>
      </w:r>
      <w:r>
        <w:rPr>
          <w:rFonts w:hint="eastAsia" w:ascii="宋体" w:hAnsi="宋体" w:eastAsia="宋体" w:cs="宋体"/>
          <w:kern w:val="0"/>
          <w:sz w:val="24"/>
          <w:szCs w:val="24"/>
          <w:highlight w:val="none"/>
          <w:lang w:val="en-US" w:eastAsia="zh-CN" w:bidi="ar-SA"/>
        </w:rPr>
        <w:t>）</w:t>
      </w:r>
    </w:p>
    <w:p w14:paraId="31FDAC1F">
      <w:pPr>
        <w:pStyle w:val="7"/>
        <w:keepNext w:val="0"/>
        <w:keepLines w:val="0"/>
        <w:pageBreakBefore w:val="0"/>
        <w:widowControl w:val="0"/>
        <w:kinsoku/>
        <w:wordWrap/>
        <w:overflowPunct/>
        <w:topLinePunct w:val="0"/>
        <w:bidi w:val="0"/>
        <w:snapToGrid/>
        <w:ind w:left="0" w:leftChars="0" w:firstLine="480" w:firstLineChars="200"/>
        <w:textAlignment w:val="auto"/>
        <w:outlineLvl w:val="9"/>
        <w:rPr>
          <w:rFonts w:hint="eastAsia"/>
          <w:highlight w:val="none"/>
        </w:rPr>
      </w:pPr>
      <w:r>
        <w:rPr>
          <w:rFonts w:hint="eastAsia"/>
          <w:highlight w:val="none"/>
        </w:rPr>
        <w:t>售价：0</w:t>
      </w:r>
    </w:p>
    <w:p w14:paraId="2B7BBF69">
      <w:pPr>
        <w:ind w:left="0" w:leftChars="0" w:firstLine="0" w:firstLineChars="0"/>
        <w:outlineLvl w:val="9"/>
        <w:rPr>
          <w:rFonts w:hint="eastAsia" w:ascii="宋体" w:hAnsi="宋体" w:eastAsia="宋体" w:cs="宋体"/>
          <w:b/>
          <w:bCs/>
          <w:sz w:val="28"/>
          <w:szCs w:val="28"/>
          <w:highlight w:val="none"/>
        </w:rPr>
      </w:pPr>
      <w:bookmarkStart w:id="269" w:name="_Toc28359015"/>
      <w:bookmarkStart w:id="270" w:name="_Toc35393632"/>
      <w:bookmarkStart w:id="271" w:name="_Toc28359092"/>
      <w:bookmarkStart w:id="272" w:name="_Toc35393801"/>
      <w:r>
        <w:rPr>
          <w:rFonts w:hint="eastAsia" w:ascii="宋体" w:hAnsi="宋体" w:eastAsia="宋体" w:cs="宋体"/>
          <w:b/>
          <w:bCs/>
          <w:sz w:val="28"/>
          <w:szCs w:val="28"/>
          <w:highlight w:val="none"/>
        </w:rPr>
        <w:t>四、</w:t>
      </w:r>
      <w:bookmarkEnd w:id="269"/>
      <w:bookmarkEnd w:id="270"/>
      <w:bookmarkEnd w:id="271"/>
      <w:bookmarkEnd w:id="272"/>
      <w:r>
        <w:rPr>
          <w:rFonts w:hint="eastAsia" w:ascii="宋体" w:hAnsi="宋体" w:eastAsia="宋体" w:cs="宋体"/>
          <w:b/>
          <w:bCs/>
          <w:sz w:val="28"/>
          <w:szCs w:val="28"/>
          <w:highlight w:val="none"/>
        </w:rPr>
        <w:t>提交投标文件截止时间、开标时间和地点</w:t>
      </w:r>
    </w:p>
    <w:p w14:paraId="5B50275D">
      <w:pPr>
        <w:spacing w:line="360" w:lineRule="auto"/>
        <w:ind w:firstLine="540"/>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i w:val="0"/>
          <w:caps w:val="0"/>
          <w:color w:val="000000"/>
          <w:spacing w:val="0"/>
          <w:w w:val="100"/>
          <w:kern w:val="0"/>
          <w:sz w:val="24"/>
          <w:szCs w:val="24"/>
          <w:highlight w:val="none"/>
          <w:lang w:val="en-US" w:eastAsia="zh-CN" w:bidi="ar-SA"/>
        </w:rPr>
        <w:t>提交投标文件截止时间：</w:t>
      </w:r>
      <w:r>
        <w:rPr>
          <w:rFonts w:hint="eastAsia" w:ascii="宋体" w:hAnsi="宋体" w:cs="宋体"/>
          <w:color w:val="auto"/>
          <w:kern w:val="0"/>
          <w:sz w:val="24"/>
          <w:szCs w:val="24"/>
          <w:highlight w:val="none"/>
          <w:lang w:val="en-US" w:eastAsia="zh-CN" w:bidi="ar-SA"/>
        </w:rPr>
        <w:t>2025年07月21日</w:t>
      </w:r>
      <w:r>
        <w:rPr>
          <w:rFonts w:hint="eastAsia" w:ascii="宋体" w:hAnsi="宋体" w:eastAsia="宋体" w:cs="宋体"/>
          <w:color w:val="auto"/>
          <w:kern w:val="0"/>
          <w:sz w:val="24"/>
          <w:szCs w:val="24"/>
          <w:highlight w:val="none"/>
          <w:lang w:val="en-US" w:eastAsia="zh-CN" w:bidi="ar-SA"/>
        </w:rPr>
        <w:t>11点00分（北京时间）</w:t>
      </w:r>
    </w:p>
    <w:p w14:paraId="395414A2">
      <w:pPr>
        <w:spacing w:line="360" w:lineRule="auto"/>
        <w:ind w:firstLine="540"/>
        <w:outlineLvl w:val="9"/>
        <w:rPr>
          <w:rFonts w:hint="eastAsia" w:ascii="宋体" w:hAnsi="宋体" w:eastAsia="宋体" w:cs="宋体"/>
          <w:b w:val="0"/>
          <w:i w:val="0"/>
          <w:caps w:val="0"/>
          <w:color w:val="000000"/>
          <w:spacing w:val="0"/>
          <w:w w:val="100"/>
          <w:kern w:val="0"/>
          <w:sz w:val="24"/>
          <w:szCs w:val="24"/>
          <w:highlight w:val="none"/>
          <w:lang w:val="en-US" w:eastAsia="zh-CN" w:bidi="ar-SA"/>
        </w:rPr>
      </w:pPr>
      <w:r>
        <w:rPr>
          <w:rFonts w:hint="eastAsia" w:ascii="宋体" w:hAnsi="宋体" w:eastAsia="宋体" w:cs="宋体"/>
          <w:b w:val="0"/>
          <w:i w:val="0"/>
          <w:caps w:val="0"/>
          <w:color w:val="000000"/>
          <w:spacing w:val="0"/>
          <w:w w:val="100"/>
          <w:kern w:val="0"/>
          <w:sz w:val="24"/>
          <w:szCs w:val="24"/>
          <w:highlight w:val="none"/>
          <w:lang w:val="en-US" w:eastAsia="zh-CN" w:bidi="ar-SA"/>
        </w:rPr>
        <w:t>投标地点</w:t>
      </w:r>
      <w:r>
        <w:rPr>
          <w:rFonts w:hint="eastAsia" w:ascii="宋体" w:hAnsi="宋体" w:eastAsia="宋体" w:cs="宋体"/>
          <w:color w:val="auto"/>
          <w:kern w:val="0"/>
          <w:sz w:val="24"/>
          <w:szCs w:val="24"/>
          <w:highlight w:val="none"/>
          <w:lang w:val="en-US" w:eastAsia="zh-CN" w:bidi="ar-SA"/>
        </w:rPr>
        <w:t>：</w:t>
      </w:r>
      <w:bookmarkStart w:id="273" w:name="_Toc28359016"/>
      <w:bookmarkStart w:id="274" w:name="_Toc35393802"/>
      <w:bookmarkStart w:id="275" w:name="_Toc35393633"/>
      <w:bookmarkStart w:id="276" w:name="_Toc28359093"/>
      <w:r>
        <w:rPr>
          <w:rFonts w:hint="eastAsia" w:ascii="宋体" w:hAnsi="宋体" w:eastAsia="宋体" w:cs="宋体"/>
          <w:b w:val="0"/>
          <w:i w:val="0"/>
          <w:caps w:val="0"/>
          <w:color w:val="000000"/>
          <w:spacing w:val="0"/>
          <w:w w:val="100"/>
          <w:kern w:val="0"/>
          <w:sz w:val="24"/>
          <w:szCs w:val="24"/>
          <w:highlight w:val="none"/>
          <w:lang w:val="en-US" w:eastAsia="zh-CN" w:bidi="ar-SA"/>
        </w:rPr>
        <w:t>政采云平台http://www.zcygov.cn/</w:t>
      </w:r>
    </w:p>
    <w:p w14:paraId="14475493">
      <w:pPr>
        <w:spacing w:line="360" w:lineRule="auto"/>
        <w:ind w:firstLine="540"/>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i w:val="0"/>
          <w:caps w:val="0"/>
          <w:color w:val="000000"/>
          <w:spacing w:val="0"/>
          <w:w w:val="100"/>
          <w:kern w:val="0"/>
          <w:sz w:val="24"/>
          <w:szCs w:val="24"/>
          <w:highlight w:val="none"/>
          <w:lang w:val="en-US" w:eastAsia="zh-CN" w:bidi="ar-SA"/>
        </w:rPr>
        <w:t>开标时间：</w:t>
      </w:r>
      <w:r>
        <w:rPr>
          <w:rFonts w:hint="eastAsia" w:ascii="宋体" w:hAnsi="宋体" w:cs="宋体"/>
          <w:color w:val="auto"/>
          <w:kern w:val="0"/>
          <w:sz w:val="24"/>
          <w:szCs w:val="24"/>
          <w:highlight w:val="none"/>
          <w:lang w:val="en-US" w:eastAsia="zh-CN" w:bidi="ar-SA"/>
        </w:rPr>
        <w:t>2025年07月21日</w:t>
      </w:r>
      <w:r>
        <w:rPr>
          <w:rFonts w:hint="eastAsia" w:ascii="宋体" w:hAnsi="宋体" w:eastAsia="宋体" w:cs="宋体"/>
          <w:color w:val="auto"/>
          <w:kern w:val="0"/>
          <w:sz w:val="24"/>
          <w:szCs w:val="24"/>
          <w:highlight w:val="none"/>
          <w:lang w:val="en-US" w:eastAsia="zh-CN" w:bidi="ar-SA"/>
        </w:rPr>
        <w:t>11点00分（北京时间）</w:t>
      </w:r>
    </w:p>
    <w:p w14:paraId="530B74D9">
      <w:pPr>
        <w:spacing w:line="360" w:lineRule="auto"/>
        <w:ind w:firstLine="540"/>
        <w:outlineLvl w:val="9"/>
        <w:rPr>
          <w:rFonts w:hint="eastAsia"/>
          <w:highlight w:val="none"/>
          <w:lang w:val="en-US" w:eastAsia="zh-CN"/>
        </w:rPr>
      </w:pPr>
      <w:r>
        <w:rPr>
          <w:rFonts w:hint="eastAsia" w:ascii="宋体" w:hAnsi="宋体" w:eastAsia="宋体" w:cs="宋体"/>
          <w:b w:val="0"/>
          <w:i w:val="0"/>
          <w:caps w:val="0"/>
          <w:color w:val="000000"/>
          <w:spacing w:val="0"/>
          <w:w w:val="100"/>
          <w:kern w:val="0"/>
          <w:sz w:val="24"/>
          <w:szCs w:val="24"/>
          <w:highlight w:val="none"/>
          <w:lang w:val="en-US" w:eastAsia="zh-CN" w:bidi="ar-SA"/>
        </w:rPr>
        <w:t>开标地点：政采云平台http://www.zcygov.cn/</w:t>
      </w:r>
    </w:p>
    <w:p w14:paraId="04AF8A25">
      <w:pPr>
        <w:ind w:left="0" w:leftChars="0" w:firstLine="0" w:firstLineChars="0"/>
        <w:outlineLvl w:val="9"/>
        <w:rPr>
          <w:rFonts w:hint="eastAsia" w:ascii="宋体" w:hAnsi="宋体" w:eastAsia="宋体" w:cs="宋体"/>
          <w:b/>
          <w:bCs/>
          <w:sz w:val="28"/>
          <w:szCs w:val="28"/>
          <w:highlight w:val="none"/>
          <w:lang w:val="en-US" w:eastAsia="zh-CN"/>
        </w:rPr>
      </w:pPr>
      <w:r>
        <w:rPr>
          <w:rFonts w:hint="eastAsia" w:ascii="宋体" w:hAnsi="宋体" w:eastAsia="宋体" w:cs="宋体"/>
          <w:b/>
          <w:bCs/>
          <w:color w:val="auto"/>
          <w:sz w:val="28"/>
          <w:szCs w:val="28"/>
          <w:highlight w:val="none"/>
        </w:rPr>
        <w:t>五、</w:t>
      </w:r>
      <w:r>
        <w:rPr>
          <w:rFonts w:hint="eastAsia" w:ascii="宋体" w:hAnsi="宋体" w:eastAsia="宋体" w:cs="宋体"/>
          <w:b/>
          <w:bCs/>
          <w:sz w:val="28"/>
          <w:szCs w:val="28"/>
          <w:highlight w:val="none"/>
          <w:lang w:val="en-US" w:eastAsia="zh-CN"/>
        </w:rPr>
        <w:t>公告期限</w:t>
      </w:r>
    </w:p>
    <w:p w14:paraId="73255397">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自本公告发布之日起5个工作日。</w:t>
      </w:r>
    </w:p>
    <w:bookmarkEnd w:id="273"/>
    <w:bookmarkEnd w:id="274"/>
    <w:bookmarkEnd w:id="275"/>
    <w:bookmarkEnd w:id="276"/>
    <w:p w14:paraId="35F705ED">
      <w:pPr>
        <w:spacing w:line="360" w:lineRule="auto"/>
        <w:outlineLvl w:val="9"/>
        <w:rPr>
          <w:rFonts w:hint="eastAsia" w:ascii="宋体" w:hAnsi="宋体" w:eastAsia="宋体" w:cs="宋体"/>
          <w:b/>
          <w:bCs/>
          <w:sz w:val="28"/>
          <w:szCs w:val="28"/>
          <w:highlight w:val="none"/>
          <w:lang w:val="en-US" w:eastAsia="zh-CN"/>
        </w:rPr>
      </w:pPr>
      <w:bookmarkStart w:id="277" w:name="_Toc28359094"/>
      <w:bookmarkStart w:id="278" w:name="_Toc35393634"/>
      <w:bookmarkStart w:id="279" w:name="_Toc35393803"/>
      <w:bookmarkStart w:id="280" w:name="_Toc28359017"/>
      <w:r>
        <w:rPr>
          <w:rFonts w:hint="eastAsia" w:ascii="宋体" w:hAnsi="宋体" w:eastAsia="宋体" w:cs="宋体"/>
          <w:b/>
          <w:bCs/>
          <w:sz w:val="28"/>
          <w:szCs w:val="28"/>
          <w:highlight w:val="none"/>
          <w:lang w:val="en-US" w:eastAsia="zh-CN"/>
        </w:rPr>
        <w:t>六、</w:t>
      </w:r>
      <w:bookmarkEnd w:id="277"/>
      <w:bookmarkEnd w:id="278"/>
      <w:bookmarkEnd w:id="279"/>
      <w:bookmarkEnd w:id="280"/>
      <w:bookmarkStart w:id="281" w:name="_Toc35393804"/>
      <w:bookmarkStart w:id="282" w:name="_Toc35393635"/>
      <w:r>
        <w:rPr>
          <w:rFonts w:hint="eastAsia" w:ascii="宋体" w:hAnsi="宋体" w:eastAsia="宋体" w:cs="宋体"/>
          <w:b/>
          <w:bCs/>
          <w:sz w:val="28"/>
          <w:szCs w:val="28"/>
          <w:highlight w:val="none"/>
          <w:lang w:val="en-US" w:eastAsia="zh-CN"/>
        </w:rPr>
        <w:t>其他补充事宜</w:t>
      </w:r>
      <w:bookmarkEnd w:id="281"/>
      <w:bookmarkEnd w:id="282"/>
    </w:p>
    <w:p w14:paraId="081B319F">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1.本项目采用全流程不见面电子开评标，投标供应商需要使用CA加密设备，供应商可通过新疆数字证书认证中心官网/www.xica.com.cn/) 或下载“新疆政务通”APP自行进行申领。</w:t>
      </w:r>
    </w:p>
    <w:p w14:paraId="24C56296">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2.本项目实行网上投标，采用加密电子投标文件(供应Chttps:商须使用CA加密设备通过政采云电子投标客户端制作投标文件)。若供应商参与投标，自行承担投标一切费用。 </w:t>
      </w:r>
    </w:p>
    <w:p w14:paraId="5C833B96">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3.各供应商在开标前应确保成为新疆维吾尔自治区政府采购网正式注册入库供应商(已在攻采云平台其他省份入驻的供应商无等重复注册)，并完成CA数字证书申领。因未注册入库、未办理CA数字证书等原因造成无法投标或投标失败等后由供应商自行承担。 </w:t>
      </w:r>
    </w:p>
    <w:p w14:paraId="3D2BBD72">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供应商将政采云电子交易客户端下载、安装完成后，可通过账号密码或CA登录客户端进行投标文件制作。在使用政采云投标客户端时，建议使用WIN7+64位及以上操作系统。客户端请至新疆政府采购网(http://mw.ccgp-xinjiang.gov.cn/) 下专区查看，如有问题可拔打政采云客户服务执线95763进行咨询。</w:t>
      </w:r>
    </w:p>
    <w:p w14:paraId="1FE27799">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 5.供应商在开标时须使用制作加密电子投标文件所使用的CA锁及电脑，电脑须提前配量好浏览器(建议使用谷歌浏览器)，以便开标时解锁。</w:t>
      </w:r>
    </w:p>
    <w:p w14:paraId="219C0913">
      <w:pPr>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380" w:lineRule="exact"/>
        <w:ind w:firstLine="480" w:firstLineChars="200"/>
        <w:jc w:val="both"/>
        <w:textAlignment w:val="baseline"/>
        <w:outlineLvl w:val="9"/>
        <w:rPr>
          <w:rFonts w:hint="eastAsia" w:ascii="宋体" w:hAnsi="宋体" w:eastAsia="宋体" w:cs="宋体"/>
          <w:b w:val="0"/>
          <w:i w:val="0"/>
          <w:caps w:val="0"/>
          <w:color w:val="000000"/>
          <w:spacing w:val="0"/>
          <w:w w:val="1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 6.</w:t>
      </w:r>
      <w:r>
        <w:rPr>
          <w:rFonts w:hint="eastAsia" w:ascii="宋体" w:hAnsi="宋体" w:eastAsia="宋体" w:cs="宋体"/>
          <w:b w:val="0"/>
          <w:i w:val="0"/>
          <w:caps w:val="0"/>
          <w:color w:val="000000"/>
          <w:spacing w:val="0"/>
          <w:w w:val="100"/>
          <w:kern w:val="0"/>
          <w:sz w:val="24"/>
          <w:szCs w:val="24"/>
          <w:highlight w:val="none"/>
          <w:lang w:val="en-US" w:eastAsia="zh-CN" w:bidi="ar-SA"/>
        </w:rPr>
        <w:t>供应商对不见面开评标系统的技术操作咨询，可通过https://edu.zcygov.cn/luban/xinjiang-e-biding自助查询，也可在政采云帮助中心常见问题解答和操作流程讲解视频中自助查询，网址为： https://service.zcygov.cn/#/help ，“项目采购”—“操作流程-电子招投标”—“政府采购项目电子交易管理操作指南-供应商”版面获取操作指南，同时对自助查询无法解决的问题可通过钉钉群及政采云在线客服 获取服务支持。供应商钉钉群号：政采云新疆供应商服务1号群：30349928 (如已加入1-11群，无需重复加入，十一个群联动直播) ，钉钉工具软件具有回放功能，直播培训结束后可在钉钉群中回放观看学习。</w:t>
      </w:r>
    </w:p>
    <w:p w14:paraId="7E954686">
      <w:pPr>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380" w:lineRule="exact"/>
        <w:ind w:firstLine="480" w:firstLineChars="200"/>
        <w:jc w:val="both"/>
        <w:textAlignment w:val="baseline"/>
        <w:outlineLvl w:val="9"/>
        <w:rPr>
          <w:rFonts w:hint="eastAsia" w:ascii="宋体" w:hAnsi="宋体" w:eastAsia="宋体" w:cs="宋体"/>
          <w:b w:val="0"/>
          <w:i w:val="0"/>
          <w:caps w:val="0"/>
          <w:color w:val="000000"/>
          <w:spacing w:val="0"/>
          <w:w w:val="100"/>
          <w:kern w:val="0"/>
          <w:sz w:val="24"/>
          <w:szCs w:val="24"/>
          <w:highlight w:val="none"/>
          <w:lang w:val="en-US" w:eastAsia="zh-CN" w:bidi="ar-SA"/>
        </w:rPr>
      </w:pPr>
      <w:r>
        <w:rPr>
          <w:rFonts w:hint="eastAsia" w:ascii="宋体" w:hAnsi="宋体" w:eastAsia="宋体" w:cs="宋体"/>
          <w:b w:val="0"/>
          <w:i w:val="0"/>
          <w:caps w:val="0"/>
          <w:color w:val="000000"/>
          <w:spacing w:val="0"/>
          <w:w w:val="100"/>
          <w:kern w:val="0"/>
          <w:sz w:val="24"/>
          <w:szCs w:val="24"/>
          <w:highlight w:val="none"/>
          <w:lang w:val="en-US" w:eastAsia="zh-CN" w:bidi="ar-SA"/>
        </w:rPr>
        <w:t>7.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44F63FA6">
      <w:pPr>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380" w:lineRule="exact"/>
        <w:ind w:firstLine="480" w:firstLineChars="200"/>
        <w:jc w:val="both"/>
        <w:textAlignment w:val="baseline"/>
        <w:outlineLvl w:val="9"/>
        <w:rPr>
          <w:rFonts w:hint="eastAsia" w:ascii="宋体" w:hAnsi="宋体" w:eastAsia="宋体" w:cs="宋体"/>
          <w:b w:val="0"/>
          <w:i w:val="0"/>
          <w:caps w:val="0"/>
          <w:color w:val="000000"/>
          <w:spacing w:val="0"/>
          <w:w w:val="100"/>
          <w:kern w:val="0"/>
          <w:sz w:val="24"/>
          <w:szCs w:val="24"/>
          <w:highlight w:val="none"/>
          <w:lang w:val="en-US" w:eastAsia="zh-CN" w:bidi="ar-SA"/>
        </w:rPr>
      </w:pPr>
      <w:r>
        <w:rPr>
          <w:rFonts w:hint="eastAsia" w:ascii="宋体" w:hAnsi="宋体" w:eastAsia="宋体" w:cs="宋体"/>
          <w:b w:val="0"/>
          <w:i w:val="0"/>
          <w:caps w:val="0"/>
          <w:color w:val="000000"/>
          <w:spacing w:val="0"/>
          <w:w w:val="100"/>
          <w:kern w:val="0"/>
          <w:sz w:val="24"/>
          <w:szCs w:val="24"/>
          <w:highlight w:val="none"/>
          <w:lang w:val="en-US" w:eastAsia="zh-CN" w:bidi="ar-SA"/>
        </w:rPr>
        <w:t>8.各供应商在投标截止时间前将“投标文件”上传至政采云平台。投标文件包括“开标一览表表及资格证明文件”与“商务及技术文件”两部分合并成一册。投标文件应按照招标文件规定的格式填写、签署和盖章，并以.jmbs格式上传至政采云开评标平台(投标文件为正本扫描件)。</w:t>
      </w:r>
    </w:p>
    <w:p w14:paraId="4BA1CDB5">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b w:val="0"/>
          <w:i w:val="0"/>
          <w:caps w:val="0"/>
          <w:color w:val="000000"/>
          <w:spacing w:val="0"/>
          <w:w w:val="100"/>
          <w:kern w:val="0"/>
          <w:sz w:val="24"/>
          <w:szCs w:val="24"/>
          <w:highlight w:val="none"/>
          <w:lang w:val="en-US" w:eastAsia="zh-CN" w:bidi="ar-SA"/>
        </w:rPr>
        <w:t>9.解密时长为30分钟。</w:t>
      </w:r>
    </w:p>
    <w:p w14:paraId="5A9C709E">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特别提示：</w:t>
      </w:r>
    </w:p>
    <w:p w14:paraId="3172ABE8">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19B5DD51">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2、超过200万元的货物和服务采购项目，预留该部分采购项目预算总额的30%以上专门面向中小企业采购，其中预留给小微企业的比例不低于60%。</w:t>
      </w:r>
    </w:p>
    <w:p w14:paraId="3EBA7D9B">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663B1C9D">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FCCA04A">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10999B9">
      <w:pPr>
        <w:ind w:left="0" w:leftChars="0" w:firstLine="0" w:firstLineChars="0"/>
        <w:outlineLvl w:val="9"/>
        <w:rPr>
          <w:rFonts w:hint="eastAsia" w:ascii="宋体" w:hAnsi="宋体" w:eastAsia="宋体" w:cs="宋体"/>
          <w:b/>
          <w:bCs/>
          <w:sz w:val="28"/>
          <w:szCs w:val="28"/>
          <w:highlight w:val="none"/>
          <w:lang w:val="en-US" w:eastAsia="zh-CN"/>
        </w:rPr>
      </w:pPr>
      <w:bookmarkStart w:id="283" w:name="_Toc35393636"/>
      <w:bookmarkStart w:id="284" w:name="_Toc35393805"/>
      <w:bookmarkStart w:id="285" w:name="_Toc28359095"/>
      <w:bookmarkStart w:id="286" w:name="_Toc28359018"/>
      <w:r>
        <w:rPr>
          <w:rFonts w:hint="eastAsia" w:ascii="宋体" w:hAnsi="宋体" w:eastAsia="宋体" w:cs="宋体"/>
          <w:b/>
          <w:bCs/>
          <w:sz w:val="28"/>
          <w:szCs w:val="28"/>
          <w:highlight w:val="none"/>
          <w:lang w:val="en-US" w:eastAsia="zh-CN"/>
        </w:rPr>
        <w:t>八、凡对本次采购提出询问，请按以下方式联系。</w:t>
      </w:r>
      <w:bookmarkEnd w:id="283"/>
      <w:bookmarkEnd w:id="284"/>
      <w:bookmarkEnd w:id="285"/>
      <w:bookmarkEnd w:id="286"/>
    </w:p>
    <w:p w14:paraId="0EBED726">
      <w:pPr>
        <w:spacing w:line="360" w:lineRule="auto"/>
        <w:ind w:firstLine="540"/>
        <w:outlineLvl w:val="9"/>
        <w:rPr>
          <w:rFonts w:hint="eastAsia" w:ascii="宋体" w:hAnsi="宋体" w:eastAsia="宋体" w:cs="宋体"/>
          <w:color w:val="auto"/>
          <w:kern w:val="0"/>
          <w:sz w:val="24"/>
          <w:szCs w:val="24"/>
          <w:highlight w:val="none"/>
          <w:lang w:val="en-US" w:eastAsia="zh-CN" w:bidi="ar-SA"/>
        </w:rPr>
      </w:pPr>
      <w:bookmarkStart w:id="287" w:name="_Toc35393637"/>
      <w:bookmarkStart w:id="288" w:name="_Toc35393806"/>
      <w:bookmarkStart w:id="289" w:name="_Toc28359096"/>
      <w:bookmarkStart w:id="290" w:name="_Toc28359019"/>
      <w:r>
        <w:rPr>
          <w:rFonts w:hint="eastAsia" w:ascii="宋体" w:hAnsi="宋体" w:eastAsia="宋体" w:cs="宋体"/>
          <w:kern w:val="0"/>
          <w:sz w:val="24"/>
          <w:szCs w:val="24"/>
          <w:highlight w:val="none"/>
          <w:lang w:val="en-US" w:eastAsia="zh-CN" w:bidi="ar-SA"/>
        </w:rPr>
        <w:t>1.采</w:t>
      </w:r>
      <w:r>
        <w:rPr>
          <w:rFonts w:hint="eastAsia" w:ascii="宋体" w:hAnsi="宋体" w:eastAsia="宋体" w:cs="宋体"/>
          <w:color w:val="auto"/>
          <w:kern w:val="0"/>
          <w:sz w:val="24"/>
          <w:szCs w:val="24"/>
          <w:highlight w:val="none"/>
          <w:lang w:val="en-US" w:eastAsia="zh-CN" w:bidi="ar-SA"/>
        </w:rPr>
        <w:t>购人信息</w:t>
      </w:r>
      <w:bookmarkEnd w:id="287"/>
      <w:bookmarkEnd w:id="288"/>
      <w:bookmarkEnd w:id="289"/>
      <w:bookmarkEnd w:id="290"/>
    </w:p>
    <w:p w14:paraId="6907A2A0">
      <w:pPr>
        <w:spacing w:line="360" w:lineRule="auto"/>
        <w:ind w:firstLine="540"/>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w:t>
      </w:r>
      <w:r>
        <w:rPr>
          <w:rFonts w:hint="eastAsia" w:ascii="宋体" w:hAnsi="宋体" w:cs="宋体"/>
          <w:color w:val="auto"/>
          <w:kern w:val="0"/>
          <w:sz w:val="24"/>
          <w:szCs w:val="24"/>
          <w:highlight w:val="none"/>
          <w:lang w:val="en-US" w:eastAsia="zh-CN" w:bidi="ar-SA"/>
        </w:rPr>
        <w:t>英吉沙县妇女联合会</w:t>
      </w:r>
    </w:p>
    <w:p w14:paraId="39A3DF80">
      <w:pPr>
        <w:spacing w:line="360" w:lineRule="auto"/>
        <w:ind w:firstLine="540"/>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w:t>
      </w:r>
      <w:r>
        <w:rPr>
          <w:rFonts w:hint="eastAsia" w:ascii="宋体" w:hAnsi="宋体" w:cs="宋体"/>
          <w:color w:val="auto"/>
          <w:kern w:val="0"/>
          <w:sz w:val="24"/>
          <w:szCs w:val="24"/>
          <w:highlight w:val="none"/>
          <w:lang w:val="zh-CN" w:eastAsia="zh-CN" w:bidi="ar-SA"/>
        </w:rPr>
        <w:t>英吉沙县妇女联合会</w:t>
      </w:r>
    </w:p>
    <w:p w14:paraId="69146F8E">
      <w:pPr>
        <w:spacing w:line="360" w:lineRule="auto"/>
        <w:ind w:firstLine="540"/>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w:t>
      </w:r>
      <w:r>
        <w:rPr>
          <w:rFonts w:hint="eastAsia" w:ascii="宋体" w:hAnsi="宋体" w:cs="宋体"/>
          <w:color w:val="auto"/>
          <w:kern w:val="0"/>
          <w:sz w:val="24"/>
          <w:szCs w:val="24"/>
          <w:highlight w:val="none"/>
          <w:lang w:val="en-US" w:eastAsia="zh-CN" w:bidi="ar-SA"/>
        </w:rPr>
        <w:t>阿斯耶姆·阿卜拉</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cs="宋体"/>
          <w:color w:val="auto"/>
          <w:kern w:val="0"/>
          <w:sz w:val="24"/>
          <w:szCs w:val="24"/>
          <w:highlight w:val="none"/>
          <w:lang w:val="en-US" w:eastAsia="zh-CN" w:bidi="ar-SA"/>
        </w:rPr>
        <w:t>18099576728</w:t>
      </w:r>
      <w:r>
        <w:rPr>
          <w:rFonts w:hint="eastAsia" w:ascii="宋体" w:hAnsi="宋体" w:eastAsia="宋体" w:cs="宋体"/>
          <w:color w:val="auto"/>
          <w:kern w:val="0"/>
          <w:sz w:val="24"/>
          <w:szCs w:val="24"/>
          <w:highlight w:val="none"/>
          <w:lang w:val="en-US" w:eastAsia="zh-CN" w:bidi="ar-SA"/>
        </w:rPr>
        <w:t xml:space="preserve"> </w:t>
      </w:r>
    </w:p>
    <w:p w14:paraId="35CA6984">
      <w:pPr>
        <w:spacing w:line="360" w:lineRule="auto"/>
        <w:ind w:firstLine="540"/>
        <w:outlineLvl w:val="9"/>
        <w:rPr>
          <w:rFonts w:hint="eastAsia" w:ascii="宋体" w:hAnsi="宋体" w:eastAsia="宋体" w:cs="宋体"/>
          <w:color w:val="auto"/>
          <w:kern w:val="0"/>
          <w:sz w:val="24"/>
          <w:szCs w:val="24"/>
          <w:highlight w:val="none"/>
          <w:lang w:val="en-US" w:eastAsia="zh-CN" w:bidi="ar-SA"/>
        </w:rPr>
      </w:pPr>
      <w:bookmarkStart w:id="291" w:name="_Toc35393638"/>
      <w:bookmarkStart w:id="292" w:name="_Toc35393807"/>
      <w:bookmarkStart w:id="293" w:name="_Toc28359020"/>
      <w:bookmarkStart w:id="294" w:name="_Toc28359097"/>
      <w:r>
        <w:rPr>
          <w:rFonts w:hint="eastAsia" w:ascii="宋体" w:hAnsi="宋体" w:eastAsia="宋体" w:cs="宋体"/>
          <w:color w:val="auto"/>
          <w:kern w:val="0"/>
          <w:sz w:val="24"/>
          <w:szCs w:val="24"/>
          <w:highlight w:val="none"/>
          <w:lang w:val="en-US" w:eastAsia="zh-CN" w:bidi="ar-SA"/>
        </w:rPr>
        <w:t>2.采购代理机构信息</w:t>
      </w:r>
      <w:bookmarkEnd w:id="291"/>
      <w:bookmarkEnd w:id="292"/>
      <w:bookmarkEnd w:id="293"/>
      <w:bookmarkEnd w:id="294"/>
    </w:p>
    <w:p w14:paraId="09C14B22">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名  称：新疆中泰正信项目管理有限公司</w:t>
      </w:r>
    </w:p>
    <w:p w14:paraId="23F71EAF">
      <w:pPr>
        <w:spacing w:line="360" w:lineRule="auto"/>
        <w:ind w:firstLine="540"/>
        <w:outlineLvl w:val="9"/>
        <w:rPr>
          <w:rFonts w:ascii="仿宋" w:hAnsi="仿宋" w:eastAsia="仿宋" w:cs="仿宋"/>
          <w:i w:val="0"/>
          <w:iCs w:val="0"/>
          <w:caps w:val="0"/>
          <w:color w:val="000000"/>
          <w:spacing w:val="0"/>
          <w:sz w:val="27"/>
          <w:szCs w:val="27"/>
          <w:highlight w:val="none"/>
        </w:rPr>
      </w:pPr>
      <w:r>
        <w:rPr>
          <w:rFonts w:hint="eastAsia" w:ascii="宋体" w:hAnsi="宋体" w:eastAsia="宋体" w:cs="宋体"/>
          <w:kern w:val="0"/>
          <w:sz w:val="24"/>
          <w:szCs w:val="24"/>
          <w:highlight w:val="none"/>
          <w:lang w:val="en-US" w:eastAsia="zh-CN" w:bidi="ar-SA"/>
        </w:rPr>
        <w:t>地  址：新疆喀什地区英吉沙县光明路新城商业街1号楼2-1号</w:t>
      </w:r>
    </w:p>
    <w:p w14:paraId="51FEDEE2">
      <w:pPr>
        <w:spacing w:line="360" w:lineRule="auto"/>
        <w:ind w:firstLine="54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联系方式：15026328789</w:t>
      </w:r>
      <w:bookmarkStart w:id="295" w:name="_Toc35393639"/>
      <w:bookmarkStart w:id="296" w:name="_Toc28359021"/>
      <w:bookmarkStart w:id="297" w:name="_Toc28359098"/>
      <w:bookmarkStart w:id="298" w:name="_Toc35393808"/>
    </w:p>
    <w:p w14:paraId="1FF8BB37">
      <w:pPr>
        <w:numPr>
          <w:ilvl w:val="0"/>
          <w:numId w:val="0"/>
        </w:numPr>
        <w:spacing w:line="360" w:lineRule="auto"/>
        <w:ind w:firstLine="540" w:firstLineChars="0"/>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3.项目联系方式</w:t>
      </w:r>
      <w:bookmarkEnd w:id="295"/>
      <w:bookmarkEnd w:id="296"/>
      <w:bookmarkEnd w:id="297"/>
      <w:bookmarkEnd w:id="298"/>
    </w:p>
    <w:p w14:paraId="3027F281">
      <w:pPr>
        <w:numPr>
          <w:ilvl w:val="0"/>
          <w:numId w:val="0"/>
        </w:numPr>
        <w:spacing w:line="360" w:lineRule="auto"/>
        <w:ind w:firstLine="540" w:firstLineChars="0"/>
        <w:outlineLvl w:val="9"/>
        <w:rPr>
          <w:highlight w:val="none"/>
        </w:rPr>
      </w:pPr>
      <w:r>
        <w:rPr>
          <w:rFonts w:hint="eastAsia" w:ascii="宋体" w:hAnsi="宋体" w:eastAsia="宋体" w:cs="宋体"/>
          <w:kern w:val="0"/>
          <w:sz w:val="24"/>
          <w:szCs w:val="24"/>
          <w:highlight w:val="none"/>
          <w:lang w:val="en-US" w:eastAsia="zh-CN" w:bidi="ar-SA"/>
        </w:rPr>
        <w:t>项目联系人：苏贺</w:t>
      </w:r>
    </w:p>
    <w:p w14:paraId="23A432A8">
      <w:pPr>
        <w:ind w:firstLine="480" w:firstLineChars="200"/>
        <w:outlineLvl w:val="9"/>
        <w:rPr>
          <w:rFonts w:hint="eastAsia"/>
          <w:highlight w:val="none"/>
        </w:rPr>
      </w:pPr>
      <w:r>
        <w:rPr>
          <w:rFonts w:hint="eastAsia" w:ascii="宋体" w:hAnsi="宋体" w:eastAsia="宋体" w:cs="宋体"/>
          <w:kern w:val="0"/>
          <w:sz w:val="24"/>
          <w:szCs w:val="24"/>
          <w:highlight w:val="none"/>
          <w:lang w:val="en-US" w:eastAsia="zh-CN" w:bidi="ar-SA"/>
        </w:rPr>
        <w:t>电</w:t>
      </w:r>
      <w:r>
        <w:rPr>
          <w:rFonts w:hint="eastAsia" w:ascii="宋体" w:hAnsi="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en-US" w:eastAsia="zh-CN" w:bidi="ar-SA"/>
        </w:rPr>
        <w:t>话：15026328789</w:t>
      </w:r>
    </w:p>
    <w:p w14:paraId="2EF8ADEC">
      <w:pPr>
        <w:spacing w:line="360" w:lineRule="auto"/>
        <w:ind w:firstLine="540"/>
        <w:outlineLvl w:val="9"/>
        <w:rPr>
          <w:rFonts w:hint="eastAsia" w:ascii="宋体" w:hAnsi="宋体" w:eastAsia="宋体" w:cs="宋体"/>
          <w:bCs/>
          <w:sz w:val="24"/>
          <w:szCs w:val="24"/>
          <w:highlight w:val="none"/>
          <w:lang w:eastAsia="zh-CN"/>
        </w:rPr>
      </w:pPr>
      <w:r>
        <w:rPr>
          <w:rFonts w:hint="eastAsia" w:ascii="宋体" w:hAnsi="宋体" w:eastAsia="宋体" w:cs="宋体"/>
          <w:b/>
          <w:sz w:val="32"/>
          <w:szCs w:val="32"/>
          <w:highlight w:val="none"/>
          <w:lang w:val="en-US" w:eastAsia="zh-CN"/>
        </w:rPr>
        <w:t xml:space="preserve"> </w:t>
      </w:r>
    </w:p>
    <w:p w14:paraId="4B4C8BC6">
      <w:pPr>
        <w:spacing w:line="240" w:lineRule="atLeast"/>
        <w:ind w:left="1079" w:leftChars="371" w:hanging="300" w:hangingChars="125"/>
        <w:jc w:val="left"/>
        <w:outlineLvl w:val="9"/>
        <w:rPr>
          <w:rFonts w:hint="eastAsia" w:ascii="仿宋_GB2312" w:eastAsia="仿宋_GB2312"/>
          <w:sz w:val="24"/>
          <w:highlight w:val="none"/>
        </w:rPr>
      </w:pPr>
    </w:p>
    <w:p w14:paraId="43AF76EA">
      <w:pPr>
        <w:outlineLvl w:val="9"/>
        <w:rPr>
          <w:rFonts w:hint="eastAsia"/>
          <w:highlight w:val="none"/>
        </w:rPr>
      </w:pPr>
    </w:p>
    <w:p w14:paraId="7C4B48BD">
      <w:pPr>
        <w:outlineLvl w:val="9"/>
        <w:rPr>
          <w:rFonts w:hint="eastAsia"/>
          <w:highlight w:val="none"/>
        </w:rPr>
      </w:pPr>
    </w:p>
    <w:p w14:paraId="3EABB7FE">
      <w:pPr>
        <w:numPr>
          <w:ilvl w:val="0"/>
          <w:numId w:val="0"/>
        </w:numPr>
        <w:tabs>
          <w:tab w:val="left" w:pos="0"/>
        </w:tabs>
        <w:spacing w:before="0" w:after="0" w:line="240" w:lineRule="atLeast"/>
        <w:ind w:left="3134" w:leftChars="0" w:hanging="3134" w:firstLineChars="0"/>
        <w:jc w:val="center"/>
        <w:outlineLvl w:val="0"/>
        <w:rPr>
          <w:rFonts w:hint="eastAsia" w:ascii="宋体" w:hAnsi="宋体" w:eastAsia="宋体" w:cs="宋体"/>
          <w:b w:val="0"/>
          <w:szCs w:val="32"/>
          <w:highlight w:val="none"/>
        </w:rPr>
      </w:pPr>
      <w:bookmarkStart w:id="299" w:name="_Toc512937850"/>
      <w:r>
        <w:rPr>
          <w:rFonts w:hint="default" w:ascii="宋体" w:hAnsi="宋体" w:eastAsia="宋体" w:cs="宋体"/>
          <w:b/>
          <w:kern w:val="44"/>
          <w:sz w:val="32"/>
          <w:szCs w:val="32"/>
          <w:highlight w:val="none"/>
          <w:lang w:val="en-US" w:eastAsia="zh-CN" w:bidi="ar-SA"/>
        </w:rPr>
        <w:br w:type="page"/>
      </w:r>
      <w:bookmarkStart w:id="300" w:name="_Toc30211"/>
      <w:bookmarkStart w:id="301" w:name="_Toc26312"/>
      <w:r>
        <w:rPr>
          <w:rFonts w:hint="default" w:ascii="宋体" w:hAnsi="宋体" w:eastAsia="宋体" w:cs="宋体"/>
          <w:b/>
          <w:kern w:val="44"/>
          <w:sz w:val="32"/>
          <w:szCs w:val="32"/>
          <w:highlight w:val="none"/>
          <w:lang w:val="en-US" w:eastAsia="zh-CN" w:bidi="ar-SA"/>
        </w:rPr>
        <w:t>第</w:t>
      </w:r>
      <w:r>
        <w:rPr>
          <w:rFonts w:hint="eastAsia" w:hAnsi="宋体" w:eastAsia="宋体" w:cs="宋体"/>
          <w:b/>
          <w:kern w:val="44"/>
          <w:sz w:val="32"/>
          <w:szCs w:val="32"/>
          <w:highlight w:val="none"/>
          <w:lang w:val="en-US" w:eastAsia="zh-CN" w:bidi="ar-SA"/>
        </w:rPr>
        <w:t>4</w:t>
      </w:r>
      <w:r>
        <w:rPr>
          <w:rFonts w:hint="default" w:ascii="宋体" w:hAnsi="宋体" w:eastAsia="宋体" w:cs="宋体"/>
          <w:b/>
          <w:kern w:val="44"/>
          <w:sz w:val="32"/>
          <w:szCs w:val="32"/>
          <w:highlight w:val="none"/>
          <w:lang w:val="en-US" w:eastAsia="zh-CN" w:bidi="ar-SA"/>
        </w:rPr>
        <w:t>章</w:t>
      </w:r>
      <w:bookmarkStart w:id="302" w:name="_Toc216582823"/>
      <w:bookmarkStart w:id="303" w:name="_Toc518923125"/>
      <w:bookmarkStart w:id="304" w:name="_Toc507399903"/>
      <w:r>
        <w:rPr>
          <w:rFonts w:hint="eastAsia" w:hAnsi="宋体" w:eastAsia="宋体" w:cs="宋体"/>
          <w:b/>
          <w:kern w:val="44"/>
          <w:sz w:val="32"/>
          <w:szCs w:val="32"/>
          <w:highlight w:val="none"/>
          <w:lang w:val="en-US" w:eastAsia="zh-CN" w:bidi="ar-SA"/>
        </w:rPr>
        <w:t xml:space="preserve">   </w:t>
      </w:r>
      <w:r>
        <w:rPr>
          <w:rFonts w:hint="eastAsia" w:ascii="宋体" w:hAnsi="宋体" w:eastAsia="宋体" w:cs="宋体"/>
          <w:b/>
          <w:kern w:val="44"/>
          <w:sz w:val="32"/>
          <w:szCs w:val="32"/>
          <w:highlight w:val="none"/>
          <w:lang w:val="en-US" w:eastAsia="zh-CN" w:bidi="ar-SA"/>
        </w:rPr>
        <w:t>投标人须知资料表</w:t>
      </w:r>
      <w:bookmarkEnd w:id="300"/>
      <w:bookmarkEnd w:id="301"/>
      <w:bookmarkEnd w:id="302"/>
      <w:bookmarkEnd w:id="303"/>
      <w:bookmarkEnd w:id="304"/>
    </w:p>
    <w:bookmarkEnd w:id="299"/>
    <w:p w14:paraId="7140A02B">
      <w:pPr>
        <w:spacing w:line="240" w:lineRule="atLeast"/>
        <w:ind w:left="1080" w:leftChars="257" w:hanging="540"/>
        <w:outlineLvl w:val="9"/>
        <w:rPr>
          <w:rFonts w:hint="eastAsia" w:ascii="宋体" w:hAnsi="宋体" w:eastAsia="宋体" w:cs="宋体"/>
          <w:sz w:val="24"/>
          <w:highlight w:val="none"/>
        </w:rPr>
      </w:pPr>
    </w:p>
    <w:p w14:paraId="7238EEE6">
      <w:pPr>
        <w:spacing w:line="240" w:lineRule="atLeast"/>
        <w:ind w:firstLine="360" w:firstLineChars="150"/>
        <w:outlineLvl w:val="9"/>
        <w:rPr>
          <w:rFonts w:hint="eastAsia" w:ascii="宋体" w:hAnsi="宋体" w:eastAsia="宋体" w:cs="宋体"/>
          <w:sz w:val="24"/>
          <w:highlight w:val="none"/>
        </w:rPr>
      </w:pPr>
      <w:r>
        <w:rPr>
          <w:rFonts w:hint="eastAsia" w:ascii="宋体" w:hAnsi="宋体" w:eastAsia="宋体" w:cs="宋体"/>
          <w:sz w:val="24"/>
          <w:highlight w:val="none"/>
        </w:rPr>
        <w:t xml:space="preserve"> 本表是本招标项目的具体资料，是对投标人须知的具体补充和修改，如有矛盾，应</w:t>
      </w:r>
      <w:r>
        <w:rPr>
          <w:rFonts w:hint="eastAsia" w:ascii="宋体" w:hAnsi="宋体" w:eastAsia="宋体" w:cs="宋体"/>
          <w:b/>
          <w:sz w:val="24"/>
          <w:highlight w:val="none"/>
        </w:rPr>
        <w:t>以本资料表为准</w:t>
      </w:r>
      <w:r>
        <w:rPr>
          <w:rFonts w:hint="eastAsia" w:ascii="宋体" w:hAnsi="宋体" w:eastAsia="宋体" w:cs="宋体"/>
          <w:sz w:val="24"/>
          <w:highlight w:val="none"/>
        </w:rPr>
        <w:t>。</w:t>
      </w:r>
    </w:p>
    <w:tbl>
      <w:tblPr>
        <w:tblStyle w:val="38"/>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607"/>
        <w:gridCol w:w="197"/>
        <w:gridCol w:w="7319"/>
      </w:tblGrid>
      <w:tr w14:paraId="3364C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881" w:type="pct"/>
            <w:noWrap w:val="0"/>
            <w:vAlign w:val="center"/>
          </w:tcPr>
          <w:p w14:paraId="4CED2276">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条款号</w:t>
            </w:r>
          </w:p>
        </w:tc>
        <w:tc>
          <w:tcPr>
            <w:tcW w:w="4118" w:type="pct"/>
            <w:gridSpan w:val="2"/>
            <w:noWrap w:val="0"/>
            <w:vAlign w:val="center"/>
          </w:tcPr>
          <w:p w14:paraId="77575688">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b/>
                <w:sz w:val="24"/>
                <w:highlight w:val="none"/>
              </w:rPr>
            </w:pPr>
            <w:r>
              <w:rPr>
                <w:rFonts w:hint="eastAsia" w:ascii="宋体" w:hAnsi="宋体" w:eastAsia="宋体" w:cs="宋体"/>
                <w:b/>
                <w:sz w:val="24"/>
                <w:highlight w:val="none"/>
              </w:rPr>
              <w:t>内      容</w:t>
            </w:r>
          </w:p>
        </w:tc>
      </w:tr>
      <w:tr w14:paraId="0C0B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881" w:type="pct"/>
            <w:noWrap w:val="0"/>
            <w:vAlign w:val="center"/>
          </w:tcPr>
          <w:p w14:paraId="559C63E5">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1.1</w:t>
            </w:r>
          </w:p>
        </w:tc>
        <w:tc>
          <w:tcPr>
            <w:tcW w:w="4118" w:type="pct"/>
            <w:gridSpan w:val="2"/>
            <w:noWrap w:val="0"/>
            <w:vAlign w:val="center"/>
          </w:tcPr>
          <w:p w14:paraId="01D41F4E">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u w:val="single"/>
              </w:rPr>
            </w:pPr>
            <w:r>
              <w:rPr>
                <w:rFonts w:hint="eastAsia" w:ascii="宋体" w:hAnsi="宋体" w:eastAsia="宋体" w:cs="宋体"/>
                <w:sz w:val="24"/>
                <w:highlight w:val="none"/>
              </w:rPr>
              <w:t>采购人：</w:t>
            </w:r>
            <w:r>
              <w:rPr>
                <w:rFonts w:hint="eastAsia" w:ascii="宋体" w:hAnsi="宋体" w:cs="宋体"/>
                <w:sz w:val="24"/>
                <w:highlight w:val="none"/>
                <w:u w:val="single"/>
                <w:lang w:val="en-US" w:eastAsia="zh-CN"/>
              </w:rPr>
              <w:t>英吉沙县妇女联合会</w:t>
            </w:r>
          </w:p>
          <w:p w14:paraId="5F19A607">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地  址：</w:t>
            </w:r>
            <w:r>
              <w:rPr>
                <w:rFonts w:hint="eastAsia" w:ascii="宋体" w:hAnsi="宋体" w:cs="宋体"/>
                <w:sz w:val="24"/>
                <w:highlight w:val="none"/>
                <w:u w:val="single"/>
                <w:lang w:val="zh-CN" w:eastAsia="zh-CN"/>
              </w:rPr>
              <w:t>英吉沙县妇女联合会</w:t>
            </w:r>
          </w:p>
          <w:p w14:paraId="4689B201">
            <w:pPr>
              <w:keepNext w:val="0"/>
              <w:keepLines w:val="0"/>
              <w:suppressLineNumbers w:val="0"/>
              <w:spacing w:before="0" w:beforeAutospacing="0" w:after="0" w:afterAutospacing="0" w:line="240" w:lineRule="atLeast"/>
              <w:ind w:left="0" w:right="0"/>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rPr>
              <w:t>电  话：</w:t>
            </w:r>
            <w:r>
              <w:rPr>
                <w:rFonts w:hint="eastAsia" w:ascii="宋体" w:hAnsi="宋体" w:cs="宋体"/>
                <w:sz w:val="24"/>
                <w:highlight w:val="none"/>
                <w:u w:val="single"/>
                <w:lang w:val="en-US" w:eastAsia="zh-CN"/>
              </w:rPr>
              <w:t>阿斯耶姆·阿卜拉</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18099576728</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p>
        </w:tc>
      </w:tr>
      <w:tr w14:paraId="6F3AB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81" w:type="pct"/>
            <w:noWrap w:val="0"/>
            <w:vAlign w:val="center"/>
          </w:tcPr>
          <w:p w14:paraId="5350649A">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1.2</w:t>
            </w:r>
          </w:p>
        </w:tc>
        <w:tc>
          <w:tcPr>
            <w:tcW w:w="4118" w:type="pct"/>
            <w:gridSpan w:val="2"/>
            <w:noWrap w:val="0"/>
            <w:vAlign w:val="center"/>
          </w:tcPr>
          <w:p w14:paraId="41EE0085">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采购代理机构：</w:t>
            </w:r>
            <w:r>
              <w:rPr>
                <w:rFonts w:hint="eastAsia" w:ascii="宋体" w:hAnsi="宋体" w:eastAsia="宋体" w:cs="宋体"/>
                <w:sz w:val="24"/>
                <w:highlight w:val="none"/>
                <w:u w:val="single"/>
                <w:lang w:val="en-US" w:eastAsia="zh-CN"/>
              </w:rPr>
              <w:t>新疆中泰正信项目管理有限公司</w:t>
            </w:r>
          </w:p>
          <w:p w14:paraId="76E74B13">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地址：</w:t>
            </w:r>
            <w:r>
              <w:rPr>
                <w:rFonts w:hint="eastAsia" w:ascii="宋体" w:hAnsi="宋体" w:eastAsia="宋体" w:cs="宋体"/>
                <w:sz w:val="24"/>
                <w:highlight w:val="none"/>
                <w:u w:val="single"/>
                <w:lang w:val="en-US" w:eastAsia="zh-CN"/>
              </w:rPr>
              <w:t>新疆喀什地区英吉沙县光明路新城商业街1号楼2-1号</w:t>
            </w:r>
          </w:p>
          <w:p w14:paraId="14E4356D">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lang w:eastAsia="zh-CN"/>
              </w:rPr>
            </w:pPr>
            <w:r>
              <w:rPr>
                <w:rFonts w:hint="eastAsia" w:ascii="宋体" w:hAnsi="宋体" w:eastAsia="宋体" w:cs="宋体"/>
                <w:sz w:val="24"/>
                <w:highlight w:val="none"/>
              </w:rPr>
              <w:t>业务联系人：</w:t>
            </w:r>
            <w:r>
              <w:rPr>
                <w:rFonts w:hint="eastAsia" w:ascii="宋体" w:hAnsi="宋体" w:eastAsia="宋体" w:cs="宋体"/>
                <w:sz w:val="24"/>
                <w:highlight w:val="none"/>
                <w:u w:val="single"/>
                <w:lang w:eastAsia="zh-CN"/>
              </w:rPr>
              <w:t>苏贺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电话：</w:t>
            </w:r>
            <w:r>
              <w:rPr>
                <w:rFonts w:hint="eastAsia" w:ascii="宋体" w:hAnsi="宋体" w:eastAsia="宋体" w:cs="宋体"/>
                <w:sz w:val="24"/>
                <w:highlight w:val="none"/>
                <w:u w:val="single"/>
                <w:lang w:val="en-US" w:eastAsia="zh-CN"/>
              </w:rPr>
              <w:t>15026328789</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p>
        </w:tc>
      </w:tr>
      <w:tr w14:paraId="24A44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75" w:hRule="atLeast"/>
        </w:trPr>
        <w:tc>
          <w:tcPr>
            <w:tcW w:w="881" w:type="pct"/>
            <w:noWrap w:val="0"/>
            <w:vAlign w:val="center"/>
          </w:tcPr>
          <w:p w14:paraId="1DEB6266">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1.3.4</w:t>
            </w:r>
          </w:p>
        </w:tc>
        <w:tc>
          <w:tcPr>
            <w:tcW w:w="4118" w:type="pct"/>
            <w:gridSpan w:val="2"/>
            <w:noWrap w:val="0"/>
            <w:vAlign w:val="center"/>
          </w:tcPr>
          <w:p w14:paraId="177A16BD">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lang w:val="zh-CN"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eastAsia="zh-CN"/>
              </w:rPr>
              <w:t>申请人的资格要求：</w:t>
            </w:r>
          </w:p>
          <w:p w14:paraId="20DB06EB">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eastAsia="zh-CN"/>
              </w:rPr>
              <w:t>.投标人法人或者非法人组织的营业执照等证明文件（须加盖本单位章）</w:t>
            </w:r>
          </w:p>
          <w:p w14:paraId="05FE7023">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2.法定代表人资格证明或法定代表人授权委托书，自然人响应的无需提供；</w:t>
            </w:r>
          </w:p>
          <w:p w14:paraId="1C4FA1E5">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zh-CN" w:eastAsia="zh-CN"/>
              </w:rPr>
              <w:t>.提供本单位缴纳的近6个月内任意1个月的社保缴费凭证及单位缴费个人明细表（社保证明可含：社保缴费凭证、社保缴费汇总单、依法缴纳社保的完税证明）；</w:t>
            </w:r>
          </w:p>
          <w:p w14:paraId="6C6418AD">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eastAsia="zh-CN"/>
              </w:rPr>
              <w:t>.具有良好的商业信誉和健全的财务会计制度或者提供最近一年（2024年）的财务审计报告（成立不满一年的提供开标前一个月内有效银行资信证明）</w:t>
            </w:r>
            <w:r>
              <w:rPr>
                <w:rFonts w:hint="eastAsia" w:ascii="宋体" w:hAnsi="宋体" w:eastAsia="宋体" w:cs="宋体"/>
                <w:sz w:val="24"/>
                <w:highlight w:val="none"/>
              </w:rPr>
              <w:t>；</w:t>
            </w:r>
          </w:p>
          <w:p w14:paraId="20B073C8">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lang w:val="en-US" w:eastAsia="en-US"/>
              </w:rPr>
              <w:t>.</w:t>
            </w:r>
            <w:r>
              <w:rPr>
                <w:rFonts w:hint="eastAsia" w:ascii="宋体" w:hAnsi="宋体" w:eastAsia="宋体" w:cs="宋体"/>
                <w:sz w:val="24"/>
                <w:highlight w:val="none"/>
                <w:lang w:val="en-US" w:eastAsia="zh-CN"/>
              </w:rPr>
              <w:t>提供近6个月内任意1个月税务局开具的完税证明；依法免缴的应提供依法免缴的相关证明文件和零申报报表（完税证明或税务部门出具的其他证明，非社会保险类）；</w:t>
            </w:r>
          </w:p>
          <w:p w14:paraId="44105CAA">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6.投标单位（供应商）针对本次项目《反商业贿赂承诺书》；</w:t>
            </w:r>
          </w:p>
          <w:p w14:paraId="299DA5DF">
            <w:pPr>
              <w:pStyle w:val="7"/>
              <w:keepNext w:val="0"/>
              <w:keepLines w:val="0"/>
              <w:suppressLineNumbers w:val="0"/>
              <w:spacing w:before="0" w:beforeAutospacing="0" w:after="0" w:afterAutospacing="0"/>
              <w:ind w:left="0" w:leftChars="0" w:right="0" w:firstLine="0" w:firstLineChars="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7.提供参与政府采购活动前3年内未被列入失信、重大税收违法案件、财政部门禁止参加政府采购活动的承诺书；</w:t>
            </w:r>
          </w:p>
          <w:p w14:paraId="47A9E091">
            <w:pPr>
              <w:pStyle w:val="7"/>
              <w:keepNext w:val="0"/>
              <w:keepLines w:val="0"/>
              <w:suppressLineNumbers w:val="0"/>
              <w:spacing w:before="0" w:beforeAutospacing="0" w:after="0" w:afterAutospacing="0"/>
              <w:ind w:left="0" w:leftChars="0" w:right="0" w:firstLine="0" w:firstLineChars="0"/>
              <w:outlineLvl w:val="9"/>
              <w:rPr>
                <w:rFonts w:hint="eastAsia" w:hAnsi="Times New Roman" w:cs="Times New Roman"/>
                <w:highlight w:val="none"/>
                <w:lang w:val="en-US" w:eastAsia="zh-CN"/>
              </w:rPr>
            </w:pPr>
            <w:r>
              <w:rPr>
                <w:rFonts w:hint="eastAsia" w:hAnsi="Times New Roman" w:cs="Times New Roman"/>
                <w:highlight w:val="none"/>
                <w:lang w:val="en-US" w:eastAsia="zh-CN"/>
              </w:rPr>
              <w:t>8.缴纳磋商保证金的有效凭证。</w:t>
            </w:r>
          </w:p>
          <w:p w14:paraId="00322ABA">
            <w:pPr>
              <w:pStyle w:val="7"/>
              <w:keepNext w:val="0"/>
              <w:keepLines w:val="0"/>
              <w:suppressLineNumbers w:val="0"/>
              <w:spacing w:before="0" w:beforeAutospacing="0" w:after="0" w:afterAutospacing="0"/>
              <w:ind w:left="0" w:leftChars="0" w:right="0" w:firstLine="0" w:firstLineChars="0"/>
              <w:outlineLvl w:val="9"/>
              <w:rPr>
                <w:rFonts w:hint="eastAsia" w:hAnsi="Times New Roman" w:cs="Times New Roman"/>
                <w:highlight w:val="none"/>
                <w:lang w:val="en-US" w:eastAsia="zh-CN"/>
              </w:rPr>
            </w:pPr>
            <w:r>
              <w:rPr>
                <w:rFonts w:hint="eastAsia" w:hAnsi="Times New Roman" w:cs="Times New Roman"/>
                <w:highlight w:val="none"/>
                <w:lang w:val="en-US" w:eastAsia="zh-CN"/>
              </w:rPr>
              <w:t>9.</w:t>
            </w:r>
            <w:r>
              <w:rPr>
                <w:rFonts w:hint="eastAsia" w:hAnsi="Times New Roman" w:cs="Times New Roman"/>
                <w:highlight w:val="none"/>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被列入失信被执行人、重大税收违法案件当事人名单(信用服务-失信惩戒对象查询-搜索栏输入单位全称 -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14:paraId="4A69D46E">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落实政府采购政策需满足的资格要求：供应商为中小企业/小微企业</w:t>
            </w:r>
          </w:p>
          <w:p w14:paraId="4DD23EFE">
            <w:pPr>
              <w:keepNext w:val="0"/>
              <w:keepLines w:val="0"/>
              <w:suppressLineNumbers w:val="0"/>
              <w:spacing w:before="0" w:beforeAutospacing="0" w:after="0" w:afterAutospacing="0" w:line="240" w:lineRule="atLeast"/>
              <w:ind w:left="0" w:right="0"/>
              <w:outlineLvl w:val="9"/>
              <w:rPr>
                <w:rFonts w:hint="eastAsia" w:ascii="Times New Roman" w:hAnsi="Times New Roman" w:eastAsia="宋体" w:cs="Times New Roman"/>
                <w:highlight w:val="none"/>
                <w:lang w:val="en-US" w:eastAsia="zh-CN"/>
              </w:rPr>
            </w:pPr>
            <w:r>
              <w:rPr>
                <w:rFonts w:hint="eastAsia" w:ascii="宋体" w:hAnsi="宋体" w:eastAsia="宋体" w:cs="宋体"/>
                <w:sz w:val="24"/>
                <w:highlight w:val="none"/>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本项目的特定资格要求：</w:t>
            </w:r>
            <w:r>
              <w:rPr>
                <w:rFonts w:hint="eastAsia" w:ascii="宋体" w:hAnsi="宋体" w:cs="宋体"/>
                <w:sz w:val="24"/>
                <w:highlight w:val="none"/>
                <w:lang w:val="en-US" w:eastAsia="zh-CN"/>
              </w:rPr>
              <w:t>无</w:t>
            </w:r>
          </w:p>
        </w:tc>
      </w:tr>
      <w:tr w14:paraId="19D2E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81" w:type="pct"/>
            <w:noWrap w:val="0"/>
            <w:vAlign w:val="center"/>
          </w:tcPr>
          <w:p w14:paraId="498B8D28">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1.3.5</w:t>
            </w:r>
          </w:p>
        </w:tc>
        <w:tc>
          <w:tcPr>
            <w:tcW w:w="4118" w:type="pct"/>
            <w:gridSpan w:val="2"/>
            <w:noWrap w:val="0"/>
            <w:vAlign w:val="center"/>
          </w:tcPr>
          <w:p w14:paraId="455DD7DD">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r>
              <w:rPr>
                <w:rFonts w:hint="eastAsia" w:ascii="宋体" w:hAnsi="宋体" w:eastAsia="宋体" w:cs="宋体"/>
                <w:sz w:val="24"/>
                <w:highlight w:val="none"/>
              </w:rPr>
              <w:t>是否为专门面向中小企业采购： 是 （是、否）</w:t>
            </w:r>
          </w:p>
          <w:p w14:paraId="641CB856">
            <w:pPr>
              <w:keepNext w:val="0"/>
              <w:keepLines w:val="0"/>
              <w:suppressLineNumbers w:val="0"/>
              <w:spacing w:before="0" w:beforeAutospacing="0" w:after="0" w:afterAutospacing="0" w:line="240" w:lineRule="atLeast"/>
              <w:ind w:left="0" w:right="0"/>
              <w:outlineLvl w:val="9"/>
              <w:rPr>
                <w:rFonts w:hint="default" w:eastAsia="宋体"/>
                <w:highlight w:val="none"/>
                <w:lang w:val="en-US" w:eastAsia="zh-CN"/>
              </w:rPr>
            </w:pPr>
            <w:r>
              <w:rPr>
                <w:rFonts w:hint="eastAsia" w:ascii="宋体" w:hAnsi="宋体" w:eastAsia="宋体" w:cs="宋体"/>
                <w:sz w:val="24"/>
                <w:highlight w:val="none"/>
                <w:lang w:val="en-US" w:eastAsia="zh-CN"/>
              </w:rPr>
              <w:t>本项目属于：</w:t>
            </w:r>
            <w:r>
              <w:rPr>
                <w:rFonts w:hint="eastAsia" w:ascii="宋体" w:hAnsi="宋体" w:eastAsia="宋体" w:cs="宋体"/>
                <w:b/>
                <w:bCs/>
                <w:sz w:val="24"/>
                <w:highlight w:val="none"/>
                <w:u w:val="single"/>
                <w:lang w:val="en-US" w:eastAsia="zh-CN"/>
              </w:rPr>
              <w:t>租赁和商务服务业</w:t>
            </w:r>
          </w:p>
        </w:tc>
      </w:tr>
      <w:tr w14:paraId="5BAD4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881" w:type="pct"/>
            <w:noWrap w:val="0"/>
            <w:vAlign w:val="center"/>
          </w:tcPr>
          <w:p w14:paraId="3680B63F">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1.4</w:t>
            </w:r>
          </w:p>
        </w:tc>
        <w:tc>
          <w:tcPr>
            <w:tcW w:w="4118" w:type="pct"/>
            <w:gridSpan w:val="2"/>
            <w:noWrap w:val="0"/>
            <w:vAlign w:val="center"/>
          </w:tcPr>
          <w:p w14:paraId="5C40189B">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r>
              <w:rPr>
                <w:rFonts w:hint="eastAsia" w:ascii="宋体" w:hAnsi="宋体" w:eastAsia="宋体" w:cs="宋体"/>
                <w:sz w:val="24"/>
                <w:highlight w:val="none"/>
              </w:rPr>
              <w:t>是否允许联合体投标：</w:t>
            </w:r>
            <w:r>
              <w:rPr>
                <w:rFonts w:hint="eastAsia" w:ascii="宋体" w:hAnsi="宋体" w:eastAsia="宋体" w:cs="宋体"/>
                <w:sz w:val="24"/>
                <w:highlight w:val="none"/>
                <w:u w:val="single"/>
              </w:rPr>
              <w:t xml:space="preserve"> </w:t>
            </w:r>
            <w:r>
              <w:rPr>
                <w:rFonts w:hint="eastAsia" w:ascii="宋体" w:hAnsi="宋体" w:eastAsia="宋体" w:cs="宋体"/>
                <w:i/>
                <w:iCs/>
                <w:sz w:val="24"/>
                <w:highlight w:val="none"/>
                <w:u w:val="single"/>
              </w:rPr>
              <w:t>否</w:t>
            </w:r>
            <w:r>
              <w:rPr>
                <w:rFonts w:hint="eastAsia" w:ascii="宋体" w:hAnsi="宋体" w:eastAsia="宋体" w:cs="宋体"/>
                <w:sz w:val="24"/>
                <w:highlight w:val="none"/>
                <w:u w:val="single"/>
              </w:rPr>
              <w:t xml:space="preserve"> </w:t>
            </w:r>
            <w:r>
              <w:rPr>
                <w:rFonts w:hint="eastAsia" w:ascii="宋体" w:hAnsi="宋体" w:eastAsia="宋体" w:cs="宋体"/>
                <w:i/>
                <w:sz w:val="24"/>
                <w:highlight w:val="none"/>
              </w:rPr>
              <w:t>（是、否）</w:t>
            </w:r>
          </w:p>
        </w:tc>
      </w:tr>
      <w:tr w14:paraId="02DB5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81" w:type="pct"/>
            <w:noWrap w:val="0"/>
            <w:vAlign w:val="center"/>
          </w:tcPr>
          <w:p w14:paraId="642CDB39">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1.4.8</w:t>
            </w:r>
          </w:p>
        </w:tc>
        <w:tc>
          <w:tcPr>
            <w:tcW w:w="4118" w:type="pct"/>
            <w:gridSpan w:val="2"/>
            <w:noWrap w:val="0"/>
            <w:vAlign w:val="center"/>
          </w:tcPr>
          <w:p w14:paraId="322C8CD5">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r>
              <w:rPr>
                <w:rFonts w:hint="eastAsia" w:ascii="宋体" w:hAnsi="宋体" w:eastAsia="宋体" w:cs="宋体"/>
                <w:sz w:val="24"/>
                <w:highlight w:val="none"/>
              </w:rPr>
              <w:t>联合体的其他资格要求：</w:t>
            </w:r>
          </w:p>
        </w:tc>
      </w:tr>
      <w:tr w14:paraId="248F9AAB">
        <w:tblPrEx>
          <w:tblCellMar>
            <w:top w:w="0" w:type="dxa"/>
            <w:left w:w="28" w:type="dxa"/>
            <w:bottom w:w="0" w:type="dxa"/>
            <w:right w:w="28" w:type="dxa"/>
          </w:tblCellMar>
        </w:tblPrEx>
        <w:trPr>
          <w:trHeight w:val="301" w:hRule="atLeast"/>
        </w:trPr>
        <w:tc>
          <w:tcPr>
            <w:tcW w:w="881" w:type="pct"/>
            <w:noWrap w:val="0"/>
            <w:vAlign w:val="center"/>
          </w:tcPr>
          <w:p w14:paraId="1317160C">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2.2</w:t>
            </w:r>
          </w:p>
        </w:tc>
        <w:tc>
          <w:tcPr>
            <w:tcW w:w="4118" w:type="pct"/>
            <w:gridSpan w:val="2"/>
            <w:noWrap w:val="0"/>
            <w:vAlign w:val="center"/>
          </w:tcPr>
          <w:p w14:paraId="4D1F6CFC">
            <w:pPr>
              <w:keepNext w:val="0"/>
              <w:keepLines w:val="0"/>
              <w:suppressLineNumbers w:val="0"/>
              <w:spacing w:before="0" w:beforeAutospacing="0" w:after="0" w:afterAutospacing="0" w:line="240" w:lineRule="atLeast"/>
              <w:ind w:left="0" w:right="0"/>
              <w:outlineLvl w:val="9"/>
              <w:rPr>
                <w:rFonts w:hint="default" w:ascii="宋体" w:hAnsi="宋体" w:eastAsia="宋体" w:cs="宋体"/>
                <w:b/>
                <w:bCs/>
                <w:sz w:val="24"/>
                <w:highlight w:val="none"/>
                <w:lang w:val="en-US" w:eastAsia="zh-CN"/>
              </w:rPr>
            </w:pPr>
            <w:r>
              <w:rPr>
                <w:rFonts w:hint="eastAsia" w:ascii="宋体" w:hAnsi="宋体" w:eastAsia="宋体" w:cs="宋体"/>
                <w:sz w:val="24"/>
                <w:highlight w:val="none"/>
              </w:rPr>
              <w:t>项目预算金额：</w:t>
            </w:r>
            <w:r>
              <w:rPr>
                <w:rFonts w:hint="eastAsia" w:ascii="宋体" w:hAnsi="宋体" w:eastAsia="宋体" w:cs="宋体"/>
                <w:b/>
                <w:bCs/>
                <w:sz w:val="24"/>
                <w:highlight w:val="none"/>
                <w:u w:val="single"/>
                <w:lang w:val="en-US" w:eastAsia="zh-CN"/>
              </w:rPr>
              <w:t>800000</w:t>
            </w:r>
            <w:r>
              <w:rPr>
                <w:rFonts w:hint="eastAsia" w:ascii="宋体" w:hAnsi="宋体" w:eastAsia="宋体" w:cs="宋体"/>
                <w:b/>
                <w:bCs/>
                <w:sz w:val="24"/>
                <w:highlight w:val="none"/>
                <w:lang w:val="en-US" w:eastAsia="zh-CN"/>
              </w:rPr>
              <w:t>元/年</w:t>
            </w:r>
            <w:r>
              <w:rPr>
                <w:rFonts w:hint="eastAsia" w:ascii="宋体" w:hAnsi="宋体" w:eastAsia="宋体" w:cs="宋体"/>
                <w:sz w:val="24"/>
                <w:highlight w:val="none"/>
              </w:rPr>
              <w:t>；</w:t>
            </w:r>
          </w:p>
        </w:tc>
      </w:tr>
      <w:tr w14:paraId="62858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81" w:type="pct"/>
            <w:noWrap w:val="0"/>
            <w:vAlign w:val="center"/>
          </w:tcPr>
          <w:p w14:paraId="2430844A">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8.1</w:t>
            </w:r>
          </w:p>
        </w:tc>
        <w:tc>
          <w:tcPr>
            <w:tcW w:w="4118" w:type="pct"/>
            <w:gridSpan w:val="2"/>
            <w:noWrap w:val="0"/>
            <w:vAlign w:val="center"/>
          </w:tcPr>
          <w:p w14:paraId="1D27E506">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r>
              <w:rPr>
                <w:rFonts w:hint="eastAsia" w:ascii="宋体" w:hAnsi="宋体" w:eastAsia="宋体" w:cs="宋体"/>
                <w:sz w:val="24"/>
                <w:highlight w:val="none"/>
              </w:rPr>
              <w:t>如投标商对多个分包进行投标，可以中标</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包</w:t>
            </w:r>
          </w:p>
        </w:tc>
      </w:tr>
      <w:tr w14:paraId="668D4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81" w:type="pct"/>
            <w:noWrap w:val="0"/>
            <w:vAlign w:val="center"/>
          </w:tcPr>
          <w:p w14:paraId="1B6629F0">
            <w:pPr>
              <w:keepNext w:val="0"/>
              <w:keepLines w:val="0"/>
              <w:suppressLineNumbers w:val="0"/>
              <w:spacing w:before="0" w:beforeAutospacing="0" w:after="0" w:afterAutospacing="0" w:line="240" w:lineRule="atLeast"/>
              <w:ind w:left="0" w:right="0"/>
              <w:jc w:val="center"/>
              <w:outlineLvl w:val="9"/>
              <w:rPr>
                <w:rFonts w:hint="eastAsia" w:ascii="宋体" w:hAnsi="宋体" w:eastAsia="宋体" w:cs="宋体"/>
                <w:sz w:val="24"/>
                <w:highlight w:val="none"/>
              </w:rPr>
            </w:pPr>
            <w:r>
              <w:rPr>
                <w:rFonts w:hint="eastAsia" w:ascii="宋体" w:hAnsi="宋体" w:eastAsia="宋体" w:cs="宋体"/>
                <w:sz w:val="24"/>
                <w:highlight w:val="none"/>
              </w:rPr>
              <w:t>12</w:t>
            </w:r>
          </w:p>
        </w:tc>
        <w:tc>
          <w:tcPr>
            <w:tcW w:w="4118" w:type="pct"/>
            <w:gridSpan w:val="2"/>
            <w:noWrap w:val="0"/>
            <w:vAlign w:val="center"/>
          </w:tcPr>
          <w:p w14:paraId="1DA782F2">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r>
              <w:rPr>
                <w:rFonts w:hint="eastAsia" w:ascii="宋体" w:hAnsi="宋体" w:eastAsia="宋体" w:cs="宋体"/>
                <w:sz w:val="24"/>
                <w:highlight w:val="none"/>
              </w:rPr>
              <w:t>保证金形式：</w:t>
            </w:r>
            <w:r>
              <w:rPr>
                <w:rFonts w:hint="eastAsia" w:ascii="宋体" w:hAnsi="宋体" w:eastAsia="宋体" w:cs="宋体"/>
                <w:sz w:val="24"/>
                <w:highlight w:val="none"/>
              </w:rPr>
              <w:sym w:font="Wingdings 2" w:char="0052"/>
            </w:r>
            <w:r>
              <w:rPr>
                <w:rFonts w:hint="eastAsia" w:ascii="宋体" w:hAnsi="宋体" w:eastAsia="宋体" w:cs="宋体"/>
                <w:sz w:val="24"/>
                <w:highlight w:val="none"/>
              </w:rPr>
              <w:t xml:space="preserve">保函  </w:t>
            </w:r>
            <w:r>
              <w:rPr>
                <w:rFonts w:hint="eastAsia" w:ascii="宋体" w:hAnsi="宋体" w:eastAsia="宋体" w:cs="宋体"/>
                <w:sz w:val="24"/>
                <w:highlight w:val="none"/>
              </w:rPr>
              <w:sym w:font="Wingdings 2" w:char="0052"/>
            </w:r>
            <w:r>
              <w:rPr>
                <w:rFonts w:hint="eastAsia" w:ascii="宋体" w:hAnsi="宋体" w:eastAsia="宋体" w:cs="宋体"/>
                <w:sz w:val="24"/>
                <w:highlight w:val="none"/>
              </w:rPr>
              <w:t xml:space="preserve">电汇  </w:t>
            </w:r>
            <w:r>
              <w:rPr>
                <w:rFonts w:hint="eastAsia" w:ascii="宋体" w:hAnsi="宋体" w:eastAsia="宋体" w:cs="宋体"/>
                <w:sz w:val="24"/>
                <w:highlight w:val="none"/>
              </w:rPr>
              <w:sym w:font="Wingdings 2" w:char="00A3"/>
            </w:r>
            <w:r>
              <w:rPr>
                <w:rFonts w:hint="eastAsia" w:ascii="宋体" w:hAnsi="宋体" w:eastAsia="宋体" w:cs="宋体"/>
                <w:sz w:val="24"/>
                <w:highlight w:val="none"/>
              </w:rPr>
              <w:t>支票</w:t>
            </w:r>
          </w:p>
          <w:p w14:paraId="07B2FA25">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r>
              <w:rPr>
                <w:rFonts w:hint="eastAsia" w:ascii="宋体" w:hAnsi="宋体" w:eastAsia="宋体" w:cs="宋体"/>
                <w:sz w:val="24"/>
                <w:highlight w:val="none"/>
              </w:rPr>
              <w:sym w:font="Wingdings 2" w:char="0052"/>
            </w:r>
            <w:r>
              <w:rPr>
                <w:rFonts w:hint="eastAsia" w:ascii="宋体" w:hAnsi="宋体" w:eastAsia="宋体" w:cs="宋体"/>
                <w:sz w:val="24"/>
                <w:highlight w:val="none"/>
              </w:rPr>
              <w:t>允许供应商自主选择以支票、汇票、本票、保函等非现金形式缴纳或提交保证金（</w:t>
            </w:r>
            <w:r>
              <w:rPr>
                <w:rFonts w:hint="eastAsia" w:ascii="宋体" w:hAnsi="宋体" w:eastAsia="宋体" w:cs="宋体"/>
                <w:sz w:val="24"/>
                <w:highlight w:val="none"/>
                <w:lang w:val="en-US" w:eastAsia="zh-CN"/>
              </w:rPr>
              <w:t>法律</w:t>
            </w:r>
            <w:r>
              <w:rPr>
                <w:rFonts w:hint="eastAsia" w:ascii="宋体" w:hAnsi="宋体" w:eastAsia="宋体" w:cs="宋体"/>
                <w:sz w:val="24"/>
                <w:highlight w:val="none"/>
              </w:rPr>
              <w:t xml:space="preserve">允许的其他形式） </w:t>
            </w:r>
          </w:p>
          <w:p w14:paraId="335E2662">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r>
              <w:rPr>
                <w:rFonts w:hint="eastAsia" w:ascii="宋体" w:hAnsi="宋体" w:eastAsia="宋体" w:cs="宋体"/>
                <w:sz w:val="24"/>
                <w:highlight w:val="none"/>
              </w:rPr>
              <w:t>保证金数额：</w:t>
            </w:r>
            <w:r>
              <w:rPr>
                <w:rFonts w:hint="eastAsia" w:ascii="宋体" w:hAnsi="宋体" w:eastAsia="宋体" w:cs="宋体"/>
                <w:sz w:val="24"/>
                <w:highlight w:val="none"/>
                <w:lang w:val="en-US" w:eastAsia="zh-CN"/>
              </w:rPr>
              <w:t>8000</w:t>
            </w:r>
            <w:r>
              <w:rPr>
                <w:rFonts w:hint="eastAsia" w:ascii="宋体" w:hAnsi="宋体" w:eastAsia="宋体" w:cs="宋体"/>
                <w:sz w:val="24"/>
                <w:highlight w:val="none"/>
              </w:rPr>
              <w:t>.00元大写：</w:t>
            </w:r>
            <w:r>
              <w:rPr>
                <w:rFonts w:hint="eastAsia" w:ascii="宋体" w:hAnsi="宋体" w:eastAsia="宋体" w:cs="宋体"/>
                <w:sz w:val="24"/>
                <w:highlight w:val="none"/>
                <w:lang w:val="en-US" w:eastAsia="zh-CN"/>
              </w:rPr>
              <w:t>捌仟元整</w:t>
            </w:r>
            <w:r>
              <w:rPr>
                <w:rFonts w:hint="eastAsia" w:ascii="宋体" w:hAnsi="宋体" w:eastAsia="宋体" w:cs="宋体"/>
                <w:sz w:val="24"/>
                <w:highlight w:val="none"/>
              </w:rPr>
              <w:t>（按照各</w:t>
            </w:r>
            <w:r>
              <w:rPr>
                <w:rFonts w:hint="eastAsia" w:ascii="宋体" w:hAnsi="宋体" w:eastAsia="宋体" w:cs="宋体"/>
                <w:sz w:val="24"/>
                <w:highlight w:val="none"/>
                <w:lang w:val="en-US" w:eastAsia="zh-CN"/>
              </w:rPr>
              <w:t>标段</w:t>
            </w:r>
            <w:r>
              <w:rPr>
                <w:rFonts w:hint="eastAsia" w:ascii="宋体" w:hAnsi="宋体" w:eastAsia="宋体" w:cs="宋体"/>
                <w:sz w:val="24"/>
                <w:highlight w:val="none"/>
              </w:rPr>
              <w:t>控制金额</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%以内的整数计算）</w:t>
            </w:r>
          </w:p>
          <w:p w14:paraId="324DDC8A">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r>
              <w:rPr>
                <w:rFonts w:hint="eastAsia" w:ascii="宋体" w:hAnsi="宋体" w:eastAsia="宋体" w:cs="宋体"/>
                <w:sz w:val="24"/>
                <w:highlight w:val="none"/>
              </w:rPr>
              <w:t>保证金收款人：</w:t>
            </w:r>
          </w:p>
          <w:p w14:paraId="61C28B2F">
            <w:pPr>
              <w:keepNext w:val="0"/>
              <w:keepLines w:val="0"/>
              <w:suppressLineNumbers w:val="0"/>
              <w:spacing w:before="0" w:beforeAutospacing="0" w:after="0" w:afterAutospacing="0" w:line="240" w:lineRule="atLeast"/>
              <w:ind w:left="0" w:right="0" w:firstLine="482" w:firstLineChars="200"/>
              <w:outlineLvl w:val="9"/>
              <w:rPr>
                <w:rFonts w:hint="eastAsia" w:ascii="宋体" w:hAnsi="宋体" w:cs="宋体"/>
                <w:b/>
                <w:bCs/>
                <w:sz w:val="24"/>
                <w:highlight w:val="none"/>
                <w:u w:val="single"/>
              </w:rPr>
            </w:pPr>
            <w:r>
              <w:rPr>
                <w:rFonts w:hint="eastAsia" w:ascii="宋体" w:hAnsi="宋体" w:cs="宋体"/>
                <w:b/>
                <w:bCs/>
                <w:sz w:val="24"/>
                <w:highlight w:val="none"/>
                <w:u w:val="single"/>
              </w:rPr>
              <w:t>帐户名称： 新疆中泰正信项目管理有限公司</w:t>
            </w:r>
          </w:p>
          <w:p w14:paraId="78B01C3D">
            <w:pPr>
              <w:keepNext w:val="0"/>
              <w:keepLines w:val="0"/>
              <w:suppressLineNumbers w:val="0"/>
              <w:spacing w:before="0" w:beforeAutospacing="0" w:after="0" w:afterAutospacing="0" w:line="240" w:lineRule="atLeast"/>
              <w:ind w:left="0" w:right="0" w:firstLine="482" w:firstLineChars="200"/>
              <w:outlineLvl w:val="9"/>
              <w:rPr>
                <w:rFonts w:hint="eastAsia" w:ascii="宋体" w:hAnsi="宋体" w:eastAsia="宋体" w:cs="宋体"/>
                <w:b/>
                <w:bCs/>
                <w:sz w:val="24"/>
                <w:highlight w:val="none"/>
                <w:u w:val="single"/>
                <w:lang w:eastAsia="zh-CN"/>
              </w:rPr>
            </w:pPr>
            <w:r>
              <w:rPr>
                <w:rFonts w:hint="eastAsia" w:ascii="宋体" w:hAnsi="宋体" w:cs="宋体"/>
                <w:b/>
                <w:bCs/>
                <w:sz w:val="24"/>
                <w:highlight w:val="none"/>
                <w:u w:val="single"/>
              </w:rPr>
              <w:t xml:space="preserve">账户： </w:t>
            </w:r>
            <w:r>
              <w:rPr>
                <w:rFonts w:hint="eastAsia" w:ascii="宋体" w:hAnsi="宋体" w:cs="宋体"/>
                <w:b/>
                <w:bCs/>
                <w:sz w:val="24"/>
                <w:highlight w:val="none"/>
                <w:u w:val="single"/>
                <w:lang w:eastAsia="zh-CN"/>
              </w:rPr>
              <w:t>863010012010118468618</w:t>
            </w:r>
          </w:p>
          <w:p w14:paraId="4C45E9CB">
            <w:pPr>
              <w:keepNext w:val="0"/>
              <w:keepLines w:val="0"/>
              <w:suppressLineNumbers w:val="0"/>
              <w:spacing w:before="0" w:beforeAutospacing="0" w:after="0" w:afterAutospacing="0" w:line="240" w:lineRule="atLeast"/>
              <w:ind w:left="0" w:right="0" w:firstLine="482" w:firstLineChars="200"/>
              <w:outlineLvl w:val="9"/>
              <w:rPr>
                <w:rFonts w:hint="eastAsia" w:ascii="宋体" w:hAnsi="宋体" w:eastAsia="宋体" w:cs="宋体"/>
                <w:b/>
                <w:bCs/>
                <w:sz w:val="24"/>
                <w:highlight w:val="none"/>
                <w:u w:val="single"/>
                <w:lang w:eastAsia="zh-CN"/>
              </w:rPr>
            </w:pPr>
            <w:r>
              <w:rPr>
                <w:rFonts w:hint="eastAsia" w:ascii="宋体" w:hAnsi="宋体" w:cs="宋体"/>
                <w:b/>
                <w:bCs/>
                <w:sz w:val="24"/>
                <w:highlight w:val="none"/>
                <w:u w:val="single"/>
              </w:rPr>
              <w:t xml:space="preserve">开户行： </w:t>
            </w:r>
            <w:r>
              <w:rPr>
                <w:rFonts w:hint="eastAsia" w:ascii="宋体" w:hAnsi="宋体" w:cs="宋体"/>
                <w:b/>
                <w:bCs/>
                <w:sz w:val="24"/>
                <w:highlight w:val="none"/>
                <w:u w:val="single"/>
                <w:lang w:eastAsia="zh-CN"/>
              </w:rPr>
              <w:t>喀什农村商业银行股份有限公司英吉沙支行</w:t>
            </w:r>
          </w:p>
          <w:p w14:paraId="2C2A3DC0">
            <w:pPr>
              <w:keepNext w:val="0"/>
              <w:keepLines w:val="0"/>
              <w:suppressLineNumbers w:val="0"/>
              <w:spacing w:before="0" w:beforeAutospacing="0" w:after="0" w:afterAutospacing="0" w:line="240" w:lineRule="atLeast"/>
              <w:ind w:left="0" w:right="0"/>
              <w:jc w:val="left"/>
              <w:outlineLvl w:val="9"/>
              <w:rPr>
                <w:rFonts w:hint="eastAsia" w:ascii="宋体" w:hAnsi="宋体" w:eastAsia="宋体" w:cs="宋体"/>
                <w:b/>
                <w:bCs/>
                <w:sz w:val="24"/>
                <w:highlight w:val="none"/>
              </w:rPr>
            </w:pPr>
            <w:r>
              <w:rPr>
                <w:rFonts w:hint="eastAsia" w:ascii="宋体" w:hAnsi="宋体" w:eastAsia="宋体" w:cs="宋体"/>
                <w:b/>
                <w:bCs/>
                <w:sz w:val="24"/>
                <w:highlight w:val="none"/>
              </w:rPr>
              <w:t>备注：1、</w:t>
            </w:r>
            <w:r>
              <w:rPr>
                <w:rFonts w:hint="eastAsia" w:ascii="宋体" w:hAnsi="宋体" w:eastAsia="宋体" w:cs="宋体"/>
                <w:b/>
                <w:bCs/>
                <w:sz w:val="24"/>
                <w:highlight w:val="none"/>
              </w:rPr>
              <w:t>投标保证金于投标截止时间之前</w:t>
            </w:r>
            <w:r>
              <w:rPr>
                <w:rFonts w:hint="eastAsia" w:ascii="宋体" w:hAnsi="宋体" w:cs="宋体"/>
                <w:b/>
                <w:bCs/>
                <w:sz w:val="24"/>
                <w:highlight w:val="none"/>
                <w:lang w:eastAsia="zh-CN"/>
              </w:rPr>
              <w:t>2025年07月21日</w:t>
            </w:r>
            <w:r>
              <w:rPr>
                <w:rFonts w:hint="eastAsia" w:ascii="宋体" w:hAnsi="宋体" w:eastAsia="宋体" w:cs="宋体"/>
                <w:b/>
                <w:bCs/>
                <w:sz w:val="24"/>
                <w:highlight w:val="none"/>
                <w:lang w:val="en-US" w:eastAsia="zh-CN"/>
              </w:rPr>
              <w:t>11</w:t>
            </w:r>
            <w:r>
              <w:rPr>
                <w:rFonts w:hint="eastAsia" w:ascii="宋体" w:hAnsi="宋体" w:eastAsia="宋体" w:cs="宋体"/>
                <w:b/>
                <w:bCs/>
                <w:sz w:val="24"/>
                <w:highlight w:val="none"/>
              </w:rPr>
              <w:t>：00分止</w:t>
            </w:r>
            <w:r>
              <w:rPr>
                <w:rFonts w:hint="eastAsia" w:ascii="宋体" w:hAnsi="宋体" w:eastAsia="宋体" w:cs="宋体"/>
                <w:b/>
                <w:bCs/>
                <w:sz w:val="24"/>
                <w:highlight w:val="none"/>
              </w:rPr>
              <w:t>（注：允许供应商自主选择以汇票、本票、保函等非现金形式缴纳或提交保证金），并注明是投标保证金和采购项目的</w:t>
            </w:r>
            <w:r>
              <w:rPr>
                <w:rFonts w:hint="eastAsia" w:ascii="宋体" w:hAnsi="宋体" w:eastAsia="宋体" w:cs="宋体"/>
                <w:b/>
                <w:bCs/>
                <w:sz w:val="24"/>
                <w:highlight w:val="none"/>
                <w:lang w:eastAsia="zh-CN"/>
              </w:rPr>
              <w:t>项目编号</w:t>
            </w:r>
            <w:r>
              <w:rPr>
                <w:rFonts w:hint="eastAsia" w:ascii="宋体" w:hAnsi="宋体" w:eastAsia="宋体" w:cs="宋体"/>
                <w:b/>
                <w:bCs/>
                <w:sz w:val="24"/>
                <w:highlight w:val="none"/>
              </w:rPr>
              <w:t>。投标人提交投标保证金应充分考虑资金在途时间，以投保证金到账时间为准。投标人在递交投标文件时，缴纳投标保证金后取得投标资格不得转让。</w:t>
            </w:r>
          </w:p>
          <w:p w14:paraId="034FF387">
            <w:pPr>
              <w:keepNext w:val="0"/>
              <w:keepLines w:val="0"/>
              <w:numPr>
                <w:ilvl w:val="0"/>
                <w:numId w:val="0"/>
              </w:numPr>
              <w:suppressLineNumbers w:val="0"/>
              <w:spacing w:before="0" w:beforeAutospacing="0" w:after="0" w:afterAutospacing="0" w:line="240" w:lineRule="atLeast"/>
              <w:ind w:left="0" w:leftChars="0" w:right="0" w:rightChars="0"/>
              <w:jc w:val="left"/>
              <w:outlineLvl w:val="9"/>
              <w:rPr>
                <w:rFonts w:hint="eastAsia" w:ascii="宋体" w:hAnsi="宋体" w:eastAsia="宋体" w:cs="宋体"/>
                <w:sz w:val="24"/>
                <w:highlight w:val="none"/>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投标人未按招标文件规定缴纳投标保证金的,投标文件将被拒绝评审</w:t>
            </w:r>
            <w:r>
              <w:rPr>
                <w:rFonts w:hint="eastAsia" w:ascii="宋体" w:hAnsi="宋体" w:eastAsia="宋体" w:cs="宋体"/>
                <w:sz w:val="24"/>
                <w:highlight w:val="none"/>
              </w:rPr>
              <w:t>。</w:t>
            </w:r>
          </w:p>
          <w:p w14:paraId="67E77255">
            <w:pPr>
              <w:keepNext w:val="0"/>
              <w:keepLines w:val="0"/>
              <w:numPr>
                <w:ilvl w:val="0"/>
                <w:numId w:val="0"/>
              </w:numPr>
              <w:suppressLineNumbers w:val="0"/>
              <w:spacing w:before="0" w:beforeAutospacing="0" w:after="0" w:afterAutospacing="0" w:line="240" w:lineRule="atLeast"/>
              <w:ind w:left="0" w:leftChars="0" w:right="0" w:rightChars="0"/>
              <w:jc w:val="left"/>
              <w:outlineLvl w:val="9"/>
              <w:rPr>
                <w:rFonts w:hint="default" w:ascii="宋体" w:hAnsi="宋体" w:eastAsia="宋体" w:cs="宋体"/>
                <w:sz w:val="24"/>
                <w:highlight w:val="none"/>
                <w:lang w:val="en-US" w:eastAsia="zh-CN"/>
              </w:rPr>
            </w:pPr>
            <w:r>
              <w:rPr>
                <w:rFonts w:hint="default" w:ascii="宋体" w:hAnsi="宋体" w:eastAsia="宋体" w:cs="宋体"/>
                <w:b/>
                <w:bCs/>
                <w:sz w:val="24"/>
                <w:highlight w:val="none"/>
                <w:lang w:val="en-US" w:eastAsia="zh-CN"/>
              </w:rPr>
              <w:t>3、</w:t>
            </w:r>
            <w:r>
              <w:rPr>
                <w:rFonts w:hint="eastAsia" w:ascii="宋体" w:hAnsi="宋体" w:eastAsia="宋体" w:cs="宋体"/>
                <w:b/>
                <w:bCs/>
                <w:sz w:val="24"/>
                <w:highlight w:val="none"/>
              </w:rPr>
              <w:t>无需兑换投标保证金收据，附转账凭证即可。</w:t>
            </w:r>
          </w:p>
        </w:tc>
      </w:tr>
      <w:tr w14:paraId="1253C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81" w:type="pct"/>
            <w:noWrap w:val="0"/>
            <w:vAlign w:val="center"/>
          </w:tcPr>
          <w:p w14:paraId="0CE4463F">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13.1</w:t>
            </w:r>
          </w:p>
        </w:tc>
        <w:tc>
          <w:tcPr>
            <w:tcW w:w="4118" w:type="pct"/>
            <w:gridSpan w:val="2"/>
            <w:noWrap w:val="0"/>
            <w:vAlign w:val="center"/>
          </w:tcPr>
          <w:p w14:paraId="6156EFA8">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u w:val="single"/>
              </w:rPr>
            </w:pPr>
            <w:r>
              <w:rPr>
                <w:rFonts w:hint="eastAsia" w:ascii="宋体" w:hAnsi="宋体" w:eastAsia="宋体" w:cs="宋体"/>
                <w:sz w:val="24"/>
                <w:highlight w:val="none"/>
              </w:rPr>
              <w:t>投标有效期：</w:t>
            </w:r>
            <w:r>
              <w:rPr>
                <w:rFonts w:hint="eastAsia" w:ascii="宋体" w:hAnsi="宋体" w:eastAsia="宋体" w:cs="宋体"/>
                <w:sz w:val="24"/>
                <w:highlight w:val="none"/>
                <w:u w:val="single"/>
                <w:lang w:val="en-US" w:eastAsia="zh-CN"/>
              </w:rPr>
              <w:t xml:space="preserve">  90  </w:t>
            </w:r>
            <w:r>
              <w:rPr>
                <w:rFonts w:hint="eastAsia" w:ascii="宋体" w:hAnsi="宋体" w:eastAsia="宋体" w:cs="宋体"/>
                <w:sz w:val="24"/>
                <w:highlight w:val="none"/>
              </w:rPr>
              <w:t>日历日</w:t>
            </w:r>
          </w:p>
        </w:tc>
      </w:tr>
      <w:tr w14:paraId="23C49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881" w:type="pct"/>
            <w:noWrap w:val="0"/>
            <w:vAlign w:val="center"/>
          </w:tcPr>
          <w:p w14:paraId="6EDC9C8A">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14.1</w:t>
            </w:r>
          </w:p>
        </w:tc>
        <w:tc>
          <w:tcPr>
            <w:tcW w:w="4118" w:type="pct"/>
            <w:gridSpan w:val="2"/>
            <w:noWrap w:val="0"/>
            <w:vAlign w:val="center"/>
          </w:tcPr>
          <w:p w14:paraId="3C486DBE">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u w:val="single"/>
              </w:rPr>
            </w:pPr>
            <w:r>
              <w:rPr>
                <w:rFonts w:hint="eastAsia" w:ascii="仿宋_GB2312" w:hAnsi="宋体" w:eastAsia="仿宋_GB2312" w:cs="Times New Roman"/>
                <w:b/>
                <w:bCs/>
                <w:color w:val="auto"/>
                <w:sz w:val="24"/>
                <w:highlight w:val="none"/>
                <w:u w:val="single"/>
                <w:lang w:eastAsia="zh-CN"/>
              </w:rPr>
              <w:t>供应商</w:t>
            </w:r>
            <w:r>
              <w:rPr>
                <w:rFonts w:hint="eastAsia" w:ascii="仿宋_GB2312" w:hAnsi="宋体" w:eastAsia="仿宋_GB2312" w:cs="Times New Roman"/>
                <w:b/>
                <w:bCs/>
                <w:color w:val="auto"/>
                <w:sz w:val="24"/>
                <w:highlight w:val="none"/>
                <w:u w:val="single"/>
              </w:rPr>
              <w:t>应完整地按</w:t>
            </w:r>
            <w:r>
              <w:rPr>
                <w:rFonts w:hint="eastAsia" w:ascii="仿宋_GB2312" w:hAnsi="宋体" w:eastAsia="仿宋_GB2312" w:cs="Times New Roman"/>
                <w:b/>
                <w:bCs/>
                <w:color w:val="auto"/>
                <w:sz w:val="24"/>
                <w:highlight w:val="none"/>
                <w:u w:val="single"/>
                <w:lang w:eastAsia="zh-CN"/>
              </w:rPr>
              <w:t>招标文件</w:t>
            </w:r>
            <w:r>
              <w:rPr>
                <w:rFonts w:hint="eastAsia" w:ascii="仿宋_GB2312" w:hAnsi="宋体" w:eastAsia="仿宋_GB2312" w:cs="Times New Roman"/>
                <w:b/>
                <w:bCs/>
                <w:color w:val="auto"/>
                <w:sz w:val="24"/>
                <w:highlight w:val="none"/>
                <w:u w:val="single"/>
              </w:rPr>
              <w:t>提供的</w:t>
            </w:r>
            <w:r>
              <w:rPr>
                <w:rFonts w:hint="eastAsia" w:ascii="仿宋_GB2312" w:hAnsi="宋体" w:eastAsia="仿宋_GB2312" w:cs="Times New Roman"/>
                <w:b/>
                <w:bCs/>
                <w:color w:val="auto"/>
                <w:sz w:val="24"/>
                <w:highlight w:val="none"/>
                <w:u w:val="single"/>
                <w:lang w:eastAsia="zh-CN"/>
              </w:rPr>
              <w:t>投标文件</w:t>
            </w:r>
            <w:r>
              <w:rPr>
                <w:rFonts w:hint="eastAsia" w:ascii="仿宋_GB2312" w:hAnsi="宋体" w:eastAsia="仿宋_GB2312" w:cs="Times New Roman"/>
                <w:b/>
                <w:bCs/>
                <w:color w:val="auto"/>
                <w:sz w:val="24"/>
                <w:highlight w:val="none"/>
                <w:u w:val="single"/>
              </w:rPr>
              <w:t>格式及</w:t>
            </w:r>
            <w:r>
              <w:rPr>
                <w:rFonts w:hint="default" w:ascii="仿宋_GB2312" w:hAnsi="宋体" w:eastAsia="仿宋_GB2312" w:cs="Times New Roman"/>
                <w:b/>
                <w:bCs/>
                <w:color w:val="auto"/>
                <w:sz w:val="24"/>
                <w:highlight w:val="none"/>
                <w:u w:val="single"/>
              </w:rPr>
              <w:t>要求</w:t>
            </w:r>
            <w:r>
              <w:rPr>
                <w:rFonts w:hint="eastAsia" w:ascii="仿宋_GB2312" w:hAnsi="宋体" w:eastAsia="仿宋_GB2312" w:cs="Times New Roman"/>
                <w:b/>
                <w:bCs/>
                <w:color w:val="auto"/>
                <w:sz w:val="24"/>
                <w:highlight w:val="none"/>
                <w:u w:val="single"/>
              </w:rPr>
              <w:t>编写</w:t>
            </w:r>
            <w:r>
              <w:rPr>
                <w:rFonts w:hint="eastAsia" w:ascii="仿宋_GB2312" w:hAnsi="宋体" w:eastAsia="仿宋_GB2312" w:cs="Times New Roman"/>
                <w:b/>
                <w:bCs/>
                <w:color w:val="auto"/>
                <w:sz w:val="24"/>
                <w:highlight w:val="none"/>
                <w:u w:val="single"/>
                <w:lang w:eastAsia="zh-CN"/>
              </w:rPr>
              <w:t>投标文件，</w:t>
            </w:r>
            <w:r>
              <w:rPr>
                <w:rFonts w:hint="eastAsia" w:ascii="仿宋_GB2312" w:hAnsi="宋体" w:eastAsia="仿宋_GB2312" w:cs="Times New Roman"/>
                <w:b/>
                <w:bCs/>
                <w:color w:val="auto"/>
                <w:sz w:val="24"/>
                <w:highlight w:val="none"/>
                <w:u w:val="single"/>
                <w:lang w:val="en-US" w:eastAsia="zh-CN"/>
              </w:rPr>
              <w:t xml:space="preserve"> 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tc>
      </w:tr>
      <w:tr w14:paraId="00263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81" w:type="pct"/>
            <w:noWrap w:val="0"/>
            <w:vAlign w:val="center"/>
          </w:tcPr>
          <w:p w14:paraId="0E1BB502">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16．1</w:t>
            </w:r>
          </w:p>
        </w:tc>
        <w:tc>
          <w:tcPr>
            <w:tcW w:w="4118" w:type="pct"/>
            <w:gridSpan w:val="2"/>
            <w:noWrap w:val="0"/>
            <w:vAlign w:val="center"/>
          </w:tcPr>
          <w:p w14:paraId="4DE14FD5">
            <w:pPr>
              <w:keepNext w:val="0"/>
              <w:keepLines w:val="0"/>
              <w:suppressLineNumbers w:val="0"/>
              <w:spacing w:before="0" w:beforeAutospacing="0" w:after="0" w:afterAutospacing="0" w:line="240" w:lineRule="atLeast"/>
              <w:ind w:left="0" w:right="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w:t>
            </w:r>
            <w:r>
              <w:rPr>
                <w:rFonts w:hint="eastAsia" w:ascii="宋体" w:hAnsi="宋体" w:cs="宋体"/>
                <w:color w:val="auto"/>
                <w:sz w:val="24"/>
                <w:highlight w:val="none"/>
                <w:u w:val="single"/>
                <w:lang w:eastAsia="zh-CN"/>
              </w:rPr>
              <w:t>2025年07月21日</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：00</w:t>
            </w:r>
          </w:p>
        </w:tc>
      </w:tr>
      <w:tr w14:paraId="2060C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trPr>
        <w:tc>
          <w:tcPr>
            <w:tcW w:w="881" w:type="pct"/>
            <w:noWrap w:val="0"/>
            <w:vAlign w:val="center"/>
          </w:tcPr>
          <w:p w14:paraId="17CB3668">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18.1</w:t>
            </w:r>
          </w:p>
        </w:tc>
        <w:tc>
          <w:tcPr>
            <w:tcW w:w="4118" w:type="pct"/>
            <w:gridSpan w:val="2"/>
            <w:noWrap w:val="0"/>
            <w:vAlign w:val="center"/>
          </w:tcPr>
          <w:p w14:paraId="2A8725B3">
            <w:pPr>
              <w:keepNext w:val="0"/>
              <w:keepLines w:val="0"/>
              <w:suppressLineNumbers w:val="0"/>
              <w:spacing w:before="0" w:beforeAutospacing="0" w:after="0" w:afterAutospacing="0" w:line="240" w:lineRule="atLeast"/>
              <w:ind w:left="0" w:right="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开标时间：</w:t>
            </w:r>
            <w:r>
              <w:rPr>
                <w:rFonts w:hint="eastAsia" w:ascii="宋体" w:hAnsi="宋体" w:cs="宋体"/>
                <w:color w:val="auto"/>
                <w:sz w:val="24"/>
                <w:highlight w:val="none"/>
                <w:u w:val="single"/>
                <w:lang w:eastAsia="zh-CN"/>
              </w:rPr>
              <w:t>2025年07月21日</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：00</w:t>
            </w:r>
          </w:p>
          <w:p w14:paraId="2715D459">
            <w:pPr>
              <w:keepNext w:val="0"/>
              <w:keepLines w:val="0"/>
              <w:suppressLineNumbers w:val="0"/>
              <w:spacing w:before="0" w:beforeAutospacing="0" w:after="0" w:afterAutospacing="0" w:line="240" w:lineRule="atLeast"/>
              <w:ind w:left="0" w:right="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开标地点：</w:t>
            </w:r>
            <w:r>
              <w:rPr>
                <w:rFonts w:hint="eastAsia" w:ascii="宋体" w:hAnsi="宋体" w:eastAsia="宋体" w:cs="宋体"/>
                <w:color w:val="auto"/>
                <w:sz w:val="24"/>
                <w:highlight w:val="none"/>
                <w:u w:val="single"/>
              </w:rPr>
              <w:t>新疆喀什地区英吉沙县光明路新城商业街1号楼2-1号</w:t>
            </w:r>
          </w:p>
        </w:tc>
      </w:tr>
      <w:tr w14:paraId="7482C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881" w:type="pct"/>
            <w:noWrap w:val="0"/>
            <w:vAlign w:val="center"/>
          </w:tcPr>
          <w:p w14:paraId="41AD2693">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23.2</w:t>
            </w:r>
          </w:p>
        </w:tc>
        <w:tc>
          <w:tcPr>
            <w:tcW w:w="4118" w:type="pct"/>
            <w:gridSpan w:val="2"/>
            <w:noWrap w:val="0"/>
            <w:vAlign w:val="center"/>
          </w:tcPr>
          <w:p w14:paraId="3FD780E8">
            <w:pPr>
              <w:keepNext w:val="0"/>
              <w:keepLines w:val="0"/>
              <w:suppressLineNumbers w:val="0"/>
              <w:spacing w:before="0" w:beforeAutospacing="0" w:after="0" w:afterAutospacing="0" w:line="240" w:lineRule="atLeast"/>
              <w:ind w:left="0" w:right="0"/>
              <w:outlineLvl w:val="9"/>
              <w:rPr>
                <w:rFonts w:hint="default" w:ascii="宋体" w:hAnsi="宋体" w:eastAsia="仿宋_GB2312" w:cs="宋体"/>
                <w:i/>
                <w:sz w:val="24"/>
                <w:highlight w:val="none"/>
                <w:lang w:val="en-US" w:eastAsia="zh-CN"/>
              </w:rPr>
            </w:pPr>
            <w:r>
              <w:rPr>
                <w:rFonts w:hint="eastAsia" w:ascii="宋体" w:hAnsi="宋体" w:eastAsia="宋体" w:cs="宋体"/>
                <w:sz w:val="24"/>
                <w:highlight w:val="none"/>
              </w:rPr>
              <w:t>评标方法：适用</w:t>
            </w:r>
            <w:r>
              <w:rPr>
                <w:rFonts w:hint="eastAsia" w:ascii="仿宋_GB2312" w:hAnsi="Times New Roman" w:eastAsia="仿宋_GB2312" w:cs="Times New Roman"/>
                <w:b/>
                <w:bCs/>
                <w:sz w:val="24"/>
                <w:highlight w:val="none"/>
                <w:u w:val="single"/>
              </w:rPr>
              <w:t>综合评分法</w:t>
            </w:r>
            <w:r>
              <w:rPr>
                <w:rFonts w:hint="eastAsia" w:ascii="宋体" w:hAnsi="宋体" w:eastAsia="宋体" w:cs="宋体"/>
                <w:sz w:val="24"/>
                <w:highlight w:val="none"/>
                <w:u w:val="single"/>
                <w:lang w:val="en-US" w:eastAsia="zh-CN"/>
              </w:rPr>
              <w:t xml:space="preserve">  </w:t>
            </w:r>
          </w:p>
        </w:tc>
      </w:tr>
      <w:tr w14:paraId="52C1B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881" w:type="pct"/>
            <w:noWrap w:val="0"/>
            <w:vAlign w:val="center"/>
          </w:tcPr>
          <w:p w14:paraId="2AB80616">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27</w:t>
            </w:r>
          </w:p>
        </w:tc>
        <w:tc>
          <w:tcPr>
            <w:tcW w:w="4118" w:type="pct"/>
            <w:gridSpan w:val="2"/>
            <w:noWrap w:val="0"/>
            <w:vAlign w:val="center"/>
          </w:tcPr>
          <w:p w14:paraId="232FB8AB">
            <w:pPr>
              <w:keepNext w:val="0"/>
              <w:keepLines w:val="0"/>
              <w:suppressLineNumbers w:val="0"/>
              <w:spacing w:before="0" w:beforeAutospacing="0" w:after="0" w:afterAutospacing="0" w:line="240" w:lineRule="atLeast"/>
              <w:ind w:left="0" w:right="0"/>
              <w:outlineLvl w:val="9"/>
              <w:rPr>
                <w:rFonts w:hint="default" w:ascii="宋体" w:hAnsi="宋体" w:eastAsia="仿宋_GB2312" w:cs="宋体"/>
                <w:sz w:val="24"/>
                <w:highlight w:val="none"/>
                <w:lang w:val="en-US" w:eastAsia="zh-CN"/>
              </w:rPr>
            </w:pPr>
            <w:r>
              <w:rPr>
                <w:rFonts w:hint="eastAsia" w:ascii="宋体" w:hAnsi="宋体" w:eastAsia="宋体" w:cs="宋体"/>
                <w:sz w:val="24"/>
                <w:highlight w:val="none"/>
              </w:rPr>
              <w:t>推荐中标候选供应商的数量：</w:t>
            </w:r>
            <w:r>
              <w:rPr>
                <w:rFonts w:hint="eastAsia" w:ascii="仿宋_GB2312" w:hAnsi="Times New Roman" w:eastAsia="仿宋_GB2312" w:cs="Times New Roman"/>
                <w:b/>
                <w:bCs/>
                <w:sz w:val="24"/>
                <w:highlight w:val="none"/>
                <w:u w:val="single"/>
                <w:lang w:val="en-US" w:eastAsia="zh-CN"/>
              </w:rPr>
              <w:t xml:space="preserve">  </w:t>
            </w:r>
            <w:r>
              <w:rPr>
                <w:rFonts w:hint="eastAsia" w:ascii="仿宋_GB2312" w:hAnsi="Times New Roman" w:eastAsia="仿宋_GB2312" w:cs="Times New Roman"/>
                <w:b/>
                <w:bCs/>
                <w:sz w:val="24"/>
                <w:highlight w:val="none"/>
                <w:u w:val="single"/>
              </w:rPr>
              <w:t>3</w:t>
            </w:r>
            <w:r>
              <w:rPr>
                <w:rFonts w:hint="eastAsia" w:ascii="仿宋_GB2312" w:hAnsi="Times New Roman" w:eastAsia="仿宋_GB2312" w:cs="Times New Roman"/>
                <w:b/>
                <w:bCs/>
                <w:sz w:val="24"/>
                <w:highlight w:val="none"/>
                <w:u w:val="single"/>
                <w:lang w:val="en-US" w:eastAsia="zh-CN"/>
              </w:rPr>
              <w:t xml:space="preserve">  </w:t>
            </w:r>
          </w:p>
        </w:tc>
      </w:tr>
      <w:tr w14:paraId="0042A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881" w:type="pct"/>
            <w:noWrap w:val="0"/>
            <w:vAlign w:val="center"/>
          </w:tcPr>
          <w:p w14:paraId="7ABA4EF2">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27</w:t>
            </w:r>
          </w:p>
        </w:tc>
        <w:tc>
          <w:tcPr>
            <w:tcW w:w="4118" w:type="pct"/>
            <w:gridSpan w:val="2"/>
            <w:noWrap w:val="0"/>
            <w:vAlign w:val="center"/>
          </w:tcPr>
          <w:p w14:paraId="04F756B6">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r>
              <w:rPr>
                <w:rFonts w:hint="eastAsia" w:ascii="宋体" w:hAnsi="宋体" w:eastAsia="宋体" w:cs="宋体"/>
                <w:sz w:val="24"/>
                <w:highlight w:val="none"/>
              </w:rPr>
              <w:t>招标人是否委托评标委员会直接确定中标人：</w:t>
            </w:r>
            <w:r>
              <w:rPr>
                <w:rFonts w:hint="eastAsia" w:ascii="宋体" w:hAnsi="宋体" w:eastAsia="宋体" w:cs="宋体"/>
                <w:sz w:val="24"/>
                <w:highlight w:val="none"/>
                <w:u w:val="single"/>
                <w:lang w:val="en-US" w:eastAsia="zh-CN"/>
              </w:rPr>
              <w:t xml:space="preserve"> 否 </w:t>
            </w:r>
            <w:r>
              <w:rPr>
                <w:rFonts w:hint="eastAsia" w:ascii="宋体" w:hAnsi="宋体" w:eastAsia="宋体" w:cs="宋体"/>
                <w:sz w:val="24"/>
                <w:highlight w:val="none"/>
              </w:rPr>
              <w:t xml:space="preserve"> </w:t>
            </w:r>
            <w:r>
              <w:rPr>
                <w:rFonts w:hint="eastAsia" w:ascii="宋体" w:hAnsi="宋体" w:eastAsia="宋体" w:cs="宋体"/>
                <w:i/>
                <w:sz w:val="24"/>
                <w:highlight w:val="none"/>
              </w:rPr>
              <w:t>（是、否）</w:t>
            </w:r>
          </w:p>
        </w:tc>
      </w:tr>
      <w:tr w14:paraId="51943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81" w:type="pct"/>
            <w:noWrap w:val="0"/>
            <w:vAlign w:val="center"/>
          </w:tcPr>
          <w:p w14:paraId="530A6533">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31.1</w:t>
            </w:r>
          </w:p>
        </w:tc>
        <w:tc>
          <w:tcPr>
            <w:tcW w:w="4118" w:type="pct"/>
            <w:gridSpan w:val="2"/>
            <w:noWrap w:val="0"/>
            <w:vAlign w:val="center"/>
          </w:tcPr>
          <w:p w14:paraId="3531274E">
            <w:pPr>
              <w:keepNext w:val="0"/>
              <w:keepLines w:val="0"/>
              <w:suppressLineNumbers w:val="0"/>
              <w:spacing w:before="0" w:beforeAutospacing="0" w:after="0" w:afterAutospacing="0" w:line="240" w:lineRule="atLeast"/>
              <w:ind w:left="0" w:right="0"/>
              <w:outlineLvl w:val="9"/>
              <w:rPr>
                <w:rFonts w:hint="eastAsia" w:ascii="宋体" w:hAnsi="宋体" w:eastAsia="宋体" w:cs="宋体"/>
                <w:i/>
                <w:sz w:val="24"/>
                <w:highlight w:val="none"/>
              </w:rPr>
            </w:pPr>
            <w:r>
              <w:rPr>
                <w:rFonts w:hint="eastAsia" w:ascii="宋体" w:hAnsi="宋体" w:eastAsia="宋体" w:cs="宋体"/>
                <w:sz w:val="24"/>
                <w:highlight w:val="none"/>
              </w:rPr>
              <w:t>履约保证金金额：合同总价的</w:t>
            </w:r>
            <w:r>
              <w:rPr>
                <w:rFonts w:hint="eastAsia" w:ascii="宋体" w:hAnsi="宋体" w:eastAsia="宋体" w:cs="宋体"/>
                <w:sz w:val="24"/>
                <w:highlight w:val="none"/>
                <w:u w:val="single"/>
              </w:rPr>
              <w:t>　</w:t>
            </w:r>
            <w:r>
              <w:rPr>
                <w:rFonts w:hint="eastAsia" w:ascii="宋体" w:hAnsi="宋体" w:eastAsia="宋体" w:cs="宋体"/>
                <w:color w:val="C00000"/>
                <w:sz w:val="24"/>
                <w:highlight w:val="none"/>
                <w:u w:val="single"/>
                <w:lang w:val="en-US" w:eastAsia="zh-CN"/>
              </w:rPr>
              <w:t>5%</w:t>
            </w:r>
            <w:r>
              <w:rPr>
                <w:rFonts w:hint="eastAsia" w:ascii="宋体" w:hAnsi="宋体" w:eastAsia="宋体" w:cs="宋体"/>
                <w:color w:val="C00000"/>
                <w:sz w:val="24"/>
                <w:highlight w:val="none"/>
                <w:u w:val="single"/>
              </w:rPr>
              <w:t>　</w:t>
            </w:r>
            <w:r>
              <w:rPr>
                <w:rFonts w:hint="eastAsia" w:ascii="宋体" w:hAnsi="宋体" w:eastAsia="宋体" w:cs="宋体"/>
                <w:i/>
                <w:sz w:val="24"/>
                <w:highlight w:val="none"/>
              </w:rPr>
              <w:t>（不得超过政府采购合同金额的10%）</w:t>
            </w:r>
          </w:p>
          <w:p w14:paraId="289FA906">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u w:val="single"/>
              </w:rPr>
            </w:pPr>
            <w:r>
              <w:rPr>
                <w:rFonts w:hint="eastAsia" w:ascii="宋体" w:hAnsi="宋体" w:eastAsia="宋体" w:cs="宋体"/>
                <w:sz w:val="24"/>
                <w:highlight w:val="none"/>
              </w:rPr>
              <w:t>履约保证金形式：</w:t>
            </w:r>
            <w:r>
              <w:rPr>
                <w:rFonts w:hint="eastAsia" w:ascii="微软雅黑 Light" w:hAnsi="微软雅黑 Light" w:eastAsia="微软雅黑 Light" w:cs="微软雅黑 Light"/>
                <w:color w:val="auto"/>
                <w:sz w:val="24"/>
                <w:highlight w:val="none"/>
              </w:rPr>
              <w:t xml:space="preserve"> </w:t>
            </w:r>
            <w:r>
              <w:rPr>
                <w:rFonts w:hint="eastAsia" w:ascii="微软雅黑 Light" w:hAnsi="微软雅黑 Light" w:eastAsia="微软雅黑 Light" w:cs="微软雅黑 Light"/>
                <w:color w:val="auto"/>
                <w:sz w:val="24"/>
                <w:highlight w:val="none"/>
                <w:lang w:eastAsia="zh-CN"/>
              </w:rPr>
              <w:t>☑</w:t>
            </w:r>
            <w:r>
              <w:rPr>
                <w:rFonts w:hint="eastAsia" w:ascii="微软雅黑 Light" w:hAnsi="微软雅黑 Light" w:eastAsia="微软雅黑 Light" w:cs="微软雅黑 Light"/>
                <w:color w:val="auto"/>
                <w:sz w:val="24"/>
                <w:highlight w:val="none"/>
              </w:rPr>
              <w:t xml:space="preserve">保函  </w:t>
            </w:r>
            <w:r>
              <w:rPr>
                <w:rFonts w:hint="eastAsia" w:ascii="微软雅黑 Light" w:hAnsi="微软雅黑 Light" w:eastAsia="微软雅黑 Light" w:cs="微软雅黑 Light"/>
                <w:color w:val="auto"/>
                <w:sz w:val="24"/>
                <w:highlight w:val="none"/>
                <w:lang w:eastAsia="zh-CN"/>
              </w:rPr>
              <w:t>☑</w:t>
            </w:r>
            <w:r>
              <w:rPr>
                <w:rFonts w:hint="eastAsia" w:ascii="微软雅黑 Light" w:hAnsi="微软雅黑 Light" w:eastAsia="微软雅黑 Light" w:cs="微软雅黑 Light"/>
                <w:color w:val="auto"/>
                <w:sz w:val="24"/>
                <w:highlight w:val="none"/>
              </w:rPr>
              <w:t xml:space="preserve">电汇  </w:t>
            </w:r>
            <w:r>
              <w:rPr>
                <w:rFonts w:hint="eastAsia" w:ascii="微软雅黑 Light" w:hAnsi="微软雅黑 Light" w:eastAsia="微软雅黑 Light" w:cs="微软雅黑 Light"/>
                <w:color w:val="auto"/>
                <w:sz w:val="28"/>
                <w:szCs w:val="28"/>
                <w:highlight w:val="none"/>
                <w:lang w:eastAsia="zh-CN"/>
              </w:rPr>
              <w:t>□</w:t>
            </w:r>
            <w:r>
              <w:rPr>
                <w:rFonts w:hint="eastAsia" w:ascii="微软雅黑 Light" w:hAnsi="微软雅黑 Light" w:eastAsia="微软雅黑 Light" w:cs="微软雅黑 Light"/>
                <w:color w:val="auto"/>
                <w:sz w:val="24"/>
                <w:highlight w:val="none"/>
              </w:rPr>
              <w:t>支票</w:t>
            </w:r>
            <w:r>
              <w:rPr>
                <w:rFonts w:hint="eastAsia" w:ascii="微软雅黑 Light" w:hAnsi="微软雅黑 Light" w:eastAsia="微软雅黑 Light" w:cs="微软雅黑 Light"/>
                <w:color w:val="auto"/>
                <w:sz w:val="24"/>
                <w:highlight w:val="none"/>
                <w:lang w:val="en-US" w:eastAsia="zh-CN"/>
              </w:rPr>
              <w:t xml:space="preserve">  </w:t>
            </w:r>
            <w:r>
              <w:rPr>
                <w:rFonts w:hint="eastAsia" w:ascii="微软雅黑 Light" w:hAnsi="微软雅黑 Light" w:eastAsia="微软雅黑 Light" w:cs="微软雅黑 Light"/>
                <w:color w:val="auto"/>
                <w:sz w:val="24"/>
                <w:highlight w:val="none"/>
                <w:lang w:eastAsia="zh-CN"/>
              </w:rPr>
              <w:t>☑</w:t>
            </w:r>
            <w:r>
              <w:rPr>
                <w:rFonts w:hint="eastAsia" w:ascii="微软雅黑 Light" w:hAnsi="微软雅黑 Light" w:eastAsia="微软雅黑 Light" w:cs="微软雅黑 Light"/>
                <w:color w:val="auto"/>
                <w:sz w:val="24"/>
                <w:highlight w:val="none"/>
              </w:rPr>
              <w:t>对公转账（</w:t>
            </w:r>
            <w:r>
              <w:rPr>
                <w:rFonts w:hint="eastAsia" w:ascii="微软雅黑 Light" w:hAnsi="微软雅黑 Light" w:eastAsia="微软雅黑 Light" w:cs="微软雅黑 Light"/>
                <w:color w:val="auto"/>
                <w:sz w:val="24"/>
                <w:highlight w:val="none"/>
                <w:lang w:val="en-US" w:eastAsia="zh-CN"/>
              </w:rPr>
              <w:t>法律</w:t>
            </w:r>
            <w:r>
              <w:rPr>
                <w:rFonts w:hint="eastAsia" w:ascii="微软雅黑 Light" w:hAnsi="微软雅黑 Light" w:eastAsia="微软雅黑 Light" w:cs="微软雅黑 Light"/>
                <w:color w:val="auto"/>
                <w:sz w:val="24"/>
                <w:highlight w:val="none"/>
              </w:rPr>
              <w:t xml:space="preserve">允许的其他形式） </w:t>
            </w:r>
          </w:p>
          <w:p w14:paraId="603C325D">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u w:val="single"/>
              </w:rPr>
            </w:pPr>
            <w:r>
              <w:rPr>
                <w:rFonts w:hint="eastAsia" w:ascii="宋体" w:hAnsi="宋体" w:eastAsia="宋体" w:cs="宋体"/>
                <w:sz w:val="24"/>
                <w:highlight w:val="none"/>
              </w:rPr>
              <w:t>提交履约保证金的时间：签订合同后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日历日</w:t>
            </w:r>
          </w:p>
        </w:tc>
      </w:tr>
      <w:tr w14:paraId="373D4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81" w:type="pct"/>
            <w:noWrap w:val="0"/>
            <w:vAlign w:val="center"/>
          </w:tcPr>
          <w:p w14:paraId="2616FC90">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32</w:t>
            </w:r>
          </w:p>
        </w:tc>
        <w:tc>
          <w:tcPr>
            <w:tcW w:w="4118" w:type="pct"/>
            <w:gridSpan w:val="2"/>
            <w:noWrap w:val="0"/>
            <w:vAlign w:val="center"/>
          </w:tcPr>
          <w:p w14:paraId="5621911E">
            <w:pPr>
              <w:keepNext w:val="0"/>
              <w:keepLines w:val="0"/>
              <w:suppressLineNumbers w:val="0"/>
              <w:spacing w:before="0" w:beforeAutospacing="0" w:after="0" w:afterAutospacing="0" w:line="240" w:lineRule="atLeast"/>
              <w:ind w:left="1380" w:right="0" w:hanging="1380" w:hangingChars="575"/>
              <w:outlineLvl w:val="9"/>
              <w:rPr>
                <w:rFonts w:hint="eastAsia" w:ascii="宋体" w:hAnsi="宋体" w:eastAsia="宋体" w:cs="宋体"/>
                <w:sz w:val="24"/>
                <w:highlight w:val="none"/>
              </w:rPr>
            </w:pPr>
            <w:r>
              <w:rPr>
                <w:rFonts w:hint="eastAsia" w:ascii="宋体" w:hAnsi="宋体" w:eastAsia="宋体" w:cs="宋体"/>
                <w:sz w:val="24"/>
                <w:highlight w:val="none"/>
              </w:rPr>
              <w:t>中标服务费：</w:t>
            </w:r>
            <w:r>
              <w:rPr>
                <w:rFonts w:hint="eastAsia" w:ascii="宋体" w:hAnsi="宋体" w:eastAsia="宋体" w:cs="宋体"/>
                <w:color w:val="auto"/>
                <w:sz w:val="24"/>
                <w:szCs w:val="24"/>
                <w:highlight w:val="none"/>
                <w:lang w:val="en-US" w:eastAsia="zh-CN"/>
              </w:rPr>
              <w:t>收费标准按：按发改价格〔2015〕299号文要求，参考2002【1980】号文计取招标代理费；由成交供应商向代理机构支付。</w:t>
            </w:r>
          </w:p>
          <w:p w14:paraId="6D8AB8D7">
            <w:pPr>
              <w:keepNext w:val="0"/>
              <w:keepLines w:val="0"/>
              <w:suppressLineNumbers w:val="0"/>
              <w:spacing w:before="0" w:beforeAutospacing="0" w:after="0" w:afterAutospacing="0" w:line="240" w:lineRule="atLeast"/>
              <w:ind w:left="900" w:right="0" w:hanging="900" w:hangingChars="375"/>
              <w:outlineLvl w:val="9"/>
              <w:rPr>
                <w:rFonts w:hint="eastAsia" w:ascii="宋体" w:hAnsi="宋体" w:eastAsia="宋体" w:cs="宋体"/>
                <w:sz w:val="24"/>
                <w:highlight w:val="none"/>
              </w:rPr>
            </w:pPr>
            <w:r>
              <w:rPr>
                <w:rFonts w:hint="eastAsia" w:ascii="宋体" w:hAnsi="宋体" w:eastAsia="宋体" w:cs="宋体"/>
                <w:sz w:val="24"/>
                <w:highlight w:val="none"/>
              </w:rPr>
              <w:t>支付形式：</w:t>
            </w:r>
            <w:r>
              <w:rPr>
                <w:rFonts w:hint="eastAsia" w:ascii="宋体" w:hAnsi="宋体" w:eastAsia="宋体" w:cs="宋体"/>
                <w:sz w:val="24"/>
                <w:highlight w:val="none"/>
                <w:u w:val="single"/>
              </w:rPr>
              <w:t xml:space="preserve">由中标单位支付        </w:t>
            </w:r>
          </w:p>
          <w:p w14:paraId="129612E3">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r>
              <w:rPr>
                <w:rFonts w:hint="eastAsia" w:ascii="宋体" w:hAnsi="宋体" w:eastAsia="宋体" w:cs="宋体"/>
                <w:sz w:val="24"/>
                <w:highlight w:val="none"/>
              </w:rPr>
              <w:t>支付时间：</w:t>
            </w:r>
            <w:r>
              <w:rPr>
                <w:rFonts w:hint="eastAsia" w:ascii="宋体" w:hAnsi="宋体" w:eastAsia="宋体" w:cs="宋体"/>
                <w:sz w:val="24"/>
                <w:highlight w:val="none"/>
                <w:u w:val="single"/>
              </w:rPr>
              <w:t xml:space="preserve">中标通知书发布之日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tc>
      </w:tr>
      <w:tr w14:paraId="5AF3B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81" w:type="pct"/>
            <w:noWrap w:val="0"/>
            <w:vAlign w:val="center"/>
          </w:tcPr>
          <w:p w14:paraId="1CC62B9D">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33.1</w:t>
            </w:r>
          </w:p>
        </w:tc>
        <w:tc>
          <w:tcPr>
            <w:tcW w:w="4118" w:type="pct"/>
            <w:gridSpan w:val="2"/>
            <w:noWrap w:val="0"/>
            <w:vAlign w:val="center"/>
          </w:tcPr>
          <w:p w14:paraId="53B1DBD9">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r>
              <w:rPr>
                <w:rFonts w:hint="eastAsia" w:ascii="宋体" w:hAnsi="宋体" w:eastAsia="宋体" w:cs="宋体"/>
                <w:sz w:val="24"/>
                <w:highlight w:val="none"/>
              </w:rPr>
              <w:t>本项目是否属于信用担保试点范围：</w:t>
            </w:r>
            <w:r>
              <w:rPr>
                <w:rFonts w:hint="eastAsia" w:ascii="宋体" w:hAnsi="宋体" w:eastAsia="宋体" w:cs="宋体"/>
                <w:sz w:val="24"/>
                <w:highlight w:val="none"/>
                <w:u w:val="single"/>
              </w:rPr>
              <w:t xml:space="preserve"> </w:t>
            </w:r>
            <w:r>
              <w:rPr>
                <w:rFonts w:hint="eastAsia" w:ascii="宋体" w:hAnsi="宋体" w:eastAsia="宋体" w:cs="宋体"/>
                <w:i/>
                <w:sz w:val="24"/>
                <w:highlight w:val="none"/>
                <w:u w:val="single"/>
              </w:rPr>
              <w:t>是</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i/>
                <w:sz w:val="24"/>
                <w:highlight w:val="none"/>
              </w:rPr>
              <w:t>（是、否）</w:t>
            </w:r>
          </w:p>
        </w:tc>
      </w:tr>
      <w:tr w14:paraId="73DD8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81" w:type="pct"/>
            <w:noWrap w:val="0"/>
            <w:vAlign w:val="center"/>
          </w:tcPr>
          <w:p w14:paraId="6808D395">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34.3</w:t>
            </w:r>
          </w:p>
        </w:tc>
        <w:tc>
          <w:tcPr>
            <w:tcW w:w="4118" w:type="pct"/>
            <w:gridSpan w:val="2"/>
            <w:noWrap w:val="0"/>
            <w:vAlign w:val="center"/>
          </w:tcPr>
          <w:p w14:paraId="46A633AE">
            <w:pPr>
              <w:keepNext w:val="0"/>
              <w:keepLines w:val="0"/>
              <w:suppressLineNumbers w:val="0"/>
              <w:spacing w:before="0" w:beforeAutospacing="0" w:after="0" w:afterAutospacing="0" w:line="240" w:lineRule="atLeast"/>
              <w:ind w:left="710" w:leftChars="-23" w:right="0" w:hanging="758" w:hangingChars="316"/>
              <w:outlineLvl w:val="9"/>
              <w:rPr>
                <w:rFonts w:hint="eastAsia" w:ascii="宋体" w:hAnsi="宋体" w:eastAsia="宋体" w:cs="宋体"/>
                <w:sz w:val="24"/>
                <w:highlight w:val="none"/>
              </w:rPr>
            </w:pPr>
            <w:r>
              <w:rPr>
                <w:rFonts w:hint="eastAsia" w:ascii="宋体" w:hAnsi="宋体" w:eastAsia="宋体" w:cs="宋体"/>
                <w:sz w:val="24"/>
                <w:highlight w:val="none"/>
              </w:rPr>
              <w:t>反腐倡廉监督电话/邮箱：</w:t>
            </w:r>
            <w:r>
              <w:rPr>
                <w:rFonts w:hint="eastAsia" w:ascii="宋体" w:hAnsi="宋体" w:eastAsia="宋体" w:cs="宋体"/>
                <w:sz w:val="24"/>
                <w:highlight w:val="none"/>
                <w:u w:val="single"/>
              </w:rPr>
              <w:t xml:space="preserve">0998-3627001 </w:t>
            </w:r>
          </w:p>
        </w:tc>
      </w:tr>
      <w:tr w14:paraId="74CA8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81" w:type="pct"/>
            <w:noWrap w:val="0"/>
            <w:vAlign w:val="center"/>
          </w:tcPr>
          <w:p w14:paraId="6EC53D5F">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36.3</w:t>
            </w:r>
          </w:p>
        </w:tc>
        <w:tc>
          <w:tcPr>
            <w:tcW w:w="4118" w:type="pct"/>
            <w:gridSpan w:val="2"/>
            <w:noWrap w:val="0"/>
            <w:vAlign w:val="center"/>
          </w:tcPr>
          <w:p w14:paraId="4FF0D724">
            <w:pPr>
              <w:keepNext w:val="0"/>
              <w:keepLines w:val="0"/>
              <w:suppressLineNumbers w:val="0"/>
              <w:spacing w:before="0" w:beforeAutospacing="0" w:after="0" w:afterAutospacing="0" w:line="240" w:lineRule="atLeast"/>
              <w:ind w:left="710" w:leftChars="-23" w:right="0" w:hanging="758" w:hangingChars="316"/>
              <w:outlineLvl w:val="9"/>
              <w:rPr>
                <w:rFonts w:hint="eastAsia" w:ascii="宋体" w:hAnsi="宋体" w:eastAsia="宋体" w:cs="宋体"/>
                <w:sz w:val="24"/>
                <w:highlight w:val="none"/>
                <w:u w:val="single"/>
              </w:rPr>
            </w:pPr>
            <w:r>
              <w:rPr>
                <w:rFonts w:hint="eastAsia" w:ascii="宋体" w:hAnsi="宋体" w:eastAsia="宋体" w:cs="宋体"/>
                <w:sz w:val="24"/>
                <w:highlight w:val="none"/>
              </w:rPr>
              <w:t>接收部门：</w:t>
            </w:r>
            <w:r>
              <w:rPr>
                <w:rFonts w:hint="eastAsia" w:ascii="宋体" w:hAnsi="宋体" w:eastAsia="宋体" w:cs="宋体"/>
                <w:sz w:val="24"/>
                <w:highlight w:val="none"/>
                <w:u w:val="single"/>
              </w:rPr>
              <w:t>英吉沙县人民政府采购办公室</w:t>
            </w:r>
          </w:p>
          <w:p w14:paraId="2C75CAB5">
            <w:pPr>
              <w:keepNext w:val="0"/>
              <w:keepLines w:val="0"/>
              <w:suppressLineNumbers w:val="0"/>
              <w:spacing w:before="0" w:beforeAutospacing="0" w:after="0" w:afterAutospacing="0" w:line="240" w:lineRule="atLeast"/>
              <w:ind w:left="710" w:leftChars="-23" w:right="0" w:hanging="758" w:hangingChars="316"/>
              <w:outlineLvl w:val="9"/>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0998-3627001</w:t>
            </w:r>
          </w:p>
          <w:p w14:paraId="79F943F1">
            <w:pPr>
              <w:keepNext w:val="0"/>
              <w:keepLines w:val="0"/>
              <w:suppressLineNumbers w:val="0"/>
              <w:spacing w:before="0" w:beforeAutospacing="0" w:after="0" w:afterAutospacing="0" w:line="240" w:lineRule="atLeast"/>
              <w:ind w:left="710" w:leftChars="-23" w:right="0" w:hanging="758" w:hangingChars="316"/>
              <w:outlineLvl w:val="9"/>
              <w:rPr>
                <w:rFonts w:hint="eastAsia" w:ascii="宋体" w:hAnsi="宋体" w:eastAsia="宋体" w:cs="宋体"/>
                <w:sz w:val="24"/>
                <w:highlight w:val="none"/>
              </w:rPr>
            </w:pPr>
            <w:r>
              <w:rPr>
                <w:rFonts w:hint="eastAsia" w:ascii="宋体" w:hAnsi="宋体" w:eastAsia="宋体" w:cs="宋体"/>
                <w:sz w:val="24"/>
                <w:highlight w:val="none"/>
              </w:rPr>
              <w:t>通讯地址：</w:t>
            </w:r>
            <w:r>
              <w:rPr>
                <w:rFonts w:hint="eastAsia" w:ascii="宋体" w:hAnsi="宋体" w:eastAsia="宋体" w:cs="宋体"/>
                <w:sz w:val="24"/>
                <w:highlight w:val="none"/>
                <w:u w:val="single"/>
              </w:rPr>
              <w:t>英吉沙县新城区财政局</w:t>
            </w:r>
          </w:p>
        </w:tc>
      </w:tr>
      <w:tr w14:paraId="51200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5000" w:type="pct"/>
            <w:gridSpan w:val="3"/>
            <w:tcBorders>
              <w:top w:val="single" w:color="auto" w:sz="12" w:space="0"/>
              <w:left w:val="single" w:color="auto" w:sz="12" w:space="0"/>
              <w:bottom w:val="single" w:color="auto" w:sz="12" w:space="0"/>
              <w:right w:val="single" w:color="auto" w:sz="12" w:space="0"/>
            </w:tcBorders>
            <w:noWrap w:val="0"/>
            <w:vAlign w:val="center"/>
          </w:tcPr>
          <w:p w14:paraId="5A73ED4E">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适用于本投标人须知的额外增加的变动：</w:t>
            </w:r>
          </w:p>
        </w:tc>
      </w:tr>
      <w:tr w14:paraId="09189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989" w:type="pct"/>
            <w:gridSpan w:val="2"/>
            <w:noWrap w:val="0"/>
            <w:vAlign w:val="center"/>
          </w:tcPr>
          <w:p w14:paraId="6F1603BB">
            <w:pPr>
              <w:keepNext w:val="0"/>
              <w:keepLines w:val="0"/>
              <w:suppressLineNumbers w:val="0"/>
              <w:spacing w:before="0" w:beforeAutospacing="0" w:after="0" w:afterAutospacing="0" w:line="240" w:lineRule="atLeast"/>
              <w:ind w:left="1080" w:leftChars="257" w:right="0" w:hanging="540"/>
              <w:outlineLvl w:val="9"/>
              <w:rPr>
                <w:rFonts w:hint="eastAsia" w:ascii="宋体" w:hAnsi="宋体" w:eastAsia="宋体" w:cs="宋体"/>
                <w:sz w:val="24"/>
                <w:highlight w:val="none"/>
              </w:rPr>
            </w:pPr>
            <w:r>
              <w:rPr>
                <w:rFonts w:hint="eastAsia" w:ascii="宋体" w:hAnsi="宋体" w:eastAsia="宋体" w:cs="宋体"/>
                <w:sz w:val="24"/>
                <w:highlight w:val="none"/>
              </w:rPr>
              <w:t>其他</w:t>
            </w:r>
          </w:p>
        </w:tc>
        <w:tc>
          <w:tcPr>
            <w:tcW w:w="4010" w:type="pct"/>
            <w:noWrap w:val="0"/>
            <w:vAlign w:val="center"/>
          </w:tcPr>
          <w:p w14:paraId="5DEF3555">
            <w:pPr>
              <w:keepNext w:val="0"/>
              <w:keepLines w:val="0"/>
              <w:suppressLineNumbers w:val="0"/>
              <w:shd w:val="clear" w:color="auto" w:fill="auto"/>
              <w:spacing w:before="0" w:beforeAutospacing="0" w:after="0" w:afterAutospacing="0" w:line="400" w:lineRule="exact"/>
              <w:ind w:left="0" w:right="0"/>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注意事项：</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298BFFDA">
            <w:pPr>
              <w:keepNext w:val="0"/>
              <w:keepLines w:val="0"/>
              <w:suppressLineNumbers w:val="0"/>
              <w:shd w:val="clear" w:color="auto" w:fill="auto"/>
              <w:spacing w:before="0" w:beforeAutospacing="0" w:after="0" w:afterAutospacing="0" w:line="400" w:lineRule="exact"/>
              <w:ind w:left="0" w:right="0"/>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（2）本项目实行网上投标，采用电子投标文件(供应商须使用CA加密设备通过政采云电子投标客户端制作投标文件)。若供应商参与投标，自行承担投标一切费用。</w:t>
            </w:r>
          </w:p>
          <w:p w14:paraId="275EDF20">
            <w:pPr>
              <w:keepNext w:val="0"/>
              <w:keepLines w:val="0"/>
              <w:suppressLineNumbers w:val="0"/>
              <w:shd w:val="clear" w:color="auto" w:fill="auto"/>
              <w:spacing w:before="0" w:beforeAutospacing="0" w:after="0" w:afterAutospacing="0" w:line="400" w:lineRule="exact"/>
              <w:ind w:left="0" w:right="0"/>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12E630A3">
            <w:pPr>
              <w:keepNext w:val="0"/>
              <w:keepLines w:val="0"/>
              <w:suppressLineNumbers w:val="0"/>
              <w:shd w:val="clear" w:color="auto" w:fill="auto"/>
              <w:spacing w:before="0" w:beforeAutospacing="0" w:after="0" w:afterAutospacing="0" w:line="400" w:lineRule="exact"/>
              <w:ind w:left="0" w:right="0"/>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BE55E9A">
            <w:pPr>
              <w:keepNext w:val="0"/>
              <w:keepLines w:val="0"/>
              <w:suppressLineNumbers w:val="0"/>
              <w:shd w:val="clear" w:color="auto" w:fill="auto"/>
              <w:spacing w:before="0" w:beforeAutospacing="0" w:after="0" w:afterAutospacing="0" w:line="400" w:lineRule="exact"/>
              <w:ind w:left="0" w:right="0"/>
              <w:jc w:val="left"/>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（5）供应商在开标时须使用制作加密电子投标文件所使用的CA锁及电脑，电脑须提前配置好浏览器（建议使用谷歌浏览器），以便开标时解锁。</w:t>
            </w:r>
          </w:p>
          <w:p w14:paraId="336FCD8D">
            <w:pPr>
              <w:keepNext w:val="0"/>
              <w:keepLines w:val="0"/>
              <w:suppressLineNumbers w:val="0"/>
              <w:shd w:val="clear" w:color="auto" w:fill="auto"/>
              <w:spacing w:before="0" w:beforeAutospacing="0" w:after="0" w:afterAutospacing="0" w:line="400" w:lineRule="exact"/>
              <w:ind w:left="0" w:right="0"/>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4A2CDAF1">
            <w:pPr>
              <w:keepNext w:val="0"/>
              <w:keepLines w:val="0"/>
              <w:suppressLineNumbers w:val="0"/>
              <w:shd w:val="clear" w:color="auto" w:fill="auto"/>
              <w:spacing w:before="0" w:beforeAutospacing="0" w:after="0" w:afterAutospacing="0" w:line="400" w:lineRule="exact"/>
              <w:ind w:left="0" w:right="0"/>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D85611C">
            <w:pPr>
              <w:keepNext w:val="0"/>
              <w:keepLines w:val="0"/>
              <w:suppressLineNumbers w:val="0"/>
              <w:shd w:val="clear" w:color="auto" w:fill="auto"/>
              <w:spacing w:before="0" w:beforeAutospacing="0" w:after="0" w:afterAutospacing="0" w:line="400" w:lineRule="exact"/>
              <w:ind w:left="0" w:right="0"/>
              <w:jc w:val="left"/>
              <w:outlineLvl w:val="9"/>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b/>
                <w:bCs/>
                <w:color w:val="auto"/>
                <w:sz w:val="24"/>
                <w:highlight w:val="none"/>
                <w:lang w:val="en-US" w:eastAsia="zh-CN"/>
              </w:rPr>
              <w:t>各供应商</w:t>
            </w:r>
            <w:r>
              <w:rPr>
                <w:rFonts w:hint="eastAsia" w:ascii="宋体" w:hAnsi="宋体" w:eastAsia="宋体" w:cs="宋体"/>
                <w:b/>
                <w:bCs/>
                <w:color w:val="auto"/>
                <w:sz w:val="24"/>
                <w:highlight w:val="none"/>
              </w:rPr>
              <w:t>须在投标截止时间前完成在系统上递交电子</w:t>
            </w:r>
            <w:r>
              <w:rPr>
                <w:rFonts w:hint="eastAsia" w:ascii="宋体" w:hAnsi="宋体" w:eastAsia="宋体" w:cs="宋体"/>
                <w:b/>
                <w:bCs/>
                <w:color w:val="auto"/>
                <w:sz w:val="24"/>
                <w:highlight w:val="none"/>
                <w:lang w:val="en-US" w:eastAsia="zh-CN"/>
              </w:rPr>
              <w:t>投标文件</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投标供应商</w:t>
            </w:r>
            <w:r>
              <w:rPr>
                <w:rFonts w:hint="eastAsia" w:ascii="宋体" w:hAnsi="宋体" w:eastAsia="宋体" w:cs="宋体"/>
                <w:b/>
                <w:bCs/>
                <w:color w:val="auto"/>
                <w:sz w:val="24"/>
                <w:highlight w:val="none"/>
              </w:rPr>
              <w:t>的电子</w:t>
            </w: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rPr>
              <w:t>是经过CA证书加密后上传提交的，任何单位或个人均无法在投标截止时间(即开标时间)之前查看或篡改，不存在泄密风险。（严格按照政采云电子投标流程制作并上传</w:t>
            </w:r>
            <w:r>
              <w:rPr>
                <w:rFonts w:hint="eastAsia" w:ascii="宋体" w:hAnsi="宋体" w:eastAsia="宋体" w:cs="宋体"/>
                <w:b/>
                <w:bCs/>
                <w:color w:val="auto"/>
                <w:sz w:val="24"/>
                <w:highlight w:val="none"/>
                <w:lang w:val="en-US" w:eastAsia="zh-CN"/>
              </w:rPr>
              <w:t>完整版的</w:t>
            </w:r>
            <w:r>
              <w:rPr>
                <w:rFonts w:hint="eastAsia" w:ascii="宋体" w:hAnsi="宋体" w:eastAsia="宋体" w:cs="宋体"/>
                <w:b/>
                <w:bCs/>
                <w:color w:val="auto"/>
                <w:sz w:val="24"/>
                <w:highlight w:val="none"/>
              </w:rPr>
              <w:t>电子</w:t>
            </w: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lang w:val="en-US" w:eastAsia="zh-CN"/>
              </w:rPr>
              <w:t>包含第一部分开标一览表及资格证明文件、第二部分商务及技术文件</w:t>
            </w:r>
            <w:r>
              <w:rPr>
                <w:rFonts w:hint="eastAsia" w:ascii="宋体" w:hAnsi="宋体" w:eastAsia="宋体" w:cs="宋体"/>
                <w:b/>
                <w:bCs/>
                <w:color w:val="auto"/>
                <w:sz w:val="24"/>
                <w:highlight w:val="none"/>
              </w:rPr>
              <w:t>）</w:t>
            </w:r>
          </w:p>
          <w:p w14:paraId="6E8DEFFB">
            <w:pPr>
              <w:keepNext w:val="0"/>
              <w:keepLines w:val="0"/>
              <w:suppressLineNumbers w:val="0"/>
              <w:shd w:val="clear" w:color="auto" w:fill="auto"/>
              <w:spacing w:before="0" w:beforeAutospacing="0" w:after="0" w:afterAutospacing="0" w:line="400" w:lineRule="exact"/>
              <w:ind w:left="0" w:right="0"/>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各供应商在投标截止时间前将“投标文件”上传至政采云平台。投标文件包括“开标一览表表及资格证明文件”与“商务及技术文件”两部分合并成一册。投标文件应按照招标文件规定的格式填写、签署和盖章，并以相应的格式上传至政采云平台。</w:t>
            </w:r>
          </w:p>
          <w:p w14:paraId="51343E51">
            <w:pPr>
              <w:keepNext w:val="0"/>
              <w:keepLines w:val="0"/>
              <w:suppressLineNumbers w:val="0"/>
              <w:shd w:val="clear" w:color="auto" w:fill="auto"/>
              <w:spacing w:before="0" w:beforeAutospacing="0" w:after="0" w:afterAutospacing="0" w:line="400" w:lineRule="exact"/>
              <w:ind w:left="0" w:right="0"/>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（10）解密时长为30分钟。</w:t>
            </w:r>
          </w:p>
          <w:p w14:paraId="34C9EB82">
            <w:pPr>
              <w:keepNext w:val="0"/>
              <w:keepLines w:val="0"/>
              <w:suppressLineNumbers w:val="0"/>
              <w:spacing w:before="0" w:beforeAutospacing="0" w:after="0" w:afterAutospacing="0" w:line="240" w:lineRule="atLeast"/>
              <w:ind w:left="0" w:right="0"/>
              <w:outlineLvl w:val="9"/>
              <w:rPr>
                <w:rFonts w:hint="eastAsia" w:ascii="宋体" w:hAnsi="宋体" w:eastAsia="宋体" w:cs="宋体"/>
                <w:sz w:val="24"/>
                <w:highlight w:val="none"/>
              </w:rPr>
            </w:pPr>
          </w:p>
        </w:tc>
      </w:tr>
    </w:tbl>
    <w:p w14:paraId="2053887A">
      <w:pPr>
        <w:spacing w:line="240" w:lineRule="atLeast"/>
        <w:ind w:left="1080" w:leftChars="257" w:hanging="540"/>
        <w:outlineLvl w:val="9"/>
        <w:rPr>
          <w:rFonts w:hint="eastAsia" w:ascii="宋体" w:hAnsi="宋体" w:eastAsia="宋体" w:cs="宋体"/>
          <w:sz w:val="24"/>
          <w:highlight w:val="none"/>
        </w:rPr>
        <w:sectPr>
          <w:pgSz w:w="11906" w:h="16838"/>
          <w:pgMar w:top="1134" w:right="1417" w:bottom="1134" w:left="1417" w:header="851" w:footer="992" w:gutter="0"/>
          <w:pgNumType w:fmt="numberInDash"/>
          <w:cols w:space="720" w:num="1"/>
          <w:docGrid w:linePitch="312" w:charSpace="0"/>
        </w:sectPr>
      </w:pPr>
    </w:p>
    <w:p w14:paraId="71BF032D">
      <w:pPr>
        <w:numPr>
          <w:ilvl w:val="0"/>
          <w:numId w:val="0"/>
        </w:numPr>
        <w:tabs>
          <w:tab w:val="left" w:pos="0"/>
        </w:tabs>
        <w:spacing w:before="0" w:after="0" w:line="240" w:lineRule="atLeast"/>
        <w:ind w:left="3134" w:leftChars="0" w:hanging="3134" w:firstLineChars="0"/>
        <w:jc w:val="center"/>
        <w:outlineLvl w:val="0"/>
        <w:rPr>
          <w:rFonts w:hint="eastAsia" w:hAnsi="宋体" w:cs="宋体"/>
          <w:b/>
          <w:highlight w:val="none"/>
          <w:lang w:val="en-US" w:eastAsia="zh-CN"/>
        </w:rPr>
      </w:pPr>
      <w:bookmarkStart w:id="305" w:name="_Toc218935354"/>
      <w:bookmarkStart w:id="306" w:name="_Toc219175638"/>
      <w:bookmarkStart w:id="307" w:name="_Toc64"/>
      <w:bookmarkStart w:id="308" w:name="_Toc518923126"/>
      <w:bookmarkStart w:id="309" w:name="_Toc216582825"/>
      <w:bookmarkStart w:id="310" w:name="_Toc512937852"/>
      <w:bookmarkStart w:id="311" w:name="_Toc507399906"/>
      <w:bookmarkStart w:id="312" w:name="_Toc2626"/>
      <w:r>
        <w:rPr>
          <w:rFonts w:hint="eastAsia" w:ascii="宋体" w:hAnsi="宋体" w:eastAsia="宋体" w:cs="宋体"/>
          <w:b/>
          <w:kern w:val="44"/>
          <w:sz w:val="32"/>
          <w:szCs w:val="32"/>
          <w:highlight w:val="none"/>
          <w:lang w:val="en-US" w:eastAsia="zh-CN" w:bidi="ar-SA"/>
        </w:rPr>
        <w:t xml:space="preserve">第5章  </w:t>
      </w:r>
      <w:bookmarkEnd w:id="305"/>
      <w:bookmarkEnd w:id="306"/>
      <w:bookmarkEnd w:id="307"/>
      <w:bookmarkEnd w:id="308"/>
      <w:bookmarkEnd w:id="309"/>
      <w:bookmarkEnd w:id="310"/>
      <w:bookmarkEnd w:id="311"/>
      <w:r>
        <w:rPr>
          <w:rFonts w:hint="eastAsia" w:ascii="宋体" w:hAnsi="宋体" w:eastAsia="宋体" w:cs="宋体"/>
          <w:b/>
          <w:kern w:val="44"/>
          <w:sz w:val="32"/>
          <w:szCs w:val="32"/>
          <w:highlight w:val="none"/>
          <w:lang w:val="en-US" w:eastAsia="zh-CN" w:bidi="ar-SA"/>
        </w:rPr>
        <w:t>服务需求</w:t>
      </w:r>
      <w:bookmarkEnd w:id="312"/>
    </w:p>
    <w:p w14:paraId="6B0609F4">
      <w:pPr>
        <w:numPr>
          <w:ilvl w:val="0"/>
          <w:numId w:val="0"/>
        </w:numPr>
        <w:ind w:firstLine="732" w:firstLineChars="300"/>
        <w:outlineLvl w:val="9"/>
        <w:rPr>
          <w:rFonts w:hint="eastAsia" w:ascii="仿宋" w:hAnsi="仿宋" w:eastAsia="仿宋" w:cs="仿宋"/>
          <w:b w:val="0"/>
          <w:bCs w:val="0"/>
          <w:snapToGrid w:val="0"/>
          <w:color w:val="000000"/>
          <w:spacing w:val="2"/>
          <w:kern w:val="0"/>
          <w:sz w:val="24"/>
          <w:szCs w:val="24"/>
          <w:highlight w:val="none"/>
          <w:u w:val="none"/>
          <w:lang w:val="en-US" w:eastAsia="zh-CN" w:bidi="ar-SA"/>
        </w:rPr>
      </w:pPr>
      <w:r>
        <w:rPr>
          <w:rFonts w:hint="eastAsia" w:ascii="仿宋" w:hAnsi="仿宋" w:eastAsia="仿宋" w:cs="仿宋"/>
          <w:b w:val="0"/>
          <w:bCs w:val="0"/>
          <w:snapToGrid w:val="0"/>
          <w:color w:val="000000"/>
          <w:spacing w:val="2"/>
          <w:kern w:val="0"/>
          <w:sz w:val="24"/>
          <w:szCs w:val="24"/>
          <w:highlight w:val="none"/>
          <w:u w:val="none"/>
          <w:lang w:val="en-US" w:eastAsia="zh-CN" w:bidi="ar-SA"/>
        </w:rPr>
        <w:t>组织英吉沙县40户“最美家庭”成员开展“石榴花·巾帼援疆行动”结对联谊活动。</w:t>
      </w:r>
    </w:p>
    <w:p w14:paraId="2E6B7EB6">
      <w:pPr>
        <w:numPr>
          <w:ilvl w:val="0"/>
          <w:numId w:val="0"/>
        </w:numPr>
        <w:ind w:firstLine="732" w:firstLineChars="300"/>
        <w:outlineLvl w:val="9"/>
        <w:rPr>
          <w:rFonts w:hint="eastAsia" w:ascii="仿宋" w:hAnsi="仿宋" w:eastAsia="仿宋" w:cs="仿宋"/>
          <w:b w:val="0"/>
          <w:bCs w:val="0"/>
          <w:snapToGrid w:val="0"/>
          <w:color w:val="000000"/>
          <w:spacing w:val="2"/>
          <w:kern w:val="0"/>
          <w:sz w:val="24"/>
          <w:szCs w:val="24"/>
          <w:highlight w:val="none"/>
          <w:u w:val="none"/>
          <w:lang w:val="en-US" w:eastAsia="zh-CN" w:bidi="ar-SA"/>
        </w:rPr>
      </w:pPr>
      <w:r>
        <w:rPr>
          <w:rFonts w:hint="eastAsia" w:ascii="仿宋" w:hAnsi="仿宋" w:eastAsia="仿宋" w:cs="仿宋"/>
          <w:b w:val="0"/>
          <w:bCs w:val="0"/>
          <w:snapToGrid w:val="0"/>
          <w:color w:val="000000"/>
          <w:spacing w:val="2"/>
          <w:kern w:val="0"/>
          <w:sz w:val="24"/>
          <w:szCs w:val="24"/>
          <w:highlight w:val="none"/>
          <w:u w:val="none"/>
          <w:lang w:val="en-US" w:eastAsia="zh-CN" w:bidi="ar-SA"/>
        </w:rPr>
        <w:t>结对联谊家庭：40名户鲁英两地“最美家庭”成员。</w:t>
      </w:r>
    </w:p>
    <w:p w14:paraId="3A4106FC">
      <w:pPr>
        <w:pStyle w:val="10"/>
        <w:spacing w:before="95" w:line="360" w:lineRule="auto"/>
        <w:ind w:left="129"/>
        <w:outlineLvl w:val="9"/>
        <w:rPr>
          <w:rFonts w:hint="eastAsia" w:ascii="仿宋" w:hAnsi="仿宋" w:eastAsia="仿宋" w:cs="仿宋"/>
          <w:b w:val="0"/>
          <w:bCs w:val="0"/>
          <w:snapToGrid w:val="0"/>
          <w:color w:val="000000"/>
          <w:spacing w:val="2"/>
          <w:kern w:val="0"/>
          <w:sz w:val="24"/>
          <w:szCs w:val="24"/>
          <w:highlight w:val="none"/>
          <w:u w:val="none"/>
          <w:lang w:val="en-US" w:eastAsia="zh-CN" w:bidi="ar-SA"/>
        </w:rPr>
      </w:pPr>
      <w:r>
        <w:rPr>
          <w:rFonts w:hint="eastAsia" w:ascii="仿宋" w:hAnsi="仿宋" w:eastAsia="仿宋" w:cs="仿宋"/>
          <w:b w:val="0"/>
          <w:bCs w:val="0"/>
          <w:snapToGrid w:val="0"/>
          <w:color w:val="000000"/>
          <w:spacing w:val="2"/>
          <w:kern w:val="0"/>
          <w:sz w:val="24"/>
          <w:szCs w:val="24"/>
          <w:highlight w:val="none"/>
          <w:u w:val="none"/>
          <w:lang w:val="en-US" w:eastAsia="zh-CN" w:bidi="ar-SA"/>
        </w:rPr>
        <w:t>活动内容：英吉沙县40户“最美家庭”与济宁市最美家庭互结对子、互换礼物，一起开展趣味互动，共跳欢乐舞蹈，共促民族团结一家亲。参观考察山东济宁市经济发展、孔府孔庙、传统文化示范基地、微山湖等地，组织开展儒家文化思想的教育理念及新时期女性在家风建设中的独特作用的学习，并与济宁市部分家庭代表进行结对联谊活动。</w:t>
      </w:r>
    </w:p>
    <w:p w14:paraId="0BE6E0F8">
      <w:pPr>
        <w:pStyle w:val="10"/>
        <w:spacing w:before="95" w:line="360" w:lineRule="auto"/>
        <w:ind w:left="129"/>
        <w:outlineLvl w:val="9"/>
        <w:rPr>
          <w:rFonts w:hint="eastAsia"/>
          <w:spacing w:val="9"/>
          <w:position w:val="12"/>
          <w:sz w:val="24"/>
          <w:szCs w:val="24"/>
          <w:highlight w:val="none"/>
          <w:lang w:val="en-US" w:eastAsia="zh-CN"/>
          <w14:textOutline w14:w="3795" w14:cap="sq" w14:cmpd="sng">
            <w14:solidFill>
              <w14:srgbClr w14:val="000000"/>
            </w14:solidFill>
            <w14:prstDash w14:val="solid"/>
            <w14:bevel/>
          </w14:textOutline>
        </w:rPr>
      </w:pPr>
      <w:r>
        <w:rPr>
          <w:rFonts w:hint="eastAsia"/>
          <w:spacing w:val="9"/>
          <w:position w:val="12"/>
          <w:sz w:val="24"/>
          <w:szCs w:val="24"/>
          <w:highlight w:val="none"/>
          <w:lang w:val="en-US" w:eastAsia="zh-CN"/>
          <w14:textOutline w14:w="3795" w14:cap="sq" w14:cmpd="sng">
            <w14:solidFill>
              <w14:srgbClr w14:val="000000"/>
            </w14:solidFill>
            <w14:prstDash w14:val="solid"/>
            <w14:bevel/>
          </w14:textOutline>
        </w:rPr>
        <w:t>1.1项目概况</w:t>
      </w:r>
    </w:p>
    <w:p w14:paraId="68AF27F9">
      <w:pPr>
        <w:pStyle w:val="10"/>
        <w:spacing w:before="68" w:line="268" w:lineRule="auto"/>
        <w:ind w:left="127" w:right="175" w:firstLine="492"/>
        <w:jc w:val="both"/>
        <w:outlineLvl w:val="9"/>
        <w:rPr>
          <w:rFonts w:hint="eastAsia"/>
          <w:spacing w:val="2"/>
          <w:sz w:val="24"/>
          <w:szCs w:val="24"/>
          <w:highlight w:val="none"/>
          <w:lang w:eastAsia="zh-CN"/>
        </w:rPr>
      </w:pPr>
      <w:r>
        <w:rPr>
          <w:rFonts w:hint="eastAsia"/>
          <w:spacing w:val="2"/>
          <w:sz w:val="24"/>
          <w:szCs w:val="24"/>
          <w:highlight w:val="none"/>
          <w:lang w:eastAsia="zh-CN"/>
        </w:rPr>
        <w:t>贯彻落实习近平总书记在第三次中央新疆工作座谈会上的重要讲话，“要大力推动南疆经济社会发展和民生改善，要促进各民族广泛交往、全面交流、深度交融”，促进受援地社会稳定和长治久安。</w:t>
      </w:r>
    </w:p>
    <w:p w14:paraId="12595063">
      <w:pPr>
        <w:pStyle w:val="10"/>
        <w:spacing w:before="68" w:line="268" w:lineRule="auto"/>
        <w:ind w:left="127" w:right="175" w:firstLine="492"/>
        <w:jc w:val="both"/>
        <w:outlineLvl w:val="9"/>
        <w:rPr>
          <w:rFonts w:hint="eastAsia"/>
          <w:spacing w:val="2"/>
          <w:sz w:val="24"/>
          <w:szCs w:val="24"/>
          <w:highlight w:val="none"/>
          <w:lang w:eastAsia="zh-CN"/>
        </w:rPr>
      </w:pPr>
      <w:r>
        <w:rPr>
          <w:rFonts w:hint="eastAsia"/>
          <w:spacing w:val="2"/>
          <w:sz w:val="24"/>
          <w:szCs w:val="24"/>
          <w:highlight w:val="none"/>
          <w:lang w:eastAsia="zh-CN"/>
        </w:rPr>
        <w:t>进一步增进鲁喀两地家庭的团结和友谊，促进对口支援新疆援受两地“</w:t>
      </w:r>
      <w:r>
        <w:rPr>
          <w:rFonts w:hint="eastAsia"/>
          <w:spacing w:val="2"/>
          <w:sz w:val="24"/>
          <w:szCs w:val="24"/>
          <w:highlight w:val="none"/>
          <w:lang w:val="en-US" w:eastAsia="zh-CN"/>
        </w:rPr>
        <w:t>最美家庭”</w:t>
      </w:r>
      <w:r>
        <w:rPr>
          <w:rFonts w:hint="eastAsia"/>
          <w:spacing w:val="2"/>
          <w:sz w:val="24"/>
          <w:szCs w:val="24"/>
          <w:highlight w:val="none"/>
          <w:lang w:eastAsia="zh-CN"/>
        </w:rPr>
        <w:t>之间的广泛交往、全面交流、深度交融，开拓英吉沙县少数民族家庭的视野，激发群众自尊、自信、自立、自强的意识，加深对党和国家民族团结政策的了解，增进对中华民族的自豪感和认同感。</w:t>
      </w:r>
    </w:p>
    <w:p w14:paraId="41FDB908">
      <w:pPr>
        <w:pStyle w:val="10"/>
        <w:spacing w:before="63" w:line="222" w:lineRule="auto"/>
        <w:ind w:left="137"/>
        <w:outlineLvl w:val="9"/>
        <w:rPr>
          <w:sz w:val="24"/>
          <w:szCs w:val="24"/>
          <w:highlight w:val="none"/>
        </w:rPr>
      </w:pPr>
      <w:r>
        <w:rPr>
          <w:spacing w:val="1"/>
          <w:sz w:val="24"/>
          <w:szCs w:val="24"/>
          <w:highlight w:val="none"/>
          <w14:textOutline w14:w="4358" w14:cap="sq" w14:cmpd="sng">
            <w14:solidFill>
              <w14:srgbClr w14:val="000000"/>
            </w14:solidFill>
            <w14:prstDash w14:val="solid"/>
            <w14:bevel/>
          </w14:textOutline>
        </w:rPr>
        <w:t>1.</w:t>
      </w:r>
      <w:r>
        <w:rPr>
          <w:rFonts w:hint="eastAsia"/>
          <w:spacing w:val="1"/>
          <w:sz w:val="24"/>
          <w:szCs w:val="24"/>
          <w:highlight w:val="none"/>
          <w:lang w:val="en-US" w:eastAsia="zh-CN"/>
          <w14:textOutline w14:w="4358" w14:cap="sq" w14:cmpd="sng">
            <w14:solidFill>
              <w14:srgbClr w14:val="000000"/>
            </w14:solidFill>
            <w14:prstDash w14:val="solid"/>
            <w14:bevel/>
          </w14:textOutline>
        </w:rPr>
        <w:t xml:space="preserve">2 </w:t>
      </w:r>
      <w:r>
        <w:rPr>
          <w:spacing w:val="1"/>
          <w:sz w:val="24"/>
          <w:szCs w:val="24"/>
          <w:highlight w:val="none"/>
          <w14:textOutline w14:w="4358" w14:cap="sq" w14:cmpd="sng">
            <w14:solidFill>
              <w14:srgbClr w14:val="000000"/>
            </w14:solidFill>
            <w14:prstDash w14:val="solid"/>
            <w14:bevel/>
          </w14:textOutline>
        </w:rPr>
        <w:t>项目商务要求</w:t>
      </w:r>
    </w:p>
    <w:p w14:paraId="47804365">
      <w:pPr>
        <w:pStyle w:val="10"/>
        <w:spacing w:before="0" w:line="240" w:lineRule="auto"/>
        <w:ind w:left="0" w:right="0" w:firstLine="0"/>
        <w:outlineLvl w:val="9"/>
        <w:rPr>
          <w:spacing w:val="0"/>
          <w:position w:val="0"/>
          <w:sz w:val="20"/>
          <w:szCs w:val="20"/>
          <w:highlight w:val="none"/>
        </w:rPr>
      </w:pPr>
      <w:r>
        <w:rPr>
          <w:spacing w:val="0"/>
          <w:position w:val="0"/>
          <w:sz w:val="24"/>
          <w:szCs w:val="24"/>
          <w:highlight w:val="none"/>
          <w14:textOutline w14:w="3795" w14:cap="sq" w14:cmpd="sng">
            <w14:solidFill>
              <w14:srgbClr w14:val="000000"/>
            </w14:solidFill>
            <w14:prstDash w14:val="solid"/>
            <w14:bevel/>
          </w14:textOutline>
        </w:rPr>
        <w:t>（一）</w:t>
      </w:r>
      <w:r>
        <w:rPr>
          <w:rFonts w:hint="eastAsia" w:ascii="宋体" w:hAnsi="宋体" w:eastAsia="宋体" w:cs="Times New Roman"/>
          <w:spacing w:val="0"/>
          <w:position w:val="0"/>
          <w:sz w:val="24"/>
          <w:szCs w:val="24"/>
          <w:highlight w:val="none"/>
          <w:lang w:val="en-US" w:eastAsia="zh-CN"/>
          <w14:textOutline w14:w="3795" w14:cap="sq" w14:cmpd="sng">
            <w14:solidFill>
              <w14:srgbClr w14:val="000000"/>
            </w14:solidFill>
            <w14:prstDash w14:val="solid"/>
            <w14:bevel/>
          </w14:textOutline>
        </w:rPr>
        <w:t>服务</w:t>
      </w:r>
      <w:r>
        <w:rPr>
          <w:rFonts w:hint="eastAsia" w:ascii="宋体" w:hAnsi="宋体" w:eastAsia="宋体" w:cs="Times New Roman"/>
          <w:spacing w:val="0"/>
          <w:position w:val="0"/>
          <w:sz w:val="24"/>
          <w:szCs w:val="24"/>
          <w:highlight w:val="none"/>
          <w14:textOutline w14:w="3795" w14:cap="sq" w14:cmpd="sng">
            <w14:solidFill>
              <w14:srgbClr w14:val="000000"/>
            </w14:solidFill>
            <w14:prstDash w14:val="solid"/>
            <w14:bevel/>
          </w14:textOutline>
        </w:rPr>
        <w:t>（交货） 时间</w:t>
      </w:r>
      <w:r>
        <w:rPr>
          <w:spacing w:val="0"/>
          <w:position w:val="0"/>
          <w:sz w:val="20"/>
          <w:szCs w:val="20"/>
          <w:highlight w:val="none"/>
          <w14:textOutline w14:w="3795" w14:cap="sq" w14:cmpd="sng">
            <w14:solidFill>
              <w14:srgbClr w14:val="000000"/>
            </w14:solidFill>
            <w14:prstDash w14:val="solid"/>
            <w14:bevel/>
          </w14:textOutline>
        </w:rPr>
        <w:t>：</w:t>
      </w:r>
      <w:r>
        <w:rPr>
          <w:spacing w:val="0"/>
          <w:position w:val="0"/>
          <w:sz w:val="20"/>
          <w:szCs w:val="20"/>
          <w:highlight w:val="none"/>
        </w:rPr>
        <w:t xml:space="preserve"> </w:t>
      </w:r>
      <w:r>
        <w:rPr>
          <w:spacing w:val="0"/>
          <w:position w:val="0"/>
          <w:sz w:val="24"/>
          <w:szCs w:val="24"/>
          <w:highlight w:val="none"/>
        </w:rPr>
        <w:t>具体以甲乙双方签订采购合同为准</w:t>
      </w:r>
      <w:r>
        <w:rPr>
          <w:spacing w:val="0"/>
          <w:position w:val="0"/>
          <w:sz w:val="20"/>
          <w:szCs w:val="20"/>
          <w:highlight w:val="none"/>
        </w:rPr>
        <w:t>。</w:t>
      </w:r>
    </w:p>
    <w:p w14:paraId="11D0DE43">
      <w:pPr>
        <w:pStyle w:val="10"/>
        <w:spacing w:before="0" w:line="240" w:lineRule="auto"/>
        <w:ind w:left="0"/>
        <w:outlineLvl w:val="9"/>
        <w:rPr>
          <w:sz w:val="20"/>
          <w:szCs w:val="20"/>
          <w:highlight w:val="none"/>
        </w:rPr>
      </w:pPr>
      <w:r>
        <w:rPr>
          <w:spacing w:val="0"/>
          <w:position w:val="0"/>
          <w:sz w:val="24"/>
          <w:szCs w:val="24"/>
          <w:highlight w:val="none"/>
          <w14:textOutline w14:w="3795" w14:cap="sq" w14:cmpd="sng">
            <w14:solidFill>
              <w14:srgbClr w14:val="000000"/>
            </w14:solidFill>
            <w14:prstDash w14:val="solid"/>
            <w14:bevel/>
          </w14:textOutline>
        </w:rPr>
        <w:t>（二）</w:t>
      </w:r>
      <w:r>
        <w:rPr>
          <w:rFonts w:hint="eastAsia"/>
          <w:spacing w:val="0"/>
          <w:position w:val="0"/>
          <w:sz w:val="24"/>
          <w:szCs w:val="24"/>
          <w:highlight w:val="none"/>
          <w14:textOutline w14:w="3795" w14:cap="sq" w14:cmpd="sng">
            <w14:solidFill>
              <w14:srgbClr w14:val="000000"/>
            </w14:solidFill>
            <w14:prstDash w14:val="solid"/>
            <w14:bevel/>
          </w14:textOutline>
        </w:rPr>
        <w:t xml:space="preserve">服务（交货） </w:t>
      </w:r>
      <w:r>
        <w:rPr>
          <w:rFonts w:hint="eastAsia"/>
          <w:spacing w:val="0"/>
          <w:position w:val="0"/>
          <w:sz w:val="24"/>
          <w:szCs w:val="24"/>
          <w:highlight w:val="none"/>
          <w:lang w:val="en-US" w:eastAsia="zh-CN"/>
          <w14:textOutline w14:w="3795" w14:cap="sq" w14:cmpd="sng">
            <w14:solidFill>
              <w14:srgbClr w14:val="000000"/>
            </w14:solidFill>
            <w14:prstDash w14:val="solid"/>
            <w14:bevel/>
          </w14:textOutline>
        </w:rPr>
        <w:t>地点</w:t>
      </w:r>
      <w:r>
        <w:rPr>
          <w:spacing w:val="0"/>
          <w:position w:val="0"/>
          <w:sz w:val="24"/>
          <w:szCs w:val="24"/>
          <w:highlight w:val="none"/>
          <w14:textOutline w14:w="3795" w14:cap="sq" w14:cmpd="sng">
            <w14:solidFill>
              <w14:srgbClr w14:val="000000"/>
            </w14:solidFill>
            <w14:prstDash w14:val="solid"/>
            <w14:bevel/>
          </w14:textOutline>
        </w:rPr>
        <w:t>：</w:t>
      </w:r>
      <w:r>
        <w:rPr>
          <w:rFonts w:hint="eastAsia"/>
          <w:spacing w:val="0"/>
          <w:position w:val="0"/>
          <w:sz w:val="24"/>
          <w:szCs w:val="24"/>
          <w:highlight w:val="none"/>
          <w:lang w:eastAsia="zh-CN"/>
          <w14:textOutline w14:w="3795" w14:cap="sq" w14:cmpd="sng">
            <w14:solidFill>
              <w14:srgbClr w14:val="000000"/>
            </w14:solidFill>
            <w14:prstDash w14:val="solid"/>
            <w14:bevel/>
          </w14:textOutline>
        </w:rPr>
        <w:t>山东省济宁市（</w:t>
      </w:r>
      <w:r>
        <w:rPr>
          <w:rFonts w:hint="eastAsia"/>
          <w:spacing w:val="0"/>
          <w:position w:val="0"/>
          <w:sz w:val="24"/>
          <w:szCs w:val="24"/>
          <w:highlight w:val="none"/>
          <w:lang w:val="en-US" w:eastAsia="zh-CN"/>
          <w14:textOutline w14:w="3795" w14:cap="sq" w14:cmpd="sng">
            <w14:solidFill>
              <w14:srgbClr w14:val="000000"/>
            </w14:solidFill>
            <w14:prstDash w14:val="solid"/>
            <w14:bevel/>
          </w14:textOutline>
        </w:rPr>
        <w:t>具体以合同签订为准</w:t>
      </w:r>
      <w:r>
        <w:rPr>
          <w:rFonts w:hint="eastAsia"/>
          <w:spacing w:val="0"/>
          <w:position w:val="0"/>
          <w:sz w:val="24"/>
          <w:szCs w:val="24"/>
          <w:highlight w:val="none"/>
          <w:lang w:eastAsia="zh-CN"/>
          <w14:textOutline w14:w="3795" w14:cap="sq" w14:cmpd="sng">
            <w14:solidFill>
              <w14:srgbClr w14:val="000000"/>
            </w14:solidFill>
            <w14:prstDash w14:val="solid"/>
            <w14:bevel/>
          </w14:textOutline>
        </w:rPr>
        <w:t>）。</w:t>
      </w:r>
    </w:p>
    <w:p w14:paraId="57CB5235">
      <w:pPr>
        <w:pStyle w:val="10"/>
        <w:spacing w:before="95" w:line="370" w:lineRule="exact"/>
        <w:outlineLvl w:val="9"/>
        <w:rPr>
          <w:rFonts w:hint="eastAsia"/>
          <w:spacing w:val="0"/>
          <w:position w:val="0"/>
          <w:sz w:val="24"/>
          <w:szCs w:val="24"/>
          <w:highlight w:val="none"/>
          <w:lang w:val="en-US" w:eastAsia="zh-CN"/>
          <w14:textOutline w14:w="3795" w14:cap="sq" w14:cmpd="sng">
            <w14:solidFill>
              <w14:srgbClr w14:val="000000"/>
            </w14:solidFill>
            <w14:prstDash w14:val="solid"/>
            <w14:bevel/>
          </w14:textOutline>
        </w:rPr>
      </w:pPr>
      <w:r>
        <w:rPr>
          <w:rFonts w:hint="eastAsia"/>
          <w:spacing w:val="0"/>
          <w:position w:val="0"/>
          <w:sz w:val="24"/>
          <w:szCs w:val="24"/>
          <w:highlight w:val="none"/>
          <w:lang w:eastAsia="zh-CN"/>
          <w14:textOutline w14:w="3795" w14:cap="sq" w14:cmpd="sng">
            <w14:solidFill>
              <w14:srgbClr w14:val="000000"/>
            </w14:solidFill>
            <w14:prstDash w14:val="solid"/>
            <w14:bevel/>
          </w14:textOutline>
        </w:rPr>
        <w:t>（</w:t>
      </w:r>
      <w:r>
        <w:rPr>
          <w:rFonts w:hint="eastAsia"/>
          <w:spacing w:val="0"/>
          <w:position w:val="0"/>
          <w:sz w:val="24"/>
          <w:szCs w:val="24"/>
          <w:highlight w:val="none"/>
          <w:lang w:val="en-US" w:eastAsia="zh-CN"/>
          <w14:textOutline w14:w="3795" w14:cap="sq" w14:cmpd="sng">
            <w14:solidFill>
              <w14:srgbClr w14:val="000000"/>
            </w14:solidFill>
            <w14:prstDash w14:val="solid"/>
            <w14:bevel/>
          </w14:textOutline>
        </w:rPr>
        <w:t>三</w:t>
      </w:r>
      <w:r>
        <w:rPr>
          <w:rFonts w:hint="eastAsia"/>
          <w:spacing w:val="0"/>
          <w:position w:val="0"/>
          <w:sz w:val="24"/>
          <w:szCs w:val="24"/>
          <w:highlight w:val="none"/>
          <w:lang w:eastAsia="zh-CN"/>
          <w14:textOutline w14:w="3795" w14:cap="sq" w14:cmpd="sng">
            <w14:solidFill>
              <w14:srgbClr w14:val="000000"/>
            </w14:solidFill>
            <w14:prstDash w14:val="solid"/>
            <w14:bevel/>
          </w14:textOutline>
        </w:rPr>
        <w:t>）</w:t>
      </w:r>
      <w:r>
        <w:rPr>
          <w:rFonts w:hint="eastAsia"/>
          <w:spacing w:val="0"/>
          <w:position w:val="0"/>
          <w:sz w:val="24"/>
          <w:szCs w:val="24"/>
          <w:highlight w:val="none"/>
          <w:lang w:val="en-US" w:eastAsia="zh-CN"/>
          <w14:textOutline w14:w="3795" w14:cap="sq" w14:cmpd="sng">
            <w14:solidFill>
              <w14:srgbClr w14:val="000000"/>
            </w14:solidFill>
            <w14:prstDash w14:val="solid"/>
            <w14:bevel/>
          </w14:textOutline>
        </w:rPr>
        <w:t>其他要求：</w:t>
      </w:r>
    </w:p>
    <w:p w14:paraId="3A34339F">
      <w:pPr>
        <w:pStyle w:val="10"/>
        <w:spacing w:before="95" w:line="370" w:lineRule="exact"/>
        <w:outlineLvl w:val="9"/>
        <w:rPr>
          <w:rFonts w:hint="eastAsia"/>
          <w:spacing w:val="0"/>
          <w:position w:val="0"/>
          <w:sz w:val="24"/>
          <w:szCs w:val="24"/>
          <w:highlight w:val="none"/>
          <w:lang w:val="en-US" w:eastAsia="zh-CN"/>
          <w14:textOutline w14:w="3795" w14:cap="sq" w14:cmpd="sng">
            <w14:solidFill>
              <w14:srgbClr w14:val="000000"/>
            </w14:solidFill>
            <w14:prstDash w14:val="solid"/>
            <w14:bevel/>
          </w14:textOutline>
        </w:rPr>
      </w:pPr>
      <w:r>
        <w:rPr>
          <w:rFonts w:hint="eastAsia"/>
          <w:spacing w:val="0"/>
          <w:position w:val="0"/>
          <w:sz w:val="24"/>
          <w:szCs w:val="24"/>
          <w:highlight w:val="none"/>
          <w:lang w:val="en-US" w:eastAsia="zh-CN"/>
          <w14:textOutline w14:w="3795" w14:cap="sq" w14:cmpd="sng">
            <w14:solidFill>
              <w14:srgbClr w14:val="000000"/>
            </w14:solidFill>
            <w14:prstDash w14:val="solid"/>
            <w14:bevel/>
          </w14:textOutline>
        </w:rPr>
        <w:t>1.项目执行期间须在济宁广播电视台举办至少一次联谊活动，并取得全程录制的高清视频建档保存，作为后续宣传素材使用；</w:t>
      </w:r>
    </w:p>
    <w:p w14:paraId="14315832">
      <w:pPr>
        <w:pStyle w:val="10"/>
        <w:spacing w:before="95" w:line="370" w:lineRule="exact"/>
        <w:outlineLvl w:val="9"/>
        <w:rPr>
          <w:rFonts w:hint="default"/>
          <w:spacing w:val="0"/>
          <w:position w:val="0"/>
          <w:sz w:val="24"/>
          <w:szCs w:val="24"/>
          <w:highlight w:val="none"/>
          <w:lang w:val="en-US" w:eastAsia="zh-CN"/>
          <w14:textOutline w14:w="3795" w14:cap="sq" w14:cmpd="sng">
            <w14:solidFill>
              <w14:srgbClr w14:val="000000"/>
            </w14:solidFill>
            <w14:prstDash w14:val="solid"/>
            <w14:bevel/>
          </w14:textOutline>
        </w:rPr>
      </w:pPr>
      <w:r>
        <w:rPr>
          <w:rFonts w:hint="eastAsia"/>
          <w:spacing w:val="0"/>
          <w:position w:val="0"/>
          <w:sz w:val="24"/>
          <w:szCs w:val="24"/>
          <w:highlight w:val="none"/>
          <w:lang w:val="en-US" w:eastAsia="zh-CN"/>
          <w14:textOutline w14:w="3795" w14:cap="sq" w14:cmpd="sng">
            <w14:solidFill>
              <w14:srgbClr w14:val="000000"/>
            </w14:solidFill>
            <w14:prstDash w14:val="solid"/>
            <w14:bevel/>
          </w14:textOutline>
        </w:rPr>
        <w:t>2.活动结束后需对新疆参与家庭进行专题访谈，制作纪念视频（含活动精彩片段及访谈内容）赠予参与家庭；同时将纪念视频向相关村（社区）提供；</w:t>
      </w:r>
    </w:p>
    <w:p w14:paraId="2BF2C4F6">
      <w:pPr>
        <w:pStyle w:val="10"/>
        <w:spacing w:before="95" w:line="370" w:lineRule="exact"/>
        <w:outlineLvl w:val="9"/>
        <w:rPr>
          <w:rFonts w:hint="eastAsia"/>
          <w:spacing w:val="0"/>
          <w:position w:val="0"/>
          <w:sz w:val="24"/>
          <w:szCs w:val="24"/>
          <w:highlight w:val="none"/>
          <w:lang w:val="en-US" w:eastAsia="zh-CN"/>
          <w14:textOutline w14:w="3795" w14:cap="sq" w14:cmpd="sng">
            <w14:solidFill>
              <w14:srgbClr w14:val="000000"/>
            </w14:solidFill>
            <w14:prstDash w14:val="solid"/>
            <w14:bevel/>
          </w14:textOutline>
        </w:rPr>
      </w:pPr>
      <w:r>
        <w:rPr>
          <w:rFonts w:hint="eastAsia"/>
          <w:spacing w:val="0"/>
          <w:position w:val="0"/>
          <w:sz w:val="24"/>
          <w:szCs w:val="24"/>
          <w:highlight w:val="none"/>
          <w:lang w:val="en-US" w:eastAsia="zh-CN"/>
          <w14:textOutline w14:w="3795" w14:cap="sq" w14:cmpd="sng">
            <w14:solidFill>
              <w14:srgbClr w14:val="000000"/>
            </w14:solidFill>
            <w14:prstDash w14:val="solid"/>
            <w14:bevel/>
          </w14:textOutline>
        </w:rPr>
        <w:t>3.此项目的相关活动或学习现场必须专业影像记录，项目结束后需制作完成高质量纪实影片，并报送相关单位，作为后续宣传素材使用。</w:t>
      </w:r>
    </w:p>
    <w:p w14:paraId="62A7199C">
      <w:pPr>
        <w:pStyle w:val="10"/>
        <w:spacing w:before="95" w:line="370" w:lineRule="exact"/>
        <w:outlineLvl w:val="9"/>
        <w:rPr>
          <w:rFonts w:hint="default"/>
          <w:spacing w:val="0"/>
          <w:position w:val="0"/>
          <w:sz w:val="24"/>
          <w:szCs w:val="24"/>
          <w:highlight w:val="none"/>
          <w:lang w:val="en-US"/>
        </w:rPr>
      </w:pPr>
      <w:r>
        <w:rPr>
          <w:rFonts w:hint="eastAsia"/>
          <w:spacing w:val="0"/>
          <w:position w:val="0"/>
          <w:sz w:val="24"/>
          <w:szCs w:val="24"/>
          <w:highlight w:val="none"/>
          <w:lang w:val="en-US" w:eastAsia="zh-CN"/>
          <w14:textOutline w14:w="3795" w14:cap="sq" w14:cmpd="sng">
            <w14:solidFill>
              <w14:srgbClr w14:val="000000"/>
            </w14:solidFill>
            <w14:prstDash w14:val="solid"/>
            <w14:bevel/>
          </w14:textOutline>
        </w:rPr>
        <w:t>4.相关宣传内容必须在新华网、中新网、人民日报、大众日报、山东电视台、济宁电视台、济宁日报社报道。</w:t>
      </w:r>
    </w:p>
    <w:p w14:paraId="11B68F18">
      <w:pPr>
        <w:pStyle w:val="10"/>
        <w:spacing w:before="95" w:line="370" w:lineRule="exact"/>
        <w:outlineLvl w:val="9"/>
        <w:rPr>
          <w:b/>
          <w:bCs/>
          <w:color w:val="FF0000"/>
          <w:spacing w:val="0"/>
          <w:position w:val="0"/>
          <w:sz w:val="24"/>
          <w:szCs w:val="24"/>
          <w:highlight w:val="none"/>
        </w:rPr>
      </w:pPr>
      <w:r>
        <w:rPr>
          <w:rFonts w:hint="eastAsia"/>
          <w:spacing w:val="0"/>
          <w:position w:val="0"/>
          <w:sz w:val="24"/>
          <w:szCs w:val="24"/>
          <w:highlight w:val="none"/>
          <w:lang w:eastAsia="zh-CN"/>
          <w14:textOutline w14:w="3795" w14:cap="sq" w14:cmpd="sng">
            <w14:solidFill>
              <w14:srgbClr w14:val="000000"/>
            </w14:solidFill>
            <w14:prstDash w14:val="solid"/>
            <w14:bevel/>
          </w14:textOutline>
        </w:rPr>
        <w:t>（</w:t>
      </w:r>
      <w:r>
        <w:rPr>
          <w:rFonts w:hint="eastAsia"/>
          <w:spacing w:val="0"/>
          <w:position w:val="0"/>
          <w:sz w:val="24"/>
          <w:szCs w:val="24"/>
          <w:highlight w:val="none"/>
          <w:lang w:val="en-US" w:eastAsia="zh-CN"/>
          <w14:textOutline w14:w="3795" w14:cap="sq" w14:cmpd="sng">
            <w14:solidFill>
              <w14:srgbClr w14:val="000000"/>
            </w14:solidFill>
            <w14:prstDash w14:val="solid"/>
            <w14:bevel/>
          </w14:textOutline>
        </w:rPr>
        <w:t>四</w:t>
      </w:r>
      <w:r>
        <w:rPr>
          <w:rFonts w:hint="eastAsia"/>
          <w:spacing w:val="0"/>
          <w:position w:val="0"/>
          <w:sz w:val="24"/>
          <w:szCs w:val="24"/>
          <w:highlight w:val="none"/>
          <w:lang w:eastAsia="zh-CN"/>
          <w14:textOutline w14:w="3795" w14:cap="sq" w14:cmpd="sng">
            <w14:solidFill>
              <w14:srgbClr w14:val="000000"/>
            </w14:solidFill>
            <w14:prstDash w14:val="solid"/>
            <w14:bevel/>
          </w14:textOutline>
        </w:rPr>
        <w:t>）</w:t>
      </w:r>
      <w:r>
        <w:rPr>
          <w:spacing w:val="0"/>
          <w:position w:val="0"/>
          <w:sz w:val="24"/>
          <w:szCs w:val="24"/>
          <w:highlight w:val="none"/>
          <w14:textOutline w14:w="3795" w14:cap="sq" w14:cmpd="sng">
            <w14:solidFill>
              <w14:srgbClr w14:val="000000"/>
            </w14:solidFill>
            <w14:prstDash w14:val="solid"/>
            <w14:bevel/>
          </w14:textOutline>
        </w:rPr>
        <w:t>付款方式</w:t>
      </w:r>
      <w:r>
        <w:rPr>
          <w:rFonts w:hint="eastAsia"/>
          <w:spacing w:val="0"/>
          <w:position w:val="0"/>
          <w:sz w:val="24"/>
          <w:szCs w:val="24"/>
          <w:highlight w:val="none"/>
          <w:lang w:eastAsia="zh-CN"/>
          <w14:textOutline w14:w="3795" w14:cap="sq" w14:cmpd="sng">
            <w14:solidFill>
              <w14:srgbClr w14:val="000000"/>
            </w14:solidFill>
            <w14:prstDash w14:val="solid"/>
            <w14:bevel/>
          </w14:textOutline>
        </w:rPr>
        <w:t>：</w:t>
      </w:r>
      <w:r>
        <w:rPr>
          <w:rFonts w:hint="eastAsia"/>
          <w:b/>
          <w:bCs/>
          <w:color w:val="FF0000"/>
          <w:spacing w:val="0"/>
          <w:position w:val="0"/>
          <w:sz w:val="24"/>
          <w:szCs w:val="24"/>
          <w:highlight w:val="none"/>
          <w:lang w:val="en-US"/>
        </w:rPr>
        <w:t>本合同自签订之日起 15 个工作日内，甲方办理完毕资金支付手续后通过电汇方式向乙方支付合同全部款额的70%；项目服务结束后甲方验收合格无误后15 个工作日内，甲方通过电汇方式向乙方支付合同全部款额的剩余30%</w:t>
      </w:r>
      <w:r>
        <w:rPr>
          <w:b/>
          <w:bCs/>
          <w:color w:val="FF0000"/>
          <w:spacing w:val="0"/>
          <w:position w:val="0"/>
          <w:sz w:val="24"/>
          <w:szCs w:val="24"/>
          <w:highlight w:val="none"/>
        </w:rPr>
        <w:t>。具体以签订合同为主。</w:t>
      </w:r>
    </w:p>
    <w:p w14:paraId="6BC9E6C8">
      <w:pPr>
        <w:pStyle w:val="10"/>
        <w:spacing w:before="95" w:line="370" w:lineRule="exact"/>
        <w:ind w:left="129"/>
        <w:outlineLvl w:val="9"/>
        <w:rPr>
          <w:rFonts w:hint="eastAsia"/>
          <w:spacing w:val="0"/>
          <w:position w:val="0"/>
          <w:sz w:val="24"/>
          <w:szCs w:val="24"/>
          <w:highlight w:val="none"/>
          <w:lang w:eastAsia="zh-CN"/>
          <w14:textOutline w14:w="3795" w14:cap="sq" w14:cmpd="sng">
            <w14:solidFill>
              <w14:srgbClr w14:val="000000"/>
            </w14:solidFill>
            <w14:prstDash w14:val="solid"/>
            <w14:bevel/>
          </w14:textOutline>
        </w:rPr>
      </w:pPr>
      <w:r>
        <w:rPr>
          <w:rFonts w:hint="eastAsia"/>
          <w:spacing w:val="0"/>
          <w:position w:val="0"/>
          <w:sz w:val="24"/>
          <w:szCs w:val="24"/>
          <w:highlight w:val="none"/>
          <w:lang w:eastAsia="zh-CN"/>
          <w14:textOutline w14:w="3795" w14:cap="sq" w14:cmpd="sng">
            <w14:solidFill>
              <w14:srgbClr w14:val="000000"/>
            </w14:solidFill>
            <w14:prstDash w14:val="solid"/>
            <w14:bevel/>
          </w14:textOutline>
        </w:rPr>
        <w:t>（</w:t>
      </w:r>
      <w:r>
        <w:rPr>
          <w:rFonts w:hint="eastAsia"/>
          <w:spacing w:val="0"/>
          <w:position w:val="0"/>
          <w:sz w:val="24"/>
          <w:szCs w:val="24"/>
          <w:highlight w:val="none"/>
          <w:lang w:val="en-US" w:eastAsia="zh-CN"/>
          <w14:textOutline w14:w="3795" w14:cap="sq" w14:cmpd="sng">
            <w14:solidFill>
              <w14:srgbClr w14:val="000000"/>
            </w14:solidFill>
            <w14:prstDash w14:val="solid"/>
            <w14:bevel/>
          </w14:textOutline>
        </w:rPr>
        <w:t>五</w:t>
      </w:r>
      <w:r>
        <w:rPr>
          <w:rFonts w:hint="eastAsia"/>
          <w:spacing w:val="0"/>
          <w:position w:val="0"/>
          <w:sz w:val="24"/>
          <w:szCs w:val="24"/>
          <w:highlight w:val="none"/>
          <w:lang w:eastAsia="zh-CN"/>
          <w14:textOutline w14:w="3795" w14:cap="sq" w14:cmpd="sng">
            <w14:solidFill>
              <w14:srgbClr w14:val="000000"/>
            </w14:solidFill>
            <w14:prstDash w14:val="solid"/>
            <w14:bevel/>
          </w14:textOutline>
        </w:rPr>
        <w:t>） 验收标准和验收单位</w:t>
      </w:r>
    </w:p>
    <w:p w14:paraId="113B5BBD">
      <w:pPr>
        <w:pStyle w:val="10"/>
        <w:spacing w:before="68" w:line="268" w:lineRule="auto"/>
        <w:ind w:left="127" w:right="175" w:firstLine="492"/>
        <w:jc w:val="both"/>
        <w:outlineLvl w:val="9"/>
        <w:rPr>
          <w:spacing w:val="0"/>
          <w:position w:val="0"/>
          <w:sz w:val="24"/>
          <w:szCs w:val="24"/>
          <w:highlight w:val="none"/>
        </w:rPr>
      </w:pPr>
      <w:r>
        <w:rPr>
          <w:spacing w:val="0"/>
          <w:position w:val="0"/>
          <w:sz w:val="24"/>
          <w:szCs w:val="24"/>
          <w:highlight w:val="none"/>
        </w:rPr>
        <w:t xml:space="preserve">验收主体： </w:t>
      </w:r>
      <w:r>
        <w:rPr>
          <w:rFonts w:hint="eastAsia"/>
          <w:spacing w:val="0"/>
          <w:position w:val="0"/>
          <w:sz w:val="24"/>
          <w:szCs w:val="24"/>
          <w:highlight w:val="none"/>
          <w:lang w:eastAsia="zh-CN"/>
        </w:rPr>
        <w:t>英吉沙县妇女联合会</w:t>
      </w:r>
    </w:p>
    <w:p w14:paraId="5F5E6AD5">
      <w:pPr>
        <w:pStyle w:val="10"/>
        <w:spacing w:before="68" w:line="268" w:lineRule="auto"/>
        <w:ind w:left="127" w:right="175" w:firstLine="492"/>
        <w:jc w:val="both"/>
        <w:outlineLvl w:val="9"/>
        <w:rPr>
          <w:spacing w:val="0"/>
          <w:position w:val="0"/>
          <w:sz w:val="24"/>
          <w:szCs w:val="24"/>
          <w:highlight w:val="none"/>
        </w:rPr>
      </w:pPr>
      <w:r>
        <w:rPr>
          <w:spacing w:val="0"/>
          <w:position w:val="0"/>
          <w:sz w:val="24"/>
          <w:szCs w:val="24"/>
          <w:highlight w:val="none"/>
        </w:rPr>
        <w:t xml:space="preserve">验收时间： </w:t>
      </w:r>
      <w:r>
        <w:rPr>
          <w:rFonts w:hint="eastAsia"/>
          <w:spacing w:val="0"/>
          <w:position w:val="0"/>
          <w:sz w:val="24"/>
          <w:szCs w:val="24"/>
          <w:highlight w:val="none"/>
          <w:lang w:val="en-US" w:eastAsia="zh-CN"/>
        </w:rPr>
        <w:t>服务</w:t>
      </w:r>
      <w:r>
        <w:rPr>
          <w:spacing w:val="0"/>
          <w:position w:val="0"/>
          <w:sz w:val="24"/>
          <w:szCs w:val="24"/>
          <w:highlight w:val="none"/>
        </w:rPr>
        <w:t>完毕后(具体以签订合同为主)</w:t>
      </w:r>
    </w:p>
    <w:p w14:paraId="5772BE85">
      <w:pPr>
        <w:pStyle w:val="10"/>
        <w:spacing w:before="68" w:line="268" w:lineRule="auto"/>
        <w:ind w:left="127" w:right="175" w:firstLine="492"/>
        <w:jc w:val="both"/>
        <w:outlineLvl w:val="9"/>
        <w:rPr>
          <w:spacing w:val="0"/>
          <w:position w:val="0"/>
          <w:sz w:val="24"/>
          <w:szCs w:val="24"/>
          <w:highlight w:val="none"/>
        </w:rPr>
      </w:pPr>
      <w:r>
        <w:rPr>
          <w:spacing w:val="0"/>
          <w:position w:val="0"/>
          <w:sz w:val="24"/>
          <w:szCs w:val="24"/>
          <w:highlight w:val="none"/>
        </w:rPr>
        <w:t>验收方式：</w:t>
      </w:r>
    </w:p>
    <w:p w14:paraId="76EF4855">
      <w:pPr>
        <w:pStyle w:val="10"/>
        <w:spacing w:before="68" w:line="268" w:lineRule="auto"/>
        <w:ind w:left="127" w:right="175" w:firstLine="492"/>
        <w:jc w:val="both"/>
        <w:outlineLvl w:val="9"/>
        <w:rPr>
          <w:rFonts w:hint="eastAsia"/>
          <w:spacing w:val="0"/>
          <w:position w:val="0"/>
          <w:sz w:val="24"/>
          <w:szCs w:val="24"/>
          <w:highlight w:val="none"/>
          <w:lang w:val="en-US"/>
        </w:rPr>
      </w:pPr>
      <w:r>
        <w:rPr>
          <w:rFonts w:hint="eastAsia"/>
          <w:spacing w:val="0"/>
          <w:position w:val="0"/>
          <w:sz w:val="24"/>
          <w:szCs w:val="24"/>
          <w:highlight w:val="none"/>
          <w:lang w:val="en-US"/>
        </w:rPr>
        <w:t>1）合同、磋商文件、响应文件、磋商记录；</w:t>
      </w:r>
    </w:p>
    <w:p w14:paraId="392FBF65">
      <w:pPr>
        <w:pStyle w:val="10"/>
        <w:spacing w:before="68" w:line="268" w:lineRule="auto"/>
        <w:ind w:left="127" w:right="175" w:firstLine="492"/>
        <w:jc w:val="both"/>
        <w:outlineLvl w:val="9"/>
        <w:rPr>
          <w:rFonts w:hint="eastAsia"/>
          <w:spacing w:val="0"/>
          <w:position w:val="0"/>
          <w:sz w:val="24"/>
          <w:szCs w:val="24"/>
          <w:highlight w:val="none"/>
          <w:lang w:val="en-US"/>
        </w:rPr>
      </w:pPr>
      <w:r>
        <w:rPr>
          <w:rFonts w:hint="eastAsia"/>
          <w:spacing w:val="0"/>
          <w:position w:val="0"/>
          <w:sz w:val="24"/>
          <w:szCs w:val="24"/>
          <w:highlight w:val="none"/>
          <w:lang w:val="en-US"/>
        </w:rPr>
        <w:t>2）成交供应商提供的技术规格、经采购人认可的有效检验文件；</w:t>
      </w:r>
    </w:p>
    <w:p w14:paraId="217C601F">
      <w:pPr>
        <w:pStyle w:val="10"/>
        <w:spacing w:before="68" w:line="268" w:lineRule="auto"/>
        <w:ind w:left="127" w:right="175" w:firstLine="492"/>
        <w:jc w:val="both"/>
        <w:outlineLvl w:val="9"/>
        <w:rPr>
          <w:rFonts w:hint="eastAsia"/>
          <w:spacing w:val="0"/>
          <w:position w:val="0"/>
          <w:sz w:val="24"/>
          <w:szCs w:val="24"/>
          <w:highlight w:val="none"/>
          <w:lang w:val="en-US"/>
        </w:rPr>
      </w:pPr>
      <w:r>
        <w:rPr>
          <w:rFonts w:hint="eastAsia"/>
          <w:spacing w:val="0"/>
          <w:position w:val="0"/>
          <w:sz w:val="24"/>
          <w:szCs w:val="24"/>
          <w:highlight w:val="none"/>
          <w:lang w:val="en-US"/>
        </w:rPr>
        <w:t>3）成交供应商响应文件中提供的经采购人认可的验收标准（符合中国有关的国家、地方、行业标准）和检测办法及相应检测手段。</w:t>
      </w:r>
    </w:p>
    <w:p w14:paraId="14C10A96">
      <w:pPr>
        <w:pStyle w:val="10"/>
        <w:spacing w:before="68" w:line="268" w:lineRule="auto"/>
        <w:ind w:left="127" w:right="175" w:firstLine="492"/>
        <w:jc w:val="both"/>
        <w:outlineLvl w:val="9"/>
        <w:rPr>
          <w:rFonts w:hint="eastAsia"/>
          <w:spacing w:val="0"/>
          <w:position w:val="0"/>
          <w:sz w:val="24"/>
          <w:szCs w:val="24"/>
          <w:highlight w:val="none"/>
          <w:lang w:val="en-US"/>
        </w:rPr>
      </w:pPr>
      <w:r>
        <w:rPr>
          <w:rFonts w:hint="eastAsia"/>
          <w:spacing w:val="0"/>
          <w:position w:val="0"/>
          <w:sz w:val="24"/>
          <w:szCs w:val="24"/>
          <w:highlight w:val="none"/>
          <w:lang w:val="en-US"/>
        </w:rPr>
        <w:t>（3）验收合格的条件</w:t>
      </w:r>
    </w:p>
    <w:p w14:paraId="3AC6AC64">
      <w:pPr>
        <w:pStyle w:val="10"/>
        <w:spacing w:before="68" w:line="268" w:lineRule="auto"/>
        <w:ind w:left="127" w:right="175" w:firstLine="492"/>
        <w:jc w:val="both"/>
        <w:outlineLvl w:val="9"/>
        <w:rPr>
          <w:rFonts w:hint="eastAsia"/>
          <w:spacing w:val="0"/>
          <w:position w:val="0"/>
          <w:sz w:val="24"/>
          <w:szCs w:val="24"/>
          <w:highlight w:val="none"/>
          <w:lang w:val="en-US"/>
        </w:rPr>
      </w:pPr>
      <w:r>
        <w:rPr>
          <w:rFonts w:hint="eastAsia"/>
          <w:spacing w:val="0"/>
          <w:position w:val="0"/>
          <w:sz w:val="24"/>
          <w:szCs w:val="24"/>
          <w:highlight w:val="none"/>
          <w:lang w:val="en-US"/>
        </w:rPr>
        <w:t>1）符合磋商文件及合同的要求；</w:t>
      </w:r>
    </w:p>
    <w:p w14:paraId="76C46667">
      <w:pPr>
        <w:pStyle w:val="10"/>
        <w:spacing w:before="68" w:line="268" w:lineRule="auto"/>
        <w:ind w:left="127" w:right="175" w:firstLine="492"/>
        <w:jc w:val="both"/>
        <w:outlineLvl w:val="9"/>
        <w:rPr>
          <w:rFonts w:hint="eastAsia"/>
          <w:spacing w:val="0"/>
          <w:position w:val="0"/>
          <w:sz w:val="24"/>
          <w:szCs w:val="24"/>
          <w:highlight w:val="none"/>
          <w:lang w:val="en-US"/>
        </w:rPr>
      </w:pPr>
      <w:r>
        <w:rPr>
          <w:rFonts w:hint="eastAsia"/>
          <w:spacing w:val="0"/>
          <w:position w:val="0"/>
          <w:sz w:val="24"/>
          <w:szCs w:val="24"/>
          <w:highlight w:val="none"/>
          <w:lang w:val="en-US"/>
        </w:rPr>
        <w:t>2）在服务和验收过程中发现的问题已被解决并得到采购人的认可；</w:t>
      </w:r>
    </w:p>
    <w:p w14:paraId="12197615">
      <w:pPr>
        <w:pStyle w:val="10"/>
        <w:spacing w:before="68" w:line="268" w:lineRule="auto"/>
        <w:ind w:left="127" w:right="175" w:firstLine="492"/>
        <w:jc w:val="both"/>
        <w:outlineLvl w:val="9"/>
        <w:rPr>
          <w:rFonts w:hint="eastAsia"/>
          <w:spacing w:val="0"/>
          <w:position w:val="0"/>
          <w:sz w:val="24"/>
          <w:szCs w:val="24"/>
          <w:highlight w:val="none"/>
          <w:lang w:val="en-US"/>
        </w:rPr>
      </w:pPr>
      <w:r>
        <w:rPr>
          <w:rFonts w:hint="eastAsia"/>
          <w:spacing w:val="0"/>
          <w:position w:val="0"/>
          <w:sz w:val="24"/>
          <w:szCs w:val="24"/>
          <w:highlight w:val="none"/>
          <w:lang w:val="en-US"/>
        </w:rPr>
        <w:t>3）合同中规定的所有内容均已交付；</w:t>
      </w:r>
    </w:p>
    <w:p w14:paraId="259ED93E">
      <w:pPr>
        <w:pStyle w:val="10"/>
        <w:spacing w:before="68" w:line="268" w:lineRule="auto"/>
        <w:ind w:left="127" w:right="175" w:firstLine="492"/>
        <w:jc w:val="both"/>
        <w:outlineLvl w:val="9"/>
        <w:rPr>
          <w:rFonts w:hint="eastAsia"/>
          <w:spacing w:val="0"/>
          <w:position w:val="0"/>
          <w:sz w:val="24"/>
          <w:szCs w:val="24"/>
          <w:highlight w:val="none"/>
          <w:lang w:val="en-US"/>
        </w:rPr>
      </w:pPr>
      <w:r>
        <w:rPr>
          <w:rFonts w:hint="eastAsia"/>
          <w:spacing w:val="0"/>
          <w:position w:val="0"/>
          <w:sz w:val="24"/>
          <w:szCs w:val="24"/>
          <w:highlight w:val="none"/>
          <w:lang w:val="en-US"/>
        </w:rPr>
        <w:t>4）已通过使用单位组织的验收；</w:t>
      </w:r>
    </w:p>
    <w:p w14:paraId="32BC45EB">
      <w:pPr>
        <w:pStyle w:val="10"/>
        <w:spacing w:before="68" w:line="268" w:lineRule="auto"/>
        <w:ind w:left="127" w:right="175" w:firstLine="492"/>
        <w:jc w:val="both"/>
        <w:outlineLvl w:val="9"/>
        <w:rPr>
          <w:rFonts w:hint="eastAsia" w:ascii="方正仿宋_GBK" w:hAnsi="方正仿宋_GBK" w:eastAsia="方正仿宋_GBK" w:cs="方正仿宋_GBK"/>
          <w:sz w:val="32"/>
          <w:szCs w:val="32"/>
          <w:highlight w:val="none"/>
        </w:rPr>
        <w:sectPr>
          <w:footerReference r:id="rId14" w:type="default"/>
          <w:pgSz w:w="11905" w:h="16839"/>
          <w:pgMar w:top="1203" w:right="1125" w:bottom="1156" w:left="1227" w:header="0" w:footer="996" w:gutter="0"/>
          <w:pgNumType w:fmt="numberInDash"/>
          <w:cols w:space="720" w:num="1"/>
        </w:sectPr>
      </w:pPr>
      <w:r>
        <w:rPr>
          <w:rFonts w:hint="eastAsia"/>
          <w:spacing w:val="0"/>
          <w:position w:val="0"/>
          <w:sz w:val="24"/>
          <w:szCs w:val="24"/>
          <w:highlight w:val="none"/>
          <w:lang w:val="en-US"/>
        </w:rPr>
        <w:t>5）所有相关的技术文件及资料均已提交并得到接受。</w:t>
      </w:r>
    </w:p>
    <w:p w14:paraId="3970F635">
      <w:pPr>
        <w:pageBreakBefore w:val="0"/>
        <w:numPr>
          <w:ilvl w:val="0"/>
          <w:numId w:val="0"/>
        </w:numPr>
        <w:tabs>
          <w:tab w:val="left" w:pos="0"/>
        </w:tabs>
        <w:kinsoku/>
        <w:overflowPunct/>
        <w:topLinePunct/>
        <w:bidi w:val="0"/>
        <w:spacing w:before="0" w:after="0" w:line="240" w:lineRule="auto"/>
        <w:ind w:left="0" w:leftChars="0" w:firstLine="0" w:firstLineChars="0"/>
        <w:jc w:val="center"/>
        <w:outlineLvl w:val="0"/>
        <w:rPr>
          <w:rFonts w:hint="eastAsia" w:ascii="宋体" w:hAnsi="宋体" w:eastAsia="宋体" w:cs="宋体"/>
          <w:b/>
          <w:bCs/>
          <w:color w:val="000000"/>
          <w:sz w:val="32"/>
          <w:szCs w:val="32"/>
          <w:highlight w:val="none"/>
        </w:rPr>
      </w:pPr>
      <w:bookmarkStart w:id="313" w:name="_Toc7971"/>
      <w:bookmarkStart w:id="314" w:name="_Toc507399907"/>
      <w:bookmarkStart w:id="315" w:name="_Toc18658"/>
      <w:bookmarkStart w:id="316" w:name="_Toc32647"/>
      <w:bookmarkStart w:id="317" w:name="_Toc4306"/>
      <w:bookmarkStart w:id="318" w:name="_Toc515647832"/>
      <w:bookmarkStart w:id="319" w:name="_Toc26922"/>
      <w:bookmarkStart w:id="320" w:name="_Toc23331"/>
      <w:bookmarkStart w:id="321" w:name="_Toc216582826"/>
      <w:bookmarkStart w:id="322" w:name="_Toc9167"/>
      <w:bookmarkStart w:id="323" w:name="_Toc219175639"/>
      <w:bookmarkStart w:id="324" w:name="_Toc218935355"/>
      <w:bookmarkStart w:id="325" w:name="_Toc25634"/>
      <w:bookmarkStart w:id="326" w:name="_Toc10740"/>
      <w:r>
        <w:rPr>
          <w:rFonts w:hint="eastAsia" w:ascii="宋体" w:hAnsi="宋体" w:eastAsia="宋体" w:cs="宋体"/>
          <w:b/>
          <w:bCs/>
          <w:color w:val="000000"/>
          <w:sz w:val="32"/>
          <w:szCs w:val="32"/>
          <w:highlight w:val="none"/>
          <w:lang w:eastAsia="zh-CN"/>
        </w:rPr>
        <w:t>第</w:t>
      </w:r>
      <w:r>
        <w:rPr>
          <w:rFonts w:hint="eastAsia" w:ascii="宋体" w:hAnsi="宋体" w:eastAsia="宋体" w:cs="宋体"/>
          <w:b/>
          <w:bCs/>
          <w:color w:val="000000"/>
          <w:sz w:val="32"/>
          <w:szCs w:val="32"/>
          <w:highlight w:val="none"/>
          <w:lang w:val="en-US" w:eastAsia="zh-CN"/>
        </w:rPr>
        <w:t xml:space="preserve">6章  </w:t>
      </w:r>
      <w:r>
        <w:rPr>
          <w:rFonts w:hint="eastAsia" w:ascii="宋体" w:hAnsi="宋体" w:eastAsia="宋体" w:cs="宋体"/>
          <w:b/>
          <w:bCs/>
          <w:color w:val="000000"/>
          <w:sz w:val="32"/>
          <w:szCs w:val="32"/>
          <w:highlight w:val="none"/>
        </w:rPr>
        <w:t>评标方法和标准</w:t>
      </w:r>
      <w:bookmarkEnd w:id="313"/>
      <w:bookmarkEnd w:id="314"/>
      <w:bookmarkEnd w:id="315"/>
      <w:bookmarkEnd w:id="316"/>
      <w:bookmarkEnd w:id="317"/>
      <w:bookmarkEnd w:id="318"/>
      <w:bookmarkEnd w:id="319"/>
      <w:bookmarkEnd w:id="320"/>
      <w:bookmarkEnd w:id="321"/>
      <w:bookmarkEnd w:id="322"/>
      <w:bookmarkEnd w:id="323"/>
      <w:bookmarkEnd w:id="324"/>
    </w:p>
    <w:p w14:paraId="17D8FB25">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本项目将按照招标文件第一章供应商须知中“五招标开启及评审”、“六确定中标”及本章的规定评标。</w:t>
      </w:r>
    </w:p>
    <w:p w14:paraId="333A439F">
      <w:pPr>
        <w:pStyle w:val="74"/>
        <w:numPr>
          <w:ilvl w:val="0"/>
          <w:numId w:val="0"/>
        </w:numPr>
        <w:spacing w:line="240" w:lineRule="auto"/>
        <w:outlineLvl w:val="9"/>
        <w:rPr>
          <w:rStyle w:val="40"/>
          <w:rFonts w:hint="eastAsia" w:ascii="宋体" w:hAnsi="宋体" w:eastAsia="宋体" w:cs="宋体"/>
          <w:b/>
          <w:bCs/>
          <w:sz w:val="24"/>
          <w:szCs w:val="24"/>
          <w:highlight w:val="none"/>
          <w:lang w:val="en-US" w:eastAsia="zh-CN"/>
        </w:rPr>
      </w:pPr>
      <w:bookmarkStart w:id="327" w:name="_Toc3260"/>
      <w:r>
        <w:rPr>
          <w:rStyle w:val="40"/>
          <w:rFonts w:hint="eastAsia" w:ascii="宋体" w:hAnsi="宋体" w:eastAsia="宋体" w:cs="宋体"/>
          <w:b/>
          <w:bCs/>
          <w:sz w:val="24"/>
          <w:szCs w:val="24"/>
          <w:highlight w:val="none"/>
          <w:lang w:val="en-US" w:eastAsia="zh-CN"/>
        </w:rPr>
        <w:t>一、拒绝接收投标文件的情形</w:t>
      </w:r>
      <w:bookmarkEnd w:id="327"/>
    </w:p>
    <w:p w14:paraId="79B92896">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在递交投标文件截止时间后上传的投标文件的，采购人和采购代理机构将拒绝签收。</w:t>
      </w:r>
    </w:p>
    <w:p w14:paraId="4CA93AA9">
      <w:pPr>
        <w:pStyle w:val="74"/>
        <w:numPr>
          <w:ilvl w:val="0"/>
          <w:numId w:val="0"/>
        </w:numPr>
        <w:spacing w:line="240" w:lineRule="auto"/>
        <w:outlineLvl w:val="9"/>
        <w:rPr>
          <w:rStyle w:val="40"/>
          <w:rFonts w:hint="eastAsia" w:ascii="宋体" w:hAnsi="宋体" w:eastAsia="宋体" w:cs="宋体"/>
          <w:b/>
          <w:bCs/>
          <w:sz w:val="24"/>
          <w:szCs w:val="24"/>
          <w:highlight w:val="none"/>
          <w:lang w:val="en-US" w:eastAsia="zh-CN"/>
        </w:rPr>
      </w:pPr>
      <w:bookmarkStart w:id="328" w:name="_Toc31513"/>
      <w:r>
        <w:rPr>
          <w:rStyle w:val="40"/>
          <w:rFonts w:hint="eastAsia" w:ascii="宋体" w:hAnsi="宋体" w:eastAsia="宋体" w:cs="宋体"/>
          <w:b/>
          <w:bCs/>
          <w:sz w:val="24"/>
          <w:szCs w:val="24"/>
          <w:highlight w:val="none"/>
          <w:lang w:val="en-US" w:eastAsia="zh-CN"/>
        </w:rPr>
        <w:t>二、不得开启投标文件的情形</w:t>
      </w:r>
      <w:bookmarkEnd w:id="328"/>
    </w:p>
    <w:p w14:paraId="44298110">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供应商不足3家的，不得开启投标文件。</w:t>
      </w:r>
    </w:p>
    <w:p w14:paraId="3B3DDF0D">
      <w:pPr>
        <w:pStyle w:val="74"/>
        <w:numPr>
          <w:ilvl w:val="0"/>
          <w:numId w:val="0"/>
        </w:numPr>
        <w:spacing w:line="240" w:lineRule="auto"/>
        <w:outlineLvl w:val="9"/>
        <w:rPr>
          <w:rStyle w:val="40"/>
          <w:rFonts w:hint="eastAsia" w:ascii="宋体" w:hAnsi="宋体" w:eastAsia="宋体" w:cs="宋体"/>
          <w:b/>
          <w:bCs/>
          <w:sz w:val="24"/>
          <w:szCs w:val="24"/>
          <w:highlight w:val="none"/>
          <w:lang w:val="en-US" w:eastAsia="zh-CN"/>
        </w:rPr>
      </w:pPr>
      <w:bookmarkStart w:id="329" w:name="_Toc29794"/>
      <w:r>
        <w:rPr>
          <w:rStyle w:val="40"/>
          <w:rFonts w:hint="eastAsia" w:ascii="宋体" w:hAnsi="宋体" w:eastAsia="宋体" w:cs="宋体"/>
          <w:b/>
          <w:bCs/>
          <w:sz w:val="24"/>
          <w:szCs w:val="24"/>
          <w:highlight w:val="none"/>
          <w:lang w:val="en-US" w:eastAsia="zh-CN"/>
        </w:rPr>
        <w:t>三、投标文件无效的情形</w:t>
      </w:r>
      <w:bookmarkEnd w:id="329"/>
    </w:p>
    <w:p w14:paraId="7E1C5967">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1.采购人或采购代理机构将在投标文件截止后1小时内查询供应商的信用记录。供应商存在不良信用记录的，其投标资格将被认定为无效。</w:t>
      </w:r>
    </w:p>
    <w:p w14:paraId="618DC765">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2.如采购人所采购产品为政府强制采购的节能产品，供应商所投产品的品牌及型号必须为清单中有效期内产品并提供证明文件，否则其投标资格将被认定为无效。</w:t>
      </w:r>
    </w:p>
    <w:p w14:paraId="4CA3EE25">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在比较与评价之前，根据本须知的规定，评审委员会要审查每份投标文件是否实质上响应了招标文件的要求。实质上响应的投标应该是与招标文件要求的全部条款、条件和规格相符，没有重大偏离的投标文件。对关键条款的偏离，将被认定为无效。供应商不得通过修正或撤销不符合要求的偏离，从而使其投标成为实质上响应的投标。</w:t>
      </w:r>
    </w:p>
    <w:p w14:paraId="7F548594">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4.未按招标文件规定的形式和金额提交投标保证金的；</w:t>
      </w:r>
    </w:p>
    <w:p w14:paraId="5E102290">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5.未按照招标文件规定要求签署、盖章的；</w:t>
      </w:r>
    </w:p>
    <w:p w14:paraId="7168280D">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6.未满足招标文件中技术条款的实质性要求；</w:t>
      </w:r>
    </w:p>
    <w:p w14:paraId="2C4E2729">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7.与其他供应商串通参加投标，或者与采购人串通参加投标；</w:t>
      </w:r>
    </w:p>
    <w:p w14:paraId="5EB40003">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8.属于招标文件规定的其他无效情形；</w:t>
      </w:r>
    </w:p>
    <w:p w14:paraId="34713C82">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9.评审委员会认为供应商的报价明显低于其他通过符合性检查供应商的报价，有可能影响履约的，且供应商未按照规定证明其报价合理性的；</w:t>
      </w:r>
    </w:p>
    <w:p w14:paraId="20675429">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10.投标文件含有采购人不能接受的附加条件的；</w:t>
      </w:r>
    </w:p>
    <w:p w14:paraId="795F5E2D">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11.不符合法规和招标文件中规定的其他实质性要求的。</w:t>
      </w:r>
    </w:p>
    <w:p w14:paraId="70B2AF60">
      <w:pPr>
        <w:pStyle w:val="74"/>
        <w:numPr>
          <w:ilvl w:val="0"/>
          <w:numId w:val="0"/>
        </w:numPr>
        <w:spacing w:line="240" w:lineRule="auto"/>
        <w:outlineLvl w:val="9"/>
        <w:rPr>
          <w:rStyle w:val="40"/>
          <w:rFonts w:hint="eastAsia" w:ascii="宋体" w:hAnsi="宋体" w:eastAsia="宋体" w:cs="宋体"/>
          <w:b/>
          <w:bCs/>
          <w:sz w:val="24"/>
          <w:szCs w:val="24"/>
          <w:highlight w:val="none"/>
          <w:lang w:val="en-US" w:eastAsia="zh-CN"/>
        </w:rPr>
      </w:pPr>
      <w:bookmarkStart w:id="330" w:name="_Toc15193"/>
      <w:r>
        <w:rPr>
          <w:rStyle w:val="40"/>
          <w:rFonts w:hint="eastAsia" w:ascii="宋体" w:hAnsi="宋体" w:eastAsia="宋体" w:cs="宋体"/>
          <w:b/>
          <w:bCs/>
          <w:sz w:val="24"/>
          <w:szCs w:val="24"/>
          <w:highlight w:val="none"/>
          <w:lang w:val="en-US" w:eastAsia="zh-CN"/>
        </w:rPr>
        <w:t>四、投标文件的开启</w:t>
      </w:r>
      <w:bookmarkEnd w:id="330"/>
    </w:p>
    <w:p w14:paraId="0A713EDE">
      <w:pPr>
        <w:pStyle w:val="10"/>
        <w:keepNext w:val="0"/>
        <w:keepLines w:val="0"/>
        <w:pageBreakBefore w:val="0"/>
        <w:widowControl w:val="0"/>
        <w:numPr>
          <w:ilvl w:val="0"/>
          <w:numId w:val="0"/>
        </w:numPr>
        <w:kinsoku/>
        <w:wordWrap/>
        <w:overflowPunct/>
        <w:topLinePunct w:val="0"/>
        <w:bidi w:val="0"/>
        <w:adjustRightInd/>
        <w:spacing w:before="0" w:line="440" w:lineRule="exact"/>
        <w:ind w:firstLine="442" w:firstLineChars="200"/>
        <w:jc w:val="left"/>
        <w:textAlignment w:val="auto"/>
        <w:outlineLvl w:val="9"/>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开标</w:t>
      </w:r>
    </w:p>
    <w:p w14:paraId="2C184907">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开标在招标文件确定的提交投标文件截止时间后进行。开标由采购代理主持,供应商采用电子投标的供应商应委派代表参加电子投标会议。</w:t>
      </w:r>
    </w:p>
    <w:p w14:paraId="4D13B105">
      <w:pPr>
        <w:pStyle w:val="74"/>
        <w:numPr>
          <w:ilvl w:val="0"/>
          <w:numId w:val="0"/>
        </w:numPr>
        <w:spacing w:line="240" w:lineRule="auto"/>
        <w:outlineLvl w:val="9"/>
        <w:rPr>
          <w:rStyle w:val="40"/>
          <w:rFonts w:hint="eastAsia" w:ascii="宋体" w:hAnsi="宋体" w:eastAsia="宋体" w:cs="宋体"/>
          <w:b/>
          <w:bCs/>
          <w:sz w:val="24"/>
          <w:szCs w:val="24"/>
          <w:highlight w:val="none"/>
          <w:lang w:val="en-US" w:eastAsia="zh-CN"/>
        </w:rPr>
      </w:pPr>
      <w:bookmarkStart w:id="331" w:name="_Toc3629"/>
      <w:r>
        <w:rPr>
          <w:rStyle w:val="40"/>
          <w:rFonts w:hint="eastAsia" w:ascii="宋体" w:hAnsi="宋体" w:eastAsia="宋体" w:cs="宋体"/>
          <w:b/>
          <w:bCs/>
          <w:sz w:val="24"/>
          <w:szCs w:val="24"/>
          <w:highlight w:val="none"/>
          <w:lang w:val="en-US" w:eastAsia="zh-CN"/>
        </w:rPr>
        <w:t>五、项目评审专家</w:t>
      </w:r>
      <w:bookmarkEnd w:id="331"/>
    </w:p>
    <w:p w14:paraId="3027E879">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按照《中华人民共和国政府采购法》、《中华人民共和国政府采购法实施条例》、《政府采购竞争性投标采购方式管理暂行办法》及本项目本级和上级财政部门的有关规定依法组建的评审小组，负责评审工作；本项目评审专家由3人组成。</w:t>
      </w:r>
    </w:p>
    <w:p w14:paraId="46697BEF">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评审专家要求：</w:t>
      </w:r>
    </w:p>
    <w:p w14:paraId="012F620A">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1.组织评标委员会推选评标组长，采购人代表不得担任组长；</w:t>
      </w:r>
    </w:p>
    <w:p w14:paraId="55453536">
      <w:pPr>
        <w:pStyle w:val="10"/>
        <w:keepNext w:val="0"/>
        <w:keepLines w:val="0"/>
        <w:pageBreakBefore w:val="0"/>
        <w:widowControl w:val="0"/>
        <w:numPr>
          <w:ilvl w:val="0"/>
          <w:numId w:val="0"/>
        </w:numPr>
        <w:kinsoku/>
        <w:wordWrap/>
        <w:overflowPunct/>
        <w:topLinePunct w:val="0"/>
        <w:bidi w:val="0"/>
        <w:adjustRightInd/>
        <w:spacing w:before="0" w:line="440" w:lineRule="exact"/>
        <w:ind w:firstLine="880" w:firstLineChars="4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2.在评标期间采取必要的通讯管理措施，保证评标活动不受外界干扰，将手机关闭或调成静音交友现场项目监督人员统一保管；</w:t>
      </w:r>
    </w:p>
    <w:p w14:paraId="71982027">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3.审查、评价投标文件是否符合招标文件的商务、技术等实质性要求；</w:t>
      </w:r>
    </w:p>
    <w:p w14:paraId="5157B978">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4.要求投标人对投标文件有关事项作出澄清或者说明；</w:t>
      </w:r>
    </w:p>
    <w:p w14:paraId="695DB015">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5.对投标文件进行比较和评价；</w:t>
      </w:r>
    </w:p>
    <w:p w14:paraId="64E1B028">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6.确定中标候选人名单，以及根据采购人委托直接确定中标人；</w:t>
      </w:r>
    </w:p>
    <w:p w14:paraId="2AC8EFBF">
      <w:pPr>
        <w:pStyle w:val="10"/>
        <w:keepNext w:val="0"/>
        <w:keepLines w:val="0"/>
        <w:pageBreakBefore w:val="0"/>
        <w:widowControl w:val="0"/>
        <w:numPr>
          <w:ilvl w:val="0"/>
          <w:numId w:val="0"/>
        </w:numPr>
        <w:kinsoku/>
        <w:wordWrap/>
        <w:overflowPunct/>
        <w:topLinePunct w:val="0"/>
        <w:bidi w:val="0"/>
        <w:adjustRightInd/>
        <w:spacing w:before="0" w:line="440" w:lineRule="exact"/>
        <w:ind w:firstLine="440" w:firstLineChars="2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7.向采购人、采购代理机构或者有关部门报告评标中发现的违法行为。</w:t>
      </w:r>
    </w:p>
    <w:p w14:paraId="6C06ADF2">
      <w:pPr>
        <w:pStyle w:val="74"/>
        <w:numPr>
          <w:ilvl w:val="0"/>
          <w:numId w:val="0"/>
        </w:numPr>
        <w:spacing w:line="240" w:lineRule="auto"/>
        <w:outlineLvl w:val="9"/>
        <w:rPr>
          <w:rStyle w:val="40"/>
          <w:rFonts w:hint="eastAsia" w:ascii="宋体" w:hAnsi="宋体" w:eastAsia="宋体" w:cs="宋体"/>
          <w:b/>
          <w:bCs/>
          <w:sz w:val="24"/>
          <w:szCs w:val="24"/>
          <w:highlight w:val="none"/>
          <w:lang w:val="en-US" w:eastAsia="zh-CN"/>
        </w:rPr>
      </w:pPr>
      <w:bookmarkStart w:id="332" w:name="_Toc7670"/>
      <w:r>
        <w:rPr>
          <w:rStyle w:val="40"/>
          <w:rFonts w:hint="eastAsia" w:ascii="宋体" w:hAnsi="宋体" w:eastAsia="宋体" w:cs="宋体"/>
          <w:b/>
          <w:bCs/>
          <w:sz w:val="24"/>
          <w:szCs w:val="24"/>
          <w:highlight w:val="none"/>
          <w:lang w:val="en-US" w:eastAsia="zh-CN"/>
        </w:rPr>
        <w:t>六、评标</w:t>
      </w:r>
      <w:bookmarkEnd w:id="332"/>
    </w:p>
    <w:p w14:paraId="13428896">
      <w:pPr>
        <w:pStyle w:val="10"/>
        <w:keepNext w:val="0"/>
        <w:keepLines w:val="0"/>
        <w:pageBreakBefore w:val="0"/>
        <w:widowControl w:val="0"/>
        <w:numPr>
          <w:ilvl w:val="0"/>
          <w:numId w:val="0"/>
        </w:numPr>
        <w:kinsoku/>
        <w:wordWrap/>
        <w:overflowPunct/>
        <w:topLinePunct w:val="0"/>
        <w:bidi w:val="0"/>
        <w:adjustRightInd/>
        <w:spacing w:before="0" w:line="440" w:lineRule="exact"/>
        <w:ind w:firstLine="880" w:firstLineChars="4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1、评标的依据为招标文件和投标文件；</w:t>
      </w:r>
    </w:p>
    <w:p w14:paraId="66789081">
      <w:pPr>
        <w:pStyle w:val="10"/>
        <w:keepNext w:val="0"/>
        <w:keepLines w:val="0"/>
        <w:pageBreakBefore w:val="0"/>
        <w:widowControl w:val="0"/>
        <w:numPr>
          <w:ilvl w:val="0"/>
          <w:numId w:val="0"/>
        </w:numPr>
        <w:kinsoku/>
        <w:wordWrap/>
        <w:overflowPunct/>
        <w:topLinePunct w:val="0"/>
        <w:bidi w:val="0"/>
        <w:adjustRightInd/>
        <w:spacing w:before="0" w:line="440" w:lineRule="exact"/>
        <w:ind w:firstLine="880" w:firstLineChars="4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2、本项目采用综合评分法</w:t>
      </w:r>
    </w:p>
    <w:p w14:paraId="64642C40">
      <w:pPr>
        <w:pStyle w:val="10"/>
        <w:keepNext w:val="0"/>
        <w:keepLines w:val="0"/>
        <w:pageBreakBefore w:val="0"/>
        <w:widowControl w:val="0"/>
        <w:numPr>
          <w:ilvl w:val="0"/>
          <w:numId w:val="0"/>
        </w:numPr>
        <w:kinsoku/>
        <w:wordWrap/>
        <w:overflowPunct/>
        <w:topLinePunct w:val="0"/>
        <w:bidi w:val="0"/>
        <w:adjustRightInd/>
        <w:spacing w:before="0" w:line="440" w:lineRule="exact"/>
        <w:ind w:firstLine="880" w:firstLineChars="4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3、评审委员会成员到齐后，推选评审委员会组长。依据招标文件和投标文件进行认真查阅。审查响文件是否完整，是否有计算错误，要求的投标保证金是否提供，文件是否恰当地签署；</w:t>
      </w:r>
    </w:p>
    <w:p w14:paraId="54195C20">
      <w:pPr>
        <w:pStyle w:val="10"/>
        <w:keepNext w:val="0"/>
        <w:keepLines w:val="0"/>
        <w:pageBreakBefore w:val="0"/>
        <w:widowControl w:val="0"/>
        <w:numPr>
          <w:ilvl w:val="0"/>
          <w:numId w:val="0"/>
        </w:numPr>
        <w:kinsoku/>
        <w:wordWrap/>
        <w:overflowPunct/>
        <w:topLinePunct w:val="0"/>
        <w:bidi w:val="0"/>
        <w:adjustRightInd/>
        <w:spacing w:before="0" w:line="440" w:lineRule="exact"/>
        <w:ind w:firstLine="880" w:firstLineChars="4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4、在对投标文件进行详细评估前，依据投标方提供的资格证明文件审查投标方的财务、技术和服务能力。如果确定投标方无资格履行合同，其投标将被拒绝；</w:t>
      </w:r>
    </w:p>
    <w:p w14:paraId="6CD6EB90">
      <w:pPr>
        <w:pStyle w:val="10"/>
        <w:keepNext w:val="0"/>
        <w:keepLines w:val="0"/>
        <w:pageBreakBefore w:val="0"/>
        <w:widowControl w:val="0"/>
        <w:numPr>
          <w:ilvl w:val="0"/>
          <w:numId w:val="0"/>
        </w:numPr>
        <w:kinsoku/>
        <w:wordWrap/>
        <w:overflowPunct/>
        <w:topLinePunct w:val="0"/>
        <w:bidi w:val="0"/>
        <w:adjustRightInd/>
        <w:spacing w:before="0" w:line="440" w:lineRule="exact"/>
        <w:ind w:firstLine="880" w:firstLineChars="4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评审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14:paraId="47F799EE">
      <w:pPr>
        <w:pStyle w:val="10"/>
        <w:keepNext w:val="0"/>
        <w:keepLines w:val="0"/>
        <w:pageBreakBefore w:val="0"/>
        <w:widowControl w:val="0"/>
        <w:numPr>
          <w:ilvl w:val="0"/>
          <w:numId w:val="0"/>
        </w:numPr>
        <w:kinsoku/>
        <w:wordWrap/>
        <w:overflowPunct/>
        <w:topLinePunct w:val="0"/>
        <w:bidi w:val="0"/>
        <w:adjustRightInd/>
        <w:spacing w:before="0" w:line="440" w:lineRule="exact"/>
        <w:ind w:firstLine="880" w:firstLineChars="4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对投标文件的评估和比较：</w:t>
      </w:r>
    </w:p>
    <w:p w14:paraId="3E9145D4">
      <w:pPr>
        <w:pStyle w:val="10"/>
        <w:keepNext w:val="0"/>
        <w:keepLines w:val="0"/>
        <w:pageBreakBefore w:val="0"/>
        <w:widowControl w:val="0"/>
        <w:numPr>
          <w:ilvl w:val="0"/>
          <w:numId w:val="0"/>
        </w:numPr>
        <w:kinsoku/>
        <w:wordWrap/>
        <w:overflowPunct/>
        <w:topLinePunct w:val="0"/>
        <w:bidi w:val="0"/>
        <w:adjustRightInd/>
        <w:spacing w:before="0" w:line="440" w:lineRule="exact"/>
        <w:ind w:firstLine="880" w:firstLineChars="4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对投标文件的评估和比较分为两步进行，评审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服务的技术水平、能力；服务的质量和适用性；</w:t>
      </w:r>
    </w:p>
    <w:p w14:paraId="45B9527A">
      <w:pPr>
        <w:pStyle w:val="37"/>
        <w:outlineLvl w:val="9"/>
        <w:rPr>
          <w:rFonts w:hint="eastAsia" w:ascii="宋体" w:hAnsi="宋体" w:eastAsia="宋体" w:cs="宋体"/>
          <w:i w:val="0"/>
          <w:iCs w:val="0"/>
          <w:color w:val="000000"/>
          <w:kern w:val="0"/>
          <w:sz w:val="22"/>
          <w:szCs w:val="22"/>
          <w:highlight w:val="none"/>
          <w:u w:val="none"/>
          <w:lang w:val="en-US" w:eastAsia="zh-CN" w:bidi="ar"/>
        </w:rPr>
      </w:pPr>
    </w:p>
    <w:p w14:paraId="4585A0F1">
      <w:pPr>
        <w:outlineLvl w:val="9"/>
        <w:rPr>
          <w:rFonts w:hint="eastAsia" w:ascii="宋体" w:hAnsi="宋体" w:eastAsia="宋体" w:cs="宋体"/>
          <w:i w:val="0"/>
          <w:iCs w:val="0"/>
          <w:color w:val="000000"/>
          <w:kern w:val="0"/>
          <w:sz w:val="22"/>
          <w:szCs w:val="22"/>
          <w:highlight w:val="none"/>
          <w:u w:val="none"/>
          <w:lang w:val="en-US" w:eastAsia="zh-CN" w:bidi="ar"/>
        </w:rPr>
      </w:pPr>
    </w:p>
    <w:p w14:paraId="3D5DA669">
      <w:pPr>
        <w:outlineLvl w:val="9"/>
        <w:rPr>
          <w:rFonts w:hint="eastAsia" w:ascii="宋体" w:hAnsi="宋体" w:eastAsia="宋体" w:cs="宋体"/>
          <w:i w:val="0"/>
          <w:iCs w:val="0"/>
          <w:color w:val="000000"/>
          <w:kern w:val="0"/>
          <w:sz w:val="22"/>
          <w:szCs w:val="22"/>
          <w:highlight w:val="none"/>
          <w:u w:val="none"/>
          <w:lang w:val="en-US" w:eastAsia="zh-CN" w:bidi="ar"/>
        </w:rPr>
      </w:pPr>
    </w:p>
    <w:p w14:paraId="71E4ECB7">
      <w:pPr>
        <w:outlineLvl w:val="9"/>
        <w:rPr>
          <w:rFonts w:hint="eastAsia" w:ascii="宋体" w:hAnsi="宋体" w:eastAsia="宋体" w:cs="宋体"/>
          <w:i w:val="0"/>
          <w:iCs w:val="0"/>
          <w:color w:val="000000"/>
          <w:kern w:val="0"/>
          <w:sz w:val="22"/>
          <w:szCs w:val="22"/>
          <w:highlight w:val="none"/>
          <w:u w:val="none"/>
          <w:lang w:val="en-US" w:eastAsia="zh-CN" w:bidi="ar"/>
        </w:rPr>
      </w:pPr>
    </w:p>
    <w:p w14:paraId="5FDAE456">
      <w:pPr>
        <w:outlineLvl w:val="9"/>
        <w:rPr>
          <w:rFonts w:hint="eastAsia" w:ascii="宋体" w:hAnsi="宋体" w:eastAsia="宋体" w:cs="宋体"/>
          <w:i w:val="0"/>
          <w:iCs w:val="0"/>
          <w:color w:val="000000"/>
          <w:kern w:val="0"/>
          <w:sz w:val="22"/>
          <w:szCs w:val="22"/>
          <w:highlight w:val="none"/>
          <w:u w:val="none"/>
          <w:lang w:val="en-US" w:eastAsia="zh-CN" w:bidi="ar"/>
        </w:rPr>
      </w:pPr>
    </w:p>
    <w:p w14:paraId="6F26ED6A">
      <w:pPr>
        <w:outlineLvl w:val="9"/>
        <w:rPr>
          <w:rFonts w:hint="eastAsia" w:ascii="宋体" w:hAnsi="宋体" w:eastAsia="宋体" w:cs="宋体"/>
          <w:i w:val="0"/>
          <w:iCs w:val="0"/>
          <w:color w:val="000000"/>
          <w:kern w:val="0"/>
          <w:sz w:val="22"/>
          <w:szCs w:val="22"/>
          <w:highlight w:val="none"/>
          <w:u w:val="none"/>
          <w:lang w:val="en-US" w:eastAsia="zh-CN" w:bidi="ar"/>
        </w:rPr>
      </w:pPr>
    </w:p>
    <w:p w14:paraId="1CA71AC0">
      <w:pPr>
        <w:pStyle w:val="37"/>
        <w:outlineLvl w:val="9"/>
        <w:rPr>
          <w:rFonts w:hint="eastAsia"/>
          <w:highlight w:val="none"/>
          <w:lang w:val="en-US" w:eastAsia="zh-CN"/>
        </w:rPr>
      </w:pPr>
    </w:p>
    <w:p w14:paraId="7E6B0C0D">
      <w:pPr>
        <w:outlineLvl w:val="9"/>
        <w:rPr>
          <w:rFonts w:hint="eastAsia" w:ascii="宋体" w:hAnsi="宋体" w:eastAsia="宋体" w:cs="宋体"/>
          <w:i w:val="0"/>
          <w:iCs w:val="0"/>
          <w:color w:val="000000"/>
          <w:kern w:val="0"/>
          <w:sz w:val="22"/>
          <w:szCs w:val="22"/>
          <w:highlight w:val="none"/>
          <w:u w:val="none"/>
          <w:lang w:val="en-US" w:eastAsia="zh-CN" w:bidi="ar"/>
        </w:rPr>
      </w:pPr>
    </w:p>
    <w:p w14:paraId="1C4CF358">
      <w:pPr>
        <w:pStyle w:val="10"/>
        <w:keepNext w:val="0"/>
        <w:keepLines w:val="0"/>
        <w:pageBreakBefore w:val="0"/>
        <w:widowControl w:val="0"/>
        <w:numPr>
          <w:ilvl w:val="0"/>
          <w:numId w:val="0"/>
        </w:numPr>
        <w:kinsoku/>
        <w:wordWrap/>
        <w:overflowPunct/>
        <w:topLinePunct w:val="0"/>
        <w:bidi w:val="0"/>
        <w:adjustRightInd/>
        <w:spacing w:before="0" w:line="440" w:lineRule="exact"/>
        <w:ind w:firstLine="880" w:firstLineChars="400"/>
        <w:jc w:val="left"/>
        <w:textAlignment w:val="auto"/>
        <w:outlineLvl w:val="9"/>
        <w:rPr>
          <w:rFonts w:hint="eastAsia" w:ascii="宋体" w:hAnsi="宋体" w:eastAsia="宋体" w:cs="宋体"/>
          <w:i w:val="0"/>
          <w:iCs w:val="0"/>
          <w:color w:val="000000"/>
          <w:kern w:val="0"/>
          <w:sz w:val="22"/>
          <w:szCs w:val="22"/>
          <w:highlight w:val="none"/>
          <w:u w:val="none"/>
          <w:lang w:val="en-US" w:eastAsia="zh-CN" w:bidi="ar"/>
        </w:rPr>
      </w:pPr>
    </w:p>
    <w:p w14:paraId="2496742A">
      <w:pPr>
        <w:pStyle w:val="20"/>
        <w:numPr>
          <w:ilvl w:val="0"/>
          <w:numId w:val="0"/>
        </w:numPr>
        <w:ind w:leftChars="0"/>
        <w:outlineLvl w:val="9"/>
        <w:rPr>
          <w:rFonts w:hint="eastAsia" w:ascii="宋体" w:hAnsi="宋体" w:eastAsia="宋体" w:cs="宋体"/>
          <w:b/>
          <w:bCs/>
          <w:sz w:val="24"/>
          <w:szCs w:val="22"/>
          <w:highlight w:val="none"/>
        </w:rPr>
      </w:pPr>
      <w:bookmarkStart w:id="333" w:name="_Toc9596"/>
      <w:bookmarkStart w:id="334" w:name="_Toc6014"/>
      <w:r>
        <w:rPr>
          <w:rFonts w:hint="eastAsia" w:ascii="宋体" w:hAnsi="宋体" w:eastAsia="宋体" w:cs="宋体"/>
          <w:b/>
          <w:bCs/>
          <w:sz w:val="24"/>
          <w:szCs w:val="22"/>
          <w:highlight w:val="none"/>
          <w:lang w:val="en-US" w:eastAsia="zh-CN"/>
        </w:rPr>
        <w:t>七、</w:t>
      </w:r>
      <w:r>
        <w:rPr>
          <w:rFonts w:hint="eastAsia" w:ascii="宋体" w:hAnsi="宋体" w:eastAsia="宋体" w:cs="宋体"/>
          <w:b/>
          <w:bCs/>
          <w:sz w:val="24"/>
          <w:szCs w:val="22"/>
          <w:highlight w:val="none"/>
        </w:rPr>
        <w:t>评标标准</w:t>
      </w:r>
      <w:bookmarkEnd w:id="325"/>
      <w:bookmarkEnd w:id="326"/>
      <w:bookmarkEnd w:id="333"/>
      <w:bookmarkEnd w:id="334"/>
    </w:p>
    <w:p w14:paraId="705DBF9C">
      <w:pPr>
        <w:spacing w:line="440" w:lineRule="exact"/>
        <w:jc w:val="center"/>
        <w:outlineLvl w:val="9"/>
        <w:rPr>
          <w:rFonts w:hint="eastAsia" w:ascii="仿宋" w:hAnsi="仿宋" w:eastAsia="仿宋" w:cs="仿宋"/>
          <w:b/>
          <w:color w:val="000000"/>
          <w:sz w:val="32"/>
          <w:szCs w:val="32"/>
          <w:highlight w:val="none"/>
          <w:lang w:eastAsia="zh-CN"/>
        </w:rPr>
      </w:pPr>
      <w:bookmarkStart w:id="335" w:name="_Toc29751"/>
      <w:bookmarkStart w:id="336" w:name="_Toc11055"/>
      <w:bookmarkStart w:id="337" w:name="_Toc25263"/>
      <w:r>
        <w:rPr>
          <w:rFonts w:hint="eastAsia" w:ascii="仿宋" w:hAnsi="仿宋" w:eastAsia="仿宋" w:cs="仿宋"/>
          <w:b/>
          <w:color w:val="000000"/>
          <w:sz w:val="32"/>
          <w:szCs w:val="32"/>
          <w:highlight w:val="none"/>
          <w:lang w:eastAsia="zh-CN"/>
        </w:rPr>
        <w:t>初步评审—资格性审查表</w:t>
      </w:r>
      <w:bookmarkEnd w:id="335"/>
      <w:bookmarkEnd w:id="336"/>
      <w:bookmarkEnd w:id="337"/>
    </w:p>
    <w:tbl>
      <w:tblPr>
        <w:tblStyle w:val="38"/>
        <w:tblpPr w:leftFromText="180" w:rightFromText="180" w:vertAnchor="text" w:horzAnchor="page" w:tblpXSpec="center" w:tblpY="382"/>
        <w:tblOverlap w:val="never"/>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7228"/>
        <w:gridCol w:w="771"/>
        <w:gridCol w:w="840"/>
        <w:gridCol w:w="799"/>
      </w:tblGrid>
      <w:tr w14:paraId="5F73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21" w:type="dxa"/>
            <w:vMerge w:val="restart"/>
            <w:noWrap w:val="0"/>
            <w:vAlign w:val="center"/>
          </w:tcPr>
          <w:p w14:paraId="27D737D7">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7228" w:type="dxa"/>
            <w:vMerge w:val="restart"/>
            <w:noWrap w:val="0"/>
            <w:vAlign w:val="center"/>
          </w:tcPr>
          <w:p w14:paraId="4BF9D3C5">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b/>
                <w:sz w:val="24"/>
                <w:highlight w:val="none"/>
              </w:rPr>
            </w:pPr>
            <w:r>
              <w:rPr>
                <w:rFonts w:hint="eastAsia" w:ascii="仿宋" w:hAnsi="仿宋" w:eastAsia="仿宋" w:cs="仿宋"/>
                <w:b/>
                <w:sz w:val="24"/>
                <w:highlight w:val="none"/>
              </w:rPr>
              <w:t>评审内容</w:t>
            </w:r>
          </w:p>
        </w:tc>
        <w:tc>
          <w:tcPr>
            <w:tcW w:w="2410" w:type="dxa"/>
            <w:gridSpan w:val="3"/>
            <w:noWrap w:val="0"/>
            <w:vAlign w:val="center"/>
          </w:tcPr>
          <w:p w14:paraId="302AF164">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b/>
                <w:sz w:val="24"/>
                <w:highlight w:val="none"/>
              </w:rPr>
            </w:pPr>
            <w:r>
              <w:rPr>
                <w:rFonts w:hint="eastAsia" w:ascii="仿宋" w:hAnsi="仿宋" w:eastAsia="仿宋" w:cs="仿宋"/>
                <w:b/>
                <w:sz w:val="24"/>
                <w:highlight w:val="none"/>
              </w:rPr>
              <w:t>供应商</w:t>
            </w:r>
          </w:p>
        </w:tc>
      </w:tr>
      <w:tr w14:paraId="506B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21" w:type="dxa"/>
            <w:vMerge w:val="continue"/>
            <w:noWrap w:val="0"/>
            <w:vAlign w:val="center"/>
          </w:tcPr>
          <w:p w14:paraId="096BFCE5">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b/>
                <w:sz w:val="24"/>
                <w:highlight w:val="none"/>
              </w:rPr>
            </w:pPr>
          </w:p>
        </w:tc>
        <w:tc>
          <w:tcPr>
            <w:tcW w:w="7228" w:type="dxa"/>
            <w:vMerge w:val="continue"/>
            <w:noWrap w:val="0"/>
            <w:vAlign w:val="center"/>
          </w:tcPr>
          <w:p w14:paraId="0E694AD0">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b/>
                <w:sz w:val="24"/>
                <w:highlight w:val="none"/>
              </w:rPr>
            </w:pPr>
          </w:p>
        </w:tc>
        <w:tc>
          <w:tcPr>
            <w:tcW w:w="771" w:type="dxa"/>
            <w:noWrap w:val="0"/>
            <w:vAlign w:val="center"/>
          </w:tcPr>
          <w:p w14:paraId="3CAA6C7B">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是否合格</w:t>
            </w:r>
          </w:p>
        </w:tc>
        <w:tc>
          <w:tcPr>
            <w:tcW w:w="840" w:type="dxa"/>
            <w:noWrap w:val="0"/>
            <w:vAlign w:val="center"/>
          </w:tcPr>
          <w:p w14:paraId="13470AED">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是否合格</w:t>
            </w:r>
          </w:p>
        </w:tc>
        <w:tc>
          <w:tcPr>
            <w:tcW w:w="799" w:type="dxa"/>
            <w:noWrap w:val="0"/>
            <w:vAlign w:val="center"/>
          </w:tcPr>
          <w:p w14:paraId="690F5A27">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是否合格</w:t>
            </w:r>
          </w:p>
        </w:tc>
      </w:tr>
      <w:tr w14:paraId="3A73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1" w:type="dxa"/>
            <w:noWrap w:val="0"/>
            <w:vAlign w:val="center"/>
          </w:tcPr>
          <w:p w14:paraId="68A6BD84">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1</w:t>
            </w:r>
          </w:p>
        </w:tc>
        <w:tc>
          <w:tcPr>
            <w:tcW w:w="7228" w:type="dxa"/>
            <w:noWrap w:val="0"/>
            <w:vAlign w:val="center"/>
          </w:tcPr>
          <w:p w14:paraId="7AFE7A68">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法人或者非法人组织的营业执照等证明文件（须加盖本单位章）</w:t>
            </w:r>
          </w:p>
        </w:tc>
        <w:tc>
          <w:tcPr>
            <w:tcW w:w="771" w:type="dxa"/>
            <w:noWrap w:val="0"/>
            <w:vAlign w:val="top"/>
          </w:tcPr>
          <w:p w14:paraId="691BED57">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840" w:type="dxa"/>
            <w:noWrap w:val="0"/>
            <w:vAlign w:val="top"/>
          </w:tcPr>
          <w:p w14:paraId="7A4E6FE5">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799" w:type="dxa"/>
            <w:noWrap w:val="0"/>
            <w:vAlign w:val="top"/>
          </w:tcPr>
          <w:p w14:paraId="61F90408">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r>
      <w:tr w14:paraId="5494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21" w:type="dxa"/>
            <w:noWrap w:val="0"/>
            <w:vAlign w:val="center"/>
          </w:tcPr>
          <w:p w14:paraId="79207DA7">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2</w:t>
            </w:r>
          </w:p>
        </w:tc>
        <w:tc>
          <w:tcPr>
            <w:tcW w:w="7228" w:type="dxa"/>
            <w:noWrap w:val="0"/>
            <w:vAlign w:val="center"/>
          </w:tcPr>
          <w:p w14:paraId="09ABF98E">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lang w:eastAsia="zh-CN"/>
              </w:rPr>
            </w:pPr>
            <w:r>
              <w:rPr>
                <w:rFonts w:hint="eastAsia" w:ascii="仿宋" w:hAnsi="仿宋" w:eastAsia="仿宋" w:cs="仿宋"/>
                <w:kern w:val="0"/>
                <w:sz w:val="24"/>
                <w:szCs w:val="24"/>
                <w:highlight w:val="none"/>
                <w:lang w:eastAsia="zh-CN"/>
              </w:rPr>
              <w:t>法定代表人资格证明或法定代表人授权委托书，自然人响应的无需提供；</w:t>
            </w:r>
          </w:p>
        </w:tc>
        <w:tc>
          <w:tcPr>
            <w:tcW w:w="771" w:type="dxa"/>
            <w:noWrap w:val="0"/>
            <w:vAlign w:val="top"/>
          </w:tcPr>
          <w:p w14:paraId="38242806">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840" w:type="dxa"/>
            <w:noWrap w:val="0"/>
            <w:vAlign w:val="top"/>
          </w:tcPr>
          <w:p w14:paraId="23BC7F97">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799" w:type="dxa"/>
            <w:noWrap w:val="0"/>
            <w:vAlign w:val="top"/>
          </w:tcPr>
          <w:p w14:paraId="5A9428FF">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r>
      <w:tr w14:paraId="31A1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1" w:type="dxa"/>
            <w:noWrap w:val="0"/>
            <w:vAlign w:val="center"/>
          </w:tcPr>
          <w:p w14:paraId="0B7494F5">
            <w:pPr>
              <w:keepNext w:val="0"/>
              <w:keepLines w:val="0"/>
              <w:suppressLineNumbers w:val="0"/>
              <w:spacing w:before="0" w:beforeAutospacing="0" w:after="0" w:afterAutospacing="0" w:line="240" w:lineRule="atLeast"/>
              <w:ind w:left="0" w:right="0"/>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7228" w:type="dxa"/>
            <w:noWrap w:val="0"/>
            <w:vAlign w:val="center"/>
          </w:tcPr>
          <w:p w14:paraId="6714993E">
            <w:pPr>
              <w:keepNext w:val="0"/>
              <w:keepLines w:val="0"/>
              <w:suppressLineNumbers w:val="0"/>
              <w:spacing w:before="0" w:beforeAutospacing="0" w:after="0" w:afterAutospacing="0" w:line="240" w:lineRule="atLeast"/>
              <w:ind w:left="0" w:right="0"/>
              <w:jc w:val="both"/>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提供本单位缴纳的近6个月内任意1个月的社保缴费凭证及单位缴费个人明细表（社保证明可含：社保缴费凭证、社保缴费汇总单、依法缴纳社保的完税证明）；</w:t>
            </w:r>
          </w:p>
        </w:tc>
        <w:tc>
          <w:tcPr>
            <w:tcW w:w="771" w:type="dxa"/>
            <w:noWrap w:val="0"/>
            <w:vAlign w:val="top"/>
          </w:tcPr>
          <w:p w14:paraId="21CD603C">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840" w:type="dxa"/>
            <w:noWrap w:val="0"/>
            <w:vAlign w:val="top"/>
          </w:tcPr>
          <w:p w14:paraId="56A6BE4C">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799" w:type="dxa"/>
            <w:noWrap w:val="0"/>
            <w:vAlign w:val="top"/>
          </w:tcPr>
          <w:p w14:paraId="3355B9D5">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r>
      <w:tr w14:paraId="3289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21" w:type="dxa"/>
            <w:noWrap w:val="0"/>
            <w:vAlign w:val="center"/>
          </w:tcPr>
          <w:p w14:paraId="10F73474">
            <w:pPr>
              <w:keepNext w:val="0"/>
              <w:keepLines w:val="0"/>
              <w:suppressLineNumbers w:val="0"/>
              <w:spacing w:before="0" w:beforeAutospacing="0" w:after="0" w:afterAutospacing="0" w:line="300" w:lineRule="auto"/>
              <w:ind w:left="0" w:right="0"/>
              <w:jc w:val="center"/>
              <w:outlineLvl w:val="9"/>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7228" w:type="dxa"/>
            <w:noWrap w:val="0"/>
            <w:vAlign w:val="center"/>
          </w:tcPr>
          <w:p w14:paraId="272DCBA4">
            <w:pPr>
              <w:keepNext w:val="0"/>
              <w:keepLines w:val="0"/>
              <w:suppressLineNumbers w:val="0"/>
              <w:spacing w:before="0" w:beforeAutospacing="0" w:after="0" w:afterAutospacing="0" w:line="300" w:lineRule="auto"/>
              <w:ind w:left="0" w:right="0"/>
              <w:jc w:val="both"/>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具有良好的商业信誉和健全的财务会计制度；提供2024年的财务审计报告（新成立未满一年的公司需提供银行资信证明）</w:t>
            </w:r>
          </w:p>
        </w:tc>
        <w:tc>
          <w:tcPr>
            <w:tcW w:w="771" w:type="dxa"/>
            <w:noWrap w:val="0"/>
            <w:vAlign w:val="top"/>
          </w:tcPr>
          <w:p w14:paraId="348BCAFB">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840" w:type="dxa"/>
            <w:noWrap w:val="0"/>
            <w:vAlign w:val="top"/>
          </w:tcPr>
          <w:p w14:paraId="4419CE6C">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799" w:type="dxa"/>
            <w:noWrap w:val="0"/>
            <w:vAlign w:val="top"/>
          </w:tcPr>
          <w:p w14:paraId="68F96825">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r>
      <w:tr w14:paraId="039E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1" w:type="dxa"/>
            <w:noWrap w:val="0"/>
            <w:vAlign w:val="center"/>
          </w:tcPr>
          <w:p w14:paraId="5CBC7812">
            <w:pPr>
              <w:keepNext w:val="0"/>
              <w:keepLines w:val="0"/>
              <w:suppressLineNumbers w:val="0"/>
              <w:spacing w:before="0" w:beforeAutospacing="0" w:after="0" w:afterAutospacing="0" w:line="300" w:lineRule="auto"/>
              <w:ind w:left="0" w:right="0"/>
              <w:jc w:val="center"/>
              <w:outlineLvl w:val="9"/>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7228" w:type="dxa"/>
            <w:noWrap w:val="0"/>
            <w:vAlign w:val="center"/>
          </w:tcPr>
          <w:p w14:paraId="7EC095D8">
            <w:pPr>
              <w:keepNext w:val="0"/>
              <w:keepLines w:val="0"/>
              <w:suppressLineNumbers w:val="0"/>
              <w:spacing w:before="0" w:beforeAutospacing="0" w:after="0" w:afterAutospacing="0" w:line="300" w:lineRule="auto"/>
              <w:ind w:left="0" w:right="0"/>
              <w:outlineLvl w:val="9"/>
              <w:rPr>
                <w:rFonts w:hint="eastAsia" w:ascii="仿宋" w:hAnsi="仿宋" w:eastAsia="仿宋" w:cs="仿宋"/>
                <w:bCs/>
                <w:kern w:val="0"/>
                <w:sz w:val="24"/>
                <w:highlight w:val="none"/>
                <w:shd w:val="clear" w:color="auto" w:fill="FFFFFF"/>
                <w:lang w:eastAsia="zh-CN"/>
              </w:rPr>
            </w:pPr>
            <w:r>
              <w:rPr>
                <w:rFonts w:hint="eastAsia" w:ascii="仿宋" w:hAnsi="仿宋" w:eastAsia="仿宋" w:cs="仿宋"/>
                <w:bCs/>
                <w:kern w:val="0"/>
                <w:sz w:val="24"/>
                <w:highlight w:val="none"/>
                <w:shd w:val="clear" w:color="auto" w:fill="FFFFFF"/>
                <w:lang w:eastAsia="zh-CN"/>
              </w:rPr>
              <w:t>提供近6个月内任意1个月税务局开具的完税证明；依法免缴的应提供依法免缴的相关证明文件和零申报报表（完税证明或税务部门出具的其他证明，非社会保险类）；</w:t>
            </w:r>
          </w:p>
        </w:tc>
        <w:tc>
          <w:tcPr>
            <w:tcW w:w="771" w:type="dxa"/>
            <w:noWrap w:val="0"/>
            <w:vAlign w:val="top"/>
          </w:tcPr>
          <w:p w14:paraId="07D3DD01">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840" w:type="dxa"/>
            <w:noWrap w:val="0"/>
            <w:vAlign w:val="top"/>
          </w:tcPr>
          <w:p w14:paraId="6A23A806">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799" w:type="dxa"/>
            <w:noWrap w:val="0"/>
            <w:vAlign w:val="top"/>
          </w:tcPr>
          <w:p w14:paraId="3DED0C8C">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r>
      <w:tr w14:paraId="22DD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1" w:type="dxa"/>
            <w:noWrap w:val="0"/>
            <w:vAlign w:val="center"/>
          </w:tcPr>
          <w:p w14:paraId="37F01849">
            <w:pPr>
              <w:keepNext w:val="0"/>
              <w:keepLines w:val="0"/>
              <w:suppressLineNumbers w:val="0"/>
              <w:spacing w:before="0" w:beforeAutospacing="0" w:after="0" w:afterAutospacing="0" w:line="300" w:lineRule="auto"/>
              <w:ind w:left="0" w:right="0"/>
              <w:jc w:val="center"/>
              <w:outlineLvl w:val="9"/>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7228" w:type="dxa"/>
            <w:noWrap w:val="0"/>
            <w:vAlign w:val="center"/>
          </w:tcPr>
          <w:p w14:paraId="76C99C1E">
            <w:pPr>
              <w:keepNext w:val="0"/>
              <w:keepLines w:val="0"/>
              <w:suppressLineNumbers w:val="0"/>
              <w:spacing w:before="0" w:beforeAutospacing="0" w:after="0" w:afterAutospacing="0" w:line="240" w:lineRule="atLeast"/>
              <w:ind w:left="0" w:right="0"/>
              <w:jc w:val="both"/>
              <w:outlineLvl w:val="9"/>
              <w:rPr>
                <w:rFonts w:hint="eastAsia" w:ascii="仿宋" w:hAnsi="仿宋" w:eastAsia="仿宋" w:cs="仿宋"/>
                <w:sz w:val="24"/>
                <w:highlight w:val="none"/>
              </w:rPr>
            </w:pPr>
            <w:r>
              <w:rPr>
                <w:rFonts w:hint="eastAsia" w:ascii="仿宋" w:hAnsi="仿宋" w:eastAsia="仿宋" w:cs="Times New Roman"/>
                <w:sz w:val="24"/>
                <w:szCs w:val="24"/>
                <w:highlight w:val="none"/>
              </w:rPr>
              <w:t>投标单位（供应商）针对本次项目《反商业贿赂承诺书》；</w:t>
            </w:r>
          </w:p>
        </w:tc>
        <w:tc>
          <w:tcPr>
            <w:tcW w:w="771" w:type="dxa"/>
            <w:noWrap w:val="0"/>
            <w:vAlign w:val="top"/>
          </w:tcPr>
          <w:p w14:paraId="4AB1B8BD">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840" w:type="dxa"/>
            <w:noWrap w:val="0"/>
            <w:vAlign w:val="top"/>
          </w:tcPr>
          <w:p w14:paraId="2679F5DC">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799" w:type="dxa"/>
            <w:noWrap w:val="0"/>
            <w:vAlign w:val="top"/>
          </w:tcPr>
          <w:p w14:paraId="6607E765">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r>
      <w:tr w14:paraId="45AD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21" w:type="dxa"/>
            <w:noWrap w:val="0"/>
            <w:vAlign w:val="center"/>
          </w:tcPr>
          <w:p w14:paraId="5A8F823C">
            <w:pPr>
              <w:keepNext w:val="0"/>
              <w:keepLines w:val="0"/>
              <w:suppressLineNumbers w:val="0"/>
              <w:spacing w:before="0" w:beforeAutospacing="0" w:after="0" w:afterAutospacing="0" w:line="300" w:lineRule="auto"/>
              <w:ind w:left="0" w:right="0"/>
              <w:jc w:val="center"/>
              <w:outlineLvl w:val="9"/>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7228" w:type="dxa"/>
            <w:noWrap w:val="0"/>
            <w:vAlign w:val="center"/>
          </w:tcPr>
          <w:p w14:paraId="567BD64E">
            <w:pPr>
              <w:keepNext w:val="0"/>
              <w:keepLines w:val="0"/>
              <w:widowControl/>
              <w:suppressLineNumbers w:val="0"/>
              <w:spacing w:before="0" w:beforeAutospacing="0" w:after="0" w:afterAutospacing="0"/>
              <w:ind w:left="0" w:right="0"/>
              <w:jc w:val="left"/>
              <w:outlineLvl w:val="9"/>
              <w:rPr>
                <w:rFonts w:hint="eastAsia" w:ascii="仿宋" w:hAnsi="仿宋" w:eastAsia="仿宋" w:cs="仿宋"/>
                <w:bCs/>
                <w:sz w:val="24"/>
                <w:highlight w:val="none"/>
                <w:lang w:eastAsia="zh-CN"/>
              </w:rPr>
            </w:pPr>
            <w:r>
              <w:rPr>
                <w:rFonts w:hint="eastAsia" w:ascii="仿宋" w:hAnsi="仿宋" w:eastAsia="仿宋" w:cs="仿宋"/>
                <w:kern w:val="2"/>
                <w:sz w:val="24"/>
                <w:szCs w:val="24"/>
                <w:highlight w:val="none"/>
                <w:lang w:val="en-US" w:eastAsia="zh-CN" w:bidi="ar-SA"/>
              </w:rPr>
              <w:t>提供参与政府采购活动前3年内未被列入失信、重大税收违法案件、财政部门禁止参加政府采购活动的承诺书；</w:t>
            </w:r>
          </w:p>
        </w:tc>
        <w:tc>
          <w:tcPr>
            <w:tcW w:w="771" w:type="dxa"/>
            <w:noWrap w:val="0"/>
            <w:vAlign w:val="top"/>
          </w:tcPr>
          <w:p w14:paraId="11D8DE4F">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840" w:type="dxa"/>
            <w:noWrap w:val="0"/>
            <w:vAlign w:val="top"/>
          </w:tcPr>
          <w:p w14:paraId="6EB68BA4">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799" w:type="dxa"/>
            <w:noWrap w:val="0"/>
            <w:vAlign w:val="top"/>
          </w:tcPr>
          <w:p w14:paraId="25942559">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r>
      <w:tr w14:paraId="7340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21" w:type="dxa"/>
            <w:noWrap w:val="0"/>
            <w:vAlign w:val="center"/>
          </w:tcPr>
          <w:p w14:paraId="7A75B9B1">
            <w:pPr>
              <w:keepNext w:val="0"/>
              <w:keepLines w:val="0"/>
              <w:suppressLineNumbers w:val="0"/>
              <w:spacing w:before="0" w:beforeAutospacing="0" w:after="0" w:afterAutospacing="0" w:line="300" w:lineRule="auto"/>
              <w:ind w:left="0" w:right="0"/>
              <w:jc w:val="center"/>
              <w:outlineLvl w:val="9"/>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7228" w:type="dxa"/>
            <w:noWrap w:val="0"/>
            <w:vAlign w:val="center"/>
          </w:tcPr>
          <w:p w14:paraId="11249D4C">
            <w:pPr>
              <w:keepNext w:val="0"/>
              <w:keepLines w:val="0"/>
              <w:suppressLineNumbers w:val="0"/>
              <w:spacing w:before="0" w:beforeAutospacing="0" w:after="0" w:afterAutospacing="0" w:line="300" w:lineRule="auto"/>
              <w:ind w:left="0" w:right="0"/>
              <w:jc w:val="both"/>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缴纳磋商保证金的有效凭证。</w:t>
            </w:r>
          </w:p>
        </w:tc>
        <w:tc>
          <w:tcPr>
            <w:tcW w:w="771" w:type="dxa"/>
            <w:noWrap w:val="0"/>
            <w:vAlign w:val="top"/>
          </w:tcPr>
          <w:p w14:paraId="166C0DDB">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lang w:val="en-US" w:eastAsia="zh-CN"/>
              </w:rPr>
            </w:pPr>
          </w:p>
        </w:tc>
        <w:tc>
          <w:tcPr>
            <w:tcW w:w="840" w:type="dxa"/>
            <w:noWrap w:val="0"/>
            <w:vAlign w:val="top"/>
          </w:tcPr>
          <w:p w14:paraId="1CCAC8F4">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lang w:val="en-US" w:eastAsia="zh-CN"/>
              </w:rPr>
            </w:pPr>
          </w:p>
        </w:tc>
        <w:tc>
          <w:tcPr>
            <w:tcW w:w="799" w:type="dxa"/>
            <w:noWrap w:val="0"/>
            <w:vAlign w:val="top"/>
          </w:tcPr>
          <w:p w14:paraId="2406A3E0">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lang w:val="en-US" w:eastAsia="zh-CN"/>
              </w:rPr>
            </w:pPr>
          </w:p>
        </w:tc>
      </w:tr>
      <w:tr w14:paraId="0277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21" w:type="dxa"/>
            <w:noWrap w:val="0"/>
            <w:vAlign w:val="center"/>
          </w:tcPr>
          <w:p w14:paraId="315181E8">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7228" w:type="dxa"/>
            <w:noWrap w:val="0"/>
            <w:vAlign w:val="center"/>
          </w:tcPr>
          <w:p w14:paraId="2AF12535">
            <w:pPr>
              <w:keepNext w:val="0"/>
              <w:keepLines w:val="0"/>
              <w:suppressLineNumbers w:val="0"/>
              <w:spacing w:before="0" w:beforeAutospacing="0" w:after="0" w:afterAutospacing="0"/>
              <w:ind w:left="0" w:right="0"/>
              <w:outlineLvl w:val="9"/>
              <w:rPr>
                <w:rFonts w:hint="eastAsia" w:ascii="仿宋" w:hAnsi="仿宋" w:eastAsia="仿宋" w:cs="仿宋"/>
                <w:b w:val="0"/>
                <w:bCs w:val="0"/>
                <w:color w:val="auto"/>
                <w:sz w:val="24"/>
                <w:highlight w:val="none"/>
                <w:lang w:val="en-US" w:eastAsia="zh-CN"/>
              </w:rPr>
            </w:pPr>
            <w:r>
              <w:rPr>
                <w:rFonts w:hint="eastAsia" w:ascii="仿宋" w:hAnsi="仿宋" w:eastAsia="仿宋" w:cs="Times New Roman"/>
                <w:b w:val="0"/>
                <w:bCs w:val="0"/>
                <w:color w:val="auto"/>
                <w:sz w:val="24"/>
                <w:szCs w:val="24"/>
                <w:highlight w:val="none"/>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被列入失信被执行人、重大税收违法案件当事人名单(信用服务-失信惩戒对象查询-搜索栏输入单位全称 -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tc>
        <w:tc>
          <w:tcPr>
            <w:tcW w:w="771" w:type="dxa"/>
            <w:noWrap w:val="0"/>
            <w:vAlign w:val="top"/>
          </w:tcPr>
          <w:p w14:paraId="56F9C1B2">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840" w:type="dxa"/>
            <w:noWrap w:val="0"/>
            <w:vAlign w:val="top"/>
          </w:tcPr>
          <w:p w14:paraId="7382B812">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799" w:type="dxa"/>
            <w:noWrap w:val="0"/>
            <w:vAlign w:val="top"/>
          </w:tcPr>
          <w:p w14:paraId="3314291F">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r>
      <w:tr w14:paraId="5AB7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21" w:type="dxa"/>
            <w:noWrap w:val="0"/>
            <w:vAlign w:val="center"/>
          </w:tcPr>
          <w:p w14:paraId="3C6CAD53">
            <w:pPr>
              <w:keepNext w:val="0"/>
              <w:keepLines w:val="0"/>
              <w:suppressLineNumbers w:val="0"/>
              <w:spacing w:before="0" w:beforeAutospacing="0" w:after="0" w:afterAutospacing="0" w:line="300" w:lineRule="auto"/>
              <w:ind w:left="0" w:right="0"/>
              <w:jc w:val="center"/>
              <w:outlineLvl w:val="9"/>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7228" w:type="dxa"/>
            <w:noWrap w:val="0"/>
            <w:vAlign w:val="center"/>
          </w:tcPr>
          <w:p w14:paraId="7A27F089">
            <w:pPr>
              <w:keepNext w:val="0"/>
              <w:keepLines w:val="0"/>
              <w:suppressLineNumbers w:val="0"/>
              <w:spacing w:before="0" w:beforeAutospacing="0" w:after="0" w:afterAutospacing="0"/>
              <w:ind w:left="0" w:right="0"/>
              <w:outlineLvl w:val="9"/>
              <w:rPr>
                <w:rFonts w:hint="default" w:ascii="仿宋" w:hAnsi="仿宋" w:eastAsia="仿宋" w:cs="Times New Roman"/>
                <w:b w:val="0"/>
                <w:bCs w:val="0"/>
                <w:color w:val="auto"/>
                <w:sz w:val="24"/>
                <w:szCs w:val="24"/>
                <w:highlight w:val="none"/>
                <w:lang w:val="en-US" w:eastAsia="zh-CN"/>
              </w:rPr>
            </w:pPr>
            <w:r>
              <w:rPr>
                <w:rFonts w:hint="eastAsia" w:ascii="仿宋" w:hAnsi="仿宋" w:eastAsia="仿宋" w:cs="Times New Roman"/>
                <w:b w:val="0"/>
                <w:bCs w:val="0"/>
                <w:color w:val="auto"/>
                <w:sz w:val="24"/>
                <w:szCs w:val="24"/>
                <w:highlight w:val="none"/>
                <w:lang w:val="en-US" w:eastAsia="zh-CN"/>
              </w:rPr>
              <w:t>提供中小企业声明函；</w:t>
            </w:r>
          </w:p>
        </w:tc>
        <w:tc>
          <w:tcPr>
            <w:tcW w:w="771" w:type="dxa"/>
            <w:noWrap w:val="0"/>
            <w:vAlign w:val="top"/>
          </w:tcPr>
          <w:p w14:paraId="508C8199">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840" w:type="dxa"/>
            <w:noWrap w:val="0"/>
            <w:vAlign w:val="top"/>
          </w:tcPr>
          <w:p w14:paraId="77092D45">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799" w:type="dxa"/>
            <w:noWrap w:val="0"/>
            <w:vAlign w:val="top"/>
          </w:tcPr>
          <w:p w14:paraId="19A31734">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r>
      <w:tr w14:paraId="5982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21" w:type="dxa"/>
            <w:noWrap w:val="0"/>
            <w:vAlign w:val="center"/>
          </w:tcPr>
          <w:p w14:paraId="5AA377EB">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7228" w:type="dxa"/>
            <w:noWrap w:val="0"/>
            <w:vAlign w:val="center"/>
          </w:tcPr>
          <w:p w14:paraId="7C2984C8">
            <w:pPr>
              <w:keepNext w:val="0"/>
              <w:keepLines w:val="0"/>
              <w:suppressLineNumbers w:val="0"/>
              <w:spacing w:before="0" w:beforeAutospacing="0" w:after="0" w:afterAutospacing="0" w:line="300" w:lineRule="auto"/>
              <w:ind w:left="0" w:right="0"/>
              <w:outlineLvl w:val="9"/>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结论</w:t>
            </w:r>
          </w:p>
        </w:tc>
        <w:tc>
          <w:tcPr>
            <w:tcW w:w="771" w:type="dxa"/>
            <w:noWrap w:val="0"/>
            <w:vAlign w:val="top"/>
          </w:tcPr>
          <w:p w14:paraId="7BE6E7C6">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840" w:type="dxa"/>
            <w:noWrap w:val="0"/>
            <w:vAlign w:val="top"/>
          </w:tcPr>
          <w:p w14:paraId="104D14DB">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c>
          <w:tcPr>
            <w:tcW w:w="799" w:type="dxa"/>
            <w:noWrap w:val="0"/>
            <w:vAlign w:val="top"/>
          </w:tcPr>
          <w:p w14:paraId="49253E28">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r>
    </w:tbl>
    <w:p w14:paraId="44E41D45">
      <w:pPr>
        <w:spacing w:line="360" w:lineRule="auto"/>
        <w:outlineLvl w:val="9"/>
        <w:rPr>
          <w:rFonts w:hint="eastAsia" w:ascii="仿宋" w:hAnsi="仿宋" w:eastAsia="仿宋" w:cs="仿宋"/>
          <w:b/>
          <w:color w:val="000000"/>
          <w:sz w:val="32"/>
          <w:szCs w:val="32"/>
          <w:highlight w:val="none"/>
          <w:lang w:eastAsia="zh-CN"/>
        </w:rPr>
      </w:pPr>
      <w:r>
        <w:rPr>
          <w:rFonts w:hint="eastAsia" w:ascii="仿宋" w:hAnsi="仿宋" w:eastAsia="仿宋" w:cs="仿宋"/>
          <w:sz w:val="24"/>
          <w:highlight w:val="none"/>
        </w:rPr>
        <w:t>注：★</w:t>
      </w:r>
      <w:r>
        <w:rPr>
          <w:rFonts w:hint="eastAsia" w:ascii="仿宋" w:hAnsi="仿宋" w:eastAsia="仿宋" w:cs="仿宋"/>
          <w:b/>
          <w:bCs/>
          <w:sz w:val="24"/>
          <w:highlight w:val="none"/>
        </w:rPr>
        <w:t>备注：如果投标文件中有一项未通过上述审查标准，评标委员会将认定整个投标文件未响应</w:t>
      </w:r>
      <w:r>
        <w:rPr>
          <w:rFonts w:hint="eastAsia" w:ascii="仿宋" w:hAnsi="仿宋" w:eastAsia="仿宋" w:cs="仿宋"/>
          <w:b/>
          <w:bCs/>
          <w:sz w:val="24"/>
          <w:highlight w:val="none"/>
          <w:lang w:eastAsia="zh-CN"/>
        </w:rPr>
        <w:t>磋商文件</w:t>
      </w:r>
      <w:r>
        <w:rPr>
          <w:rFonts w:hint="eastAsia" w:ascii="仿宋" w:hAnsi="仿宋" w:eastAsia="仿宋" w:cs="仿宋"/>
          <w:b/>
          <w:bCs/>
          <w:sz w:val="24"/>
          <w:highlight w:val="none"/>
        </w:rPr>
        <w:t>而予以废标处理。</w:t>
      </w:r>
    </w:p>
    <w:p w14:paraId="7D3BE130">
      <w:pPr>
        <w:pStyle w:val="27"/>
        <w:outlineLvl w:val="9"/>
        <w:rPr>
          <w:rFonts w:hint="eastAsia"/>
          <w:highlight w:val="none"/>
          <w:lang w:eastAsia="zh-CN"/>
        </w:rPr>
      </w:pPr>
    </w:p>
    <w:p w14:paraId="03E28766">
      <w:pPr>
        <w:spacing w:line="440" w:lineRule="exact"/>
        <w:jc w:val="center"/>
        <w:outlineLvl w:val="9"/>
        <w:rPr>
          <w:rFonts w:hint="eastAsia" w:ascii="仿宋" w:hAnsi="仿宋" w:eastAsia="仿宋" w:cs="仿宋"/>
          <w:b/>
          <w:color w:val="000000"/>
          <w:sz w:val="32"/>
          <w:szCs w:val="32"/>
          <w:highlight w:val="none"/>
          <w:lang w:eastAsia="zh-CN"/>
        </w:rPr>
      </w:pPr>
    </w:p>
    <w:p w14:paraId="11C421AF">
      <w:pPr>
        <w:spacing w:line="440" w:lineRule="exact"/>
        <w:jc w:val="center"/>
        <w:outlineLvl w:val="9"/>
        <w:rPr>
          <w:rFonts w:hint="eastAsia" w:ascii="仿宋" w:hAnsi="仿宋" w:eastAsia="仿宋" w:cs="仿宋"/>
          <w:b/>
          <w:color w:val="000000"/>
          <w:sz w:val="32"/>
          <w:szCs w:val="32"/>
          <w:highlight w:val="none"/>
          <w:lang w:eastAsia="zh-CN"/>
        </w:rPr>
      </w:pPr>
    </w:p>
    <w:p w14:paraId="6CD9C37C">
      <w:pPr>
        <w:spacing w:line="440" w:lineRule="exact"/>
        <w:jc w:val="center"/>
        <w:outlineLvl w:val="9"/>
        <w:rPr>
          <w:rFonts w:hint="eastAsia" w:ascii="仿宋" w:hAnsi="仿宋" w:eastAsia="仿宋" w:cs="仿宋"/>
          <w:b/>
          <w:color w:val="000000"/>
          <w:sz w:val="32"/>
          <w:szCs w:val="32"/>
          <w:highlight w:val="none"/>
          <w:lang w:eastAsia="zh-CN"/>
        </w:rPr>
      </w:pPr>
    </w:p>
    <w:p w14:paraId="2E0C2F12">
      <w:pPr>
        <w:spacing w:line="440" w:lineRule="exact"/>
        <w:jc w:val="both"/>
        <w:outlineLvl w:val="9"/>
        <w:rPr>
          <w:rFonts w:hint="eastAsia" w:ascii="仿宋" w:hAnsi="仿宋" w:eastAsia="仿宋" w:cs="仿宋"/>
          <w:b/>
          <w:color w:val="000000"/>
          <w:sz w:val="32"/>
          <w:szCs w:val="32"/>
          <w:highlight w:val="none"/>
          <w:lang w:eastAsia="zh-CN"/>
        </w:rPr>
      </w:pPr>
    </w:p>
    <w:p w14:paraId="5C3899E7">
      <w:pPr>
        <w:spacing w:line="440" w:lineRule="exact"/>
        <w:jc w:val="center"/>
        <w:outlineLvl w:val="9"/>
        <w:rPr>
          <w:rFonts w:hint="eastAsia" w:ascii="仿宋" w:hAnsi="仿宋" w:eastAsia="仿宋" w:cs="仿宋"/>
          <w:b/>
          <w:color w:val="000000"/>
          <w:sz w:val="32"/>
          <w:szCs w:val="32"/>
          <w:highlight w:val="none"/>
        </w:rPr>
      </w:pPr>
      <w:bookmarkStart w:id="338" w:name="_Toc29151"/>
      <w:bookmarkStart w:id="339" w:name="_Toc21395"/>
      <w:bookmarkStart w:id="340" w:name="_Toc15983"/>
      <w:r>
        <w:rPr>
          <w:rFonts w:hint="eastAsia" w:ascii="仿宋" w:hAnsi="仿宋" w:eastAsia="仿宋" w:cs="仿宋"/>
          <w:b/>
          <w:color w:val="000000"/>
          <w:sz w:val="32"/>
          <w:szCs w:val="32"/>
          <w:highlight w:val="none"/>
          <w:lang w:eastAsia="zh-CN"/>
        </w:rPr>
        <w:t>初步评审—</w:t>
      </w:r>
      <w:r>
        <w:rPr>
          <w:rFonts w:hint="eastAsia" w:ascii="仿宋" w:hAnsi="仿宋" w:eastAsia="仿宋" w:cs="仿宋"/>
          <w:b/>
          <w:color w:val="000000"/>
          <w:sz w:val="32"/>
          <w:szCs w:val="32"/>
          <w:highlight w:val="none"/>
        </w:rPr>
        <w:t>符合性</w:t>
      </w:r>
      <w:r>
        <w:rPr>
          <w:rFonts w:hint="eastAsia" w:ascii="仿宋" w:hAnsi="仿宋" w:eastAsia="仿宋" w:cs="仿宋"/>
          <w:b/>
          <w:color w:val="000000"/>
          <w:sz w:val="32"/>
          <w:szCs w:val="32"/>
          <w:highlight w:val="none"/>
          <w:lang w:eastAsia="zh-CN"/>
        </w:rPr>
        <w:t>审</w:t>
      </w:r>
      <w:r>
        <w:rPr>
          <w:rFonts w:hint="eastAsia" w:ascii="仿宋" w:hAnsi="仿宋" w:eastAsia="仿宋" w:cs="仿宋"/>
          <w:b/>
          <w:color w:val="000000"/>
          <w:sz w:val="32"/>
          <w:szCs w:val="32"/>
          <w:highlight w:val="none"/>
        </w:rPr>
        <w:t>查</w:t>
      </w:r>
      <w:bookmarkEnd w:id="338"/>
      <w:bookmarkEnd w:id="339"/>
      <w:bookmarkEnd w:id="340"/>
    </w:p>
    <w:tbl>
      <w:tblPr>
        <w:tblStyle w:val="38"/>
        <w:tblpPr w:leftFromText="180" w:rightFromText="180" w:vertAnchor="text" w:horzAnchor="page" w:tblpXSpec="center" w:tblpY="2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174"/>
        <w:gridCol w:w="1017"/>
      </w:tblGrid>
      <w:tr w14:paraId="389D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022" w:type="dxa"/>
            <w:gridSpan w:val="2"/>
            <w:noWrap w:val="0"/>
            <w:vAlign w:val="center"/>
          </w:tcPr>
          <w:p w14:paraId="2E7E4C7B">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b/>
                <w:spacing w:val="-2"/>
                <w:sz w:val="24"/>
                <w:highlight w:val="none"/>
              </w:rPr>
            </w:pPr>
            <w:r>
              <w:rPr>
                <w:rFonts w:hint="eastAsia" w:ascii="仿宋" w:hAnsi="仿宋" w:eastAsia="仿宋" w:cs="仿宋"/>
                <w:b/>
                <w:spacing w:val="-2"/>
                <w:sz w:val="24"/>
                <w:highlight w:val="none"/>
              </w:rPr>
              <w:t>评审内容</w:t>
            </w:r>
          </w:p>
        </w:tc>
        <w:tc>
          <w:tcPr>
            <w:tcW w:w="1017" w:type="dxa"/>
            <w:noWrap w:val="0"/>
            <w:vAlign w:val="center"/>
          </w:tcPr>
          <w:p w14:paraId="3CD800FD">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pacing w:val="-2"/>
                <w:sz w:val="24"/>
                <w:highlight w:val="none"/>
              </w:rPr>
            </w:pPr>
            <w:r>
              <w:rPr>
                <w:rFonts w:hint="eastAsia" w:ascii="仿宋" w:hAnsi="仿宋" w:eastAsia="仿宋" w:cs="仿宋"/>
                <w:b/>
                <w:sz w:val="24"/>
                <w:highlight w:val="none"/>
              </w:rPr>
              <w:t>评审意见</w:t>
            </w:r>
          </w:p>
        </w:tc>
      </w:tr>
      <w:tr w14:paraId="0CBF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0"/>
            <w:vAlign w:val="center"/>
          </w:tcPr>
          <w:p w14:paraId="241B7830">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序号</w:t>
            </w:r>
          </w:p>
        </w:tc>
        <w:tc>
          <w:tcPr>
            <w:tcW w:w="7174" w:type="dxa"/>
            <w:noWrap w:val="0"/>
            <w:vAlign w:val="center"/>
          </w:tcPr>
          <w:p w14:paraId="0E7636D6">
            <w:pPr>
              <w:keepNext w:val="0"/>
              <w:keepLines w:val="0"/>
              <w:suppressLineNumbers w:val="0"/>
              <w:spacing w:before="0" w:beforeAutospacing="0" w:after="0" w:afterAutospacing="0" w:line="300" w:lineRule="auto"/>
              <w:ind w:left="0" w:right="0"/>
              <w:outlineLvl w:val="9"/>
              <w:rPr>
                <w:rFonts w:hint="eastAsia" w:ascii="仿宋" w:hAnsi="仿宋" w:eastAsia="仿宋" w:cs="仿宋"/>
                <w:spacing w:val="-2"/>
                <w:sz w:val="24"/>
                <w:highlight w:val="none"/>
              </w:rPr>
            </w:pPr>
          </w:p>
        </w:tc>
        <w:tc>
          <w:tcPr>
            <w:tcW w:w="1017" w:type="dxa"/>
            <w:noWrap w:val="0"/>
            <w:vAlign w:val="center"/>
          </w:tcPr>
          <w:p w14:paraId="7262A867">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pacing w:val="-2"/>
                <w:sz w:val="24"/>
                <w:highlight w:val="none"/>
              </w:rPr>
            </w:pPr>
            <w:r>
              <w:rPr>
                <w:rFonts w:hint="eastAsia" w:ascii="仿宋" w:hAnsi="仿宋" w:eastAsia="仿宋" w:cs="仿宋"/>
                <w:spacing w:val="-2"/>
                <w:sz w:val="24"/>
                <w:highlight w:val="none"/>
              </w:rPr>
              <w:t>是否合格</w:t>
            </w:r>
          </w:p>
        </w:tc>
      </w:tr>
      <w:tr w14:paraId="3AD2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55AABFBB">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1</w:t>
            </w:r>
          </w:p>
        </w:tc>
        <w:tc>
          <w:tcPr>
            <w:tcW w:w="7174" w:type="dxa"/>
            <w:noWrap w:val="0"/>
            <w:vAlign w:val="center"/>
          </w:tcPr>
          <w:p w14:paraId="316AF939">
            <w:pPr>
              <w:keepNext w:val="0"/>
              <w:keepLines w:val="0"/>
              <w:widowControl/>
              <w:suppressLineNumbers w:val="0"/>
              <w:spacing w:before="0" w:beforeAutospacing="0" w:after="0" w:afterAutospacing="0" w:line="300" w:lineRule="auto"/>
              <w:ind w:left="0" w:right="0"/>
              <w:jc w:val="left"/>
              <w:textAlignment w:val="center"/>
              <w:outlineLvl w:val="9"/>
              <w:rPr>
                <w:rFonts w:hint="eastAsia" w:ascii="仿宋" w:hAnsi="仿宋" w:eastAsia="仿宋" w:cs="仿宋"/>
                <w:spacing w:val="-2"/>
                <w:sz w:val="24"/>
                <w:highlight w:val="none"/>
              </w:rPr>
            </w:pPr>
            <w:r>
              <w:rPr>
                <w:rFonts w:hint="eastAsia" w:ascii="仿宋" w:hAnsi="仿宋" w:eastAsia="仿宋" w:cs="仿宋"/>
                <w:kern w:val="0"/>
                <w:sz w:val="24"/>
                <w:highlight w:val="none"/>
                <w:lang w:bidi="ar"/>
              </w:rPr>
              <w:t>投标报价高于预算金额</w:t>
            </w:r>
            <w:r>
              <w:rPr>
                <w:rFonts w:hint="eastAsia" w:ascii="仿宋" w:hAnsi="仿宋" w:eastAsia="仿宋" w:cs="仿宋"/>
                <w:kern w:val="0"/>
                <w:sz w:val="24"/>
                <w:highlight w:val="none"/>
                <w:lang w:eastAsia="zh-CN" w:bidi="ar"/>
              </w:rPr>
              <w:t>的</w:t>
            </w:r>
            <w:r>
              <w:rPr>
                <w:rFonts w:hint="eastAsia" w:ascii="仿宋" w:hAnsi="仿宋" w:eastAsia="仿宋" w:cs="仿宋"/>
                <w:kern w:val="0"/>
                <w:sz w:val="24"/>
                <w:highlight w:val="none"/>
                <w:lang w:bidi="ar"/>
              </w:rPr>
              <w:t>；</w:t>
            </w:r>
          </w:p>
        </w:tc>
        <w:tc>
          <w:tcPr>
            <w:tcW w:w="1017" w:type="dxa"/>
            <w:noWrap w:val="0"/>
            <w:vAlign w:val="center"/>
          </w:tcPr>
          <w:p w14:paraId="3D262882">
            <w:pPr>
              <w:keepNext w:val="0"/>
              <w:keepLines w:val="0"/>
              <w:suppressLineNumbers w:val="0"/>
              <w:spacing w:before="0" w:beforeAutospacing="0" w:after="0" w:afterAutospacing="0" w:line="300" w:lineRule="auto"/>
              <w:ind w:left="0" w:right="0"/>
              <w:outlineLvl w:val="9"/>
              <w:rPr>
                <w:rFonts w:hint="eastAsia" w:ascii="仿宋" w:hAnsi="仿宋" w:eastAsia="仿宋" w:cs="仿宋"/>
                <w:spacing w:val="-2"/>
                <w:sz w:val="24"/>
                <w:highlight w:val="none"/>
              </w:rPr>
            </w:pPr>
          </w:p>
        </w:tc>
      </w:tr>
      <w:tr w14:paraId="110B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0"/>
            <w:vAlign w:val="center"/>
          </w:tcPr>
          <w:p w14:paraId="565386BC">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2</w:t>
            </w:r>
          </w:p>
        </w:tc>
        <w:tc>
          <w:tcPr>
            <w:tcW w:w="7174" w:type="dxa"/>
            <w:noWrap w:val="0"/>
            <w:vAlign w:val="center"/>
          </w:tcPr>
          <w:p w14:paraId="13799C10">
            <w:pPr>
              <w:keepNext w:val="0"/>
              <w:keepLines w:val="0"/>
              <w:widowControl/>
              <w:suppressLineNumbers w:val="0"/>
              <w:spacing w:before="0" w:beforeAutospacing="0" w:after="0" w:afterAutospacing="0" w:line="300" w:lineRule="auto"/>
              <w:ind w:left="0" w:right="0"/>
              <w:jc w:val="left"/>
              <w:textAlignment w:val="center"/>
              <w:outlineLvl w:val="9"/>
              <w:rPr>
                <w:rFonts w:hint="eastAsia" w:ascii="仿宋" w:hAnsi="仿宋" w:eastAsia="仿宋" w:cs="仿宋"/>
                <w:spacing w:val="-2"/>
                <w:sz w:val="24"/>
                <w:highlight w:val="none"/>
              </w:rPr>
            </w:pPr>
            <w:r>
              <w:rPr>
                <w:rFonts w:hint="eastAsia" w:ascii="仿宋" w:hAnsi="仿宋" w:eastAsia="仿宋" w:cs="仿宋"/>
                <w:kern w:val="0"/>
                <w:sz w:val="24"/>
                <w:highlight w:val="none"/>
                <w:lang w:bidi="ar"/>
              </w:rPr>
              <w:t>投标人之间或者投标人与采购人串通投标的；</w:t>
            </w:r>
          </w:p>
        </w:tc>
        <w:tc>
          <w:tcPr>
            <w:tcW w:w="1017" w:type="dxa"/>
            <w:noWrap w:val="0"/>
            <w:vAlign w:val="center"/>
          </w:tcPr>
          <w:p w14:paraId="0C225D28">
            <w:pPr>
              <w:keepNext w:val="0"/>
              <w:keepLines w:val="0"/>
              <w:suppressLineNumbers w:val="0"/>
              <w:spacing w:before="0" w:beforeAutospacing="0" w:after="0" w:afterAutospacing="0" w:line="300" w:lineRule="auto"/>
              <w:ind w:left="0" w:right="0"/>
              <w:outlineLvl w:val="9"/>
              <w:rPr>
                <w:rFonts w:hint="eastAsia" w:ascii="仿宋" w:hAnsi="仿宋" w:eastAsia="仿宋" w:cs="仿宋"/>
                <w:spacing w:val="-2"/>
                <w:sz w:val="24"/>
                <w:highlight w:val="none"/>
              </w:rPr>
            </w:pPr>
          </w:p>
        </w:tc>
      </w:tr>
      <w:tr w14:paraId="608A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14:paraId="6A30BC32">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3</w:t>
            </w:r>
          </w:p>
        </w:tc>
        <w:tc>
          <w:tcPr>
            <w:tcW w:w="7174" w:type="dxa"/>
            <w:noWrap w:val="0"/>
            <w:vAlign w:val="center"/>
          </w:tcPr>
          <w:p w14:paraId="29467747">
            <w:pPr>
              <w:keepNext w:val="0"/>
              <w:keepLines w:val="0"/>
              <w:widowControl/>
              <w:suppressLineNumbers w:val="0"/>
              <w:spacing w:before="0" w:beforeAutospacing="0" w:after="0" w:afterAutospacing="0" w:line="300" w:lineRule="auto"/>
              <w:ind w:left="0" w:right="0"/>
              <w:jc w:val="left"/>
              <w:textAlignment w:val="center"/>
              <w:outlineLvl w:val="9"/>
              <w:rPr>
                <w:rFonts w:hint="eastAsia" w:ascii="仿宋" w:hAnsi="仿宋" w:eastAsia="仿宋" w:cs="仿宋"/>
                <w:sz w:val="24"/>
                <w:highlight w:val="none"/>
              </w:rPr>
            </w:pPr>
            <w:r>
              <w:rPr>
                <w:rFonts w:hint="eastAsia" w:ascii="仿宋" w:hAnsi="仿宋" w:eastAsia="仿宋" w:cs="仿宋"/>
                <w:kern w:val="0"/>
                <w:sz w:val="24"/>
                <w:highlight w:val="none"/>
                <w:lang w:bidi="ar"/>
              </w:rPr>
              <w:t>以行贿手段谋取中标或者以其他弄虚作假方式投标的；</w:t>
            </w:r>
          </w:p>
        </w:tc>
        <w:tc>
          <w:tcPr>
            <w:tcW w:w="1017" w:type="dxa"/>
            <w:noWrap w:val="0"/>
            <w:vAlign w:val="center"/>
          </w:tcPr>
          <w:p w14:paraId="09142F70">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r>
      <w:tr w14:paraId="722E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4E3426A9">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4</w:t>
            </w:r>
          </w:p>
        </w:tc>
        <w:tc>
          <w:tcPr>
            <w:tcW w:w="7174" w:type="dxa"/>
            <w:noWrap w:val="0"/>
            <w:vAlign w:val="center"/>
          </w:tcPr>
          <w:p w14:paraId="7A78BF2D">
            <w:pPr>
              <w:keepNext w:val="0"/>
              <w:keepLines w:val="0"/>
              <w:widowControl/>
              <w:suppressLineNumbers w:val="0"/>
              <w:spacing w:before="0" w:beforeAutospacing="0" w:after="0" w:afterAutospacing="0" w:line="300" w:lineRule="auto"/>
              <w:ind w:left="0" w:right="0"/>
              <w:jc w:val="left"/>
              <w:textAlignment w:val="center"/>
              <w:outlineLvl w:val="9"/>
              <w:rPr>
                <w:rFonts w:hint="eastAsia" w:ascii="仿宋" w:hAnsi="仿宋" w:eastAsia="仿宋" w:cs="仿宋"/>
                <w:spacing w:val="-2"/>
                <w:sz w:val="24"/>
                <w:highlight w:val="none"/>
              </w:rPr>
            </w:pPr>
            <w:r>
              <w:rPr>
                <w:rFonts w:hint="eastAsia" w:ascii="仿宋" w:hAnsi="仿宋" w:eastAsia="仿宋" w:cs="仿宋"/>
                <w:kern w:val="0"/>
                <w:sz w:val="24"/>
                <w:highlight w:val="none"/>
                <w:lang w:bidi="ar"/>
              </w:rPr>
              <w:t>评标委员会共同确定有实质上不响应</w:t>
            </w:r>
            <w:r>
              <w:rPr>
                <w:rFonts w:hint="eastAsia" w:ascii="仿宋" w:hAnsi="仿宋" w:eastAsia="仿宋" w:cs="仿宋"/>
                <w:kern w:val="0"/>
                <w:sz w:val="24"/>
                <w:highlight w:val="none"/>
                <w:lang w:eastAsia="zh-CN" w:bidi="ar"/>
              </w:rPr>
              <w:t>磋商文件</w:t>
            </w:r>
            <w:r>
              <w:rPr>
                <w:rFonts w:hint="eastAsia" w:ascii="仿宋" w:hAnsi="仿宋" w:eastAsia="仿宋" w:cs="仿宋"/>
                <w:kern w:val="0"/>
                <w:sz w:val="24"/>
                <w:highlight w:val="none"/>
                <w:lang w:bidi="ar"/>
              </w:rPr>
              <w:t>要求的；</w:t>
            </w:r>
          </w:p>
        </w:tc>
        <w:tc>
          <w:tcPr>
            <w:tcW w:w="1017" w:type="dxa"/>
            <w:noWrap w:val="0"/>
            <w:vAlign w:val="center"/>
          </w:tcPr>
          <w:p w14:paraId="6920DEBA">
            <w:pPr>
              <w:keepNext w:val="0"/>
              <w:keepLines w:val="0"/>
              <w:suppressLineNumbers w:val="0"/>
              <w:spacing w:before="0" w:beforeAutospacing="0" w:after="0" w:afterAutospacing="0" w:line="300" w:lineRule="auto"/>
              <w:ind w:left="0" w:right="0"/>
              <w:outlineLvl w:val="9"/>
              <w:rPr>
                <w:rFonts w:hint="eastAsia" w:ascii="仿宋" w:hAnsi="仿宋" w:eastAsia="仿宋" w:cs="仿宋"/>
                <w:spacing w:val="-2"/>
                <w:sz w:val="24"/>
                <w:highlight w:val="none"/>
              </w:rPr>
            </w:pPr>
          </w:p>
        </w:tc>
      </w:tr>
      <w:tr w14:paraId="1B06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noWrap w:val="0"/>
            <w:vAlign w:val="center"/>
          </w:tcPr>
          <w:p w14:paraId="27D66918">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5</w:t>
            </w:r>
          </w:p>
        </w:tc>
        <w:tc>
          <w:tcPr>
            <w:tcW w:w="7174" w:type="dxa"/>
            <w:noWrap w:val="0"/>
            <w:vAlign w:val="center"/>
          </w:tcPr>
          <w:p w14:paraId="4FFF83A1">
            <w:pPr>
              <w:keepNext w:val="0"/>
              <w:keepLines w:val="0"/>
              <w:widowControl/>
              <w:suppressLineNumbers w:val="0"/>
              <w:spacing w:before="0" w:beforeAutospacing="0" w:after="0" w:afterAutospacing="0" w:line="300" w:lineRule="auto"/>
              <w:ind w:left="0" w:right="0"/>
              <w:jc w:val="left"/>
              <w:textAlignment w:val="center"/>
              <w:outlineLvl w:val="9"/>
              <w:rPr>
                <w:rFonts w:hint="eastAsia" w:ascii="仿宋" w:hAnsi="仿宋" w:eastAsia="仿宋" w:cs="仿宋"/>
                <w:spacing w:val="-2"/>
                <w:sz w:val="24"/>
                <w:highlight w:val="none"/>
              </w:rPr>
            </w:pPr>
            <w:r>
              <w:rPr>
                <w:rFonts w:hint="eastAsia" w:ascii="仿宋" w:hAnsi="仿宋" w:eastAsia="仿宋" w:cs="仿宋"/>
                <w:kern w:val="0"/>
                <w:sz w:val="24"/>
                <w:highlight w:val="none"/>
                <w:lang w:eastAsia="zh-CN" w:bidi="ar"/>
              </w:rPr>
              <w:t>响应文件</w:t>
            </w:r>
            <w:r>
              <w:rPr>
                <w:rFonts w:hint="eastAsia" w:ascii="仿宋" w:hAnsi="仿宋" w:eastAsia="仿宋" w:cs="仿宋"/>
                <w:kern w:val="0"/>
                <w:sz w:val="24"/>
                <w:highlight w:val="none"/>
                <w:lang w:bidi="ar"/>
              </w:rPr>
              <w:t>没有投标单位法定代表人或其授权代表签字（章）和加盖投标单位公章的；</w:t>
            </w:r>
          </w:p>
        </w:tc>
        <w:tc>
          <w:tcPr>
            <w:tcW w:w="1017" w:type="dxa"/>
            <w:noWrap w:val="0"/>
            <w:vAlign w:val="center"/>
          </w:tcPr>
          <w:p w14:paraId="17B4DD61">
            <w:pPr>
              <w:keepNext w:val="0"/>
              <w:keepLines w:val="0"/>
              <w:suppressLineNumbers w:val="0"/>
              <w:spacing w:before="0" w:beforeAutospacing="0" w:after="0" w:afterAutospacing="0" w:line="300" w:lineRule="auto"/>
              <w:ind w:left="0" w:right="0"/>
              <w:outlineLvl w:val="9"/>
              <w:rPr>
                <w:rFonts w:hint="eastAsia" w:ascii="仿宋" w:hAnsi="仿宋" w:eastAsia="仿宋" w:cs="仿宋"/>
                <w:spacing w:val="-2"/>
                <w:sz w:val="24"/>
                <w:highlight w:val="none"/>
              </w:rPr>
            </w:pPr>
          </w:p>
        </w:tc>
      </w:tr>
      <w:tr w14:paraId="7A48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3168FDB7">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6</w:t>
            </w:r>
          </w:p>
        </w:tc>
        <w:tc>
          <w:tcPr>
            <w:tcW w:w="7174" w:type="dxa"/>
            <w:noWrap w:val="0"/>
            <w:vAlign w:val="center"/>
          </w:tcPr>
          <w:p w14:paraId="535B3BD7">
            <w:pPr>
              <w:keepNext w:val="0"/>
              <w:keepLines w:val="0"/>
              <w:widowControl/>
              <w:suppressLineNumbers w:val="0"/>
              <w:spacing w:before="0" w:beforeAutospacing="0" w:after="0" w:afterAutospacing="0" w:line="300" w:lineRule="auto"/>
              <w:ind w:left="0" w:right="0"/>
              <w:jc w:val="left"/>
              <w:textAlignment w:val="center"/>
              <w:outlineLvl w:val="9"/>
              <w:rPr>
                <w:rFonts w:hint="eastAsia" w:ascii="仿宋" w:hAnsi="仿宋" w:eastAsia="仿宋" w:cs="仿宋"/>
                <w:spacing w:val="-2"/>
                <w:sz w:val="24"/>
                <w:highlight w:val="none"/>
              </w:rPr>
            </w:pPr>
            <w:r>
              <w:rPr>
                <w:rFonts w:hint="eastAsia" w:ascii="仿宋" w:hAnsi="仿宋" w:eastAsia="仿宋" w:cs="仿宋"/>
                <w:kern w:val="0"/>
                <w:sz w:val="24"/>
                <w:highlight w:val="none"/>
                <w:lang w:bidi="ar"/>
              </w:rPr>
              <w:t>投标的政府采购项目完成期限超过</w:t>
            </w:r>
            <w:r>
              <w:rPr>
                <w:rFonts w:hint="eastAsia" w:ascii="仿宋" w:hAnsi="仿宋" w:eastAsia="仿宋" w:cs="仿宋"/>
                <w:kern w:val="0"/>
                <w:sz w:val="24"/>
                <w:highlight w:val="none"/>
                <w:lang w:eastAsia="zh-CN" w:bidi="ar"/>
              </w:rPr>
              <w:t>磋商文件</w:t>
            </w:r>
            <w:r>
              <w:rPr>
                <w:rFonts w:hint="eastAsia" w:ascii="仿宋" w:hAnsi="仿宋" w:eastAsia="仿宋" w:cs="仿宋"/>
                <w:kern w:val="0"/>
                <w:sz w:val="24"/>
                <w:highlight w:val="none"/>
                <w:lang w:bidi="ar"/>
              </w:rPr>
              <w:t>规定期限的；</w:t>
            </w:r>
          </w:p>
        </w:tc>
        <w:tc>
          <w:tcPr>
            <w:tcW w:w="1017" w:type="dxa"/>
            <w:noWrap w:val="0"/>
            <w:vAlign w:val="center"/>
          </w:tcPr>
          <w:p w14:paraId="599B794B">
            <w:pPr>
              <w:keepNext w:val="0"/>
              <w:keepLines w:val="0"/>
              <w:suppressLineNumbers w:val="0"/>
              <w:spacing w:before="0" w:beforeAutospacing="0" w:after="0" w:afterAutospacing="0" w:line="300" w:lineRule="auto"/>
              <w:ind w:left="0" w:right="0"/>
              <w:outlineLvl w:val="9"/>
              <w:rPr>
                <w:rFonts w:hint="eastAsia" w:ascii="仿宋" w:hAnsi="仿宋" w:eastAsia="仿宋" w:cs="仿宋"/>
                <w:spacing w:val="-2"/>
                <w:sz w:val="24"/>
                <w:highlight w:val="none"/>
              </w:rPr>
            </w:pPr>
          </w:p>
        </w:tc>
      </w:tr>
      <w:tr w14:paraId="752E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noWrap w:val="0"/>
            <w:vAlign w:val="center"/>
          </w:tcPr>
          <w:p w14:paraId="78AB4262">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7</w:t>
            </w:r>
          </w:p>
        </w:tc>
        <w:tc>
          <w:tcPr>
            <w:tcW w:w="7174" w:type="dxa"/>
            <w:noWrap w:val="0"/>
            <w:vAlign w:val="center"/>
          </w:tcPr>
          <w:p w14:paraId="092E184A">
            <w:pPr>
              <w:keepNext w:val="0"/>
              <w:keepLines w:val="0"/>
              <w:widowControl/>
              <w:suppressLineNumbers w:val="0"/>
              <w:spacing w:before="0" w:beforeAutospacing="0" w:after="0" w:afterAutospacing="0" w:line="300" w:lineRule="auto"/>
              <w:ind w:left="0" w:right="0"/>
              <w:jc w:val="left"/>
              <w:textAlignment w:val="center"/>
              <w:outlineLvl w:val="9"/>
              <w:rPr>
                <w:rFonts w:hint="eastAsia" w:ascii="仿宋" w:hAnsi="仿宋" w:eastAsia="仿宋" w:cs="仿宋"/>
                <w:spacing w:val="-2"/>
                <w:sz w:val="24"/>
                <w:highlight w:val="none"/>
              </w:rPr>
            </w:pPr>
            <w:r>
              <w:rPr>
                <w:rFonts w:hint="eastAsia" w:ascii="仿宋" w:hAnsi="仿宋" w:eastAsia="仿宋" w:cs="仿宋"/>
                <w:kern w:val="0"/>
                <w:sz w:val="24"/>
                <w:highlight w:val="none"/>
                <w:lang w:eastAsia="zh-CN" w:bidi="ar"/>
              </w:rPr>
              <w:t>响应文件</w:t>
            </w:r>
            <w:r>
              <w:rPr>
                <w:rFonts w:hint="eastAsia" w:ascii="仿宋" w:hAnsi="仿宋" w:eastAsia="仿宋" w:cs="仿宋"/>
                <w:kern w:val="0"/>
                <w:sz w:val="24"/>
                <w:highlight w:val="none"/>
                <w:lang w:bidi="ar"/>
              </w:rPr>
              <w:t>载明的技术规格、技术标准、检验标准和方法等，不符合</w:t>
            </w:r>
            <w:r>
              <w:rPr>
                <w:rFonts w:hint="eastAsia" w:ascii="仿宋" w:hAnsi="仿宋" w:eastAsia="仿宋" w:cs="仿宋"/>
                <w:kern w:val="0"/>
                <w:sz w:val="24"/>
                <w:highlight w:val="none"/>
                <w:lang w:eastAsia="zh-CN" w:bidi="ar"/>
              </w:rPr>
              <w:t>磋商文件</w:t>
            </w:r>
            <w:r>
              <w:rPr>
                <w:rFonts w:hint="eastAsia" w:ascii="仿宋" w:hAnsi="仿宋" w:eastAsia="仿宋" w:cs="仿宋"/>
                <w:kern w:val="0"/>
                <w:sz w:val="24"/>
                <w:highlight w:val="none"/>
                <w:lang w:bidi="ar"/>
              </w:rPr>
              <w:t>要求的；</w:t>
            </w:r>
          </w:p>
        </w:tc>
        <w:tc>
          <w:tcPr>
            <w:tcW w:w="1017" w:type="dxa"/>
            <w:noWrap w:val="0"/>
            <w:vAlign w:val="center"/>
          </w:tcPr>
          <w:p w14:paraId="5D015753">
            <w:pPr>
              <w:keepNext w:val="0"/>
              <w:keepLines w:val="0"/>
              <w:suppressLineNumbers w:val="0"/>
              <w:spacing w:before="0" w:beforeAutospacing="0" w:after="0" w:afterAutospacing="0" w:line="300" w:lineRule="auto"/>
              <w:ind w:left="0" w:right="0"/>
              <w:outlineLvl w:val="9"/>
              <w:rPr>
                <w:rFonts w:hint="eastAsia" w:ascii="仿宋" w:hAnsi="仿宋" w:eastAsia="仿宋" w:cs="仿宋"/>
                <w:spacing w:val="-2"/>
                <w:sz w:val="24"/>
                <w:highlight w:val="none"/>
              </w:rPr>
            </w:pPr>
          </w:p>
        </w:tc>
      </w:tr>
      <w:tr w14:paraId="30F5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202F85F4">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8</w:t>
            </w:r>
          </w:p>
        </w:tc>
        <w:tc>
          <w:tcPr>
            <w:tcW w:w="7174" w:type="dxa"/>
            <w:noWrap w:val="0"/>
            <w:vAlign w:val="center"/>
          </w:tcPr>
          <w:p w14:paraId="2D842955">
            <w:pPr>
              <w:keepNext w:val="0"/>
              <w:keepLines w:val="0"/>
              <w:widowControl/>
              <w:suppressLineNumbers w:val="0"/>
              <w:spacing w:before="0" w:beforeAutospacing="0" w:after="0" w:afterAutospacing="0" w:line="300" w:lineRule="auto"/>
              <w:ind w:left="0" w:right="0"/>
              <w:textAlignment w:val="center"/>
              <w:outlineLvl w:val="9"/>
              <w:rPr>
                <w:rFonts w:hint="eastAsia" w:ascii="仿宋" w:hAnsi="仿宋" w:eastAsia="仿宋" w:cs="仿宋"/>
                <w:sz w:val="24"/>
                <w:highlight w:val="none"/>
              </w:rPr>
            </w:pPr>
            <w:r>
              <w:rPr>
                <w:rFonts w:hint="eastAsia" w:ascii="仿宋" w:hAnsi="仿宋" w:eastAsia="仿宋" w:cs="仿宋"/>
                <w:kern w:val="0"/>
                <w:sz w:val="24"/>
                <w:highlight w:val="none"/>
                <w:lang w:eastAsia="zh-CN" w:bidi="ar"/>
              </w:rPr>
              <w:t>响应文件</w:t>
            </w:r>
            <w:r>
              <w:rPr>
                <w:rFonts w:hint="eastAsia" w:ascii="仿宋" w:hAnsi="仿宋" w:eastAsia="仿宋" w:cs="仿宋"/>
                <w:kern w:val="0"/>
                <w:sz w:val="24"/>
                <w:highlight w:val="none"/>
                <w:lang w:bidi="ar"/>
              </w:rPr>
              <w:t>附有采购人不能接受条件的；</w:t>
            </w:r>
          </w:p>
        </w:tc>
        <w:tc>
          <w:tcPr>
            <w:tcW w:w="1017" w:type="dxa"/>
            <w:noWrap w:val="0"/>
            <w:vAlign w:val="center"/>
          </w:tcPr>
          <w:p w14:paraId="6AF1C13B">
            <w:pPr>
              <w:keepNext w:val="0"/>
              <w:keepLines w:val="0"/>
              <w:suppressLineNumbers w:val="0"/>
              <w:spacing w:before="0" w:beforeAutospacing="0" w:after="0" w:afterAutospacing="0" w:line="300" w:lineRule="auto"/>
              <w:ind w:left="0" w:right="0"/>
              <w:outlineLvl w:val="9"/>
              <w:rPr>
                <w:rFonts w:hint="eastAsia" w:ascii="仿宋" w:hAnsi="仿宋" w:eastAsia="仿宋" w:cs="仿宋"/>
                <w:sz w:val="24"/>
                <w:highlight w:val="none"/>
              </w:rPr>
            </w:pPr>
          </w:p>
        </w:tc>
      </w:tr>
      <w:tr w14:paraId="57F8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0"/>
            <w:vAlign w:val="center"/>
          </w:tcPr>
          <w:p w14:paraId="28C05448">
            <w:pPr>
              <w:keepNext w:val="0"/>
              <w:keepLines w:val="0"/>
              <w:suppressLineNumbers w:val="0"/>
              <w:spacing w:before="0" w:beforeAutospacing="0" w:after="0" w:afterAutospacing="0" w:line="300" w:lineRule="auto"/>
              <w:ind w:left="0" w:right="0"/>
              <w:jc w:val="center"/>
              <w:outlineLvl w:val="9"/>
              <w:rPr>
                <w:rFonts w:hint="eastAsia" w:ascii="仿宋" w:hAnsi="仿宋" w:eastAsia="仿宋" w:cs="仿宋"/>
                <w:sz w:val="24"/>
                <w:highlight w:val="none"/>
              </w:rPr>
            </w:pPr>
            <w:r>
              <w:rPr>
                <w:rFonts w:hint="eastAsia" w:ascii="仿宋" w:hAnsi="仿宋" w:eastAsia="仿宋" w:cs="仿宋"/>
                <w:sz w:val="24"/>
                <w:highlight w:val="none"/>
              </w:rPr>
              <w:t>9</w:t>
            </w:r>
          </w:p>
        </w:tc>
        <w:tc>
          <w:tcPr>
            <w:tcW w:w="7174" w:type="dxa"/>
            <w:noWrap w:val="0"/>
            <w:vAlign w:val="center"/>
          </w:tcPr>
          <w:p w14:paraId="08E36080">
            <w:pPr>
              <w:keepNext w:val="0"/>
              <w:keepLines w:val="0"/>
              <w:widowControl/>
              <w:suppressLineNumbers w:val="0"/>
              <w:spacing w:before="0" w:beforeAutospacing="0" w:after="0" w:afterAutospacing="0" w:line="300" w:lineRule="auto"/>
              <w:ind w:left="0" w:right="0"/>
              <w:jc w:val="left"/>
              <w:textAlignment w:val="center"/>
              <w:outlineLvl w:val="9"/>
              <w:rPr>
                <w:rFonts w:hint="eastAsia" w:ascii="仿宋" w:hAnsi="仿宋" w:eastAsia="仿宋" w:cs="仿宋"/>
                <w:spacing w:val="-2"/>
                <w:sz w:val="24"/>
                <w:highlight w:val="none"/>
                <w:lang w:eastAsia="zh-CN"/>
              </w:rPr>
            </w:pPr>
            <w:r>
              <w:rPr>
                <w:rFonts w:hint="eastAsia" w:ascii="仿宋" w:hAnsi="仿宋" w:eastAsia="仿宋" w:cs="仿宋"/>
                <w:kern w:val="0"/>
                <w:sz w:val="24"/>
                <w:highlight w:val="none"/>
                <w:lang w:bidi="ar"/>
              </w:rPr>
              <w:t>不满足</w:t>
            </w:r>
            <w:r>
              <w:rPr>
                <w:rFonts w:hint="eastAsia" w:ascii="仿宋" w:hAnsi="仿宋" w:eastAsia="仿宋" w:cs="仿宋"/>
                <w:kern w:val="0"/>
                <w:sz w:val="24"/>
                <w:highlight w:val="none"/>
                <w:lang w:eastAsia="zh-CN" w:bidi="ar"/>
              </w:rPr>
              <w:t>磋商文件</w:t>
            </w:r>
            <w:r>
              <w:rPr>
                <w:rFonts w:hint="eastAsia" w:ascii="仿宋" w:hAnsi="仿宋" w:eastAsia="仿宋" w:cs="仿宋"/>
                <w:kern w:val="0"/>
                <w:sz w:val="24"/>
                <w:highlight w:val="none"/>
                <w:lang w:bidi="ar"/>
              </w:rPr>
              <w:t>实质性要求的其他情形</w:t>
            </w:r>
            <w:r>
              <w:rPr>
                <w:rFonts w:hint="eastAsia" w:ascii="仿宋" w:hAnsi="仿宋" w:eastAsia="仿宋" w:cs="仿宋"/>
                <w:kern w:val="0"/>
                <w:sz w:val="24"/>
                <w:highlight w:val="none"/>
                <w:lang w:eastAsia="zh-CN" w:bidi="ar"/>
              </w:rPr>
              <w:t>。</w:t>
            </w:r>
          </w:p>
        </w:tc>
        <w:tc>
          <w:tcPr>
            <w:tcW w:w="1017" w:type="dxa"/>
            <w:noWrap w:val="0"/>
            <w:vAlign w:val="center"/>
          </w:tcPr>
          <w:p w14:paraId="001F70AD">
            <w:pPr>
              <w:keepNext w:val="0"/>
              <w:keepLines w:val="0"/>
              <w:suppressLineNumbers w:val="0"/>
              <w:spacing w:before="0" w:beforeAutospacing="0" w:after="0" w:afterAutospacing="0" w:line="300" w:lineRule="auto"/>
              <w:ind w:left="0" w:right="0"/>
              <w:outlineLvl w:val="9"/>
              <w:rPr>
                <w:rFonts w:hint="eastAsia" w:ascii="仿宋" w:hAnsi="仿宋" w:eastAsia="仿宋" w:cs="仿宋"/>
                <w:spacing w:val="-2"/>
                <w:sz w:val="24"/>
                <w:highlight w:val="none"/>
              </w:rPr>
            </w:pPr>
          </w:p>
        </w:tc>
      </w:tr>
      <w:tr w14:paraId="4F41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022" w:type="dxa"/>
            <w:gridSpan w:val="2"/>
            <w:noWrap w:val="0"/>
            <w:vAlign w:val="center"/>
          </w:tcPr>
          <w:p w14:paraId="1F8B789F">
            <w:pPr>
              <w:keepNext w:val="0"/>
              <w:keepLines w:val="0"/>
              <w:suppressLineNumbers w:val="0"/>
              <w:spacing w:before="0" w:beforeAutospacing="0" w:after="0" w:afterAutospacing="0" w:line="300" w:lineRule="auto"/>
              <w:ind w:left="0" w:right="0" w:firstLine="424" w:firstLineChars="180"/>
              <w:outlineLvl w:val="9"/>
              <w:rPr>
                <w:rFonts w:hint="eastAsia" w:ascii="仿宋" w:hAnsi="仿宋" w:eastAsia="仿宋" w:cs="仿宋"/>
                <w:spacing w:val="-2"/>
                <w:sz w:val="24"/>
                <w:highlight w:val="none"/>
              </w:rPr>
            </w:pPr>
            <w:r>
              <w:rPr>
                <w:rFonts w:hint="eastAsia" w:ascii="仿宋" w:hAnsi="仿宋" w:eastAsia="仿宋" w:cs="仿宋"/>
                <w:spacing w:val="-2"/>
                <w:sz w:val="24"/>
                <w:highlight w:val="none"/>
              </w:rPr>
              <w:t>结论：通过评审打“√”，未通过评审打“×”</w:t>
            </w:r>
          </w:p>
        </w:tc>
        <w:tc>
          <w:tcPr>
            <w:tcW w:w="1017" w:type="dxa"/>
            <w:noWrap w:val="0"/>
            <w:vAlign w:val="center"/>
          </w:tcPr>
          <w:p w14:paraId="78EA4878">
            <w:pPr>
              <w:keepNext w:val="0"/>
              <w:keepLines w:val="0"/>
              <w:suppressLineNumbers w:val="0"/>
              <w:spacing w:before="0" w:beforeAutospacing="0" w:after="0" w:afterAutospacing="0" w:line="300" w:lineRule="auto"/>
              <w:ind w:left="0" w:right="0" w:firstLine="424" w:firstLineChars="180"/>
              <w:outlineLvl w:val="9"/>
              <w:rPr>
                <w:rFonts w:hint="eastAsia" w:ascii="仿宋" w:hAnsi="仿宋" w:eastAsia="仿宋" w:cs="仿宋"/>
                <w:spacing w:val="-2"/>
                <w:sz w:val="24"/>
                <w:highlight w:val="none"/>
              </w:rPr>
            </w:pPr>
          </w:p>
        </w:tc>
      </w:tr>
    </w:tbl>
    <w:p w14:paraId="37E5552C">
      <w:pPr>
        <w:widowControl/>
        <w:jc w:val="left"/>
        <w:outlineLvl w:val="9"/>
        <w:rPr>
          <w:rFonts w:hint="eastAsia" w:ascii="仿宋" w:hAnsi="仿宋" w:eastAsia="仿宋" w:cs="仿宋"/>
          <w:sz w:val="24"/>
          <w:szCs w:val="24"/>
          <w:highlight w:val="none"/>
        </w:rPr>
      </w:pPr>
    </w:p>
    <w:p w14:paraId="30882677">
      <w:pPr>
        <w:widowControl/>
        <w:jc w:val="left"/>
        <w:outlineLvl w:val="9"/>
        <w:rPr>
          <w:rFonts w:hint="eastAsia" w:ascii="仿宋" w:hAnsi="仿宋" w:eastAsia="仿宋" w:cs="仿宋"/>
          <w:sz w:val="22"/>
          <w:szCs w:val="22"/>
          <w:highlight w:val="none"/>
        </w:rPr>
      </w:pPr>
      <w:r>
        <w:rPr>
          <w:rFonts w:hint="eastAsia" w:ascii="仿宋" w:hAnsi="仿宋" w:eastAsia="仿宋" w:cs="仿宋"/>
          <w:sz w:val="24"/>
          <w:szCs w:val="24"/>
          <w:highlight w:val="none"/>
        </w:rPr>
        <w:t>说明：</w:t>
      </w:r>
    </w:p>
    <w:p w14:paraId="3ECBF24D">
      <w:pPr>
        <w:spacing w:line="360" w:lineRule="exact"/>
        <w:outlineLvl w:val="9"/>
        <w:rPr>
          <w:rFonts w:hint="eastAsia" w:ascii="仿宋" w:hAnsi="仿宋" w:eastAsia="仿宋" w:cs="仿宋"/>
          <w:sz w:val="22"/>
          <w:szCs w:val="22"/>
          <w:highlight w:val="none"/>
        </w:rPr>
      </w:pPr>
      <w:r>
        <w:rPr>
          <w:rFonts w:hint="eastAsia" w:ascii="仿宋" w:hAnsi="仿宋" w:eastAsia="仿宋" w:cs="仿宋"/>
          <w:sz w:val="22"/>
          <w:szCs w:val="22"/>
          <w:highlight w:val="none"/>
        </w:rPr>
        <w:t>（1）上述各项中用“√”表示</w:t>
      </w:r>
      <w:r>
        <w:rPr>
          <w:rFonts w:hint="eastAsia" w:ascii="仿宋" w:hAnsi="仿宋" w:eastAsia="仿宋" w:cs="仿宋"/>
          <w:sz w:val="22"/>
          <w:szCs w:val="22"/>
          <w:highlight w:val="none"/>
          <w:lang w:eastAsia="zh-CN"/>
        </w:rPr>
        <w:t>是</w:t>
      </w:r>
      <w:r>
        <w:rPr>
          <w:rFonts w:hint="eastAsia" w:ascii="仿宋" w:hAnsi="仿宋" w:eastAsia="仿宋" w:cs="仿宋"/>
          <w:sz w:val="22"/>
          <w:szCs w:val="22"/>
          <w:highlight w:val="none"/>
        </w:rPr>
        <w:t>，“×”表示</w:t>
      </w:r>
      <w:r>
        <w:rPr>
          <w:rFonts w:hint="eastAsia" w:ascii="仿宋" w:hAnsi="仿宋" w:eastAsia="仿宋" w:cs="仿宋"/>
          <w:sz w:val="22"/>
          <w:szCs w:val="22"/>
          <w:highlight w:val="none"/>
          <w:lang w:eastAsia="zh-CN"/>
        </w:rPr>
        <w:t>否</w:t>
      </w:r>
      <w:r>
        <w:rPr>
          <w:rFonts w:hint="eastAsia" w:ascii="仿宋" w:hAnsi="仿宋" w:eastAsia="仿宋" w:cs="仿宋"/>
          <w:sz w:val="22"/>
          <w:szCs w:val="22"/>
          <w:highlight w:val="none"/>
        </w:rPr>
        <w:t>；</w:t>
      </w:r>
    </w:p>
    <w:p w14:paraId="2F7D8763">
      <w:pPr>
        <w:spacing w:line="360" w:lineRule="exact"/>
        <w:outlineLvl w:val="9"/>
        <w:rPr>
          <w:rFonts w:hint="eastAsia" w:ascii="仿宋" w:hAnsi="仿宋" w:eastAsia="仿宋" w:cs="仿宋"/>
          <w:sz w:val="22"/>
          <w:szCs w:val="22"/>
          <w:highlight w:val="none"/>
        </w:rPr>
      </w:pPr>
      <w:r>
        <w:rPr>
          <w:rFonts w:hint="eastAsia" w:ascii="仿宋" w:hAnsi="仿宋" w:eastAsia="仿宋" w:cs="仿宋"/>
          <w:sz w:val="22"/>
          <w:szCs w:val="22"/>
          <w:highlight w:val="none"/>
        </w:rPr>
        <w:t>（2）上述各项中如有一项为“×”，则结论为“</w:t>
      </w:r>
      <w:r>
        <w:rPr>
          <w:rFonts w:hint="eastAsia" w:ascii="仿宋" w:hAnsi="仿宋" w:eastAsia="仿宋" w:cs="仿宋"/>
          <w:sz w:val="22"/>
          <w:szCs w:val="22"/>
          <w:highlight w:val="none"/>
          <w:lang w:eastAsia="zh-CN"/>
        </w:rPr>
        <w:t>不通过</w:t>
      </w:r>
      <w:r>
        <w:rPr>
          <w:rFonts w:hint="eastAsia" w:ascii="仿宋" w:hAnsi="仿宋" w:eastAsia="仿宋" w:cs="仿宋"/>
          <w:sz w:val="22"/>
          <w:szCs w:val="22"/>
          <w:highlight w:val="none"/>
        </w:rPr>
        <w:t>”，表示该响应文件中存在重大偏差，不能通过初步评审；评委对某一分项评审认为不合格时，必须要写明原因。</w:t>
      </w:r>
    </w:p>
    <w:p w14:paraId="2EF5564C">
      <w:pPr>
        <w:spacing w:line="360" w:lineRule="exact"/>
        <w:outlineLvl w:val="9"/>
        <w:rPr>
          <w:rFonts w:hint="eastAsia" w:ascii="仿宋" w:hAnsi="仿宋" w:eastAsia="仿宋" w:cs="仿宋"/>
          <w:sz w:val="22"/>
          <w:szCs w:val="22"/>
          <w:highlight w:val="none"/>
        </w:rPr>
      </w:pPr>
      <w:r>
        <w:rPr>
          <w:rFonts w:hint="eastAsia" w:ascii="仿宋" w:hAnsi="仿宋" w:eastAsia="仿宋" w:cs="仿宋"/>
          <w:sz w:val="22"/>
          <w:szCs w:val="22"/>
          <w:highlight w:val="none"/>
        </w:rPr>
        <w:t>（3）</w:t>
      </w:r>
      <w:r>
        <w:rPr>
          <w:rFonts w:hint="eastAsia" w:ascii="仿宋" w:hAnsi="仿宋" w:eastAsia="仿宋" w:cs="仿宋"/>
          <w:sz w:val="22"/>
          <w:szCs w:val="22"/>
          <w:highlight w:val="none"/>
          <w:lang w:eastAsia="zh-CN"/>
        </w:rPr>
        <w:t>磋商文件</w:t>
      </w:r>
      <w:r>
        <w:rPr>
          <w:rFonts w:hint="eastAsia" w:ascii="仿宋" w:hAnsi="仿宋" w:eastAsia="仿宋" w:cs="仿宋"/>
          <w:sz w:val="22"/>
          <w:szCs w:val="22"/>
          <w:highlight w:val="none"/>
        </w:rPr>
        <w:t>最终合格与否，以所有评委的评审意见中少数服从多数为原则定论。</w:t>
      </w:r>
    </w:p>
    <w:p w14:paraId="7B810942">
      <w:pPr>
        <w:spacing w:line="360" w:lineRule="exact"/>
        <w:outlineLvl w:val="9"/>
        <w:rPr>
          <w:rFonts w:hint="eastAsia" w:ascii="仿宋" w:hAnsi="仿宋" w:eastAsia="仿宋" w:cs="仿宋"/>
          <w:highlight w:val="none"/>
        </w:rPr>
      </w:pPr>
      <w:r>
        <w:rPr>
          <w:rFonts w:hint="eastAsia" w:ascii="仿宋" w:hAnsi="仿宋" w:eastAsia="仿宋" w:cs="仿宋"/>
          <w:b/>
          <w:bCs/>
          <w:sz w:val="22"/>
          <w:szCs w:val="22"/>
          <w:highlight w:val="none"/>
        </w:rPr>
        <w:t>备注：如果</w:t>
      </w:r>
      <w:r>
        <w:rPr>
          <w:rFonts w:hint="eastAsia" w:ascii="仿宋" w:hAnsi="仿宋" w:eastAsia="仿宋" w:cs="仿宋"/>
          <w:b/>
          <w:bCs/>
          <w:sz w:val="22"/>
          <w:szCs w:val="22"/>
          <w:highlight w:val="none"/>
          <w:lang w:eastAsia="zh-CN"/>
        </w:rPr>
        <w:t>磋商文件</w:t>
      </w:r>
      <w:r>
        <w:rPr>
          <w:rFonts w:hint="eastAsia" w:ascii="仿宋" w:hAnsi="仿宋" w:eastAsia="仿宋" w:cs="仿宋"/>
          <w:b/>
          <w:bCs/>
          <w:sz w:val="22"/>
          <w:szCs w:val="22"/>
          <w:highlight w:val="none"/>
        </w:rPr>
        <w:t>中有一项未通过上述审查标准，</w:t>
      </w:r>
      <w:r>
        <w:rPr>
          <w:rFonts w:hint="eastAsia" w:ascii="仿宋" w:hAnsi="仿宋" w:eastAsia="仿宋" w:cs="仿宋"/>
          <w:b/>
          <w:bCs/>
          <w:sz w:val="22"/>
          <w:szCs w:val="22"/>
          <w:highlight w:val="none"/>
          <w:lang w:eastAsia="zh-CN"/>
        </w:rPr>
        <w:t>评标委员</w:t>
      </w:r>
      <w:r>
        <w:rPr>
          <w:rFonts w:hint="eastAsia" w:ascii="仿宋" w:hAnsi="仿宋" w:eastAsia="仿宋" w:cs="仿宋"/>
          <w:b/>
          <w:bCs/>
          <w:sz w:val="22"/>
          <w:szCs w:val="22"/>
          <w:highlight w:val="none"/>
        </w:rPr>
        <w:t>会将认定整个</w:t>
      </w:r>
      <w:r>
        <w:rPr>
          <w:rFonts w:hint="eastAsia" w:ascii="仿宋" w:hAnsi="仿宋" w:eastAsia="仿宋" w:cs="仿宋"/>
          <w:b/>
          <w:bCs/>
          <w:sz w:val="22"/>
          <w:szCs w:val="22"/>
          <w:highlight w:val="none"/>
          <w:lang w:eastAsia="zh-CN"/>
        </w:rPr>
        <w:t>响应文件</w:t>
      </w:r>
      <w:r>
        <w:rPr>
          <w:rFonts w:hint="eastAsia" w:ascii="仿宋" w:hAnsi="仿宋" w:eastAsia="仿宋" w:cs="仿宋"/>
          <w:b/>
          <w:bCs/>
          <w:sz w:val="22"/>
          <w:szCs w:val="22"/>
          <w:highlight w:val="none"/>
        </w:rPr>
        <w:t>未响应</w:t>
      </w:r>
      <w:r>
        <w:rPr>
          <w:rFonts w:hint="eastAsia" w:ascii="仿宋" w:hAnsi="仿宋" w:eastAsia="仿宋" w:cs="仿宋"/>
          <w:b/>
          <w:bCs/>
          <w:sz w:val="22"/>
          <w:szCs w:val="22"/>
          <w:highlight w:val="none"/>
          <w:lang w:eastAsia="zh-CN"/>
        </w:rPr>
        <w:t>磋商文件</w:t>
      </w:r>
      <w:r>
        <w:rPr>
          <w:rFonts w:hint="eastAsia" w:ascii="仿宋" w:hAnsi="仿宋" w:eastAsia="仿宋" w:cs="仿宋"/>
          <w:b/>
          <w:bCs/>
          <w:sz w:val="22"/>
          <w:szCs w:val="22"/>
          <w:highlight w:val="none"/>
        </w:rPr>
        <w:t>而予以无效处理。</w:t>
      </w:r>
    </w:p>
    <w:p w14:paraId="299BCCC7">
      <w:pPr>
        <w:pStyle w:val="27"/>
        <w:outlineLvl w:val="9"/>
        <w:rPr>
          <w:rFonts w:hint="eastAsia"/>
          <w:highlight w:val="none"/>
        </w:rPr>
      </w:pPr>
    </w:p>
    <w:p w14:paraId="11700ED6">
      <w:pPr>
        <w:pStyle w:val="10"/>
        <w:outlineLvl w:val="9"/>
        <w:rPr>
          <w:rFonts w:hint="eastAsia"/>
          <w:highlight w:val="none"/>
        </w:rPr>
      </w:pPr>
    </w:p>
    <w:p w14:paraId="6546512B">
      <w:pPr>
        <w:outlineLvl w:val="9"/>
        <w:rPr>
          <w:rFonts w:hint="eastAsia"/>
          <w:highlight w:val="none"/>
        </w:rPr>
      </w:pPr>
    </w:p>
    <w:p w14:paraId="5585D736">
      <w:pPr>
        <w:pStyle w:val="81"/>
        <w:outlineLvl w:val="9"/>
        <w:rPr>
          <w:rFonts w:hint="eastAsia"/>
          <w:highlight w:val="none"/>
        </w:rPr>
      </w:pPr>
    </w:p>
    <w:p w14:paraId="57018792">
      <w:pPr>
        <w:pStyle w:val="81"/>
        <w:outlineLvl w:val="9"/>
        <w:rPr>
          <w:rFonts w:hint="eastAsia"/>
          <w:highlight w:val="none"/>
        </w:rPr>
      </w:pPr>
    </w:p>
    <w:p w14:paraId="6B5E3601">
      <w:pPr>
        <w:pStyle w:val="81"/>
        <w:outlineLvl w:val="9"/>
        <w:rPr>
          <w:rFonts w:hint="eastAsia"/>
          <w:highlight w:val="none"/>
        </w:rPr>
      </w:pPr>
    </w:p>
    <w:p w14:paraId="0F191CF6">
      <w:pPr>
        <w:pStyle w:val="81"/>
        <w:outlineLvl w:val="9"/>
        <w:rPr>
          <w:rFonts w:hint="eastAsia"/>
          <w:highlight w:val="none"/>
        </w:rPr>
      </w:pPr>
    </w:p>
    <w:p w14:paraId="3777DCC4">
      <w:pPr>
        <w:pStyle w:val="81"/>
        <w:outlineLvl w:val="9"/>
        <w:rPr>
          <w:rFonts w:hint="eastAsia"/>
          <w:highlight w:val="none"/>
        </w:rPr>
      </w:pPr>
    </w:p>
    <w:p w14:paraId="76D39209">
      <w:pPr>
        <w:spacing w:line="440" w:lineRule="exact"/>
        <w:jc w:val="both"/>
        <w:outlineLvl w:val="9"/>
        <w:rPr>
          <w:rFonts w:hint="eastAsia" w:ascii="仿宋" w:hAnsi="仿宋" w:eastAsia="仿宋" w:cs="仿宋"/>
          <w:b/>
          <w:color w:val="000000"/>
          <w:sz w:val="32"/>
          <w:szCs w:val="32"/>
          <w:highlight w:val="none"/>
          <w:lang w:eastAsia="zh-CN"/>
        </w:rPr>
      </w:pPr>
    </w:p>
    <w:p w14:paraId="3096FF46">
      <w:pPr>
        <w:spacing w:line="440" w:lineRule="exact"/>
        <w:jc w:val="center"/>
        <w:outlineLvl w:val="9"/>
        <w:rPr>
          <w:rFonts w:hint="eastAsia" w:ascii="仿宋" w:hAnsi="仿宋" w:eastAsia="仿宋" w:cs="仿宋"/>
          <w:b/>
          <w:color w:val="000000"/>
          <w:sz w:val="32"/>
          <w:szCs w:val="32"/>
          <w:highlight w:val="none"/>
          <w:lang w:eastAsia="zh-CN"/>
        </w:rPr>
      </w:pPr>
      <w:bookmarkStart w:id="341" w:name="_Toc27687"/>
      <w:bookmarkStart w:id="342" w:name="_Toc28618"/>
      <w:bookmarkStart w:id="343" w:name="_Toc73"/>
      <w:bookmarkStart w:id="344" w:name="_Toc1608"/>
      <w:r>
        <w:rPr>
          <w:rFonts w:hint="eastAsia" w:ascii="仿宋" w:hAnsi="仿宋" w:eastAsia="仿宋" w:cs="仿宋"/>
          <w:b/>
          <w:color w:val="000000"/>
          <w:sz w:val="32"/>
          <w:szCs w:val="32"/>
          <w:highlight w:val="none"/>
          <w:lang w:eastAsia="zh-CN"/>
        </w:rPr>
        <w:t>评分细则</w:t>
      </w:r>
      <w:bookmarkEnd w:id="341"/>
      <w:bookmarkEnd w:id="342"/>
      <w:bookmarkEnd w:id="343"/>
      <w:bookmarkEnd w:id="344"/>
    </w:p>
    <w:p w14:paraId="349489DB">
      <w:pPr>
        <w:spacing w:before="72" w:after="72"/>
        <w:jc w:val="center"/>
        <w:outlineLvl w:val="9"/>
        <w:rPr>
          <w:color w:val="auto"/>
          <w:szCs w:val="24"/>
          <w:highlight w:val="none"/>
        </w:rPr>
      </w:pPr>
      <w:bookmarkStart w:id="345" w:name="_Toc1213268"/>
      <w:r>
        <w:rPr>
          <w:rFonts w:hint="eastAsia"/>
          <w:color w:val="auto"/>
          <w:szCs w:val="24"/>
          <w:highlight w:val="none"/>
        </w:rPr>
        <w:t>商务、</w:t>
      </w:r>
      <w:r>
        <w:rPr>
          <w:color w:val="auto"/>
          <w:szCs w:val="24"/>
          <w:highlight w:val="none"/>
        </w:rPr>
        <w:t>技术评分细则表</w:t>
      </w:r>
      <w:bookmarkEnd w:id="345"/>
    </w:p>
    <w:p w14:paraId="057FDC11">
      <w:pPr>
        <w:pStyle w:val="57"/>
        <w:outlineLvl w:val="9"/>
        <w:rPr>
          <w:rFonts w:hint="eastAsia"/>
          <w:highlight w:val="none"/>
          <w:lang w:eastAsia="zh-CN"/>
        </w:rPr>
      </w:pPr>
    </w:p>
    <w:tbl>
      <w:tblPr>
        <w:tblStyle w:val="38"/>
        <w:tblW w:w="8660"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1"/>
        <w:gridCol w:w="948"/>
        <w:gridCol w:w="717"/>
        <w:gridCol w:w="6484"/>
      </w:tblGrid>
      <w:tr w14:paraId="55F2597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511" w:type="dxa"/>
            <w:noWrap w:val="0"/>
            <w:vAlign w:val="center"/>
          </w:tcPr>
          <w:p w14:paraId="1502D897">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948" w:type="dxa"/>
            <w:noWrap w:val="0"/>
            <w:vAlign w:val="center"/>
          </w:tcPr>
          <w:p w14:paraId="729CBF90">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评审因素</w:t>
            </w:r>
          </w:p>
        </w:tc>
        <w:tc>
          <w:tcPr>
            <w:tcW w:w="717" w:type="dxa"/>
            <w:noWrap w:val="0"/>
            <w:vAlign w:val="center"/>
          </w:tcPr>
          <w:p w14:paraId="3BF16582">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分值</w:t>
            </w:r>
          </w:p>
        </w:tc>
        <w:tc>
          <w:tcPr>
            <w:tcW w:w="6484" w:type="dxa"/>
            <w:noWrap w:val="0"/>
            <w:vAlign w:val="center"/>
          </w:tcPr>
          <w:p w14:paraId="3153C2E9">
            <w:pPr>
              <w:keepNext w:val="0"/>
              <w:keepLines w:val="0"/>
              <w:suppressLineNumbers w:val="0"/>
              <w:spacing w:before="0" w:beforeAutospacing="0" w:after="0" w:afterAutospacing="0"/>
              <w:ind w:left="0" w:right="0"/>
              <w:jc w:val="center"/>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评分标准说明</w:t>
            </w:r>
          </w:p>
        </w:tc>
      </w:tr>
      <w:tr w14:paraId="4E64A35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511" w:type="dxa"/>
            <w:noWrap w:val="0"/>
            <w:vAlign w:val="center"/>
          </w:tcPr>
          <w:p w14:paraId="20E6A6EF">
            <w:pPr>
              <w:keepNext w:val="0"/>
              <w:keepLines w:val="0"/>
              <w:suppressLineNumbers w:val="0"/>
              <w:spacing w:before="0" w:beforeAutospacing="0" w:after="0" w:afterAutospacing="0"/>
              <w:ind w:left="0" w:right="0"/>
              <w:jc w:val="center"/>
              <w:outlineLvl w:val="9"/>
              <w:rPr>
                <w:rFonts w:hint="eastAsia" w:ascii="Times New Roman" w:hAnsi="Times New Roman" w:eastAsia="宋体" w:cs="Times New Roman"/>
                <w:b/>
                <w:color w:val="auto"/>
                <w:szCs w:val="21"/>
                <w:highlight w:val="none"/>
                <w:lang w:val="en-US" w:eastAsia="zh-CN"/>
              </w:rPr>
            </w:pPr>
            <w:r>
              <w:rPr>
                <w:rFonts w:hint="eastAsia" w:ascii="Times New Roman" w:hAnsi="Times New Roman" w:cs="Times New Roman"/>
                <w:b/>
                <w:color w:val="auto"/>
                <w:szCs w:val="21"/>
                <w:highlight w:val="none"/>
                <w:lang w:val="en-US" w:eastAsia="zh-CN"/>
              </w:rPr>
              <w:t>一</w:t>
            </w:r>
          </w:p>
        </w:tc>
        <w:tc>
          <w:tcPr>
            <w:tcW w:w="8149" w:type="dxa"/>
            <w:gridSpan w:val="3"/>
            <w:noWrap w:val="0"/>
            <w:vAlign w:val="center"/>
          </w:tcPr>
          <w:p w14:paraId="7798771A">
            <w:pPr>
              <w:keepNext w:val="0"/>
              <w:keepLines w:val="0"/>
              <w:suppressLineNumbers w:val="0"/>
              <w:spacing w:before="0" w:beforeAutospacing="0" w:after="0" w:afterAutospacing="0"/>
              <w:ind w:left="0" w:right="0"/>
              <w:jc w:val="center"/>
              <w:outlineLvl w:val="9"/>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价格部分（20分）</w:t>
            </w:r>
          </w:p>
        </w:tc>
      </w:tr>
      <w:tr w14:paraId="66A6F6A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1" w:type="dxa"/>
            <w:noWrap w:val="0"/>
            <w:vAlign w:val="center"/>
          </w:tcPr>
          <w:p w14:paraId="2F246F41">
            <w:pPr>
              <w:keepNext w:val="0"/>
              <w:keepLines w:val="0"/>
              <w:suppressLineNumbers w:val="0"/>
              <w:spacing w:before="0" w:beforeAutospacing="0" w:after="0" w:afterAutospacing="0"/>
              <w:ind w:left="0" w:right="0"/>
              <w:jc w:val="center"/>
              <w:outlineLvl w:val="9"/>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1</w:t>
            </w:r>
          </w:p>
        </w:tc>
        <w:tc>
          <w:tcPr>
            <w:tcW w:w="948" w:type="dxa"/>
            <w:noWrap w:val="0"/>
            <w:vAlign w:val="center"/>
          </w:tcPr>
          <w:p w14:paraId="6E0D614B">
            <w:pPr>
              <w:keepNext w:val="0"/>
              <w:keepLines w:val="0"/>
              <w:suppressLineNumbers w:val="0"/>
              <w:spacing w:before="0" w:beforeAutospacing="0" w:after="0" w:afterAutospacing="0"/>
              <w:ind w:left="0" w:right="0"/>
              <w:outlineLvl w:val="9"/>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响应报价</w:t>
            </w:r>
          </w:p>
        </w:tc>
        <w:tc>
          <w:tcPr>
            <w:tcW w:w="717" w:type="dxa"/>
            <w:noWrap w:val="0"/>
            <w:vAlign w:val="center"/>
          </w:tcPr>
          <w:p w14:paraId="6ADA7866">
            <w:pPr>
              <w:keepNext w:val="0"/>
              <w:keepLines w:val="0"/>
              <w:suppressLineNumbers w:val="0"/>
              <w:spacing w:before="0" w:beforeAutospacing="0" w:after="0" w:afterAutospacing="0"/>
              <w:ind w:left="0" w:right="0"/>
              <w:jc w:val="center"/>
              <w:outlineLvl w:val="9"/>
              <w:rPr>
                <w:rFonts w:hint="default" w:ascii="Times New Roman" w:hAnsi="Times New Roman" w:eastAsia="宋体" w:cs="Times New Roman"/>
                <w:b/>
                <w:color w:val="auto"/>
                <w:sz w:val="24"/>
                <w:szCs w:val="24"/>
                <w:highlight w:val="none"/>
                <w:lang w:val="en-US" w:eastAsia="zh-CN"/>
              </w:rPr>
            </w:pPr>
            <w:r>
              <w:rPr>
                <w:rFonts w:hint="eastAsia" w:cs="Times New Roman"/>
                <w:b/>
                <w:color w:val="auto"/>
                <w:sz w:val="24"/>
                <w:szCs w:val="24"/>
                <w:highlight w:val="none"/>
                <w:lang w:val="en-US" w:eastAsia="zh-CN"/>
              </w:rPr>
              <w:t>20</w:t>
            </w:r>
          </w:p>
        </w:tc>
        <w:tc>
          <w:tcPr>
            <w:tcW w:w="6484" w:type="dxa"/>
            <w:noWrap w:val="0"/>
            <w:vAlign w:val="center"/>
          </w:tcPr>
          <w:p w14:paraId="4E1E5881">
            <w:pPr>
              <w:pStyle w:val="7"/>
              <w:keepNext w:val="0"/>
              <w:keepLines w:val="0"/>
              <w:suppressLineNumbers w:val="0"/>
              <w:spacing w:before="0" w:beforeAutospacing="0" w:after="0" w:afterAutospacing="0"/>
              <w:ind w:left="0" w:right="0" w:firstLine="422"/>
              <w:outlineLvl w:val="9"/>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（1）评标基准价：满足招标文件要求且投标价格最低的有效投标报价为评标基准价。</w:t>
            </w:r>
          </w:p>
          <w:p w14:paraId="31822C53">
            <w:pPr>
              <w:pStyle w:val="7"/>
              <w:keepNext w:val="0"/>
              <w:keepLines w:val="0"/>
              <w:suppressLineNumbers w:val="0"/>
              <w:spacing w:before="0" w:beforeAutospacing="0" w:after="0" w:afterAutospacing="0"/>
              <w:ind w:left="0" w:right="0" w:firstLine="422"/>
              <w:outlineLvl w:val="9"/>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（2）投标报价得分=（评标基准价/投标报价）×</w:t>
            </w:r>
            <w:r>
              <w:rPr>
                <w:rFonts w:hint="eastAsia" w:hAnsi="宋体" w:cs="Times New Roman"/>
                <w:b/>
                <w:color w:val="auto"/>
                <w:sz w:val="24"/>
                <w:szCs w:val="24"/>
                <w:highlight w:val="none"/>
                <w:lang w:val="en-US" w:eastAsia="zh-CN"/>
              </w:rPr>
              <w:t>价格权重</w:t>
            </w:r>
            <w:r>
              <w:rPr>
                <w:rFonts w:hint="eastAsia" w:ascii="宋体" w:hAnsi="宋体" w:eastAsia="宋体" w:cs="Times New Roman"/>
                <w:b/>
                <w:color w:val="auto"/>
                <w:sz w:val="24"/>
                <w:szCs w:val="24"/>
                <w:highlight w:val="none"/>
                <w:lang w:val="en-US" w:eastAsia="zh-CN"/>
              </w:rPr>
              <w:t>×100</w:t>
            </w:r>
            <w:r>
              <w:rPr>
                <w:rFonts w:hint="eastAsia" w:hAnsi="宋体" w:cs="Times New Roman"/>
                <w:b/>
                <w:color w:val="auto"/>
                <w:sz w:val="24"/>
                <w:szCs w:val="24"/>
                <w:highlight w:val="none"/>
                <w:lang w:val="en-US" w:eastAsia="zh-CN"/>
              </w:rPr>
              <w:t>.</w:t>
            </w:r>
          </w:p>
          <w:p w14:paraId="2C29197F">
            <w:pPr>
              <w:pStyle w:val="7"/>
              <w:keepNext w:val="0"/>
              <w:keepLines w:val="0"/>
              <w:suppressLineNumbers w:val="0"/>
              <w:spacing w:before="0" w:beforeAutospacing="0" w:after="0" w:afterAutospacing="0"/>
              <w:ind w:left="0" w:right="0" w:firstLine="422"/>
              <w:outlineLvl w:val="9"/>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（3）报价得分计算结果按四舍五入规则保留小数点后两位数字。</w:t>
            </w:r>
          </w:p>
          <w:p w14:paraId="2A77AE88">
            <w:pPr>
              <w:keepNext w:val="0"/>
              <w:keepLines w:val="0"/>
              <w:suppressLineNumbers w:val="0"/>
              <w:spacing w:before="0" w:beforeAutospacing="0" w:after="0" w:afterAutospacing="0"/>
              <w:ind w:left="0" w:right="0"/>
              <w:rPr>
                <w:rFonts w:hint="default"/>
                <w:sz w:val="24"/>
                <w:szCs w:val="24"/>
                <w:highlight w:val="none"/>
                <w:lang w:val="en-US"/>
              </w:rPr>
            </w:pPr>
            <w:r>
              <w:rPr>
                <w:rFonts w:hint="eastAsia" w:ascii="宋体" w:hAnsi="宋体" w:cs="Times New Roman"/>
                <w:b/>
                <w:color w:val="auto"/>
                <w:sz w:val="24"/>
                <w:szCs w:val="24"/>
                <w:highlight w:val="none"/>
                <w:lang w:val="en-US" w:eastAsia="zh-CN"/>
              </w:rPr>
              <w:t>注：本项目专门面向中小/小微企业采购，根据《政府采购促进中小企业发展管理办法》（财库﹝2020﹞46号）、《关于进一步加大政府采购支持中小企业力度的通知》（财库〔2022〕19号）的规定，对小型和微型企业不进行价格扣除。</w:t>
            </w:r>
          </w:p>
        </w:tc>
      </w:tr>
      <w:tr w14:paraId="1789596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511" w:type="dxa"/>
            <w:noWrap w:val="0"/>
            <w:vAlign w:val="center"/>
          </w:tcPr>
          <w:p w14:paraId="0C19D5F3">
            <w:pPr>
              <w:keepNext w:val="0"/>
              <w:keepLines w:val="0"/>
              <w:suppressLineNumbers w:val="0"/>
              <w:spacing w:before="0" w:beforeAutospacing="0" w:after="0" w:afterAutospacing="0"/>
              <w:ind w:left="0" w:right="0"/>
              <w:jc w:val="center"/>
              <w:outlineLvl w:val="9"/>
              <w:rPr>
                <w:rFonts w:hint="eastAsia" w:ascii="Times New Roman" w:hAnsi="Times New Roman" w:eastAsia="宋体" w:cs="Times New Roman"/>
                <w:b/>
                <w:color w:val="auto"/>
                <w:szCs w:val="21"/>
                <w:highlight w:val="none"/>
                <w:lang w:val="en-US" w:eastAsia="zh-CN"/>
              </w:rPr>
            </w:pPr>
            <w:r>
              <w:rPr>
                <w:rFonts w:hint="eastAsia" w:ascii="Times New Roman" w:hAnsi="Times New Roman" w:cs="Times New Roman"/>
                <w:b/>
                <w:color w:val="auto"/>
                <w:szCs w:val="21"/>
                <w:highlight w:val="none"/>
                <w:lang w:val="en-US" w:eastAsia="zh-CN"/>
              </w:rPr>
              <w:t>二</w:t>
            </w:r>
          </w:p>
        </w:tc>
        <w:tc>
          <w:tcPr>
            <w:tcW w:w="8149" w:type="dxa"/>
            <w:gridSpan w:val="3"/>
            <w:noWrap w:val="0"/>
            <w:vAlign w:val="center"/>
          </w:tcPr>
          <w:p w14:paraId="1AAB631C">
            <w:pPr>
              <w:pStyle w:val="75"/>
              <w:keepNext w:val="0"/>
              <w:keepLines w:val="0"/>
              <w:widowControl w:val="0"/>
              <w:suppressLineNumbers w:val="0"/>
              <w:shd w:val="clear" w:color="auto" w:fill="auto"/>
              <w:bidi w:val="0"/>
              <w:spacing w:before="0" w:beforeAutospacing="0" w:after="0" w:afterAutospacing="0" w:line="408" w:lineRule="exact"/>
              <w:ind w:left="0" w:leftChars="0" w:right="0" w:rightChars="0" w:firstLine="0" w:firstLineChars="0"/>
              <w:jc w:val="center"/>
              <w:outlineLvl w:val="9"/>
              <w:rPr>
                <w:rFonts w:hint="default" w:eastAsia="宋体"/>
                <w:color w:val="000000"/>
                <w:spacing w:val="0"/>
                <w:w w:val="100"/>
                <w:position w:val="0"/>
                <w:sz w:val="24"/>
                <w:szCs w:val="24"/>
                <w:highlight w:val="none"/>
                <w:lang w:val="en-US" w:eastAsia="zh-CN"/>
              </w:rPr>
            </w:pPr>
            <w:r>
              <w:rPr>
                <w:rFonts w:hint="eastAsia" w:ascii="宋体" w:hAnsi="宋体" w:eastAsia="宋体" w:cs="Times New Roman"/>
                <w:b/>
                <w:color w:val="auto"/>
                <w:kern w:val="2"/>
                <w:sz w:val="21"/>
                <w:szCs w:val="21"/>
                <w:highlight w:val="none"/>
                <w:u w:val="none"/>
                <w:shd w:val="clear" w:color="auto" w:fill="auto"/>
                <w:lang w:val="en-US" w:eastAsia="zh-CN" w:bidi="ar-SA"/>
              </w:rPr>
              <w:t>商务及技术部分（</w:t>
            </w:r>
            <w:r>
              <w:rPr>
                <w:rFonts w:hint="eastAsia" w:cs="Times New Roman"/>
                <w:b/>
                <w:color w:val="auto"/>
                <w:kern w:val="2"/>
                <w:sz w:val="21"/>
                <w:szCs w:val="21"/>
                <w:highlight w:val="none"/>
                <w:u w:val="none"/>
                <w:shd w:val="clear" w:color="auto" w:fill="auto"/>
                <w:lang w:val="en-US" w:eastAsia="zh-CN" w:bidi="ar-SA"/>
              </w:rPr>
              <w:t>80</w:t>
            </w:r>
            <w:r>
              <w:rPr>
                <w:rFonts w:hint="eastAsia" w:ascii="宋体" w:hAnsi="宋体" w:eastAsia="宋体" w:cs="Times New Roman"/>
                <w:b/>
                <w:color w:val="auto"/>
                <w:kern w:val="2"/>
                <w:sz w:val="21"/>
                <w:szCs w:val="21"/>
                <w:highlight w:val="none"/>
                <w:u w:val="none"/>
                <w:shd w:val="clear" w:color="auto" w:fill="auto"/>
                <w:lang w:val="en-US" w:eastAsia="zh-CN" w:bidi="ar-SA"/>
              </w:rPr>
              <w:t>分）</w:t>
            </w:r>
          </w:p>
        </w:tc>
      </w:tr>
      <w:tr w14:paraId="3883F0F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462" w:hRule="atLeast"/>
          <w:jc w:val="center"/>
        </w:trPr>
        <w:tc>
          <w:tcPr>
            <w:tcW w:w="511" w:type="dxa"/>
            <w:noWrap w:val="0"/>
            <w:vAlign w:val="center"/>
          </w:tcPr>
          <w:p w14:paraId="37862237">
            <w:pPr>
              <w:pStyle w:val="88"/>
              <w:keepNext w:val="0"/>
              <w:keepLines w:val="0"/>
              <w:numPr>
                <w:ilvl w:val="0"/>
                <w:numId w:val="0"/>
              </w:numPr>
              <w:suppressLineNumbers w:val="0"/>
              <w:spacing w:before="0" w:beforeAutospacing="0" w:after="0" w:afterAutospacing="0" w:line="340" w:lineRule="exact"/>
              <w:ind w:left="425" w:leftChars="0" w:right="0" w:hanging="425" w:firstLineChars="0"/>
              <w:jc w:val="center"/>
              <w:outlineLvl w:val="9"/>
              <w:rPr>
                <w:rFonts w:hint="default" w:ascii="Times New Roman" w:hAnsi="Times New Roman" w:cs="Times New Roman"/>
                <w:szCs w:val="21"/>
                <w:highlight w:val="none"/>
                <w:lang w:val="en-US" w:eastAsia="zh-CN"/>
              </w:rPr>
            </w:pPr>
            <w:r>
              <w:rPr>
                <w:rFonts w:hint="default" w:ascii="Times New Roman" w:hAnsi="Times New Roman" w:cs="Times New Roman"/>
                <w:kern w:val="2"/>
                <w:sz w:val="24"/>
                <w:szCs w:val="21"/>
                <w:highlight w:val="none"/>
                <w:lang w:val="en-US" w:eastAsia="zh-CN" w:bidi="ar-SA"/>
              </w:rPr>
              <w:t>1</w:t>
            </w:r>
          </w:p>
        </w:tc>
        <w:tc>
          <w:tcPr>
            <w:tcW w:w="948" w:type="dxa"/>
            <w:noWrap w:val="0"/>
            <w:vAlign w:val="center"/>
          </w:tcPr>
          <w:p w14:paraId="4DC9FAE0">
            <w:pPr>
              <w:keepNext w:val="0"/>
              <w:keepLines w:val="0"/>
              <w:pageBreakBefore w:val="0"/>
              <w:widowControl/>
              <w:suppressLineNumbers w:val="0"/>
              <w:kinsoku/>
              <w:wordWrap/>
              <w:overflowPunct/>
              <w:topLinePunct w:val="0"/>
              <w:autoSpaceDE/>
              <w:autoSpaceDN/>
              <w:bidi w:val="0"/>
              <w:snapToGrid/>
              <w:spacing w:before="0" w:beforeAutospacing="0" w:after="0" w:afterAutospacing="0" w:line="312" w:lineRule="auto"/>
              <w:ind w:left="0" w:right="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w:t>
            </w:r>
            <w:r>
              <w:rPr>
                <w:rFonts w:hint="eastAsia" w:ascii="宋体" w:hAnsi="宋体" w:eastAsia="宋体" w:cs="宋体"/>
                <w:color w:val="auto"/>
                <w:sz w:val="24"/>
                <w:szCs w:val="24"/>
                <w:highlight w:val="none"/>
              </w:rPr>
              <w:t>商业绩</w:t>
            </w:r>
          </w:p>
        </w:tc>
        <w:tc>
          <w:tcPr>
            <w:tcW w:w="717" w:type="dxa"/>
            <w:noWrap w:val="0"/>
            <w:vAlign w:val="center"/>
          </w:tcPr>
          <w:p w14:paraId="3F7DC682">
            <w:pPr>
              <w:keepNext w:val="0"/>
              <w:keepLines w:val="0"/>
              <w:pageBreakBefore w:val="0"/>
              <w:widowControl/>
              <w:suppressLineNumbers w:val="0"/>
              <w:kinsoku/>
              <w:wordWrap/>
              <w:overflowPunct/>
              <w:topLinePunct w:val="0"/>
              <w:autoSpaceDE/>
              <w:autoSpaceDN/>
              <w:bidi w:val="0"/>
              <w:snapToGrid/>
              <w:spacing w:before="0" w:beforeAutospacing="0" w:after="0" w:afterAutospacing="0" w:line="312" w:lineRule="auto"/>
              <w:ind w:left="0" w:right="0"/>
              <w:jc w:val="center"/>
              <w:outlineLvl w:val="9"/>
              <w:rPr>
                <w:rFonts w:hint="default" w:ascii="仿宋" w:hAnsi="仿宋" w:eastAsia="仿宋" w:cs="仿宋"/>
                <w:color w:val="auto"/>
                <w:szCs w:val="21"/>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484" w:type="dxa"/>
            <w:noWrap w:val="0"/>
            <w:vAlign w:val="center"/>
          </w:tcPr>
          <w:p w14:paraId="67891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eastAsia" w:ascii="仿宋" w:hAnsi="仿宋" w:eastAsia="仿宋" w:cs="仿宋"/>
                <w:color w:val="auto"/>
                <w:szCs w:val="21"/>
                <w:highlight w:val="none"/>
                <w:lang w:val="en-US" w:eastAsia="zh-CN"/>
              </w:rPr>
            </w:pPr>
            <w:r>
              <w:rPr>
                <w:rFonts w:hint="eastAsia" w:ascii="Times New Roman" w:hAnsi="Times New Roman" w:cs="Times New Roman"/>
                <w:sz w:val="24"/>
                <w:szCs w:val="24"/>
                <w:highlight w:val="none"/>
                <w:lang w:eastAsia="zh-CN"/>
              </w:rPr>
              <w:t>供应</w:t>
            </w:r>
            <w:r>
              <w:rPr>
                <w:rFonts w:hint="eastAsia" w:ascii="Times New Roman" w:hAnsi="Times New Roman" w:cs="Times New Roman"/>
                <w:sz w:val="24"/>
                <w:szCs w:val="24"/>
                <w:highlight w:val="none"/>
              </w:rPr>
              <w:t>商须提供近三年（2</w:t>
            </w:r>
            <w:r>
              <w:rPr>
                <w:rFonts w:hint="eastAsia" w:ascii="Times New Roman" w:hAnsi="Times New Roman" w:cs="Times New Roman"/>
                <w:sz w:val="24"/>
                <w:szCs w:val="24"/>
                <w:highlight w:val="none"/>
                <w:lang w:val="en-US" w:eastAsia="zh-CN"/>
              </w:rPr>
              <w:t>022</w:t>
            </w:r>
            <w:r>
              <w:rPr>
                <w:rFonts w:hint="eastAsia" w:ascii="Times New Roman" w:hAnsi="Times New Roman" w:cs="Times New Roman"/>
                <w:sz w:val="24"/>
                <w:szCs w:val="24"/>
                <w:highlight w:val="none"/>
              </w:rPr>
              <w:t>年</w:t>
            </w:r>
            <w:r>
              <w:rPr>
                <w:rFonts w:hint="eastAsia" w:ascii="Times New Roman" w:hAnsi="Times New Roman" w:cs="Times New Roman"/>
                <w:sz w:val="24"/>
                <w:szCs w:val="24"/>
                <w:highlight w:val="none"/>
                <w:lang w:val="en-US" w:eastAsia="zh-CN"/>
              </w:rPr>
              <w:t>0</w:t>
            </w:r>
            <w:r>
              <w:rPr>
                <w:rFonts w:hint="eastAsia" w:cs="Times New Roman"/>
                <w:sz w:val="24"/>
                <w:szCs w:val="24"/>
                <w:highlight w:val="none"/>
                <w:lang w:val="en-US" w:eastAsia="zh-CN"/>
              </w:rPr>
              <w:t>6</w:t>
            </w:r>
            <w:r>
              <w:rPr>
                <w:rFonts w:hint="eastAsia" w:ascii="Times New Roman" w:hAnsi="Times New Roman" w:cs="Times New Roman"/>
                <w:sz w:val="24"/>
                <w:szCs w:val="24"/>
                <w:highlight w:val="none"/>
              </w:rPr>
              <w:t>月-至</w:t>
            </w:r>
            <w:r>
              <w:rPr>
                <w:rFonts w:hint="eastAsia" w:ascii="Times New Roman" w:hAnsi="Times New Roman" w:cs="Times New Roman"/>
                <w:sz w:val="24"/>
                <w:szCs w:val="24"/>
                <w:highlight w:val="none"/>
                <w:lang w:eastAsia="zh-CN"/>
              </w:rPr>
              <w:t>响应截止时间</w:t>
            </w:r>
            <w:r>
              <w:rPr>
                <w:rFonts w:hint="eastAsia" w:ascii="Times New Roman" w:hAnsi="Times New Roman" w:cs="Times New Roman"/>
                <w:sz w:val="24"/>
                <w:szCs w:val="24"/>
                <w:highlight w:val="none"/>
              </w:rPr>
              <w:t>）的</w:t>
            </w:r>
            <w:r>
              <w:rPr>
                <w:rFonts w:hint="eastAsia" w:ascii="Times New Roman" w:hAnsi="Times New Roman" w:cs="Times New Roman"/>
                <w:sz w:val="24"/>
                <w:szCs w:val="24"/>
                <w:highlight w:val="none"/>
                <w:lang w:eastAsia="zh-CN"/>
              </w:rPr>
              <w:t>类似</w:t>
            </w:r>
            <w:r>
              <w:rPr>
                <w:rFonts w:hint="eastAsia" w:ascii="Times New Roman" w:hAnsi="Times New Roman" w:cs="Times New Roman"/>
                <w:sz w:val="24"/>
                <w:szCs w:val="24"/>
                <w:highlight w:val="none"/>
              </w:rPr>
              <w:t>项目业绩，每提供一项得</w:t>
            </w:r>
            <w:r>
              <w:rPr>
                <w:rFonts w:hint="eastAsia" w:ascii="Times New Roman" w:hAnsi="Times New Roman" w:cs="Times New Roman"/>
                <w:sz w:val="24"/>
                <w:szCs w:val="24"/>
                <w:highlight w:val="none"/>
                <w:lang w:val="en-US" w:eastAsia="zh-CN"/>
              </w:rPr>
              <w:t>2</w:t>
            </w:r>
            <w:r>
              <w:rPr>
                <w:rFonts w:hint="eastAsia" w:ascii="Times New Roman" w:hAnsi="Times New Roman" w:cs="Times New Roman"/>
                <w:sz w:val="24"/>
                <w:szCs w:val="24"/>
                <w:highlight w:val="none"/>
              </w:rPr>
              <w:t>分，最多得</w:t>
            </w:r>
            <w:r>
              <w:rPr>
                <w:rFonts w:hint="eastAsia" w:ascii="Times New Roman" w:hAnsi="Times New Roman" w:cs="Times New Roman"/>
                <w:sz w:val="24"/>
                <w:szCs w:val="24"/>
                <w:highlight w:val="none"/>
                <w:lang w:val="en-US" w:eastAsia="zh-CN"/>
              </w:rPr>
              <w:t>6</w:t>
            </w:r>
            <w:r>
              <w:rPr>
                <w:rFonts w:hint="eastAsia" w:ascii="Times New Roman" w:hAnsi="Times New Roman" w:cs="Times New Roman"/>
                <w:sz w:val="24"/>
                <w:szCs w:val="24"/>
                <w:highlight w:val="none"/>
              </w:rPr>
              <w:t>分（证明资料</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rPr>
              <w:t>合同</w:t>
            </w:r>
            <w:r>
              <w:rPr>
                <w:rFonts w:hint="eastAsia" w:cs="Times New Roman"/>
                <w:sz w:val="24"/>
                <w:szCs w:val="24"/>
                <w:highlight w:val="none"/>
                <w:lang w:val="en-US" w:eastAsia="zh-CN"/>
              </w:rPr>
              <w:t>关键页和</w:t>
            </w:r>
            <w:r>
              <w:rPr>
                <w:rFonts w:hint="eastAsia" w:ascii="Times New Roman" w:hAnsi="Times New Roman" w:cs="Times New Roman"/>
                <w:sz w:val="24"/>
                <w:szCs w:val="24"/>
                <w:highlight w:val="none"/>
                <w:lang w:val="en-US" w:eastAsia="zh-CN"/>
              </w:rPr>
              <w:t>中标通知书</w:t>
            </w:r>
            <w:r>
              <w:rPr>
                <w:rFonts w:hint="eastAsia" w:ascii="Times New Roman" w:hAnsi="Times New Roman" w:cs="Times New Roman"/>
                <w:sz w:val="24"/>
                <w:szCs w:val="24"/>
                <w:highlight w:val="none"/>
              </w:rPr>
              <w:t>）未提供证明资料或无法辨识的，视为无效业绩不计分。</w:t>
            </w:r>
          </w:p>
        </w:tc>
      </w:tr>
      <w:tr w14:paraId="448CC20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736" w:hRule="atLeast"/>
          <w:jc w:val="center"/>
        </w:trPr>
        <w:tc>
          <w:tcPr>
            <w:tcW w:w="511" w:type="dxa"/>
            <w:noWrap w:val="0"/>
            <w:vAlign w:val="center"/>
          </w:tcPr>
          <w:p w14:paraId="52C89DAB">
            <w:pPr>
              <w:pStyle w:val="88"/>
              <w:keepNext w:val="0"/>
              <w:keepLines w:val="0"/>
              <w:numPr>
                <w:ilvl w:val="0"/>
                <w:numId w:val="0"/>
              </w:numPr>
              <w:suppressLineNumbers w:val="0"/>
              <w:spacing w:before="0" w:beforeAutospacing="0" w:after="0" w:afterAutospacing="0" w:line="340" w:lineRule="exact"/>
              <w:ind w:left="425" w:leftChars="0" w:right="0" w:hanging="425" w:firstLineChars="0"/>
              <w:jc w:val="center"/>
              <w:outlineLvl w:val="9"/>
              <w:rPr>
                <w:rFonts w:hint="default" w:ascii="Times New Roman" w:hAnsi="Times New Roman" w:cs="Times New Roman"/>
                <w:szCs w:val="21"/>
                <w:highlight w:val="none"/>
                <w:lang w:val="en-US" w:eastAsia="zh-CN"/>
              </w:rPr>
            </w:pPr>
            <w:r>
              <w:rPr>
                <w:rFonts w:hint="default" w:ascii="Times New Roman" w:hAnsi="Times New Roman" w:cs="Times New Roman"/>
                <w:kern w:val="2"/>
                <w:sz w:val="24"/>
                <w:szCs w:val="21"/>
                <w:highlight w:val="none"/>
                <w:lang w:val="en-US" w:eastAsia="zh-CN" w:bidi="ar-SA"/>
              </w:rPr>
              <w:t>2</w:t>
            </w:r>
          </w:p>
        </w:tc>
        <w:tc>
          <w:tcPr>
            <w:tcW w:w="948" w:type="dxa"/>
            <w:noWrap w:val="0"/>
            <w:vAlign w:val="center"/>
          </w:tcPr>
          <w:p w14:paraId="56489E91">
            <w:pPr>
              <w:keepNext w:val="0"/>
              <w:keepLines w:val="0"/>
              <w:pageBreakBefore w:val="0"/>
              <w:widowControl/>
              <w:suppressLineNumbers w:val="0"/>
              <w:kinsoku/>
              <w:wordWrap/>
              <w:overflowPunct/>
              <w:topLinePunct w:val="0"/>
              <w:autoSpaceDE/>
              <w:autoSpaceDN/>
              <w:bidi w:val="0"/>
              <w:snapToGrid/>
              <w:spacing w:before="0" w:beforeAutospacing="0" w:after="0" w:afterAutospacing="0" w:line="312" w:lineRule="auto"/>
              <w:ind w:left="0" w:right="0"/>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人员配置</w:t>
            </w:r>
          </w:p>
        </w:tc>
        <w:tc>
          <w:tcPr>
            <w:tcW w:w="717" w:type="dxa"/>
            <w:noWrap w:val="0"/>
            <w:vAlign w:val="center"/>
          </w:tcPr>
          <w:p w14:paraId="5E73E1ED">
            <w:pPr>
              <w:keepNext w:val="0"/>
              <w:keepLines w:val="0"/>
              <w:pageBreakBefore w:val="0"/>
              <w:widowControl/>
              <w:suppressLineNumbers w:val="0"/>
              <w:kinsoku/>
              <w:wordWrap/>
              <w:overflowPunct/>
              <w:topLinePunct w:val="0"/>
              <w:autoSpaceDE/>
              <w:autoSpaceDN/>
              <w:bidi w:val="0"/>
              <w:snapToGrid/>
              <w:spacing w:before="0" w:beforeAutospacing="0" w:after="0" w:afterAutospacing="0" w:line="312" w:lineRule="auto"/>
              <w:ind w:left="0" w:right="0"/>
              <w:jc w:val="center"/>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16分</w:t>
            </w:r>
          </w:p>
        </w:tc>
        <w:tc>
          <w:tcPr>
            <w:tcW w:w="6484" w:type="dxa"/>
            <w:noWrap w:val="0"/>
            <w:vAlign w:val="center"/>
          </w:tcPr>
          <w:p w14:paraId="7589F1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rPr>
              <w:t>活动执行团队人员配备10人(含)以上的得</w:t>
            </w:r>
            <w:r>
              <w:rPr>
                <w:rFonts w:hint="eastAsia" w:ascii="Times New Roman" w:hAnsi="Times New Roman" w:eastAsia="宋体" w:cs="Times New Roman"/>
                <w:sz w:val="24"/>
                <w:szCs w:val="24"/>
                <w:highlight w:val="none"/>
                <w:lang w:val="en-US" w:eastAsia="zh-CN"/>
              </w:rPr>
              <w:t>10</w:t>
            </w:r>
            <w:r>
              <w:rPr>
                <w:rFonts w:hint="eastAsia" w:ascii="Times New Roman" w:hAnsi="Times New Roman" w:eastAsia="宋体" w:cs="Times New Roman"/>
                <w:sz w:val="24"/>
                <w:szCs w:val="24"/>
                <w:highlight w:val="none"/>
              </w:rPr>
              <w:t>分，配备6至9人的得</w:t>
            </w:r>
            <w:r>
              <w:rPr>
                <w:rFonts w:hint="eastAsia" w:ascii="Times New Roman" w:hAnsi="Times New Roman" w:eastAsia="宋体" w:cs="Times New Roman"/>
                <w:sz w:val="24"/>
                <w:szCs w:val="24"/>
                <w:highlight w:val="none"/>
                <w:lang w:val="en-US" w:eastAsia="zh-CN"/>
              </w:rPr>
              <w:t>7</w:t>
            </w:r>
            <w:r>
              <w:rPr>
                <w:rFonts w:hint="eastAsia" w:ascii="Times New Roman" w:hAnsi="Times New Roman" w:eastAsia="宋体" w:cs="Times New Roman"/>
                <w:sz w:val="24"/>
                <w:szCs w:val="24"/>
                <w:highlight w:val="none"/>
              </w:rPr>
              <w:t>分</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配备3至5人的得</w:t>
            </w:r>
            <w:r>
              <w:rPr>
                <w:rFonts w:hint="eastAsia"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rPr>
              <w:t>分,配备1至2人的得</w:t>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rPr>
              <w:t>分，</w:t>
            </w:r>
            <w:r>
              <w:rPr>
                <w:rFonts w:hint="eastAsia" w:ascii="Times New Roman" w:hAnsi="Times New Roman" w:eastAsia="宋体" w:cs="Times New Roman"/>
                <w:sz w:val="24"/>
                <w:szCs w:val="24"/>
                <w:highlight w:val="none"/>
                <w:lang w:val="en-US" w:eastAsia="zh-CN"/>
              </w:rPr>
              <w:t>未提供</w:t>
            </w:r>
            <w:r>
              <w:rPr>
                <w:rFonts w:hint="eastAsia" w:ascii="Times New Roman" w:hAnsi="Times New Roman" w:eastAsia="宋体" w:cs="Times New Roman"/>
                <w:sz w:val="24"/>
                <w:szCs w:val="24"/>
                <w:highlight w:val="none"/>
              </w:rPr>
              <w:t>不得分</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须附人员清单，提供身份证、近</w:t>
            </w:r>
            <w:r>
              <w:rPr>
                <w:rFonts w:hint="eastAsia" w:ascii="Times New Roman" w:hAnsi="Times New Roman" w:eastAsia="宋体" w:cs="Times New Roman"/>
                <w:sz w:val="24"/>
                <w:szCs w:val="24"/>
                <w:highlight w:val="none"/>
                <w:lang w:val="en-US" w:eastAsia="zh-CN"/>
              </w:rPr>
              <w:t>半年内任意3个月</w:t>
            </w:r>
            <w:r>
              <w:rPr>
                <w:rFonts w:hint="eastAsia" w:ascii="Times New Roman" w:hAnsi="Times New Roman" w:eastAsia="宋体" w:cs="Times New Roman"/>
                <w:sz w:val="24"/>
                <w:szCs w:val="24"/>
                <w:highlight w:val="none"/>
              </w:rPr>
              <w:t>社保缴纳证明等相关资料</w:t>
            </w:r>
            <w:r>
              <w:rPr>
                <w:rFonts w:hint="eastAsia" w:ascii="Times New Roman" w:hAnsi="Times New Roman" w:eastAsia="宋体" w:cs="Times New Roman"/>
                <w:sz w:val="24"/>
                <w:szCs w:val="24"/>
                <w:highlight w:val="none"/>
                <w:lang w:eastAsia="zh-CN"/>
              </w:rPr>
              <w:t>）。</w:t>
            </w:r>
          </w:p>
          <w:p w14:paraId="211C0F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rPr>
              <w:t>供应商针对本项目各个阶段人员配置合理，①有合理的项目组织架构；②有详细的调配措施；③岗位配备齐全；以上要求完全满足且措施精准详细的得</w:t>
            </w:r>
            <w:r>
              <w:rPr>
                <w:rFonts w:hint="eastAsia" w:ascii="Times New Roman" w:hAnsi="Times New Roman" w:eastAsia="宋体" w:cs="Times New Roman"/>
                <w:sz w:val="24"/>
                <w:szCs w:val="24"/>
                <w:highlight w:val="none"/>
                <w:lang w:val="en-US" w:eastAsia="zh-CN"/>
              </w:rPr>
              <w:t>6</w:t>
            </w:r>
            <w:r>
              <w:rPr>
                <w:rFonts w:hint="eastAsia" w:ascii="Times New Roman" w:hAnsi="Times New Roman" w:eastAsia="宋体" w:cs="Times New Roman"/>
                <w:sz w:val="24"/>
                <w:szCs w:val="24"/>
                <w:highlight w:val="none"/>
              </w:rPr>
              <w:t>分；每有一项缺失的扣</w:t>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rPr>
              <w:t>分;每项内容有缺陷的扣1分</w:t>
            </w:r>
            <w:r>
              <w:rPr>
                <w:rFonts w:hint="eastAsia" w:cs="Times New Roman"/>
                <w:sz w:val="24"/>
                <w:szCs w:val="24"/>
                <w:highlight w:val="none"/>
                <w:lang w:eastAsia="zh-CN"/>
              </w:rPr>
              <w:t>，</w:t>
            </w:r>
            <w:r>
              <w:rPr>
                <w:rFonts w:hint="eastAsia" w:ascii="Times New Roman" w:hAnsi="Times New Roman" w:eastAsia="宋体" w:cs="Times New Roman"/>
                <w:sz w:val="24"/>
                <w:szCs w:val="24"/>
                <w:highlight w:val="none"/>
              </w:rPr>
              <w:t>扣完为止。</w:t>
            </w:r>
          </w:p>
          <w:p w14:paraId="4B95BA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eastAsia"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注：</w:t>
            </w:r>
            <w:r>
              <w:rPr>
                <w:rFonts w:hint="eastAsia" w:ascii="Times New Roman" w:hAnsi="Times New Roman" w:eastAsia="宋体" w:cs="Times New Roman"/>
                <w:sz w:val="24"/>
                <w:szCs w:val="24"/>
                <w:highlight w:val="none"/>
              </w:rPr>
              <w:t>缺陷是指:存在不适用项目实际情况的情形、凭空编造、前后不一致、前后逻辑错误、涉及的规范及标准错误、套用其他方案、只有简单描述无实质性内容等</w:t>
            </w:r>
            <w:r>
              <w:rPr>
                <w:rFonts w:hint="eastAsia" w:cs="Times New Roman"/>
                <w:sz w:val="24"/>
                <w:szCs w:val="24"/>
                <w:highlight w:val="none"/>
                <w:lang w:eastAsia="zh-CN"/>
              </w:rPr>
              <w:t>。</w:t>
            </w:r>
          </w:p>
        </w:tc>
      </w:tr>
      <w:tr w14:paraId="326EB28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1" w:type="dxa"/>
            <w:noWrap w:val="0"/>
            <w:vAlign w:val="center"/>
          </w:tcPr>
          <w:p w14:paraId="1B5054DD">
            <w:pPr>
              <w:pStyle w:val="88"/>
              <w:keepNext w:val="0"/>
              <w:keepLines w:val="0"/>
              <w:numPr>
                <w:ilvl w:val="0"/>
                <w:numId w:val="0"/>
              </w:numPr>
              <w:suppressLineNumbers w:val="0"/>
              <w:spacing w:before="0" w:beforeAutospacing="0" w:after="0" w:afterAutospacing="0" w:line="340" w:lineRule="exact"/>
              <w:ind w:left="425" w:leftChars="0" w:right="0" w:hanging="425" w:firstLineChars="0"/>
              <w:jc w:val="center"/>
              <w:outlineLvl w:val="9"/>
              <w:rPr>
                <w:rFonts w:hint="eastAsia" w:ascii="Times New Roman" w:hAnsi="Times New Roman" w:eastAsia="宋体" w:cs="Times New Roman"/>
                <w:szCs w:val="21"/>
                <w:highlight w:val="none"/>
                <w:lang w:eastAsia="zh-CN"/>
              </w:rPr>
            </w:pPr>
            <w:r>
              <w:rPr>
                <w:rFonts w:hint="default" w:ascii="Times New Roman" w:hAnsi="Times New Roman" w:eastAsia="宋体" w:cs="Times New Roman"/>
                <w:kern w:val="2"/>
                <w:sz w:val="24"/>
                <w:szCs w:val="21"/>
                <w:highlight w:val="none"/>
                <w:lang w:val="en-US" w:eastAsia="zh-CN" w:bidi="ar-SA"/>
              </w:rPr>
              <w:t>3</w:t>
            </w:r>
          </w:p>
        </w:tc>
        <w:tc>
          <w:tcPr>
            <w:tcW w:w="948" w:type="dxa"/>
            <w:noWrap w:val="0"/>
            <w:vAlign w:val="center"/>
          </w:tcPr>
          <w:p w14:paraId="1A036C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项目实</w:t>
            </w:r>
          </w:p>
          <w:p w14:paraId="569E68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施方案</w:t>
            </w:r>
          </w:p>
          <w:p w14:paraId="69C06A39">
            <w:pPr>
              <w:keepNext w:val="0"/>
              <w:keepLines w:val="0"/>
              <w:pageBreakBefore w:val="0"/>
              <w:widowControl/>
              <w:suppressLineNumbers w:val="0"/>
              <w:kinsoku/>
              <w:wordWrap/>
              <w:overflowPunct/>
              <w:topLinePunct w:val="0"/>
              <w:autoSpaceDE/>
              <w:autoSpaceDN/>
              <w:bidi w:val="0"/>
              <w:snapToGrid/>
              <w:spacing w:before="0" w:beforeAutospacing="0" w:after="0" w:afterAutospacing="0" w:line="312" w:lineRule="auto"/>
              <w:ind w:left="0" w:right="0"/>
              <w:jc w:val="center"/>
              <w:outlineLvl w:val="9"/>
              <w:rPr>
                <w:rFonts w:hint="default" w:ascii="Times New Roman" w:hAnsi="Times New Roman" w:cs="Times New Roman"/>
                <w:color w:val="auto"/>
                <w:szCs w:val="21"/>
                <w:highlight w:val="none"/>
              </w:rPr>
            </w:pPr>
          </w:p>
        </w:tc>
        <w:tc>
          <w:tcPr>
            <w:tcW w:w="717" w:type="dxa"/>
            <w:noWrap w:val="0"/>
            <w:vAlign w:val="center"/>
          </w:tcPr>
          <w:p w14:paraId="15DBC376">
            <w:pPr>
              <w:keepNext w:val="0"/>
              <w:keepLines w:val="0"/>
              <w:pageBreakBefore w:val="0"/>
              <w:widowControl/>
              <w:suppressLineNumbers w:val="0"/>
              <w:kinsoku/>
              <w:wordWrap/>
              <w:overflowPunct/>
              <w:topLinePunct w:val="0"/>
              <w:autoSpaceDE/>
              <w:autoSpaceDN/>
              <w:bidi w:val="0"/>
              <w:snapToGrid/>
              <w:spacing w:before="0" w:beforeAutospacing="0" w:after="0" w:afterAutospacing="0" w:line="312" w:lineRule="auto"/>
              <w:ind w:left="0" w:right="0"/>
              <w:jc w:val="center"/>
              <w:outlineLvl w:val="9"/>
              <w:rPr>
                <w:rFonts w:hint="default" w:ascii="Times New Roman" w:hAnsi="Times New Roman" w:cs="Times New Roman"/>
                <w:color w:val="auto"/>
                <w:szCs w:val="21"/>
                <w:highlight w:val="none"/>
                <w:lang w:val="en-US"/>
              </w:rPr>
            </w:pPr>
            <w:r>
              <w:rPr>
                <w:rFonts w:hint="eastAsia" w:ascii="宋体" w:hAnsi="宋体" w:cs="宋体"/>
                <w:color w:val="auto"/>
                <w:sz w:val="24"/>
                <w:szCs w:val="24"/>
                <w:highlight w:val="none"/>
                <w:lang w:val="en-US" w:eastAsia="zh-CN"/>
              </w:rPr>
              <w:t>16分</w:t>
            </w:r>
          </w:p>
        </w:tc>
        <w:tc>
          <w:tcPr>
            <w:tcW w:w="6484" w:type="dxa"/>
            <w:noWrap w:val="0"/>
            <w:vAlign w:val="center"/>
          </w:tcPr>
          <w:p w14:paraId="31E6C5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eastAsia" w:cs="Times New Roman"/>
                <w:sz w:val="24"/>
                <w:szCs w:val="24"/>
                <w:highlight w:val="none"/>
                <w:lang w:val="en-US" w:eastAsia="zh-CN"/>
              </w:rPr>
            </w:pPr>
            <w:r>
              <w:rPr>
                <w:rFonts w:hint="eastAsia" w:ascii="Times New Roman" w:hAnsi="Times New Roman" w:eastAsia="宋体" w:cs="Times New Roman"/>
                <w:sz w:val="24"/>
                <w:szCs w:val="24"/>
                <w:highlight w:val="none"/>
              </w:rPr>
              <w:t>投标企业针对本项目编写实施方案，综合比较后打分，实施方案中应包含但不限于：①对项目服务背景、定位、项目特性、</w:t>
            </w:r>
            <w:r>
              <w:rPr>
                <w:rFonts w:hint="eastAsia" w:ascii="Times New Roman" w:hAnsi="Times New Roman" w:eastAsia="宋体" w:cs="Times New Roman"/>
                <w:sz w:val="24"/>
                <w:szCs w:val="24"/>
                <w:highlight w:val="none"/>
                <w:lang w:val="en-US" w:eastAsia="zh-CN"/>
              </w:rPr>
              <w:t>②</w:t>
            </w:r>
            <w:r>
              <w:rPr>
                <w:rFonts w:hint="eastAsia" w:ascii="Times New Roman" w:hAnsi="Times New Roman" w:eastAsia="宋体" w:cs="Times New Roman"/>
                <w:sz w:val="24"/>
                <w:szCs w:val="24"/>
                <w:highlight w:val="none"/>
              </w:rPr>
              <w:t>项目实施程序及进度计划（包含项目时间节点，节点进度保障措施等）</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③</w:t>
            </w:r>
            <w:r>
              <w:rPr>
                <w:rFonts w:hint="eastAsia" w:ascii="Times New Roman" w:hAnsi="Times New Roman" w:eastAsia="宋体" w:cs="Times New Roman"/>
                <w:sz w:val="24"/>
                <w:szCs w:val="24"/>
                <w:highlight w:val="none"/>
              </w:rPr>
              <w:t>项目</w:t>
            </w:r>
            <w:r>
              <w:rPr>
                <w:rFonts w:hint="eastAsia" w:ascii="Times New Roman" w:hAnsi="Times New Roman" w:eastAsia="宋体" w:cs="Times New Roman"/>
                <w:sz w:val="24"/>
                <w:szCs w:val="24"/>
                <w:highlight w:val="none"/>
                <w:lang w:val="en-US" w:eastAsia="zh-CN"/>
              </w:rPr>
              <w:t>服务</w:t>
            </w:r>
            <w:r>
              <w:rPr>
                <w:rFonts w:hint="eastAsia" w:ascii="Times New Roman" w:hAnsi="Times New Roman" w:eastAsia="宋体" w:cs="Times New Roman"/>
                <w:sz w:val="24"/>
                <w:szCs w:val="24"/>
                <w:highlight w:val="none"/>
              </w:rPr>
              <w:t>质量控制的重点和难点分析</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④</w:t>
            </w:r>
            <w:r>
              <w:rPr>
                <w:rFonts w:hint="eastAsia" w:ascii="Times New Roman" w:hAnsi="Times New Roman" w:eastAsia="宋体" w:cs="Times New Roman"/>
                <w:sz w:val="24"/>
                <w:szCs w:val="24"/>
                <w:highlight w:val="none"/>
              </w:rPr>
              <w:t>项目质量保障措施</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⑤</w:t>
            </w:r>
            <w:r>
              <w:rPr>
                <w:rFonts w:hint="eastAsia" w:ascii="Times New Roman" w:hAnsi="Times New Roman" w:eastAsia="宋体" w:cs="Times New Roman"/>
                <w:sz w:val="24"/>
                <w:szCs w:val="24"/>
                <w:highlight w:val="none"/>
              </w:rPr>
              <w:t>项目实施阶段各程序环节的有效协调配合度</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⑥</w:t>
            </w:r>
            <w:r>
              <w:rPr>
                <w:rFonts w:hint="eastAsia" w:ascii="Times New Roman" w:hAnsi="Times New Roman" w:eastAsia="宋体" w:cs="Times New Roman"/>
                <w:sz w:val="24"/>
                <w:szCs w:val="24"/>
                <w:highlight w:val="none"/>
              </w:rPr>
              <w:t>机构运作方式合理、管理制度严谨；工作计划条理清晰</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⑦</w:t>
            </w:r>
            <w:r>
              <w:rPr>
                <w:rFonts w:hint="eastAsia" w:ascii="Times New Roman" w:hAnsi="Times New Roman" w:eastAsia="宋体" w:cs="Times New Roman"/>
                <w:sz w:val="24"/>
                <w:szCs w:val="24"/>
                <w:highlight w:val="none"/>
              </w:rPr>
              <w:t>项目实施人员在项目实施过程中的职责划分明确，岗位设置合理</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⑧项目活动方案设计（需符合联谊目标）</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以上内容详细完整满分</w:t>
            </w:r>
            <w:r>
              <w:rPr>
                <w:rFonts w:hint="eastAsia" w:ascii="Times New Roman" w:hAnsi="Times New Roman" w:eastAsia="宋体" w:cs="Times New Roman"/>
                <w:sz w:val="24"/>
                <w:szCs w:val="24"/>
                <w:highlight w:val="none"/>
                <w:lang w:val="en-US" w:eastAsia="zh-CN"/>
              </w:rPr>
              <w:t>1</w:t>
            </w:r>
            <w:r>
              <w:rPr>
                <w:rFonts w:hint="eastAsia" w:cs="Times New Roman"/>
                <w:sz w:val="24"/>
                <w:szCs w:val="24"/>
                <w:highlight w:val="none"/>
                <w:lang w:val="en-US" w:eastAsia="zh-CN"/>
              </w:rPr>
              <w:t>6</w:t>
            </w:r>
            <w:r>
              <w:rPr>
                <w:rFonts w:hint="eastAsia" w:ascii="Times New Roman" w:hAnsi="Times New Roman" w:eastAsia="宋体" w:cs="Times New Roman"/>
                <w:sz w:val="24"/>
                <w:szCs w:val="24"/>
                <w:highlight w:val="none"/>
                <w:lang w:val="en-US" w:eastAsia="zh-CN"/>
              </w:rPr>
              <w:t>分，</w:t>
            </w:r>
            <w:r>
              <w:rPr>
                <w:rFonts w:hint="eastAsia" w:ascii="Times New Roman" w:hAnsi="Times New Roman" w:eastAsia="宋体" w:cs="Times New Roman"/>
                <w:sz w:val="24"/>
                <w:szCs w:val="24"/>
                <w:highlight w:val="none"/>
              </w:rPr>
              <w:t>每有一项缺失的扣</w:t>
            </w:r>
            <w:r>
              <w:rPr>
                <w:rFonts w:hint="eastAsia" w:ascii="Times New Roman" w:hAnsi="Times New Roman" w:eastAsia="宋体" w:cs="Times New Roman"/>
                <w:sz w:val="24"/>
                <w:szCs w:val="24"/>
                <w:highlight w:val="none"/>
                <w:lang w:val="en-US" w:eastAsia="zh-CN"/>
              </w:rPr>
              <w:t>2分</w:t>
            </w:r>
            <w:r>
              <w:rPr>
                <w:rFonts w:hint="eastAsia" w:ascii="Times New Roman" w:hAnsi="Times New Roman" w:eastAsia="宋体" w:cs="Times New Roman"/>
                <w:sz w:val="24"/>
                <w:szCs w:val="24"/>
                <w:highlight w:val="none"/>
              </w:rPr>
              <w:t>;每项内容有缺陷的扣</w:t>
            </w:r>
            <w:r>
              <w:rPr>
                <w:rFonts w:hint="eastAsia"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rPr>
              <w:t>分</w:t>
            </w:r>
            <w:r>
              <w:rPr>
                <w:rFonts w:hint="eastAsia" w:cs="Times New Roman"/>
                <w:sz w:val="24"/>
                <w:szCs w:val="24"/>
                <w:highlight w:val="none"/>
                <w:lang w:eastAsia="zh-CN"/>
              </w:rPr>
              <w:t>，</w:t>
            </w:r>
            <w:r>
              <w:rPr>
                <w:rFonts w:hint="eastAsia" w:cs="Times New Roman"/>
                <w:sz w:val="24"/>
                <w:szCs w:val="24"/>
                <w:highlight w:val="none"/>
                <w:lang w:val="en-US" w:eastAsia="zh-CN"/>
              </w:rPr>
              <w:t>扣完为止。</w:t>
            </w:r>
          </w:p>
          <w:p w14:paraId="078A2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注：</w:t>
            </w:r>
            <w:r>
              <w:rPr>
                <w:rFonts w:hint="eastAsia" w:ascii="Times New Roman" w:hAnsi="Times New Roman" w:eastAsia="宋体" w:cs="Times New Roman"/>
                <w:sz w:val="24"/>
                <w:szCs w:val="24"/>
                <w:highlight w:val="none"/>
              </w:rPr>
              <w:t>缺陷是指:存在不适用项目实际情况的情形、凭空编造、前后不一致、前后逻辑错误、涉及的规范及标准错误、套用其他方案、只有简单描述无实质性内容等。</w:t>
            </w:r>
          </w:p>
        </w:tc>
      </w:tr>
      <w:tr w14:paraId="26065C8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489" w:hRule="atLeast"/>
          <w:jc w:val="center"/>
        </w:trPr>
        <w:tc>
          <w:tcPr>
            <w:tcW w:w="511" w:type="dxa"/>
            <w:noWrap w:val="0"/>
            <w:vAlign w:val="center"/>
          </w:tcPr>
          <w:p w14:paraId="61588FB2">
            <w:pPr>
              <w:pStyle w:val="88"/>
              <w:keepNext w:val="0"/>
              <w:keepLines w:val="0"/>
              <w:numPr>
                <w:ilvl w:val="0"/>
                <w:numId w:val="0"/>
              </w:numPr>
              <w:suppressLineNumbers w:val="0"/>
              <w:spacing w:before="0" w:beforeAutospacing="0" w:after="0" w:afterAutospacing="0" w:line="340" w:lineRule="exact"/>
              <w:ind w:left="425" w:leftChars="0" w:right="0" w:hanging="425" w:firstLineChars="0"/>
              <w:jc w:val="center"/>
              <w:outlineLvl w:val="9"/>
              <w:rPr>
                <w:rFonts w:hint="default" w:ascii="Times New Roman" w:hAnsi="Times New Roman" w:cs="Times New Roman"/>
                <w:szCs w:val="21"/>
                <w:highlight w:val="none"/>
                <w:lang w:val="en-US" w:eastAsia="zh-CN"/>
              </w:rPr>
            </w:pPr>
            <w:r>
              <w:rPr>
                <w:rFonts w:hint="default" w:ascii="Times New Roman" w:hAnsi="Times New Roman" w:cs="Times New Roman"/>
                <w:kern w:val="2"/>
                <w:sz w:val="24"/>
                <w:szCs w:val="21"/>
                <w:highlight w:val="none"/>
                <w:lang w:val="en-US" w:eastAsia="zh-CN" w:bidi="ar-SA"/>
              </w:rPr>
              <w:t>4</w:t>
            </w:r>
          </w:p>
        </w:tc>
        <w:tc>
          <w:tcPr>
            <w:tcW w:w="948" w:type="dxa"/>
            <w:noWrap w:val="0"/>
            <w:vAlign w:val="center"/>
          </w:tcPr>
          <w:p w14:paraId="70633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实施进</w:t>
            </w:r>
          </w:p>
          <w:p w14:paraId="4301A0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度计划</w:t>
            </w:r>
          </w:p>
          <w:p w14:paraId="02D6394D">
            <w:pPr>
              <w:keepNext w:val="0"/>
              <w:keepLines w:val="0"/>
              <w:pageBreakBefore w:val="0"/>
              <w:widowControl/>
              <w:suppressLineNumbers w:val="0"/>
              <w:kinsoku/>
              <w:wordWrap/>
              <w:overflowPunct/>
              <w:topLinePunct w:val="0"/>
              <w:autoSpaceDE/>
              <w:autoSpaceDN/>
              <w:bidi w:val="0"/>
              <w:snapToGrid/>
              <w:spacing w:before="0" w:beforeAutospacing="0" w:after="0" w:afterAutospacing="0" w:line="312" w:lineRule="auto"/>
              <w:ind w:left="0" w:right="0"/>
              <w:jc w:val="center"/>
              <w:outlineLvl w:val="9"/>
              <w:rPr>
                <w:rFonts w:hint="eastAsia" w:ascii="仿宋" w:hAnsi="仿宋" w:eastAsia="仿宋" w:cs="仿宋"/>
                <w:szCs w:val="21"/>
                <w:highlight w:val="none"/>
                <w:lang w:val="en-US" w:eastAsia="zh-CN"/>
              </w:rPr>
            </w:pPr>
          </w:p>
        </w:tc>
        <w:tc>
          <w:tcPr>
            <w:tcW w:w="717" w:type="dxa"/>
            <w:noWrap w:val="0"/>
            <w:vAlign w:val="center"/>
          </w:tcPr>
          <w:p w14:paraId="505761BF">
            <w:pPr>
              <w:keepNext w:val="0"/>
              <w:keepLines w:val="0"/>
              <w:pageBreakBefore w:val="0"/>
              <w:widowControl/>
              <w:suppressLineNumbers w:val="0"/>
              <w:kinsoku/>
              <w:wordWrap/>
              <w:overflowPunct/>
              <w:topLinePunct w:val="0"/>
              <w:autoSpaceDE/>
              <w:autoSpaceDN/>
              <w:bidi w:val="0"/>
              <w:snapToGrid/>
              <w:spacing w:before="0" w:beforeAutospacing="0" w:after="0" w:afterAutospacing="0" w:line="312" w:lineRule="auto"/>
              <w:ind w:left="0" w:right="0"/>
              <w:jc w:val="center"/>
              <w:outlineLvl w:val="9"/>
              <w:rPr>
                <w:rFonts w:hint="default" w:ascii="仿宋" w:hAnsi="仿宋" w:eastAsia="仿宋" w:cs="仿宋"/>
                <w:szCs w:val="21"/>
                <w:highlight w:val="none"/>
                <w:lang w:val="en-US" w:eastAsia="zh-CN"/>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p>
        </w:tc>
        <w:tc>
          <w:tcPr>
            <w:tcW w:w="6484" w:type="dxa"/>
            <w:noWrap w:val="0"/>
            <w:vAlign w:val="center"/>
          </w:tcPr>
          <w:p w14:paraId="4DD14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eastAsia" w:cs="Times New Roman"/>
                <w:sz w:val="24"/>
                <w:szCs w:val="24"/>
                <w:highlight w:val="none"/>
                <w:lang w:eastAsia="zh-CN"/>
              </w:rPr>
            </w:pPr>
            <w:r>
              <w:rPr>
                <w:rFonts w:hint="eastAsia" w:ascii="Times New Roman" w:hAnsi="Times New Roman" w:eastAsia="宋体" w:cs="Times New Roman"/>
                <w:sz w:val="24"/>
                <w:szCs w:val="24"/>
                <w:highlight w:val="none"/>
              </w:rPr>
              <w:t>根据本项目的特点和要求，制定包含但不限于进度控制方案，包括①进度制目标、②进度控制流程、③进度控制方法、④进度控制措施。以上内容详细完整满分</w:t>
            </w:r>
            <w:r>
              <w:rPr>
                <w:rFonts w:hint="eastAsia" w:ascii="Times New Roman" w:hAnsi="Times New Roman" w:eastAsia="宋体" w:cs="Times New Roman"/>
                <w:sz w:val="24"/>
                <w:szCs w:val="24"/>
                <w:highlight w:val="none"/>
                <w:lang w:val="en-US" w:eastAsia="zh-CN"/>
              </w:rPr>
              <w:t>8</w:t>
            </w:r>
            <w:r>
              <w:rPr>
                <w:rFonts w:hint="eastAsia" w:ascii="Times New Roman" w:hAnsi="Times New Roman" w:eastAsia="宋体" w:cs="Times New Roman"/>
                <w:sz w:val="24"/>
                <w:szCs w:val="24"/>
                <w:highlight w:val="none"/>
              </w:rPr>
              <w:t>分</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每缺一项扣</w:t>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rPr>
              <w:t>分，每项内容有缺陷的扣</w:t>
            </w:r>
            <w:r>
              <w:rPr>
                <w:rFonts w:hint="eastAsia"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rPr>
              <w:t>分</w:t>
            </w:r>
            <w:r>
              <w:rPr>
                <w:rFonts w:hint="eastAsia" w:cs="Times New Roman"/>
                <w:sz w:val="24"/>
                <w:szCs w:val="24"/>
                <w:highlight w:val="none"/>
                <w:lang w:eastAsia="zh-CN"/>
              </w:rPr>
              <w:t>，</w:t>
            </w:r>
            <w:r>
              <w:rPr>
                <w:rFonts w:hint="eastAsia" w:cs="Times New Roman"/>
                <w:sz w:val="24"/>
                <w:szCs w:val="24"/>
                <w:highlight w:val="none"/>
                <w:lang w:val="en-US" w:eastAsia="zh-CN"/>
              </w:rPr>
              <w:t>扣完为止</w:t>
            </w:r>
            <w:r>
              <w:rPr>
                <w:rFonts w:hint="eastAsia" w:cs="Times New Roman"/>
                <w:sz w:val="24"/>
                <w:szCs w:val="24"/>
                <w:highlight w:val="none"/>
                <w:lang w:eastAsia="zh-CN"/>
              </w:rPr>
              <w:t>。</w:t>
            </w:r>
          </w:p>
          <w:p w14:paraId="241043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eastAsia" w:ascii="仿宋" w:hAnsi="仿宋" w:eastAsia="仿宋" w:cs="仿宋"/>
                <w:szCs w:val="21"/>
                <w:highlight w:val="none"/>
                <w:lang w:val="en-US" w:eastAsia="zh-CN"/>
              </w:rPr>
            </w:pPr>
            <w:r>
              <w:rPr>
                <w:rFonts w:hint="eastAsia" w:cs="Times New Roman"/>
                <w:sz w:val="24"/>
                <w:szCs w:val="24"/>
                <w:highlight w:val="none"/>
                <w:lang w:val="en-US" w:eastAsia="zh-CN"/>
              </w:rPr>
              <w:t>注：</w:t>
            </w:r>
            <w:r>
              <w:rPr>
                <w:rFonts w:hint="eastAsia" w:ascii="Times New Roman" w:hAnsi="Times New Roman" w:eastAsia="宋体" w:cs="Times New Roman"/>
                <w:sz w:val="24"/>
                <w:szCs w:val="24"/>
                <w:highlight w:val="none"/>
              </w:rPr>
              <w:t>缺陷是指:存在不适用项目实际情况的情形、凭空编造、前后不一致、前后逻辑错误、涉及的规范及标准错误、套用其他方案、只有简单描述无实质性内容等)本项得分扣完为止。</w:t>
            </w:r>
          </w:p>
        </w:tc>
      </w:tr>
      <w:tr w14:paraId="5AF2797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899" w:hRule="atLeast"/>
          <w:jc w:val="center"/>
        </w:trPr>
        <w:tc>
          <w:tcPr>
            <w:tcW w:w="511" w:type="dxa"/>
            <w:noWrap w:val="0"/>
            <w:vAlign w:val="center"/>
          </w:tcPr>
          <w:p w14:paraId="512C1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w:t>
            </w:r>
          </w:p>
        </w:tc>
        <w:tc>
          <w:tcPr>
            <w:tcW w:w="948" w:type="dxa"/>
            <w:noWrap w:val="0"/>
            <w:vAlign w:val="center"/>
          </w:tcPr>
          <w:p w14:paraId="2102D9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项目管理方案</w:t>
            </w:r>
          </w:p>
        </w:tc>
        <w:tc>
          <w:tcPr>
            <w:tcW w:w="717" w:type="dxa"/>
            <w:noWrap w:val="0"/>
            <w:vAlign w:val="center"/>
          </w:tcPr>
          <w:p w14:paraId="6B930A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eastAsia"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4</w:t>
            </w:r>
            <w:r>
              <w:rPr>
                <w:rFonts w:hint="eastAsia" w:ascii="Times New Roman" w:hAnsi="Times New Roman" w:eastAsia="宋体" w:cs="Times New Roman"/>
                <w:sz w:val="24"/>
                <w:szCs w:val="24"/>
                <w:highlight w:val="none"/>
                <w:lang w:val="en-US" w:eastAsia="zh-CN"/>
              </w:rPr>
              <w:t>分</w:t>
            </w:r>
          </w:p>
        </w:tc>
        <w:tc>
          <w:tcPr>
            <w:tcW w:w="6484" w:type="dxa"/>
            <w:noWrap w:val="0"/>
            <w:vAlign w:val="center"/>
          </w:tcPr>
          <w:p w14:paraId="1C058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供应商根据本项目实际情况编制日常运行管理方案，内容包含但不限于：①日常管理制度；②运行工作计划；③后勤保障措施方案；④数据填报完整性等，以上内容完整且完全满足项目要求得</w:t>
            </w:r>
            <w:r>
              <w:rPr>
                <w:rFonts w:hint="eastAsia" w:cs="Times New Roman"/>
                <w:sz w:val="24"/>
                <w:szCs w:val="24"/>
                <w:highlight w:val="none"/>
                <w:lang w:val="en-US" w:eastAsia="zh-CN"/>
              </w:rPr>
              <w:t>4</w:t>
            </w:r>
            <w:r>
              <w:rPr>
                <w:rFonts w:hint="eastAsia" w:ascii="Times New Roman" w:hAnsi="Times New Roman" w:eastAsia="宋体" w:cs="Times New Roman"/>
                <w:sz w:val="24"/>
                <w:szCs w:val="24"/>
                <w:highlight w:val="none"/>
                <w:lang w:val="en-US" w:eastAsia="zh-CN"/>
              </w:rPr>
              <w:t>分，每缺失一项内容扣1分，每项内容中有一处内容缺陷扣0.5分，扣完为止。</w:t>
            </w:r>
          </w:p>
          <w:p w14:paraId="490877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default"/>
                <w:highlight w:val="none"/>
                <w:lang w:val="en-US" w:eastAsia="zh-CN"/>
              </w:rPr>
            </w:pPr>
            <w:r>
              <w:rPr>
                <w:rFonts w:hint="default" w:ascii="Times New Roman" w:hAnsi="Times New Roman" w:eastAsia="宋体" w:cs="Times New Roman"/>
                <w:sz w:val="24"/>
                <w:szCs w:val="24"/>
                <w:highlight w:val="none"/>
                <w:lang w:val="en-US" w:eastAsia="zh-CN"/>
              </w:rPr>
              <w:t>注：缺陷是指:存在不适用项目实际情况的情形、凭空编造、前后不一致、前后逻辑错误、涉及的规范及标准错误、套用其他方案、只有简单描述无实质性内容等。</w:t>
            </w:r>
          </w:p>
        </w:tc>
      </w:tr>
      <w:tr w14:paraId="2532392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158" w:hRule="atLeast"/>
          <w:jc w:val="center"/>
        </w:trPr>
        <w:tc>
          <w:tcPr>
            <w:tcW w:w="511" w:type="dxa"/>
            <w:noWrap w:val="0"/>
            <w:vAlign w:val="center"/>
          </w:tcPr>
          <w:p w14:paraId="294761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outlineLvl w:val="9"/>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6</w:t>
            </w:r>
          </w:p>
        </w:tc>
        <w:tc>
          <w:tcPr>
            <w:tcW w:w="948" w:type="dxa"/>
            <w:noWrap w:val="0"/>
            <w:vAlign w:val="center"/>
          </w:tcPr>
          <w:p w14:paraId="3BDC12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场地规划布置方案</w:t>
            </w:r>
          </w:p>
          <w:p w14:paraId="4161A4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outlineLvl w:val="9"/>
              <w:rPr>
                <w:rFonts w:hint="eastAsia" w:ascii="Times New Roman" w:hAnsi="Times New Roman" w:eastAsia="宋体" w:cs="Times New Roman"/>
                <w:sz w:val="24"/>
                <w:szCs w:val="24"/>
                <w:highlight w:val="none"/>
                <w:lang w:val="en-US" w:eastAsia="zh-CN"/>
              </w:rPr>
            </w:pPr>
          </w:p>
        </w:tc>
        <w:tc>
          <w:tcPr>
            <w:tcW w:w="717" w:type="dxa"/>
            <w:noWrap w:val="0"/>
            <w:vAlign w:val="center"/>
          </w:tcPr>
          <w:p w14:paraId="323ED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12</w:t>
            </w:r>
            <w:r>
              <w:rPr>
                <w:rFonts w:hint="eastAsia" w:ascii="Times New Roman" w:hAnsi="Times New Roman" w:eastAsia="宋体" w:cs="Times New Roman"/>
                <w:sz w:val="24"/>
                <w:szCs w:val="24"/>
                <w:highlight w:val="none"/>
                <w:lang w:val="en-US" w:eastAsia="zh-CN"/>
              </w:rPr>
              <w:t>分</w:t>
            </w:r>
          </w:p>
        </w:tc>
        <w:tc>
          <w:tcPr>
            <w:tcW w:w="6484" w:type="dxa"/>
            <w:noWrap w:val="0"/>
            <w:vAlign w:val="center"/>
          </w:tcPr>
          <w:p w14:paraId="166E7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eastAsia"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提供针对本项目的场地规划布置及配套服务方案，包括①计划流程、②物料准备、③引导参观内容、④互动体验内容、⑤交流休息内容、⑥氛围营造关键节等内容；以上内容详细完整满分12分，每有一项缺失的扣2分;每项内容有缺陷的扣1分</w:t>
            </w:r>
            <w:r>
              <w:rPr>
                <w:rFonts w:hint="eastAsia" w:cs="Times New Roman"/>
                <w:sz w:val="24"/>
                <w:szCs w:val="24"/>
                <w:highlight w:val="none"/>
                <w:lang w:val="en-US" w:eastAsia="zh-CN"/>
              </w:rPr>
              <w:t>。</w:t>
            </w:r>
          </w:p>
          <w:p w14:paraId="67164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eastAsia"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注：</w:t>
            </w:r>
            <w:r>
              <w:rPr>
                <w:rFonts w:hint="eastAsia" w:ascii="Times New Roman" w:hAnsi="Times New Roman" w:eastAsia="宋体" w:cs="Times New Roman"/>
                <w:sz w:val="24"/>
                <w:szCs w:val="24"/>
                <w:highlight w:val="none"/>
                <w:lang w:val="en-US" w:eastAsia="zh-CN"/>
              </w:rPr>
              <w:t>缺陷是指:存在不适用项目实际情况的情形、凭空编造、前后不一致、前后逻辑错误、涉及的规范及标准错误、套用其他方案、只有简单描述无实质性内容等。</w:t>
            </w:r>
          </w:p>
        </w:tc>
      </w:tr>
      <w:tr w14:paraId="3D61517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511" w:type="dxa"/>
            <w:noWrap w:val="0"/>
            <w:vAlign w:val="center"/>
          </w:tcPr>
          <w:p w14:paraId="5AB477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outlineLvl w:val="9"/>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7</w:t>
            </w:r>
          </w:p>
        </w:tc>
        <w:tc>
          <w:tcPr>
            <w:tcW w:w="948" w:type="dxa"/>
            <w:noWrap w:val="0"/>
            <w:vAlign w:val="center"/>
          </w:tcPr>
          <w:p w14:paraId="042CD2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center"/>
              <w:textAlignment w:val="auto"/>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应急预案及处理措施</w:t>
            </w:r>
          </w:p>
        </w:tc>
        <w:tc>
          <w:tcPr>
            <w:tcW w:w="717" w:type="dxa"/>
            <w:noWrap w:val="0"/>
            <w:vAlign w:val="center"/>
          </w:tcPr>
          <w:p w14:paraId="732F84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12</w:t>
            </w:r>
            <w:r>
              <w:rPr>
                <w:rFonts w:hint="eastAsia" w:ascii="Times New Roman" w:hAnsi="Times New Roman" w:eastAsia="宋体" w:cs="Times New Roman"/>
                <w:sz w:val="24"/>
                <w:szCs w:val="24"/>
                <w:highlight w:val="none"/>
                <w:lang w:val="en-US" w:eastAsia="zh-CN"/>
              </w:rPr>
              <w:t>分</w:t>
            </w:r>
          </w:p>
        </w:tc>
        <w:tc>
          <w:tcPr>
            <w:tcW w:w="6484" w:type="dxa"/>
            <w:noWrap w:val="0"/>
            <w:vAlign w:val="center"/>
          </w:tcPr>
          <w:p w14:paraId="45ABF5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eastAsia"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供应商根据本项目实际情况编制突发事件处理、应急预案，内容包含但不限于：①应急组织机构与职责；②预防与预警及应急响应机制；③</w:t>
            </w:r>
            <w:r>
              <w:rPr>
                <w:rFonts w:hint="eastAsia" w:cs="Times New Roman"/>
                <w:sz w:val="24"/>
                <w:szCs w:val="24"/>
                <w:highlight w:val="none"/>
                <w:lang w:val="en-US" w:eastAsia="zh-CN"/>
              </w:rPr>
              <w:t>风险预估和预防</w:t>
            </w:r>
            <w:r>
              <w:rPr>
                <w:rFonts w:hint="eastAsia" w:ascii="Times New Roman" w:hAnsi="Times New Roman" w:eastAsia="宋体" w:cs="Times New Roman"/>
                <w:sz w:val="24"/>
                <w:szCs w:val="24"/>
                <w:highlight w:val="none"/>
                <w:lang w:val="en-US" w:eastAsia="zh-CN"/>
              </w:rPr>
              <w:t>措施；④项目组人员的保障；⑤突发事件处理善后</w:t>
            </w:r>
            <w:r>
              <w:rPr>
                <w:rFonts w:hint="eastAsia" w:cs="Times New Roman"/>
                <w:sz w:val="24"/>
                <w:szCs w:val="24"/>
                <w:highlight w:val="none"/>
                <w:lang w:val="en-US" w:eastAsia="zh-CN"/>
              </w:rPr>
              <w:t>；⑥备选方案</w:t>
            </w:r>
            <w:r>
              <w:rPr>
                <w:rFonts w:hint="eastAsia" w:ascii="Times New Roman" w:hAnsi="Times New Roman" w:eastAsia="宋体" w:cs="Times New Roman"/>
                <w:sz w:val="24"/>
                <w:szCs w:val="24"/>
                <w:highlight w:val="none"/>
                <w:lang w:val="en-US" w:eastAsia="zh-CN"/>
              </w:rPr>
              <w:t>等以上</w:t>
            </w:r>
            <w:r>
              <w:rPr>
                <w:rFonts w:hint="eastAsia" w:cs="Times New Roman"/>
                <w:sz w:val="24"/>
                <w:szCs w:val="24"/>
                <w:highlight w:val="none"/>
                <w:lang w:val="en-US" w:eastAsia="zh-CN"/>
              </w:rPr>
              <w:t>6</w:t>
            </w:r>
            <w:r>
              <w:rPr>
                <w:rFonts w:hint="eastAsia" w:ascii="Times New Roman" w:hAnsi="Times New Roman" w:eastAsia="宋体" w:cs="Times New Roman"/>
                <w:sz w:val="24"/>
                <w:szCs w:val="24"/>
                <w:highlight w:val="none"/>
                <w:lang w:val="en-US" w:eastAsia="zh-CN"/>
              </w:rPr>
              <w:t>项内容完整且完全满足项目要求得1</w:t>
            </w:r>
            <w:r>
              <w:rPr>
                <w:rFonts w:hint="eastAsia" w:cs="Times New Roman"/>
                <w:sz w:val="24"/>
                <w:szCs w:val="24"/>
                <w:highlight w:val="none"/>
                <w:lang w:val="en-US" w:eastAsia="zh-CN"/>
              </w:rPr>
              <w:t>2</w:t>
            </w:r>
            <w:r>
              <w:rPr>
                <w:rFonts w:hint="eastAsia" w:ascii="Times New Roman" w:hAnsi="Times New Roman" w:eastAsia="宋体" w:cs="Times New Roman"/>
                <w:sz w:val="24"/>
                <w:szCs w:val="24"/>
                <w:highlight w:val="none"/>
                <w:lang w:val="en-US" w:eastAsia="zh-CN"/>
              </w:rPr>
              <w:t>分，每缺失一项内容扣</w:t>
            </w:r>
            <w:r>
              <w:rPr>
                <w:rFonts w:hint="eastAsia" w:cs="Times New Roman"/>
                <w:sz w:val="24"/>
                <w:szCs w:val="24"/>
                <w:highlight w:val="none"/>
                <w:lang w:val="en-US" w:eastAsia="zh-CN"/>
              </w:rPr>
              <w:t>2</w:t>
            </w:r>
            <w:r>
              <w:rPr>
                <w:rFonts w:hint="eastAsia" w:ascii="Times New Roman" w:hAnsi="Times New Roman" w:eastAsia="宋体" w:cs="Times New Roman"/>
                <w:sz w:val="24"/>
                <w:szCs w:val="24"/>
                <w:highlight w:val="none"/>
                <w:lang w:val="en-US" w:eastAsia="zh-CN"/>
              </w:rPr>
              <w:t>分，每项内容中有一处内容缺陷扣1分</w:t>
            </w:r>
            <w:r>
              <w:rPr>
                <w:rFonts w:hint="eastAsia" w:cs="Times New Roman"/>
                <w:sz w:val="24"/>
                <w:szCs w:val="24"/>
                <w:highlight w:val="none"/>
                <w:lang w:val="en-US" w:eastAsia="zh-CN"/>
              </w:rPr>
              <w:t>。</w:t>
            </w:r>
          </w:p>
          <w:p w14:paraId="789ECD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outlineLvl w:val="9"/>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注：</w:t>
            </w:r>
            <w:r>
              <w:rPr>
                <w:rFonts w:hint="eastAsia" w:ascii="Times New Roman" w:hAnsi="Times New Roman" w:eastAsia="宋体" w:cs="Times New Roman"/>
                <w:sz w:val="24"/>
                <w:szCs w:val="24"/>
                <w:highlight w:val="none"/>
              </w:rPr>
              <w:t>缺陷是指:存在不适用项目实际情况的情形、凭空编造、前后不一致、前后逻辑错误、涉及的规范及标准错误、套用其他方案、只有简单描述无实质性内容等</w:t>
            </w:r>
            <w:r>
              <w:rPr>
                <w:rFonts w:hint="eastAsia" w:ascii="Times New Roman" w:hAnsi="Times New Roman" w:eastAsia="宋体" w:cs="Times New Roman"/>
                <w:sz w:val="24"/>
                <w:szCs w:val="24"/>
                <w:highlight w:val="none"/>
                <w:lang w:val="en-US" w:eastAsia="zh-CN"/>
              </w:rPr>
              <w:t>。</w:t>
            </w:r>
          </w:p>
        </w:tc>
      </w:tr>
      <w:tr w14:paraId="5985B5E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511" w:type="dxa"/>
            <w:tcBorders>
              <w:bottom w:val="single" w:color="auto" w:sz="4" w:space="0"/>
            </w:tcBorders>
            <w:noWrap w:val="0"/>
            <w:vAlign w:val="center"/>
          </w:tcPr>
          <w:p w14:paraId="79D2A613">
            <w:pPr>
              <w:pStyle w:val="88"/>
              <w:keepNext w:val="0"/>
              <w:keepLines w:val="0"/>
              <w:numPr>
                <w:ilvl w:val="0"/>
                <w:numId w:val="0"/>
              </w:numPr>
              <w:suppressLineNumbers w:val="0"/>
              <w:spacing w:before="0" w:beforeAutospacing="0" w:after="0" w:afterAutospacing="0" w:line="340" w:lineRule="exact"/>
              <w:ind w:left="0" w:leftChars="0" w:right="0"/>
              <w:jc w:val="center"/>
              <w:outlineLvl w:val="9"/>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8</w:t>
            </w:r>
          </w:p>
        </w:tc>
        <w:tc>
          <w:tcPr>
            <w:tcW w:w="948" w:type="dxa"/>
            <w:tcBorders>
              <w:bottom w:val="single" w:color="auto" w:sz="4" w:space="0"/>
            </w:tcBorders>
            <w:noWrap w:val="0"/>
            <w:vAlign w:val="center"/>
          </w:tcPr>
          <w:p w14:paraId="6647CB10">
            <w:pPr>
              <w:pStyle w:val="88"/>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firstLine="0" w:firstLineChars="0"/>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后续服务方案</w:t>
            </w:r>
          </w:p>
        </w:tc>
        <w:tc>
          <w:tcPr>
            <w:tcW w:w="717" w:type="dxa"/>
            <w:tcBorders>
              <w:bottom w:val="single" w:color="auto" w:sz="4" w:space="0"/>
            </w:tcBorders>
            <w:noWrap w:val="0"/>
            <w:vAlign w:val="center"/>
          </w:tcPr>
          <w:p w14:paraId="5A4F807E">
            <w:pPr>
              <w:pStyle w:val="88"/>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484" w:type="dxa"/>
            <w:tcBorders>
              <w:bottom w:val="single" w:color="auto" w:sz="4" w:space="0"/>
            </w:tcBorders>
            <w:noWrap w:val="0"/>
            <w:vAlign w:val="center"/>
          </w:tcPr>
          <w:p w14:paraId="620261C9">
            <w:pPr>
              <w:pStyle w:val="88"/>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firstLine="0" w:firstLineChars="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根据针对本项目提供的后续跟踪服务方案进行综合评审，方案内容至少包含：①活动满意度调研；②提供活动效果评估报告；③资料整理等内容。</w:t>
            </w:r>
            <w:r>
              <w:rPr>
                <w:rFonts w:hint="eastAsia" w:ascii="宋体" w:hAnsi="宋体" w:cs="宋体"/>
                <w:color w:val="auto"/>
                <w:sz w:val="24"/>
                <w:szCs w:val="24"/>
                <w:highlight w:val="none"/>
                <w:lang w:val="en-US" w:eastAsia="zh-CN"/>
              </w:rPr>
              <w:t>满分6分，</w:t>
            </w:r>
            <w:r>
              <w:rPr>
                <w:rFonts w:hint="eastAsia" w:ascii="宋体" w:hAnsi="宋体" w:eastAsia="宋体" w:cs="宋体"/>
                <w:color w:val="auto"/>
                <w:sz w:val="24"/>
                <w:szCs w:val="24"/>
                <w:highlight w:val="none"/>
                <w:lang w:val="en-US" w:eastAsia="zh-CN"/>
              </w:rPr>
              <w:t>每缺少一项内容扣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分；每有一项内容不完整或未能满足采购需求的或每有一处不具有针对性或逻辑性错误</w:t>
            </w:r>
            <w:r>
              <w:rPr>
                <w:rFonts w:hint="eastAsia" w:ascii="宋体" w:hAnsi="宋体" w:cs="宋体"/>
                <w:color w:val="auto"/>
                <w:sz w:val="24"/>
                <w:szCs w:val="24"/>
                <w:highlight w:val="none"/>
                <w:lang w:val="en-US" w:eastAsia="zh-CN"/>
              </w:rPr>
              <w:t>或内容有缺陷</w:t>
            </w:r>
            <w:r>
              <w:rPr>
                <w:rFonts w:hint="eastAsia" w:ascii="宋体" w:hAnsi="宋体" w:eastAsia="宋体" w:cs="宋体"/>
                <w:color w:val="auto"/>
                <w:sz w:val="24"/>
                <w:szCs w:val="24"/>
                <w:highlight w:val="none"/>
                <w:lang w:val="en-US" w:eastAsia="zh-CN"/>
              </w:rPr>
              <w:t>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分；扣完为止。</w:t>
            </w:r>
          </w:p>
          <w:p w14:paraId="553BD2C1">
            <w:pPr>
              <w:pStyle w:val="88"/>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firstLine="0" w:firstLineChars="0"/>
              <w:jc w:val="left"/>
              <w:outlineLvl w:val="9"/>
              <w:rPr>
                <w:rFonts w:hint="eastAsia" w:ascii="宋体" w:hAnsi="宋体" w:eastAsia="宋体" w:cs="宋体"/>
                <w:color w:val="auto"/>
                <w:sz w:val="24"/>
                <w:szCs w:val="24"/>
                <w:highlight w:val="none"/>
                <w:lang w:val="en-US" w:eastAsia="zh-CN"/>
              </w:rPr>
            </w:pPr>
            <w:r>
              <w:rPr>
                <w:rFonts w:hint="eastAsia" w:cs="Times New Roman"/>
                <w:sz w:val="24"/>
                <w:szCs w:val="24"/>
                <w:highlight w:val="none"/>
                <w:lang w:val="en-US" w:eastAsia="zh-CN"/>
              </w:rPr>
              <w:t>注：</w:t>
            </w:r>
            <w:r>
              <w:rPr>
                <w:rFonts w:hint="eastAsia" w:ascii="Times New Roman" w:hAnsi="Times New Roman" w:eastAsia="宋体" w:cs="Times New Roman"/>
                <w:sz w:val="24"/>
                <w:szCs w:val="24"/>
                <w:highlight w:val="none"/>
              </w:rPr>
              <w:t>缺陷是指:存在不适用项目实际情况的情形、凭空编造、前后不一致、前后逻辑错误、涉及的规范及标准错误、套用其他方案、只有简单描述无实质性内容等</w:t>
            </w:r>
          </w:p>
        </w:tc>
      </w:tr>
      <w:tr w14:paraId="0F5AEED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511" w:type="dxa"/>
            <w:noWrap w:val="0"/>
            <w:vAlign w:val="center"/>
          </w:tcPr>
          <w:p w14:paraId="28F39D6A">
            <w:pPr>
              <w:keepNext w:val="0"/>
              <w:keepLines w:val="0"/>
              <w:suppressLineNumbers w:val="0"/>
              <w:spacing w:before="0" w:beforeAutospacing="0" w:after="0" w:afterAutospacing="0"/>
              <w:ind w:left="0" w:right="0"/>
              <w:jc w:val="center"/>
              <w:outlineLvl w:val="9"/>
              <w:rPr>
                <w:rFonts w:hint="default" w:ascii="Times New Roman" w:hAnsi="Times New Roman" w:cs="Times New Roman"/>
                <w:b/>
                <w:szCs w:val="21"/>
                <w:highlight w:val="none"/>
              </w:rPr>
            </w:pPr>
          </w:p>
        </w:tc>
        <w:tc>
          <w:tcPr>
            <w:tcW w:w="948" w:type="dxa"/>
            <w:noWrap w:val="0"/>
            <w:vAlign w:val="center"/>
          </w:tcPr>
          <w:p w14:paraId="2F2AD793">
            <w:pPr>
              <w:keepNext w:val="0"/>
              <w:keepLines w:val="0"/>
              <w:suppressLineNumbers w:val="0"/>
              <w:spacing w:before="0" w:beforeAutospacing="0" w:after="0" w:afterAutospacing="0"/>
              <w:ind w:left="0" w:right="0"/>
              <w:jc w:val="center"/>
              <w:outlineLvl w:val="9"/>
              <w:rPr>
                <w:rFonts w:hint="default" w:ascii="Times New Roman" w:hAnsi="Times New Roman" w:cs="Times New Roman"/>
                <w:b/>
                <w:szCs w:val="21"/>
                <w:highlight w:val="none"/>
              </w:rPr>
            </w:pPr>
            <w:r>
              <w:rPr>
                <w:rFonts w:hint="default" w:ascii="Times New Roman" w:hAnsi="Times New Roman" w:cs="Times New Roman"/>
                <w:szCs w:val="21"/>
                <w:highlight w:val="none"/>
              </w:rPr>
              <w:t>合计</w:t>
            </w:r>
          </w:p>
        </w:tc>
        <w:tc>
          <w:tcPr>
            <w:tcW w:w="717" w:type="dxa"/>
            <w:noWrap w:val="0"/>
            <w:vAlign w:val="center"/>
          </w:tcPr>
          <w:p w14:paraId="44D743F7">
            <w:pPr>
              <w:keepNext w:val="0"/>
              <w:keepLines w:val="0"/>
              <w:suppressLineNumbers w:val="0"/>
              <w:spacing w:before="0" w:beforeAutospacing="0" w:after="0" w:afterAutospacing="0"/>
              <w:ind w:left="0" w:right="0"/>
              <w:jc w:val="center"/>
              <w:outlineLvl w:val="9"/>
              <w:rPr>
                <w:rFonts w:hint="default" w:ascii="Times New Roman" w:hAnsi="Times New Roman" w:cs="Times New Roman"/>
                <w:b/>
                <w:szCs w:val="21"/>
                <w:highlight w:val="none"/>
              </w:rPr>
            </w:pPr>
            <w:r>
              <w:rPr>
                <w:rFonts w:hint="default" w:ascii="Times New Roman" w:hAnsi="Times New Roman" w:cs="Times New Roman"/>
                <w:szCs w:val="21"/>
                <w:highlight w:val="none"/>
              </w:rPr>
              <w:t>100</w:t>
            </w:r>
          </w:p>
        </w:tc>
        <w:tc>
          <w:tcPr>
            <w:tcW w:w="6484" w:type="dxa"/>
            <w:noWrap w:val="0"/>
            <w:vAlign w:val="center"/>
          </w:tcPr>
          <w:p w14:paraId="1A3AD86F">
            <w:pPr>
              <w:keepNext w:val="0"/>
              <w:keepLines w:val="0"/>
              <w:suppressLineNumbers w:val="0"/>
              <w:spacing w:before="0" w:beforeAutospacing="0" w:after="0" w:afterAutospacing="0"/>
              <w:ind w:left="0" w:right="0"/>
              <w:outlineLvl w:val="9"/>
              <w:rPr>
                <w:rFonts w:hint="default" w:ascii="Times New Roman" w:hAnsi="Times New Roman" w:cs="Times New Roman"/>
                <w:szCs w:val="21"/>
                <w:highlight w:val="none"/>
              </w:rPr>
            </w:pPr>
          </w:p>
        </w:tc>
      </w:tr>
    </w:tbl>
    <w:p w14:paraId="4D264363">
      <w:pPr>
        <w:pStyle w:val="10"/>
        <w:tabs>
          <w:tab w:val="clear" w:pos="567"/>
        </w:tabs>
        <w:spacing w:before="0" w:line="240" w:lineRule="atLeast"/>
        <w:ind w:firstLine="540" w:firstLineChars="225"/>
        <w:outlineLvl w:val="9"/>
        <w:rPr>
          <w:rFonts w:hint="eastAsia" w:ascii="宋体" w:hAnsi="宋体" w:eastAsia="宋体" w:cs="Times New Roman"/>
          <w:color w:val="auto"/>
          <w:highlight w:val="none"/>
        </w:rPr>
      </w:pPr>
    </w:p>
    <w:p w14:paraId="7854CBA3">
      <w:pPr>
        <w:pStyle w:val="10"/>
        <w:tabs>
          <w:tab w:val="clear" w:pos="567"/>
        </w:tabs>
        <w:spacing w:before="0" w:line="240" w:lineRule="atLeast"/>
        <w:ind w:firstLine="540" w:firstLineChars="225"/>
        <w:outlineLvl w:val="9"/>
        <w:rPr>
          <w:rFonts w:hint="eastAsia" w:ascii="宋体" w:hAnsi="宋体" w:eastAsia="宋体" w:cs="Times New Roman"/>
          <w:color w:val="auto"/>
          <w:highlight w:val="none"/>
        </w:rPr>
      </w:pPr>
    </w:p>
    <w:p w14:paraId="4250444B">
      <w:pPr>
        <w:pStyle w:val="10"/>
        <w:tabs>
          <w:tab w:val="clear" w:pos="567"/>
        </w:tabs>
        <w:spacing w:before="0" w:line="240" w:lineRule="atLeast"/>
        <w:ind w:firstLine="540" w:firstLineChars="225"/>
        <w:outlineLvl w:val="9"/>
        <w:rPr>
          <w:rFonts w:hint="eastAsia" w:ascii="宋体" w:hAnsi="宋体" w:eastAsia="宋体" w:cs="Times New Roman"/>
          <w:color w:val="auto"/>
          <w:highlight w:val="none"/>
        </w:rPr>
      </w:pPr>
    </w:p>
    <w:p w14:paraId="520D3C56">
      <w:pPr>
        <w:pStyle w:val="10"/>
        <w:keepNext w:val="0"/>
        <w:keepLines w:val="0"/>
        <w:pageBreakBefore w:val="0"/>
        <w:widowControl w:val="0"/>
        <w:tabs>
          <w:tab w:val="clear" w:pos="567"/>
        </w:tabs>
        <w:kinsoku/>
        <w:wordWrap/>
        <w:overflowPunct/>
        <w:topLinePunct w:val="0"/>
        <w:autoSpaceDE/>
        <w:autoSpaceDN/>
        <w:bidi w:val="0"/>
        <w:adjustRightInd/>
        <w:snapToGrid/>
        <w:spacing w:before="0" w:line="570" w:lineRule="exact"/>
        <w:ind w:left="0" w:leftChars="0" w:firstLine="960" w:firstLineChars="400"/>
        <w:textAlignment w:val="auto"/>
        <w:outlineLvl w:val="9"/>
        <w:rPr>
          <w:rFonts w:hint="eastAsia" w:ascii="宋体" w:hAnsi="宋体" w:eastAsia="宋体" w:cs="宋体"/>
          <w:i/>
          <w:highlight w:val="none"/>
        </w:rPr>
      </w:pPr>
      <w:r>
        <w:rPr>
          <w:rFonts w:hint="eastAsia" w:ascii="宋体" w:hAnsi="宋体" w:eastAsia="宋体" w:cs="宋体"/>
          <w:i/>
          <w:highlight w:val="none"/>
        </w:rPr>
        <w:br w:type="page"/>
      </w:r>
      <w:bookmarkStart w:id="346" w:name="_Toc507399904"/>
    </w:p>
    <w:p w14:paraId="1803AC02">
      <w:pPr>
        <w:outlineLvl w:val="9"/>
        <w:rPr>
          <w:rFonts w:hint="eastAsia" w:ascii="宋体" w:hAnsi="宋体" w:eastAsia="宋体" w:cs="宋体"/>
          <w:i/>
          <w:highlight w:val="none"/>
        </w:rPr>
      </w:pPr>
    </w:p>
    <w:p w14:paraId="78D953C7">
      <w:pPr>
        <w:pStyle w:val="20"/>
        <w:outlineLvl w:val="9"/>
        <w:rPr>
          <w:rFonts w:hint="eastAsia" w:ascii="宋体" w:hAnsi="宋体" w:eastAsia="宋体" w:cs="宋体"/>
          <w:i/>
          <w:highlight w:val="none"/>
        </w:rPr>
      </w:pPr>
    </w:p>
    <w:p w14:paraId="682A9C21">
      <w:pPr>
        <w:pStyle w:val="20"/>
        <w:outlineLvl w:val="9"/>
        <w:rPr>
          <w:rFonts w:hint="eastAsia" w:ascii="宋体" w:hAnsi="宋体" w:eastAsia="宋体" w:cs="宋体"/>
          <w:i/>
          <w:highlight w:val="none"/>
        </w:rPr>
      </w:pPr>
    </w:p>
    <w:p w14:paraId="000472E7">
      <w:pPr>
        <w:pStyle w:val="20"/>
        <w:outlineLvl w:val="9"/>
        <w:rPr>
          <w:rFonts w:hint="eastAsia" w:ascii="宋体" w:hAnsi="宋体" w:eastAsia="宋体" w:cs="宋体"/>
          <w:i/>
          <w:highlight w:val="none"/>
        </w:rPr>
      </w:pPr>
    </w:p>
    <w:p w14:paraId="2921C147">
      <w:pPr>
        <w:pStyle w:val="20"/>
        <w:outlineLvl w:val="9"/>
        <w:rPr>
          <w:rFonts w:hint="eastAsia" w:ascii="宋体" w:hAnsi="宋体" w:eastAsia="宋体" w:cs="宋体"/>
          <w:i/>
          <w:highlight w:val="none"/>
        </w:rPr>
      </w:pPr>
    </w:p>
    <w:p w14:paraId="555711F4">
      <w:pPr>
        <w:pStyle w:val="20"/>
        <w:outlineLvl w:val="9"/>
        <w:rPr>
          <w:rFonts w:hint="eastAsia" w:ascii="宋体" w:hAnsi="宋体" w:eastAsia="宋体" w:cs="宋体"/>
          <w:i/>
          <w:highlight w:val="none"/>
        </w:rPr>
      </w:pPr>
    </w:p>
    <w:p w14:paraId="094B2B62">
      <w:pPr>
        <w:pStyle w:val="7"/>
        <w:ind w:left="0" w:leftChars="0" w:firstLine="0" w:firstLineChars="0"/>
        <w:jc w:val="center"/>
        <w:outlineLvl w:val="9"/>
        <w:rPr>
          <w:highlight w:val="none"/>
        </w:rPr>
      </w:pPr>
      <w:r>
        <w:rPr>
          <w:rFonts w:hint="eastAsia" w:ascii="黑体" w:hAnsi="黑体" w:eastAsia="黑体" w:cs="黑体"/>
          <w:bCs/>
          <w:sz w:val="52"/>
          <w:szCs w:val="52"/>
          <w:highlight w:val="none"/>
          <w:lang w:val="en-US" w:eastAsia="zh-CN"/>
        </w:rPr>
        <w:t>英吉沙县铸牢中华民族共同体意识交往交流交融项目——英吉沙县“石榴花·巾帼援疆行动”暨“民族团结一家亲”结对联谊项目</w:t>
      </w:r>
    </w:p>
    <w:p w14:paraId="0B74A04D">
      <w:pPr>
        <w:outlineLvl w:val="9"/>
        <w:rPr>
          <w:highlight w:val="none"/>
        </w:rPr>
      </w:pPr>
    </w:p>
    <w:p w14:paraId="2D53418F">
      <w:pPr>
        <w:pStyle w:val="14"/>
        <w:outlineLvl w:val="9"/>
        <w:rPr>
          <w:highlight w:val="none"/>
        </w:rPr>
      </w:pPr>
    </w:p>
    <w:p w14:paraId="07110C31">
      <w:pPr>
        <w:pStyle w:val="37"/>
        <w:outlineLvl w:val="9"/>
        <w:rPr>
          <w:highlight w:val="none"/>
        </w:rPr>
      </w:pPr>
    </w:p>
    <w:p w14:paraId="742C02F8">
      <w:pPr>
        <w:spacing w:line="240" w:lineRule="atLeast"/>
        <w:ind w:left="1080" w:leftChars="257" w:hanging="540"/>
        <w:jc w:val="center"/>
        <w:outlineLvl w:val="9"/>
        <w:rPr>
          <w:rFonts w:hint="default" w:ascii="华文中宋" w:hAnsi="华文中宋" w:eastAsia="华文中宋" w:cs="华文中宋"/>
          <w:bCs/>
          <w:sz w:val="52"/>
          <w:szCs w:val="52"/>
          <w:highlight w:val="none"/>
          <w:lang w:val="en-US" w:eastAsia="zh-CN"/>
        </w:rPr>
      </w:pPr>
      <w:r>
        <w:rPr>
          <w:rFonts w:hint="eastAsia" w:ascii="华文中宋" w:hAnsi="华文中宋" w:eastAsia="华文中宋" w:cs="华文中宋"/>
          <w:bCs/>
          <w:sz w:val="52"/>
          <w:szCs w:val="52"/>
          <w:highlight w:val="none"/>
          <w:lang w:val="en-US" w:eastAsia="zh-CN"/>
        </w:rPr>
        <w:t>竞争性磋商文件</w:t>
      </w:r>
    </w:p>
    <w:p w14:paraId="0F6369D0">
      <w:pPr>
        <w:pStyle w:val="14"/>
        <w:outlineLvl w:val="9"/>
        <w:rPr>
          <w:rFonts w:hint="eastAsia"/>
          <w:highlight w:val="none"/>
        </w:rPr>
      </w:pPr>
    </w:p>
    <w:p w14:paraId="5FE2E2DD">
      <w:pPr>
        <w:spacing w:line="240" w:lineRule="atLeast"/>
        <w:ind w:left="0" w:leftChars="0" w:hanging="18" w:firstLineChars="0"/>
        <w:jc w:val="center"/>
        <w:outlineLvl w:val="9"/>
        <w:rPr>
          <w:rFonts w:hint="eastAsia" w:ascii="黑体" w:eastAsia="黑体"/>
          <w:sz w:val="28"/>
          <w:highlight w:val="none"/>
        </w:rPr>
      </w:pPr>
    </w:p>
    <w:p w14:paraId="0DEBF9FC">
      <w:pPr>
        <w:spacing w:line="240" w:lineRule="atLeast"/>
        <w:ind w:left="1080" w:leftChars="257" w:hanging="540"/>
        <w:jc w:val="center"/>
        <w:outlineLvl w:val="9"/>
        <w:rPr>
          <w:rFonts w:hint="eastAsia" w:ascii="宋体" w:hAnsi="宋体" w:eastAsia="宋体" w:cs="宋体"/>
          <w:b/>
          <w:sz w:val="32"/>
          <w:szCs w:val="32"/>
          <w:highlight w:val="none"/>
        </w:rPr>
      </w:pPr>
      <w:r>
        <w:rPr>
          <w:rFonts w:hint="eastAsia" w:ascii="黑体" w:eastAsia="黑体"/>
          <w:sz w:val="28"/>
          <w:highlight w:val="none"/>
        </w:rPr>
        <w:t>项目编号：</w:t>
      </w:r>
      <w:r>
        <w:rPr>
          <w:rFonts w:hint="eastAsia" w:ascii="黑体" w:hAnsi="黑体" w:eastAsia="黑体" w:cs="黑体"/>
          <w:sz w:val="32"/>
          <w:szCs w:val="40"/>
          <w:highlight w:val="none"/>
          <w:lang w:eastAsia="zh-CN"/>
        </w:rPr>
        <w:t>ZTZXYJSX（CS）DL-2025-20号</w:t>
      </w:r>
    </w:p>
    <w:p w14:paraId="6DFA7516">
      <w:pPr>
        <w:spacing w:line="240" w:lineRule="atLeast"/>
        <w:ind w:left="1080" w:leftChars="257" w:hanging="540"/>
        <w:outlineLvl w:val="9"/>
        <w:rPr>
          <w:rFonts w:hint="eastAsia" w:ascii="宋体" w:hAnsi="宋体" w:eastAsia="宋体" w:cs="宋体"/>
          <w:b/>
          <w:sz w:val="28"/>
          <w:highlight w:val="none"/>
        </w:rPr>
      </w:pPr>
    </w:p>
    <w:p w14:paraId="4CB7A4AB">
      <w:pPr>
        <w:pStyle w:val="20"/>
        <w:outlineLvl w:val="9"/>
        <w:rPr>
          <w:rFonts w:hint="eastAsia" w:ascii="宋体" w:hAnsi="宋体" w:eastAsia="宋体" w:cs="宋体"/>
          <w:b/>
          <w:sz w:val="28"/>
          <w:highlight w:val="none"/>
        </w:rPr>
      </w:pPr>
    </w:p>
    <w:p w14:paraId="0643556B">
      <w:pPr>
        <w:pStyle w:val="20"/>
        <w:outlineLvl w:val="9"/>
        <w:rPr>
          <w:rFonts w:hint="eastAsia" w:ascii="宋体" w:hAnsi="宋体" w:eastAsia="宋体" w:cs="宋体"/>
          <w:b/>
          <w:sz w:val="28"/>
          <w:highlight w:val="none"/>
        </w:rPr>
      </w:pPr>
    </w:p>
    <w:p w14:paraId="69657272">
      <w:pPr>
        <w:pStyle w:val="20"/>
        <w:outlineLvl w:val="9"/>
        <w:rPr>
          <w:rFonts w:hint="eastAsia" w:ascii="宋体" w:hAnsi="宋体" w:eastAsia="宋体" w:cs="宋体"/>
          <w:b/>
          <w:sz w:val="28"/>
          <w:highlight w:val="none"/>
        </w:rPr>
      </w:pPr>
    </w:p>
    <w:p w14:paraId="1185105B">
      <w:pPr>
        <w:pStyle w:val="20"/>
        <w:outlineLvl w:val="9"/>
        <w:rPr>
          <w:rFonts w:hint="eastAsia" w:ascii="宋体" w:hAnsi="宋体" w:eastAsia="宋体" w:cs="宋体"/>
          <w:b/>
          <w:sz w:val="28"/>
          <w:highlight w:val="none"/>
        </w:rPr>
      </w:pPr>
    </w:p>
    <w:p w14:paraId="169F52EC">
      <w:pPr>
        <w:spacing w:line="240" w:lineRule="atLeast"/>
        <w:ind w:left="1080" w:leftChars="257" w:hanging="540"/>
        <w:jc w:val="center"/>
        <w:outlineLvl w:val="9"/>
        <w:rPr>
          <w:rFonts w:hint="eastAsia" w:ascii="宋体" w:hAnsi="宋体" w:eastAsia="宋体" w:cs="宋体"/>
          <w:b/>
          <w:sz w:val="48"/>
          <w:szCs w:val="48"/>
          <w:highlight w:val="none"/>
        </w:rPr>
      </w:pPr>
      <w:r>
        <w:rPr>
          <w:rFonts w:hint="eastAsia" w:ascii="宋体" w:hAnsi="宋体" w:eastAsia="宋体" w:cs="宋体"/>
          <w:b/>
          <w:sz w:val="48"/>
          <w:szCs w:val="48"/>
          <w:highlight w:val="none"/>
        </w:rPr>
        <w:t>第三册</w:t>
      </w:r>
    </w:p>
    <w:p w14:paraId="6E0718F9">
      <w:pPr>
        <w:spacing w:line="240" w:lineRule="atLeast"/>
        <w:ind w:left="1080" w:leftChars="257" w:hanging="540"/>
        <w:jc w:val="center"/>
        <w:outlineLvl w:val="9"/>
        <w:rPr>
          <w:rFonts w:hint="eastAsia" w:ascii="宋体" w:hAnsi="宋体" w:eastAsia="宋体" w:cs="宋体"/>
          <w:b/>
          <w:sz w:val="52"/>
          <w:highlight w:val="none"/>
        </w:rPr>
      </w:pPr>
    </w:p>
    <w:p w14:paraId="744D7228">
      <w:pPr>
        <w:spacing w:line="240" w:lineRule="atLeast"/>
        <w:ind w:left="1080" w:leftChars="257" w:hanging="540"/>
        <w:jc w:val="center"/>
        <w:outlineLvl w:val="9"/>
        <w:rPr>
          <w:rFonts w:hint="eastAsia" w:ascii="宋体" w:hAnsi="宋体" w:eastAsia="宋体" w:cs="宋体"/>
          <w:b/>
          <w:sz w:val="52"/>
          <w:highlight w:val="none"/>
        </w:rPr>
      </w:pPr>
    </w:p>
    <w:p w14:paraId="6F4B6A1A">
      <w:pPr>
        <w:spacing w:line="240" w:lineRule="atLeast"/>
        <w:ind w:left="1080" w:leftChars="257" w:hanging="540"/>
        <w:jc w:val="center"/>
        <w:outlineLvl w:val="9"/>
        <w:rPr>
          <w:rFonts w:hint="eastAsia" w:ascii="宋体" w:hAnsi="宋体" w:eastAsia="宋体" w:cs="宋体"/>
          <w:b/>
          <w:sz w:val="52"/>
          <w:highlight w:val="none"/>
        </w:rPr>
      </w:pPr>
    </w:p>
    <w:p w14:paraId="787BC2A4">
      <w:pPr>
        <w:spacing w:line="240" w:lineRule="atLeast"/>
        <w:ind w:left="1080" w:leftChars="257" w:hanging="540"/>
        <w:jc w:val="center"/>
        <w:outlineLvl w:val="9"/>
        <w:rPr>
          <w:rFonts w:hint="eastAsia" w:ascii="宋体" w:hAnsi="宋体" w:eastAsia="宋体" w:cs="宋体"/>
          <w:b/>
          <w:sz w:val="52"/>
          <w:highlight w:val="none"/>
        </w:rPr>
      </w:pPr>
    </w:p>
    <w:p w14:paraId="445F8620">
      <w:pPr>
        <w:spacing w:line="240" w:lineRule="atLeast"/>
        <w:ind w:left="1080" w:leftChars="257" w:hanging="540"/>
        <w:jc w:val="center"/>
        <w:outlineLvl w:val="9"/>
        <w:rPr>
          <w:rFonts w:hint="eastAsia" w:ascii="宋体" w:hAnsi="宋体" w:eastAsia="宋体" w:cs="宋体"/>
          <w:b/>
          <w:sz w:val="52"/>
          <w:highlight w:val="none"/>
        </w:rPr>
      </w:pPr>
    </w:p>
    <w:p w14:paraId="452D373B">
      <w:pPr>
        <w:spacing w:line="240" w:lineRule="atLeast"/>
        <w:ind w:left="1080" w:leftChars="257" w:hanging="540"/>
        <w:jc w:val="center"/>
        <w:outlineLvl w:val="9"/>
        <w:rPr>
          <w:rFonts w:hint="eastAsia" w:ascii="宋体" w:hAnsi="宋体" w:eastAsia="宋体" w:cs="宋体"/>
          <w:b/>
          <w:sz w:val="52"/>
          <w:highlight w:val="none"/>
        </w:rPr>
      </w:pPr>
    </w:p>
    <w:p w14:paraId="478B3699">
      <w:pPr>
        <w:spacing w:line="240" w:lineRule="atLeast"/>
        <w:ind w:left="1080" w:leftChars="257" w:hanging="540"/>
        <w:outlineLvl w:val="9"/>
        <w:rPr>
          <w:rFonts w:hint="eastAsia" w:ascii="宋体" w:hAnsi="宋体" w:eastAsia="宋体" w:cs="宋体"/>
          <w:b/>
          <w:szCs w:val="21"/>
          <w:highlight w:val="none"/>
        </w:rPr>
      </w:pPr>
    </w:p>
    <w:p w14:paraId="25A76B7E">
      <w:pPr>
        <w:outlineLvl w:val="9"/>
        <w:rPr>
          <w:rFonts w:hint="eastAsia" w:ascii="宋体" w:hAnsi="宋体" w:eastAsia="宋体" w:cs="宋体"/>
          <w:highlight w:val="none"/>
        </w:rPr>
      </w:pPr>
      <w:r>
        <w:rPr>
          <w:rFonts w:hint="eastAsia" w:ascii="宋体" w:hAnsi="宋体" w:eastAsia="宋体" w:cs="宋体"/>
          <w:b/>
          <w:sz w:val="52"/>
          <w:highlight w:val="none"/>
        </w:rPr>
        <w:br w:type="page"/>
      </w:r>
    </w:p>
    <w:p w14:paraId="6D323B18">
      <w:pPr>
        <w:numPr>
          <w:ilvl w:val="0"/>
          <w:numId w:val="0"/>
        </w:numPr>
        <w:tabs>
          <w:tab w:val="left" w:pos="0"/>
        </w:tabs>
        <w:spacing w:before="0" w:after="0" w:line="240" w:lineRule="atLeast"/>
        <w:ind w:left="0" w:leftChars="0" w:hanging="15" w:firstLineChars="0"/>
        <w:jc w:val="center"/>
        <w:outlineLvl w:val="0"/>
        <w:rPr>
          <w:rFonts w:hint="eastAsia" w:ascii="宋体" w:hAnsi="宋体" w:eastAsia="宋体" w:cs="宋体"/>
          <w:b/>
          <w:kern w:val="44"/>
          <w:sz w:val="32"/>
          <w:szCs w:val="20"/>
          <w:highlight w:val="none"/>
          <w:lang w:val="en-US" w:eastAsia="zh-CN" w:bidi="ar-SA"/>
        </w:rPr>
      </w:pPr>
      <w:bookmarkStart w:id="347" w:name="_Toc518923128"/>
      <w:bookmarkStart w:id="348" w:name="_Toc20245"/>
      <w:bookmarkStart w:id="349" w:name="_Toc30017"/>
      <w:r>
        <w:rPr>
          <w:rFonts w:hint="default" w:ascii="宋体" w:hAnsi="宋体" w:eastAsia="宋体" w:cs="宋体"/>
          <w:b/>
          <w:kern w:val="44"/>
          <w:sz w:val="32"/>
          <w:szCs w:val="20"/>
          <w:highlight w:val="none"/>
          <w:lang w:val="en-US" w:eastAsia="zh-CN" w:bidi="ar-SA"/>
        </w:rPr>
        <w:t>第</w:t>
      </w:r>
      <w:r>
        <w:rPr>
          <w:rFonts w:hint="eastAsia" w:ascii="宋体" w:hAnsi="宋体" w:eastAsia="宋体" w:cs="宋体"/>
          <w:b/>
          <w:kern w:val="44"/>
          <w:sz w:val="32"/>
          <w:szCs w:val="20"/>
          <w:highlight w:val="none"/>
          <w:lang w:val="en-US" w:eastAsia="zh-CN" w:bidi="ar-SA"/>
        </w:rPr>
        <w:t>7</w:t>
      </w:r>
      <w:r>
        <w:rPr>
          <w:rFonts w:hint="default" w:ascii="宋体" w:hAnsi="宋体" w:eastAsia="宋体" w:cs="宋体"/>
          <w:b/>
          <w:kern w:val="44"/>
          <w:sz w:val="32"/>
          <w:szCs w:val="20"/>
          <w:highlight w:val="none"/>
          <w:lang w:val="en-US" w:eastAsia="zh-CN" w:bidi="ar-SA"/>
        </w:rPr>
        <w:t>章</w:t>
      </w:r>
      <w:r>
        <w:rPr>
          <w:rFonts w:hint="eastAsia" w:ascii="宋体" w:hAnsi="宋体" w:eastAsia="宋体" w:cs="宋体"/>
          <w:b/>
          <w:kern w:val="44"/>
          <w:sz w:val="32"/>
          <w:szCs w:val="20"/>
          <w:highlight w:val="none"/>
          <w:lang w:val="en-US" w:eastAsia="zh-CN" w:bidi="ar-SA"/>
        </w:rPr>
        <w:t xml:space="preserve">  政府采购合同</w:t>
      </w:r>
      <w:bookmarkEnd w:id="346"/>
      <w:bookmarkEnd w:id="347"/>
      <w:bookmarkEnd w:id="348"/>
      <w:bookmarkEnd w:id="349"/>
      <w:bookmarkStart w:id="350" w:name="_Hlt487972895"/>
      <w:bookmarkEnd w:id="350"/>
      <w:bookmarkStart w:id="351" w:name="_Toc216513788"/>
      <w:bookmarkStart w:id="352" w:name="_Toc487900382"/>
    </w:p>
    <w:bookmarkEnd w:id="351"/>
    <w:bookmarkEnd w:id="352"/>
    <w:p w14:paraId="605E2C49">
      <w:pPr>
        <w:pStyle w:val="7"/>
        <w:spacing w:line="240" w:lineRule="atLeast"/>
        <w:ind w:left="1080" w:leftChars="257" w:hanging="540"/>
        <w:outlineLvl w:val="9"/>
        <w:rPr>
          <w:rFonts w:hint="eastAsia" w:ascii="宋体" w:hAnsi="宋体" w:eastAsia="宋体" w:cs="宋体"/>
          <w:sz w:val="28"/>
          <w:highlight w:val="none"/>
        </w:rPr>
      </w:pPr>
    </w:p>
    <w:p w14:paraId="542ACF3F">
      <w:pPr>
        <w:spacing w:line="240" w:lineRule="auto"/>
        <w:ind w:left="-567" w:leftChars="-270" w:firstLine="540"/>
        <w:jc w:val="center"/>
        <w:outlineLvl w:val="9"/>
        <w:rPr>
          <w:rFonts w:hint="eastAsia" w:ascii="宋体" w:hAnsi="宋体" w:eastAsia="宋体" w:cs="宋体"/>
          <w:kern w:val="44"/>
          <w:sz w:val="28"/>
          <w:szCs w:val="28"/>
          <w:highlight w:val="none"/>
        </w:rPr>
      </w:pPr>
      <w:r>
        <w:rPr>
          <w:rFonts w:hint="eastAsia" w:ascii="宋体" w:hAnsi="宋体" w:eastAsia="宋体" w:cs="宋体"/>
          <w:kern w:val="44"/>
          <w:sz w:val="28"/>
          <w:szCs w:val="28"/>
          <w:highlight w:val="none"/>
        </w:rPr>
        <w:t>请参照服务类政府采购合同参考范本订立采购合同。</w:t>
      </w:r>
    </w:p>
    <w:p w14:paraId="350C8853">
      <w:pPr>
        <w:pStyle w:val="7"/>
        <w:spacing w:line="240" w:lineRule="auto"/>
        <w:ind w:firstLine="0"/>
        <w:outlineLvl w:val="9"/>
        <w:rPr>
          <w:rFonts w:hint="eastAsia" w:ascii="宋体" w:hAnsi="宋体" w:eastAsia="宋体" w:cs="宋体"/>
          <w:highlight w:val="none"/>
        </w:rPr>
      </w:pPr>
    </w:p>
    <w:p w14:paraId="2E33159F">
      <w:pPr>
        <w:pStyle w:val="7"/>
        <w:spacing w:line="240" w:lineRule="auto"/>
        <w:ind w:firstLine="0"/>
        <w:outlineLvl w:val="9"/>
        <w:rPr>
          <w:rFonts w:hint="eastAsia" w:ascii="宋体" w:hAnsi="宋体" w:eastAsia="宋体" w:cs="宋体"/>
          <w:highlight w:val="none"/>
        </w:rPr>
      </w:pPr>
    </w:p>
    <w:p w14:paraId="4BDEB5B6">
      <w:pPr>
        <w:pStyle w:val="7"/>
        <w:spacing w:line="240" w:lineRule="auto"/>
        <w:ind w:firstLine="0"/>
        <w:outlineLvl w:val="9"/>
        <w:rPr>
          <w:rFonts w:hint="eastAsia" w:ascii="宋体" w:hAnsi="宋体" w:eastAsia="宋体" w:cs="宋体"/>
          <w:highlight w:val="none"/>
        </w:rPr>
      </w:pPr>
    </w:p>
    <w:p w14:paraId="5092A8F1">
      <w:pPr>
        <w:spacing w:line="24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14:paraId="710EB1F7">
      <w:pPr>
        <w:spacing w:line="240" w:lineRule="auto"/>
        <w:jc w:val="center"/>
        <w:outlineLvl w:val="9"/>
        <w:rPr>
          <w:rFonts w:hint="eastAsia" w:ascii="宋体" w:hAnsi="宋体" w:eastAsia="宋体" w:cs="宋体"/>
          <w:b/>
          <w:sz w:val="28"/>
          <w:szCs w:val="28"/>
          <w:highlight w:val="none"/>
        </w:rPr>
      </w:pPr>
    </w:p>
    <w:p w14:paraId="3DB50C2C">
      <w:pPr>
        <w:spacing w:line="240" w:lineRule="auto"/>
        <w:jc w:val="center"/>
        <w:outlineLvl w:val="9"/>
        <w:rPr>
          <w:rFonts w:hint="eastAsia" w:ascii="宋体" w:hAnsi="宋体" w:eastAsia="宋体" w:cs="宋体"/>
          <w:b/>
          <w:sz w:val="28"/>
          <w:szCs w:val="28"/>
          <w:highlight w:val="none"/>
        </w:rPr>
      </w:pPr>
    </w:p>
    <w:p w14:paraId="21208F06">
      <w:pPr>
        <w:pStyle w:val="20"/>
        <w:outlineLvl w:val="9"/>
        <w:rPr>
          <w:rFonts w:hint="eastAsia" w:ascii="宋体" w:hAnsi="宋体" w:eastAsia="宋体" w:cs="宋体"/>
          <w:b/>
          <w:sz w:val="28"/>
          <w:szCs w:val="28"/>
          <w:highlight w:val="none"/>
        </w:rPr>
      </w:pPr>
    </w:p>
    <w:p w14:paraId="14B02B15">
      <w:pPr>
        <w:pStyle w:val="20"/>
        <w:outlineLvl w:val="9"/>
        <w:rPr>
          <w:rFonts w:hint="eastAsia" w:ascii="宋体" w:hAnsi="宋体" w:eastAsia="宋体" w:cs="宋体"/>
          <w:b/>
          <w:sz w:val="28"/>
          <w:szCs w:val="28"/>
          <w:highlight w:val="none"/>
        </w:rPr>
      </w:pPr>
    </w:p>
    <w:p w14:paraId="115CB508">
      <w:pPr>
        <w:spacing w:line="240" w:lineRule="auto"/>
        <w:jc w:val="center"/>
        <w:outlineLvl w:val="9"/>
        <w:rPr>
          <w:rFonts w:hint="eastAsia" w:ascii="宋体" w:hAnsi="宋体" w:eastAsia="宋体" w:cs="宋体"/>
          <w:b/>
          <w:sz w:val="28"/>
          <w:szCs w:val="28"/>
          <w:highlight w:val="none"/>
        </w:rPr>
      </w:pPr>
    </w:p>
    <w:p w14:paraId="64632486">
      <w:pPr>
        <w:spacing w:line="240" w:lineRule="auto"/>
        <w:jc w:val="center"/>
        <w:outlineLvl w:val="9"/>
        <w:rPr>
          <w:rFonts w:hint="eastAsia" w:ascii="宋体" w:hAnsi="宋体" w:eastAsia="宋体" w:cs="宋体"/>
          <w:b/>
          <w:sz w:val="44"/>
          <w:szCs w:val="44"/>
          <w:highlight w:val="none"/>
        </w:rPr>
      </w:pPr>
      <w:r>
        <w:rPr>
          <w:rFonts w:hint="eastAsia" w:ascii="宋体" w:hAnsi="宋体" w:eastAsia="宋体" w:cs="宋体"/>
          <w:b/>
          <w:sz w:val="44"/>
          <w:szCs w:val="44"/>
          <w:highlight w:val="none"/>
        </w:rPr>
        <w:t>政府采购合同参考范本</w:t>
      </w:r>
    </w:p>
    <w:p w14:paraId="01E7DE72">
      <w:pPr>
        <w:spacing w:line="240" w:lineRule="auto"/>
        <w:jc w:val="center"/>
        <w:outlineLvl w:val="9"/>
        <w:rPr>
          <w:rFonts w:hint="eastAsia" w:ascii="宋体" w:hAnsi="宋体" w:eastAsia="宋体" w:cs="宋体"/>
          <w:b/>
          <w:sz w:val="24"/>
          <w:highlight w:val="none"/>
        </w:rPr>
      </w:pPr>
    </w:p>
    <w:p w14:paraId="05497253">
      <w:pPr>
        <w:spacing w:line="240" w:lineRule="auto"/>
        <w:jc w:val="center"/>
        <w:outlineLvl w:val="9"/>
        <w:rPr>
          <w:rFonts w:hint="eastAsia" w:ascii="宋体" w:hAnsi="宋体" w:eastAsia="宋体" w:cs="宋体"/>
          <w:b/>
          <w:sz w:val="24"/>
          <w:highlight w:val="none"/>
        </w:rPr>
      </w:pPr>
    </w:p>
    <w:p w14:paraId="67C72932">
      <w:pPr>
        <w:spacing w:line="240" w:lineRule="auto"/>
        <w:jc w:val="center"/>
        <w:outlineLvl w:val="9"/>
        <w:rPr>
          <w:rFonts w:hint="eastAsia" w:ascii="宋体" w:hAnsi="宋体" w:eastAsia="宋体" w:cs="宋体"/>
          <w:b/>
          <w:sz w:val="24"/>
          <w:highlight w:val="none"/>
        </w:rPr>
      </w:pPr>
      <w:r>
        <w:rPr>
          <w:rFonts w:hint="eastAsia" w:ascii="宋体" w:hAnsi="宋体" w:eastAsia="宋体" w:cs="宋体"/>
          <w:b/>
          <w:sz w:val="24"/>
          <w:highlight w:val="none"/>
        </w:rPr>
        <w:t>（服务类）</w:t>
      </w:r>
    </w:p>
    <w:p w14:paraId="26C32E27">
      <w:pPr>
        <w:pStyle w:val="68"/>
        <w:spacing w:line="240" w:lineRule="auto"/>
        <w:ind w:firstLine="0"/>
        <w:outlineLvl w:val="9"/>
        <w:rPr>
          <w:rFonts w:hint="eastAsia" w:ascii="宋体" w:hAnsi="宋体" w:eastAsia="宋体" w:cs="宋体"/>
          <w:szCs w:val="24"/>
          <w:highlight w:val="none"/>
        </w:rPr>
      </w:pPr>
    </w:p>
    <w:p w14:paraId="1E86E298">
      <w:pPr>
        <w:pStyle w:val="68"/>
        <w:spacing w:line="240" w:lineRule="auto"/>
        <w:ind w:firstLine="0"/>
        <w:outlineLvl w:val="9"/>
        <w:rPr>
          <w:rFonts w:hint="eastAsia" w:ascii="宋体" w:hAnsi="宋体" w:eastAsia="宋体" w:cs="宋体"/>
          <w:szCs w:val="24"/>
          <w:highlight w:val="none"/>
        </w:rPr>
      </w:pPr>
    </w:p>
    <w:p w14:paraId="2DCC65CB">
      <w:pPr>
        <w:pStyle w:val="68"/>
        <w:spacing w:line="240" w:lineRule="auto"/>
        <w:ind w:firstLine="0"/>
        <w:outlineLvl w:val="9"/>
        <w:rPr>
          <w:rFonts w:hint="eastAsia" w:ascii="宋体" w:hAnsi="宋体" w:eastAsia="宋体" w:cs="宋体"/>
          <w:szCs w:val="24"/>
          <w:highlight w:val="none"/>
        </w:rPr>
      </w:pPr>
    </w:p>
    <w:p w14:paraId="27ACF552">
      <w:pPr>
        <w:pStyle w:val="68"/>
        <w:spacing w:line="240" w:lineRule="auto"/>
        <w:ind w:firstLine="0"/>
        <w:outlineLvl w:val="9"/>
        <w:rPr>
          <w:rFonts w:hint="eastAsia" w:ascii="宋体" w:hAnsi="宋体" w:eastAsia="宋体" w:cs="宋体"/>
          <w:szCs w:val="24"/>
          <w:highlight w:val="none"/>
        </w:rPr>
      </w:pPr>
    </w:p>
    <w:p w14:paraId="26AB812A">
      <w:pPr>
        <w:pStyle w:val="68"/>
        <w:spacing w:line="240" w:lineRule="auto"/>
        <w:ind w:firstLine="0"/>
        <w:outlineLvl w:val="9"/>
        <w:rPr>
          <w:rFonts w:hint="eastAsia" w:ascii="宋体" w:hAnsi="宋体" w:eastAsia="宋体" w:cs="宋体"/>
          <w:szCs w:val="24"/>
          <w:highlight w:val="none"/>
        </w:rPr>
      </w:pPr>
    </w:p>
    <w:p w14:paraId="6F368C8C">
      <w:pPr>
        <w:pStyle w:val="68"/>
        <w:spacing w:line="240" w:lineRule="auto"/>
        <w:ind w:firstLine="0"/>
        <w:jc w:val="center"/>
        <w:outlineLvl w:val="9"/>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14:paraId="34E0315F">
      <w:pPr>
        <w:pStyle w:val="68"/>
        <w:spacing w:line="240" w:lineRule="auto"/>
        <w:ind w:firstLine="0"/>
        <w:outlineLvl w:val="9"/>
        <w:rPr>
          <w:rFonts w:hint="eastAsia" w:ascii="宋体" w:hAnsi="宋体" w:eastAsia="宋体" w:cs="宋体"/>
          <w:szCs w:val="24"/>
          <w:highlight w:val="none"/>
        </w:rPr>
      </w:pPr>
    </w:p>
    <w:p w14:paraId="450675C6">
      <w:pPr>
        <w:pStyle w:val="68"/>
        <w:spacing w:line="240" w:lineRule="auto"/>
        <w:ind w:firstLine="0"/>
        <w:outlineLvl w:val="9"/>
        <w:rPr>
          <w:rFonts w:hint="eastAsia" w:ascii="宋体" w:hAnsi="宋体" w:eastAsia="宋体" w:cs="宋体"/>
          <w:szCs w:val="24"/>
          <w:highlight w:val="none"/>
        </w:rPr>
      </w:pPr>
    </w:p>
    <w:p w14:paraId="545D5DB4">
      <w:pPr>
        <w:spacing w:before="120" w:line="240" w:lineRule="auto"/>
        <w:outlineLvl w:val="9"/>
        <w:rPr>
          <w:rFonts w:hint="eastAsia" w:ascii="宋体" w:hAnsi="宋体" w:eastAsia="宋体" w:cs="宋体"/>
          <w:sz w:val="24"/>
          <w:highlight w:val="none"/>
        </w:rPr>
      </w:pPr>
    </w:p>
    <w:p w14:paraId="1CFB7BC7">
      <w:pPr>
        <w:spacing w:before="120" w:line="240" w:lineRule="auto"/>
        <w:ind w:left="960"/>
        <w:outlineLvl w:val="9"/>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6C78E002">
      <w:pPr>
        <w:pStyle w:val="69"/>
        <w:spacing w:before="120" w:line="240" w:lineRule="auto"/>
        <w:outlineLvl w:val="9"/>
        <w:rPr>
          <w:rFonts w:hint="eastAsia" w:ascii="宋体" w:hAnsi="宋体" w:eastAsia="宋体" w:cs="宋体"/>
          <w:szCs w:val="24"/>
          <w:highlight w:val="none"/>
        </w:rPr>
      </w:pPr>
    </w:p>
    <w:p w14:paraId="4E65BA6E">
      <w:pPr>
        <w:pStyle w:val="69"/>
        <w:spacing w:before="120" w:line="240" w:lineRule="auto"/>
        <w:outlineLvl w:val="9"/>
        <w:rPr>
          <w:rFonts w:hint="eastAsia" w:ascii="宋体" w:hAnsi="宋体" w:eastAsia="宋体" w:cs="宋体"/>
          <w:szCs w:val="24"/>
          <w:highlight w:val="none"/>
        </w:rPr>
      </w:pPr>
    </w:p>
    <w:p w14:paraId="186ACF03">
      <w:pPr>
        <w:spacing w:line="240" w:lineRule="auto"/>
        <w:outlineLvl w:val="9"/>
        <w:rPr>
          <w:rFonts w:hint="eastAsia" w:ascii="宋体" w:hAnsi="宋体" w:eastAsia="宋体" w:cs="宋体"/>
          <w:highlight w:val="none"/>
        </w:rPr>
      </w:pPr>
    </w:p>
    <w:p w14:paraId="11AC0098">
      <w:pPr>
        <w:spacing w:before="120" w:line="240" w:lineRule="auto"/>
        <w:ind w:left="960"/>
        <w:outlineLvl w:val="9"/>
        <w:rPr>
          <w:rFonts w:hint="eastAsia" w:ascii="宋体" w:hAnsi="宋体" w:eastAsia="宋体" w:cs="宋体"/>
          <w:sz w:val="24"/>
          <w:highlight w:val="none"/>
          <w:u w:val="singl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14:paraId="2C1377D6">
      <w:pPr>
        <w:spacing w:before="120" w:line="240" w:lineRule="auto"/>
        <w:outlineLvl w:val="9"/>
        <w:rPr>
          <w:rFonts w:hint="eastAsia" w:ascii="宋体" w:hAnsi="宋体" w:eastAsia="宋体" w:cs="宋体"/>
          <w:sz w:val="24"/>
          <w:highlight w:val="none"/>
        </w:rPr>
      </w:pPr>
    </w:p>
    <w:p w14:paraId="0E2C4347">
      <w:pPr>
        <w:spacing w:before="120" w:line="240" w:lineRule="auto"/>
        <w:ind w:left="960"/>
        <w:outlineLvl w:val="9"/>
        <w:rPr>
          <w:rFonts w:hint="eastAsia" w:ascii="宋体" w:hAnsi="宋体" w:eastAsia="宋体" w:cs="宋体"/>
          <w:sz w:val="24"/>
          <w:highlight w:val="none"/>
          <w:u w:val="singl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14:paraId="6226F842">
      <w:pPr>
        <w:spacing w:before="120" w:line="240" w:lineRule="auto"/>
        <w:outlineLvl w:val="9"/>
        <w:rPr>
          <w:rFonts w:hint="eastAsia" w:ascii="宋体" w:hAnsi="宋体" w:eastAsia="宋体" w:cs="宋体"/>
          <w:sz w:val="24"/>
          <w:highlight w:val="none"/>
        </w:rPr>
      </w:pPr>
    </w:p>
    <w:p w14:paraId="4C476ED1">
      <w:pPr>
        <w:spacing w:before="120" w:line="240" w:lineRule="auto"/>
        <w:ind w:firstLine="960" w:firstLineChars="400"/>
        <w:outlineLvl w:val="9"/>
        <w:rPr>
          <w:rFonts w:hint="eastAsia" w:ascii="宋体" w:hAnsi="宋体" w:eastAsia="宋体" w:cs="宋体"/>
          <w:sz w:val="24"/>
          <w:highlight w:val="none"/>
          <w:u w:val="singl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3A888059">
      <w:pPr>
        <w:spacing w:before="120" w:line="240" w:lineRule="auto"/>
        <w:outlineLvl w:val="9"/>
        <w:rPr>
          <w:rFonts w:hint="eastAsia" w:ascii="宋体" w:hAnsi="宋体" w:eastAsia="宋体" w:cs="宋体"/>
          <w:sz w:val="24"/>
          <w:highlight w:val="none"/>
        </w:rPr>
      </w:pPr>
    </w:p>
    <w:p w14:paraId="5EDD03FF">
      <w:pPr>
        <w:spacing w:before="120" w:line="240" w:lineRule="auto"/>
        <w:ind w:firstLine="960" w:firstLineChars="400"/>
        <w:outlineLvl w:val="9"/>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0CE5A45E">
      <w:pPr>
        <w:autoSpaceDE w:val="0"/>
        <w:autoSpaceDN w:val="0"/>
        <w:adjustRightInd w:val="0"/>
        <w:spacing w:line="240" w:lineRule="auto"/>
        <w:ind w:firstLine="640"/>
        <w:jc w:val="center"/>
        <w:outlineLvl w:val="9"/>
        <w:rPr>
          <w:rFonts w:hint="eastAsia" w:ascii="宋体" w:hAnsi="宋体" w:eastAsia="宋体" w:cs="宋体"/>
          <w:sz w:val="24"/>
          <w:highlight w:val="none"/>
        </w:rPr>
        <w:sectPr>
          <w:headerReference r:id="rId17" w:type="first"/>
          <w:footerReference r:id="rId20" w:type="first"/>
          <w:headerReference r:id="rId15" w:type="default"/>
          <w:footerReference r:id="rId18" w:type="default"/>
          <w:headerReference r:id="rId16" w:type="even"/>
          <w:footerReference r:id="rId19" w:type="even"/>
          <w:pgSz w:w="11907" w:h="16840"/>
          <w:pgMar w:top="1134" w:right="1417" w:bottom="1134" w:left="1417" w:header="851" w:footer="851" w:gutter="0"/>
          <w:pgNumType w:fmt="numberInDash"/>
          <w:cols w:space="720" w:num="1"/>
          <w:docGrid w:linePitch="462" w:charSpace="0"/>
        </w:sectPr>
      </w:pPr>
    </w:p>
    <w:p w14:paraId="555AB16D">
      <w:pPr>
        <w:spacing w:line="240" w:lineRule="auto"/>
        <w:ind w:firstLine="480" w:firstLineChars="200"/>
        <w:outlineLvl w:val="9"/>
        <w:rPr>
          <w:rFonts w:hint="eastAsia" w:ascii="宋体" w:hAnsi="宋体" w:eastAsia="宋体" w:cs="宋体"/>
          <w:sz w:val="24"/>
          <w:highlight w:val="none"/>
          <w:u w:val="single"/>
          <w:lang w:val="zh-CN"/>
        </w:rPr>
      </w:pPr>
    </w:p>
    <w:p w14:paraId="3C7168B2">
      <w:pPr>
        <w:spacing w:line="240" w:lineRule="auto"/>
        <w:ind w:firstLine="480" w:firstLineChars="200"/>
        <w:outlineLvl w:val="9"/>
        <w:rPr>
          <w:rFonts w:hint="eastAsia" w:ascii="宋体" w:hAnsi="宋体" w:eastAsia="宋体" w:cs="宋体"/>
          <w:sz w:val="24"/>
          <w:highlight w:val="none"/>
          <w:u w:val="single"/>
          <w:lang w:val="zh-CN"/>
        </w:rPr>
      </w:pPr>
    </w:p>
    <w:p w14:paraId="4844A814">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（采购人名称）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（政府采购方式）  </w:t>
      </w:r>
      <w:r>
        <w:rPr>
          <w:rFonts w:hint="eastAsia" w:ascii="宋体" w:hAnsi="宋体" w:eastAsia="宋体" w:cs="宋体"/>
          <w:sz w:val="24"/>
          <w:highlight w:val="none"/>
        </w:rPr>
        <w:t>对</w:t>
      </w:r>
      <w:r>
        <w:rPr>
          <w:rFonts w:hint="eastAsia" w:ascii="宋体" w:hAnsi="宋体" w:eastAsia="宋体" w:cs="宋体"/>
          <w:sz w:val="24"/>
          <w:highlight w:val="none"/>
          <w:u w:val="single"/>
        </w:rPr>
        <w:t xml:space="preserve">   （同前页项目名称）   </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（相关评定主体名称）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（中标供应商名称） </w:t>
      </w:r>
      <w:r>
        <w:rPr>
          <w:rFonts w:hint="eastAsia" w:ascii="宋体" w:hAnsi="宋体" w:eastAsia="宋体" w:cs="宋体"/>
          <w:sz w:val="24"/>
          <w:highlight w:val="none"/>
        </w:rPr>
        <w:t>为该项目中标供应商。现于中标通知书发出之日起三十日内，按照采购文件确定的事项签订本合同。</w:t>
      </w:r>
    </w:p>
    <w:p w14:paraId="12703C51">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根据《中华人民共和国合同法》、《中华人民共和国政府采购法》等相关法律法规之规定，按照平等、自愿、公平和诚实信用的原则，经</w:t>
      </w:r>
      <w:r>
        <w:rPr>
          <w:rFonts w:hint="eastAsia" w:ascii="宋体" w:hAnsi="宋体" w:eastAsia="宋体" w:cs="宋体"/>
          <w:sz w:val="24"/>
          <w:highlight w:val="none"/>
          <w:u w:val="single"/>
        </w:rPr>
        <w:t xml:space="preserve">   （采购人名称）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（中标供应商名称）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14:paraId="1DDEBE48">
      <w:pPr>
        <w:spacing w:line="240" w:lineRule="auto"/>
        <w:ind w:firstLine="482" w:firstLineChars="200"/>
        <w:outlineLvl w:val="9"/>
        <w:rPr>
          <w:rFonts w:hint="eastAsia" w:ascii="宋体" w:hAnsi="宋体" w:eastAsia="宋体" w:cs="宋体"/>
          <w:sz w:val="24"/>
          <w:highlight w:val="none"/>
        </w:rPr>
      </w:pPr>
      <w:bookmarkStart w:id="353" w:name="_Toc28855"/>
      <w:bookmarkStart w:id="354" w:name="_Toc2338"/>
      <w:bookmarkStart w:id="355" w:name="_Toc15367"/>
      <w:bookmarkStart w:id="356" w:name="_Toc28904"/>
      <w:bookmarkStart w:id="357" w:name="_Toc19273"/>
      <w:bookmarkStart w:id="358" w:name="_Toc20421"/>
      <w:bookmarkStart w:id="359" w:name="_Toc22967"/>
      <w:r>
        <w:rPr>
          <w:rFonts w:hint="eastAsia" w:ascii="宋体" w:hAnsi="宋体" w:eastAsia="宋体" w:cs="宋体"/>
          <w:b/>
          <w:sz w:val="24"/>
          <w:highlight w:val="none"/>
        </w:rPr>
        <w:t>1.1 合同组成部分</w:t>
      </w:r>
      <w:bookmarkEnd w:id="353"/>
      <w:bookmarkEnd w:id="354"/>
      <w:bookmarkEnd w:id="355"/>
      <w:bookmarkEnd w:id="356"/>
      <w:bookmarkEnd w:id="357"/>
      <w:bookmarkEnd w:id="358"/>
      <w:bookmarkEnd w:id="359"/>
    </w:p>
    <w:p w14:paraId="01AE6637">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3253D3">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4030A416">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1.1.2 中标通知书；</w:t>
      </w:r>
    </w:p>
    <w:p w14:paraId="438D3991">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1.1.3 投标文件（含澄清或者说明文件）；</w:t>
      </w:r>
    </w:p>
    <w:p w14:paraId="2F5099F8">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1.1.4 招标文件（含澄清或者修改文件）；</w:t>
      </w:r>
    </w:p>
    <w:p w14:paraId="34C7AFB3">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40A8A8F2">
      <w:pPr>
        <w:spacing w:line="240" w:lineRule="auto"/>
        <w:ind w:firstLine="482" w:firstLineChars="200"/>
        <w:outlineLvl w:val="9"/>
        <w:rPr>
          <w:rFonts w:hint="eastAsia" w:ascii="宋体" w:hAnsi="宋体" w:eastAsia="宋体" w:cs="宋体"/>
          <w:b/>
          <w:sz w:val="24"/>
          <w:highlight w:val="none"/>
        </w:rPr>
      </w:pPr>
      <w:bookmarkStart w:id="360" w:name="_Toc18585"/>
      <w:bookmarkStart w:id="361" w:name="_Toc20181"/>
      <w:bookmarkStart w:id="362" w:name="_Toc2918"/>
      <w:bookmarkStart w:id="363" w:name="_Toc20005"/>
      <w:bookmarkStart w:id="364" w:name="_Toc6773"/>
      <w:bookmarkStart w:id="365" w:name="_Toc6311"/>
      <w:bookmarkStart w:id="366" w:name="_Toc22185"/>
      <w:r>
        <w:rPr>
          <w:rFonts w:hint="eastAsia" w:ascii="宋体" w:hAnsi="宋体" w:eastAsia="宋体" w:cs="宋体"/>
          <w:b/>
          <w:sz w:val="24"/>
          <w:highlight w:val="none"/>
        </w:rPr>
        <w:t>1.2 标的</w:t>
      </w:r>
      <w:bookmarkEnd w:id="360"/>
      <w:bookmarkEnd w:id="361"/>
      <w:bookmarkEnd w:id="362"/>
      <w:bookmarkEnd w:id="363"/>
      <w:bookmarkEnd w:id="364"/>
      <w:bookmarkEnd w:id="365"/>
      <w:bookmarkEnd w:id="366"/>
    </w:p>
    <w:p w14:paraId="4C04B05A">
      <w:pPr>
        <w:spacing w:line="240" w:lineRule="auto"/>
        <w:ind w:firstLine="480" w:firstLineChars="200"/>
        <w:outlineLvl w:val="9"/>
        <w:rPr>
          <w:rFonts w:hint="eastAsia" w:ascii="宋体" w:hAnsi="宋体" w:eastAsia="宋体" w:cs="宋体"/>
          <w:sz w:val="24"/>
          <w:highlight w:val="none"/>
          <w:u w:val="single"/>
        </w:rPr>
      </w:pPr>
      <w:r>
        <w:rPr>
          <w:rFonts w:hint="eastAsia" w:ascii="宋体" w:hAnsi="宋体" w:eastAsia="宋体" w:cs="宋体"/>
          <w:sz w:val="24"/>
          <w:highlight w:val="none"/>
        </w:rPr>
        <w:t>1.2.1 标的名称：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D41DD32">
      <w:pPr>
        <w:spacing w:line="240" w:lineRule="auto"/>
        <w:ind w:firstLine="480" w:firstLineChars="200"/>
        <w:outlineLvl w:val="9"/>
        <w:rPr>
          <w:rFonts w:hint="eastAsia" w:ascii="宋体" w:hAnsi="宋体" w:eastAsia="宋体" w:cs="宋体"/>
          <w:sz w:val="24"/>
          <w:highlight w:val="none"/>
          <w:u w:val="single"/>
        </w:rPr>
      </w:pPr>
      <w:r>
        <w:rPr>
          <w:rFonts w:hint="eastAsia" w:ascii="宋体" w:hAnsi="宋体" w:eastAsia="宋体" w:cs="宋体"/>
          <w:sz w:val="24"/>
          <w:highlight w:val="none"/>
        </w:rPr>
        <w:t>1.2.2 标的数量：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1C690CA8">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1.2.3 标的质量：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1A3E1C5E">
      <w:pPr>
        <w:spacing w:line="240" w:lineRule="auto"/>
        <w:ind w:firstLine="482" w:firstLineChars="200"/>
        <w:outlineLvl w:val="9"/>
        <w:rPr>
          <w:rFonts w:hint="eastAsia" w:ascii="宋体" w:hAnsi="宋体" w:eastAsia="宋体" w:cs="宋体"/>
          <w:b/>
          <w:sz w:val="24"/>
          <w:highlight w:val="none"/>
        </w:rPr>
      </w:pPr>
      <w:bookmarkStart w:id="367" w:name="_Toc1386"/>
      <w:bookmarkStart w:id="368" w:name="_Toc13918"/>
      <w:bookmarkStart w:id="369" w:name="_Toc4761"/>
      <w:bookmarkStart w:id="370" w:name="_Toc21124"/>
      <w:bookmarkStart w:id="371" w:name="_Toc4929"/>
      <w:bookmarkStart w:id="372" w:name="_Toc5635"/>
      <w:bookmarkStart w:id="373" w:name="_Toc24772"/>
      <w:r>
        <w:rPr>
          <w:rFonts w:hint="eastAsia" w:ascii="宋体" w:hAnsi="宋体" w:eastAsia="宋体" w:cs="宋体"/>
          <w:b/>
          <w:sz w:val="24"/>
          <w:highlight w:val="none"/>
        </w:rPr>
        <w:t>1.3 价款</w:t>
      </w:r>
      <w:bookmarkEnd w:id="367"/>
      <w:bookmarkEnd w:id="368"/>
      <w:bookmarkEnd w:id="369"/>
      <w:bookmarkEnd w:id="370"/>
      <w:bookmarkEnd w:id="371"/>
      <w:bookmarkEnd w:id="372"/>
      <w:bookmarkEnd w:id="373"/>
    </w:p>
    <w:p w14:paraId="013DE873">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本合同总价为：￥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元人民币）。</w:t>
      </w:r>
    </w:p>
    <w:p w14:paraId="1A07E2E8">
      <w:pPr>
        <w:spacing w:line="240" w:lineRule="auto"/>
        <w:ind w:firstLine="480" w:firstLineChars="200"/>
        <w:outlineLvl w:val="9"/>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C2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C253EC7">
            <w:pPr>
              <w:pStyle w:val="64"/>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序号</w:t>
            </w:r>
          </w:p>
        </w:tc>
        <w:tc>
          <w:tcPr>
            <w:tcW w:w="3402" w:type="dxa"/>
            <w:noWrap w:val="0"/>
            <w:vAlign w:val="center"/>
          </w:tcPr>
          <w:p w14:paraId="03F35F1C">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分项名称</w:t>
            </w:r>
          </w:p>
        </w:tc>
        <w:tc>
          <w:tcPr>
            <w:tcW w:w="2552" w:type="dxa"/>
            <w:noWrap w:val="0"/>
            <w:vAlign w:val="center"/>
          </w:tcPr>
          <w:p w14:paraId="781DCEE4">
            <w:pPr>
              <w:pStyle w:val="64"/>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分项价格</w:t>
            </w:r>
          </w:p>
        </w:tc>
      </w:tr>
      <w:tr w14:paraId="1950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75F6586">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p>
        </w:tc>
        <w:tc>
          <w:tcPr>
            <w:tcW w:w="3402" w:type="dxa"/>
            <w:noWrap w:val="0"/>
            <w:vAlign w:val="center"/>
          </w:tcPr>
          <w:p w14:paraId="0207BDA3">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p>
        </w:tc>
        <w:tc>
          <w:tcPr>
            <w:tcW w:w="2552" w:type="dxa"/>
            <w:noWrap w:val="0"/>
            <w:vAlign w:val="center"/>
          </w:tcPr>
          <w:p w14:paraId="20C9A9C8">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p>
        </w:tc>
      </w:tr>
      <w:tr w14:paraId="5F21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A55E2F7">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p>
        </w:tc>
        <w:tc>
          <w:tcPr>
            <w:tcW w:w="3402" w:type="dxa"/>
            <w:noWrap w:val="0"/>
            <w:vAlign w:val="center"/>
          </w:tcPr>
          <w:p w14:paraId="39A3325B">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p>
        </w:tc>
        <w:tc>
          <w:tcPr>
            <w:tcW w:w="2552" w:type="dxa"/>
            <w:noWrap w:val="0"/>
            <w:vAlign w:val="center"/>
          </w:tcPr>
          <w:p w14:paraId="3E1B0EC2">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p>
        </w:tc>
      </w:tr>
      <w:tr w14:paraId="7081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C99B797">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p>
        </w:tc>
        <w:tc>
          <w:tcPr>
            <w:tcW w:w="3402" w:type="dxa"/>
            <w:noWrap w:val="0"/>
            <w:vAlign w:val="center"/>
          </w:tcPr>
          <w:p w14:paraId="7284FAA2">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p>
        </w:tc>
        <w:tc>
          <w:tcPr>
            <w:tcW w:w="2552" w:type="dxa"/>
            <w:noWrap w:val="0"/>
            <w:vAlign w:val="center"/>
          </w:tcPr>
          <w:p w14:paraId="763AF4D7">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p>
        </w:tc>
      </w:tr>
      <w:tr w14:paraId="1FA3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D0C6B22">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p>
        </w:tc>
        <w:tc>
          <w:tcPr>
            <w:tcW w:w="3402" w:type="dxa"/>
            <w:noWrap w:val="0"/>
            <w:vAlign w:val="center"/>
          </w:tcPr>
          <w:p w14:paraId="45FB3072">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p>
        </w:tc>
        <w:tc>
          <w:tcPr>
            <w:tcW w:w="2552" w:type="dxa"/>
            <w:noWrap w:val="0"/>
            <w:vAlign w:val="center"/>
          </w:tcPr>
          <w:p w14:paraId="2E14DD34">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p>
        </w:tc>
      </w:tr>
      <w:tr w14:paraId="1D49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6C4F7D3">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总价</w:t>
            </w:r>
          </w:p>
        </w:tc>
        <w:tc>
          <w:tcPr>
            <w:tcW w:w="2552" w:type="dxa"/>
            <w:noWrap w:val="0"/>
            <w:vAlign w:val="center"/>
          </w:tcPr>
          <w:p w14:paraId="594D7E82">
            <w:pPr>
              <w:pStyle w:val="64"/>
              <w:keepNext w:val="0"/>
              <w:keepLines w:val="0"/>
              <w:suppressLineNumbers w:val="0"/>
              <w:spacing w:before="0" w:beforeAutospacing="0" w:after="0" w:afterAutospacing="0" w:line="240" w:lineRule="auto"/>
              <w:ind w:left="0" w:right="0" w:firstLine="200"/>
              <w:jc w:val="center"/>
              <w:outlineLvl w:val="9"/>
              <w:rPr>
                <w:rFonts w:hint="eastAsia" w:ascii="宋体" w:hAnsi="宋体" w:eastAsia="宋体" w:cs="宋体"/>
                <w:color w:val="000000"/>
                <w:kern w:val="2"/>
                <w:sz w:val="24"/>
                <w:szCs w:val="24"/>
                <w:highlight w:val="none"/>
              </w:rPr>
            </w:pPr>
          </w:p>
        </w:tc>
      </w:tr>
    </w:tbl>
    <w:p w14:paraId="6CD57156">
      <w:pPr>
        <w:spacing w:line="240" w:lineRule="auto"/>
        <w:ind w:firstLine="482" w:firstLineChars="200"/>
        <w:outlineLvl w:val="9"/>
        <w:rPr>
          <w:rFonts w:hint="eastAsia" w:ascii="宋体" w:hAnsi="宋体" w:eastAsia="宋体" w:cs="宋体"/>
          <w:b/>
          <w:sz w:val="24"/>
          <w:highlight w:val="none"/>
        </w:rPr>
      </w:pPr>
      <w:bookmarkStart w:id="374" w:name="_Toc26916"/>
      <w:bookmarkStart w:id="375" w:name="_Toc2679"/>
      <w:bookmarkStart w:id="376" w:name="_Toc14993"/>
      <w:bookmarkStart w:id="377" w:name="_Toc30158"/>
      <w:bookmarkStart w:id="378" w:name="_Toc30506"/>
      <w:bookmarkStart w:id="379" w:name="_Toc18049"/>
      <w:bookmarkStart w:id="380" w:name="_Toc3654"/>
      <w:r>
        <w:rPr>
          <w:rFonts w:hint="eastAsia" w:ascii="宋体" w:hAnsi="宋体" w:eastAsia="宋体" w:cs="宋体"/>
          <w:b/>
          <w:sz w:val="24"/>
          <w:highlight w:val="none"/>
        </w:rPr>
        <w:t>1.4 付款方式和发票开具方式</w:t>
      </w:r>
      <w:bookmarkEnd w:id="374"/>
      <w:bookmarkEnd w:id="375"/>
      <w:bookmarkEnd w:id="376"/>
      <w:bookmarkEnd w:id="377"/>
      <w:bookmarkEnd w:id="378"/>
      <w:bookmarkEnd w:id="379"/>
      <w:bookmarkEnd w:id="380"/>
    </w:p>
    <w:p w14:paraId="47A938E9">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1.4.1付款方式：</w:t>
      </w:r>
      <w:r>
        <w:rPr>
          <w:rFonts w:hint="eastAsia" w:ascii="宋体" w:hAnsi="宋体" w:eastAsia="宋体" w:cs="宋体"/>
          <w:sz w:val="24"/>
          <w:highlight w:val="none"/>
          <w:u w:val="single"/>
          <w:lang w:val="en-US" w:eastAsia="zh-CN"/>
        </w:rPr>
        <w:t>合同签订生效后，采购人根据合同约定第一次支付年合同金额的20%作为项目启动资金，采购人对运营机构实行季度考核，每季度最后5个工作日为考评期，采购人根据《公租房管理与服务考核办法（试行）》对运营机构进行考核，考核结果与服务费用挂钩，每季度末根据考核结果按照比例支付服务费用</w:t>
      </w:r>
      <w:r>
        <w:rPr>
          <w:rFonts w:hint="eastAsia" w:ascii="宋体" w:hAnsi="宋体" w:eastAsia="宋体" w:cs="宋体"/>
          <w:sz w:val="24"/>
          <w:highlight w:val="none"/>
        </w:rPr>
        <w:t>；</w:t>
      </w:r>
    </w:p>
    <w:p w14:paraId="0C61B2BD">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1.4.2 发票开具方式：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4B2D7C8E">
      <w:pPr>
        <w:spacing w:line="240" w:lineRule="auto"/>
        <w:ind w:firstLine="482" w:firstLineChars="200"/>
        <w:outlineLvl w:val="9"/>
        <w:rPr>
          <w:rFonts w:hint="eastAsia" w:ascii="宋体" w:hAnsi="宋体" w:eastAsia="宋体" w:cs="宋体"/>
          <w:b/>
          <w:sz w:val="24"/>
          <w:highlight w:val="none"/>
        </w:rPr>
      </w:pPr>
      <w:bookmarkStart w:id="381" w:name="_Toc5148"/>
      <w:bookmarkStart w:id="382" w:name="_Toc31421"/>
      <w:bookmarkStart w:id="383" w:name="_Toc3625"/>
      <w:bookmarkStart w:id="384" w:name="_Toc9889"/>
      <w:bookmarkStart w:id="385" w:name="_Toc4760"/>
      <w:bookmarkStart w:id="386" w:name="_Toc8772"/>
      <w:bookmarkStart w:id="387" w:name="_Toc11108"/>
      <w:r>
        <w:rPr>
          <w:rFonts w:hint="eastAsia" w:ascii="宋体" w:hAnsi="宋体" w:eastAsia="宋体" w:cs="宋体"/>
          <w:b/>
          <w:sz w:val="24"/>
          <w:highlight w:val="none"/>
        </w:rPr>
        <w:t>1.5 履行期限、地点和方式</w:t>
      </w:r>
      <w:bookmarkEnd w:id="381"/>
      <w:bookmarkEnd w:id="382"/>
      <w:bookmarkEnd w:id="383"/>
      <w:bookmarkEnd w:id="384"/>
      <w:bookmarkEnd w:id="385"/>
      <w:bookmarkEnd w:id="386"/>
      <w:bookmarkEnd w:id="387"/>
    </w:p>
    <w:p w14:paraId="17581FBB">
      <w:pPr>
        <w:spacing w:line="240" w:lineRule="auto"/>
        <w:ind w:firstLine="480" w:firstLineChars="200"/>
        <w:outlineLvl w:val="9"/>
        <w:rPr>
          <w:rFonts w:hint="eastAsia" w:ascii="宋体" w:hAnsi="宋体" w:eastAsia="宋体" w:cs="宋体"/>
          <w:sz w:val="24"/>
          <w:highlight w:val="none"/>
          <w:u w:val="single"/>
        </w:rPr>
      </w:pPr>
      <w:r>
        <w:rPr>
          <w:rFonts w:hint="eastAsia" w:ascii="宋体" w:hAnsi="宋体" w:eastAsia="宋体" w:cs="宋体"/>
          <w:sz w:val="24"/>
          <w:highlight w:val="none"/>
        </w:rPr>
        <w:t>1.5.1 履行期限：</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6FF8BD0B">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1.5.2 履行地点：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6D01708">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1.5.3 履行方式：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18726152">
      <w:pPr>
        <w:spacing w:line="240" w:lineRule="auto"/>
        <w:ind w:firstLine="482" w:firstLineChars="200"/>
        <w:outlineLvl w:val="9"/>
        <w:rPr>
          <w:rFonts w:hint="eastAsia" w:ascii="宋体" w:hAnsi="宋体" w:eastAsia="宋体" w:cs="宋体"/>
          <w:sz w:val="24"/>
          <w:highlight w:val="none"/>
          <w:u w:val="single"/>
        </w:rPr>
      </w:pPr>
      <w:bookmarkStart w:id="388" w:name="_Toc8354"/>
      <w:bookmarkStart w:id="389" w:name="_Toc2375"/>
      <w:bookmarkStart w:id="390" w:name="_Toc5698"/>
      <w:bookmarkStart w:id="391" w:name="_Toc3079"/>
      <w:bookmarkStart w:id="392" w:name="_Toc8586"/>
      <w:bookmarkStart w:id="393" w:name="_Toc24662"/>
      <w:bookmarkStart w:id="394" w:name="_Toc26218"/>
      <w:r>
        <w:rPr>
          <w:rFonts w:hint="eastAsia" w:ascii="宋体" w:hAnsi="宋体" w:eastAsia="宋体" w:cs="宋体"/>
          <w:b/>
          <w:sz w:val="24"/>
          <w:highlight w:val="none"/>
        </w:rPr>
        <w:t>1.6 违约责任</w:t>
      </w:r>
      <w:bookmarkEnd w:id="388"/>
      <w:bookmarkEnd w:id="389"/>
      <w:bookmarkEnd w:id="390"/>
      <w:bookmarkEnd w:id="391"/>
      <w:bookmarkEnd w:id="392"/>
      <w:bookmarkEnd w:id="393"/>
      <w:bookmarkEnd w:id="394"/>
    </w:p>
    <w:p w14:paraId="33FBA870">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%；迟延履行的违约金计算数额达到前述最高限额之日起，甲方有权在要求乙方支付违约金的同时，书面通知乙方解除本合同；</w:t>
      </w:r>
    </w:p>
    <w:p w14:paraId="7DFA8EDF">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%；迟延付款的违约金计算数额达到前述最高限额之日起，乙方有权在要求甲方支付违约金的同时，书面通知甲方解除本合同；</w:t>
      </w:r>
    </w:p>
    <w:p w14:paraId="18A6C178">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39D0160">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30715BB">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E155B86">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037C02B">
      <w:pPr>
        <w:spacing w:line="240" w:lineRule="auto"/>
        <w:ind w:firstLine="482" w:firstLineChars="200"/>
        <w:outlineLvl w:val="9"/>
        <w:rPr>
          <w:rFonts w:hint="eastAsia" w:ascii="宋体" w:hAnsi="宋体" w:eastAsia="宋体" w:cs="宋体"/>
          <w:b/>
          <w:sz w:val="24"/>
          <w:highlight w:val="none"/>
        </w:rPr>
      </w:pPr>
      <w:bookmarkStart w:id="395" w:name="_Toc9497"/>
      <w:bookmarkStart w:id="396" w:name="_Toc32454"/>
      <w:bookmarkStart w:id="397" w:name="_Toc2561"/>
      <w:bookmarkStart w:id="398" w:name="_Toc18683"/>
      <w:bookmarkStart w:id="399" w:name="_Toc26807"/>
      <w:bookmarkStart w:id="400" w:name="_Toc30329"/>
      <w:bookmarkStart w:id="401" w:name="_Toc18203"/>
      <w:r>
        <w:rPr>
          <w:rFonts w:hint="eastAsia" w:ascii="宋体" w:hAnsi="宋体" w:eastAsia="宋体" w:cs="宋体"/>
          <w:b/>
          <w:sz w:val="24"/>
          <w:highlight w:val="none"/>
        </w:rPr>
        <w:t>1.7 合同争议的解决</w:t>
      </w:r>
      <w:bookmarkEnd w:id="395"/>
      <w:bookmarkEnd w:id="396"/>
      <w:bookmarkEnd w:id="397"/>
      <w:bookmarkEnd w:id="398"/>
      <w:bookmarkEnd w:id="399"/>
      <w:bookmarkEnd w:id="400"/>
      <w:bookmarkEnd w:id="401"/>
    </w:p>
    <w:p w14:paraId="49660C99">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种方式解决：</w:t>
      </w:r>
    </w:p>
    <w:p w14:paraId="1E51D26C">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1.7.1 将争议提交</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仲裁委员会依申请仲裁时其现行有效的仲裁规则裁决；</w:t>
      </w:r>
    </w:p>
    <w:p w14:paraId="721071E7">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1.7.2 向</w:t>
      </w:r>
      <w:r>
        <w:rPr>
          <w:rFonts w:hint="eastAsia" w:ascii="宋体" w:hAnsi="宋体" w:eastAsia="宋体" w:cs="宋体"/>
          <w:sz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highlight w:val="none"/>
        </w:rPr>
        <w:t>人民法院起诉。</w:t>
      </w:r>
    </w:p>
    <w:p w14:paraId="580CB7EE">
      <w:pPr>
        <w:spacing w:line="240" w:lineRule="auto"/>
        <w:ind w:firstLine="482" w:firstLineChars="200"/>
        <w:outlineLvl w:val="9"/>
        <w:rPr>
          <w:rFonts w:hint="eastAsia" w:ascii="宋体" w:hAnsi="宋体" w:eastAsia="宋体" w:cs="宋体"/>
          <w:b/>
          <w:sz w:val="24"/>
          <w:highlight w:val="none"/>
        </w:rPr>
      </w:pPr>
      <w:bookmarkStart w:id="402" w:name="_Toc12273"/>
      <w:bookmarkStart w:id="403" w:name="_Toc16417"/>
      <w:bookmarkStart w:id="404" w:name="_Toc11287"/>
      <w:bookmarkStart w:id="405" w:name="_Toc22083"/>
      <w:bookmarkStart w:id="406" w:name="_Toc26227"/>
      <w:bookmarkStart w:id="407" w:name="_Toc15827"/>
      <w:bookmarkStart w:id="408" w:name="_Toc23784"/>
      <w:r>
        <w:rPr>
          <w:rFonts w:hint="eastAsia" w:ascii="宋体" w:hAnsi="宋体" w:eastAsia="宋体" w:cs="宋体"/>
          <w:b/>
          <w:sz w:val="24"/>
          <w:highlight w:val="none"/>
        </w:rPr>
        <w:t>1.8 合同生效</w:t>
      </w:r>
      <w:bookmarkEnd w:id="402"/>
      <w:bookmarkEnd w:id="403"/>
      <w:bookmarkEnd w:id="404"/>
      <w:bookmarkEnd w:id="405"/>
      <w:bookmarkEnd w:id="406"/>
      <w:bookmarkEnd w:id="407"/>
      <w:bookmarkEnd w:id="408"/>
    </w:p>
    <w:p w14:paraId="2F5F852C">
      <w:pPr>
        <w:spacing w:line="240" w:lineRule="auto"/>
        <w:ind w:firstLine="480" w:firstLineChars="200"/>
        <w:outlineLvl w:val="9"/>
        <w:rPr>
          <w:rFonts w:hint="eastAsia" w:ascii="宋体" w:hAnsi="宋体" w:eastAsia="宋体" w:cs="宋体"/>
          <w:b/>
          <w:sz w:val="24"/>
          <w:highlight w:val="none"/>
        </w:rPr>
      </w:pPr>
      <w:r>
        <w:rPr>
          <w:rFonts w:hint="eastAsia" w:ascii="宋体" w:hAnsi="宋体" w:eastAsia="宋体" w:cs="宋体"/>
          <w:sz w:val="24"/>
          <w:highlight w:val="none"/>
        </w:rPr>
        <w:t>本合同自双方当事人盖章或者签字时生效。</w:t>
      </w:r>
    </w:p>
    <w:p w14:paraId="5425E56B">
      <w:pPr>
        <w:autoSpaceDE w:val="0"/>
        <w:autoSpaceDN w:val="0"/>
        <w:adjustRightInd w:val="0"/>
        <w:spacing w:line="240" w:lineRule="auto"/>
        <w:outlineLvl w:val="9"/>
        <w:rPr>
          <w:rFonts w:hint="eastAsia" w:ascii="宋体" w:hAnsi="宋体" w:eastAsia="宋体" w:cs="宋体"/>
          <w:sz w:val="24"/>
          <w:highlight w:val="none"/>
          <w:lang w:val="zh-CN"/>
        </w:rPr>
      </w:pPr>
    </w:p>
    <w:p w14:paraId="014F6D6D">
      <w:pPr>
        <w:autoSpaceDE w:val="0"/>
        <w:autoSpaceDN w:val="0"/>
        <w:adjustRightInd w:val="0"/>
        <w:spacing w:line="240" w:lineRule="auto"/>
        <w:outlineLvl w:val="9"/>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14:paraId="1106D3D9">
      <w:pPr>
        <w:autoSpaceDE w:val="0"/>
        <w:autoSpaceDN w:val="0"/>
        <w:adjustRightInd w:val="0"/>
        <w:spacing w:line="240" w:lineRule="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5F336281">
      <w:pPr>
        <w:autoSpaceDE w:val="0"/>
        <w:autoSpaceDN w:val="0"/>
        <w:adjustRightInd w:val="0"/>
        <w:spacing w:line="240" w:lineRule="auto"/>
        <w:outlineLvl w:val="9"/>
        <w:rPr>
          <w:rFonts w:hint="eastAsia" w:ascii="宋体" w:hAnsi="宋体" w:eastAsia="宋体" w:cs="宋体"/>
          <w:sz w:val="24"/>
          <w:highlight w:val="none"/>
          <w:lang w:val="zh-CN"/>
        </w:rPr>
      </w:pPr>
    </w:p>
    <w:p w14:paraId="2DE88546">
      <w:pPr>
        <w:autoSpaceDE w:val="0"/>
        <w:autoSpaceDN w:val="0"/>
        <w:adjustRightInd w:val="0"/>
        <w:spacing w:line="240" w:lineRule="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67F38F64">
      <w:pPr>
        <w:autoSpaceDE w:val="0"/>
        <w:autoSpaceDN w:val="0"/>
        <w:adjustRightInd w:val="0"/>
        <w:spacing w:line="240" w:lineRule="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14:paraId="2A6AA9DD">
      <w:pPr>
        <w:autoSpaceDE w:val="0"/>
        <w:autoSpaceDN w:val="0"/>
        <w:adjustRightInd w:val="0"/>
        <w:spacing w:line="240" w:lineRule="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14:paraId="6019899B">
      <w:pPr>
        <w:autoSpaceDE w:val="0"/>
        <w:autoSpaceDN w:val="0"/>
        <w:adjustRightInd w:val="0"/>
        <w:spacing w:line="240" w:lineRule="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24E0C391">
      <w:pPr>
        <w:autoSpaceDE w:val="0"/>
        <w:autoSpaceDN w:val="0"/>
        <w:adjustRightInd w:val="0"/>
        <w:spacing w:line="240" w:lineRule="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1FBCFEC4">
      <w:pPr>
        <w:autoSpaceDE w:val="0"/>
        <w:autoSpaceDN w:val="0"/>
        <w:adjustRightInd w:val="0"/>
        <w:spacing w:line="240" w:lineRule="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27C6592F">
      <w:pPr>
        <w:autoSpaceDE w:val="0"/>
        <w:autoSpaceDN w:val="0"/>
        <w:adjustRightInd w:val="0"/>
        <w:spacing w:line="240" w:lineRule="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14:paraId="469FFDBD">
      <w:pPr>
        <w:autoSpaceDE w:val="0"/>
        <w:autoSpaceDN w:val="0"/>
        <w:adjustRightInd w:val="0"/>
        <w:spacing w:line="240" w:lineRule="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14:paraId="06902305">
      <w:pPr>
        <w:autoSpaceDE w:val="0"/>
        <w:autoSpaceDN w:val="0"/>
        <w:adjustRightInd w:val="0"/>
        <w:spacing w:line="240" w:lineRule="auto"/>
        <w:outlineLvl w:val="9"/>
        <w:rPr>
          <w:rFonts w:hint="eastAsia" w:ascii="宋体" w:hAnsi="宋体" w:eastAsia="宋体" w:cs="宋体"/>
          <w:sz w:val="24"/>
          <w:highlight w:val="none"/>
        </w:rPr>
      </w:pPr>
      <w:r>
        <w:rPr>
          <w:rFonts w:hint="eastAsia" w:ascii="宋体" w:hAnsi="宋体" w:eastAsia="宋体" w:cs="宋体"/>
          <w:sz w:val="24"/>
          <w:highlight w:val="none"/>
          <w:lang w:val="zh-CN"/>
        </w:rPr>
        <w:t>电子邮箱：                               电子邮箱：</w:t>
      </w:r>
    </w:p>
    <w:p w14:paraId="57FFF16B">
      <w:pPr>
        <w:autoSpaceDE w:val="0"/>
        <w:autoSpaceDN w:val="0"/>
        <w:adjustRightInd w:val="0"/>
        <w:spacing w:line="24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176F2451">
      <w:pPr>
        <w:autoSpaceDE w:val="0"/>
        <w:autoSpaceDN w:val="0"/>
        <w:adjustRightInd w:val="0"/>
        <w:spacing w:line="24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14:paraId="153440C2">
      <w:pPr>
        <w:autoSpaceDE w:val="0"/>
        <w:autoSpaceDN w:val="0"/>
        <w:adjustRightInd w:val="0"/>
        <w:spacing w:line="240" w:lineRule="auto"/>
        <w:outlineLvl w:val="9"/>
        <w:rPr>
          <w:rFonts w:hint="eastAsia" w:ascii="宋体" w:hAnsi="宋体" w:eastAsia="宋体" w:cs="宋体"/>
          <w:sz w:val="24"/>
          <w:highlight w:val="none"/>
        </w:rPr>
      </w:pPr>
      <w:r>
        <w:rPr>
          <w:rFonts w:hint="eastAsia" w:ascii="宋体" w:hAnsi="宋体" w:eastAsia="宋体" w:cs="宋体"/>
          <w:sz w:val="24"/>
          <w:highlight w:val="none"/>
        </w:rPr>
        <w:t>开户账号：</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开户账号：</w:t>
      </w:r>
    </w:p>
    <w:p w14:paraId="0C00F097">
      <w:pPr>
        <w:pStyle w:val="68"/>
        <w:spacing w:line="240" w:lineRule="auto"/>
        <w:ind w:firstLine="200"/>
        <w:jc w:val="center"/>
        <w:outlineLvl w:val="9"/>
        <w:rPr>
          <w:rFonts w:hint="eastAsia" w:ascii="宋体" w:hAnsi="宋体" w:eastAsia="宋体" w:cs="宋体"/>
          <w:b/>
          <w:szCs w:val="24"/>
          <w:highlight w:val="none"/>
        </w:rPr>
      </w:pPr>
      <w:bookmarkStart w:id="409" w:name="_Toc331685783"/>
      <w:r>
        <w:rPr>
          <w:rFonts w:hint="eastAsia" w:ascii="宋体" w:hAnsi="宋体" w:eastAsia="宋体" w:cs="宋体"/>
          <w:b/>
          <w:szCs w:val="24"/>
          <w:highlight w:val="none"/>
        </w:rPr>
        <w:t>第二部分 合同一般条款</w:t>
      </w:r>
      <w:bookmarkEnd w:id="409"/>
    </w:p>
    <w:p w14:paraId="3DAAA364">
      <w:pPr>
        <w:spacing w:line="240" w:lineRule="auto"/>
        <w:ind w:firstLine="482" w:firstLineChars="200"/>
        <w:outlineLvl w:val="9"/>
        <w:rPr>
          <w:rFonts w:hint="eastAsia" w:ascii="宋体" w:hAnsi="宋体" w:eastAsia="宋体" w:cs="宋体"/>
          <w:b/>
          <w:sz w:val="24"/>
          <w:highlight w:val="none"/>
        </w:rPr>
      </w:pPr>
      <w:bookmarkStart w:id="410" w:name="_Ref467379109"/>
      <w:bookmarkStart w:id="411" w:name="_Ref467379214"/>
      <w:bookmarkStart w:id="412" w:name="_Toc14021"/>
      <w:bookmarkStart w:id="413" w:name="_Toc487900349"/>
      <w:bookmarkStart w:id="414" w:name="_Ref467379101"/>
      <w:bookmarkStart w:id="415" w:name="_Ref467379205"/>
      <w:bookmarkStart w:id="416" w:name="_Toc11524"/>
      <w:bookmarkStart w:id="417" w:name="_Toc259093669"/>
      <w:bookmarkStart w:id="418" w:name="_Ref467379225"/>
      <w:bookmarkStart w:id="419" w:name="_Toc25079"/>
      <w:bookmarkStart w:id="420" w:name="_Toc15925"/>
      <w:bookmarkStart w:id="421" w:name="_Ref467379094"/>
      <w:bookmarkStart w:id="422" w:name="_Ref467378404"/>
      <w:bookmarkStart w:id="423" w:name="_Ref467378499"/>
      <w:bookmarkStart w:id="424" w:name="_Ref467379195"/>
      <w:bookmarkStart w:id="425" w:name="_Toc5228"/>
      <w:bookmarkStart w:id="426" w:name="_Toc19680"/>
      <w:bookmarkStart w:id="427" w:name="_Ref467378463"/>
      <w:bookmarkStart w:id="428" w:name="_Toc279701240"/>
      <w:bookmarkStart w:id="429" w:name="_Toc31297"/>
      <w:r>
        <w:rPr>
          <w:rFonts w:hint="eastAsia" w:ascii="宋体" w:hAnsi="宋体" w:eastAsia="宋体" w:cs="宋体"/>
          <w:b/>
          <w:sz w:val="24"/>
          <w:highlight w:val="none"/>
        </w:rPr>
        <w:t>2.1 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283DD450">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1DAB7EBD">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2.1.1 “合同”系指采购人和中标供应商签订的载明双方当事人所达成的协议，并包括所有的附件、附录和构成合同的其他文件。</w:t>
      </w:r>
    </w:p>
    <w:p w14:paraId="64C2D95D">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2.1.2 “合同价”系指根据合同约定，中标供应商在完全履行合同义务后，采购人应支付给中标供应商的价格。</w:t>
      </w:r>
    </w:p>
    <w:p w14:paraId="59C169C8">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2.1.3 “服务”系指中标供应商根据合同约定应向采购人履行的除货物和工程以外的其他政府采购对象，包括采购人自身需要的服务和向社会公众提供的公共服务。</w:t>
      </w:r>
    </w:p>
    <w:p w14:paraId="4EC10B42">
      <w:pPr>
        <w:spacing w:line="240" w:lineRule="auto"/>
        <w:ind w:firstLine="480" w:firstLineChars="200"/>
        <w:outlineLvl w:val="9"/>
        <w:rPr>
          <w:rFonts w:hint="eastAsia" w:ascii="宋体" w:hAnsi="宋体" w:eastAsia="宋体" w:cs="宋体"/>
          <w:sz w:val="24"/>
          <w:highlight w:val="none"/>
        </w:rPr>
      </w:pPr>
      <w:bookmarkStart w:id="430" w:name="_Ref467378840"/>
      <w:r>
        <w:rPr>
          <w:rFonts w:hint="eastAsia" w:ascii="宋体" w:hAnsi="宋体" w:eastAsia="宋体" w:cs="宋体"/>
          <w:sz w:val="24"/>
          <w:highlight w:val="none"/>
        </w:rPr>
        <w:t>2.1.4 “甲方”系指与中标供应商签署合同的采购人</w:t>
      </w:r>
      <w:bookmarkEnd w:id="430"/>
      <w:r>
        <w:rPr>
          <w:rFonts w:hint="eastAsia" w:ascii="宋体" w:hAnsi="宋体" w:eastAsia="宋体" w:cs="宋体"/>
          <w:sz w:val="24"/>
          <w:highlight w:val="none"/>
        </w:rPr>
        <w:t>；采购人委托采购代理机构代表其与乙方签订合同的，采购人的授权委托书作为合同附件。</w:t>
      </w:r>
    </w:p>
    <w:p w14:paraId="7CF58C04">
      <w:pPr>
        <w:spacing w:line="240" w:lineRule="auto"/>
        <w:ind w:firstLine="480" w:firstLineChars="200"/>
        <w:outlineLvl w:val="9"/>
        <w:rPr>
          <w:rFonts w:hint="eastAsia" w:ascii="宋体" w:hAnsi="宋体" w:eastAsia="宋体" w:cs="宋体"/>
          <w:sz w:val="24"/>
          <w:highlight w:val="none"/>
        </w:rPr>
      </w:pPr>
      <w:bookmarkStart w:id="431" w:name="_Ref467379400"/>
      <w:r>
        <w:rPr>
          <w:rFonts w:hint="eastAsia" w:ascii="宋体" w:hAnsi="宋体" w:eastAsia="宋体" w:cs="宋体"/>
          <w:sz w:val="24"/>
          <w:highlight w:val="none"/>
        </w:rPr>
        <w:t>2.1.5 “乙方”系指根据合同约定提供服务的中标供应商</w:t>
      </w:r>
      <w:bookmarkEnd w:id="431"/>
      <w:r>
        <w:rPr>
          <w:rFonts w:hint="eastAsia" w:ascii="宋体" w:hAnsi="宋体" w:eastAsia="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D7C313A">
      <w:pPr>
        <w:spacing w:line="240" w:lineRule="auto"/>
        <w:ind w:firstLine="480" w:firstLineChars="200"/>
        <w:outlineLvl w:val="9"/>
        <w:rPr>
          <w:rFonts w:hint="eastAsia" w:ascii="宋体" w:hAnsi="宋体" w:eastAsia="宋体" w:cs="宋体"/>
          <w:sz w:val="24"/>
          <w:highlight w:val="none"/>
        </w:rPr>
      </w:pPr>
      <w:bookmarkStart w:id="432" w:name="_Ref467379436"/>
      <w:r>
        <w:rPr>
          <w:rFonts w:hint="eastAsia" w:ascii="宋体" w:hAnsi="宋体" w:eastAsia="宋体" w:cs="宋体"/>
          <w:sz w:val="24"/>
          <w:highlight w:val="none"/>
        </w:rPr>
        <w:t>2.1.6 “现场”系指合同约定提供服务的地点。</w:t>
      </w:r>
      <w:bookmarkEnd w:id="432"/>
    </w:p>
    <w:p w14:paraId="389D9E9C">
      <w:pPr>
        <w:spacing w:line="240" w:lineRule="auto"/>
        <w:ind w:firstLine="482" w:firstLineChars="200"/>
        <w:outlineLvl w:val="9"/>
        <w:rPr>
          <w:rFonts w:hint="eastAsia" w:ascii="宋体" w:hAnsi="宋体" w:eastAsia="宋体" w:cs="宋体"/>
          <w:b/>
          <w:sz w:val="24"/>
          <w:highlight w:val="none"/>
        </w:rPr>
      </w:pPr>
      <w:bookmarkStart w:id="433" w:name="_Toc23289"/>
      <w:bookmarkStart w:id="434" w:name="_Toc279701241"/>
      <w:bookmarkStart w:id="435" w:name="_Toc259093670"/>
      <w:bookmarkStart w:id="436" w:name="_Toc3769"/>
      <w:bookmarkStart w:id="437" w:name="_Toc31402"/>
      <w:bookmarkStart w:id="438" w:name="_Toc19539"/>
      <w:bookmarkStart w:id="439" w:name="_Toc14406"/>
      <w:bookmarkStart w:id="440" w:name="_Toc493"/>
      <w:bookmarkStart w:id="441" w:name="_Toc487900350"/>
      <w:bookmarkStart w:id="442" w:name="_Toc16752"/>
      <w:r>
        <w:rPr>
          <w:rFonts w:hint="eastAsia" w:ascii="宋体" w:hAnsi="宋体" w:eastAsia="宋体" w:cs="宋体"/>
          <w:b/>
          <w:sz w:val="24"/>
          <w:highlight w:val="none"/>
        </w:rPr>
        <w:t>2.2 技术规范</w:t>
      </w:r>
      <w:bookmarkEnd w:id="433"/>
      <w:bookmarkEnd w:id="434"/>
      <w:bookmarkEnd w:id="435"/>
      <w:bookmarkEnd w:id="436"/>
      <w:bookmarkEnd w:id="437"/>
      <w:bookmarkEnd w:id="438"/>
      <w:bookmarkEnd w:id="439"/>
      <w:bookmarkEnd w:id="440"/>
      <w:bookmarkEnd w:id="441"/>
      <w:bookmarkEnd w:id="442"/>
    </w:p>
    <w:p w14:paraId="7A2195ED">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4895E01">
      <w:pPr>
        <w:spacing w:line="240" w:lineRule="auto"/>
        <w:ind w:firstLine="482" w:firstLineChars="200"/>
        <w:outlineLvl w:val="9"/>
        <w:rPr>
          <w:rFonts w:hint="eastAsia" w:ascii="宋体" w:hAnsi="宋体" w:eastAsia="宋体" w:cs="宋体"/>
          <w:b/>
          <w:sz w:val="24"/>
          <w:highlight w:val="none"/>
        </w:rPr>
      </w:pPr>
      <w:bookmarkStart w:id="443" w:name="_Toc24317"/>
      <w:bookmarkStart w:id="444" w:name="_Toc12412"/>
      <w:bookmarkStart w:id="445" w:name="_Toc9161"/>
      <w:bookmarkStart w:id="446" w:name="_Toc279701242"/>
      <w:bookmarkStart w:id="447" w:name="_Toc27945"/>
      <w:bookmarkStart w:id="448" w:name="_Toc21346"/>
      <w:bookmarkStart w:id="449" w:name="_Toc4133"/>
      <w:bookmarkStart w:id="450" w:name="_Toc259093671"/>
      <w:bookmarkStart w:id="451" w:name="_Toc13673"/>
      <w:bookmarkStart w:id="452" w:name="_Toc487900351"/>
      <w:r>
        <w:rPr>
          <w:rFonts w:hint="eastAsia" w:ascii="宋体" w:hAnsi="宋体" w:eastAsia="宋体" w:cs="宋体"/>
          <w:b/>
          <w:sz w:val="24"/>
          <w:highlight w:val="none"/>
        </w:rPr>
        <w:t>2.3 知识产权</w:t>
      </w:r>
      <w:bookmarkEnd w:id="443"/>
      <w:bookmarkEnd w:id="444"/>
      <w:bookmarkEnd w:id="445"/>
      <w:bookmarkEnd w:id="446"/>
      <w:bookmarkEnd w:id="447"/>
      <w:bookmarkEnd w:id="448"/>
      <w:bookmarkEnd w:id="449"/>
      <w:bookmarkEnd w:id="450"/>
      <w:bookmarkEnd w:id="451"/>
      <w:bookmarkEnd w:id="452"/>
    </w:p>
    <w:p w14:paraId="60BC0496">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EB50837">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2.3.2 合同涉及技术成果的归属和收益的分成办法的，详见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2C4E2545">
      <w:pPr>
        <w:spacing w:line="240" w:lineRule="auto"/>
        <w:ind w:firstLine="482" w:firstLineChars="200"/>
        <w:outlineLvl w:val="9"/>
        <w:rPr>
          <w:rFonts w:hint="eastAsia" w:ascii="宋体" w:hAnsi="宋体" w:eastAsia="宋体" w:cs="宋体"/>
          <w:b/>
          <w:sz w:val="24"/>
          <w:highlight w:val="none"/>
        </w:rPr>
      </w:pPr>
      <w:r>
        <w:rPr>
          <w:rFonts w:hint="eastAsia" w:ascii="宋体" w:hAnsi="宋体" w:eastAsia="宋体" w:cs="宋体"/>
          <w:b/>
          <w:sz w:val="24"/>
          <w:highlight w:val="none"/>
        </w:rPr>
        <w:t>2.4 履约检查和问题反馈</w:t>
      </w:r>
    </w:p>
    <w:p w14:paraId="78AA8361">
      <w:pPr>
        <w:spacing w:line="240" w:lineRule="auto"/>
        <w:ind w:firstLine="480" w:firstLineChars="200"/>
        <w:outlineLvl w:val="9"/>
        <w:rPr>
          <w:rFonts w:hint="eastAsia" w:ascii="宋体" w:hAnsi="宋体" w:eastAsia="宋体" w:cs="宋体"/>
          <w:sz w:val="24"/>
          <w:highlight w:val="none"/>
        </w:rPr>
      </w:pPr>
      <w:bookmarkStart w:id="453" w:name="_Ref467379657"/>
      <w:r>
        <w:rPr>
          <w:rFonts w:hint="eastAsia" w:ascii="宋体" w:hAnsi="宋体" w:eastAsia="宋体" w:cs="宋体"/>
          <w:sz w:val="24"/>
          <w:highlight w:val="none"/>
        </w:rPr>
        <w:t>2.4.1</w:t>
      </w:r>
      <w:bookmarkEnd w:id="453"/>
      <w:bookmarkStart w:id="454" w:name="_Toc186431854"/>
      <w:bookmarkStart w:id="455" w:name="_Ref467379807"/>
      <w:bookmarkStart w:id="456" w:name="_Toc259093676"/>
      <w:bookmarkStart w:id="457" w:name="_Ref467379793"/>
      <w:bookmarkStart w:id="458" w:name="_Toc487900357"/>
      <w:bookmarkStart w:id="459" w:name="_Toc279701247"/>
      <w:r>
        <w:rPr>
          <w:rFonts w:hint="eastAsia" w:ascii="宋体" w:hAnsi="宋体" w:eastAsia="宋体" w:cs="宋体"/>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523EB290">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2.4.2 合同履行期间，甲方有权将履行过程中出现的问题反馈给乙方，双方当事人应以书面形式约定需要完善和改进的内容</w:t>
      </w:r>
      <w:bookmarkEnd w:id="454"/>
      <w:bookmarkStart w:id="460" w:name="_Toc186431855"/>
      <w:r>
        <w:rPr>
          <w:rFonts w:hint="eastAsia" w:ascii="宋体" w:hAnsi="宋体" w:eastAsia="宋体" w:cs="宋体"/>
          <w:sz w:val="24"/>
          <w:highlight w:val="none"/>
        </w:rPr>
        <w:t>。</w:t>
      </w:r>
    </w:p>
    <w:bookmarkEnd w:id="460"/>
    <w:p w14:paraId="6D141DC5">
      <w:pPr>
        <w:spacing w:line="240" w:lineRule="auto"/>
        <w:ind w:firstLine="482" w:firstLineChars="200"/>
        <w:outlineLvl w:val="9"/>
        <w:rPr>
          <w:rFonts w:hint="eastAsia" w:ascii="宋体" w:hAnsi="宋体" w:eastAsia="宋体" w:cs="宋体"/>
          <w:b/>
          <w:sz w:val="24"/>
          <w:highlight w:val="none"/>
        </w:rPr>
      </w:pPr>
      <w:bookmarkStart w:id="461" w:name="_Toc18708"/>
      <w:bookmarkStart w:id="462" w:name="_Toc22011"/>
      <w:bookmarkStart w:id="463" w:name="_Toc26555"/>
      <w:bookmarkStart w:id="464" w:name="_Toc15447"/>
      <w:bookmarkStart w:id="465" w:name="_Toc31233"/>
      <w:bookmarkStart w:id="466" w:name="_Toc32670"/>
      <w:bookmarkStart w:id="467" w:name="_Toc19415"/>
      <w:r>
        <w:rPr>
          <w:rFonts w:hint="eastAsia" w:ascii="宋体" w:hAnsi="宋体" w:eastAsia="宋体" w:cs="宋体"/>
          <w:b/>
          <w:sz w:val="24"/>
          <w:highlight w:val="none"/>
        </w:rPr>
        <w:t>2.5 结算方式和付款条件</w:t>
      </w:r>
      <w:bookmarkEnd w:id="455"/>
      <w:bookmarkEnd w:id="456"/>
      <w:bookmarkEnd w:id="457"/>
      <w:bookmarkEnd w:id="458"/>
      <w:bookmarkEnd w:id="459"/>
      <w:bookmarkEnd w:id="461"/>
      <w:bookmarkEnd w:id="462"/>
      <w:bookmarkEnd w:id="463"/>
      <w:bookmarkEnd w:id="464"/>
      <w:bookmarkEnd w:id="465"/>
      <w:bookmarkEnd w:id="466"/>
      <w:bookmarkEnd w:id="467"/>
    </w:p>
    <w:p w14:paraId="1A4D19A4">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1926B97">
      <w:pPr>
        <w:spacing w:line="240" w:lineRule="auto"/>
        <w:ind w:firstLine="482" w:firstLineChars="200"/>
        <w:outlineLvl w:val="9"/>
        <w:rPr>
          <w:rFonts w:hint="eastAsia" w:ascii="宋体" w:hAnsi="宋体" w:eastAsia="宋体" w:cs="宋体"/>
          <w:b/>
          <w:sz w:val="24"/>
          <w:highlight w:val="none"/>
        </w:rPr>
      </w:pPr>
      <w:bookmarkStart w:id="468" w:name="_Ref467379863"/>
      <w:bookmarkStart w:id="469" w:name="_Toc487900358"/>
      <w:bookmarkStart w:id="470" w:name="_Ref467379852"/>
      <w:bookmarkStart w:id="471" w:name="_Toc259093677"/>
      <w:bookmarkStart w:id="472" w:name="_Toc279701248"/>
      <w:bookmarkStart w:id="473" w:name="_Ref467379923"/>
      <w:bookmarkStart w:id="474" w:name="_Toc18990"/>
      <w:bookmarkStart w:id="475" w:name="_Toc16163"/>
      <w:bookmarkStart w:id="476" w:name="_Toc13154"/>
      <w:bookmarkStart w:id="477" w:name="_Toc17178"/>
      <w:bookmarkStart w:id="478" w:name="_Toc23007"/>
      <w:bookmarkStart w:id="479" w:name="_Toc13467"/>
      <w:bookmarkStart w:id="480" w:name="_Toc30507"/>
      <w:r>
        <w:rPr>
          <w:rFonts w:hint="eastAsia" w:ascii="宋体" w:hAnsi="宋体" w:eastAsia="宋体" w:cs="宋体"/>
          <w:b/>
          <w:sz w:val="24"/>
          <w:highlight w:val="none"/>
        </w:rPr>
        <w:t>2.6 技术资料</w:t>
      </w:r>
      <w:bookmarkEnd w:id="468"/>
      <w:bookmarkEnd w:id="469"/>
      <w:bookmarkEnd w:id="470"/>
      <w:bookmarkEnd w:id="471"/>
      <w:bookmarkEnd w:id="472"/>
      <w:bookmarkEnd w:id="473"/>
      <w:r>
        <w:rPr>
          <w:rFonts w:hint="eastAsia" w:ascii="宋体" w:hAnsi="宋体" w:eastAsia="宋体" w:cs="宋体"/>
          <w:b/>
          <w:sz w:val="24"/>
          <w:highlight w:val="none"/>
        </w:rPr>
        <w:t>和保密义务</w:t>
      </w:r>
      <w:bookmarkEnd w:id="474"/>
      <w:bookmarkEnd w:id="475"/>
      <w:bookmarkEnd w:id="476"/>
      <w:bookmarkEnd w:id="477"/>
      <w:bookmarkEnd w:id="478"/>
      <w:bookmarkEnd w:id="479"/>
      <w:bookmarkEnd w:id="480"/>
    </w:p>
    <w:p w14:paraId="31EA8CD6">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2.6.1 乙方有权依据合同约定和项目需要，向甲方了解有关情况，调阅有关资料等，甲方应予积极配合；</w:t>
      </w:r>
    </w:p>
    <w:p w14:paraId="33FCF781">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2.6.2 乙方有义务妥善保管和保护由甲方提供的前款信息和资料等；</w:t>
      </w:r>
    </w:p>
    <w:p w14:paraId="4089E9AC">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C6E13C">
      <w:pPr>
        <w:spacing w:line="240" w:lineRule="auto"/>
        <w:ind w:firstLine="482" w:firstLineChars="200"/>
        <w:outlineLvl w:val="9"/>
        <w:rPr>
          <w:rFonts w:hint="eastAsia" w:ascii="宋体" w:hAnsi="宋体" w:eastAsia="宋体" w:cs="宋体"/>
          <w:b/>
          <w:sz w:val="24"/>
          <w:highlight w:val="none"/>
        </w:rPr>
      </w:pPr>
      <w:bookmarkStart w:id="481" w:name="_Toc15627"/>
      <w:bookmarkStart w:id="482" w:name="_Toc19069"/>
      <w:bookmarkStart w:id="483" w:name="_Toc1547"/>
      <w:bookmarkStart w:id="484" w:name="_Toc259093681"/>
      <w:bookmarkStart w:id="485" w:name="_Toc487900362"/>
      <w:bookmarkStart w:id="486" w:name="_Toc279701252"/>
      <w:r>
        <w:rPr>
          <w:rFonts w:hint="eastAsia" w:ascii="宋体" w:hAnsi="宋体" w:eastAsia="宋体" w:cs="宋体"/>
          <w:b/>
          <w:sz w:val="24"/>
          <w:highlight w:val="none"/>
        </w:rPr>
        <w:t>2.7 质量保证</w:t>
      </w:r>
      <w:bookmarkEnd w:id="481"/>
      <w:bookmarkEnd w:id="482"/>
      <w:bookmarkEnd w:id="483"/>
    </w:p>
    <w:p w14:paraId="2AB83BB1">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2.7.1 乙方应建立和完善履行合同的内部质量保证体系，并提供相关内部规章制度给甲方，以便甲方进行监督检查；</w:t>
      </w:r>
    </w:p>
    <w:p w14:paraId="516F13D4">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2.7.2 乙方应保证履行合同的人员数量和素质、软件和硬件设备的配置、场地、环境和设施等满足全面履行合同的要求，并应接受甲方的监督检查。</w:t>
      </w:r>
    </w:p>
    <w:p w14:paraId="18C70BF9">
      <w:pPr>
        <w:spacing w:line="240" w:lineRule="auto"/>
        <w:ind w:firstLine="482" w:firstLineChars="200"/>
        <w:outlineLvl w:val="9"/>
        <w:rPr>
          <w:rFonts w:hint="eastAsia" w:ascii="宋体" w:hAnsi="宋体" w:eastAsia="宋体" w:cs="宋体"/>
          <w:b/>
          <w:sz w:val="24"/>
          <w:highlight w:val="none"/>
        </w:rPr>
      </w:pPr>
      <w:bookmarkStart w:id="487" w:name="_Toc20816"/>
      <w:bookmarkStart w:id="488" w:name="_Toc23681"/>
      <w:bookmarkStart w:id="489" w:name="_Toc22267"/>
      <w:r>
        <w:rPr>
          <w:rFonts w:hint="eastAsia" w:ascii="宋体" w:hAnsi="宋体" w:eastAsia="宋体" w:cs="宋体"/>
          <w:b/>
          <w:sz w:val="24"/>
          <w:highlight w:val="none"/>
        </w:rPr>
        <w:t>2.8 延迟</w:t>
      </w:r>
      <w:bookmarkEnd w:id="484"/>
      <w:bookmarkEnd w:id="485"/>
      <w:bookmarkEnd w:id="486"/>
      <w:r>
        <w:rPr>
          <w:rFonts w:hint="eastAsia" w:ascii="宋体" w:hAnsi="宋体" w:eastAsia="宋体" w:cs="宋体"/>
          <w:b/>
          <w:sz w:val="24"/>
          <w:highlight w:val="none"/>
        </w:rPr>
        <w:t>履行</w:t>
      </w:r>
      <w:bookmarkEnd w:id="487"/>
      <w:bookmarkEnd w:id="488"/>
      <w:bookmarkEnd w:id="489"/>
    </w:p>
    <w:p w14:paraId="57B44737">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57166F3">
      <w:pPr>
        <w:spacing w:line="240" w:lineRule="auto"/>
        <w:ind w:firstLine="482" w:firstLineChars="200"/>
        <w:outlineLvl w:val="9"/>
        <w:rPr>
          <w:rFonts w:hint="eastAsia" w:ascii="宋体" w:hAnsi="宋体" w:eastAsia="宋体" w:cs="宋体"/>
          <w:b/>
          <w:sz w:val="24"/>
          <w:highlight w:val="none"/>
        </w:rPr>
      </w:pPr>
      <w:bookmarkStart w:id="490" w:name="_Toc28403"/>
      <w:bookmarkStart w:id="491" w:name="_Toc10611"/>
      <w:bookmarkStart w:id="492" w:name="_Toc8149"/>
      <w:bookmarkStart w:id="493" w:name="_Toc279701254"/>
      <w:bookmarkStart w:id="494" w:name="_Toc487900364"/>
      <w:bookmarkStart w:id="495" w:name="_Ref467378121"/>
      <w:bookmarkStart w:id="496" w:name="_Toc259093683"/>
      <w:r>
        <w:rPr>
          <w:rFonts w:hint="eastAsia" w:ascii="宋体" w:hAnsi="宋体" w:eastAsia="宋体" w:cs="宋体"/>
          <w:b/>
          <w:sz w:val="24"/>
          <w:highlight w:val="none"/>
        </w:rPr>
        <w:t>2.9 合同变更</w:t>
      </w:r>
      <w:bookmarkEnd w:id="490"/>
      <w:bookmarkEnd w:id="491"/>
      <w:bookmarkEnd w:id="492"/>
    </w:p>
    <w:p w14:paraId="1B8A8E36">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7D584E90">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2.9.2 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79701259"/>
      <w:bookmarkStart w:id="499" w:name="_Toc259093688"/>
    </w:p>
    <w:p w14:paraId="513CD230">
      <w:pPr>
        <w:spacing w:line="240" w:lineRule="auto"/>
        <w:ind w:firstLine="482" w:firstLineChars="200"/>
        <w:outlineLvl w:val="9"/>
        <w:rPr>
          <w:rFonts w:hint="eastAsia" w:ascii="宋体" w:hAnsi="宋体" w:eastAsia="宋体" w:cs="宋体"/>
          <w:b/>
          <w:sz w:val="24"/>
          <w:highlight w:val="none"/>
        </w:rPr>
      </w:pPr>
      <w:bookmarkStart w:id="500" w:name="_Toc23368"/>
      <w:bookmarkStart w:id="501" w:name="_Toc1083"/>
      <w:bookmarkStart w:id="502" w:name="_Toc23311"/>
      <w:bookmarkStart w:id="503" w:name="_Toc42"/>
      <w:bookmarkStart w:id="504" w:name="_Toc10663"/>
      <w:bookmarkStart w:id="505" w:name="_Toc21830"/>
      <w:bookmarkStart w:id="506" w:name="_Toc26689"/>
      <w:r>
        <w:rPr>
          <w:rFonts w:hint="eastAsia" w:ascii="宋体" w:hAnsi="宋体" w:eastAsia="宋体" w:cs="宋体"/>
          <w:b/>
          <w:sz w:val="24"/>
          <w:highlight w:val="none"/>
        </w:rPr>
        <w:t>2.10 合同转让</w:t>
      </w:r>
      <w:bookmarkEnd w:id="497"/>
      <w:bookmarkEnd w:id="498"/>
      <w:bookmarkEnd w:id="499"/>
      <w:r>
        <w:rPr>
          <w:rFonts w:hint="eastAsia" w:ascii="宋体" w:hAnsi="宋体" w:eastAsia="宋体" w:cs="宋体"/>
          <w:b/>
          <w:sz w:val="24"/>
          <w:highlight w:val="none"/>
        </w:rPr>
        <w:t>和分包</w:t>
      </w:r>
      <w:bookmarkEnd w:id="500"/>
      <w:bookmarkEnd w:id="501"/>
      <w:bookmarkEnd w:id="502"/>
      <w:bookmarkEnd w:id="503"/>
      <w:bookmarkEnd w:id="504"/>
      <w:bookmarkEnd w:id="505"/>
      <w:bookmarkEnd w:id="506"/>
    </w:p>
    <w:p w14:paraId="11B71955">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78CA94">
      <w:pPr>
        <w:spacing w:line="240" w:lineRule="auto"/>
        <w:ind w:firstLine="482" w:firstLineChars="200"/>
        <w:outlineLvl w:val="9"/>
        <w:rPr>
          <w:rFonts w:hint="eastAsia" w:ascii="宋体" w:hAnsi="宋体" w:eastAsia="宋体" w:cs="宋体"/>
          <w:b/>
          <w:sz w:val="24"/>
          <w:highlight w:val="none"/>
        </w:rPr>
      </w:pPr>
      <w:bookmarkStart w:id="507" w:name="_Toc4720"/>
      <w:bookmarkStart w:id="508" w:name="_Toc14371"/>
      <w:bookmarkStart w:id="509" w:name="_Toc32494"/>
      <w:bookmarkStart w:id="510" w:name="_Toc15764"/>
      <w:bookmarkStart w:id="511" w:name="_Toc25571"/>
      <w:bookmarkStart w:id="512" w:name="_Toc26633"/>
      <w:bookmarkStart w:id="513" w:name="_Toc20827"/>
      <w:r>
        <w:rPr>
          <w:rFonts w:hint="eastAsia" w:ascii="宋体" w:hAnsi="宋体" w:eastAsia="宋体" w:cs="宋体"/>
          <w:b/>
          <w:sz w:val="24"/>
          <w:highlight w:val="none"/>
        </w:rPr>
        <w:t>2.11 不可抗力</w:t>
      </w:r>
      <w:bookmarkEnd w:id="507"/>
      <w:bookmarkEnd w:id="508"/>
      <w:bookmarkEnd w:id="509"/>
      <w:bookmarkEnd w:id="510"/>
      <w:bookmarkEnd w:id="511"/>
      <w:bookmarkEnd w:id="512"/>
      <w:bookmarkEnd w:id="513"/>
    </w:p>
    <w:p w14:paraId="5DDB3058">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2.11.1如果任何一方遭遇法律规定的不可抗力，致使合同履行受阻时，履行合同的期限应予延长，延长的期限应相当于不可抗力所影响的时间；</w:t>
      </w:r>
    </w:p>
    <w:p w14:paraId="5D405C3B">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2.11.2 因不可抗力致使不能实现合同目的的，当事人可以解除合同；</w:t>
      </w:r>
    </w:p>
    <w:p w14:paraId="673E8E32">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2.11.3 因不可抗力致使合同有变更必要的，双方当事人应在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约定时间内以书面形式变更合同；</w:t>
      </w:r>
    </w:p>
    <w:p w14:paraId="1E050D83">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2.11.4受不可抗力影响的一方在不可抗力发生后，应在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约定时间内以书面形式通知对方当事人，并在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约定时间内，将有关部门出具的证明文件送达对方当事人。</w:t>
      </w:r>
    </w:p>
    <w:p w14:paraId="562DFDC8">
      <w:pPr>
        <w:spacing w:line="240" w:lineRule="auto"/>
        <w:ind w:firstLine="482" w:firstLineChars="200"/>
        <w:outlineLvl w:val="9"/>
        <w:rPr>
          <w:rFonts w:hint="eastAsia" w:ascii="宋体" w:hAnsi="宋体" w:eastAsia="宋体" w:cs="宋体"/>
          <w:b/>
          <w:sz w:val="24"/>
          <w:highlight w:val="none"/>
        </w:rPr>
      </w:pPr>
      <w:bookmarkStart w:id="514" w:name="_Toc279701255"/>
      <w:bookmarkStart w:id="515" w:name="_Toc14115"/>
      <w:bookmarkStart w:id="516" w:name="_Toc24465"/>
      <w:bookmarkStart w:id="517" w:name="_Toc11756"/>
      <w:bookmarkStart w:id="518" w:name="_Toc487900365"/>
      <w:bookmarkStart w:id="519" w:name="_Toc25783"/>
      <w:bookmarkStart w:id="520" w:name="_Toc23854"/>
      <w:bookmarkStart w:id="521" w:name="_Toc31862"/>
      <w:bookmarkStart w:id="522" w:name="_Toc259093684"/>
      <w:bookmarkStart w:id="523" w:name="_Toc3638"/>
      <w:r>
        <w:rPr>
          <w:rFonts w:hint="eastAsia" w:ascii="宋体" w:hAnsi="宋体" w:eastAsia="宋体" w:cs="宋体"/>
          <w:b/>
          <w:sz w:val="24"/>
          <w:highlight w:val="none"/>
        </w:rPr>
        <w:t>2.12 税费</w:t>
      </w:r>
      <w:bookmarkEnd w:id="514"/>
      <w:bookmarkEnd w:id="515"/>
      <w:bookmarkEnd w:id="516"/>
      <w:bookmarkEnd w:id="517"/>
      <w:bookmarkEnd w:id="518"/>
      <w:bookmarkEnd w:id="519"/>
      <w:bookmarkEnd w:id="520"/>
      <w:bookmarkEnd w:id="521"/>
      <w:bookmarkEnd w:id="522"/>
      <w:bookmarkEnd w:id="523"/>
    </w:p>
    <w:p w14:paraId="6085B492">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与合同有关的一切税费，均按照中华人民共和国法律的相关规定缴纳。</w:t>
      </w:r>
    </w:p>
    <w:p w14:paraId="6256D934">
      <w:pPr>
        <w:spacing w:line="240" w:lineRule="auto"/>
        <w:ind w:firstLine="482" w:firstLineChars="200"/>
        <w:outlineLvl w:val="9"/>
        <w:rPr>
          <w:rFonts w:hint="eastAsia" w:ascii="宋体" w:hAnsi="宋体" w:eastAsia="宋体" w:cs="宋体"/>
          <w:b/>
          <w:sz w:val="24"/>
          <w:highlight w:val="none"/>
        </w:rPr>
      </w:pPr>
      <w:bookmarkStart w:id="524" w:name="_Toc259093687"/>
      <w:bookmarkStart w:id="525" w:name="_Toc30105"/>
      <w:bookmarkStart w:id="526" w:name="_Toc26883"/>
      <w:bookmarkStart w:id="527" w:name="_Toc25525"/>
      <w:bookmarkStart w:id="528" w:name="_Toc14814"/>
      <w:bookmarkStart w:id="529" w:name="_Toc487900368"/>
      <w:bookmarkStart w:id="530" w:name="_Toc32612"/>
      <w:bookmarkStart w:id="531" w:name="_Toc12256"/>
      <w:bookmarkStart w:id="532" w:name="_Toc279701258"/>
      <w:bookmarkStart w:id="533" w:name="_Toc7315"/>
      <w:r>
        <w:rPr>
          <w:rFonts w:hint="eastAsia" w:ascii="宋体" w:hAnsi="宋体" w:eastAsia="宋体" w:cs="宋体"/>
          <w:b/>
          <w:sz w:val="24"/>
          <w:highlight w:val="none"/>
        </w:rPr>
        <w:t>2.13 乙方破产</w:t>
      </w:r>
      <w:bookmarkEnd w:id="524"/>
      <w:bookmarkEnd w:id="525"/>
      <w:bookmarkEnd w:id="526"/>
      <w:bookmarkEnd w:id="527"/>
      <w:bookmarkEnd w:id="528"/>
      <w:bookmarkEnd w:id="529"/>
      <w:bookmarkEnd w:id="530"/>
      <w:bookmarkEnd w:id="531"/>
      <w:bookmarkEnd w:id="532"/>
      <w:bookmarkEnd w:id="533"/>
    </w:p>
    <w:p w14:paraId="0496DA31">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07EEE71">
      <w:pPr>
        <w:spacing w:line="240" w:lineRule="auto"/>
        <w:ind w:firstLine="482" w:firstLineChars="200"/>
        <w:outlineLvl w:val="9"/>
        <w:rPr>
          <w:rFonts w:hint="eastAsia" w:ascii="宋体" w:hAnsi="宋体" w:eastAsia="宋体" w:cs="宋体"/>
          <w:b/>
          <w:sz w:val="24"/>
          <w:highlight w:val="none"/>
        </w:rPr>
      </w:pPr>
      <w:bookmarkStart w:id="534" w:name="_Toc23323"/>
      <w:bookmarkStart w:id="535" w:name="_Toc8449"/>
      <w:bookmarkStart w:id="536" w:name="_Toc1123"/>
      <w:bookmarkStart w:id="537" w:name="_Toc2016"/>
      <w:bookmarkStart w:id="538" w:name="_Toc30413"/>
      <w:r>
        <w:rPr>
          <w:rFonts w:hint="eastAsia" w:ascii="宋体" w:hAnsi="宋体" w:eastAsia="宋体" w:cs="宋体"/>
          <w:b/>
          <w:sz w:val="24"/>
          <w:highlight w:val="none"/>
        </w:rPr>
        <w:t>2.14 合同中止、终止</w:t>
      </w:r>
      <w:bookmarkEnd w:id="534"/>
      <w:bookmarkEnd w:id="535"/>
      <w:bookmarkEnd w:id="536"/>
      <w:bookmarkEnd w:id="537"/>
      <w:bookmarkEnd w:id="538"/>
    </w:p>
    <w:p w14:paraId="33CBFE59">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2.14.1 双方当事人不得擅自中止或者终止合同；</w:t>
      </w:r>
    </w:p>
    <w:p w14:paraId="0FFA008E">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2.14.2合同继续履行将损害国家利益和社会公共利益的，双方当事人应当中止或者终止合同。有过错的一方应当承担赔偿责任，双方当事人都有过错的，各自承担相应的责任。</w:t>
      </w:r>
    </w:p>
    <w:p w14:paraId="477B0D9C">
      <w:pPr>
        <w:spacing w:line="240" w:lineRule="auto"/>
        <w:ind w:firstLine="482" w:firstLineChars="200"/>
        <w:outlineLvl w:val="9"/>
        <w:rPr>
          <w:rFonts w:hint="eastAsia" w:ascii="宋体" w:hAnsi="宋体" w:eastAsia="宋体" w:cs="宋体"/>
          <w:b/>
          <w:sz w:val="24"/>
          <w:highlight w:val="none"/>
        </w:rPr>
      </w:pPr>
      <w:bookmarkStart w:id="539" w:name="_Toc17363"/>
      <w:bookmarkStart w:id="540" w:name="_Toc14525"/>
      <w:bookmarkStart w:id="541" w:name="_Toc22737"/>
      <w:bookmarkStart w:id="542" w:name="_Toc10533"/>
      <w:bookmarkStart w:id="543" w:name="_Toc1969"/>
      <w:r>
        <w:rPr>
          <w:rFonts w:hint="eastAsia" w:ascii="宋体" w:hAnsi="宋体" w:eastAsia="宋体" w:cs="宋体"/>
          <w:b/>
          <w:sz w:val="24"/>
          <w:highlight w:val="none"/>
        </w:rPr>
        <w:t>2.15 检验和验收</w:t>
      </w:r>
      <w:bookmarkEnd w:id="539"/>
      <w:bookmarkEnd w:id="540"/>
      <w:bookmarkEnd w:id="541"/>
      <w:bookmarkEnd w:id="542"/>
      <w:bookmarkEnd w:id="543"/>
    </w:p>
    <w:p w14:paraId="32C4BC6C">
      <w:pPr>
        <w:tabs>
          <w:tab w:val="left" w:pos="360"/>
          <w:tab w:val="left" w:pos="540"/>
          <w:tab w:val="left" w:pos="1080"/>
        </w:tabs>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2.15.1 乙方按照</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的约定，定期提交服务报告，甲方按照</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的约定进行定期验收；</w:t>
      </w:r>
    </w:p>
    <w:p w14:paraId="24EB90E6">
      <w:pPr>
        <w:tabs>
          <w:tab w:val="left" w:pos="360"/>
          <w:tab w:val="left" w:pos="540"/>
          <w:tab w:val="left" w:pos="1080"/>
        </w:tabs>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B6F211">
      <w:pPr>
        <w:tabs>
          <w:tab w:val="left" w:pos="360"/>
          <w:tab w:val="left" w:pos="540"/>
          <w:tab w:val="left" w:pos="1080"/>
        </w:tabs>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2.15.3 检验和验收标准、程序等具体内容以及前述验收书的效力详见</w:t>
      </w:r>
      <w:r>
        <w:rPr>
          <w:rFonts w:hint="eastAsia" w:ascii="宋体" w:hAnsi="宋体" w:eastAsia="宋体" w:cs="宋体"/>
          <w:b/>
          <w:i/>
          <w:sz w:val="24"/>
          <w:highlight w:val="none"/>
          <w:u w:val="single"/>
        </w:rPr>
        <w:t>合同专用条款</w:t>
      </w:r>
      <w:r>
        <w:rPr>
          <w:rFonts w:hint="eastAsia" w:ascii="宋体" w:hAnsi="宋体" w:eastAsia="宋体" w:cs="宋体"/>
          <w:i/>
          <w:sz w:val="24"/>
          <w:highlight w:val="none"/>
        </w:rPr>
        <w:t>。</w:t>
      </w:r>
    </w:p>
    <w:bookmarkEnd w:id="493"/>
    <w:bookmarkEnd w:id="494"/>
    <w:bookmarkEnd w:id="495"/>
    <w:bookmarkEnd w:id="496"/>
    <w:p w14:paraId="648F6C67">
      <w:pPr>
        <w:spacing w:line="240" w:lineRule="auto"/>
        <w:ind w:firstLine="482" w:firstLineChars="200"/>
        <w:outlineLvl w:val="9"/>
        <w:rPr>
          <w:rFonts w:hint="eastAsia" w:ascii="宋体" w:hAnsi="宋体" w:eastAsia="宋体" w:cs="宋体"/>
          <w:b/>
          <w:sz w:val="24"/>
          <w:highlight w:val="none"/>
        </w:rPr>
      </w:pPr>
      <w:bookmarkStart w:id="544" w:name="_Toc259093690"/>
      <w:bookmarkStart w:id="545" w:name="_Toc487900371"/>
      <w:bookmarkStart w:id="546" w:name="_Toc279701261"/>
      <w:bookmarkStart w:id="547" w:name="_Toc12666"/>
      <w:bookmarkStart w:id="548" w:name="_Toc9808"/>
      <w:bookmarkStart w:id="549" w:name="_Toc31892"/>
      <w:bookmarkStart w:id="550" w:name="_Toc15575"/>
      <w:bookmarkStart w:id="551" w:name="_Toc25198"/>
      <w:bookmarkStart w:id="552" w:name="_Toc32562"/>
      <w:bookmarkStart w:id="553" w:name="_Toc2308"/>
      <w:r>
        <w:rPr>
          <w:rFonts w:hint="eastAsia" w:ascii="宋体" w:hAnsi="宋体" w:eastAsia="宋体" w:cs="宋体"/>
          <w:b/>
          <w:sz w:val="24"/>
          <w:highlight w:val="none"/>
        </w:rPr>
        <w:t>2.16 通知</w:t>
      </w:r>
      <w:bookmarkEnd w:id="544"/>
      <w:bookmarkEnd w:id="545"/>
      <w:bookmarkEnd w:id="546"/>
      <w:r>
        <w:rPr>
          <w:rFonts w:hint="eastAsia" w:ascii="宋体" w:hAnsi="宋体" w:eastAsia="宋体" w:cs="宋体"/>
          <w:b/>
          <w:sz w:val="24"/>
          <w:highlight w:val="none"/>
        </w:rPr>
        <w:t>和送达</w:t>
      </w:r>
      <w:bookmarkEnd w:id="547"/>
      <w:bookmarkEnd w:id="548"/>
      <w:bookmarkEnd w:id="549"/>
      <w:bookmarkEnd w:id="550"/>
      <w:bookmarkEnd w:id="551"/>
      <w:bookmarkEnd w:id="552"/>
      <w:bookmarkEnd w:id="553"/>
    </w:p>
    <w:p w14:paraId="720F707F">
      <w:pPr>
        <w:spacing w:line="240" w:lineRule="auto"/>
        <w:ind w:firstLine="480" w:firstLineChars="200"/>
        <w:outlineLvl w:val="9"/>
        <w:rPr>
          <w:rFonts w:hint="eastAsia" w:ascii="宋体" w:hAnsi="宋体" w:eastAsia="宋体" w:cs="宋体"/>
          <w:sz w:val="24"/>
          <w:highlight w:val="none"/>
        </w:rPr>
      </w:pPr>
      <w:bookmarkStart w:id="554" w:name="_Toc7073"/>
      <w:bookmarkStart w:id="555" w:name="_Toc29220"/>
      <w:bookmarkStart w:id="556" w:name="_Toc279701262"/>
      <w:bookmarkStart w:id="557" w:name="_Toc487900372"/>
      <w:bookmarkStart w:id="558" w:name="_Toc259093691"/>
      <w:r>
        <w:rPr>
          <w:rFonts w:hint="eastAsia" w:ascii="宋体" w:hAnsi="宋体" w:eastAsia="宋体" w:cs="宋体"/>
          <w:sz w:val="24"/>
          <w:highlight w:val="none"/>
        </w:rPr>
        <w:t>2.16.1 任何一方因履行合同而以合同第一部分尾部所列明的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发出的所有通知、文件、材料，均视为已向对方当事人送达；任何一方变更上述送达方式或者地址的，应于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bookmarkEnd w:id="554"/>
      <w:bookmarkEnd w:id="555"/>
    </w:p>
    <w:p w14:paraId="069F6AD7">
      <w:pPr>
        <w:spacing w:line="240" w:lineRule="auto"/>
        <w:ind w:firstLine="480" w:firstLineChars="200"/>
        <w:outlineLvl w:val="9"/>
        <w:rPr>
          <w:rFonts w:hint="eastAsia" w:ascii="宋体" w:hAnsi="宋体" w:eastAsia="宋体" w:cs="宋体"/>
          <w:sz w:val="24"/>
          <w:highlight w:val="none"/>
        </w:rPr>
      </w:pPr>
      <w:bookmarkStart w:id="559" w:name="_Toc27674"/>
      <w:bookmarkStart w:id="560" w:name="_Toc18401"/>
      <w:r>
        <w:rPr>
          <w:rFonts w:hint="eastAsia" w:ascii="宋体" w:hAnsi="宋体" w:eastAsia="宋体" w:cs="宋体"/>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9"/>
      <w:bookmarkEnd w:id="560"/>
    </w:p>
    <w:bookmarkEnd w:id="556"/>
    <w:bookmarkEnd w:id="557"/>
    <w:bookmarkEnd w:id="558"/>
    <w:p w14:paraId="63AD8EB8">
      <w:pPr>
        <w:spacing w:line="240" w:lineRule="auto"/>
        <w:ind w:firstLine="482" w:firstLineChars="200"/>
        <w:outlineLvl w:val="9"/>
        <w:rPr>
          <w:rFonts w:hint="eastAsia" w:ascii="宋体" w:hAnsi="宋体" w:eastAsia="宋体" w:cs="宋体"/>
          <w:b/>
          <w:sz w:val="24"/>
          <w:highlight w:val="none"/>
        </w:rPr>
      </w:pPr>
      <w:bookmarkStart w:id="561" w:name="_Toc279701263"/>
      <w:bookmarkStart w:id="562" w:name="_Toc25670"/>
      <w:bookmarkStart w:id="563" w:name="_Toc20808"/>
      <w:bookmarkStart w:id="564" w:name="_Toc28906"/>
      <w:bookmarkStart w:id="565" w:name="_Toc487900373"/>
      <w:bookmarkStart w:id="566" w:name="_Toc27644"/>
      <w:bookmarkStart w:id="567" w:name="_Toc259093692"/>
      <w:bookmarkStart w:id="568" w:name="_Toc12254"/>
      <w:bookmarkStart w:id="569" w:name="_Toc5063"/>
      <w:bookmarkStart w:id="570" w:name="_Toc5198"/>
      <w:r>
        <w:rPr>
          <w:rFonts w:hint="eastAsia" w:ascii="宋体" w:hAnsi="宋体" w:eastAsia="宋体" w:cs="宋体"/>
          <w:b/>
          <w:sz w:val="24"/>
          <w:highlight w:val="none"/>
        </w:rPr>
        <w:t>2.17 合同使用的文字和适用的法律</w:t>
      </w:r>
      <w:bookmarkEnd w:id="561"/>
      <w:bookmarkEnd w:id="562"/>
      <w:bookmarkEnd w:id="563"/>
      <w:bookmarkEnd w:id="564"/>
      <w:bookmarkEnd w:id="565"/>
      <w:bookmarkEnd w:id="566"/>
      <w:bookmarkEnd w:id="567"/>
      <w:bookmarkEnd w:id="568"/>
      <w:bookmarkEnd w:id="569"/>
      <w:bookmarkEnd w:id="570"/>
    </w:p>
    <w:p w14:paraId="222B67E9">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2.17.1 合同使用汉语书就、变更和解释；</w:t>
      </w:r>
    </w:p>
    <w:p w14:paraId="65A59965">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2.17.2 合同适用中华人民共和国法律。</w:t>
      </w:r>
    </w:p>
    <w:p w14:paraId="7A742D69">
      <w:pPr>
        <w:spacing w:line="240" w:lineRule="auto"/>
        <w:ind w:firstLine="482" w:firstLineChars="200"/>
        <w:outlineLvl w:val="9"/>
        <w:rPr>
          <w:rFonts w:hint="eastAsia" w:ascii="宋体" w:hAnsi="宋体" w:eastAsia="宋体" w:cs="宋体"/>
          <w:b/>
          <w:sz w:val="24"/>
          <w:highlight w:val="none"/>
        </w:rPr>
      </w:pPr>
      <w:bookmarkStart w:id="571" w:name="_Toc27403"/>
      <w:bookmarkStart w:id="572" w:name="_Toc27127"/>
      <w:bookmarkStart w:id="573" w:name="_Toc22266"/>
      <w:bookmarkStart w:id="574" w:name="_Toc259093693"/>
      <w:bookmarkStart w:id="575" w:name="_Toc279701264"/>
      <w:bookmarkStart w:id="576" w:name="_Toc30096"/>
      <w:bookmarkStart w:id="577" w:name="_Toc10032"/>
      <w:bookmarkStart w:id="578" w:name="_Toc24153"/>
      <w:bookmarkStart w:id="579" w:name="_Toc1492"/>
      <w:bookmarkStart w:id="580" w:name="_Toc487900374"/>
      <w:r>
        <w:rPr>
          <w:rFonts w:hint="eastAsia" w:ascii="宋体" w:hAnsi="宋体" w:eastAsia="宋体" w:cs="宋体"/>
          <w:b/>
          <w:sz w:val="24"/>
          <w:highlight w:val="none"/>
        </w:rPr>
        <w:t>2.18 履约保证金</w:t>
      </w:r>
      <w:bookmarkEnd w:id="571"/>
      <w:bookmarkEnd w:id="572"/>
      <w:bookmarkEnd w:id="573"/>
      <w:bookmarkEnd w:id="574"/>
      <w:bookmarkEnd w:id="575"/>
      <w:bookmarkEnd w:id="576"/>
      <w:bookmarkEnd w:id="577"/>
      <w:bookmarkEnd w:id="578"/>
      <w:bookmarkEnd w:id="579"/>
    </w:p>
    <w:p w14:paraId="18C6EB1B">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2.18.1 采购文件要求乙方提交履约保证金的，乙方应按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约定的方式，以支票、汇票、本票或者金融机构、担保机构出具的保函等非现金形式，提交不超过合同价10%的履约保证金；</w:t>
      </w:r>
    </w:p>
    <w:p w14:paraId="4AE6A4EE">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2.18.2 履约保证金在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约定期间内不予退还或者应完全有效，前述约定期间届满之日起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个工作日内，甲方应将履约保证金退还乙方；</w:t>
      </w:r>
    </w:p>
    <w:p w14:paraId="579FD489">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80"/>
    <w:p w14:paraId="3B3F7998">
      <w:pPr>
        <w:spacing w:line="240" w:lineRule="auto"/>
        <w:ind w:firstLine="482" w:firstLineChars="200"/>
        <w:outlineLvl w:val="9"/>
        <w:rPr>
          <w:rFonts w:hint="eastAsia" w:ascii="宋体" w:hAnsi="宋体" w:eastAsia="宋体" w:cs="宋体"/>
          <w:b/>
          <w:sz w:val="24"/>
          <w:highlight w:val="none"/>
        </w:rPr>
      </w:pPr>
      <w:r>
        <w:rPr>
          <w:rFonts w:hint="eastAsia" w:ascii="宋体" w:hAnsi="宋体" w:eastAsia="宋体" w:cs="宋体"/>
          <w:b/>
          <w:sz w:val="24"/>
          <w:highlight w:val="none"/>
        </w:rPr>
        <w:t>2.19 合同份数</w:t>
      </w:r>
    </w:p>
    <w:p w14:paraId="692AA39D">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合同份数按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规定，每份均具有同等法律效力。</w:t>
      </w:r>
    </w:p>
    <w:p w14:paraId="7DBAAC2B">
      <w:pPr>
        <w:pStyle w:val="68"/>
        <w:spacing w:line="240" w:lineRule="auto"/>
        <w:ind w:firstLine="0"/>
        <w:jc w:val="center"/>
        <w:outlineLvl w:val="9"/>
        <w:rPr>
          <w:rFonts w:hint="eastAsia" w:ascii="宋体" w:hAnsi="宋体" w:eastAsia="宋体" w:cs="宋体"/>
          <w:b/>
          <w:szCs w:val="24"/>
          <w:highlight w:val="none"/>
        </w:rPr>
      </w:pPr>
      <w:r>
        <w:rPr>
          <w:rFonts w:hint="eastAsia" w:ascii="宋体" w:hAnsi="宋体" w:eastAsia="宋体" w:cs="宋体"/>
          <w:szCs w:val="24"/>
          <w:highlight w:val="none"/>
        </w:rPr>
        <w:br w:type="page"/>
      </w:r>
      <w:bookmarkStart w:id="581" w:name="_Toc331685784"/>
      <w:r>
        <w:rPr>
          <w:rFonts w:hint="eastAsia" w:ascii="宋体" w:hAnsi="宋体" w:eastAsia="宋体" w:cs="宋体"/>
          <w:b/>
          <w:szCs w:val="24"/>
          <w:highlight w:val="none"/>
        </w:rPr>
        <w:t>第三部分  合同专用条款</w:t>
      </w:r>
      <w:bookmarkEnd w:id="581"/>
    </w:p>
    <w:p w14:paraId="24E931CF">
      <w:pPr>
        <w:spacing w:line="24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8"/>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03"/>
        <w:gridCol w:w="7669"/>
      </w:tblGrid>
      <w:tr w14:paraId="3ACAA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4" w:type="pct"/>
            <w:tcBorders>
              <w:left w:val="single" w:color="auto" w:sz="4" w:space="0"/>
            </w:tcBorders>
            <w:noWrap w:val="0"/>
            <w:vAlign w:val="center"/>
          </w:tcPr>
          <w:p w14:paraId="2CCDE985">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4525" w:type="pct"/>
            <w:noWrap w:val="0"/>
            <w:vAlign w:val="center"/>
          </w:tcPr>
          <w:p w14:paraId="6196EBCA">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b/>
                <w:sz w:val="24"/>
                <w:highlight w:val="none"/>
              </w:rPr>
            </w:pPr>
            <w:r>
              <w:rPr>
                <w:rFonts w:hint="eastAsia" w:ascii="宋体" w:hAnsi="宋体" w:eastAsia="宋体" w:cs="宋体"/>
                <w:b/>
                <w:sz w:val="24"/>
                <w:highlight w:val="none"/>
              </w:rPr>
              <w:t>约定内容</w:t>
            </w:r>
          </w:p>
        </w:tc>
      </w:tr>
      <w:tr w14:paraId="1487B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4" w:type="pct"/>
            <w:tcBorders>
              <w:left w:val="single" w:color="auto" w:sz="4" w:space="0"/>
            </w:tcBorders>
            <w:noWrap w:val="0"/>
            <w:vAlign w:val="center"/>
          </w:tcPr>
          <w:p w14:paraId="5348DC18">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c>
          <w:tcPr>
            <w:tcW w:w="4525" w:type="pct"/>
            <w:noWrap w:val="0"/>
            <w:vAlign w:val="center"/>
          </w:tcPr>
          <w:p w14:paraId="39FDFD5D">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r>
      <w:tr w14:paraId="41587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noWrap w:val="0"/>
            <w:vAlign w:val="center"/>
          </w:tcPr>
          <w:p w14:paraId="7E30292D">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c>
          <w:tcPr>
            <w:tcW w:w="4525" w:type="pct"/>
            <w:noWrap w:val="0"/>
            <w:vAlign w:val="center"/>
          </w:tcPr>
          <w:p w14:paraId="19657E65">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r>
      <w:tr w14:paraId="6B63F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noWrap w:val="0"/>
            <w:vAlign w:val="center"/>
          </w:tcPr>
          <w:p w14:paraId="5FA54A52">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c>
          <w:tcPr>
            <w:tcW w:w="4525" w:type="pct"/>
            <w:noWrap w:val="0"/>
            <w:vAlign w:val="center"/>
          </w:tcPr>
          <w:p w14:paraId="2B17F571">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r>
      <w:tr w14:paraId="2A3D6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noWrap w:val="0"/>
            <w:vAlign w:val="center"/>
          </w:tcPr>
          <w:p w14:paraId="0FFF3F1B">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c>
          <w:tcPr>
            <w:tcW w:w="4525" w:type="pct"/>
            <w:noWrap w:val="0"/>
            <w:vAlign w:val="center"/>
          </w:tcPr>
          <w:p w14:paraId="69FECF3E">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r>
      <w:tr w14:paraId="4C266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noWrap w:val="0"/>
            <w:vAlign w:val="center"/>
          </w:tcPr>
          <w:p w14:paraId="69EBEF19">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c>
          <w:tcPr>
            <w:tcW w:w="4525" w:type="pct"/>
            <w:noWrap w:val="0"/>
            <w:vAlign w:val="center"/>
          </w:tcPr>
          <w:p w14:paraId="2ACF80AA">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u w:val="single"/>
              </w:rPr>
            </w:pPr>
          </w:p>
        </w:tc>
      </w:tr>
      <w:tr w14:paraId="7CB6A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noWrap w:val="0"/>
            <w:vAlign w:val="center"/>
          </w:tcPr>
          <w:p w14:paraId="673A8088">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c>
          <w:tcPr>
            <w:tcW w:w="4525" w:type="pct"/>
            <w:noWrap w:val="0"/>
            <w:vAlign w:val="center"/>
          </w:tcPr>
          <w:p w14:paraId="4FDBC337">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r>
      <w:tr w14:paraId="07984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noWrap w:val="0"/>
            <w:vAlign w:val="center"/>
          </w:tcPr>
          <w:p w14:paraId="59824C93">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c>
          <w:tcPr>
            <w:tcW w:w="4525" w:type="pct"/>
            <w:noWrap w:val="0"/>
            <w:vAlign w:val="center"/>
          </w:tcPr>
          <w:p w14:paraId="29AE9BE5">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u w:val="single"/>
              </w:rPr>
            </w:pPr>
          </w:p>
        </w:tc>
      </w:tr>
      <w:tr w14:paraId="1BED7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noWrap w:val="0"/>
            <w:vAlign w:val="center"/>
          </w:tcPr>
          <w:p w14:paraId="49B760C9">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c>
          <w:tcPr>
            <w:tcW w:w="4525" w:type="pct"/>
            <w:noWrap w:val="0"/>
            <w:vAlign w:val="center"/>
          </w:tcPr>
          <w:p w14:paraId="2E941533">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r>
      <w:tr w14:paraId="60B2A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noWrap w:val="0"/>
            <w:vAlign w:val="center"/>
          </w:tcPr>
          <w:p w14:paraId="1371B0B2">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c>
          <w:tcPr>
            <w:tcW w:w="4525" w:type="pct"/>
            <w:noWrap w:val="0"/>
            <w:vAlign w:val="center"/>
          </w:tcPr>
          <w:p w14:paraId="7E26E5DF">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r>
      <w:tr w14:paraId="4C2C9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noWrap w:val="0"/>
            <w:vAlign w:val="center"/>
          </w:tcPr>
          <w:p w14:paraId="02113400">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c>
          <w:tcPr>
            <w:tcW w:w="4525" w:type="pct"/>
            <w:noWrap w:val="0"/>
            <w:vAlign w:val="center"/>
          </w:tcPr>
          <w:p w14:paraId="6CF27E6A">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r>
      <w:tr w14:paraId="0C28A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noWrap w:val="0"/>
            <w:vAlign w:val="center"/>
          </w:tcPr>
          <w:p w14:paraId="2E1ED459">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c>
          <w:tcPr>
            <w:tcW w:w="4525" w:type="pct"/>
            <w:noWrap w:val="0"/>
            <w:vAlign w:val="center"/>
          </w:tcPr>
          <w:p w14:paraId="3434A0D9">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r>
      <w:tr w14:paraId="60DA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noWrap w:val="0"/>
            <w:vAlign w:val="center"/>
          </w:tcPr>
          <w:p w14:paraId="387CA945">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c>
          <w:tcPr>
            <w:tcW w:w="4525" w:type="pct"/>
            <w:noWrap w:val="0"/>
            <w:vAlign w:val="center"/>
          </w:tcPr>
          <w:p w14:paraId="6982338E">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4"/>
                <w:highlight w:val="none"/>
              </w:rPr>
            </w:pPr>
          </w:p>
        </w:tc>
      </w:tr>
    </w:tbl>
    <w:p w14:paraId="29B7D305">
      <w:pPr>
        <w:spacing w:after="156" w:line="240" w:lineRule="auto"/>
        <w:ind w:firstLine="480"/>
        <w:outlineLvl w:val="9"/>
        <w:rPr>
          <w:rFonts w:hint="eastAsia" w:ascii="宋体" w:hAnsi="宋体" w:eastAsia="宋体" w:cs="宋体"/>
          <w:highlight w:val="none"/>
        </w:rPr>
      </w:pPr>
    </w:p>
    <w:p w14:paraId="7D9E8633">
      <w:pPr>
        <w:spacing w:before="143" w:line="224" w:lineRule="auto"/>
        <w:jc w:val="left"/>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br w:type="page"/>
      </w:r>
      <w:r>
        <w:rPr>
          <w:rFonts w:hint="eastAsia" w:ascii="宋体" w:hAnsi="宋体" w:eastAsia="宋体" w:cs="宋体"/>
          <w:sz w:val="24"/>
          <w:highlight w:val="none"/>
          <w:lang w:val="en-US" w:eastAsia="zh-CN"/>
        </w:rPr>
        <w:t>附件：</w:t>
      </w:r>
    </w:p>
    <w:p w14:paraId="71A13C3F">
      <w:pPr>
        <w:spacing w:before="143" w:line="224" w:lineRule="auto"/>
        <w:ind w:left="3428"/>
        <w:outlineLvl w:val="9"/>
        <w:rPr>
          <w:rFonts w:ascii="宋体" w:hAnsi="宋体" w:eastAsia="宋体" w:cs="宋体"/>
          <w:sz w:val="31"/>
          <w:szCs w:val="31"/>
          <w:highlight w:val="none"/>
        </w:rPr>
      </w:pPr>
      <w:r>
        <w:rPr>
          <w:rFonts w:ascii="宋体" w:hAnsi="宋体" w:eastAsia="宋体" w:cs="宋体"/>
          <w:spacing w:val="8"/>
          <w:sz w:val="31"/>
          <w:szCs w:val="31"/>
          <w:highlight w:val="none"/>
        </w:rPr>
        <w:t>质疑函范</w:t>
      </w:r>
      <w:r>
        <w:rPr>
          <w:rFonts w:ascii="宋体" w:hAnsi="宋体" w:eastAsia="宋体" w:cs="宋体"/>
          <w:spacing w:val="7"/>
          <w:sz w:val="31"/>
          <w:szCs w:val="31"/>
          <w:highlight w:val="none"/>
        </w:rPr>
        <w:t>本</w:t>
      </w:r>
    </w:p>
    <w:p w14:paraId="4FCA29D6">
      <w:pPr>
        <w:spacing w:before="231" w:line="394" w:lineRule="exact"/>
        <w:ind w:left="29"/>
        <w:outlineLvl w:val="9"/>
        <w:rPr>
          <w:rFonts w:ascii="宋体" w:hAnsi="宋体" w:eastAsia="宋体" w:cs="宋体"/>
          <w:sz w:val="23"/>
          <w:szCs w:val="23"/>
          <w:highlight w:val="none"/>
        </w:rPr>
      </w:pPr>
      <w:r>
        <w:rPr>
          <w:rFonts w:ascii="宋体" w:hAnsi="宋体" w:eastAsia="宋体" w:cs="宋体"/>
          <w:spacing w:val="16"/>
          <w:position w:val="2"/>
          <w:sz w:val="23"/>
          <w:szCs w:val="23"/>
          <w:highlight w:val="none"/>
        </w:rPr>
        <w:t>一</w:t>
      </w:r>
      <w:r>
        <w:rPr>
          <w:rFonts w:ascii="宋体" w:hAnsi="宋体" w:eastAsia="宋体" w:cs="宋体"/>
          <w:spacing w:val="8"/>
          <w:position w:val="2"/>
          <w:sz w:val="23"/>
          <w:szCs w:val="23"/>
          <w:highlight w:val="none"/>
        </w:rPr>
        <w:t>、质疑供应商基本信息</w:t>
      </w:r>
    </w:p>
    <w:p w14:paraId="064E0BAE">
      <w:pPr>
        <w:spacing w:before="73" w:line="227" w:lineRule="auto"/>
        <w:ind w:left="26"/>
        <w:outlineLvl w:val="9"/>
        <w:rPr>
          <w:rFonts w:hint="eastAsia" w:ascii="宋体" w:hAnsi="宋体" w:eastAsia="宋体" w:cs="宋体"/>
          <w:sz w:val="23"/>
          <w:szCs w:val="23"/>
          <w:highlight w:val="none"/>
          <w:lang w:eastAsia="zh-CN"/>
        </w:rPr>
      </w:pPr>
      <w:r>
        <w:rPr>
          <w:rFonts w:ascii="宋体" w:hAnsi="宋体" w:eastAsia="宋体" w:cs="宋体"/>
          <w:spacing w:val="9"/>
          <w:sz w:val="23"/>
          <w:szCs w:val="23"/>
          <w:highlight w:val="none"/>
        </w:rPr>
        <w:t>质</w:t>
      </w:r>
      <w:r>
        <w:rPr>
          <w:rFonts w:ascii="宋体" w:hAnsi="宋体" w:eastAsia="宋体" w:cs="宋体"/>
          <w:spacing w:val="8"/>
          <w:sz w:val="23"/>
          <w:szCs w:val="23"/>
          <w:highlight w:val="none"/>
        </w:rPr>
        <w:t>疑供应商：</w:t>
      </w:r>
    </w:p>
    <w:p w14:paraId="2673A67D">
      <w:pPr>
        <w:spacing w:before="183" w:line="227" w:lineRule="auto"/>
        <w:ind w:left="25"/>
        <w:outlineLvl w:val="9"/>
        <w:rPr>
          <w:rFonts w:hint="eastAsia" w:ascii="宋体" w:hAnsi="宋体" w:eastAsia="宋体" w:cs="宋体"/>
          <w:sz w:val="23"/>
          <w:szCs w:val="23"/>
          <w:highlight w:val="none"/>
          <w:lang w:eastAsia="zh-CN"/>
        </w:rPr>
      </w:pPr>
      <w:r>
        <w:rPr>
          <w:rFonts w:ascii="宋体" w:hAnsi="宋体" w:eastAsia="宋体" w:cs="宋体"/>
          <w:spacing w:val="-8"/>
          <w:sz w:val="23"/>
          <w:szCs w:val="23"/>
          <w:highlight w:val="none"/>
        </w:rPr>
        <w:t>地址</w:t>
      </w:r>
      <w:r>
        <w:rPr>
          <w:rFonts w:ascii="宋体" w:hAnsi="宋体" w:eastAsia="宋体" w:cs="宋体"/>
          <w:spacing w:val="-4"/>
          <w:sz w:val="23"/>
          <w:szCs w:val="23"/>
          <w:highlight w:val="none"/>
        </w:rPr>
        <w:t>：邮编：</w:t>
      </w:r>
    </w:p>
    <w:p w14:paraId="35230E0B">
      <w:pPr>
        <w:spacing w:before="184" w:line="230" w:lineRule="auto"/>
        <w:ind w:left="26"/>
        <w:outlineLvl w:val="9"/>
        <w:rPr>
          <w:rFonts w:hint="eastAsia" w:ascii="宋体" w:hAnsi="宋体" w:eastAsia="宋体" w:cs="宋体"/>
          <w:sz w:val="23"/>
          <w:szCs w:val="23"/>
          <w:highlight w:val="none"/>
          <w:lang w:eastAsia="zh-CN"/>
        </w:rPr>
      </w:pPr>
      <w:r>
        <w:rPr>
          <w:rFonts w:ascii="宋体" w:hAnsi="宋体" w:eastAsia="宋体" w:cs="宋体"/>
          <w:spacing w:val="-1"/>
          <w:sz w:val="23"/>
          <w:szCs w:val="23"/>
          <w:highlight w:val="none"/>
        </w:rPr>
        <w:t>联系人：</w:t>
      </w:r>
      <w:r>
        <w:rPr>
          <w:rFonts w:ascii="宋体" w:hAnsi="宋体" w:eastAsia="宋体" w:cs="宋体"/>
          <w:sz w:val="23"/>
          <w:szCs w:val="23"/>
          <w:highlight w:val="none"/>
        </w:rPr>
        <w:t>联系电话：</w:t>
      </w:r>
    </w:p>
    <w:p w14:paraId="44B6AE0B">
      <w:pPr>
        <w:spacing w:before="183" w:line="227" w:lineRule="auto"/>
        <w:ind w:left="24"/>
        <w:outlineLvl w:val="9"/>
        <w:rPr>
          <w:rFonts w:hint="eastAsia" w:ascii="宋体" w:hAnsi="宋体" w:eastAsia="宋体" w:cs="宋体"/>
          <w:sz w:val="23"/>
          <w:szCs w:val="23"/>
          <w:highlight w:val="none"/>
          <w:lang w:eastAsia="zh-CN"/>
        </w:rPr>
      </w:pPr>
      <w:r>
        <w:rPr>
          <w:rFonts w:ascii="宋体" w:hAnsi="宋体" w:eastAsia="宋体" w:cs="宋体"/>
          <w:spacing w:val="9"/>
          <w:sz w:val="23"/>
          <w:szCs w:val="23"/>
          <w:highlight w:val="none"/>
        </w:rPr>
        <w:t>授</w:t>
      </w:r>
      <w:r>
        <w:rPr>
          <w:rFonts w:ascii="宋体" w:hAnsi="宋体" w:eastAsia="宋体" w:cs="宋体"/>
          <w:spacing w:val="8"/>
          <w:sz w:val="23"/>
          <w:szCs w:val="23"/>
          <w:highlight w:val="none"/>
        </w:rPr>
        <w:t>权代表：</w:t>
      </w:r>
    </w:p>
    <w:p w14:paraId="6B7310EC">
      <w:pPr>
        <w:spacing w:before="182" w:line="230" w:lineRule="auto"/>
        <w:ind w:left="26"/>
        <w:outlineLvl w:val="9"/>
        <w:rPr>
          <w:rFonts w:hint="eastAsia" w:ascii="宋体" w:hAnsi="宋体" w:eastAsia="宋体" w:cs="宋体"/>
          <w:sz w:val="23"/>
          <w:szCs w:val="23"/>
          <w:highlight w:val="none"/>
          <w:lang w:eastAsia="zh-CN"/>
        </w:rPr>
      </w:pPr>
      <w:r>
        <w:rPr>
          <w:rFonts w:ascii="宋体" w:hAnsi="宋体" w:eastAsia="宋体" w:cs="宋体"/>
          <w:spacing w:val="8"/>
          <w:sz w:val="23"/>
          <w:szCs w:val="23"/>
          <w:highlight w:val="none"/>
        </w:rPr>
        <w:t>联系电话</w:t>
      </w:r>
      <w:r>
        <w:rPr>
          <w:rFonts w:ascii="宋体" w:hAnsi="宋体" w:eastAsia="宋体" w:cs="宋体"/>
          <w:spacing w:val="7"/>
          <w:sz w:val="23"/>
          <w:szCs w:val="23"/>
          <w:highlight w:val="none"/>
        </w:rPr>
        <w:t>：</w:t>
      </w:r>
    </w:p>
    <w:p w14:paraId="54FC37DA">
      <w:pPr>
        <w:spacing w:before="180" w:line="227" w:lineRule="auto"/>
        <w:ind w:left="25"/>
        <w:outlineLvl w:val="9"/>
        <w:rPr>
          <w:rFonts w:hint="eastAsia" w:ascii="宋体" w:hAnsi="宋体" w:eastAsia="宋体" w:cs="宋体"/>
          <w:sz w:val="23"/>
          <w:szCs w:val="23"/>
          <w:highlight w:val="none"/>
          <w:lang w:eastAsia="zh-CN"/>
        </w:rPr>
      </w:pPr>
      <w:r>
        <w:rPr>
          <w:rFonts w:ascii="宋体" w:hAnsi="宋体" w:eastAsia="宋体" w:cs="宋体"/>
          <w:spacing w:val="-4"/>
          <w:sz w:val="23"/>
          <w:szCs w:val="23"/>
          <w:highlight w:val="none"/>
        </w:rPr>
        <w:t>地址：邮编</w:t>
      </w:r>
      <w:r>
        <w:rPr>
          <w:rFonts w:ascii="宋体" w:hAnsi="宋体" w:eastAsia="宋体" w:cs="宋体"/>
          <w:spacing w:val="-3"/>
          <w:sz w:val="23"/>
          <w:szCs w:val="23"/>
          <w:highlight w:val="none"/>
        </w:rPr>
        <w:t>：</w:t>
      </w:r>
    </w:p>
    <w:p w14:paraId="4F6515A1">
      <w:pPr>
        <w:spacing w:before="184" w:line="314" w:lineRule="exact"/>
        <w:ind w:left="29"/>
        <w:outlineLvl w:val="9"/>
        <w:rPr>
          <w:rFonts w:ascii="宋体" w:hAnsi="宋体" w:eastAsia="宋体" w:cs="宋体"/>
          <w:sz w:val="23"/>
          <w:szCs w:val="23"/>
          <w:highlight w:val="none"/>
        </w:rPr>
      </w:pPr>
      <w:r>
        <w:rPr>
          <w:rFonts w:ascii="宋体" w:hAnsi="宋体" w:eastAsia="宋体" w:cs="宋体"/>
          <w:spacing w:val="14"/>
          <w:position w:val="1"/>
          <w:sz w:val="23"/>
          <w:szCs w:val="23"/>
          <w:highlight w:val="none"/>
        </w:rPr>
        <w:t>二</w:t>
      </w:r>
      <w:r>
        <w:rPr>
          <w:rFonts w:ascii="宋体" w:hAnsi="宋体" w:eastAsia="宋体" w:cs="宋体"/>
          <w:spacing w:val="8"/>
          <w:position w:val="1"/>
          <w:sz w:val="23"/>
          <w:szCs w:val="23"/>
          <w:highlight w:val="none"/>
        </w:rPr>
        <w:t>、质疑项目基本情况</w:t>
      </w:r>
    </w:p>
    <w:p w14:paraId="78929058">
      <w:pPr>
        <w:spacing w:before="155" w:line="228" w:lineRule="auto"/>
        <w:ind w:left="26"/>
        <w:outlineLvl w:val="9"/>
        <w:rPr>
          <w:rFonts w:hint="eastAsia" w:ascii="宋体" w:hAnsi="宋体" w:eastAsia="宋体" w:cs="宋体"/>
          <w:sz w:val="23"/>
          <w:szCs w:val="23"/>
          <w:highlight w:val="none"/>
          <w:lang w:eastAsia="zh-CN"/>
        </w:rPr>
      </w:pPr>
      <w:r>
        <w:rPr>
          <w:rFonts w:ascii="宋体" w:hAnsi="宋体" w:eastAsia="宋体" w:cs="宋体"/>
          <w:spacing w:val="13"/>
          <w:sz w:val="23"/>
          <w:szCs w:val="23"/>
          <w:highlight w:val="none"/>
        </w:rPr>
        <w:t>质</w:t>
      </w:r>
      <w:r>
        <w:rPr>
          <w:rFonts w:ascii="宋体" w:hAnsi="宋体" w:eastAsia="宋体" w:cs="宋体"/>
          <w:spacing w:val="8"/>
          <w:sz w:val="23"/>
          <w:szCs w:val="23"/>
          <w:highlight w:val="none"/>
        </w:rPr>
        <w:t>疑项目的名称：</w:t>
      </w:r>
    </w:p>
    <w:p w14:paraId="3BA2DD28">
      <w:pPr>
        <w:spacing w:before="181" w:line="227" w:lineRule="auto"/>
        <w:ind w:left="26"/>
        <w:outlineLvl w:val="9"/>
        <w:rPr>
          <w:rFonts w:hint="eastAsia" w:ascii="宋体" w:hAnsi="宋体" w:eastAsia="宋体" w:cs="宋体"/>
          <w:sz w:val="23"/>
          <w:szCs w:val="23"/>
          <w:highlight w:val="none"/>
          <w:lang w:eastAsia="zh-CN"/>
        </w:rPr>
      </w:pPr>
      <w:r>
        <w:rPr>
          <w:rFonts w:ascii="宋体" w:hAnsi="宋体" w:eastAsia="宋体" w:cs="宋体"/>
          <w:spacing w:val="-1"/>
          <w:sz w:val="23"/>
          <w:szCs w:val="23"/>
          <w:highlight w:val="none"/>
        </w:rPr>
        <w:t>质疑项目的编号：</w:t>
      </w:r>
      <w:r>
        <w:rPr>
          <w:rFonts w:ascii="宋体" w:hAnsi="宋体" w:eastAsia="宋体" w:cs="宋体"/>
          <w:sz w:val="23"/>
          <w:szCs w:val="23"/>
          <w:highlight w:val="none"/>
        </w:rPr>
        <w:t>包号：</w:t>
      </w:r>
    </w:p>
    <w:p w14:paraId="607D1A81">
      <w:pPr>
        <w:spacing w:before="185" w:line="227" w:lineRule="auto"/>
        <w:ind w:left="24"/>
        <w:outlineLvl w:val="9"/>
        <w:rPr>
          <w:rFonts w:hint="eastAsia" w:ascii="宋体" w:hAnsi="宋体" w:eastAsia="宋体" w:cs="宋体"/>
          <w:sz w:val="23"/>
          <w:szCs w:val="23"/>
          <w:highlight w:val="none"/>
          <w:lang w:eastAsia="zh-CN"/>
        </w:rPr>
      </w:pPr>
      <w:r>
        <w:rPr>
          <w:rFonts w:ascii="宋体" w:hAnsi="宋体" w:eastAsia="宋体" w:cs="宋体"/>
          <w:spacing w:val="11"/>
          <w:sz w:val="23"/>
          <w:szCs w:val="23"/>
          <w:highlight w:val="none"/>
        </w:rPr>
        <w:t>采</w:t>
      </w:r>
      <w:r>
        <w:rPr>
          <w:rFonts w:ascii="宋体" w:hAnsi="宋体" w:eastAsia="宋体" w:cs="宋体"/>
          <w:spacing w:val="8"/>
          <w:sz w:val="23"/>
          <w:szCs w:val="23"/>
          <w:highlight w:val="none"/>
        </w:rPr>
        <w:t>购人名称：</w:t>
      </w:r>
    </w:p>
    <w:p w14:paraId="574A81EB">
      <w:pPr>
        <w:spacing w:before="183" w:line="227" w:lineRule="auto"/>
        <w:ind w:left="24"/>
        <w:outlineLvl w:val="9"/>
        <w:rPr>
          <w:rFonts w:hint="eastAsia" w:ascii="宋体" w:hAnsi="宋体" w:eastAsia="宋体" w:cs="宋体"/>
          <w:sz w:val="23"/>
          <w:szCs w:val="23"/>
          <w:highlight w:val="none"/>
          <w:lang w:eastAsia="zh-CN"/>
        </w:rPr>
      </w:pPr>
      <w:r>
        <w:rPr>
          <w:rFonts w:ascii="宋体" w:hAnsi="宋体" w:eastAsia="宋体" w:cs="宋体"/>
          <w:spacing w:val="9"/>
          <w:sz w:val="23"/>
          <w:szCs w:val="23"/>
          <w:highlight w:val="none"/>
        </w:rPr>
        <w:t>采购文件获取日期：</w:t>
      </w:r>
    </w:p>
    <w:p w14:paraId="315899B8">
      <w:pPr>
        <w:spacing w:before="185" w:line="305" w:lineRule="exact"/>
        <w:ind w:left="25"/>
        <w:outlineLvl w:val="9"/>
        <w:rPr>
          <w:rFonts w:ascii="宋体" w:hAnsi="宋体" w:eastAsia="宋体" w:cs="宋体"/>
          <w:sz w:val="23"/>
          <w:szCs w:val="23"/>
          <w:highlight w:val="none"/>
        </w:rPr>
      </w:pPr>
      <w:r>
        <w:rPr>
          <w:rFonts w:ascii="宋体" w:hAnsi="宋体" w:eastAsia="宋体" w:cs="宋体"/>
          <w:spacing w:val="9"/>
          <w:position w:val="1"/>
          <w:sz w:val="23"/>
          <w:szCs w:val="23"/>
          <w:highlight w:val="none"/>
        </w:rPr>
        <w:t>三、质疑事项具体内容</w:t>
      </w:r>
    </w:p>
    <w:p w14:paraId="41C553D4">
      <w:pPr>
        <w:spacing w:before="161" w:line="228" w:lineRule="auto"/>
        <w:ind w:left="26"/>
        <w:outlineLvl w:val="9"/>
        <w:rPr>
          <w:rFonts w:hint="eastAsia" w:ascii="宋体" w:hAnsi="宋体" w:eastAsia="宋体" w:cs="宋体"/>
          <w:sz w:val="23"/>
          <w:szCs w:val="23"/>
          <w:highlight w:val="none"/>
          <w:lang w:eastAsia="zh-CN"/>
        </w:rPr>
      </w:pPr>
      <w:r>
        <w:rPr>
          <w:rFonts w:ascii="宋体" w:hAnsi="宋体" w:eastAsia="宋体" w:cs="宋体"/>
          <w:spacing w:val="-4"/>
          <w:sz w:val="23"/>
          <w:szCs w:val="23"/>
          <w:highlight w:val="none"/>
        </w:rPr>
        <w:t>质疑</w:t>
      </w:r>
      <w:r>
        <w:rPr>
          <w:rFonts w:ascii="宋体" w:hAnsi="宋体" w:eastAsia="宋体" w:cs="宋体"/>
          <w:spacing w:val="-2"/>
          <w:sz w:val="23"/>
          <w:szCs w:val="23"/>
          <w:highlight w:val="none"/>
        </w:rPr>
        <w:t>事项1：</w:t>
      </w:r>
    </w:p>
    <w:p w14:paraId="0A0786B1">
      <w:pPr>
        <w:spacing w:before="183" w:line="227" w:lineRule="auto"/>
        <w:ind w:left="25"/>
        <w:outlineLvl w:val="9"/>
        <w:rPr>
          <w:rFonts w:hint="eastAsia" w:ascii="宋体" w:hAnsi="宋体" w:eastAsia="宋体" w:cs="宋体"/>
          <w:sz w:val="23"/>
          <w:szCs w:val="23"/>
          <w:highlight w:val="none"/>
          <w:lang w:eastAsia="zh-CN"/>
        </w:rPr>
      </w:pPr>
      <w:r>
        <w:rPr>
          <w:rFonts w:ascii="宋体" w:hAnsi="宋体" w:eastAsia="宋体" w:cs="宋体"/>
          <w:spacing w:val="8"/>
          <w:sz w:val="23"/>
          <w:szCs w:val="23"/>
          <w:highlight w:val="none"/>
        </w:rPr>
        <w:t>事实依据：</w:t>
      </w:r>
    </w:p>
    <w:p w14:paraId="4090E3C3">
      <w:pPr>
        <w:tabs>
          <w:tab w:val="left" w:pos="8415"/>
        </w:tabs>
        <w:spacing w:before="220" w:line="242" w:lineRule="exact"/>
        <w:ind w:left="16"/>
        <w:outlineLvl w:val="9"/>
        <w:rPr>
          <w:rFonts w:ascii="Arial"/>
          <w:sz w:val="21"/>
          <w:highlight w:val="none"/>
        </w:rPr>
      </w:pPr>
      <w:r>
        <w:rPr>
          <w:rFonts w:ascii="Arial" w:hAnsi="Arial" w:eastAsia="Arial" w:cs="Arial"/>
          <w:sz w:val="21"/>
          <w:szCs w:val="21"/>
          <w:highlight w:val="none"/>
          <w:u w:val="single" w:color="auto"/>
        </w:rPr>
        <w:tab/>
      </w:r>
    </w:p>
    <w:p w14:paraId="08B2A9A1">
      <w:pPr>
        <w:spacing w:before="189" w:line="227" w:lineRule="auto"/>
        <w:ind w:left="26"/>
        <w:outlineLvl w:val="9"/>
        <w:rPr>
          <w:rFonts w:hint="eastAsia" w:ascii="宋体" w:hAnsi="宋体" w:eastAsia="宋体" w:cs="宋体"/>
          <w:sz w:val="23"/>
          <w:szCs w:val="23"/>
          <w:highlight w:val="none"/>
          <w:lang w:eastAsia="zh-CN"/>
        </w:rPr>
      </w:pPr>
      <w:r>
        <w:rPr>
          <w:rFonts w:ascii="宋体" w:hAnsi="宋体" w:eastAsia="宋体" w:cs="宋体"/>
          <w:spacing w:val="8"/>
          <w:sz w:val="23"/>
          <w:szCs w:val="23"/>
          <w:highlight w:val="none"/>
        </w:rPr>
        <w:t>法律依据</w:t>
      </w:r>
      <w:r>
        <w:rPr>
          <w:rFonts w:ascii="宋体" w:hAnsi="宋体" w:eastAsia="宋体" w:cs="宋体"/>
          <w:spacing w:val="7"/>
          <w:sz w:val="23"/>
          <w:szCs w:val="23"/>
          <w:highlight w:val="none"/>
        </w:rPr>
        <w:t>：</w:t>
      </w:r>
    </w:p>
    <w:p w14:paraId="6F35F387">
      <w:pPr>
        <w:tabs>
          <w:tab w:val="left" w:pos="8415"/>
        </w:tabs>
        <w:spacing w:before="220" w:line="241" w:lineRule="exact"/>
        <w:ind w:left="16"/>
        <w:outlineLvl w:val="9"/>
        <w:rPr>
          <w:rFonts w:ascii="Arial"/>
          <w:sz w:val="21"/>
          <w:highlight w:val="none"/>
        </w:rPr>
      </w:pPr>
      <w:r>
        <w:rPr>
          <w:rFonts w:ascii="Arial" w:hAnsi="Arial" w:eastAsia="Arial" w:cs="Arial"/>
          <w:sz w:val="21"/>
          <w:szCs w:val="21"/>
          <w:highlight w:val="none"/>
          <w:u w:val="single" w:color="auto"/>
        </w:rPr>
        <w:tab/>
      </w:r>
    </w:p>
    <w:p w14:paraId="561767AD">
      <w:pPr>
        <w:spacing w:before="190" w:line="468" w:lineRule="exact"/>
        <w:ind w:left="26"/>
        <w:outlineLvl w:val="9"/>
        <w:rPr>
          <w:rFonts w:ascii="宋体" w:hAnsi="宋体" w:eastAsia="宋体" w:cs="宋体"/>
          <w:sz w:val="23"/>
          <w:szCs w:val="23"/>
          <w:highlight w:val="none"/>
        </w:rPr>
      </w:pPr>
      <w:r>
        <w:rPr>
          <w:rFonts w:ascii="宋体" w:hAnsi="宋体" w:eastAsia="宋体" w:cs="宋体"/>
          <w:spacing w:val="-4"/>
          <w:position w:val="17"/>
          <w:sz w:val="23"/>
          <w:szCs w:val="23"/>
          <w:highlight w:val="none"/>
        </w:rPr>
        <w:t>质</w:t>
      </w:r>
      <w:r>
        <w:rPr>
          <w:rFonts w:ascii="宋体" w:hAnsi="宋体" w:eastAsia="宋体" w:cs="宋体"/>
          <w:spacing w:val="-2"/>
          <w:position w:val="17"/>
          <w:sz w:val="23"/>
          <w:szCs w:val="23"/>
          <w:highlight w:val="none"/>
        </w:rPr>
        <w:t>疑事项2</w:t>
      </w:r>
    </w:p>
    <w:p w14:paraId="3EA45650">
      <w:pPr>
        <w:spacing w:line="373" w:lineRule="exact"/>
        <w:ind w:left="40"/>
        <w:outlineLvl w:val="9"/>
        <w:rPr>
          <w:rFonts w:ascii="宋体" w:hAnsi="宋体" w:eastAsia="宋体" w:cs="宋体"/>
          <w:sz w:val="23"/>
          <w:szCs w:val="23"/>
          <w:highlight w:val="none"/>
        </w:rPr>
      </w:pPr>
      <w:r>
        <w:rPr>
          <w:rFonts w:ascii="宋体" w:hAnsi="宋体" w:eastAsia="宋体" w:cs="宋体"/>
          <w:spacing w:val="5"/>
          <w:position w:val="3"/>
          <w:sz w:val="23"/>
          <w:szCs w:val="23"/>
          <w:highlight w:val="none"/>
        </w:rPr>
        <w:t>……</w:t>
      </w:r>
    </w:p>
    <w:p w14:paraId="4E17C2C2">
      <w:pPr>
        <w:spacing w:before="93" w:line="230" w:lineRule="auto"/>
        <w:ind w:left="48"/>
        <w:outlineLvl w:val="9"/>
        <w:rPr>
          <w:rFonts w:ascii="宋体" w:hAnsi="宋体" w:eastAsia="宋体" w:cs="宋体"/>
          <w:sz w:val="23"/>
          <w:szCs w:val="23"/>
          <w:highlight w:val="none"/>
        </w:rPr>
      </w:pPr>
      <w:r>
        <w:rPr>
          <w:rFonts w:ascii="宋体" w:hAnsi="宋体" w:eastAsia="宋体" w:cs="宋体"/>
          <w:spacing w:val="14"/>
          <w:sz w:val="23"/>
          <w:szCs w:val="23"/>
          <w:highlight w:val="none"/>
        </w:rPr>
        <w:t>四</w:t>
      </w:r>
      <w:r>
        <w:rPr>
          <w:rFonts w:ascii="宋体" w:hAnsi="宋体" w:eastAsia="宋体" w:cs="宋体"/>
          <w:spacing w:val="10"/>
          <w:sz w:val="23"/>
          <w:szCs w:val="23"/>
          <w:highlight w:val="none"/>
        </w:rPr>
        <w:t>、</w:t>
      </w:r>
      <w:r>
        <w:rPr>
          <w:rFonts w:ascii="宋体" w:hAnsi="宋体" w:eastAsia="宋体" w:cs="宋体"/>
          <w:spacing w:val="7"/>
          <w:sz w:val="23"/>
          <w:szCs w:val="23"/>
          <w:highlight w:val="none"/>
        </w:rPr>
        <w:t>与质疑事项相关的质疑请求</w:t>
      </w:r>
    </w:p>
    <w:p w14:paraId="240CBE86">
      <w:pPr>
        <w:tabs>
          <w:tab w:val="right" w:leader="dot" w:pos="8415"/>
        </w:tabs>
        <w:spacing w:before="179" w:line="228" w:lineRule="auto"/>
        <w:ind w:left="23"/>
        <w:outlineLvl w:val="9"/>
        <w:rPr>
          <w:rFonts w:ascii="宋体" w:hAnsi="宋体" w:eastAsia="宋体" w:cs="宋体"/>
          <w:sz w:val="23"/>
          <w:szCs w:val="23"/>
          <w:highlight w:val="none"/>
        </w:rPr>
      </w:pPr>
      <w:r>
        <w:rPr>
          <w:rFonts w:ascii="宋体" w:hAnsi="宋体" w:eastAsia="宋体" w:cs="宋体"/>
          <w:spacing w:val="-20"/>
          <w:w w:val="86"/>
          <w:sz w:val="23"/>
          <w:szCs w:val="23"/>
          <w:highlight w:val="none"/>
        </w:rPr>
        <w:t>请求：</w:t>
      </w:r>
      <w:r>
        <w:rPr>
          <w:rFonts w:ascii="宋体" w:hAnsi="宋体" w:eastAsia="宋体" w:cs="宋体"/>
          <w:sz w:val="23"/>
          <w:szCs w:val="23"/>
          <w:highlight w:val="none"/>
        </w:rPr>
        <w:tab/>
      </w:r>
    </w:p>
    <w:p w14:paraId="7B15F282">
      <w:pPr>
        <w:spacing w:before="183" w:line="227" w:lineRule="auto"/>
        <w:ind w:left="25"/>
        <w:outlineLvl w:val="9"/>
        <w:rPr>
          <w:rFonts w:ascii="宋体" w:hAnsi="宋体" w:eastAsia="宋体" w:cs="宋体"/>
          <w:sz w:val="23"/>
          <w:szCs w:val="23"/>
          <w:highlight w:val="none"/>
        </w:rPr>
      </w:pPr>
      <w:r>
        <w:rPr>
          <w:rFonts w:ascii="宋体" w:hAnsi="宋体" w:eastAsia="宋体" w:cs="宋体"/>
          <w:spacing w:val="-4"/>
          <w:sz w:val="23"/>
          <w:szCs w:val="23"/>
          <w:highlight w:val="none"/>
        </w:rPr>
        <w:t>签</w:t>
      </w:r>
      <w:r>
        <w:rPr>
          <w:rFonts w:ascii="宋体" w:hAnsi="宋体" w:eastAsia="宋体" w:cs="宋体"/>
          <w:spacing w:val="-3"/>
          <w:sz w:val="23"/>
          <w:szCs w:val="23"/>
          <w:highlight w:val="none"/>
        </w:rPr>
        <w:t>字</w:t>
      </w:r>
      <w:r>
        <w:rPr>
          <w:rFonts w:ascii="宋体" w:hAnsi="宋体" w:eastAsia="宋体" w:cs="宋体"/>
          <w:spacing w:val="-2"/>
          <w:sz w:val="23"/>
          <w:szCs w:val="23"/>
          <w:highlight w:val="none"/>
        </w:rPr>
        <w:t>(签章)：公章：</w:t>
      </w:r>
    </w:p>
    <w:p w14:paraId="1D176692">
      <w:pPr>
        <w:spacing w:before="184" w:line="228" w:lineRule="auto"/>
        <w:ind w:left="67"/>
        <w:outlineLvl w:val="9"/>
        <w:rPr>
          <w:rFonts w:ascii="宋体" w:hAnsi="宋体" w:eastAsia="宋体" w:cs="宋体"/>
          <w:sz w:val="23"/>
          <w:szCs w:val="23"/>
          <w:highlight w:val="none"/>
        </w:rPr>
      </w:pPr>
      <w:r>
        <w:rPr>
          <w:rFonts w:ascii="宋体" w:hAnsi="宋体" w:eastAsia="宋体" w:cs="宋体"/>
          <w:spacing w:val="-11"/>
          <w:sz w:val="23"/>
          <w:szCs w:val="23"/>
          <w:highlight w:val="none"/>
        </w:rPr>
        <w:t>日</w:t>
      </w:r>
      <w:r>
        <w:rPr>
          <w:rFonts w:ascii="宋体" w:hAnsi="宋体" w:eastAsia="宋体" w:cs="宋体"/>
          <w:spacing w:val="-10"/>
          <w:sz w:val="23"/>
          <w:szCs w:val="23"/>
          <w:highlight w:val="none"/>
        </w:rPr>
        <w:t>期：</w:t>
      </w:r>
    </w:p>
    <w:p w14:paraId="6C51A983">
      <w:pPr>
        <w:spacing w:before="184" w:line="227" w:lineRule="auto"/>
        <w:ind w:left="26"/>
        <w:outlineLvl w:val="9"/>
        <w:rPr>
          <w:rFonts w:ascii="宋体" w:hAnsi="宋体" w:eastAsia="宋体" w:cs="宋体"/>
          <w:sz w:val="23"/>
          <w:szCs w:val="23"/>
          <w:highlight w:val="none"/>
        </w:rPr>
      </w:pPr>
      <w:r>
        <w:rPr>
          <w:rFonts w:ascii="宋体" w:hAnsi="宋体" w:eastAsia="宋体" w:cs="宋体"/>
          <w:spacing w:val="8"/>
          <w:sz w:val="23"/>
          <w:szCs w:val="23"/>
          <w:highlight w:val="none"/>
        </w:rPr>
        <w:t>质疑函制作说明：</w:t>
      </w:r>
    </w:p>
    <w:p w14:paraId="3645D213">
      <w:pPr>
        <w:spacing w:before="185" w:line="310" w:lineRule="exact"/>
        <w:ind w:left="523"/>
        <w:outlineLvl w:val="9"/>
        <w:rPr>
          <w:rFonts w:ascii="宋体" w:hAnsi="宋体" w:eastAsia="宋体" w:cs="宋体"/>
          <w:sz w:val="23"/>
          <w:szCs w:val="23"/>
          <w:highlight w:val="none"/>
        </w:rPr>
      </w:pPr>
      <w:r>
        <w:rPr>
          <w:rFonts w:ascii="宋体" w:hAnsi="宋体" w:eastAsia="宋体" w:cs="宋体"/>
          <w:spacing w:val="12"/>
          <w:position w:val="1"/>
          <w:sz w:val="23"/>
          <w:szCs w:val="23"/>
          <w:highlight w:val="none"/>
        </w:rPr>
        <w:t>1</w:t>
      </w:r>
      <w:r>
        <w:rPr>
          <w:rFonts w:ascii="宋体" w:hAnsi="宋体" w:eastAsia="宋体" w:cs="宋体"/>
          <w:spacing w:val="8"/>
          <w:position w:val="1"/>
          <w:sz w:val="23"/>
          <w:szCs w:val="23"/>
          <w:highlight w:val="none"/>
        </w:rPr>
        <w:t>.供应商提出质疑时，应提交质疑函和必要的证明材料。</w:t>
      </w:r>
    </w:p>
    <w:p w14:paraId="165998BA">
      <w:pPr>
        <w:outlineLvl w:val="9"/>
        <w:rPr>
          <w:highlight w:val="none"/>
        </w:rPr>
        <w:sectPr>
          <w:footerReference r:id="rId21" w:type="default"/>
          <w:pgSz w:w="11906" w:h="16839"/>
          <w:pgMar w:top="1431" w:right="1703" w:bottom="1145" w:left="1785" w:header="0" w:footer="967" w:gutter="0"/>
          <w:pgNumType w:fmt="numberInDash"/>
          <w:cols w:space="720" w:num="1"/>
        </w:sectPr>
      </w:pPr>
    </w:p>
    <w:p w14:paraId="7FB0D8EE">
      <w:pPr>
        <w:spacing w:before="47" w:line="375" w:lineRule="auto"/>
        <w:ind w:left="45" w:firstLine="463"/>
        <w:outlineLvl w:val="9"/>
        <w:rPr>
          <w:rFonts w:ascii="宋体" w:hAnsi="宋体" w:eastAsia="宋体" w:cs="宋体"/>
          <w:sz w:val="23"/>
          <w:szCs w:val="23"/>
          <w:highlight w:val="none"/>
        </w:rPr>
      </w:pPr>
      <w:r>
        <w:rPr>
          <w:rFonts w:ascii="宋体" w:hAnsi="宋体" w:eastAsia="宋体" w:cs="宋体"/>
          <w:spacing w:val="24"/>
          <w:sz w:val="23"/>
          <w:szCs w:val="23"/>
          <w:highlight w:val="none"/>
        </w:rPr>
        <w:t>2.</w:t>
      </w:r>
      <w:r>
        <w:rPr>
          <w:rFonts w:ascii="宋体" w:hAnsi="宋体" w:eastAsia="宋体" w:cs="宋体"/>
          <w:spacing w:val="12"/>
          <w:sz w:val="23"/>
          <w:szCs w:val="23"/>
          <w:highlight w:val="none"/>
        </w:rPr>
        <w:t>质疑供应商若委托代理人进行质疑的，质疑函应按要求列明“授权代表”</w:t>
      </w:r>
      <w:r>
        <w:rPr>
          <w:rFonts w:ascii="宋体" w:hAnsi="宋体" w:eastAsia="宋体" w:cs="宋体"/>
          <w:spacing w:val="14"/>
          <w:sz w:val="23"/>
          <w:szCs w:val="23"/>
          <w:highlight w:val="none"/>
        </w:rPr>
        <w:t>的</w:t>
      </w:r>
      <w:r>
        <w:rPr>
          <w:rFonts w:ascii="宋体" w:hAnsi="宋体" w:eastAsia="宋体" w:cs="宋体"/>
          <w:spacing w:val="9"/>
          <w:sz w:val="23"/>
          <w:szCs w:val="23"/>
          <w:highlight w:val="none"/>
        </w:rPr>
        <w:t>有关内容，并在附件中提交由质疑供应商签署的授权委托书。授权委托书应载</w:t>
      </w:r>
      <w:r>
        <w:rPr>
          <w:rFonts w:ascii="宋体" w:hAnsi="宋体" w:eastAsia="宋体" w:cs="宋体"/>
          <w:spacing w:val="16"/>
          <w:sz w:val="23"/>
          <w:szCs w:val="23"/>
          <w:highlight w:val="none"/>
        </w:rPr>
        <w:t>明代</w:t>
      </w:r>
      <w:r>
        <w:rPr>
          <w:rFonts w:ascii="宋体" w:hAnsi="宋体" w:eastAsia="宋体" w:cs="宋体"/>
          <w:spacing w:val="12"/>
          <w:sz w:val="23"/>
          <w:szCs w:val="23"/>
          <w:highlight w:val="none"/>
        </w:rPr>
        <w:t>理</w:t>
      </w:r>
      <w:r>
        <w:rPr>
          <w:rFonts w:ascii="宋体" w:hAnsi="宋体" w:eastAsia="宋体" w:cs="宋体"/>
          <w:spacing w:val="8"/>
          <w:sz w:val="23"/>
          <w:szCs w:val="23"/>
          <w:highlight w:val="none"/>
        </w:rPr>
        <w:t>人的姓名或者名称、代理事项、具体权限、期限和相关事项。</w:t>
      </w:r>
    </w:p>
    <w:p w14:paraId="3D42020B">
      <w:pPr>
        <w:spacing w:line="308" w:lineRule="exact"/>
        <w:ind w:left="510"/>
        <w:outlineLvl w:val="9"/>
        <w:rPr>
          <w:rFonts w:ascii="宋体" w:hAnsi="宋体" w:eastAsia="宋体" w:cs="宋体"/>
          <w:sz w:val="23"/>
          <w:szCs w:val="23"/>
          <w:highlight w:val="none"/>
        </w:rPr>
      </w:pPr>
      <w:r>
        <w:rPr>
          <w:rFonts w:ascii="宋体" w:hAnsi="宋体" w:eastAsia="宋体" w:cs="宋体"/>
          <w:spacing w:val="9"/>
          <w:position w:val="1"/>
          <w:sz w:val="23"/>
          <w:szCs w:val="23"/>
          <w:highlight w:val="none"/>
        </w:rPr>
        <w:t>3.质疑供应商若对项目的某一分包进行质疑，质疑函中应列明具体分包号</w:t>
      </w:r>
      <w:r>
        <w:rPr>
          <w:rFonts w:ascii="宋体" w:hAnsi="宋体" w:eastAsia="宋体" w:cs="宋体"/>
          <w:spacing w:val="8"/>
          <w:position w:val="1"/>
          <w:sz w:val="23"/>
          <w:szCs w:val="23"/>
          <w:highlight w:val="none"/>
        </w:rPr>
        <w:t>。</w:t>
      </w:r>
    </w:p>
    <w:p w14:paraId="1FF87E5B">
      <w:pPr>
        <w:spacing w:before="157" w:line="310" w:lineRule="exact"/>
        <w:ind w:left="504"/>
        <w:outlineLvl w:val="9"/>
        <w:rPr>
          <w:rFonts w:ascii="宋体" w:hAnsi="宋体" w:eastAsia="宋体" w:cs="宋体"/>
          <w:sz w:val="23"/>
          <w:szCs w:val="23"/>
          <w:highlight w:val="none"/>
        </w:rPr>
      </w:pPr>
      <w:r>
        <w:rPr>
          <w:rFonts w:ascii="宋体" w:hAnsi="宋体" w:eastAsia="宋体" w:cs="宋体"/>
          <w:spacing w:val="12"/>
          <w:position w:val="1"/>
          <w:sz w:val="23"/>
          <w:szCs w:val="23"/>
          <w:highlight w:val="none"/>
        </w:rPr>
        <w:t>4</w:t>
      </w:r>
      <w:r>
        <w:rPr>
          <w:rFonts w:ascii="宋体" w:hAnsi="宋体" w:eastAsia="宋体" w:cs="宋体"/>
          <w:spacing w:val="9"/>
          <w:position w:val="1"/>
          <w:sz w:val="23"/>
          <w:szCs w:val="23"/>
          <w:highlight w:val="none"/>
        </w:rPr>
        <w:t>.质疑函的质疑事项应具体、明确，并有必要的事实依据和法律依据。</w:t>
      </w:r>
    </w:p>
    <w:p w14:paraId="0DDF2473">
      <w:pPr>
        <w:spacing w:before="157" w:line="309" w:lineRule="exact"/>
        <w:ind w:left="510"/>
        <w:outlineLvl w:val="9"/>
        <w:rPr>
          <w:rFonts w:ascii="宋体" w:hAnsi="宋体" w:eastAsia="宋体" w:cs="宋体"/>
          <w:sz w:val="23"/>
          <w:szCs w:val="23"/>
          <w:highlight w:val="none"/>
        </w:rPr>
      </w:pPr>
      <w:r>
        <w:rPr>
          <w:rFonts w:ascii="宋体" w:hAnsi="宋体" w:eastAsia="宋体" w:cs="宋体"/>
          <w:spacing w:val="11"/>
          <w:position w:val="1"/>
          <w:sz w:val="23"/>
          <w:szCs w:val="23"/>
          <w:highlight w:val="none"/>
        </w:rPr>
        <w:t>5</w:t>
      </w:r>
      <w:r>
        <w:rPr>
          <w:rFonts w:ascii="宋体" w:hAnsi="宋体" w:eastAsia="宋体" w:cs="宋体"/>
          <w:spacing w:val="8"/>
          <w:position w:val="1"/>
          <w:sz w:val="23"/>
          <w:szCs w:val="23"/>
          <w:highlight w:val="none"/>
        </w:rPr>
        <w:t>.质疑函的质疑请求应与质疑事项相关。</w:t>
      </w:r>
    </w:p>
    <w:p w14:paraId="7F1B1ABE">
      <w:pPr>
        <w:spacing w:before="156" w:line="381" w:lineRule="auto"/>
        <w:ind w:left="25" w:right="53" w:firstLine="481"/>
        <w:outlineLvl w:val="9"/>
        <w:rPr>
          <w:rFonts w:ascii="宋体" w:hAnsi="宋体" w:eastAsia="宋体" w:cs="宋体"/>
          <w:sz w:val="23"/>
          <w:szCs w:val="23"/>
          <w:highlight w:val="none"/>
        </w:rPr>
      </w:pPr>
      <w:r>
        <w:rPr>
          <w:rFonts w:ascii="宋体" w:hAnsi="宋体" w:eastAsia="宋体" w:cs="宋体"/>
          <w:spacing w:val="18"/>
          <w:sz w:val="23"/>
          <w:szCs w:val="23"/>
          <w:highlight w:val="none"/>
        </w:rPr>
        <w:t>6</w:t>
      </w:r>
      <w:r>
        <w:rPr>
          <w:rFonts w:ascii="宋体" w:hAnsi="宋体" w:eastAsia="宋体" w:cs="宋体"/>
          <w:spacing w:val="12"/>
          <w:sz w:val="23"/>
          <w:szCs w:val="23"/>
          <w:highlight w:val="none"/>
        </w:rPr>
        <w:t>.</w:t>
      </w:r>
      <w:r>
        <w:rPr>
          <w:rFonts w:ascii="宋体" w:hAnsi="宋体" w:eastAsia="宋体" w:cs="宋体"/>
          <w:spacing w:val="9"/>
          <w:sz w:val="23"/>
          <w:szCs w:val="23"/>
          <w:highlight w:val="none"/>
        </w:rPr>
        <w:t>质疑供应商为自然人的，质疑函应由本人签字；质疑供应商为法人或者其</w:t>
      </w:r>
      <w:r>
        <w:rPr>
          <w:rFonts w:ascii="宋体" w:hAnsi="宋体" w:eastAsia="宋体" w:cs="宋体"/>
          <w:spacing w:val="8"/>
          <w:sz w:val="23"/>
          <w:szCs w:val="23"/>
          <w:highlight w:val="none"/>
        </w:rPr>
        <w:t>他组织的，质疑</w:t>
      </w:r>
      <w:r>
        <w:rPr>
          <w:rFonts w:ascii="宋体" w:hAnsi="宋体" w:eastAsia="宋体" w:cs="宋体"/>
          <w:spacing w:val="4"/>
          <w:sz w:val="23"/>
          <w:szCs w:val="23"/>
          <w:highlight w:val="none"/>
        </w:rPr>
        <w:t>函应由法定代表人、主要负责人，或者其授权代表签字或者盖章，</w:t>
      </w:r>
      <w:r>
        <w:rPr>
          <w:rFonts w:ascii="宋体" w:hAnsi="宋体" w:eastAsia="宋体" w:cs="宋体"/>
          <w:spacing w:val="10"/>
          <w:sz w:val="23"/>
          <w:szCs w:val="23"/>
          <w:highlight w:val="none"/>
        </w:rPr>
        <w:t>并</w:t>
      </w:r>
      <w:r>
        <w:rPr>
          <w:rFonts w:ascii="宋体" w:hAnsi="宋体" w:eastAsia="宋体" w:cs="宋体"/>
          <w:spacing w:val="6"/>
          <w:sz w:val="23"/>
          <w:szCs w:val="23"/>
          <w:highlight w:val="none"/>
        </w:rPr>
        <w:t>加盖公章。</w:t>
      </w:r>
    </w:p>
    <w:p w14:paraId="7E409A1C">
      <w:pPr>
        <w:spacing w:before="0" w:line="240" w:lineRule="auto"/>
        <w:ind w:left="1080" w:leftChars="257" w:hanging="540"/>
        <w:jc w:val="left"/>
        <w:outlineLvl w:val="9"/>
        <w:rPr>
          <w:rFonts w:hint="eastAsia" w:ascii="宋体" w:hAnsi="宋体" w:eastAsia="宋体" w:cs="宋体"/>
          <w:sz w:val="24"/>
          <w:highlight w:val="none"/>
        </w:rPr>
      </w:pPr>
      <w:bookmarkStart w:id="582" w:name="_Toc30489"/>
      <w:bookmarkStart w:id="583" w:name="_Toc5935"/>
      <w:r>
        <w:rPr>
          <w:rFonts w:ascii="宋体" w:hAnsi="宋体" w:eastAsia="宋体" w:cs="宋体"/>
          <w:spacing w:val="8"/>
          <w:sz w:val="23"/>
          <w:szCs w:val="23"/>
          <w:highlight w:val="none"/>
        </w:rPr>
        <w:t>7.质疑函份数要求：三份。</w:t>
      </w:r>
      <w:bookmarkEnd w:id="582"/>
      <w:bookmarkEnd w:id="583"/>
    </w:p>
    <w:sectPr>
      <w:headerReference r:id="rId22" w:type="default"/>
      <w:footerReference r:id="rId23" w:type="default"/>
      <w:pgSz w:w="11907" w:h="16840"/>
      <w:pgMar w:top="1134" w:right="1417" w:bottom="1134" w:left="1417" w:header="851" w:footer="851" w:gutter="0"/>
      <w:pgNumType w:fmt="numberInDash"/>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530F4E9-436F-4A42-B6DA-17D8A6F834FB}"/>
  </w:font>
  <w:font w:name="黑体">
    <w:panose1 w:val="02010609060101010101"/>
    <w:charset w:val="86"/>
    <w:family w:val="auto"/>
    <w:pitch w:val="default"/>
    <w:sig w:usb0="800002BF" w:usb1="38CF7CFA" w:usb2="00000016" w:usb3="00000000" w:csb0="00040001" w:csb1="00000000"/>
    <w:embedRegular r:id="rId2" w:fontKey="{561FE79D-4F08-49B5-91CE-57271013FA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87243494-ABFF-466D-ADB9-2A8DECBCBE5D}"/>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embedRegular r:id="rId4" w:fontKey="{9BCFA25E-C414-46A9-9F4E-BBB9BBC3934C}"/>
  </w:font>
  <w:font w:name="华文中宋">
    <w:panose1 w:val="02010600040101010101"/>
    <w:charset w:val="86"/>
    <w:family w:val="auto"/>
    <w:pitch w:val="default"/>
    <w:sig w:usb0="00000287" w:usb1="080F0000" w:usb2="00000000" w:usb3="00000000" w:csb0="0004009F" w:csb1="DFD70000"/>
    <w:embedRegular r:id="rId5" w:fontKey="{5D18C037-52A9-4CFA-9935-AF21C1F435FE}"/>
  </w:font>
  <w:font w:name="微软雅黑 Light">
    <w:panose1 w:val="020B0502040204020203"/>
    <w:charset w:val="86"/>
    <w:family w:val="auto"/>
    <w:pitch w:val="default"/>
    <w:sig w:usb0="80000287" w:usb1="2ACF0010" w:usb2="00000016" w:usb3="00000000" w:csb0="0004001F" w:csb1="00000000"/>
    <w:embedRegular r:id="rId6" w:fontKey="{38803FFD-D50D-4E8B-A3A7-E651AF8C50DB}"/>
  </w:font>
  <w:font w:name="微软雅黑">
    <w:panose1 w:val="020B0503020204020204"/>
    <w:charset w:val="86"/>
    <w:family w:val="swiss"/>
    <w:pitch w:val="default"/>
    <w:sig w:usb0="80000287" w:usb1="2ACF3C50" w:usb2="00000016" w:usb3="00000000" w:csb0="0004001F" w:csb1="00000000"/>
    <w:embedRegular r:id="rId7" w:fontKey="{A3D20AAD-4D3D-4674-AFA5-0B058201A715}"/>
  </w:font>
  <w:font w:name="Wingdings 2">
    <w:panose1 w:val="05020102010507070707"/>
    <w:charset w:val="02"/>
    <w:family w:val="auto"/>
    <w:pitch w:val="default"/>
    <w:sig w:usb0="00000000" w:usb1="00000000" w:usb2="00000000" w:usb3="00000000" w:csb0="80000000" w:csb1="00000000"/>
    <w:embedRegular r:id="rId8" w:fontKey="{061EA9A0-2B12-4B98-AD1C-1BA3914ABD88}"/>
  </w:font>
  <w:font w:name="方正仿宋_GBK">
    <w:panose1 w:val="02000000000000000000"/>
    <w:charset w:val="86"/>
    <w:family w:val="auto"/>
    <w:pitch w:val="default"/>
    <w:sig w:usb0="00000001" w:usb1="080E0000" w:usb2="00000000" w:usb3="00000000" w:csb0="00040000" w:csb1="00000000"/>
    <w:embedRegular r:id="rId9" w:fontKey="{ABAA0962-4A17-452F-8918-CA37D7336C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D6F7A">
    <w:pPr>
      <w:pStyle w:val="22"/>
      <w:ind w:right="360" w:firstLine="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F4470">
    <w:pPr>
      <w:pStyle w:val="2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3F9E4">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B5983">
                          <w:pPr>
                            <w:pStyle w:val="22"/>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32B5983">
                    <w:pPr>
                      <w:pStyle w:val="22"/>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27BFC">
    <w:pPr>
      <w:pStyle w:val="2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4F009">
                          <w:pPr>
                            <w:pStyle w:val="22"/>
                          </w:pPr>
                          <w:r>
                            <w:fldChar w:fldCharType="begin"/>
                          </w:r>
                          <w:r>
                            <w:instrText xml:space="preserve"> PAGE  \* MERGEFORMAT </w:instrText>
                          </w:r>
                          <w:r>
                            <w:fldChar w:fldCharType="separate"/>
                          </w:r>
                          <w:r>
                            <w:t>- 64 -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A54F009">
                    <w:pPr>
                      <w:pStyle w:val="22"/>
                    </w:pPr>
                    <w:r>
                      <w:fldChar w:fldCharType="begin"/>
                    </w:r>
                    <w:r>
                      <w:instrText xml:space="preserve"> PAGE  \* MERGEFORMAT </w:instrText>
                    </w:r>
                    <w:r>
                      <w:fldChar w:fldCharType="separate"/>
                    </w:r>
                    <w:r>
                      <w:t>- 64 -</w:t>
                    </w:r>
                    <w:r>
                      <w:fldChar w:fldCharType="end"/>
                    </w:r>
                  </w:p>
                </w:txbxContent>
              </v:textbox>
            </v:shape>
          </w:pict>
        </mc:Fallback>
      </mc:AlternateContent>
    </w:r>
  </w:p>
  <w:p w14:paraId="0D985B01">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96A9E">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3EA7C">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E7541">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21FC">
    <w:pPr>
      <w:pStyle w:val="22"/>
      <w:framePr w:wrap="around" w:vAnchor="text" w:hAnchor="margin" w:xAlign="center" w:y="1"/>
      <w:rPr>
        <w:rStyle w:val="42"/>
      </w:rPr>
    </w:pPr>
    <w:r>
      <w:fldChar w:fldCharType="begin"/>
    </w:r>
    <w:r>
      <w:rPr>
        <w:rStyle w:val="42"/>
      </w:rPr>
      <w:instrText xml:space="preserve">PAGE  </w:instrText>
    </w:r>
    <w:r>
      <w:fldChar w:fldCharType="end"/>
    </w:r>
  </w:p>
  <w:p w14:paraId="459091FE">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75BE6">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E2FFD">
                          <w:pPr>
                            <w:pStyle w:val="2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04E2FFD">
                    <w:pPr>
                      <w:pStyle w:val="2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A1167">
    <w:pPr>
      <w:spacing w:line="196" w:lineRule="auto"/>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F3365">
                          <w:pPr>
                            <w:pStyle w:val="22"/>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EF3365">
                    <w:pPr>
                      <w:pStyle w:val="22"/>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DF9AD">
    <w:pPr>
      <w:pStyle w:val="2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4CDA7">
                          <w:pPr>
                            <w:pStyle w:val="22"/>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244CDA7">
                    <w:pPr>
                      <w:pStyle w:val="22"/>
                    </w:pPr>
                    <w:r>
                      <w:fldChar w:fldCharType="begin"/>
                    </w:r>
                    <w:r>
                      <w:instrText xml:space="preserve"> PAGE  \* MERGEFORMAT </w:instrText>
                    </w:r>
                    <w:r>
                      <w:fldChar w:fldCharType="separate"/>
                    </w:r>
                    <w:r>
                      <w:t>- 49 -</w:t>
                    </w:r>
                    <w:r>
                      <w:fldChar w:fldCharType="end"/>
                    </w:r>
                  </w:p>
                </w:txbxContent>
              </v:textbox>
            </v:shape>
          </w:pict>
        </mc:Fallback>
      </mc:AlternateContent>
    </w:r>
  </w:p>
  <w:p w14:paraId="22AA3FF0">
    <w:pPr>
      <w:pStyle w:val="22"/>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E8F21">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7D356">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9DA83">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5824B">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5CDE">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34824">
    <w:pPr>
      <w:pStyle w:val="2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64A15">
    <w:pPr>
      <w:pStyle w:val="23"/>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67ED9">
    <w:pPr>
      <w:pStyle w:val="2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9CB0E">
    <w:pPr>
      <w:pStyle w:val="2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071D2">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GRhZWYyZjI0NmM0YTVlMzdmNWJmN2FhZjBhNDFlN2MifQ=="/>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6150"/>
    <w:rsid w:val="00096F54"/>
    <w:rsid w:val="000A0225"/>
    <w:rsid w:val="000A31C4"/>
    <w:rsid w:val="000A3727"/>
    <w:rsid w:val="000A49C1"/>
    <w:rsid w:val="000A799B"/>
    <w:rsid w:val="000B3242"/>
    <w:rsid w:val="000B3392"/>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627C"/>
    <w:rsid w:val="001572B8"/>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45E7"/>
    <w:rsid w:val="002760AC"/>
    <w:rsid w:val="00277935"/>
    <w:rsid w:val="00277E8E"/>
    <w:rsid w:val="00280DD6"/>
    <w:rsid w:val="00281AF5"/>
    <w:rsid w:val="00282496"/>
    <w:rsid w:val="002825A0"/>
    <w:rsid w:val="00282E7B"/>
    <w:rsid w:val="00283033"/>
    <w:rsid w:val="00283122"/>
    <w:rsid w:val="002854DC"/>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F8D"/>
    <w:rsid w:val="002E334D"/>
    <w:rsid w:val="002E486A"/>
    <w:rsid w:val="002E53C0"/>
    <w:rsid w:val="002E672F"/>
    <w:rsid w:val="002E766C"/>
    <w:rsid w:val="002F02C8"/>
    <w:rsid w:val="002F04FD"/>
    <w:rsid w:val="002F1B31"/>
    <w:rsid w:val="002F2D5F"/>
    <w:rsid w:val="002F46DC"/>
    <w:rsid w:val="002F5145"/>
    <w:rsid w:val="002F5CB9"/>
    <w:rsid w:val="002F683C"/>
    <w:rsid w:val="00302182"/>
    <w:rsid w:val="00306072"/>
    <w:rsid w:val="0030675F"/>
    <w:rsid w:val="0031140B"/>
    <w:rsid w:val="003117C6"/>
    <w:rsid w:val="00314E3D"/>
    <w:rsid w:val="00317120"/>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13F0"/>
    <w:rsid w:val="004E1E1E"/>
    <w:rsid w:val="004E4854"/>
    <w:rsid w:val="004E56CE"/>
    <w:rsid w:val="004E66DE"/>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5EAC"/>
    <w:rsid w:val="00625F7B"/>
    <w:rsid w:val="006267AC"/>
    <w:rsid w:val="00630C8F"/>
    <w:rsid w:val="0063126C"/>
    <w:rsid w:val="006321D9"/>
    <w:rsid w:val="00635ACD"/>
    <w:rsid w:val="006369DB"/>
    <w:rsid w:val="00645F9B"/>
    <w:rsid w:val="006462F4"/>
    <w:rsid w:val="00647924"/>
    <w:rsid w:val="00647EFF"/>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415F"/>
    <w:rsid w:val="006C4B81"/>
    <w:rsid w:val="006C517C"/>
    <w:rsid w:val="006C5CAA"/>
    <w:rsid w:val="006C7F43"/>
    <w:rsid w:val="006D09AC"/>
    <w:rsid w:val="006D16F3"/>
    <w:rsid w:val="006D49E3"/>
    <w:rsid w:val="006D4C2C"/>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45D9"/>
    <w:rsid w:val="0080702C"/>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524"/>
    <w:rsid w:val="00A5794D"/>
    <w:rsid w:val="00A610B8"/>
    <w:rsid w:val="00A61208"/>
    <w:rsid w:val="00A62660"/>
    <w:rsid w:val="00A64D6A"/>
    <w:rsid w:val="00A66A0F"/>
    <w:rsid w:val="00A67FB0"/>
    <w:rsid w:val="00A700BE"/>
    <w:rsid w:val="00A7038D"/>
    <w:rsid w:val="00A73440"/>
    <w:rsid w:val="00A755F2"/>
    <w:rsid w:val="00A75908"/>
    <w:rsid w:val="00A75D01"/>
    <w:rsid w:val="00A76B01"/>
    <w:rsid w:val="00A813D7"/>
    <w:rsid w:val="00A83BB1"/>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F0629"/>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167"/>
    <w:rsid w:val="00CA6919"/>
    <w:rsid w:val="00CA7190"/>
    <w:rsid w:val="00CB030A"/>
    <w:rsid w:val="00CB125C"/>
    <w:rsid w:val="00CB455B"/>
    <w:rsid w:val="00CB4D87"/>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F24"/>
    <w:rsid w:val="00CF7F30"/>
    <w:rsid w:val="00D003AF"/>
    <w:rsid w:val="00D049C3"/>
    <w:rsid w:val="00D056C1"/>
    <w:rsid w:val="00D07715"/>
    <w:rsid w:val="00D106F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533C"/>
    <w:rsid w:val="00DA5B6B"/>
    <w:rsid w:val="00DA700C"/>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2D2A"/>
    <w:rsid w:val="00DF3A84"/>
    <w:rsid w:val="00E0061F"/>
    <w:rsid w:val="00E01663"/>
    <w:rsid w:val="00E07277"/>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C058C"/>
    <w:rsid w:val="00EC1BDE"/>
    <w:rsid w:val="00EC1F4B"/>
    <w:rsid w:val="00ED1413"/>
    <w:rsid w:val="00ED1663"/>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4565"/>
    <w:rsid w:val="00F14A70"/>
    <w:rsid w:val="00F1737F"/>
    <w:rsid w:val="00F175A5"/>
    <w:rsid w:val="00F212FC"/>
    <w:rsid w:val="00F230F1"/>
    <w:rsid w:val="00F26AB4"/>
    <w:rsid w:val="00F27B8D"/>
    <w:rsid w:val="00F304FB"/>
    <w:rsid w:val="00F313F8"/>
    <w:rsid w:val="00F315AB"/>
    <w:rsid w:val="00F35871"/>
    <w:rsid w:val="00F35D52"/>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0333FC"/>
    <w:rsid w:val="017046B5"/>
    <w:rsid w:val="019C26CF"/>
    <w:rsid w:val="01EF3980"/>
    <w:rsid w:val="02AB0B8E"/>
    <w:rsid w:val="02D10479"/>
    <w:rsid w:val="03822C68"/>
    <w:rsid w:val="03CB50B5"/>
    <w:rsid w:val="05147F72"/>
    <w:rsid w:val="06C160ED"/>
    <w:rsid w:val="076F3B37"/>
    <w:rsid w:val="07AD3016"/>
    <w:rsid w:val="07AD40C1"/>
    <w:rsid w:val="07BB17CA"/>
    <w:rsid w:val="083566E2"/>
    <w:rsid w:val="09122345"/>
    <w:rsid w:val="09A37CB3"/>
    <w:rsid w:val="09BD6E8E"/>
    <w:rsid w:val="09CE003F"/>
    <w:rsid w:val="0A6D7B49"/>
    <w:rsid w:val="0AE017A7"/>
    <w:rsid w:val="0B1143B0"/>
    <w:rsid w:val="0B1873A5"/>
    <w:rsid w:val="0B450737"/>
    <w:rsid w:val="0B97765C"/>
    <w:rsid w:val="0C054382"/>
    <w:rsid w:val="0C420831"/>
    <w:rsid w:val="0C5A6A73"/>
    <w:rsid w:val="0C750060"/>
    <w:rsid w:val="0C843A34"/>
    <w:rsid w:val="0F4D2100"/>
    <w:rsid w:val="0F7A70CC"/>
    <w:rsid w:val="0FC50D8F"/>
    <w:rsid w:val="10F1669E"/>
    <w:rsid w:val="118848CF"/>
    <w:rsid w:val="13172843"/>
    <w:rsid w:val="13F03757"/>
    <w:rsid w:val="13FD7D44"/>
    <w:rsid w:val="14675B7E"/>
    <w:rsid w:val="14E53F45"/>
    <w:rsid w:val="165638CC"/>
    <w:rsid w:val="16EB2471"/>
    <w:rsid w:val="17457E91"/>
    <w:rsid w:val="175221D6"/>
    <w:rsid w:val="18003993"/>
    <w:rsid w:val="18117D55"/>
    <w:rsid w:val="18434A76"/>
    <w:rsid w:val="18EB67F8"/>
    <w:rsid w:val="18FC5D01"/>
    <w:rsid w:val="1A4428B3"/>
    <w:rsid w:val="1A9A04D5"/>
    <w:rsid w:val="1AF6583C"/>
    <w:rsid w:val="1B1F722A"/>
    <w:rsid w:val="1C731978"/>
    <w:rsid w:val="1CA4388D"/>
    <w:rsid w:val="1DCF0982"/>
    <w:rsid w:val="1E054C48"/>
    <w:rsid w:val="1FCF77B6"/>
    <w:rsid w:val="200015D7"/>
    <w:rsid w:val="2133411B"/>
    <w:rsid w:val="21521E4A"/>
    <w:rsid w:val="226546C9"/>
    <w:rsid w:val="231150AD"/>
    <w:rsid w:val="23F5768F"/>
    <w:rsid w:val="23F81132"/>
    <w:rsid w:val="2426102C"/>
    <w:rsid w:val="25736919"/>
    <w:rsid w:val="25997426"/>
    <w:rsid w:val="25D54046"/>
    <w:rsid w:val="261A0491"/>
    <w:rsid w:val="28855A7D"/>
    <w:rsid w:val="289C18BC"/>
    <w:rsid w:val="293D4E4D"/>
    <w:rsid w:val="2A472991"/>
    <w:rsid w:val="2AFB4D94"/>
    <w:rsid w:val="2B502442"/>
    <w:rsid w:val="2B7E52A9"/>
    <w:rsid w:val="2BA67271"/>
    <w:rsid w:val="2BE95450"/>
    <w:rsid w:val="2C097B73"/>
    <w:rsid w:val="2C1E1DE3"/>
    <w:rsid w:val="2CAB441F"/>
    <w:rsid w:val="2CFC0B7C"/>
    <w:rsid w:val="2D2D0F9B"/>
    <w:rsid w:val="2E003DC6"/>
    <w:rsid w:val="2F226ADF"/>
    <w:rsid w:val="30561E3F"/>
    <w:rsid w:val="30CC197B"/>
    <w:rsid w:val="315947EF"/>
    <w:rsid w:val="31B91D72"/>
    <w:rsid w:val="31E22C88"/>
    <w:rsid w:val="33EB1895"/>
    <w:rsid w:val="33F7209D"/>
    <w:rsid w:val="342F2C2E"/>
    <w:rsid w:val="353A46B7"/>
    <w:rsid w:val="356F73C9"/>
    <w:rsid w:val="35B6520A"/>
    <w:rsid w:val="3680580C"/>
    <w:rsid w:val="369B0D16"/>
    <w:rsid w:val="37781747"/>
    <w:rsid w:val="37C07E80"/>
    <w:rsid w:val="38C509BB"/>
    <w:rsid w:val="3929383F"/>
    <w:rsid w:val="3A121239"/>
    <w:rsid w:val="3B0E0EF1"/>
    <w:rsid w:val="3B9809BE"/>
    <w:rsid w:val="3FC833AB"/>
    <w:rsid w:val="3FFC0940"/>
    <w:rsid w:val="3FFD33FB"/>
    <w:rsid w:val="4049358C"/>
    <w:rsid w:val="40D85040"/>
    <w:rsid w:val="40DF6B95"/>
    <w:rsid w:val="410E3893"/>
    <w:rsid w:val="41CC4F2D"/>
    <w:rsid w:val="440345B5"/>
    <w:rsid w:val="44086C32"/>
    <w:rsid w:val="44EF1B82"/>
    <w:rsid w:val="459B4CB9"/>
    <w:rsid w:val="45E77C31"/>
    <w:rsid w:val="45FD1FD2"/>
    <w:rsid w:val="461B2714"/>
    <w:rsid w:val="469B2720"/>
    <w:rsid w:val="473D2DF8"/>
    <w:rsid w:val="482E20D9"/>
    <w:rsid w:val="483E65D0"/>
    <w:rsid w:val="4A226C77"/>
    <w:rsid w:val="4A4623C4"/>
    <w:rsid w:val="4AF01045"/>
    <w:rsid w:val="4D1C1BA2"/>
    <w:rsid w:val="4D282CB4"/>
    <w:rsid w:val="4DC1760D"/>
    <w:rsid w:val="4E3441C2"/>
    <w:rsid w:val="4EEE449A"/>
    <w:rsid w:val="4F2C064A"/>
    <w:rsid w:val="4F6E5F6E"/>
    <w:rsid w:val="4F7E6A86"/>
    <w:rsid w:val="501935AB"/>
    <w:rsid w:val="502D02BC"/>
    <w:rsid w:val="509C604E"/>
    <w:rsid w:val="50A628A8"/>
    <w:rsid w:val="51321CE6"/>
    <w:rsid w:val="51423F3F"/>
    <w:rsid w:val="517944E3"/>
    <w:rsid w:val="5237602E"/>
    <w:rsid w:val="52D32AFD"/>
    <w:rsid w:val="52E16C74"/>
    <w:rsid w:val="53684AA5"/>
    <w:rsid w:val="548200A8"/>
    <w:rsid w:val="55314071"/>
    <w:rsid w:val="5556379F"/>
    <w:rsid w:val="57B03084"/>
    <w:rsid w:val="58845D45"/>
    <w:rsid w:val="59402013"/>
    <w:rsid w:val="598328DE"/>
    <w:rsid w:val="5B984680"/>
    <w:rsid w:val="5B9E0C30"/>
    <w:rsid w:val="5C5F5900"/>
    <w:rsid w:val="5D9F4FBD"/>
    <w:rsid w:val="5DA72632"/>
    <w:rsid w:val="5DC155E2"/>
    <w:rsid w:val="5E34013F"/>
    <w:rsid w:val="5E926DE3"/>
    <w:rsid w:val="5EC42D73"/>
    <w:rsid w:val="5F3D2878"/>
    <w:rsid w:val="5F55219B"/>
    <w:rsid w:val="5F944D2C"/>
    <w:rsid w:val="5FA171DD"/>
    <w:rsid w:val="5FF95CF0"/>
    <w:rsid w:val="60384F4A"/>
    <w:rsid w:val="60A35127"/>
    <w:rsid w:val="61D86AC2"/>
    <w:rsid w:val="627A0775"/>
    <w:rsid w:val="62BE57EC"/>
    <w:rsid w:val="6353259C"/>
    <w:rsid w:val="63BD3EBA"/>
    <w:rsid w:val="642B42C7"/>
    <w:rsid w:val="64FE22BB"/>
    <w:rsid w:val="65117867"/>
    <w:rsid w:val="654639B4"/>
    <w:rsid w:val="659375C8"/>
    <w:rsid w:val="669512CC"/>
    <w:rsid w:val="66A40EC3"/>
    <w:rsid w:val="67835FDE"/>
    <w:rsid w:val="67992243"/>
    <w:rsid w:val="6A472730"/>
    <w:rsid w:val="6A6F7695"/>
    <w:rsid w:val="6B94314E"/>
    <w:rsid w:val="6B974B12"/>
    <w:rsid w:val="6BDD4FB2"/>
    <w:rsid w:val="6BFA3C89"/>
    <w:rsid w:val="6C283CF7"/>
    <w:rsid w:val="6CC0101E"/>
    <w:rsid w:val="6E0F7A08"/>
    <w:rsid w:val="6EA16987"/>
    <w:rsid w:val="6EB04B59"/>
    <w:rsid w:val="6ED42B60"/>
    <w:rsid w:val="6F8D5C1A"/>
    <w:rsid w:val="6FD27139"/>
    <w:rsid w:val="703B6854"/>
    <w:rsid w:val="704A44DC"/>
    <w:rsid w:val="708867FE"/>
    <w:rsid w:val="70E71A26"/>
    <w:rsid w:val="716147BD"/>
    <w:rsid w:val="720B7368"/>
    <w:rsid w:val="72611DE4"/>
    <w:rsid w:val="726E545D"/>
    <w:rsid w:val="73F86161"/>
    <w:rsid w:val="74A165CC"/>
    <w:rsid w:val="761728C2"/>
    <w:rsid w:val="76733229"/>
    <w:rsid w:val="768C083D"/>
    <w:rsid w:val="77672662"/>
    <w:rsid w:val="793031FE"/>
    <w:rsid w:val="7987697C"/>
    <w:rsid w:val="7B6847D8"/>
    <w:rsid w:val="7BEB3862"/>
    <w:rsid w:val="7D622872"/>
    <w:rsid w:val="7D882ABE"/>
    <w:rsid w:val="7D9474E6"/>
    <w:rsid w:val="7E3F3CDD"/>
    <w:rsid w:val="7FDF54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4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link w:val="4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40">
    <w:name w:val="Default Paragraph Font"/>
    <w:semiHidden/>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qFormat/>
    <w:uiPriority w:val="39"/>
    <w:pPr>
      <w:ind w:left="2520" w:leftChars="1200"/>
    </w:p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Cambria" w:hAnsi="Cambria"/>
      <w:sz w:val="24"/>
      <w:szCs w:val="24"/>
    </w:rPr>
  </w:style>
  <w:style w:type="paragraph" w:styleId="9">
    <w:name w:val="annotation text"/>
    <w:basedOn w:val="1"/>
    <w:link w:val="49"/>
    <w:qFormat/>
    <w:uiPriority w:val="99"/>
    <w:pPr>
      <w:jc w:val="left"/>
    </w:pPr>
  </w:style>
  <w:style w:type="paragraph" w:styleId="10">
    <w:name w:val="Body Text"/>
    <w:basedOn w:val="1"/>
    <w:next w:val="1"/>
    <w:link w:val="45"/>
    <w:qFormat/>
    <w:uiPriority w:val="0"/>
    <w:pPr>
      <w:tabs>
        <w:tab w:val="left" w:pos="567"/>
      </w:tabs>
      <w:spacing w:before="120" w:line="22" w:lineRule="atLeast"/>
    </w:pPr>
    <w:rPr>
      <w:rFonts w:ascii="宋体" w:hAnsi="宋体"/>
      <w:sz w:val="24"/>
    </w:rPr>
  </w:style>
  <w:style w:type="paragraph" w:styleId="11">
    <w:name w:val="Body Text Indent"/>
    <w:basedOn w:val="1"/>
    <w:next w:val="12"/>
    <w:qFormat/>
    <w:uiPriority w:val="0"/>
    <w:pPr>
      <w:spacing w:line="360" w:lineRule="auto"/>
      <w:ind w:firstLine="570"/>
    </w:pPr>
    <w:rPr>
      <w:sz w:val="24"/>
    </w:rPr>
  </w:style>
  <w:style w:type="paragraph" w:customStyle="1" w:styleId="12">
    <w:name w:val="Default"/>
    <w:next w:val="13"/>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13">
    <w:name w:val="大标题"/>
    <w:basedOn w:val="1"/>
    <w:next w:val="14"/>
    <w:qFormat/>
    <w:uiPriority w:val="0"/>
    <w:pPr>
      <w:jc w:val="center"/>
    </w:pPr>
    <w:rPr>
      <w:rFonts w:ascii="Arial" w:hAnsi="Arial" w:eastAsia="宋体"/>
      <w:b/>
      <w:sz w:val="28"/>
    </w:rPr>
  </w:style>
  <w:style w:type="paragraph" w:styleId="14">
    <w:name w:val="Body Text First Indent 2"/>
    <w:basedOn w:val="11"/>
    <w:next w:val="1"/>
    <w:unhideWhenUsed/>
    <w:qFormat/>
    <w:uiPriority w:val="0"/>
    <w:pPr>
      <w:spacing w:after="0" w:line="360" w:lineRule="auto"/>
      <w:ind w:firstLine="200" w:firstLineChars="200"/>
    </w:pPr>
  </w:style>
  <w:style w:type="paragraph" w:styleId="15">
    <w:name w:val="toc 5"/>
    <w:basedOn w:val="1"/>
    <w:next w:val="1"/>
    <w:qFormat/>
    <w:uiPriority w:val="39"/>
    <w:pPr>
      <w:ind w:left="1680" w:leftChars="800"/>
    </w:pPr>
  </w:style>
  <w:style w:type="paragraph" w:styleId="16">
    <w:name w:val="toc 3"/>
    <w:basedOn w:val="1"/>
    <w:next w:val="1"/>
    <w:qFormat/>
    <w:uiPriority w:val="39"/>
    <w:pPr>
      <w:tabs>
        <w:tab w:val="left" w:pos="1260"/>
        <w:tab w:val="right" w:leader="dot" w:pos="8630"/>
      </w:tabs>
      <w:ind w:left="840" w:leftChars="400"/>
    </w:pPr>
  </w:style>
  <w:style w:type="paragraph" w:styleId="17">
    <w:name w:val="Plain Text"/>
    <w:basedOn w:val="1"/>
    <w:link w:val="50"/>
    <w:qFormat/>
    <w:uiPriority w:val="0"/>
    <w:rPr>
      <w:rFonts w:ascii="宋体" w:hAnsi="Courier New"/>
      <w:szCs w:val="20"/>
    </w:rPr>
  </w:style>
  <w:style w:type="paragraph" w:styleId="18">
    <w:name w:val="toc 8"/>
    <w:basedOn w:val="1"/>
    <w:next w:val="1"/>
    <w:qFormat/>
    <w:uiPriority w:val="39"/>
    <w:pPr>
      <w:ind w:left="2940" w:leftChars="1400"/>
    </w:pPr>
  </w:style>
  <w:style w:type="paragraph" w:styleId="19">
    <w:name w:val="Date"/>
    <w:basedOn w:val="1"/>
    <w:next w:val="1"/>
    <w:link w:val="51"/>
    <w:qFormat/>
    <w:uiPriority w:val="0"/>
    <w:pPr>
      <w:ind w:left="100" w:leftChars="2500"/>
    </w:pPr>
    <w:rPr>
      <w:rFonts w:ascii="仿宋_GB2312" w:hAnsi="宋体" w:eastAsia="仿宋_GB2312"/>
      <w:color w:val="000000"/>
      <w:sz w:val="24"/>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52"/>
    <w:qFormat/>
    <w:uiPriority w:val="0"/>
    <w:rPr>
      <w:sz w:val="18"/>
      <w:szCs w:val="18"/>
    </w:rPr>
  </w:style>
  <w:style w:type="paragraph" w:styleId="22">
    <w:name w:val="footer"/>
    <w:basedOn w:val="1"/>
    <w:link w:val="5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qFormat/>
    <w:uiPriority w:val="39"/>
    <w:pPr>
      <w:ind w:left="1260" w:leftChars="600"/>
    </w:pPr>
  </w:style>
  <w:style w:type="paragraph" w:styleId="26">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7">
    <w:name w:val="footnote text"/>
    <w:basedOn w:val="1"/>
    <w:next w:val="10"/>
    <w:qFormat/>
    <w:uiPriority w:val="0"/>
    <w:pPr>
      <w:snapToGrid w:val="0"/>
      <w:jc w:val="left"/>
    </w:pPr>
    <w:rPr>
      <w:sz w:val="18"/>
    </w:rPr>
  </w:style>
  <w:style w:type="paragraph" w:styleId="28">
    <w:name w:val="toc 6"/>
    <w:basedOn w:val="1"/>
    <w:next w:val="1"/>
    <w:qFormat/>
    <w:uiPriority w:val="39"/>
    <w:pPr>
      <w:ind w:left="2100" w:leftChars="1000"/>
    </w:pPr>
  </w:style>
  <w:style w:type="paragraph" w:styleId="29">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index 7"/>
    <w:basedOn w:val="1"/>
    <w:next w:val="1"/>
    <w:qFormat/>
    <w:uiPriority w:val="0"/>
    <w:pPr>
      <w:autoSpaceDE/>
      <w:autoSpaceDN/>
      <w:adjustRightInd/>
      <w:ind w:left="1200" w:leftChars="1200"/>
    </w:pPr>
    <w:rPr>
      <w:color w:val="auto"/>
      <w:kern w:val="2"/>
      <w:szCs w:val="24"/>
    </w:rPr>
  </w:style>
  <w:style w:type="paragraph" w:styleId="31">
    <w:name w:val="toc 2"/>
    <w:basedOn w:val="1"/>
    <w:next w:val="1"/>
    <w:qFormat/>
    <w:uiPriority w:val="39"/>
    <w:pPr>
      <w:ind w:left="420" w:leftChars="200"/>
    </w:pPr>
  </w:style>
  <w:style w:type="paragraph" w:styleId="32">
    <w:name w:val="toc 9"/>
    <w:basedOn w:val="1"/>
    <w:next w:val="1"/>
    <w:qFormat/>
    <w:uiPriority w:val="39"/>
    <w:pPr>
      <w:ind w:left="3360" w:leftChars="1600"/>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35">
    <w:name w:val="index 1"/>
    <w:basedOn w:val="1"/>
    <w:next w:val="1"/>
    <w:semiHidden/>
    <w:qFormat/>
    <w:uiPriority w:val="0"/>
    <w:rPr>
      <w:szCs w:val="20"/>
    </w:rPr>
  </w:style>
  <w:style w:type="paragraph" w:styleId="36">
    <w:name w:val="annotation subject"/>
    <w:basedOn w:val="9"/>
    <w:next w:val="9"/>
    <w:link w:val="55"/>
    <w:qFormat/>
    <w:uiPriority w:val="0"/>
    <w:rPr>
      <w:b/>
      <w:bCs/>
    </w:rPr>
  </w:style>
  <w:style w:type="paragraph" w:styleId="37">
    <w:name w:val="Body Text First Indent"/>
    <w:basedOn w:val="10"/>
    <w:unhideWhenUsed/>
    <w:qFormat/>
    <w:uiPriority w:val="0"/>
    <w:pPr>
      <w:spacing w:before="0" w:beforeLines="0" w:after="120" w:afterLines="0" w:line="312" w:lineRule="atLeast"/>
      <w:ind w:firstLine="420" w:firstLineChars="100"/>
    </w:pPr>
    <w:rPr>
      <w:sz w:val="21"/>
    </w:rPr>
  </w:style>
  <w:style w:type="table" w:styleId="39">
    <w:name w:val="Table Grid"/>
    <w:basedOn w:val="3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0"/>
    <w:rPr>
      <w:b/>
    </w:rPr>
  </w:style>
  <w:style w:type="character" w:styleId="42">
    <w:name w:val="page number"/>
    <w:basedOn w:val="40"/>
    <w:qFormat/>
    <w:uiPriority w:val="0"/>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character" w:customStyle="1" w:styleId="45">
    <w:name w:val="正文文本 Char"/>
    <w:link w:val="10"/>
    <w:qFormat/>
    <w:uiPriority w:val="0"/>
    <w:rPr>
      <w:rFonts w:ascii="宋体" w:hAnsi="宋体"/>
      <w:kern w:val="2"/>
      <w:sz w:val="24"/>
      <w:szCs w:val="24"/>
    </w:rPr>
  </w:style>
  <w:style w:type="character" w:customStyle="1" w:styleId="46">
    <w:name w:val="标题 1 Char"/>
    <w:link w:val="3"/>
    <w:qFormat/>
    <w:uiPriority w:val="0"/>
    <w:rPr>
      <w:rFonts w:ascii="宋体"/>
      <w:b/>
      <w:kern w:val="44"/>
      <w:sz w:val="32"/>
    </w:rPr>
  </w:style>
  <w:style w:type="character" w:customStyle="1" w:styleId="47">
    <w:name w:val="标题 2 Char"/>
    <w:link w:val="4"/>
    <w:qFormat/>
    <w:uiPriority w:val="0"/>
    <w:rPr>
      <w:rFonts w:ascii="Arial" w:hAnsi="Arial" w:eastAsia="黑体"/>
      <w:b/>
      <w:sz w:val="30"/>
    </w:rPr>
  </w:style>
  <w:style w:type="character" w:customStyle="1" w:styleId="48">
    <w:name w:val="标题 3 Char"/>
    <w:link w:val="2"/>
    <w:qFormat/>
    <w:uiPriority w:val="0"/>
    <w:rPr>
      <w:rFonts w:ascii="宋体"/>
      <w:b/>
      <w:sz w:val="24"/>
      <w:u w:val="single"/>
    </w:rPr>
  </w:style>
  <w:style w:type="character" w:customStyle="1" w:styleId="49">
    <w:name w:val="批注文字 Char"/>
    <w:link w:val="9"/>
    <w:qFormat/>
    <w:uiPriority w:val="99"/>
    <w:rPr>
      <w:kern w:val="2"/>
      <w:sz w:val="21"/>
      <w:szCs w:val="24"/>
    </w:rPr>
  </w:style>
  <w:style w:type="character" w:customStyle="1" w:styleId="50">
    <w:name w:val="纯文本 Char"/>
    <w:link w:val="17"/>
    <w:qFormat/>
    <w:uiPriority w:val="0"/>
    <w:rPr>
      <w:rFonts w:ascii="宋体" w:hAnsi="Courier New"/>
      <w:kern w:val="2"/>
      <w:sz w:val="21"/>
    </w:rPr>
  </w:style>
  <w:style w:type="character" w:customStyle="1" w:styleId="51">
    <w:name w:val="日期 Char"/>
    <w:link w:val="19"/>
    <w:qFormat/>
    <w:uiPriority w:val="0"/>
    <w:rPr>
      <w:rFonts w:ascii="仿宋_GB2312" w:hAnsi="宋体" w:eastAsia="仿宋_GB2312"/>
      <w:color w:val="000000"/>
      <w:kern w:val="2"/>
      <w:sz w:val="24"/>
      <w:szCs w:val="24"/>
    </w:rPr>
  </w:style>
  <w:style w:type="character" w:customStyle="1" w:styleId="52">
    <w:name w:val="批注框文本 Char"/>
    <w:link w:val="21"/>
    <w:qFormat/>
    <w:uiPriority w:val="0"/>
    <w:rPr>
      <w:kern w:val="2"/>
      <w:sz w:val="18"/>
      <w:szCs w:val="18"/>
    </w:rPr>
  </w:style>
  <w:style w:type="character" w:customStyle="1" w:styleId="53">
    <w:name w:val="页脚 Char"/>
    <w:link w:val="22"/>
    <w:qFormat/>
    <w:uiPriority w:val="99"/>
    <w:rPr>
      <w:rFonts w:ascii="宋体"/>
      <w:sz w:val="18"/>
    </w:rPr>
  </w:style>
  <w:style w:type="character" w:customStyle="1" w:styleId="54">
    <w:name w:val="页眉 Char"/>
    <w:link w:val="23"/>
    <w:qFormat/>
    <w:uiPriority w:val="0"/>
    <w:rPr>
      <w:kern w:val="2"/>
      <w:sz w:val="18"/>
      <w:szCs w:val="18"/>
    </w:rPr>
  </w:style>
  <w:style w:type="character" w:customStyle="1" w:styleId="55">
    <w:name w:val="批注主题 Char"/>
    <w:link w:val="36"/>
    <w:qFormat/>
    <w:uiPriority w:val="0"/>
    <w:rPr>
      <w:b/>
      <w:bCs/>
      <w:kern w:val="2"/>
      <w:sz w:val="21"/>
      <w:szCs w:val="24"/>
    </w:rPr>
  </w:style>
  <w:style w:type="paragraph" w:customStyle="1" w:styleId="56">
    <w:name w:val="正文格式"/>
    <w:basedOn w:val="10"/>
    <w:qFormat/>
    <w:uiPriority w:val="0"/>
    <w:pPr>
      <w:ind w:firstLine="480"/>
    </w:pPr>
    <w:rPr>
      <w:rFonts w:cs="Times New Roman"/>
    </w:rPr>
  </w:style>
  <w:style w:type="paragraph" w:customStyle="1" w:styleId="57">
    <w:name w:val="BodyText"/>
    <w:basedOn w:val="1"/>
    <w:next w:val="1"/>
    <w:qFormat/>
    <w:uiPriority w:val="0"/>
    <w:pPr>
      <w:spacing w:after="120"/>
    </w:pPr>
  </w:style>
  <w:style w:type="paragraph" w:customStyle="1" w:styleId="58">
    <w:name w:val="Level 3 Body Text"/>
    <w:basedOn w:val="3"/>
    <w:next w:val="59"/>
    <w:qFormat/>
    <w:uiPriority w:val="0"/>
    <w:pPr>
      <w:widowControl/>
      <w:autoSpaceDE/>
      <w:autoSpaceDN/>
      <w:spacing w:before="0" w:after="240" w:line="240" w:lineRule="auto"/>
      <w:ind w:left="1620" w:firstLine="2048"/>
    </w:pPr>
  </w:style>
  <w:style w:type="paragraph" w:customStyle="1" w:styleId="59">
    <w:name w:val="xl71"/>
    <w:basedOn w:val="3"/>
    <w:next w:val="1"/>
    <w:qFormat/>
    <w:uiPriority w:val="0"/>
    <w:pPr>
      <w:widowControl/>
      <w:autoSpaceDE/>
      <w:autoSpaceDN/>
      <w:spacing w:before="280" w:after="280" w:line="240" w:lineRule="auto"/>
      <w:ind w:left="0" w:firstLine="5632"/>
    </w:pPr>
  </w:style>
  <w:style w:type="paragraph" w:customStyle="1" w:styleId="60">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61">
    <w:name w:val="批注文字 Char1"/>
    <w:semiHidden/>
    <w:qFormat/>
    <w:uiPriority w:val="99"/>
    <w:rPr>
      <w:kern w:val="2"/>
      <w:sz w:val="21"/>
      <w:szCs w:val="24"/>
    </w:rPr>
  </w:style>
  <w:style w:type="character" w:customStyle="1" w:styleId="62">
    <w:name w:val="批注主题 Char1"/>
    <w:semiHidden/>
    <w:qFormat/>
    <w:uiPriority w:val="99"/>
    <w:rPr>
      <w:b/>
      <w:bCs/>
      <w:kern w:val="2"/>
      <w:sz w:val="21"/>
      <w:szCs w:val="24"/>
    </w:rPr>
  </w:style>
  <w:style w:type="character" w:customStyle="1" w:styleId="63">
    <w:name w:val="纯文本 Char1"/>
    <w:link w:val="64"/>
    <w:qFormat/>
    <w:uiPriority w:val="0"/>
    <w:rPr>
      <w:rFonts w:ascii="宋体" w:hAnsi="Courier New"/>
    </w:rPr>
  </w:style>
  <w:style w:type="paragraph" w:customStyle="1" w:styleId="64">
    <w:name w:val="纯文本1"/>
    <w:basedOn w:val="1"/>
    <w:link w:val="63"/>
    <w:qFormat/>
    <w:uiPriority w:val="0"/>
    <w:rPr>
      <w:rFonts w:ascii="宋体" w:hAnsi="Courier New"/>
      <w:kern w:val="0"/>
      <w:sz w:val="20"/>
      <w:szCs w:val="20"/>
    </w:rPr>
  </w:style>
  <w:style w:type="character" w:customStyle="1" w:styleId="65">
    <w:name w:val="页眉 Char1"/>
    <w:semiHidden/>
    <w:qFormat/>
    <w:uiPriority w:val="99"/>
    <w:rPr>
      <w:kern w:val="2"/>
      <w:sz w:val="18"/>
      <w:szCs w:val="18"/>
    </w:rPr>
  </w:style>
  <w:style w:type="character" w:customStyle="1" w:styleId="66">
    <w:name w:val="批注框文本 Char1"/>
    <w:semiHidden/>
    <w:qFormat/>
    <w:uiPriority w:val="99"/>
    <w:rPr>
      <w:kern w:val="2"/>
      <w:sz w:val="18"/>
      <w:szCs w:val="18"/>
    </w:rPr>
  </w:style>
  <w:style w:type="character" w:customStyle="1" w:styleId="67">
    <w:name w:val="正文缩进 Char1"/>
    <w:link w:val="68"/>
    <w:qFormat/>
    <w:uiPriority w:val="0"/>
    <w:rPr>
      <w:rFonts w:ascii="宋体"/>
      <w:sz w:val="24"/>
    </w:rPr>
  </w:style>
  <w:style w:type="paragraph" w:customStyle="1" w:styleId="68">
    <w:name w:val="正文缩进1"/>
    <w:basedOn w:val="1"/>
    <w:link w:val="67"/>
    <w:qFormat/>
    <w:uiPriority w:val="0"/>
    <w:pPr>
      <w:autoSpaceDE w:val="0"/>
      <w:autoSpaceDN w:val="0"/>
      <w:adjustRightInd w:val="0"/>
      <w:ind w:firstLine="420"/>
      <w:jc w:val="left"/>
    </w:pPr>
    <w:rPr>
      <w:rFonts w:ascii="宋体"/>
      <w:kern w:val="0"/>
      <w:sz w:val="24"/>
      <w:szCs w:val="20"/>
    </w:rPr>
  </w:style>
  <w:style w:type="paragraph" w:customStyle="1" w:styleId="69">
    <w:name w:val="索引 11"/>
    <w:basedOn w:val="1"/>
    <w:next w:val="1"/>
    <w:qFormat/>
    <w:uiPriority w:val="0"/>
    <w:pPr>
      <w:spacing w:line="360" w:lineRule="auto"/>
    </w:pPr>
    <w:rPr>
      <w:rFonts w:ascii="仿宋_GB2312" w:eastAsia="仿宋_GB2312"/>
      <w:sz w:val="24"/>
      <w:szCs w:val="20"/>
    </w:rPr>
  </w:style>
  <w:style w:type="paragraph" w:customStyle="1" w:styleId="70">
    <w:name w:val="Char"/>
    <w:basedOn w:val="1"/>
    <w:qFormat/>
    <w:uiPriority w:val="0"/>
    <w:pPr>
      <w:tabs>
        <w:tab w:val="left" w:pos="360"/>
      </w:tabs>
    </w:pPr>
    <w:rPr>
      <w:sz w:val="24"/>
    </w:rPr>
  </w:style>
  <w:style w:type="paragraph" w:customStyle="1" w:styleId="71">
    <w:name w:val="列出段落"/>
    <w:basedOn w:val="1"/>
    <w:qFormat/>
    <w:uiPriority w:val="34"/>
    <w:pPr>
      <w:widowControl/>
      <w:ind w:firstLine="420" w:firstLineChars="200"/>
      <w:jc w:val="left"/>
    </w:pPr>
    <w:rPr>
      <w:kern w:val="0"/>
      <w:sz w:val="24"/>
    </w:rPr>
  </w:style>
  <w:style w:type="character" w:customStyle="1" w:styleId="72">
    <w:name w:val="font21"/>
    <w:basedOn w:val="40"/>
    <w:qFormat/>
    <w:uiPriority w:val="0"/>
    <w:rPr>
      <w:rFonts w:ascii="宋体" w:hAnsi="宋体" w:eastAsia="宋体" w:cs="宋体"/>
      <w:color w:val="000000"/>
      <w:sz w:val="52"/>
      <w:szCs w:val="52"/>
      <w:u w:val="none"/>
    </w:rPr>
  </w:style>
  <w:style w:type="character" w:customStyle="1" w:styleId="73">
    <w:name w:val="font11"/>
    <w:basedOn w:val="40"/>
    <w:qFormat/>
    <w:uiPriority w:val="0"/>
    <w:rPr>
      <w:rFonts w:ascii="宋体" w:hAnsi="宋体" w:eastAsia="宋体" w:cs="宋体"/>
      <w:color w:val="000000"/>
      <w:sz w:val="39"/>
      <w:szCs w:val="39"/>
      <w:u w:val="none"/>
    </w:rPr>
  </w:style>
  <w:style w:type="paragraph" w:customStyle="1" w:styleId="74">
    <w:name w:val="正文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Other|1"/>
    <w:basedOn w:val="1"/>
    <w:qFormat/>
    <w:uiPriority w:val="0"/>
    <w:pPr>
      <w:widowControl w:val="0"/>
      <w:shd w:val="clear" w:color="auto" w:fill="auto"/>
      <w:spacing w:after="60" w:line="480" w:lineRule="auto"/>
    </w:pPr>
    <w:rPr>
      <w:rFonts w:ascii="宋体" w:hAnsi="宋体" w:eastAsia="宋体" w:cs="宋体"/>
      <w:sz w:val="22"/>
      <w:szCs w:val="22"/>
      <w:u w:val="none"/>
      <w:shd w:val="clear" w:color="auto" w:fill="auto"/>
      <w:lang w:val="zh-TW" w:eastAsia="zh-TW" w:bidi="zh-TW"/>
    </w:rPr>
  </w:style>
  <w:style w:type="paragraph" w:customStyle="1" w:styleId="76">
    <w:name w:val="Body text|2"/>
    <w:basedOn w:val="1"/>
    <w:qFormat/>
    <w:uiPriority w:val="0"/>
    <w:pPr>
      <w:widowControl w:val="0"/>
      <w:shd w:val="clear" w:color="auto" w:fill="auto"/>
      <w:spacing w:line="368" w:lineRule="exact"/>
      <w:ind w:firstLine="680"/>
    </w:pPr>
    <w:rPr>
      <w:rFonts w:ascii="宋体" w:hAnsi="宋体" w:eastAsia="宋体" w:cs="宋体"/>
      <w:sz w:val="26"/>
      <w:szCs w:val="26"/>
      <w:u w:val="none"/>
      <w:shd w:val="clear" w:color="auto" w:fill="auto"/>
      <w:lang w:val="zh-TW" w:eastAsia="zh-TW" w:bidi="zh-TW"/>
    </w:rPr>
  </w:style>
  <w:style w:type="paragraph" w:customStyle="1" w:styleId="77">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78">
    <w:name w:val="正文文本 (2)"/>
    <w:basedOn w:val="1"/>
    <w:qFormat/>
    <w:uiPriority w:val="0"/>
    <w:pPr>
      <w:widowControl w:val="0"/>
      <w:shd w:val="clear" w:color="auto" w:fill="FFFFFF"/>
      <w:spacing w:after="760"/>
      <w:ind w:left="5920"/>
    </w:pPr>
    <w:rPr>
      <w:rFonts w:ascii="黑体" w:hAnsi="黑体" w:eastAsia="黑体" w:cs="黑体"/>
      <w:sz w:val="44"/>
      <w:szCs w:val="44"/>
      <w:u w:val="none"/>
      <w:lang w:val="zh-CN" w:eastAsia="zh-CN" w:bidi="zh-CN"/>
    </w:rPr>
  </w:style>
  <w:style w:type="character" w:customStyle="1" w:styleId="79">
    <w:name w:val="font01"/>
    <w:basedOn w:val="40"/>
    <w:qFormat/>
    <w:uiPriority w:val="0"/>
    <w:rPr>
      <w:rFonts w:ascii="Arial" w:hAnsi="Arial" w:cs="Arial"/>
      <w:color w:val="000000"/>
      <w:sz w:val="22"/>
      <w:szCs w:val="22"/>
      <w:u w:val="none"/>
    </w:rPr>
  </w:style>
  <w:style w:type="character" w:customStyle="1" w:styleId="80">
    <w:name w:val="font31"/>
    <w:basedOn w:val="40"/>
    <w:qFormat/>
    <w:uiPriority w:val="0"/>
    <w:rPr>
      <w:rFonts w:hint="eastAsia" w:ascii="宋体" w:hAnsi="宋体" w:eastAsia="宋体" w:cs="宋体"/>
      <w:color w:val="000000"/>
      <w:sz w:val="22"/>
      <w:szCs w:val="22"/>
      <w:u w:val="none"/>
    </w:rPr>
  </w:style>
  <w:style w:type="paragraph" w:customStyle="1" w:styleId="81">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82">
    <w:name w:val="正文首行缩进 21"/>
    <w:basedOn w:val="83"/>
    <w:qFormat/>
    <w:uiPriority w:val="0"/>
    <w:pPr>
      <w:ind w:firstLine="420"/>
    </w:pPr>
    <w:rPr>
      <w:rFonts w:ascii="Times New Roman" w:hAnsi="Times New Roman" w:eastAsia="宋体" w:cs="Times New Roman"/>
    </w:rPr>
  </w:style>
  <w:style w:type="paragraph" w:customStyle="1" w:styleId="83">
    <w:name w:val="正文文本缩进1"/>
    <w:basedOn w:val="1"/>
    <w:qFormat/>
    <w:uiPriority w:val="99"/>
    <w:pPr>
      <w:spacing w:after="120"/>
      <w:ind w:left="420"/>
    </w:pPr>
    <w:rPr>
      <w:rFonts w:ascii="Calibri" w:hAnsi="Calibri" w:cs="黑体"/>
    </w:rPr>
  </w:style>
  <w:style w:type="paragraph" w:customStyle="1" w:styleId="84">
    <w:name w:val="Heading #2|1"/>
    <w:basedOn w:val="1"/>
    <w:qFormat/>
    <w:uiPriority w:val="0"/>
    <w:pPr>
      <w:widowControl w:val="0"/>
      <w:shd w:val="clear" w:color="auto" w:fill="auto"/>
      <w:spacing w:after="320"/>
      <w:jc w:val="center"/>
      <w:outlineLvl w:val="1"/>
    </w:pPr>
    <w:rPr>
      <w:rFonts w:ascii="宋体" w:hAnsi="宋体" w:eastAsia="宋体" w:cs="宋体"/>
      <w:sz w:val="26"/>
      <w:szCs w:val="26"/>
      <w:u w:val="none"/>
      <w:shd w:val="clear" w:color="auto" w:fill="auto"/>
      <w:lang w:val="zh-TW" w:eastAsia="zh-TW" w:bidi="zh-TW"/>
    </w:rPr>
  </w:style>
  <w:style w:type="paragraph" w:customStyle="1" w:styleId="85">
    <w:name w:val="Body text|1"/>
    <w:basedOn w:val="1"/>
    <w:qFormat/>
    <w:uiPriority w:val="0"/>
    <w:pPr>
      <w:widowControl w:val="0"/>
      <w:shd w:val="clear" w:color="auto" w:fill="auto"/>
      <w:spacing w:line="463" w:lineRule="auto"/>
    </w:pPr>
    <w:rPr>
      <w:rFonts w:ascii="宋体" w:hAnsi="宋体" w:eastAsia="宋体" w:cs="宋体"/>
      <w:u w:val="none"/>
      <w:shd w:val="clear" w:color="auto" w:fill="auto"/>
      <w:lang w:val="zh-TW" w:eastAsia="zh-TW" w:bidi="zh-TW"/>
    </w:rPr>
  </w:style>
  <w:style w:type="paragraph" w:customStyle="1" w:styleId="86">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87">
    <w:name w:val="Header or footer|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88">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89">
    <w:name w:val="Table Text"/>
    <w:basedOn w:val="1"/>
    <w:semiHidden/>
    <w:qFormat/>
    <w:uiPriority w:val="0"/>
    <w:rPr>
      <w:rFonts w:ascii="仿宋" w:hAnsi="仿宋" w:eastAsia="仿宋" w:cs="仿宋"/>
      <w:sz w:val="28"/>
      <w:szCs w:val="28"/>
      <w:lang w:val="en-US" w:eastAsia="en-US" w:bidi="ar-SA"/>
    </w:rPr>
  </w:style>
  <w:style w:type="table" w:customStyle="1" w:styleId="9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67</Pages>
  <Words>16728</Words>
  <Characters>17598</Characters>
  <Lines>1</Lines>
  <Paragraphs>1</Paragraphs>
  <TotalTime>9</TotalTime>
  <ScaleCrop>false</ScaleCrop>
  <LinksUpToDate>false</LinksUpToDate>
  <CharactersWithSpaces>19437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2018-08-15T07:17:00Z</dcterms:created>
  <dc:creator>USER-</dc:creator>
  <cp:lastModifiedBy>苏贺15026328789</cp:lastModifiedBy>
  <cp:lastPrinted>2025-07-07T05:17:00Z</cp:lastPrinted>
  <dcterms:modified xsi:type="dcterms:W3CDTF">2025-07-10T09:20:38Z</dcterms:modified>
  <dc:title>02年杜范本稿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B1C1799C583C4418B678CF6036DE8111_13</vt:lpwstr>
  </property>
  <property fmtid="{D5CDD505-2E9C-101B-9397-08002B2CF9AE}" pid="4" name="KSOTemplateDocerSaveRecord">
    <vt:lpwstr>eyJoZGlkIjoiMGRhMWY2N2E5NDY4YTEwNmNiMTE3ZDg0Y2VlODdjZDgiLCJ1c2VySWQiOiI4NzIzNjk0NDEifQ==</vt:lpwstr>
  </property>
</Properties>
</file>